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云阳县规划和自然资源局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_GBK" w:cs="Times New Roman"/>
          <w:spacing w:val="-11"/>
          <w:sz w:val="44"/>
          <w:szCs w:val="44"/>
          <w:lang w:eastAsia="zh-CN"/>
        </w:rPr>
        <w:t>云阳水泥股份有限公司、云硐供销社、曾平、邹利等移民迁建项目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国有建设用地使用权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划拨转出让补缴地价款的公告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ind w:firstLine="560" w:firstLineChars="200"/>
        <w:jc w:val="both"/>
        <w:textAlignment w:val="auto"/>
        <w:rPr>
          <w:rFonts w:hint="eastAsia" w:ascii="方正仿宋_GBK" w:eastAsia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ind w:firstLine="560" w:firstLineChars="200"/>
        <w:jc w:val="both"/>
        <w:textAlignment w:val="auto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根据《中华人民共和国土地管理法》和</w:t>
      </w:r>
      <w:r>
        <w:rPr>
          <w:rFonts w:ascii="方正仿宋_GBK" w:eastAsia="方正仿宋_GBK"/>
          <w:sz w:val="28"/>
          <w:szCs w:val="28"/>
        </w:rPr>
        <w:t>《重庆市国有建设用地使用权</w:t>
      </w:r>
      <w:r>
        <w:rPr>
          <w:rFonts w:hint="eastAsia" w:ascii="方正仿宋_GBK" w:eastAsia="方正仿宋_GBK"/>
          <w:sz w:val="28"/>
          <w:szCs w:val="28"/>
          <w:lang w:eastAsia="zh-CN"/>
        </w:rPr>
        <w:t>宗地地价确定规则</w:t>
      </w:r>
      <w:r>
        <w:rPr>
          <w:rFonts w:ascii="方正仿宋_GBK" w:eastAsia="方正仿宋_GBK"/>
          <w:sz w:val="28"/>
          <w:szCs w:val="28"/>
        </w:rPr>
        <w:t>》</w:t>
      </w:r>
      <w:r>
        <w:rPr>
          <w:rFonts w:hint="eastAsia" w:ascii="方正仿宋_GBK" w:eastAsia="方正仿宋_GBK"/>
          <w:sz w:val="28"/>
          <w:szCs w:val="28"/>
        </w:rPr>
        <w:t>的有关规定</w:t>
      </w:r>
      <w:r>
        <w:rPr>
          <w:rFonts w:hint="eastAsia" w:ascii="方正仿宋_GBK" w:eastAsia="方正仿宋_GBK"/>
          <w:sz w:val="28"/>
          <w:szCs w:val="28"/>
          <w:lang w:eastAsia="zh-CN"/>
        </w:rPr>
        <w:t>，依土地权利人申请</w:t>
      </w:r>
      <w:r>
        <w:rPr>
          <w:rFonts w:hint="eastAsia" w:ascii="方正仿宋_GBK" w:eastAsia="方正仿宋_GBK"/>
          <w:sz w:val="28"/>
          <w:szCs w:val="28"/>
        </w:rPr>
        <w:t>经</w:t>
      </w:r>
      <w:r>
        <w:rPr>
          <w:rFonts w:hint="eastAsia" w:ascii="方正仿宋_GBK" w:eastAsia="方正仿宋_GBK"/>
          <w:sz w:val="28"/>
          <w:szCs w:val="28"/>
          <w:lang w:eastAsia="zh-CN"/>
        </w:rPr>
        <w:t>请示</w:t>
      </w:r>
      <w:r>
        <w:rPr>
          <w:rFonts w:hint="eastAsia" w:ascii="方正仿宋_GBK" w:eastAsia="方正仿宋_GBK"/>
          <w:sz w:val="28"/>
          <w:szCs w:val="28"/>
        </w:rPr>
        <w:t>县政府</w:t>
      </w:r>
      <w:r>
        <w:rPr>
          <w:rFonts w:hint="eastAsia" w:ascii="方正仿宋_GBK" w:eastAsia="方正仿宋_GBK"/>
          <w:sz w:val="28"/>
          <w:szCs w:val="28"/>
          <w:lang w:eastAsia="zh-CN"/>
        </w:rPr>
        <w:t>同意</w:t>
      </w:r>
      <w:r>
        <w:rPr>
          <w:rFonts w:hint="eastAsia" w:ascii="方正仿宋_GBK" w:eastAsia="方正仿宋_GBK"/>
          <w:sz w:val="28"/>
          <w:szCs w:val="28"/>
        </w:rPr>
        <w:t>，</w:t>
      </w:r>
      <w:r>
        <w:rPr>
          <w:rFonts w:hint="eastAsia" w:ascii="方正仿宋_GBK" w:eastAsia="方正仿宋_GBK"/>
          <w:sz w:val="28"/>
          <w:szCs w:val="28"/>
          <w:lang w:eastAsia="zh-CN"/>
        </w:rPr>
        <w:t>现就云阳水泥股份有限公司、云硐供销社、曾平、邹利等移民迁建项目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国有建设用地使用权办理划拨转出让补缴地价款有关事宜</w:t>
      </w:r>
      <w:r>
        <w:rPr>
          <w:rFonts w:hint="eastAsia" w:ascii="方正仿宋_GBK" w:eastAsia="方正仿宋_GBK"/>
          <w:sz w:val="28"/>
          <w:szCs w:val="28"/>
        </w:rPr>
        <w:t>公告如下：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ind w:firstLine="560" w:firstLineChars="200"/>
        <w:jc w:val="both"/>
        <w:textAlignment w:val="auto"/>
        <w:rPr>
          <w:rFonts w:hint="eastAsia" w:ascii="方正仿宋_GBK" w:eastAsia="方正仿宋_GBK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sz w:val="28"/>
          <w:szCs w:val="28"/>
          <w:lang w:val="en-US" w:eastAsia="zh-CN"/>
        </w:rPr>
        <w:t>一、地块信息</w:t>
      </w:r>
    </w:p>
    <w:tbl>
      <w:tblPr>
        <w:tblStyle w:val="2"/>
        <w:tblW w:w="939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2054"/>
        <w:gridCol w:w="1211"/>
        <w:gridCol w:w="2181"/>
        <w:gridCol w:w="1131"/>
        <w:gridCol w:w="15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270" w:type="dxa"/>
            <w:tcBorders>
              <w:top w:val="single" w:color="333333" w:sz="4" w:space="0"/>
              <w:left w:val="single" w:color="333333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宗地编号</w:t>
            </w:r>
          </w:p>
        </w:tc>
        <w:tc>
          <w:tcPr>
            <w:tcW w:w="2054" w:type="dxa"/>
            <w:tcBorders>
              <w:top w:val="single" w:color="333333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YUNYANG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-出让-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11" w:type="dxa"/>
            <w:tcBorders>
              <w:top w:val="single" w:color="333333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地块位置</w:t>
            </w:r>
          </w:p>
        </w:tc>
        <w:tc>
          <w:tcPr>
            <w:tcW w:w="2181" w:type="dxa"/>
            <w:tcBorders>
              <w:top w:val="single" w:color="333333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张家坝东城国际外侧</w:t>
            </w:r>
          </w:p>
        </w:tc>
        <w:tc>
          <w:tcPr>
            <w:tcW w:w="1131" w:type="dxa"/>
            <w:tcBorders>
              <w:top w:val="single" w:color="333333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土地用途</w:t>
            </w:r>
          </w:p>
        </w:tc>
        <w:tc>
          <w:tcPr>
            <w:tcW w:w="1546" w:type="dxa"/>
            <w:tcBorders>
              <w:top w:val="single" w:color="333333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二类居住用地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70" w:type="dxa"/>
            <w:tcBorders>
              <w:top w:val="nil"/>
              <w:left w:val="single" w:color="333333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土地面积(㎡)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2307.38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出让年限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剩余年限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至20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71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日止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补缴地价款(万元)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23.9387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70" w:type="dxa"/>
            <w:tcBorders>
              <w:top w:val="nil"/>
              <w:left w:val="single" w:color="333333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240" w:lineRule="auto"/>
              <w:ind w:firstLine="180" w:firstLineChars="100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受让单位</w:t>
            </w:r>
          </w:p>
        </w:tc>
        <w:tc>
          <w:tcPr>
            <w:tcW w:w="812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after="0" w:line="240" w:lineRule="auto"/>
              <w:ind w:firstLine="180" w:firstLineChars="100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云阳水泥股份有限公司、云硐供销社、曾平、邹利等移民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after="0" w:line="578" w:lineRule="exact"/>
        <w:ind w:firstLine="560" w:firstLineChars="200"/>
        <w:textAlignment w:val="auto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二、公告期：20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23</w:t>
      </w:r>
      <w:r>
        <w:rPr>
          <w:rFonts w:hint="eastAsia" w:ascii="方正仿宋_GBK" w:eastAsia="方正仿宋_GBK"/>
          <w:sz w:val="28"/>
          <w:szCs w:val="28"/>
        </w:rPr>
        <w:t>年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5</w:t>
      </w:r>
      <w:r>
        <w:rPr>
          <w:rFonts w:hint="eastAsia" w:ascii="方正仿宋_GBK" w:eastAsia="方正仿宋_GBK"/>
          <w:sz w:val="28"/>
          <w:szCs w:val="28"/>
        </w:rPr>
        <w:t>月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5</w:t>
      </w:r>
      <w:r>
        <w:rPr>
          <w:rFonts w:hint="eastAsia" w:ascii="方正仿宋_GBK" w:eastAsia="方正仿宋_GBK"/>
          <w:sz w:val="28"/>
          <w:szCs w:val="28"/>
        </w:rPr>
        <w:t>日至20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23</w:t>
      </w:r>
      <w:r>
        <w:rPr>
          <w:rFonts w:hint="eastAsia" w:ascii="方正仿宋_GBK" w:eastAsia="方正仿宋_GBK"/>
          <w:sz w:val="28"/>
          <w:szCs w:val="28"/>
        </w:rPr>
        <w:t>年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5</w:t>
      </w:r>
      <w:r>
        <w:rPr>
          <w:rFonts w:hint="eastAsia" w:ascii="方正仿宋_GBK" w:eastAsia="方正仿宋_GBK"/>
          <w:sz w:val="28"/>
          <w:szCs w:val="28"/>
        </w:rPr>
        <w:t>月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15</w:t>
      </w:r>
      <w:r>
        <w:rPr>
          <w:rFonts w:hint="eastAsia" w:ascii="方正仿宋_GBK" w:eastAsia="方正仿宋_GBK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after="0" w:line="578" w:lineRule="exact"/>
        <w:ind w:firstLine="560" w:firstLineChars="200"/>
        <w:textAlignment w:val="auto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三、意见反馈方式: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after="0" w:line="578" w:lineRule="exact"/>
        <w:ind w:firstLine="560" w:firstLineChars="200"/>
        <w:textAlignment w:val="auto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在公告</w:t>
      </w:r>
      <w:r>
        <w:rPr>
          <w:rFonts w:hint="eastAsia" w:ascii="方正仿宋_GBK" w:eastAsia="方正仿宋_GBK"/>
          <w:sz w:val="28"/>
          <w:szCs w:val="28"/>
          <w:lang w:eastAsia="zh-CN"/>
        </w:rPr>
        <w:t>期</w:t>
      </w:r>
      <w:r>
        <w:rPr>
          <w:rFonts w:hint="eastAsia" w:ascii="方正仿宋_GBK" w:eastAsia="方正仿宋_GBK"/>
          <w:sz w:val="28"/>
          <w:szCs w:val="28"/>
        </w:rPr>
        <w:t>内，任何单位、组织和个人对本公告所列内容有异议的，请以书面方式提出。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after="0" w:line="578" w:lineRule="exact"/>
        <w:ind w:firstLine="560" w:firstLineChars="200"/>
        <w:textAlignment w:val="auto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四、联系方式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after="0" w:line="578" w:lineRule="exact"/>
        <w:ind w:firstLine="560" w:firstLineChars="200"/>
        <w:textAlignment w:val="auto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联系单位：云阳县</w:t>
      </w:r>
      <w:r>
        <w:rPr>
          <w:rFonts w:hint="eastAsia" w:ascii="方正仿宋_GBK" w:eastAsia="方正仿宋_GBK"/>
          <w:sz w:val="28"/>
          <w:szCs w:val="28"/>
          <w:lang w:eastAsia="zh-CN"/>
        </w:rPr>
        <w:t>规划和自然资源</w:t>
      </w:r>
      <w:r>
        <w:rPr>
          <w:rFonts w:hint="eastAsia" w:ascii="方正仿宋_GBK" w:eastAsia="方正仿宋_GBK"/>
          <w:sz w:val="28"/>
          <w:szCs w:val="28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after="0" w:line="578" w:lineRule="exact"/>
        <w:ind w:firstLine="560" w:firstLineChars="200"/>
        <w:textAlignment w:val="auto"/>
        <w:rPr>
          <w:rFonts w:hint="default" w:ascii="方正仿宋_GBK" w:eastAsia="方正仿宋_GBK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sz w:val="28"/>
          <w:szCs w:val="28"/>
          <w:lang w:eastAsia="zh-CN"/>
        </w:rPr>
        <w:t>联系</w:t>
      </w:r>
      <w:r>
        <w:rPr>
          <w:rFonts w:hint="eastAsia" w:ascii="方正仿宋_GBK" w:eastAsia="方正仿宋_GBK"/>
          <w:sz w:val="28"/>
          <w:szCs w:val="28"/>
        </w:rPr>
        <w:t>地址：云阳县云江大道1299号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406室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after="0" w:line="578" w:lineRule="exact"/>
        <w:ind w:firstLine="560" w:firstLineChars="200"/>
        <w:textAlignment w:val="auto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邮政编码：404500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after="0" w:line="578" w:lineRule="exact"/>
        <w:ind w:firstLine="560" w:firstLineChars="200"/>
        <w:textAlignment w:val="auto"/>
        <w:rPr>
          <w:rFonts w:hint="default" w:ascii="方正仿宋_GBK" w:eastAsia="方正仿宋_GBK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sz w:val="28"/>
          <w:szCs w:val="28"/>
        </w:rPr>
        <w:t>联系电话：023-55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336080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after="0" w:line="578" w:lineRule="exact"/>
        <w:ind w:firstLine="560" w:firstLineChars="200"/>
        <w:textAlignment w:val="auto"/>
        <w:rPr>
          <w:rFonts w:hint="eastAsia" w:ascii="方正仿宋_GBK" w:eastAsia="方正仿宋_GBK"/>
          <w:sz w:val="28"/>
          <w:szCs w:val="28"/>
          <w:lang w:eastAsia="zh-CN"/>
        </w:rPr>
      </w:pPr>
      <w:r>
        <w:rPr>
          <w:rFonts w:hint="eastAsia" w:ascii="方正仿宋_GBK" w:eastAsia="方正仿宋_GBK"/>
          <w:sz w:val="28"/>
          <w:szCs w:val="28"/>
        </w:rPr>
        <w:t>联 系 人：</w:t>
      </w:r>
      <w:r>
        <w:rPr>
          <w:rFonts w:hint="eastAsia" w:ascii="方正仿宋_GBK" w:eastAsia="方正仿宋_GBK"/>
          <w:sz w:val="28"/>
          <w:szCs w:val="28"/>
          <w:lang w:eastAsia="zh-CN"/>
        </w:rPr>
        <w:t>蒋先生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after="0" w:line="578" w:lineRule="exact"/>
        <w:ind w:firstLine="560" w:firstLineChars="200"/>
        <w:textAlignment w:val="auto"/>
        <w:rPr>
          <w:rFonts w:hint="eastAsia" w:ascii="方正仿宋_GBK" w:eastAsia="方正仿宋_GBK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after="0" w:line="578" w:lineRule="exact"/>
        <w:ind w:firstLine="5320" w:firstLineChars="1900"/>
        <w:textAlignment w:val="auto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云阳县</w:t>
      </w:r>
      <w:r>
        <w:rPr>
          <w:rFonts w:hint="eastAsia" w:ascii="方正仿宋_GBK" w:eastAsia="方正仿宋_GBK"/>
          <w:sz w:val="28"/>
          <w:szCs w:val="28"/>
          <w:lang w:eastAsia="zh-CN"/>
        </w:rPr>
        <w:t>规划和自然资源</w:t>
      </w:r>
      <w:r>
        <w:rPr>
          <w:rFonts w:hint="eastAsia" w:ascii="方正仿宋_GBK" w:eastAsia="方正仿宋_GBK"/>
          <w:sz w:val="28"/>
          <w:szCs w:val="28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right="210" w:rightChars="100"/>
        <w:jc w:val="right"/>
        <w:textAlignment w:val="auto"/>
        <w:rPr>
          <w:rFonts w:hint="default" w:ascii="方正仿宋_GBK" w:eastAsia="方正仿宋_GBK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sz w:val="28"/>
          <w:szCs w:val="28"/>
        </w:rPr>
        <w:t>20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23年5月5日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方正仿宋_GBK" w:eastAsia="方正仿宋_GBK"/>
          <w:sz w:val="28"/>
          <w:szCs w:val="28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ZDQxNjBhMTNiNjg0YTc0ODhkMjZhODQwODJjMzgifQ=="/>
  </w:docVars>
  <w:rsids>
    <w:rsidRoot w:val="3F7C39DE"/>
    <w:rsid w:val="0EA279E1"/>
    <w:rsid w:val="3F7C39DE"/>
    <w:rsid w:val="63D7590D"/>
    <w:rsid w:val="64CD04A8"/>
    <w:rsid w:val="69D7142C"/>
    <w:rsid w:val="6B53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</Words>
  <Characters>490</Characters>
  <Lines>0</Lines>
  <Paragraphs>0</Paragraphs>
  <TotalTime>14</TotalTime>
  <ScaleCrop>false</ScaleCrop>
  <LinksUpToDate>false</LinksUpToDate>
  <CharactersWithSpaces>492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2022-05-31T01:32:00Z</dcterms:created>
  <dc:creator>7up</dc:creator>
  <cp:lastModifiedBy>7up</cp:lastModifiedBy>
  <cp:lastPrinted>2023-04-25T06:47:00Z</cp:lastPrinted>
  <dcterms:modified xsi:type="dcterms:W3CDTF">2023-05-04T09:32:48Z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66FEEBC7973640A295A280F48404AB32_13</vt:lpwstr>
  </property>
</Properties>
</file>