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val="0"/>
        <w:snapToGrid/>
        <w:spacing w:beforeAutospacing="0" w:afterAutospacing="0" w:line="578" w:lineRule="exact"/>
        <w:ind w:left="0" w:leftChars="0" w:right="0" w:rightChars="0"/>
        <w:jc w:val="center"/>
        <w:textAlignment w:val="auto"/>
        <w:outlineLvl w:val="9"/>
        <w:rPr>
          <w:rFonts w:hint="eastAsia" w:ascii="Times New Roman" w:hAnsi="Times New Roman" w:eastAsia="方正小标宋_GBK" w:cs="HiddenHorzOCR"/>
          <w:color w:val="auto"/>
          <w:kern w:val="0"/>
          <w:sz w:val="44"/>
          <w:szCs w:val="44"/>
          <w:lang w:val="en-US" w:eastAsia="zh-CN"/>
        </w:rPr>
      </w:pPr>
      <w:r>
        <w:rPr>
          <w:rFonts w:hint="eastAsia" w:ascii="Times New Roman" w:hAnsi="Times New Roman" w:eastAsia="方正小标宋_GBK" w:cs="HiddenHorzOCR"/>
          <w:color w:val="auto"/>
          <w:kern w:val="0"/>
          <w:sz w:val="44"/>
          <w:szCs w:val="44"/>
          <w:lang w:val="en-US" w:eastAsia="zh-CN"/>
        </w:rPr>
        <w:t>云阳县鱼泉镇人民政府2024年政府信息公开工作年度报告</w:t>
      </w:r>
    </w:p>
    <w:p>
      <w:pPr>
        <w:keepNext w:val="0"/>
        <w:keepLines w:val="0"/>
        <w:pageBreakBefore w:val="0"/>
        <w:kinsoku/>
        <w:wordWrap/>
        <w:overflowPunct w:val="0"/>
        <w:topLinePunct w:val="0"/>
        <w:autoSpaceDE w:val="0"/>
        <w:autoSpaceDN w:val="0"/>
        <w:bidi w:val="0"/>
        <w:adjustRightInd w:val="0"/>
        <w:snapToGrid/>
        <w:spacing w:beforeAutospacing="0" w:afterAutospacing="0" w:line="578" w:lineRule="exact"/>
        <w:ind w:left="0" w:leftChars="0" w:right="0" w:rightChars="0"/>
        <w:jc w:val="center"/>
        <w:textAlignment w:val="auto"/>
        <w:outlineLvl w:val="9"/>
        <w:rPr>
          <w:rFonts w:hint="eastAsia" w:ascii="Times New Roman" w:hAnsi="Times New Roman" w:eastAsia="方正小标宋_GBK" w:cs="HiddenHorzOCR"/>
          <w:color w:val="auto"/>
          <w:kern w:val="0"/>
          <w:sz w:val="44"/>
          <w:szCs w:val="44"/>
          <w:lang w:val="en-US" w:eastAsia="zh-CN"/>
        </w:rPr>
      </w:pPr>
      <w:bookmarkStart w:id="3" w:name="_GoBack"/>
      <w:bookmarkEnd w:id="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firstLineChars="0"/>
        <w:jc w:val="left"/>
        <w:textAlignment w:val="auto"/>
        <w:outlineLvl w:val="9"/>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firstLineChars="0"/>
        <w:jc w:val="left"/>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hd w:val="clear" w:fill="FFFFFF"/>
        </w:rPr>
        <w:t>（一）主动公开</w:t>
      </w:r>
      <w:r>
        <w:rPr>
          <w:rFonts w:hint="eastAsia" w:ascii="Times New Roman" w:hAnsi="Times New Roman" w:eastAsia="方正仿宋_GBK" w:cs="宋体"/>
          <w:i w:val="0"/>
          <w:caps w:val="0"/>
          <w:color w:val="auto"/>
          <w:spacing w:val="0"/>
          <w:sz w:val="32"/>
          <w:shd w:val="clear" w:fill="FFFFFF"/>
        </w:rPr>
        <w:t>：</w:t>
      </w:r>
      <w:bookmarkStart w:id="0" w:name="OLE_LINK2"/>
      <w:r>
        <w:rPr>
          <w:rFonts w:hint="default" w:ascii="Times New Roman" w:hAnsi="Times New Roman" w:eastAsia="方正仿宋_GBK" w:cs="Times New Roman"/>
          <w:i w:val="0"/>
          <w:caps w:val="0"/>
          <w:color w:val="auto"/>
          <w:spacing w:val="0"/>
          <w:sz w:val="32"/>
          <w:szCs w:val="32"/>
          <w:shd w:val="clear" w:fill="FFFFFF"/>
        </w:rPr>
        <w:t>202</w:t>
      </w:r>
      <w:r>
        <w:rPr>
          <w:rFonts w:hint="default" w:ascii="Times New Roman" w:hAnsi="Times New Roman" w:eastAsia="方正仿宋_GBK" w:cs="Times New Roman"/>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rPr>
        <w:t>年，我镇始终坚持“以公开为常态，不公开为例外”的原则，细化公开要求，增强公开实效</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打造公开透明、信息畅通的政务环境。围绕机关简介、机构职能、政策文件</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工作动态、公示公告、领导信息</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财政预决算等方面，依托鱼泉镇人民政府网站主动公开政府信息</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进一步保障了群众的知情权、参与权与监督权。</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firstLineChars="0"/>
        <w:jc w:val="left"/>
        <w:textAlignment w:val="auto"/>
        <w:outlineLvl w:val="9"/>
        <w:rPr>
          <w:rFonts w:hint="eastAsia" w:ascii="Times New Roman" w:hAnsi="Times New Roman" w:eastAsia="方正仿宋_GBK" w:cs="微软雅黑"/>
          <w:i w:val="0"/>
          <w:caps w:val="0"/>
          <w:color w:val="auto"/>
          <w:spacing w:val="0"/>
          <w:sz w:val="32"/>
        </w:rPr>
      </w:pPr>
      <w:r>
        <w:rPr>
          <w:rFonts w:hint="eastAsia" w:ascii="方正楷体_GBK" w:hAnsi="方正楷体_GBK" w:eastAsia="方正楷体_GBK" w:cs="方正楷体_GBK"/>
          <w:i w:val="0"/>
          <w:caps w:val="0"/>
          <w:color w:val="auto"/>
          <w:spacing w:val="0"/>
          <w:sz w:val="32"/>
          <w:shd w:val="clear" w:fill="FFFFFF"/>
        </w:rPr>
        <w:t>（二）依申请公开</w:t>
      </w:r>
      <w:r>
        <w:rPr>
          <w:rFonts w:hint="eastAsia" w:ascii="Times New Roman" w:hAnsi="Times New Roman" w:eastAsia="方正仿宋_GBK" w:cs="宋体"/>
          <w:i w:val="0"/>
          <w:caps w:val="0"/>
          <w:color w:val="auto"/>
          <w:spacing w:val="0"/>
          <w:sz w:val="32"/>
          <w:shd w:val="clear" w:fill="FFFFFF"/>
        </w:rPr>
        <w:t>：202</w:t>
      </w:r>
      <w:r>
        <w:rPr>
          <w:rFonts w:hint="eastAsia" w:ascii="Times New Roman" w:hAnsi="Times New Roman" w:eastAsia="方正仿宋_GBK" w:cs="宋体"/>
          <w:i w:val="0"/>
          <w:caps w:val="0"/>
          <w:color w:val="auto"/>
          <w:spacing w:val="0"/>
          <w:sz w:val="32"/>
          <w:shd w:val="clear" w:fill="FFFFFF"/>
          <w:lang w:val="en-US" w:eastAsia="zh-CN"/>
        </w:rPr>
        <w:t>4</w:t>
      </w:r>
      <w:r>
        <w:rPr>
          <w:rFonts w:hint="eastAsia" w:ascii="Times New Roman" w:hAnsi="Times New Roman" w:eastAsia="方正仿宋_GBK" w:cs="宋体"/>
          <w:i w:val="0"/>
          <w:caps w:val="0"/>
          <w:color w:val="auto"/>
          <w:spacing w:val="0"/>
          <w:sz w:val="32"/>
          <w:shd w:val="clear" w:fill="FFFFFF"/>
        </w:rPr>
        <w:t>年，我镇未收到政府信息公开申请。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firstLineChars="0"/>
        <w:jc w:val="left"/>
        <w:textAlignment w:val="auto"/>
        <w:outlineLvl w:val="9"/>
        <w:rPr>
          <w:rFonts w:ascii="Segoe UI" w:hAnsi="Segoe UI" w:eastAsia="Segoe UI" w:cs="Segoe UI"/>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hd w:val="clear" w:fill="FFFFFF"/>
        </w:rPr>
        <w:t>（三）政府信息管理</w:t>
      </w:r>
      <w:r>
        <w:rPr>
          <w:rFonts w:hint="eastAsia" w:ascii="Times New Roman" w:hAnsi="Times New Roman" w:eastAsia="方正仿宋_GBK" w:cs="宋体"/>
          <w:i w:val="0"/>
          <w:caps w:val="0"/>
          <w:color w:val="auto"/>
          <w:spacing w:val="0"/>
          <w:sz w:val="32"/>
          <w:shd w:val="clear" w:fill="FFFFFF"/>
        </w:rPr>
        <w:t>：</w:t>
      </w:r>
      <w:bookmarkStart w:id="1" w:name="OLE_LINK1"/>
      <w:r>
        <w:rPr>
          <w:rFonts w:hint="eastAsia" w:ascii="方正仿宋_GBK" w:hAnsi="方正仿宋_GBK" w:eastAsia="方正仿宋_GBK" w:cs="方正仿宋_GBK"/>
          <w:i w:val="0"/>
          <w:caps w:val="0"/>
          <w:color w:val="auto"/>
          <w:spacing w:val="0"/>
          <w:sz w:val="32"/>
          <w:szCs w:val="32"/>
          <w:shd w:val="clear" w:fill="FFFFFF"/>
        </w:rPr>
        <w:t>加强信息发布、审核和管理，全方位强化相关举措，构建起严谨规范的信息发布流程体系。</w:t>
      </w:r>
      <w:r>
        <w:rPr>
          <w:rFonts w:hint="eastAsia" w:ascii="方正仿宋_GBK" w:hAnsi="方正仿宋_GBK" w:eastAsia="方正仿宋_GBK" w:cs="方正仿宋_GBK"/>
          <w:i w:val="0"/>
          <w:caps w:val="0"/>
          <w:color w:val="auto"/>
          <w:spacing w:val="0"/>
          <w:sz w:val="32"/>
          <w:szCs w:val="32"/>
          <w:shd w:val="clear" w:fill="FFFFFF"/>
          <w:lang w:val="en-US" w:eastAsia="zh-CN"/>
        </w:rPr>
        <w:t>一是</w:t>
      </w:r>
      <w:r>
        <w:rPr>
          <w:rFonts w:hint="eastAsia" w:ascii="方正仿宋_GBK" w:hAnsi="方正仿宋_GBK" w:eastAsia="方正仿宋_GBK" w:cs="方正仿宋_GBK"/>
          <w:i w:val="0"/>
          <w:caps w:val="0"/>
          <w:color w:val="auto"/>
          <w:spacing w:val="0"/>
          <w:sz w:val="32"/>
          <w:szCs w:val="32"/>
          <w:shd w:val="clear" w:fill="FFFFFF"/>
        </w:rPr>
        <w:t>对于拟向外公布的各类信息，严格秉持 “谁提供、谁审核、谁负责” 的原则，严格落实工作人员初审、分管负责人审核、主要负责人审发的“三审”制度</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明确信息源头责任</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二是</w:t>
      </w:r>
      <w:r>
        <w:rPr>
          <w:rFonts w:hint="eastAsia" w:ascii="方正仿宋_GBK" w:hAnsi="方正仿宋_GBK" w:eastAsia="方正仿宋_GBK" w:cs="方正仿宋_GBK"/>
          <w:i w:val="0"/>
          <w:caps w:val="0"/>
          <w:color w:val="auto"/>
          <w:spacing w:val="0"/>
          <w:sz w:val="32"/>
          <w:szCs w:val="32"/>
          <w:shd w:val="clear" w:fill="FFFFFF"/>
        </w:rPr>
        <w:t>坚持 “先审查、后公开” 的操作流程，任何信息在面向公众发布之前，都要经过全面且细致的审查环节，积极排查修改错字、漏字，确保发布信息表述规范、内容准确</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三是</w:t>
      </w:r>
      <w:r>
        <w:rPr>
          <w:rFonts w:hint="eastAsia" w:ascii="方正仿宋_GBK" w:hAnsi="方正仿宋_GBK" w:eastAsia="方正仿宋_GBK" w:cs="方正仿宋_GBK"/>
          <w:i w:val="0"/>
          <w:caps w:val="0"/>
          <w:color w:val="auto"/>
          <w:spacing w:val="0"/>
          <w:sz w:val="32"/>
          <w:szCs w:val="32"/>
          <w:shd w:val="clear" w:fill="FFFFFF"/>
        </w:rPr>
        <w:t>加强政府信息安全保密审查</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牢牢坚守 “涉密信息不上网、上网信息不涉密” 红线，从源头上防止因信息处理不当而引发的安全风险，切实保障信息安全与保密工作落实到位</w:t>
      </w:r>
      <w:bookmarkEnd w:id="1"/>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firstLineChars="0"/>
        <w:jc w:val="left"/>
        <w:textAlignment w:val="auto"/>
        <w:outlineLvl w:val="9"/>
        <w:rPr>
          <w:rFonts w:hint="eastAsia" w:ascii="Times New Roman" w:hAnsi="Times New Roman" w:eastAsia="方正仿宋_GBK" w:cs="微软雅黑"/>
          <w:i w:val="0"/>
          <w:caps w:val="0"/>
          <w:color w:val="auto"/>
          <w:spacing w:val="0"/>
          <w:sz w:val="32"/>
        </w:rPr>
      </w:pPr>
      <w:r>
        <w:rPr>
          <w:rFonts w:hint="eastAsia" w:ascii="方正楷体_GBK" w:hAnsi="方正楷体_GBK" w:eastAsia="方正楷体_GBK" w:cs="方正楷体_GBK"/>
          <w:i w:val="0"/>
          <w:caps w:val="0"/>
          <w:color w:val="auto"/>
          <w:spacing w:val="0"/>
          <w:sz w:val="32"/>
          <w:shd w:val="clear" w:fill="FFFFFF"/>
        </w:rPr>
        <w:t>（四）平台建设</w:t>
      </w:r>
      <w:r>
        <w:rPr>
          <w:rFonts w:hint="eastAsia" w:ascii="Times New Roman" w:hAnsi="Times New Roman" w:eastAsia="方正仿宋_GBK" w:cs="宋体"/>
          <w:i w:val="0"/>
          <w:caps w:val="0"/>
          <w:color w:val="auto"/>
          <w:spacing w:val="0"/>
          <w:sz w:val="32"/>
          <w:shd w:val="clear" w:fill="FFFFFF"/>
        </w:rPr>
        <w:t>：紧盯群众关心点、社会关注点，围绕辖区发生的重大事件、活动，在云阳县鱼泉镇子网站发布工作动态，以镇公示栏、村（社区）“四务”公开栏为辅，深入贯彻公开及时、公开透明的工作原则。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420" w:firstLineChars="0"/>
        <w:jc w:val="left"/>
        <w:textAlignment w:val="auto"/>
        <w:outlineLvl w:val="9"/>
        <w:rPr>
          <w:rFonts w:hint="eastAsia" w:ascii="Times New Roman" w:hAnsi="Times New Roman" w:eastAsia="方正仿宋_GBK" w:cs="微软雅黑"/>
          <w:i w:val="0"/>
          <w:caps w:val="0"/>
          <w:color w:val="auto"/>
          <w:spacing w:val="0"/>
          <w:sz w:val="32"/>
        </w:rPr>
      </w:pPr>
      <w:r>
        <w:rPr>
          <w:rFonts w:hint="eastAsia" w:ascii="方正楷体_GBK" w:hAnsi="方正楷体_GBK" w:eastAsia="方正楷体_GBK" w:cs="方正楷体_GBK"/>
          <w:i w:val="0"/>
          <w:caps w:val="0"/>
          <w:color w:val="auto"/>
          <w:spacing w:val="0"/>
          <w:sz w:val="32"/>
          <w:shd w:val="clear" w:fill="FFFFFF"/>
        </w:rPr>
        <w:t>（五）监督保障</w:t>
      </w:r>
      <w:r>
        <w:rPr>
          <w:rFonts w:hint="eastAsia" w:ascii="Times New Roman" w:hAnsi="Times New Roman" w:eastAsia="方正仿宋_GBK" w:cs="宋体"/>
          <w:i w:val="0"/>
          <w:caps w:val="0"/>
          <w:color w:val="auto"/>
          <w:spacing w:val="0"/>
          <w:sz w:val="32"/>
          <w:shd w:val="clear" w:fill="FFFFFF"/>
        </w:rPr>
        <w:t>：202</w:t>
      </w:r>
      <w:r>
        <w:rPr>
          <w:rFonts w:hint="eastAsia" w:ascii="Times New Roman" w:hAnsi="Times New Roman" w:eastAsia="方正仿宋_GBK" w:cs="宋体"/>
          <w:i w:val="0"/>
          <w:caps w:val="0"/>
          <w:color w:val="auto"/>
          <w:spacing w:val="0"/>
          <w:sz w:val="32"/>
          <w:shd w:val="clear" w:fill="FFFFFF"/>
          <w:lang w:val="en-US" w:eastAsia="zh-CN"/>
        </w:rPr>
        <w:t>4</w:t>
      </w:r>
      <w:r>
        <w:rPr>
          <w:rFonts w:hint="eastAsia" w:ascii="Times New Roman" w:hAnsi="Times New Roman" w:eastAsia="方正仿宋_GBK" w:cs="宋体"/>
          <w:i w:val="0"/>
          <w:caps w:val="0"/>
          <w:color w:val="auto"/>
          <w:spacing w:val="0"/>
          <w:sz w:val="32"/>
          <w:shd w:val="clear" w:fill="FFFFFF"/>
        </w:rPr>
        <w:t>年，我镇在政府信息公开网站上公布了举报、监督电话，主动接受群众的监督。202</w:t>
      </w:r>
      <w:r>
        <w:rPr>
          <w:rFonts w:hint="eastAsia" w:ascii="Times New Roman" w:hAnsi="Times New Roman" w:eastAsia="方正仿宋_GBK" w:cs="宋体"/>
          <w:i w:val="0"/>
          <w:caps w:val="0"/>
          <w:color w:val="auto"/>
          <w:spacing w:val="0"/>
          <w:sz w:val="32"/>
          <w:shd w:val="clear" w:fill="FFFFFF"/>
          <w:lang w:val="en-US" w:eastAsia="zh-CN"/>
        </w:rPr>
        <w:t>4</w:t>
      </w:r>
      <w:r>
        <w:rPr>
          <w:rFonts w:hint="eastAsia" w:ascii="Times New Roman" w:hAnsi="Times New Roman" w:eastAsia="方正仿宋_GBK" w:cs="宋体"/>
          <w:i w:val="0"/>
          <w:caps w:val="0"/>
          <w:color w:val="auto"/>
          <w:spacing w:val="0"/>
          <w:sz w:val="32"/>
          <w:shd w:val="clear" w:fill="FFFFFF"/>
        </w:rPr>
        <w:t>年未收到投诉举报电话、信息。</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二、主动公开政府信息情况</w:t>
      </w:r>
    </w:p>
    <w:tbl>
      <w:tblPr>
        <w:tblStyle w:val="8"/>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信息内容</w:t>
            </w:r>
          </w:p>
        </w:tc>
        <w:tc>
          <w:tcPr>
            <w:tcW w:w="2435"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本年制发件数</w:t>
            </w:r>
          </w:p>
        </w:tc>
        <w:tc>
          <w:tcPr>
            <w:tcW w:w="2435"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本年废止件数</w:t>
            </w:r>
          </w:p>
        </w:tc>
        <w:tc>
          <w:tcPr>
            <w:tcW w:w="2435"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规章</w:t>
            </w:r>
          </w:p>
        </w:tc>
        <w:tc>
          <w:tcPr>
            <w:tcW w:w="2435" w:type="dxa"/>
            <w:tcMar>
              <w:left w:w="57" w:type="dxa"/>
              <w:right w:w="57" w:type="dxa"/>
            </w:tcMar>
            <w:vAlign w:val="center"/>
          </w:tcPr>
          <w:p>
            <w:pPr>
              <w:widowControl/>
              <w:jc w:val="left"/>
              <w:rPr>
                <w:rFonts w:hint="eastAsia" w:ascii="Times New Roman" w:hAnsi="Times New Roman" w:eastAsia="等线" w:cs="Times New Roman"/>
                <w:color w:val="auto"/>
                <w:sz w:val="21"/>
                <w:szCs w:val="22"/>
                <w:lang w:eastAsia="zh-CN"/>
              </w:rPr>
            </w:pPr>
            <w:r>
              <w:rPr>
                <w:rFonts w:hint="eastAsia" w:ascii="Times New Roman" w:hAnsi="Times New Roman" w:eastAsia="宋体" w:cs="宋体"/>
                <w:color w:val="auto"/>
                <w:kern w:val="0"/>
                <w:sz w:val="20"/>
                <w:szCs w:val="22"/>
                <w:lang w:val="en-US" w:eastAsia="zh-CN" w:bidi="ar"/>
              </w:rPr>
              <w:t>0</w:t>
            </w:r>
          </w:p>
        </w:tc>
        <w:tc>
          <w:tcPr>
            <w:tcW w:w="2435" w:type="dxa"/>
            <w:tcMar>
              <w:left w:w="57" w:type="dxa"/>
              <w:right w:w="57" w:type="dxa"/>
            </w:tcMar>
            <w:vAlign w:val="center"/>
          </w:tcPr>
          <w:p>
            <w:pPr>
              <w:widowControl/>
              <w:jc w:val="left"/>
              <w:rPr>
                <w:rFonts w:hint="eastAsia" w:ascii="Times New Roman" w:hAnsi="Times New Roman" w:eastAsia="等线" w:cs="Times New Roman"/>
                <w:color w:val="auto"/>
                <w:sz w:val="21"/>
                <w:szCs w:val="22"/>
                <w:lang w:eastAsia="zh-CN"/>
              </w:rPr>
            </w:pPr>
            <w:r>
              <w:rPr>
                <w:rFonts w:hint="eastAsia" w:ascii="Times New Roman" w:hAnsi="Times New Roman" w:eastAsia="宋体" w:cs="宋体"/>
                <w:color w:val="auto"/>
                <w:kern w:val="0"/>
                <w:sz w:val="20"/>
                <w:szCs w:val="22"/>
                <w:lang w:val="en-US" w:eastAsia="zh-CN" w:bidi="ar"/>
              </w:rPr>
              <w:t>0</w:t>
            </w:r>
          </w:p>
        </w:tc>
        <w:tc>
          <w:tcPr>
            <w:tcW w:w="2435" w:type="dxa"/>
            <w:tcMar>
              <w:left w:w="57" w:type="dxa"/>
              <w:right w:w="57" w:type="dxa"/>
            </w:tcMar>
            <w:vAlign w:val="center"/>
          </w:tcPr>
          <w:p>
            <w:pPr>
              <w:widowControl/>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行政规范性文件</w:t>
            </w:r>
          </w:p>
        </w:tc>
        <w:tc>
          <w:tcPr>
            <w:tcW w:w="2435" w:type="dxa"/>
            <w:tcMar>
              <w:left w:w="57" w:type="dxa"/>
              <w:right w:w="57" w:type="dxa"/>
            </w:tcMar>
            <w:vAlign w:val="center"/>
          </w:tcPr>
          <w:p>
            <w:pPr>
              <w:widowControl/>
              <w:jc w:val="left"/>
              <w:rPr>
                <w:rFonts w:hint="eastAsia" w:ascii="Times New Roman" w:hAnsi="Times New Roman" w:eastAsia="等线" w:cs="Times New Roman"/>
                <w:color w:val="auto"/>
                <w:sz w:val="21"/>
                <w:szCs w:val="22"/>
                <w:lang w:eastAsia="zh-CN"/>
              </w:rPr>
            </w:pPr>
            <w:r>
              <w:rPr>
                <w:rFonts w:hint="eastAsia" w:ascii="Times New Roman" w:hAnsi="Times New Roman" w:eastAsia="宋体" w:cs="宋体"/>
                <w:color w:val="auto"/>
                <w:kern w:val="0"/>
                <w:sz w:val="20"/>
                <w:szCs w:val="22"/>
                <w:lang w:val="en-US" w:eastAsia="zh-CN" w:bidi="ar"/>
              </w:rPr>
              <w:t>0</w:t>
            </w:r>
          </w:p>
        </w:tc>
        <w:tc>
          <w:tcPr>
            <w:tcW w:w="2435" w:type="dxa"/>
            <w:tcMar>
              <w:left w:w="57" w:type="dxa"/>
              <w:right w:w="57" w:type="dxa"/>
            </w:tcMar>
            <w:vAlign w:val="center"/>
          </w:tcPr>
          <w:p>
            <w:pPr>
              <w:widowControl/>
              <w:jc w:val="left"/>
              <w:rPr>
                <w:rFonts w:hint="eastAsia" w:ascii="Times New Roman" w:hAnsi="Times New Roman" w:eastAsia="等线" w:cs="Times New Roman"/>
                <w:color w:val="auto"/>
                <w:sz w:val="21"/>
                <w:szCs w:val="22"/>
                <w:lang w:eastAsia="zh-CN"/>
              </w:rPr>
            </w:pPr>
            <w:r>
              <w:rPr>
                <w:rFonts w:hint="eastAsia" w:ascii="Times New Roman" w:hAnsi="Times New Roman" w:eastAsia="宋体" w:cs="宋体"/>
                <w:color w:val="auto"/>
                <w:kern w:val="0"/>
                <w:sz w:val="20"/>
                <w:szCs w:val="22"/>
                <w:lang w:val="en-US" w:eastAsia="zh-CN" w:bidi="ar"/>
              </w:rPr>
              <w:t>0</w:t>
            </w:r>
          </w:p>
        </w:tc>
        <w:tc>
          <w:tcPr>
            <w:tcW w:w="2435" w:type="dxa"/>
            <w:tcMar>
              <w:left w:w="57" w:type="dxa"/>
              <w:right w:w="57" w:type="dxa"/>
            </w:tcMar>
            <w:vAlign w:val="center"/>
          </w:tcPr>
          <w:p>
            <w:pPr>
              <w:widowControl/>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信息内容</w:t>
            </w:r>
          </w:p>
        </w:tc>
        <w:tc>
          <w:tcPr>
            <w:tcW w:w="7305" w:type="dxa"/>
            <w:gridSpan w:val="3"/>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行政许可</w:t>
            </w:r>
          </w:p>
        </w:tc>
        <w:tc>
          <w:tcPr>
            <w:tcW w:w="7305" w:type="dxa"/>
            <w:gridSpan w:val="3"/>
            <w:shd w:val="clear" w:color="auto" w:fill="FFFFFF"/>
            <w:tcMar>
              <w:left w:w="57" w:type="dxa"/>
              <w:right w:w="57" w:type="dxa"/>
            </w:tcMar>
            <w:vAlign w:val="center"/>
          </w:tcPr>
          <w:p>
            <w:pPr>
              <w:widowControl/>
              <w:jc w:val="left"/>
              <w:rPr>
                <w:rFonts w:hint="eastAsia" w:ascii="Times New Roman" w:hAnsi="Times New Roman" w:eastAsia="等线" w:cs="Times New Roman"/>
                <w:color w:val="auto"/>
                <w:sz w:val="21"/>
                <w:szCs w:val="22"/>
                <w:lang w:val="en-US" w:eastAsia="zh-CN"/>
              </w:rPr>
            </w:pPr>
            <w:r>
              <w:rPr>
                <w:rFonts w:hint="eastAsia" w:ascii="Times New Roman" w:hAnsi="Times New Roman"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信息内容</w:t>
            </w:r>
          </w:p>
        </w:tc>
        <w:tc>
          <w:tcPr>
            <w:tcW w:w="7305" w:type="dxa"/>
            <w:gridSpan w:val="3"/>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行政处罚</w:t>
            </w:r>
          </w:p>
        </w:tc>
        <w:tc>
          <w:tcPr>
            <w:tcW w:w="7305" w:type="dxa"/>
            <w:gridSpan w:val="3"/>
            <w:shd w:val="clear" w:color="auto" w:fill="FFFFFF"/>
            <w:tcMar>
              <w:left w:w="57" w:type="dxa"/>
              <w:right w:w="57" w:type="dxa"/>
            </w:tcMar>
            <w:vAlign w:val="center"/>
          </w:tcPr>
          <w:p>
            <w:pPr>
              <w:widowControl/>
              <w:jc w:val="left"/>
              <w:rPr>
                <w:rFonts w:hint="eastAsia" w:ascii="Times New Roman" w:hAnsi="Times New Roman" w:eastAsia="等线" w:cs="Times New Roman"/>
                <w:color w:val="auto"/>
                <w:sz w:val="21"/>
                <w:szCs w:val="22"/>
                <w:lang w:val="en-US" w:eastAsia="zh-CN"/>
              </w:rPr>
            </w:pPr>
            <w:r>
              <w:rPr>
                <w:rFonts w:hint="eastAsia" w:ascii="Times New Roman" w:hAnsi="Times New Roman" w:cs="Times New Roman"/>
                <w:color w:val="auto"/>
                <w:sz w:val="21"/>
                <w:szCs w:val="22"/>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行政强制</w:t>
            </w:r>
          </w:p>
        </w:tc>
        <w:tc>
          <w:tcPr>
            <w:tcW w:w="7305" w:type="dxa"/>
            <w:gridSpan w:val="3"/>
            <w:shd w:val="clear" w:color="auto" w:fill="FFFFFF"/>
            <w:tcMar>
              <w:left w:w="57" w:type="dxa"/>
              <w:right w:w="57" w:type="dxa"/>
            </w:tcMar>
            <w:vAlign w:val="center"/>
          </w:tcPr>
          <w:p>
            <w:pPr>
              <w:widowControl/>
              <w:jc w:val="left"/>
              <w:rPr>
                <w:rFonts w:hint="eastAsia" w:ascii="Times New Roman" w:hAnsi="Times New Roman" w:eastAsia="等线" w:cs="Times New Roman"/>
                <w:color w:val="auto"/>
                <w:sz w:val="21"/>
                <w:szCs w:val="22"/>
                <w:lang w:val="en-US" w:eastAsia="zh-CN"/>
              </w:rPr>
            </w:pPr>
            <w:r>
              <w:rPr>
                <w:rFonts w:hint="eastAsia" w:ascii="Times New Roman" w:hAnsi="Times New Roman"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信息内容</w:t>
            </w:r>
          </w:p>
        </w:tc>
        <w:tc>
          <w:tcPr>
            <w:tcW w:w="7305" w:type="dxa"/>
            <w:gridSpan w:val="3"/>
            <w:shd w:val="clear" w:color="auto" w:fill="FFFFFF"/>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行政事业性收费</w:t>
            </w:r>
          </w:p>
        </w:tc>
        <w:tc>
          <w:tcPr>
            <w:tcW w:w="7305" w:type="dxa"/>
            <w:gridSpan w:val="3"/>
            <w:shd w:val="clear" w:color="auto" w:fill="FFFFFF"/>
            <w:tcMar>
              <w:left w:w="57" w:type="dxa"/>
              <w:right w:w="57" w:type="dxa"/>
            </w:tcMar>
            <w:vAlign w:val="center"/>
          </w:tcPr>
          <w:p>
            <w:pPr>
              <w:rPr>
                <w:rFonts w:hint="eastAsia" w:ascii="Times New Roman" w:hAnsi="Times New Roman" w:eastAsia="等线" w:cs="Times New Roman"/>
                <w:color w:val="auto"/>
                <w:sz w:val="24"/>
                <w:szCs w:val="24"/>
                <w:lang w:val="en-US" w:eastAsia="zh-CN"/>
              </w:rPr>
            </w:pPr>
            <w:r>
              <w:rPr>
                <w:rFonts w:hint="eastAsia" w:ascii="Times New Roman" w:hAnsi="Times New Roman" w:cs="Times New Roman"/>
                <w:color w:val="auto"/>
                <w:sz w:val="21"/>
                <w:szCs w:val="22"/>
                <w:lang w:val="en-US" w:eastAsia="zh-CN"/>
              </w:rPr>
              <w:t>35.6042</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三、收到和处理政府信息公开申请情况</w:t>
      </w:r>
    </w:p>
    <w:tbl>
      <w:tblPr>
        <w:tblStyle w:val="8"/>
        <w:tblW w:w="9748" w:type="dxa"/>
        <w:jc w:val="center"/>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restart"/>
            <w:tcMar>
              <w:left w:w="108" w:type="dxa"/>
              <w:right w:w="108" w:type="dxa"/>
            </w:tcMar>
            <w:vAlign w:val="center"/>
          </w:tcPr>
          <w:p>
            <w:pPr>
              <w:widowControl/>
              <w:jc w:val="left"/>
              <w:rPr>
                <w:rFonts w:ascii="Times New Roman" w:hAnsi="Times New Roman" w:eastAsia="等线" w:cs="Times New Roman"/>
                <w:color w:val="auto"/>
                <w:sz w:val="21"/>
                <w:szCs w:val="22"/>
              </w:rPr>
            </w:pPr>
            <w:r>
              <w:rPr>
                <w:rFonts w:ascii="Times New Roman" w:hAnsi="Times New Roman" w:eastAsia="楷体" w:cs="楷体"/>
                <w:color w:val="auto"/>
                <w:kern w:val="0"/>
                <w:sz w:val="20"/>
                <w:szCs w:val="22"/>
                <w:lang w:bidi="ar"/>
              </w:rPr>
              <w:t>（本列数据的勾稽关系为：第一项加第二项之和，等于第三项加第四项之和）</w:t>
            </w:r>
          </w:p>
        </w:tc>
        <w:tc>
          <w:tcPr>
            <w:tcW w:w="4817" w:type="dxa"/>
            <w:gridSpan w:val="7"/>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tcMar>
              <w:left w:w="108" w:type="dxa"/>
              <w:right w:w="108" w:type="dxa"/>
            </w:tcMar>
            <w:vAlign w:val="center"/>
          </w:tcPr>
          <w:p>
            <w:pPr>
              <w:rPr>
                <w:rFonts w:ascii="Times New Roman" w:hAnsi="Times New Roman" w:eastAsia="等线" w:cs="Times New Roman"/>
                <w:color w:val="auto"/>
                <w:sz w:val="24"/>
                <w:szCs w:val="24"/>
              </w:rPr>
            </w:pPr>
          </w:p>
        </w:tc>
        <w:tc>
          <w:tcPr>
            <w:tcW w:w="688" w:type="dxa"/>
            <w:vMerge w:val="restart"/>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自然人</w:t>
            </w:r>
          </w:p>
        </w:tc>
        <w:tc>
          <w:tcPr>
            <w:tcW w:w="3440" w:type="dxa"/>
            <w:gridSpan w:val="5"/>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法人或其他组织</w:t>
            </w:r>
          </w:p>
        </w:tc>
        <w:tc>
          <w:tcPr>
            <w:tcW w:w="689" w:type="dxa"/>
            <w:vMerge w:val="restart"/>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tcMar>
              <w:left w:w="108" w:type="dxa"/>
              <w:right w:w="108" w:type="dxa"/>
            </w:tcMar>
            <w:vAlign w:val="center"/>
          </w:tcPr>
          <w:p>
            <w:pPr>
              <w:rPr>
                <w:rFonts w:ascii="Times New Roman" w:hAnsi="Times New Roman" w:eastAsia="等线" w:cs="Times New Roman"/>
                <w:color w:val="auto"/>
                <w:sz w:val="24"/>
                <w:szCs w:val="24"/>
              </w:rPr>
            </w:pPr>
          </w:p>
        </w:tc>
        <w:tc>
          <w:tcPr>
            <w:tcW w:w="68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688"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商业</w:t>
            </w:r>
          </w:p>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企业</w:t>
            </w:r>
          </w:p>
        </w:tc>
        <w:tc>
          <w:tcPr>
            <w:tcW w:w="688"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科研</w:t>
            </w:r>
          </w:p>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机构</w:t>
            </w:r>
          </w:p>
        </w:tc>
        <w:tc>
          <w:tcPr>
            <w:tcW w:w="688"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社会公益组织</w:t>
            </w:r>
          </w:p>
        </w:tc>
        <w:tc>
          <w:tcPr>
            <w:tcW w:w="688"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法律服务机构</w:t>
            </w:r>
          </w:p>
        </w:tc>
        <w:tc>
          <w:tcPr>
            <w:tcW w:w="688" w:type="dxa"/>
            <w:tcMar>
              <w:left w:w="57" w:type="dxa"/>
              <w:right w:w="57"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其他</w:t>
            </w:r>
          </w:p>
        </w:tc>
        <w:tc>
          <w:tcPr>
            <w:tcW w:w="689" w:type="dxa"/>
            <w:vMerge w:val="continue"/>
            <w:tcMar>
              <w:left w:w="57" w:type="dxa"/>
              <w:right w:w="57" w:type="dxa"/>
            </w:tcMar>
            <w:vAlign w:val="center"/>
          </w:tcPr>
          <w:p>
            <w:pPr>
              <w:rPr>
                <w:rFonts w:ascii="Times New Roman" w:hAnsi="Times New Roman" w:eastAsia="等线"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一、本年新收政府信息公开申请数量</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二、上年结转政府信息公开申请数量</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三、本年度办理结果</w:t>
            </w:r>
          </w:p>
        </w:tc>
        <w:tc>
          <w:tcPr>
            <w:tcW w:w="4163" w:type="dxa"/>
            <w:gridSpan w:val="2"/>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（一）予以公开</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4163" w:type="dxa"/>
            <w:gridSpan w:val="2"/>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（二）部分公开</w:t>
            </w:r>
            <w:r>
              <w:rPr>
                <w:rFonts w:ascii="Times New Roman" w:hAnsi="Times New Roman" w:eastAsia="楷体" w:cs="楷体"/>
                <w:color w:val="auto"/>
                <w:kern w:val="0"/>
                <w:sz w:val="20"/>
                <w:szCs w:val="22"/>
                <w:lang w:bidi="ar"/>
              </w:rPr>
              <w:t>（区分处理的，只计这一情形，不计其他情形）</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restart"/>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（三）不予公开</w:t>
            </w: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default" w:ascii="Times New Roman" w:hAnsi="Times New Roman" w:eastAsia="宋体" w:cs="Times New Roman"/>
                <w:color w:val="auto"/>
                <w:kern w:val="0"/>
                <w:sz w:val="20"/>
                <w:szCs w:val="22"/>
                <w:lang w:bidi="ar"/>
              </w:rPr>
              <w:t>1.</w:t>
            </w:r>
            <w:r>
              <w:rPr>
                <w:rFonts w:hint="eastAsia" w:ascii="Times New Roman" w:hAnsi="Times New Roman" w:eastAsia="宋体" w:cs="宋体"/>
                <w:color w:val="auto"/>
                <w:kern w:val="0"/>
                <w:sz w:val="20"/>
                <w:szCs w:val="22"/>
                <w:lang w:bidi="ar"/>
              </w:rPr>
              <w:t>属于国家秘密</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2.</w:t>
            </w:r>
            <w:r>
              <w:rPr>
                <w:rFonts w:hint="eastAsia" w:ascii="Times New Roman" w:hAnsi="Times New Roman" w:eastAsia="宋体" w:cs="宋体"/>
                <w:color w:val="auto"/>
                <w:kern w:val="0"/>
                <w:sz w:val="20"/>
                <w:szCs w:val="22"/>
                <w:lang w:bidi="ar"/>
              </w:rPr>
              <w:t>其他法律行政法规禁止公开</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3.</w:t>
            </w:r>
            <w:r>
              <w:rPr>
                <w:rFonts w:hint="eastAsia" w:ascii="Times New Roman" w:hAnsi="Times New Roman" w:eastAsia="宋体" w:cs="宋体"/>
                <w:color w:val="auto"/>
                <w:kern w:val="0"/>
                <w:sz w:val="20"/>
                <w:szCs w:val="22"/>
                <w:lang w:bidi="ar"/>
              </w:rPr>
              <w:t>危及“三安全一稳定”</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4.</w:t>
            </w:r>
            <w:r>
              <w:rPr>
                <w:rFonts w:hint="eastAsia" w:ascii="Times New Roman" w:hAnsi="Times New Roman" w:eastAsia="宋体" w:cs="宋体"/>
                <w:color w:val="auto"/>
                <w:kern w:val="0"/>
                <w:sz w:val="20"/>
                <w:szCs w:val="22"/>
                <w:lang w:bidi="ar"/>
              </w:rPr>
              <w:t>保护第三方合法权益</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5.</w:t>
            </w:r>
            <w:r>
              <w:rPr>
                <w:rFonts w:hint="eastAsia" w:ascii="Times New Roman" w:hAnsi="Times New Roman" w:eastAsia="宋体" w:cs="宋体"/>
                <w:color w:val="auto"/>
                <w:kern w:val="0"/>
                <w:sz w:val="20"/>
                <w:szCs w:val="22"/>
                <w:lang w:bidi="ar"/>
              </w:rPr>
              <w:t>属于三类内部事务信息</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6.</w:t>
            </w:r>
            <w:r>
              <w:rPr>
                <w:rFonts w:hint="eastAsia" w:ascii="Times New Roman" w:hAnsi="Times New Roman" w:eastAsia="宋体" w:cs="宋体"/>
                <w:color w:val="auto"/>
                <w:kern w:val="0"/>
                <w:sz w:val="20"/>
                <w:szCs w:val="22"/>
                <w:lang w:bidi="ar"/>
              </w:rPr>
              <w:t>属于四类过程性信息</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7.</w:t>
            </w:r>
            <w:r>
              <w:rPr>
                <w:rFonts w:hint="eastAsia" w:ascii="Times New Roman" w:hAnsi="Times New Roman" w:eastAsia="宋体" w:cs="宋体"/>
                <w:color w:val="auto"/>
                <w:kern w:val="0"/>
                <w:sz w:val="20"/>
                <w:szCs w:val="22"/>
                <w:lang w:bidi="ar"/>
              </w:rPr>
              <w:t>属于行政执法案卷</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8.</w:t>
            </w:r>
            <w:r>
              <w:rPr>
                <w:rFonts w:hint="eastAsia" w:ascii="Times New Roman" w:hAnsi="Times New Roman" w:eastAsia="宋体" w:cs="宋体"/>
                <w:color w:val="auto"/>
                <w:kern w:val="0"/>
                <w:sz w:val="20"/>
                <w:szCs w:val="22"/>
                <w:lang w:bidi="ar"/>
              </w:rPr>
              <w:t>属于行政查询事项</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restart"/>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（四）无法提供</w:t>
            </w: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1.</w:t>
            </w:r>
            <w:r>
              <w:rPr>
                <w:rFonts w:hint="eastAsia" w:ascii="Times New Roman" w:hAnsi="Times New Roman" w:eastAsia="宋体" w:cs="宋体"/>
                <w:color w:val="auto"/>
                <w:kern w:val="0"/>
                <w:sz w:val="20"/>
                <w:szCs w:val="22"/>
                <w:lang w:bidi="ar"/>
              </w:rPr>
              <w:t>本机关不掌握相关政府信息</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2.</w:t>
            </w:r>
            <w:r>
              <w:rPr>
                <w:rFonts w:hint="eastAsia" w:ascii="Times New Roman" w:hAnsi="Times New Roman" w:eastAsia="宋体" w:cs="宋体"/>
                <w:color w:val="auto"/>
                <w:kern w:val="0"/>
                <w:sz w:val="20"/>
                <w:szCs w:val="22"/>
                <w:lang w:bidi="ar"/>
              </w:rPr>
              <w:t>没有现成信息需要另行制作</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3.</w:t>
            </w:r>
            <w:r>
              <w:rPr>
                <w:rFonts w:hint="eastAsia" w:ascii="Times New Roman" w:hAnsi="Times New Roman" w:eastAsia="宋体" w:cs="宋体"/>
                <w:color w:val="auto"/>
                <w:kern w:val="0"/>
                <w:sz w:val="20"/>
                <w:szCs w:val="22"/>
                <w:lang w:bidi="ar"/>
              </w:rPr>
              <w:t>补正后申请内容仍不明确</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restart"/>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（五）不予处理</w:t>
            </w: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1.</w:t>
            </w:r>
            <w:r>
              <w:rPr>
                <w:rFonts w:hint="eastAsia" w:ascii="Times New Roman" w:hAnsi="Times New Roman" w:eastAsia="宋体" w:cs="宋体"/>
                <w:color w:val="auto"/>
                <w:kern w:val="0"/>
                <w:sz w:val="20"/>
                <w:szCs w:val="22"/>
                <w:lang w:bidi="ar"/>
              </w:rPr>
              <w:t>信访举报投诉类申请</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2.</w:t>
            </w:r>
            <w:r>
              <w:rPr>
                <w:rFonts w:hint="eastAsia" w:ascii="Times New Roman" w:hAnsi="Times New Roman" w:eastAsia="宋体" w:cs="宋体"/>
                <w:color w:val="auto"/>
                <w:kern w:val="0"/>
                <w:sz w:val="20"/>
                <w:szCs w:val="22"/>
                <w:lang w:bidi="ar"/>
              </w:rPr>
              <w:t>重复申请</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3.</w:t>
            </w:r>
            <w:r>
              <w:rPr>
                <w:rFonts w:hint="eastAsia" w:ascii="Times New Roman" w:hAnsi="Times New Roman" w:eastAsia="宋体" w:cs="宋体"/>
                <w:color w:val="auto"/>
                <w:kern w:val="0"/>
                <w:sz w:val="20"/>
                <w:szCs w:val="22"/>
                <w:lang w:bidi="ar"/>
              </w:rPr>
              <w:t>要求提供公开出版物</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top"/>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4.</w:t>
            </w:r>
            <w:r>
              <w:rPr>
                <w:rFonts w:hint="eastAsia" w:ascii="Times New Roman" w:hAnsi="Times New Roman" w:eastAsia="宋体" w:cs="宋体"/>
                <w:color w:val="auto"/>
                <w:kern w:val="0"/>
                <w:sz w:val="20"/>
                <w:szCs w:val="22"/>
                <w:lang w:bidi="ar"/>
              </w:rPr>
              <w:t>无正当理由大量反复申请</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center"/>
          </w:tcPr>
          <w:p>
            <w:pPr>
              <w:widowControl/>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5.</w:t>
            </w:r>
            <w:r>
              <w:rPr>
                <w:rFonts w:hint="eastAsia" w:ascii="Times New Roman" w:hAnsi="Times New Roman" w:eastAsia="宋体" w:cs="宋体"/>
                <w:color w:val="auto"/>
                <w:kern w:val="0"/>
                <w:sz w:val="20"/>
                <w:szCs w:val="22"/>
                <w:lang w:bidi="ar"/>
              </w:rPr>
              <w:t>要求行政机关确认或重新出具已获取信息</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restart"/>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（六）其他处理</w:t>
            </w:r>
          </w:p>
        </w:tc>
        <w:tc>
          <w:tcPr>
            <w:tcW w:w="3220" w:type="dxa"/>
            <w:tcMar>
              <w:left w:w="57" w:type="dxa"/>
              <w:right w:w="57" w:type="dxa"/>
            </w:tcMar>
            <w:vAlign w:val="center"/>
          </w:tcPr>
          <w:p>
            <w:pPr>
              <w:widowControl/>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1.</w:t>
            </w:r>
            <w:r>
              <w:rPr>
                <w:rFonts w:hint="eastAsia" w:ascii="Times New Roman" w:hAnsi="Times New Roman" w:eastAsia="宋体" w:cs="宋体"/>
                <w:color w:val="auto"/>
                <w:kern w:val="0"/>
                <w:sz w:val="20"/>
                <w:szCs w:val="22"/>
                <w:lang w:bidi="ar"/>
              </w:rPr>
              <w:t>申请人无正当理由逾期不补正、行政机关不再处理其政府信息公开申请</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p>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center"/>
          </w:tcPr>
          <w:p>
            <w:pPr>
              <w:widowControl/>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2.</w:t>
            </w:r>
            <w:r>
              <w:rPr>
                <w:rFonts w:hint="eastAsia" w:ascii="Times New Roman" w:hAnsi="Times New Roman" w:eastAsia="宋体" w:cs="宋体"/>
                <w:color w:val="auto"/>
                <w:kern w:val="0"/>
                <w:sz w:val="20"/>
                <w:szCs w:val="22"/>
                <w:lang w:bidi="ar"/>
              </w:rPr>
              <w:t>申请人逾期未按收费通知要求缴纳费用、行政机关不再处理其政府信息公开申请</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both"/>
              <w:rPr>
                <w:rFonts w:hint="eastAsia" w:ascii="Times New Roman" w:hAnsi="Times New Roman" w:eastAsia="宋体" w:cs="Times New Roman"/>
                <w:color w:val="auto"/>
                <w:sz w:val="21"/>
                <w:szCs w:val="22"/>
                <w:lang w:val="en-US" w:eastAsia="zh-CN"/>
              </w:rPr>
            </w:pPr>
          </w:p>
          <w:p>
            <w:pPr>
              <w:widowControl/>
              <w:ind w:firstLine="210" w:firstLineChars="100"/>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943"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3220" w:type="dxa"/>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Times New Roman"/>
                <w:color w:val="auto"/>
                <w:kern w:val="0"/>
                <w:sz w:val="20"/>
                <w:szCs w:val="22"/>
                <w:lang w:bidi="ar"/>
              </w:rPr>
              <w:t>3.</w:t>
            </w:r>
            <w:r>
              <w:rPr>
                <w:rFonts w:hint="eastAsia" w:ascii="Times New Roman" w:hAnsi="Times New Roman" w:eastAsia="宋体" w:cs="宋体"/>
                <w:color w:val="auto"/>
                <w:kern w:val="0"/>
                <w:sz w:val="20"/>
                <w:szCs w:val="22"/>
                <w:lang w:bidi="ar"/>
              </w:rPr>
              <w:t>其他</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ascii="Times New Roman" w:hAnsi="Times New Roman" w:eastAsia="等线" w:cs="Times New Roman"/>
                <w:color w:val="auto"/>
                <w:sz w:val="24"/>
                <w:szCs w:val="24"/>
              </w:rPr>
            </w:pPr>
          </w:p>
        </w:tc>
        <w:tc>
          <w:tcPr>
            <w:tcW w:w="4163" w:type="dxa"/>
            <w:gridSpan w:val="2"/>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（七）总计</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tcMar>
              <w:left w:w="57" w:type="dxa"/>
              <w:right w:w="57" w:type="dxa"/>
            </w:tcMar>
            <w:vAlign w:val="center"/>
          </w:tcPr>
          <w:p>
            <w:pPr>
              <w:widowControl/>
              <w:jc w:val="left"/>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四、结转下年度继续办理</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8" w:type="dxa"/>
            <w:tcMar>
              <w:left w:w="57" w:type="dxa"/>
              <w:right w:w="57" w:type="dxa"/>
            </w:tcMar>
            <w:vAlign w:val="center"/>
          </w:tcPr>
          <w:p>
            <w:pPr>
              <w:widowControl/>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0</w:t>
            </w:r>
          </w:p>
        </w:tc>
        <w:tc>
          <w:tcPr>
            <w:tcW w:w="689" w:type="dxa"/>
            <w:tcMar>
              <w:left w:w="57" w:type="dxa"/>
              <w:right w:w="57" w:type="dxa"/>
            </w:tcMar>
            <w:vAlign w:val="top"/>
          </w:tcPr>
          <w:p>
            <w:pPr>
              <w:ind w:firstLine="240" w:firstLineChars="100"/>
              <w:rPr>
                <w:rFonts w:hint="eastAsia" w:ascii="Times New Roman" w:hAnsi="Times New Roman" w:eastAsia="等线" w:cs="Times New Roman"/>
                <w:color w:val="auto"/>
                <w:sz w:val="24"/>
                <w:szCs w:val="24"/>
                <w:lang w:val="en-US" w:eastAsia="zh-CN"/>
              </w:rPr>
            </w:pPr>
            <w:r>
              <w:rPr>
                <w:rFonts w:hint="eastAsia" w:ascii="Times New Roman" w:hAnsi="Times New Roman" w:cs="Times New Roman"/>
                <w:color w:val="auto"/>
                <w:sz w:val="24"/>
                <w:szCs w:val="24"/>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auto"/>
          <w:sz w:val="21"/>
          <w:szCs w:val="32"/>
        </w:rPr>
      </w:pPr>
      <w:r>
        <w:rPr>
          <w:rFonts w:hint="eastAsia" w:ascii="Times New Roman" w:hAnsi="Times New Roman" w:eastAsia="方正黑体_GBK" w:cs="方正黑体_GBK"/>
          <w:color w:val="auto"/>
          <w:sz w:val="32"/>
          <w:szCs w:val="32"/>
        </w:rPr>
        <w:t>四、政府信息公开行政复议、行政诉讼情况</w:t>
      </w:r>
    </w:p>
    <w:tbl>
      <w:tblPr>
        <w:tblStyle w:val="8"/>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245" w:type="dxa"/>
            <w:gridSpan w:val="5"/>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行政复议</w:t>
            </w:r>
          </w:p>
        </w:tc>
        <w:tc>
          <w:tcPr>
            <w:tcW w:w="6503" w:type="dxa"/>
            <w:gridSpan w:val="10"/>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restart"/>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结果维持</w:t>
            </w:r>
          </w:p>
        </w:tc>
        <w:tc>
          <w:tcPr>
            <w:tcW w:w="649" w:type="dxa"/>
            <w:vMerge w:val="restart"/>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结果</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纠正</w:t>
            </w:r>
          </w:p>
        </w:tc>
        <w:tc>
          <w:tcPr>
            <w:tcW w:w="649" w:type="dxa"/>
            <w:vMerge w:val="restart"/>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其他</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结果</w:t>
            </w:r>
          </w:p>
        </w:tc>
        <w:tc>
          <w:tcPr>
            <w:tcW w:w="649" w:type="dxa"/>
            <w:vMerge w:val="restart"/>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尚未</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审结</w:t>
            </w:r>
          </w:p>
        </w:tc>
        <w:tc>
          <w:tcPr>
            <w:tcW w:w="649" w:type="dxa"/>
            <w:vMerge w:val="restart"/>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总计</w:t>
            </w:r>
          </w:p>
        </w:tc>
        <w:tc>
          <w:tcPr>
            <w:tcW w:w="3248" w:type="dxa"/>
            <w:gridSpan w:val="5"/>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未经复议直接起诉</w:t>
            </w:r>
          </w:p>
        </w:tc>
        <w:tc>
          <w:tcPr>
            <w:tcW w:w="3255" w:type="dxa"/>
            <w:gridSpan w:val="5"/>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continue"/>
            <w:tcMar>
              <w:left w:w="108" w:type="dxa"/>
              <w:right w:w="108" w:type="dxa"/>
            </w:tcMar>
            <w:vAlign w:val="center"/>
          </w:tcPr>
          <w:p>
            <w:pPr>
              <w:rPr>
                <w:rFonts w:ascii="Times New Roman" w:hAnsi="Times New Roman" w:eastAsia="等线" w:cs="Times New Roman"/>
                <w:color w:val="auto"/>
                <w:sz w:val="24"/>
                <w:szCs w:val="24"/>
              </w:rPr>
            </w:pPr>
          </w:p>
        </w:tc>
        <w:tc>
          <w:tcPr>
            <w:tcW w:w="649" w:type="dxa"/>
            <w:vMerge w:val="continue"/>
            <w:tcMar>
              <w:left w:w="108" w:type="dxa"/>
              <w:right w:w="108" w:type="dxa"/>
            </w:tcMar>
            <w:vAlign w:val="center"/>
          </w:tcPr>
          <w:p>
            <w:pPr>
              <w:rPr>
                <w:rFonts w:ascii="Times New Roman" w:hAnsi="Times New Roman" w:eastAsia="等线" w:cs="Times New Roman"/>
                <w:color w:val="auto"/>
                <w:sz w:val="24"/>
                <w:szCs w:val="24"/>
              </w:rPr>
            </w:pPr>
          </w:p>
        </w:tc>
        <w:tc>
          <w:tcPr>
            <w:tcW w:w="649" w:type="dxa"/>
            <w:vMerge w:val="continue"/>
            <w:tcMar>
              <w:left w:w="108" w:type="dxa"/>
              <w:right w:w="108" w:type="dxa"/>
            </w:tcMar>
            <w:vAlign w:val="center"/>
          </w:tcPr>
          <w:p>
            <w:pPr>
              <w:rPr>
                <w:rFonts w:ascii="Times New Roman" w:hAnsi="Times New Roman" w:eastAsia="等线" w:cs="Times New Roman"/>
                <w:color w:val="auto"/>
                <w:sz w:val="24"/>
                <w:szCs w:val="24"/>
              </w:rPr>
            </w:pPr>
          </w:p>
        </w:tc>
        <w:tc>
          <w:tcPr>
            <w:tcW w:w="649" w:type="dxa"/>
            <w:vMerge w:val="continue"/>
            <w:tcMar>
              <w:left w:w="108" w:type="dxa"/>
              <w:right w:w="108" w:type="dxa"/>
            </w:tcMar>
            <w:vAlign w:val="center"/>
          </w:tcPr>
          <w:p>
            <w:pPr>
              <w:rPr>
                <w:rFonts w:ascii="Times New Roman" w:hAnsi="Times New Roman" w:eastAsia="等线" w:cs="Times New Roman"/>
                <w:color w:val="auto"/>
                <w:sz w:val="24"/>
                <w:szCs w:val="24"/>
              </w:rPr>
            </w:pPr>
          </w:p>
        </w:tc>
        <w:tc>
          <w:tcPr>
            <w:tcW w:w="649" w:type="dxa"/>
            <w:vMerge w:val="continue"/>
            <w:tcMar>
              <w:left w:w="108" w:type="dxa"/>
              <w:right w:w="108" w:type="dxa"/>
            </w:tcMar>
            <w:vAlign w:val="center"/>
          </w:tcPr>
          <w:p>
            <w:pPr>
              <w:rPr>
                <w:rFonts w:ascii="Times New Roman" w:hAnsi="Times New Roman" w:eastAsia="等线" w:cs="Times New Roman"/>
                <w:color w:val="auto"/>
                <w:sz w:val="24"/>
                <w:szCs w:val="24"/>
              </w:rPr>
            </w:pPr>
          </w:p>
        </w:tc>
        <w:tc>
          <w:tcPr>
            <w:tcW w:w="649"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结果</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维持</w:t>
            </w:r>
          </w:p>
        </w:tc>
        <w:tc>
          <w:tcPr>
            <w:tcW w:w="649"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结果</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纠正</w:t>
            </w:r>
          </w:p>
        </w:tc>
        <w:tc>
          <w:tcPr>
            <w:tcW w:w="650"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其他</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结果</w:t>
            </w:r>
          </w:p>
        </w:tc>
        <w:tc>
          <w:tcPr>
            <w:tcW w:w="650"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尚未</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审结</w:t>
            </w:r>
          </w:p>
        </w:tc>
        <w:tc>
          <w:tcPr>
            <w:tcW w:w="650"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总计</w:t>
            </w:r>
          </w:p>
        </w:tc>
        <w:tc>
          <w:tcPr>
            <w:tcW w:w="651"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结果</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维持</w:t>
            </w:r>
          </w:p>
        </w:tc>
        <w:tc>
          <w:tcPr>
            <w:tcW w:w="651"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结果</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纠正</w:t>
            </w:r>
          </w:p>
        </w:tc>
        <w:tc>
          <w:tcPr>
            <w:tcW w:w="651"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其他</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结果</w:t>
            </w:r>
          </w:p>
        </w:tc>
        <w:tc>
          <w:tcPr>
            <w:tcW w:w="651"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尚未</w:t>
            </w:r>
            <w:r>
              <w:rPr>
                <w:rFonts w:hint="eastAsia" w:ascii="Times New Roman" w:hAnsi="Times New Roman" w:eastAsia="宋体" w:cs="宋体"/>
                <w:color w:val="auto"/>
                <w:kern w:val="0"/>
                <w:sz w:val="20"/>
                <w:szCs w:val="22"/>
                <w:lang w:bidi="ar"/>
              </w:rPr>
              <w:br w:type="textWrapping"/>
            </w:r>
            <w:r>
              <w:rPr>
                <w:rFonts w:hint="eastAsia" w:ascii="Times New Roman" w:hAnsi="Times New Roman" w:eastAsia="宋体" w:cs="宋体"/>
                <w:color w:val="auto"/>
                <w:kern w:val="0"/>
                <w:sz w:val="20"/>
                <w:szCs w:val="22"/>
                <w:lang w:bidi="ar"/>
              </w:rPr>
              <w:t>审结</w:t>
            </w:r>
          </w:p>
        </w:tc>
        <w:tc>
          <w:tcPr>
            <w:tcW w:w="651" w:type="dxa"/>
            <w:tcMar>
              <w:left w:w="108" w:type="dxa"/>
              <w:right w:w="108" w:type="dxa"/>
            </w:tcMar>
            <w:vAlign w:val="center"/>
          </w:tcPr>
          <w:p>
            <w:pPr>
              <w:widowControl/>
              <w:jc w:val="center"/>
              <w:rPr>
                <w:rFonts w:ascii="Times New Roman" w:hAnsi="Times New Roman" w:eastAsia="等线" w:cs="Times New Roman"/>
                <w:color w:val="auto"/>
                <w:sz w:val="21"/>
                <w:szCs w:val="22"/>
              </w:rPr>
            </w:pPr>
            <w:r>
              <w:rPr>
                <w:rFonts w:hint="eastAsia" w:ascii="Times New Roman" w:hAnsi="Times New Roman" w:eastAsia="宋体" w:cs="宋体"/>
                <w:color w:val="auto"/>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649"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49"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49"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49"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49"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49"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49"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0"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0"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0"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1"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1"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1"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1" w:type="dxa"/>
            <w:tcMar>
              <w:left w:w="108" w:type="dxa"/>
              <w:right w:w="108" w:type="dxa"/>
            </w:tcMar>
            <w:vAlign w:val="center"/>
          </w:tcPr>
          <w:p>
            <w:pPr>
              <w:widowControl/>
              <w:jc w:val="center"/>
              <w:rPr>
                <w:rFonts w:hint="eastAsia" w:ascii="Times New Roman" w:hAnsi="Times New Roman" w:eastAsia="黑体" w:cs="Times New Roman"/>
                <w:color w:val="auto"/>
                <w:sz w:val="21"/>
                <w:szCs w:val="22"/>
                <w:lang w:val="en-US" w:eastAsia="zh-CN"/>
              </w:rPr>
            </w:pPr>
            <w:r>
              <w:rPr>
                <w:rFonts w:hint="eastAsia" w:ascii="Times New Roman" w:hAnsi="Times New Roman" w:eastAsia="黑体" w:cs="Times New Roman"/>
                <w:color w:val="auto"/>
                <w:sz w:val="21"/>
                <w:szCs w:val="22"/>
                <w:lang w:val="en-US" w:eastAsia="zh-CN"/>
              </w:rPr>
              <w:t>0</w:t>
            </w:r>
          </w:p>
        </w:tc>
        <w:tc>
          <w:tcPr>
            <w:tcW w:w="651" w:type="dxa"/>
            <w:tcMar>
              <w:left w:w="108" w:type="dxa"/>
              <w:right w:w="108" w:type="dxa"/>
            </w:tcMar>
            <w:vAlign w:val="center"/>
          </w:tcPr>
          <w:p>
            <w:pPr>
              <w:ind w:firstLine="240" w:firstLineChars="100"/>
              <w:rPr>
                <w:rFonts w:hint="eastAsia" w:ascii="Times New Roman" w:hAnsi="Times New Roman" w:eastAsia="等线" w:cs="Times New Roman"/>
                <w:color w:val="auto"/>
                <w:sz w:val="24"/>
                <w:szCs w:val="24"/>
                <w:lang w:val="en-US" w:eastAsia="zh-CN"/>
              </w:rPr>
            </w:pPr>
            <w:r>
              <w:rPr>
                <w:rFonts w:hint="eastAsia" w:ascii="Times New Roman" w:hAnsi="Times New Roman" w:cs="Times New Roman"/>
                <w:color w:val="auto"/>
                <w:sz w:val="24"/>
                <w:szCs w:val="24"/>
                <w:lang w:val="en-US" w:eastAsia="zh-CN"/>
              </w:rPr>
              <w:t>0</w:t>
            </w:r>
          </w:p>
        </w:tc>
      </w:tr>
    </w:tbl>
    <w:p>
      <w:pPr>
        <w:keepNext w:val="0"/>
        <w:keepLines w:val="0"/>
        <w:pageBreakBefore w:val="0"/>
        <w:widowControl w:val="0"/>
        <w:numPr>
          <w:ilvl w:val="0"/>
          <w:numId w:val="1"/>
        </w:numPr>
        <w:kinsoku/>
        <w:wordWrap/>
        <w:overflowPunct w:val="0"/>
        <w:topLinePunct w:val="0"/>
        <w:autoSpaceDE/>
        <w:autoSpaceDN/>
        <w:bidi w:val="0"/>
        <w:adjustRightInd/>
        <w:snapToGrid/>
        <w:spacing w:beforeAutospacing="0" w:afterAutospacing="0" w:line="578" w:lineRule="exact"/>
        <w:ind w:left="0" w:leftChars="0" w:right="0" w:rightChars="0" w:firstLine="640" w:firstLineChars="200"/>
        <w:jc w:val="both"/>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存在的主要问题及改进情况</w:t>
      </w:r>
    </w:p>
    <w:p>
      <w:pPr>
        <w:keepNext w:val="0"/>
        <w:keepLines w:val="0"/>
        <w:pageBreakBefore w:val="0"/>
        <w:widowControl/>
        <w:numPr>
          <w:ilvl w:val="0"/>
          <w:numId w:val="2"/>
        </w:numPr>
        <w:suppressLineNumbers w:val="0"/>
        <w:pBdr>
          <w:left w:val="none" w:color="auto" w:sz="0" w:space="0"/>
        </w:pBdr>
        <w:kinsoku/>
        <w:wordWrap/>
        <w:topLinePunct w:val="0"/>
        <w:autoSpaceDE/>
        <w:autoSpaceDN/>
        <w:bidi w:val="0"/>
        <w:adjustRightInd/>
        <w:snapToGrid/>
        <w:spacing w:beforeAutospacing="0" w:afterAutospacing="0" w:line="578" w:lineRule="exact"/>
        <w:ind w:left="360" w:leftChars="0" w:right="0" w:rightChars="0"/>
        <w:jc w:val="both"/>
        <w:textAlignment w:val="auto"/>
        <w:rPr>
          <w:rFonts w:hint="eastAsia" w:ascii="方正楷体_GBK" w:hAnsi="方正楷体_GBK" w:eastAsia="方正楷体_GBK" w:cs="方正楷体_GBK"/>
          <w:i w:val="0"/>
          <w:caps w:val="0"/>
          <w:color w:val="auto"/>
          <w:spacing w:val="0"/>
          <w:sz w:val="32"/>
          <w:shd w:val="clear" w:fill="FFFFFF"/>
          <w:lang w:val="en-US" w:eastAsia="zh-CN"/>
        </w:rPr>
      </w:pPr>
      <w:r>
        <w:rPr>
          <w:rFonts w:hint="eastAsia" w:ascii="方正楷体_GBK" w:hAnsi="方正楷体_GBK" w:eastAsia="方正楷体_GBK" w:cs="方正楷体_GBK"/>
          <w:i w:val="0"/>
          <w:caps w:val="0"/>
          <w:color w:val="auto"/>
          <w:spacing w:val="0"/>
          <w:sz w:val="32"/>
          <w:shd w:val="clear" w:fill="FFFFFF"/>
          <w:lang w:val="en-US" w:eastAsia="zh-CN"/>
        </w:rPr>
        <w:t>存在的问题。</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lang w:val="en-US" w:eastAsia="zh-CN"/>
        </w:rPr>
        <w:t>一是</w:t>
      </w:r>
      <w:r>
        <w:rPr>
          <w:rFonts w:hint="eastAsia" w:ascii="方正仿宋_GBK" w:hAnsi="方正仿宋_GBK" w:eastAsia="方正仿宋_GBK" w:cs="方正仿宋_GBK"/>
          <w:i w:val="0"/>
          <w:caps w:val="0"/>
          <w:color w:val="auto"/>
          <w:spacing w:val="0"/>
          <w:sz w:val="32"/>
          <w:szCs w:val="32"/>
          <w:shd w:val="clear" w:fill="FFFFFF"/>
        </w:rPr>
        <w:t>在政府信息公开工作中，存在信息更新不及时、不全面的情况。二是政府信息公开工作的意识有待进一步提高</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三</w:t>
      </w:r>
      <w:r>
        <w:rPr>
          <w:rFonts w:hint="eastAsia" w:ascii="方正仿宋_GBK" w:hAnsi="方正仿宋_GBK" w:eastAsia="方正仿宋_GBK" w:cs="方正仿宋_GBK"/>
          <w:i w:val="0"/>
          <w:caps w:val="0"/>
          <w:color w:val="auto"/>
          <w:spacing w:val="0"/>
          <w:sz w:val="32"/>
          <w:szCs w:val="32"/>
          <w:shd w:val="clear" w:fill="FFFFFF"/>
        </w:rPr>
        <w:t>是发布信息内容质量还不够高，工作人员文字水平提升空间还很大。</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78" w:lineRule="exact"/>
        <w:ind w:left="360" w:leftChars="0" w:right="0" w:rightChars="0"/>
        <w:jc w:val="both"/>
        <w:textAlignment w:val="auto"/>
        <w:outlineLvl w:val="9"/>
        <w:rPr>
          <w:rFonts w:hint="eastAsia" w:ascii="方正楷体_GBK" w:hAnsi="方正楷体_GBK" w:eastAsia="方正楷体_GBK" w:cs="方正楷体_GBK"/>
          <w:color w:val="auto"/>
        </w:rPr>
      </w:pPr>
      <w:r>
        <w:rPr>
          <w:rFonts w:hint="eastAsia" w:ascii="方正楷体_GBK" w:hAnsi="方正楷体_GBK" w:eastAsia="方正楷体_GBK" w:cs="方正楷体_GBK"/>
          <w:i w:val="0"/>
          <w:caps w:val="0"/>
          <w:color w:val="auto"/>
          <w:spacing w:val="0"/>
          <w:sz w:val="32"/>
          <w:shd w:val="clear" w:fill="FFFFFF"/>
          <w:lang w:val="en-US" w:eastAsia="zh-CN"/>
        </w:rPr>
        <w:t>（二）下一步打算</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eastAsia" w:ascii="Times New Roman" w:hAnsi="Times New Roman" w:eastAsia="方正仿宋_GBK" w:cs="方正仿宋_GBK"/>
          <w:i w:val="0"/>
          <w:caps w:val="0"/>
          <w:color w:val="auto"/>
          <w:spacing w:val="0"/>
          <w:sz w:val="32"/>
          <w:szCs w:val="32"/>
          <w:shd w:val="clear" w:fill="FFFFFF"/>
        </w:rPr>
      </w:pPr>
      <w:r>
        <w:rPr>
          <w:rFonts w:hint="default" w:ascii="Times New Roman" w:hAnsi="Times New Roman" w:eastAsia="方正仿宋_GBK" w:cs="方正仿宋_GBK"/>
          <w:i w:val="0"/>
          <w:caps w:val="0"/>
          <w:color w:val="auto"/>
          <w:spacing w:val="0"/>
          <w:sz w:val="32"/>
          <w:szCs w:val="32"/>
          <w:shd w:val="clear" w:fill="FFFFFF"/>
          <w:lang w:val="en-US" w:eastAsia="zh-CN"/>
        </w:rPr>
        <w:t>鱼泉镇深刻认识到信息公开工作的重要性，将持续紧跟上级有关工作要求，把提升政府信息公开工作水平作为重点工作来抓，聚焦社会各界关心关注的热点焦点问题，多维度发力，切实做好信息公开工作。</w:t>
      </w:r>
      <w:r>
        <w:rPr>
          <w:rFonts w:hint="eastAsia" w:ascii="Times New Roman" w:hAnsi="Times New Roman" w:eastAsia="方正仿宋_GBK" w:cs="方正仿宋_GBK"/>
          <w:b/>
          <w:bCs/>
          <w:i w:val="0"/>
          <w:caps w:val="0"/>
          <w:color w:val="auto"/>
          <w:spacing w:val="0"/>
          <w:sz w:val="32"/>
          <w:szCs w:val="32"/>
          <w:shd w:val="clear" w:fill="FFFFFF"/>
          <w:lang w:val="en-US" w:eastAsia="zh-CN"/>
        </w:rPr>
        <w:t>一是</w:t>
      </w:r>
      <w:r>
        <w:rPr>
          <w:rFonts w:hint="default" w:ascii="Times New Roman" w:hAnsi="Times New Roman" w:eastAsia="方正仿宋_GBK" w:cs="方正仿宋_GBK"/>
          <w:i w:val="0"/>
          <w:caps w:val="0"/>
          <w:color w:val="auto"/>
          <w:spacing w:val="0"/>
          <w:sz w:val="32"/>
          <w:szCs w:val="32"/>
          <w:shd w:val="clear" w:fill="FFFFFF"/>
          <w:lang w:val="en-US" w:eastAsia="zh-CN"/>
        </w:rPr>
        <w:t>强化信息公开力度，规范主动公开工作</w:t>
      </w:r>
      <w:r>
        <w:rPr>
          <w:rFonts w:hint="eastAsia" w:ascii="Times New Roman" w:hAnsi="Times New Roman" w:eastAsia="方正仿宋_GBK" w:cs="方正仿宋_GBK"/>
          <w:i w:val="0"/>
          <w:caps w:val="0"/>
          <w:color w:val="auto"/>
          <w:spacing w:val="0"/>
          <w:sz w:val="32"/>
          <w:szCs w:val="32"/>
          <w:shd w:val="clear" w:fill="FFFFFF"/>
          <w:lang w:val="en-US" w:eastAsia="zh-CN"/>
        </w:rPr>
        <w:t>。</w:t>
      </w:r>
      <w:r>
        <w:rPr>
          <w:rFonts w:hint="default" w:ascii="Times New Roman" w:hAnsi="Times New Roman" w:eastAsia="方正仿宋_GBK" w:cs="方正仿宋_GBK"/>
          <w:i w:val="0"/>
          <w:caps w:val="0"/>
          <w:color w:val="auto"/>
          <w:spacing w:val="0"/>
          <w:sz w:val="32"/>
          <w:szCs w:val="32"/>
          <w:shd w:val="clear" w:fill="FFFFFF"/>
          <w:lang w:val="en-US" w:eastAsia="zh-CN"/>
        </w:rPr>
        <w:t>严格遵循相关政策文件所明确规定的主动公开范围以及具体事项要求，建立高效的信息收集、整理与发布机制，</w:t>
      </w:r>
      <w:r>
        <w:rPr>
          <w:rFonts w:hint="eastAsia" w:ascii="Times New Roman" w:hAnsi="Times New Roman" w:eastAsia="方正仿宋_GBK" w:cs="方正仿宋_GBK"/>
          <w:i w:val="0"/>
          <w:caps w:val="0"/>
          <w:color w:val="auto"/>
          <w:spacing w:val="0"/>
          <w:sz w:val="32"/>
          <w:szCs w:val="32"/>
          <w:shd w:val="clear" w:fill="FFFFFF"/>
          <w:lang w:val="en-US" w:eastAsia="zh-CN"/>
        </w:rPr>
        <w:t>确保</w:t>
      </w:r>
      <w:r>
        <w:rPr>
          <w:rFonts w:hint="default" w:ascii="Times New Roman" w:hAnsi="Times New Roman" w:eastAsia="方正仿宋_GBK" w:cs="方正仿宋_GBK"/>
          <w:i w:val="0"/>
          <w:caps w:val="0"/>
          <w:color w:val="auto"/>
          <w:spacing w:val="0"/>
          <w:sz w:val="32"/>
          <w:szCs w:val="32"/>
          <w:shd w:val="clear" w:fill="FFFFFF"/>
          <w:lang w:val="en-US" w:eastAsia="zh-CN"/>
        </w:rPr>
        <w:t>政务信息公开工作的时效性与准确性。</w:t>
      </w:r>
      <w:bookmarkStart w:id="2" w:name="OLE_LINK3"/>
      <w:r>
        <w:rPr>
          <w:rFonts w:hint="eastAsia" w:ascii="Times New Roman" w:hAnsi="Times New Roman" w:eastAsia="方正仿宋_GBK" w:cs="方正仿宋_GBK"/>
          <w:b/>
          <w:bCs/>
          <w:i w:val="0"/>
          <w:caps w:val="0"/>
          <w:color w:val="auto"/>
          <w:spacing w:val="0"/>
          <w:sz w:val="32"/>
          <w:szCs w:val="32"/>
          <w:shd w:val="clear" w:fill="FFFFFF"/>
          <w:lang w:val="en-US" w:eastAsia="zh-CN"/>
        </w:rPr>
        <w:t>二是</w:t>
      </w:r>
      <w:r>
        <w:rPr>
          <w:rFonts w:hint="eastAsia" w:ascii="Times New Roman" w:hAnsi="Times New Roman" w:eastAsia="方正仿宋_GBK" w:cs="方正仿宋_GBK"/>
          <w:i w:val="0"/>
          <w:caps w:val="0"/>
          <w:color w:val="auto"/>
          <w:spacing w:val="0"/>
          <w:sz w:val="32"/>
          <w:szCs w:val="32"/>
          <w:shd w:val="clear" w:fill="FFFFFF"/>
          <w:lang w:val="en-US" w:eastAsia="zh-CN"/>
        </w:rPr>
        <w:t>提高对政府信息公开工作重要性的认识，加强队伍建设，加大政府信息公开工作人员培训力度，不断提升政府信息公开工作人员的业务水平，确保事件描述准确、清晰。</w:t>
      </w:r>
      <w:r>
        <w:rPr>
          <w:rFonts w:hint="eastAsia" w:ascii="Times New Roman" w:hAnsi="Times New Roman" w:eastAsia="方正仿宋_GBK" w:cs="方正仿宋_GBK"/>
          <w:b/>
          <w:bCs/>
          <w:i w:val="0"/>
          <w:caps w:val="0"/>
          <w:color w:val="auto"/>
          <w:spacing w:val="0"/>
          <w:sz w:val="32"/>
          <w:szCs w:val="32"/>
          <w:shd w:val="clear" w:fill="FFFFFF"/>
          <w:lang w:val="en-US" w:eastAsia="zh-CN"/>
        </w:rPr>
        <w:t>三是</w:t>
      </w:r>
      <w:r>
        <w:rPr>
          <w:rFonts w:ascii="Times New Roman" w:hAnsi="Times New Roman" w:eastAsia="方正仿宋_GBK" w:cs="Segoe UI"/>
          <w:i w:val="0"/>
          <w:caps w:val="0"/>
          <w:color w:val="auto"/>
          <w:spacing w:val="0"/>
          <w:sz w:val="32"/>
          <w:szCs w:val="24"/>
          <w:shd w:val="clear" w:fill="FFFFFF"/>
        </w:rPr>
        <w:t>进一步深入挖掘涉及社保、民政等与群众切身利益紧密相关的非涉密政策信息文件</w:t>
      </w:r>
      <w:r>
        <w:rPr>
          <w:rFonts w:hint="eastAsia" w:ascii="Times New Roman" w:hAnsi="Times New Roman" w:eastAsia="方正仿宋_GBK" w:cs="Segoe UI"/>
          <w:i w:val="0"/>
          <w:caps w:val="0"/>
          <w:color w:val="auto"/>
          <w:spacing w:val="0"/>
          <w:sz w:val="32"/>
          <w:szCs w:val="24"/>
          <w:shd w:val="clear" w:fill="FFFFFF"/>
          <w:lang w:eastAsia="zh-CN"/>
        </w:rPr>
        <w:t>，</w:t>
      </w:r>
      <w:r>
        <w:rPr>
          <w:rFonts w:ascii="Times New Roman" w:hAnsi="Times New Roman" w:eastAsia="方正仿宋_GBK" w:cs="Segoe UI"/>
          <w:i w:val="0"/>
          <w:caps w:val="0"/>
          <w:color w:val="auto"/>
          <w:spacing w:val="0"/>
          <w:sz w:val="32"/>
          <w:szCs w:val="22"/>
        </w:rPr>
        <w:t>经“三审”审定后立即公开</w:t>
      </w:r>
      <w:r>
        <w:rPr>
          <w:rFonts w:hint="eastAsia" w:ascii="Times New Roman" w:hAnsi="Times New Roman" w:eastAsia="方正仿宋_GBK" w:cs="Segoe UI"/>
          <w:i w:val="0"/>
          <w:caps w:val="0"/>
          <w:color w:val="auto"/>
          <w:spacing w:val="0"/>
          <w:sz w:val="32"/>
          <w:szCs w:val="22"/>
          <w:lang w:eastAsia="zh-CN"/>
        </w:rPr>
        <w:t>，</w:t>
      </w:r>
      <w:r>
        <w:rPr>
          <w:rFonts w:ascii="Times New Roman" w:hAnsi="Times New Roman" w:eastAsia="方正仿宋_GBK" w:cs="Segoe UI"/>
          <w:i w:val="0"/>
          <w:caps w:val="0"/>
          <w:color w:val="auto"/>
          <w:spacing w:val="0"/>
          <w:sz w:val="32"/>
          <w:szCs w:val="24"/>
          <w:shd w:val="clear" w:fill="FFFFFF"/>
        </w:rPr>
        <w:t>确保群众能够全面了解关乎自身权益的政策内容，让信息公开工作更加全面、深入，切实保障群众的知情权。</w:t>
      </w:r>
    </w:p>
    <w:bookmarkEnd w:id="2"/>
    <w:p>
      <w:pPr>
        <w:keepNext w:val="0"/>
        <w:keepLines w:val="0"/>
        <w:pageBreakBefore w:val="0"/>
        <w:widowControl w:val="0"/>
        <w:kinsoku/>
        <w:wordWrap/>
        <w:overflowPunct w:val="0"/>
        <w:topLinePunct w:val="0"/>
        <w:autoSpaceDE/>
        <w:autoSpaceDN/>
        <w:bidi w:val="0"/>
        <w:adjustRightInd/>
        <w:snapToGrid/>
        <w:spacing w:beforeAutospacing="0" w:afterAutospacing="0" w:line="578" w:lineRule="exact"/>
        <w:ind w:left="0" w:leftChars="0" w:right="0" w:rightChars="0" w:firstLine="640"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六、其他需要报告的事项</w:t>
      </w:r>
    </w:p>
    <w:p>
      <w:pPr>
        <w:keepNext w:val="0"/>
        <w:keepLines w:val="0"/>
        <w:pageBreakBefore w:val="0"/>
        <w:widowControl w:val="0"/>
        <w:kinsoku/>
        <w:wordWrap/>
        <w:overflowPunct w:val="0"/>
        <w:topLinePunct w:val="0"/>
        <w:autoSpaceDE/>
        <w:autoSpaceDN/>
        <w:bidi w:val="0"/>
        <w:adjustRightInd/>
        <w:snapToGrid/>
        <w:spacing w:beforeAutospacing="0" w:afterAutospacing="0" w:line="578" w:lineRule="exact"/>
        <w:ind w:left="0" w:leftChars="0" w:right="0" w:rightChars="0" w:firstLine="640" w:firstLineChars="200"/>
        <w:jc w:val="both"/>
        <w:textAlignment w:val="auto"/>
        <w:rPr>
          <w:rFonts w:hint="eastAsia" w:ascii="Times New Roman" w:hAnsi="Times New Roman" w:eastAsia="方正仿宋_GBK" w:cs="HiddenHorzOCR"/>
          <w:color w:val="auto"/>
          <w:kern w:val="0"/>
          <w:sz w:val="32"/>
          <w:szCs w:val="32"/>
          <w:lang w:eastAsia="zh-CN"/>
        </w:rPr>
      </w:pPr>
      <w:r>
        <w:rPr>
          <w:rFonts w:hint="eastAsia" w:ascii="Times New Roman" w:hAnsi="Times New Roman" w:eastAsia="方正仿宋_GBK" w:cs="方正仿宋_GBK"/>
          <w:color w:val="auto"/>
          <w:sz w:val="32"/>
          <w:szCs w:val="32"/>
          <w:lang w:val="en-US" w:eastAsia="zh-CN"/>
        </w:rPr>
        <w:t>无</w:t>
      </w:r>
    </w:p>
    <w:p>
      <w:pPr>
        <w:keepNext w:val="0"/>
        <w:keepLines w:val="0"/>
        <w:pageBreakBefore w:val="0"/>
        <w:kinsoku/>
        <w:wordWrap/>
        <w:topLinePunct w:val="0"/>
        <w:autoSpaceDE/>
        <w:autoSpaceDN/>
        <w:bidi w:val="0"/>
        <w:adjustRightInd/>
        <w:snapToGrid/>
        <w:spacing w:beforeAutospacing="0" w:afterAutospacing="0" w:line="578" w:lineRule="exact"/>
        <w:ind w:left="0" w:leftChars="0" w:right="0" w:rightChars="0"/>
        <w:textAlignment w:val="auto"/>
        <w:rPr>
          <w:color w:val="auto"/>
        </w:rPr>
      </w:pPr>
    </w:p>
    <w:sectPr>
      <w:footerReference r:id="rId3" w:type="default"/>
      <w:pgSz w:w="11906" w:h="16838"/>
      <w:pgMar w:top="2098" w:right="1531" w:bottom="1984"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Segoe UI">
    <w:panose1 w:val="020B0502040204020203"/>
    <w:charset w:val="00"/>
    <w:family w:val="auto"/>
    <w:pitch w:val="default"/>
    <w:sig w:usb0="E4002EFF" w:usb1="C000E47F"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中文正文">
    <w:altName w:val="Segoe Print"/>
    <w:panose1 w:val="00000000000000000000"/>
    <w:charset w:val="00"/>
    <w:family w:val="auto"/>
    <w:pitch w:val="default"/>
    <w:sig w:usb0="00000000" w:usb1="00000000" w:usb2="00000000" w:usb3="00000000" w:csb0="00000000" w:csb1="00000000"/>
  </w:font>
  <w:font w:name="方正楷体简体">
    <w:altName w:val="宋体"/>
    <w:panose1 w:val="02000000000000000000"/>
    <w:charset w:val="86"/>
    <w:family w:val="auto"/>
    <w:pitch w:val="default"/>
    <w:sig w:usb0="00000000" w:usb1="00000000" w:usb2="00000012" w:usb3="00000000" w:csb0="00040001" w:csb1="00000000"/>
  </w:font>
  <w:font w:name="HiddenHorzOCR">
    <w:altName w:val="Yu Gothic"/>
    <w:panose1 w:val="00000000000000000000"/>
    <w:charset w:val="80"/>
    <w:family w:val="auto"/>
    <w:pitch w:val="default"/>
    <w:sig w:usb0="00000000" w:usb1="00000000" w:usb2="00000010" w:usb3="00000000" w:csb0="00020000" w:csb1="00000000"/>
  </w:font>
  <w:font w:name="MS Mincho">
    <w:altName w:val="Times New Roman"/>
    <w:panose1 w:val="02020609040205080304"/>
    <w:charset w:val="00"/>
    <w:family w:val="modern"/>
    <w:pitch w:val="default"/>
    <w:sig w:usb0="00000000" w:usb1="00000000" w:usb2="00000012" w:usb3="00000000" w:csb0="0002009F" w:csb1="00000000"/>
  </w:font>
  <w:font w:name="东文宋体">
    <w:altName w:val="方正书宋_GBK"/>
    <w:panose1 w:val="00000000000000000000"/>
    <w:charset w:val="00"/>
    <w:family w:val="auto"/>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等线"/>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等线"/>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959A"/>
    <w:multiLevelType w:val="singleLevel"/>
    <w:tmpl w:val="65A8959A"/>
    <w:lvl w:ilvl="0" w:tentative="0">
      <w:start w:val="5"/>
      <w:numFmt w:val="chineseCounting"/>
      <w:suff w:val="nothing"/>
      <w:lvlText w:val="%1、"/>
      <w:lvlJc w:val="left"/>
    </w:lvl>
  </w:abstractNum>
  <w:abstractNum w:abstractNumId="1">
    <w:nsid w:val="677CF255"/>
    <w:multiLevelType w:val="singleLevel"/>
    <w:tmpl w:val="677CF25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653F3"/>
    <w:rsid w:val="018E4CC3"/>
    <w:rsid w:val="14526C0B"/>
    <w:rsid w:val="1500347D"/>
    <w:rsid w:val="242653F3"/>
    <w:rsid w:val="24E4056A"/>
    <w:rsid w:val="3CCE6E46"/>
    <w:rsid w:val="523471C3"/>
    <w:rsid w:val="6B886FCA"/>
    <w:rsid w:val="6C54789D"/>
    <w:rsid w:val="78B5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font71"/>
    <w:basedOn w:val="6"/>
    <w:qFormat/>
    <w:uiPriority w:val="0"/>
    <w:rPr>
      <w:rFonts w:ascii="方正仿宋_GBK" w:hAnsi="方正仿宋_GBK" w:eastAsia="方正仿宋_GBK" w:cs="方正仿宋_GBK"/>
      <w:color w:val="333333"/>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2024-01-16T02:36:00Z</dcterms:created>
  <dc:creator>Administrator</dc:creator>
  <cp:lastModifiedBy>Administrator</cp:lastModifiedBy>
  <cp:lastPrinted>2024-01-18T03:05:00Z</cp:lastPrinted>
  <dcterms:modified xsi:type="dcterms:W3CDTF">2025-01-14T09:00:20Z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