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5B" w:rsidRDefault="0034715B" w:rsidP="0034715B">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34715B" w:rsidRDefault="0034715B" w:rsidP="0034715B">
      <w:pPr>
        <w:rPr>
          <w:rFonts w:ascii="宋体" w:hAnsi="宋体"/>
          <w:bCs/>
          <w:spacing w:val="50"/>
          <w:sz w:val="28"/>
        </w:rPr>
      </w:pPr>
    </w:p>
    <w:p w:rsidR="0034715B" w:rsidRDefault="0034715B" w:rsidP="0034715B">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34715B" w:rsidRDefault="0034715B" w:rsidP="0034715B">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2024〕22号</w:t>
      </w:r>
      <w:bookmarkEnd w:id="0"/>
    </w:p>
    <w:p w:rsidR="0034715B" w:rsidRDefault="0034715B" w:rsidP="0034715B">
      <w:pPr>
        <w:pStyle w:val="tb"/>
        <w:spacing w:line="578" w:lineRule="exact"/>
        <w:rPr>
          <w:rFonts w:ascii="Times New Roman" w:eastAsia="方正仿宋_GBK" w:hAnsi="Times New Roman"/>
          <w:bCs/>
          <w:sz w:val="32"/>
          <w:szCs w:val="24"/>
        </w:rPr>
      </w:pPr>
      <w:r>
        <w:rPr>
          <w:rFonts w:ascii="Times New Roman" w:eastAsia="方正仿宋_GBK" w:hAnsi="Times New Roman" w:hint="eastAsia"/>
          <w:bCs/>
          <w:sz w:val="32"/>
          <w:szCs w:val="24"/>
        </w:rPr>
        <w:t>重庆广云新能源有限公司</w:t>
      </w:r>
      <w:r>
        <w:rPr>
          <w:rFonts w:ascii="Times New Roman" w:eastAsia="方正仿宋_GBK" w:hAnsi="Times New Roman"/>
          <w:bCs/>
          <w:sz w:val="32"/>
          <w:szCs w:val="24"/>
        </w:rPr>
        <w:t>：</w:t>
      </w:r>
    </w:p>
    <w:p w:rsidR="0034715B" w:rsidRDefault="0034715B" w:rsidP="0034715B">
      <w:pPr>
        <w:spacing w:line="578" w:lineRule="exact"/>
        <w:ind w:firstLineChars="200" w:firstLine="640"/>
        <w:jc w:val="left"/>
        <w:rPr>
          <w:rFonts w:eastAsia="方正仿宋_GBK"/>
          <w:bCs/>
          <w:sz w:val="32"/>
        </w:rPr>
      </w:pPr>
      <w:r>
        <w:rPr>
          <w:rFonts w:eastAsia="方正仿宋_GBK"/>
          <w:bCs/>
          <w:sz w:val="32"/>
        </w:rPr>
        <w:t>你单位报送的</w:t>
      </w:r>
      <w:r>
        <w:rPr>
          <w:rFonts w:eastAsia="方正仿宋_GBK" w:hint="eastAsia"/>
          <w:bCs/>
          <w:sz w:val="32"/>
        </w:rPr>
        <w:t>中广核新能源重庆云阳汤溪</w:t>
      </w:r>
      <w:r>
        <w:rPr>
          <w:rFonts w:eastAsia="方正仿宋_GBK" w:hint="eastAsia"/>
          <w:bCs/>
          <w:sz w:val="32"/>
        </w:rPr>
        <w:t>130MW</w:t>
      </w:r>
      <w:r>
        <w:rPr>
          <w:rFonts w:eastAsia="方正仿宋_GBK" w:hint="eastAsia"/>
          <w:bCs/>
          <w:sz w:val="32"/>
        </w:rPr>
        <w:t>光伏项目</w:t>
      </w:r>
      <w:r>
        <w:rPr>
          <w:rFonts w:eastAsia="方正仿宋_GBK"/>
          <w:kern w:val="0"/>
          <w:sz w:val="32"/>
          <w:szCs w:val="32"/>
        </w:rPr>
        <w:t>环境影响评价文件审批申请表及相关材料收悉，</w:t>
      </w:r>
      <w:r>
        <w:rPr>
          <w:rFonts w:eastAsia="方正仿宋_GBK"/>
          <w:bCs/>
          <w:sz w:val="32"/>
        </w:rPr>
        <w:t>经研究，现审批如下：</w:t>
      </w:r>
    </w:p>
    <w:p w:rsidR="0034715B" w:rsidRDefault="0034715B" w:rsidP="0034715B">
      <w:pPr>
        <w:spacing w:line="578" w:lineRule="exact"/>
        <w:ind w:firstLineChars="200" w:firstLine="640"/>
        <w:jc w:val="left"/>
        <w:rPr>
          <w:rFonts w:eastAsia="方正仿宋_GBK"/>
          <w:bCs/>
          <w:sz w:val="32"/>
        </w:rPr>
      </w:pPr>
      <w:r>
        <w:rPr>
          <w:rFonts w:eastAsia="方正仿宋_GBK"/>
          <w:bCs/>
          <w:sz w:val="32"/>
        </w:rPr>
        <w:t>一、根据《中华人民共和国环境影响评价法》等有关规定，我局原则同意</w:t>
      </w:r>
      <w:r>
        <w:rPr>
          <w:rFonts w:eastAsia="方正仿宋_GBK" w:hint="eastAsia"/>
          <w:bCs/>
          <w:sz w:val="32"/>
        </w:rPr>
        <w:t>重庆环科源博达环保科技有限公司</w:t>
      </w:r>
      <w:r>
        <w:rPr>
          <w:rFonts w:eastAsia="方正仿宋_GBK"/>
          <w:bCs/>
          <w:sz w:val="32"/>
        </w:rPr>
        <w:t>编制的</w:t>
      </w:r>
      <w:r>
        <w:rPr>
          <w:rFonts w:eastAsia="方正仿宋_GBK"/>
          <w:sz w:val="32"/>
          <w:szCs w:val="32"/>
        </w:rPr>
        <w:t>《</w:t>
      </w:r>
      <w:r>
        <w:rPr>
          <w:rFonts w:eastAsia="方正仿宋_GBK" w:hint="eastAsia"/>
          <w:sz w:val="32"/>
          <w:szCs w:val="32"/>
        </w:rPr>
        <w:t>中广核新能源重庆云阳汤溪</w:t>
      </w:r>
      <w:r>
        <w:rPr>
          <w:rFonts w:eastAsia="方正仿宋_GBK" w:hint="eastAsia"/>
          <w:sz w:val="32"/>
          <w:szCs w:val="32"/>
        </w:rPr>
        <w:t>130MW</w:t>
      </w:r>
      <w:r>
        <w:rPr>
          <w:rFonts w:eastAsia="方正仿宋_GBK" w:hint="eastAsia"/>
          <w:sz w:val="32"/>
          <w:szCs w:val="32"/>
        </w:rPr>
        <w:t>光伏项目</w:t>
      </w:r>
      <w:r>
        <w:rPr>
          <w:rFonts w:eastAsia="方正仿宋_GBK"/>
          <w:kern w:val="0"/>
          <w:sz w:val="32"/>
          <w:szCs w:val="32"/>
        </w:rPr>
        <w:t>环境影响</w:t>
      </w:r>
      <w:r>
        <w:rPr>
          <w:rFonts w:eastAsia="方正仿宋_GBK"/>
          <w:sz w:val="32"/>
          <w:szCs w:val="32"/>
        </w:rPr>
        <w:t>报告表</w:t>
      </w:r>
      <w:r>
        <w:rPr>
          <w:rFonts w:eastAsia="方正仿宋_GBK" w:hint="eastAsia"/>
          <w:sz w:val="32"/>
          <w:szCs w:val="32"/>
        </w:rPr>
        <w:t>（生态影响类）</w:t>
      </w:r>
      <w:r>
        <w:rPr>
          <w:rFonts w:eastAsia="方正仿宋_GBK"/>
          <w:sz w:val="32"/>
          <w:szCs w:val="32"/>
        </w:rPr>
        <w:t>》结论和提出的生态环境保护措施。</w:t>
      </w:r>
    </w:p>
    <w:p w:rsidR="0034715B" w:rsidRDefault="0034715B" w:rsidP="0034715B">
      <w:pPr>
        <w:spacing w:line="578" w:lineRule="exact"/>
        <w:ind w:right="26" w:firstLineChars="220" w:firstLine="704"/>
        <w:rPr>
          <w:rFonts w:eastAsia="方正仿宋_GBK" w:hint="eastAsia"/>
          <w:kern w:val="0"/>
          <w:sz w:val="32"/>
          <w:szCs w:val="32"/>
        </w:rPr>
      </w:pPr>
      <w:r>
        <w:rPr>
          <w:rFonts w:eastAsia="方正仿宋_GBK"/>
          <w:kern w:val="0"/>
          <w:sz w:val="32"/>
          <w:szCs w:val="32"/>
        </w:rPr>
        <w:t>二、建设内容和规模：</w:t>
      </w:r>
      <w:r>
        <w:rPr>
          <w:rFonts w:eastAsia="方正仿宋_GBK" w:hint="eastAsia"/>
          <w:kern w:val="0"/>
          <w:sz w:val="32"/>
          <w:szCs w:val="32"/>
        </w:rPr>
        <w:t>项目建设地址位于云阳县南溪镇，交流侧总装机容量为</w:t>
      </w:r>
      <w:r>
        <w:rPr>
          <w:rFonts w:eastAsia="方正仿宋_GBK" w:hint="eastAsia"/>
          <w:kern w:val="0"/>
          <w:sz w:val="32"/>
          <w:szCs w:val="32"/>
        </w:rPr>
        <w:t>130MW</w:t>
      </w:r>
      <w:r>
        <w:rPr>
          <w:rFonts w:eastAsia="方正仿宋_GBK" w:hint="eastAsia"/>
          <w:kern w:val="0"/>
          <w:sz w:val="32"/>
          <w:szCs w:val="32"/>
        </w:rPr>
        <w:t>，</w:t>
      </w:r>
      <w:r>
        <w:rPr>
          <w:rFonts w:eastAsia="方正仿宋_GBK"/>
          <w:kern w:val="0"/>
          <w:sz w:val="32"/>
          <w:szCs w:val="32"/>
        </w:rPr>
        <w:t>建设内容包括</w:t>
      </w:r>
      <w:r>
        <w:rPr>
          <w:rFonts w:eastAsia="方正仿宋_GBK" w:hint="eastAsia"/>
          <w:kern w:val="0"/>
          <w:sz w:val="32"/>
          <w:szCs w:val="32"/>
        </w:rPr>
        <w:t>光伏阵列（含光伏组件、箱变等）、</w:t>
      </w:r>
      <w:r>
        <w:rPr>
          <w:rFonts w:eastAsia="方正仿宋_GBK" w:hint="eastAsia"/>
          <w:kern w:val="0"/>
          <w:sz w:val="32"/>
          <w:szCs w:val="32"/>
        </w:rPr>
        <w:t>35kV</w:t>
      </w:r>
      <w:r>
        <w:rPr>
          <w:rFonts w:eastAsia="方正仿宋_GBK" w:hint="eastAsia"/>
          <w:kern w:val="0"/>
          <w:sz w:val="32"/>
          <w:szCs w:val="32"/>
        </w:rPr>
        <w:t>集电线路和</w:t>
      </w:r>
      <w:r>
        <w:rPr>
          <w:rFonts w:eastAsia="方正仿宋_GBK" w:hint="eastAsia"/>
          <w:kern w:val="0"/>
          <w:sz w:val="32"/>
          <w:szCs w:val="32"/>
        </w:rPr>
        <w:t>110kV</w:t>
      </w:r>
      <w:r>
        <w:rPr>
          <w:rFonts w:eastAsia="方正仿宋_GBK" w:hint="eastAsia"/>
          <w:kern w:val="0"/>
          <w:sz w:val="32"/>
          <w:szCs w:val="32"/>
        </w:rPr>
        <w:t>升压站等主体工程以及施工场地、施工便道等临时工程</w:t>
      </w:r>
      <w:r>
        <w:rPr>
          <w:rFonts w:eastAsia="方正仿宋_GBK"/>
          <w:kern w:val="0"/>
          <w:sz w:val="32"/>
          <w:szCs w:val="32"/>
        </w:rPr>
        <w:t>。光伏阵列采用固定式支架形式</w:t>
      </w:r>
      <w:r>
        <w:rPr>
          <w:rFonts w:eastAsia="方正仿宋_GBK" w:hint="eastAsia"/>
          <w:kern w:val="0"/>
          <w:sz w:val="32"/>
          <w:szCs w:val="32"/>
        </w:rPr>
        <w:t>，计划装设</w:t>
      </w:r>
      <w:r w:rsidRPr="005D1B59">
        <w:rPr>
          <w:rFonts w:eastAsia="方正仿宋_GBK" w:hint="eastAsia"/>
          <w:color w:val="000000"/>
          <w:kern w:val="0"/>
          <w:sz w:val="32"/>
          <w:szCs w:val="32"/>
        </w:rPr>
        <w:t>300300</w:t>
      </w:r>
      <w:r>
        <w:rPr>
          <w:rFonts w:eastAsia="方正仿宋_GBK" w:hint="eastAsia"/>
          <w:kern w:val="0"/>
          <w:sz w:val="32"/>
          <w:szCs w:val="32"/>
        </w:rPr>
        <w:t>块光伏组件，分成</w:t>
      </w:r>
      <w:r>
        <w:rPr>
          <w:rFonts w:eastAsia="方正仿宋_GBK" w:hint="eastAsia"/>
          <w:kern w:val="0"/>
          <w:sz w:val="32"/>
          <w:szCs w:val="32"/>
        </w:rPr>
        <w:t>42</w:t>
      </w:r>
      <w:r>
        <w:rPr>
          <w:rFonts w:eastAsia="方正仿宋_GBK" w:hint="eastAsia"/>
          <w:kern w:val="0"/>
          <w:sz w:val="32"/>
          <w:szCs w:val="32"/>
        </w:rPr>
        <w:t>个光伏发电单元；</w:t>
      </w:r>
      <w:r>
        <w:rPr>
          <w:rFonts w:eastAsia="方正仿宋_GBK" w:hint="eastAsia"/>
          <w:kern w:val="0"/>
          <w:sz w:val="32"/>
          <w:szCs w:val="32"/>
        </w:rPr>
        <w:t>35kV</w:t>
      </w:r>
      <w:r>
        <w:rPr>
          <w:rFonts w:eastAsia="方正仿宋_GBK" w:hint="eastAsia"/>
          <w:kern w:val="0"/>
          <w:sz w:val="32"/>
          <w:szCs w:val="32"/>
        </w:rPr>
        <w:t>集电线路至升压站采用直埋线路与架空线路相结合方式，总长度为</w:t>
      </w:r>
      <w:r>
        <w:rPr>
          <w:rFonts w:eastAsia="方正仿宋_GBK" w:hint="eastAsia"/>
          <w:kern w:val="0"/>
          <w:sz w:val="32"/>
          <w:szCs w:val="32"/>
        </w:rPr>
        <w:t>50.5</w:t>
      </w:r>
      <w:r>
        <w:rPr>
          <w:rFonts w:eastAsia="方正仿宋_GBK" w:hint="eastAsia"/>
          <w:kern w:val="0"/>
          <w:sz w:val="32"/>
          <w:szCs w:val="32"/>
        </w:rPr>
        <w:t>千米；配套</w:t>
      </w:r>
      <w:r>
        <w:rPr>
          <w:rFonts w:eastAsia="方正仿宋_GBK"/>
          <w:kern w:val="0"/>
          <w:sz w:val="32"/>
          <w:szCs w:val="32"/>
        </w:rPr>
        <w:t>110kV</w:t>
      </w:r>
      <w:r>
        <w:rPr>
          <w:rFonts w:eastAsia="方正仿宋_GBK"/>
          <w:kern w:val="0"/>
          <w:sz w:val="32"/>
          <w:szCs w:val="32"/>
        </w:rPr>
        <w:t>升压站位于</w:t>
      </w:r>
      <w:r>
        <w:rPr>
          <w:rFonts w:eastAsia="方正仿宋_GBK" w:hint="eastAsia"/>
          <w:kern w:val="0"/>
          <w:sz w:val="32"/>
          <w:szCs w:val="32"/>
        </w:rPr>
        <w:t>北部</w:t>
      </w:r>
      <w:r>
        <w:rPr>
          <w:rFonts w:eastAsia="方正仿宋_GBK"/>
          <w:kern w:val="0"/>
          <w:sz w:val="32"/>
          <w:szCs w:val="32"/>
        </w:rPr>
        <w:t>光伏场区</w:t>
      </w:r>
      <w:r>
        <w:rPr>
          <w:rFonts w:eastAsia="方正仿宋_GBK" w:hint="eastAsia"/>
          <w:kern w:val="0"/>
          <w:sz w:val="32"/>
          <w:szCs w:val="32"/>
        </w:rPr>
        <w:t>中部</w:t>
      </w:r>
      <w:r>
        <w:rPr>
          <w:rFonts w:eastAsia="方正仿宋_GBK"/>
          <w:kern w:val="0"/>
          <w:sz w:val="32"/>
          <w:szCs w:val="32"/>
        </w:rPr>
        <w:t>，长</w:t>
      </w:r>
      <w:r>
        <w:rPr>
          <w:rFonts w:eastAsia="方正仿宋_GBK" w:hint="eastAsia"/>
          <w:kern w:val="0"/>
          <w:sz w:val="32"/>
          <w:szCs w:val="32"/>
        </w:rPr>
        <w:t>90</w:t>
      </w:r>
      <w:r>
        <w:rPr>
          <w:rFonts w:eastAsia="方正仿宋_GBK" w:hint="eastAsia"/>
          <w:kern w:val="0"/>
          <w:sz w:val="32"/>
          <w:szCs w:val="32"/>
        </w:rPr>
        <w:t>米，宽</w:t>
      </w:r>
      <w:r>
        <w:rPr>
          <w:rFonts w:eastAsia="方正仿宋_GBK" w:hint="eastAsia"/>
          <w:kern w:val="0"/>
          <w:sz w:val="32"/>
          <w:szCs w:val="32"/>
        </w:rPr>
        <w:t>68</w:t>
      </w:r>
      <w:r>
        <w:rPr>
          <w:rFonts w:eastAsia="方正仿宋_GBK" w:hint="eastAsia"/>
          <w:kern w:val="0"/>
          <w:sz w:val="32"/>
          <w:szCs w:val="32"/>
        </w:rPr>
        <w:t>米；升压站内设置</w:t>
      </w:r>
      <w:r>
        <w:rPr>
          <w:rFonts w:eastAsia="方正仿宋_GBK" w:hint="eastAsia"/>
          <w:kern w:val="0"/>
          <w:sz w:val="32"/>
          <w:szCs w:val="32"/>
        </w:rPr>
        <w:t>1</w:t>
      </w:r>
      <w:r>
        <w:rPr>
          <w:rFonts w:eastAsia="方正仿宋_GBK" w:hint="eastAsia"/>
          <w:kern w:val="0"/>
          <w:sz w:val="32"/>
          <w:szCs w:val="32"/>
        </w:rPr>
        <w:t>台主变压器，容量</w:t>
      </w:r>
      <w:r>
        <w:rPr>
          <w:rFonts w:eastAsia="方正仿宋_GBK" w:hint="eastAsia"/>
          <w:kern w:val="0"/>
          <w:sz w:val="32"/>
          <w:szCs w:val="32"/>
        </w:rPr>
        <w:t>130MVA</w:t>
      </w:r>
      <w:r>
        <w:rPr>
          <w:rFonts w:eastAsia="方正仿宋_GBK" w:hint="eastAsia"/>
          <w:kern w:val="0"/>
          <w:sz w:val="32"/>
          <w:szCs w:val="32"/>
        </w:rPr>
        <w:t>。项目</w:t>
      </w:r>
      <w:r>
        <w:rPr>
          <w:rFonts w:eastAsia="方正仿宋_GBK"/>
          <w:kern w:val="0"/>
          <w:sz w:val="32"/>
          <w:szCs w:val="32"/>
        </w:rPr>
        <w:t>总用地</w:t>
      </w:r>
      <w:r>
        <w:rPr>
          <w:rFonts w:eastAsia="方正仿宋_GBK" w:hint="eastAsia"/>
          <w:kern w:val="0"/>
          <w:sz w:val="32"/>
          <w:szCs w:val="32"/>
        </w:rPr>
        <w:t>345.19</w:t>
      </w:r>
      <w:r>
        <w:rPr>
          <w:rFonts w:eastAsia="方正仿宋_GBK"/>
          <w:kern w:val="0"/>
          <w:sz w:val="32"/>
          <w:szCs w:val="32"/>
        </w:rPr>
        <w:t>公顷，其中永久占地</w:t>
      </w:r>
      <w:r>
        <w:rPr>
          <w:rFonts w:eastAsia="方正仿宋_GBK" w:hint="eastAsia"/>
          <w:kern w:val="0"/>
          <w:sz w:val="32"/>
          <w:szCs w:val="32"/>
        </w:rPr>
        <w:t>1.54</w:t>
      </w:r>
      <w:r>
        <w:rPr>
          <w:rFonts w:eastAsia="方正仿宋_GBK"/>
          <w:kern w:val="0"/>
          <w:sz w:val="32"/>
          <w:szCs w:val="32"/>
        </w:rPr>
        <w:t>公顷，临时用地</w:t>
      </w:r>
      <w:r>
        <w:rPr>
          <w:rFonts w:eastAsia="方正仿宋_GBK" w:hint="eastAsia"/>
          <w:kern w:val="0"/>
          <w:sz w:val="32"/>
          <w:szCs w:val="32"/>
        </w:rPr>
        <w:t>343.65</w:t>
      </w:r>
      <w:r>
        <w:rPr>
          <w:rFonts w:eastAsia="方正仿宋_GBK"/>
          <w:kern w:val="0"/>
          <w:sz w:val="32"/>
          <w:szCs w:val="32"/>
        </w:rPr>
        <w:t>公顷。</w:t>
      </w:r>
      <w:r>
        <w:rPr>
          <w:rFonts w:eastAsia="方正仿宋_GBK" w:hint="eastAsia"/>
          <w:kern w:val="0"/>
          <w:sz w:val="32"/>
          <w:szCs w:val="32"/>
        </w:rPr>
        <w:t>项目总投资</w:t>
      </w:r>
      <w:r>
        <w:rPr>
          <w:rFonts w:eastAsia="方正仿宋_GBK" w:hint="eastAsia"/>
          <w:kern w:val="0"/>
          <w:sz w:val="32"/>
          <w:szCs w:val="32"/>
        </w:rPr>
        <w:t>53000</w:t>
      </w:r>
      <w:r>
        <w:rPr>
          <w:rFonts w:eastAsia="方正仿宋_GBK"/>
          <w:kern w:val="0"/>
          <w:sz w:val="32"/>
          <w:szCs w:val="32"/>
        </w:rPr>
        <w:t>万元，其中环保投资</w:t>
      </w:r>
      <w:r>
        <w:rPr>
          <w:rFonts w:eastAsia="方正仿宋_GBK" w:hint="eastAsia"/>
          <w:kern w:val="0"/>
          <w:sz w:val="32"/>
          <w:szCs w:val="32"/>
        </w:rPr>
        <w:t>420</w:t>
      </w:r>
      <w:r>
        <w:rPr>
          <w:rFonts w:eastAsia="方正仿宋_GBK"/>
          <w:kern w:val="0"/>
          <w:sz w:val="32"/>
          <w:szCs w:val="32"/>
        </w:rPr>
        <w:t>万元，占总投资的</w:t>
      </w:r>
      <w:r>
        <w:rPr>
          <w:rFonts w:eastAsia="方正仿宋_GBK" w:hint="eastAsia"/>
          <w:kern w:val="0"/>
          <w:sz w:val="32"/>
          <w:szCs w:val="32"/>
        </w:rPr>
        <w:t>0.79</w:t>
      </w:r>
      <w:r>
        <w:rPr>
          <w:rFonts w:eastAsia="方正仿宋_GBK"/>
          <w:kern w:val="0"/>
          <w:sz w:val="32"/>
          <w:szCs w:val="32"/>
        </w:rPr>
        <w:t>%</w:t>
      </w:r>
      <w:r>
        <w:rPr>
          <w:rFonts w:eastAsia="方正仿宋_GBK"/>
          <w:kern w:val="0"/>
          <w:sz w:val="32"/>
          <w:szCs w:val="32"/>
        </w:rPr>
        <w:t>。</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三、该项目污染物排放应严格按照环境影响报告</w:t>
      </w:r>
      <w:r>
        <w:rPr>
          <w:rFonts w:eastAsia="方正仿宋_GBK" w:hint="eastAsia"/>
          <w:kern w:val="0"/>
          <w:sz w:val="32"/>
          <w:szCs w:val="32"/>
        </w:rPr>
        <w:t>表</w:t>
      </w:r>
      <w:r>
        <w:rPr>
          <w:rFonts w:eastAsia="方正仿宋_GBK"/>
          <w:kern w:val="0"/>
          <w:sz w:val="32"/>
          <w:szCs w:val="32"/>
        </w:rPr>
        <w:t>及本</w:t>
      </w:r>
      <w:r>
        <w:rPr>
          <w:rFonts w:eastAsia="方正仿宋_GBK"/>
          <w:kern w:val="0"/>
          <w:sz w:val="32"/>
          <w:szCs w:val="32"/>
        </w:rPr>
        <w:lastRenderedPageBreak/>
        <w:t>批准书规定的排放标准执行，不得突破。</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四、该项目在设计、建设、营运过程中，必须全面落实环境影响评价文件中规定的污染治理设施和生态保护措施，并做好以下工作。</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w:t>
      </w:r>
      <w:r>
        <w:rPr>
          <w:rFonts w:eastAsia="方正仿宋_GBK" w:hint="eastAsia"/>
          <w:kern w:val="0"/>
          <w:sz w:val="32"/>
          <w:szCs w:val="32"/>
        </w:rPr>
        <w:t>一</w:t>
      </w:r>
      <w:r>
        <w:rPr>
          <w:rFonts w:eastAsia="方正仿宋_GBK"/>
          <w:kern w:val="0"/>
          <w:sz w:val="32"/>
          <w:szCs w:val="32"/>
        </w:rPr>
        <w:t>）加强生态保护。</w:t>
      </w:r>
      <w:r>
        <w:rPr>
          <w:rFonts w:eastAsia="方正仿宋_GBK" w:hint="eastAsia"/>
          <w:bCs/>
          <w:color w:val="000000"/>
          <w:sz w:val="32"/>
        </w:rPr>
        <w:t>项目严控施工范围，禁止越界施工和</w:t>
      </w:r>
      <w:r>
        <w:rPr>
          <w:rFonts w:eastAsia="方正仿宋_GBK"/>
          <w:bCs/>
          <w:color w:val="000000"/>
          <w:sz w:val="32"/>
        </w:rPr>
        <w:t>超范围占压植被。</w:t>
      </w:r>
      <w:r>
        <w:rPr>
          <w:rFonts w:eastAsia="方正仿宋_GBK" w:hint="eastAsia"/>
          <w:bCs/>
          <w:color w:val="000000"/>
          <w:sz w:val="32"/>
        </w:rPr>
        <w:t>合理布置施工场地，优化施工布局，减少植被破坏。合理安排施工时序，避开大风天气和雨季。对施工人员加强宣传教育，提高人员生态环境保护意识。施工结束开展迹地恢复，并严禁引入外来植被物种。完善林地占用手续后方可动工建设。</w:t>
      </w:r>
    </w:p>
    <w:p w:rsidR="0034715B" w:rsidRDefault="0034715B" w:rsidP="0034715B">
      <w:pPr>
        <w:spacing w:line="578" w:lineRule="exact"/>
        <w:ind w:firstLine="480"/>
        <w:rPr>
          <w:rFonts w:eastAsia="方正仿宋_GBK"/>
          <w:color w:val="00B0F0"/>
          <w:kern w:val="0"/>
          <w:sz w:val="32"/>
          <w:szCs w:val="32"/>
        </w:rPr>
      </w:pPr>
      <w:r>
        <w:rPr>
          <w:rFonts w:eastAsia="方正仿宋_GBK"/>
          <w:kern w:val="0"/>
          <w:sz w:val="32"/>
          <w:szCs w:val="32"/>
        </w:rPr>
        <w:t>（</w:t>
      </w:r>
      <w:r>
        <w:rPr>
          <w:rFonts w:eastAsia="方正仿宋_GBK" w:hint="eastAsia"/>
          <w:kern w:val="0"/>
          <w:sz w:val="32"/>
          <w:szCs w:val="32"/>
        </w:rPr>
        <w:t>二</w:t>
      </w:r>
      <w:r>
        <w:rPr>
          <w:rFonts w:eastAsia="方正仿宋_GBK"/>
          <w:kern w:val="0"/>
          <w:sz w:val="32"/>
          <w:szCs w:val="32"/>
        </w:rPr>
        <w:t>）积极防治水污染。</w:t>
      </w:r>
      <w:r>
        <w:rPr>
          <w:rFonts w:eastAsia="方正仿宋_GBK" w:hint="eastAsia"/>
          <w:bCs/>
          <w:color w:val="000000"/>
          <w:sz w:val="32"/>
        </w:rPr>
        <w:t>施工废水经收集、沉砂、澄清处理后回用，不外排。施工期施</w:t>
      </w:r>
      <w:r>
        <w:rPr>
          <w:rFonts w:eastAsia="方正仿宋_GBK"/>
          <w:kern w:val="0"/>
          <w:sz w:val="32"/>
          <w:szCs w:val="32"/>
        </w:rPr>
        <w:t>工人员产生的生活污水通过施工场地内设置的</w:t>
      </w:r>
      <w:r>
        <w:rPr>
          <w:rFonts w:eastAsia="方正仿宋_GBK" w:hint="eastAsia"/>
          <w:kern w:val="0"/>
          <w:sz w:val="32"/>
          <w:szCs w:val="32"/>
        </w:rPr>
        <w:t>化粪池处理</w:t>
      </w:r>
      <w:r>
        <w:rPr>
          <w:rFonts w:eastAsia="方正仿宋_GBK"/>
          <w:kern w:val="0"/>
          <w:sz w:val="32"/>
          <w:szCs w:val="32"/>
        </w:rPr>
        <w:t>后用于周边农田</w:t>
      </w:r>
      <w:r>
        <w:rPr>
          <w:rFonts w:eastAsia="方正仿宋_GBK" w:hint="eastAsia"/>
          <w:kern w:val="0"/>
          <w:sz w:val="32"/>
          <w:szCs w:val="32"/>
        </w:rPr>
        <w:t>施肥</w:t>
      </w:r>
      <w:r>
        <w:rPr>
          <w:rFonts w:eastAsia="方正仿宋_GBK"/>
          <w:kern w:val="0"/>
          <w:sz w:val="32"/>
          <w:szCs w:val="32"/>
        </w:rPr>
        <w:t>，不外排。</w:t>
      </w:r>
      <w:r>
        <w:rPr>
          <w:rFonts w:eastAsia="方正仿宋_GBK" w:hint="eastAsia"/>
          <w:kern w:val="0"/>
          <w:sz w:val="32"/>
          <w:szCs w:val="32"/>
        </w:rPr>
        <w:t>营运期光伏组件少量清洗废水用于植被浇灌，管理人员生活污水排入一体化污水处理设备处理后用于站区绿化和升压站旁光伏布板区域下方绿化植被用水，不外排。</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w:t>
      </w:r>
      <w:r>
        <w:rPr>
          <w:rFonts w:eastAsia="方正仿宋_GBK" w:hint="eastAsia"/>
          <w:kern w:val="0"/>
          <w:sz w:val="32"/>
          <w:szCs w:val="32"/>
        </w:rPr>
        <w:t>三</w:t>
      </w:r>
      <w:r>
        <w:rPr>
          <w:rFonts w:eastAsia="方正仿宋_GBK"/>
          <w:kern w:val="0"/>
          <w:sz w:val="32"/>
          <w:szCs w:val="32"/>
        </w:rPr>
        <w:t>）加强废气污染防治。施工期严控施工废气污染，采取洒水抑尘措施，尽可能采取湿式作业，避免大风天气作业；对建筑材料、临时表土进行遮盖；</w:t>
      </w:r>
      <w:r>
        <w:rPr>
          <w:rFonts w:eastAsia="方正仿宋_GBK" w:hint="eastAsia"/>
          <w:kern w:val="0"/>
          <w:sz w:val="32"/>
          <w:szCs w:val="32"/>
        </w:rPr>
        <w:t>散装物料运输、贮存等应严密遮盖；对施工车辆实行限速控制</w:t>
      </w:r>
      <w:r>
        <w:rPr>
          <w:rFonts w:eastAsia="方正仿宋_GBK"/>
          <w:kern w:val="0"/>
          <w:sz w:val="32"/>
          <w:szCs w:val="32"/>
        </w:rPr>
        <w:t>。营运期，</w:t>
      </w:r>
      <w:r>
        <w:rPr>
          <w:rFonts w:eastAsia="方正仿宋_GBK" w:hint="eastAsia"/>
          <w:kern w:val="0"/>
          <w:sz w:val="32"/>
          <w:szCs w:val="32"/>
        </w:rPr>
        <w:t>升压站厨房</w:t>
      </w:r>
      <w:r>
        <w:rPr>
          <w:rFonts w:eastAsia="方正仿宋_GBK"/>
          <w:kern w:val="0"/>
          <w:sz w:val="32"/>
          <w:szCs w:val="32"/>
        </w:rPr>
        <w:t>产生的油烟经油烟</w:t>
      </w:r>
      <w:r>
        <w:rPr>
          <w:rFonts w:eastAsia="方正仿宋_GBK" w:hint="eastAsia"/>
          <w:kern w:val="0"/>
          <w:sz w:val="32"/>
          <w:szCs w:val="32"/>
        </w:rPr>
        <w:t>机</w:t>
      </w:r>
      <w:r>
        <w:rPr>
          <w:rFonts w:eastAsia="方正仿宋_GBK"/>
          <w:kern w:val="0"/>
          <w:sz w:val="32"/>
          <w:szCs w:val="32"/>
        </w:rPr>
        <w:t>处理后引至楼顶排放。</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w:t>
      </w:r>
      <w:r>
        <w:rPr>
          <w:rFonts w:eastAsia="方正仿宋_GBK" w:hint="eastAsia"/>
          <w:kern w:val="0"/>
          <w:sz w:val="32"/>
          <w:szCs w:val="32"/>
        </w:rPr>
        <w:t>四</w:t>
      </w:r>
      <w:r>
        <w:rPr>
          <w:rFonts w:eastAsia="方正仿宋_GBK"/>
          <w:kern w:val="0"/>
          <w:sz w:val="32"/>
          <w:szCs w:val="32"/>
        </w:rPr>
        <w:t>）严格控制噪声污染。施工中应选用低噪高效机械设备，并加强设备维护保养；合理布局施工机械，高噪机械作业尽量远离噪声敏感点；运输车辆选用车况性能良好的车</w:t>
      </w:r>
      <w:r>
        <w:rPr>
          <w:rFonts w:eastAsia="方正仿宋_GBK"/>
          <w:kern w:val="0"/>
          <w:sz w:val="32"/>
          <w:szCs w:val="32"/>
        </w:rPr>
        <w:lastRenderedPageBreak/>
        <w:t>辆，经过噪声敏感点时减速慢行、限制鸣笛。合理安排施工作业时间，禁止夜间进行施工作业，因建设要求或者特殊原因需要进行夜间施工的，施工单位须按规范程序</w:t>
      </w:r>
      <w:r>
        <w:rPr>
          <w:rFonts w:eastAsia="方正仿宋_GBK" w:hint="eastAsia"/>
          <w:kern w:val="0"/>
          <w:sz w:val="32"/>
          <w:szCs w:val="32"/>
        </w:rPr>
        <w:t>向主管单位</w:t>
      </w:r>
      <w:r>
        <w:rPr>
          <w:rFonts w:eastAsia="方正仿宋_GBK"/>
          <w:kern w:val="0"/>
          <w:sz w:val="32"/>
          <w:szCs w:val="32"/>
        </w:rPr>
        <w:t>申报</w:t>
      </w:r>
      <w:r>
        <w:rPr>
          <w:rFonts w:eastAsia="方正仿宋_GBK" w:hint="eastAsia"/>
          <w:kern w:val="0"/>
          <w:sz w:val="32"/>
          <w:szCs w:val="32"/>
        </w:rPr>
        <w:t>后</w:t>
      </w:r>
      <w:r>
        <w:rPr>
          <w:rFonts w:eastAsia="方正仿宋_GBK"/>
          <w:kern w:val="0"/>
          <w:sz w:val="32"/>
          <w:szCs w:val="32"/>
        </w:rPr>
        <w:t>，方可进行。营运期各类变压器等设备应选择低噪声设备</w:t>
      </w:r>
      <w:r>
        <w:rPr>
          <w:rFonts w:eastAsia="方正仿宋_GBK" w:hint="eastAsia"/>
          <w:kern w:val="0"/>
          <w:sz w:val="32"/>
          <w:szCs w:val="32"/>
        </w:rPr>
        <w:t>，并</w:t>
      </w:r>
      <w:r>
        <w:rPr>
          <w:rFonts w:eastAsia="方正仿宋_GBK"/>
          <w:kern w:val="0"/>
          <w:sz w:val="32"/>
          <w:szCs w:val="32"/>
        </w:rPr>
        <w:t>加强对设备的维护，定期检修使其处于良好运行状态。</w:t>
      </w:r>
    </w:p>
    <w:p w:rsidR="0034715B" w:rsidRDefault="0034715B" w:rsidP="0034715B">
      <w:pPr>
        <w:spacing w:line="578" w:lineRule="exact"/>
        <w:ind w:right="26" w:firstLineChars="220" w:firstLine="704"/>
        <w:rPr>
          <w:rFonts w:eastAsia="方正仿宋_GBK"/>
          <w:kern w:val="0"/>
          <w:sz w:val="32"/>
          <w:szCs w:val="32"/>
        </w:rPr>
      </w:pPr>
      <w:r>
        <w:rPr>
          <w:rFonts w:eastAsia="方正仿宋_GBK"/>
          <w:kern w:val="0"/>
          <w:sz w:val="32"/>
          <w:szCs w:val="32"/>
        </w:rPr>
        <w:t>（</w:t>
      </w:r>
      <w:r>
        <w:rPr>
          <w:rFonts w:eastAsia="方正仿宋_GBK" w:hint="eastAsia"/>
          <w:kern w:val="0"/>
          <w:sz w:val="32"/>
          <w:szCs w:val="32"/>
        </w:rPr>
        <w:t>五</w:t>
      </w:r>
      <w:r>
        <w:rPr>
          <w:rFonts w:eastAsia="方正仿宋_GBK"/>
          <w:kern w:val="0"/>
          <w:sz w:val="32"/>
          <w:szCs w:val="32"/>
        </w:rPr>
        <w:t>）妥善处置固体废物。施工人员生活垃圾</w:t>
      </w:r>
      <w:r>
        <w:rPr>
          <w:rFonts w:eastAsia="方正仿宋_GBK" w:hint="eastAsia"/>
          <w:kern w:val="0"/>
          <w:sz w:val="32"/>
          <w:szCs w:val="32"/>
        </w:rPr>
        <w:t>集中</w:t>
      </w:r>
      <w:r>
        <w:rPr>
          <w:rFonts w:eastAsia="方正仿宋_GBK"/>
          <w:kern w:val="0"/>
          <w:sz w:val="32"/>
          <w:szCs w:val="32"/>
        </w:rPr>
        <w:t>收集</w:t>
      </w:r>
      <w:r>
        <w:rPr>
          <w:rFonts w:eastAsia="方正仿宋_GBK" w:hint="eastAsia"/>
          <w:kern w:val="0"/>
          <w:sz w:val="32"/>
          <w:szCs w:val="32"/>
        </w:rPr>
        <w:t>后及时交当地</w:t>
      </w:r>
      <w:r>
        <w:rPr>
          <w:rFonts w:eastAsia="方正仿宋_GBK"/>
          <w:kern w:val="0"/>
          <w:sz w:val="32"/>
          <w:szCs w:val="32"/>
        </w:rPr>
        <w:t>环卫部门处理</w:t>
      </w:r>
      <w:r>
        <w:rPr>
          <w:rFonts w:eastAsia="方正仿宋_GBK" w:hint="eastAsia"/>
          <w:kern w:val="0"/>
          <w:sz w:val="32"/>
          <w:szCs w:val="32"/>
        </w:rPr>
        <w:t>。施工结束后及时拆除施工项目部等临时建筑物，全面清理可能残留的砂石料、混凝土等建筑垃圾和生活垃圾以及临时堆土，并做好建筑垃圾清运、场地清理和迹地恢复。运营期产生的废光伏组件由厂家更换后回收统一处置。产生的废变压器油、废含油棉纱手套、废铅蓄电池等危险废物应规范暂存于危险废物贮存库，委托有资质单位处置。</w:t>
      </w:r>
    </w:p>
    <w:p w:rsidR="0034715B" w:rsidRDefault="0034715B" w:rsidP="0034715B">
      <w:pPr>
        <w:spacing w:line="578" w:lineRule="exact"/>
        <w:ind w:right="26" w:firstLineChars="220" w:firstLine="704"/>
        <w:rPr>
          <w:rFonts w:eastAsia="方正仿宋_GBK"/>
          <w:bCs/>
          <w:color w:val="000000"/>
          <w:sz w:val="32"/>
        </w:rPr>
      </w:pPr>
      <w:r>
        <w:rPr>
          <w:rFonts w:eastAsia="方正仿宋_GBK"/>
          <w:sz w:val="32"/>
          <w:szCs w:val="32"/>
        </w:rPr>
        <w:t>（六）抓好日常环境管理及风险防范。</w:t>
      </w:r>
      <w:r>
        <w:rPr>
          <w:rFonts w:eastAsia="方正仿宋_GBK" w:hint="eastAsia"/>
          <w:bCs/>
          <w:color w:val="000000"/>
          <w:sz w:val="32"/>
        </w:rPr>
        <w:t>建立环境管理制度，落实专人负责日常环保工作。加强建设过程中的生态环境保护措施、环保设施措施落实情况管理；按照本项目环境影响评价</w:t>
      </w:r>
      <w:r>
        <w:rPr>
          <w:rFonts w:eastAsia="方正仿宋_GBK"/>
          <w:bCs/>
          <w:color w:val="000000"/>
          <w:sz w:val="32"/>
        </w:rPr>
        <w:t>文件</w:t>
      </w:r>
      <w:r>
        <w:rPr>
          <w:rFonts w:eastAsia="方正仿宋_GBK" w:hint="eastAsia"/>
          <w:bCs/>
          <w:color w:val="000000"/>
          <w:sz w:val="32"/>
        </w:rPr>
        <w:t>要求，开展环境监测工作。营运期间加强变压器等设备维护保养，避免变压器油泄漏；事故油池须满足存储最大泄漏量要求，并采取防渗处理，防止油品污染土壤和地下水。</w:t>
      </w:r>
    </w:p>
    <w:p w:rsidR="0034715B" w:rsidRDefault="0034715B" w:rsidP="0034715B">
      <w:pPr>
        <w:spacing w:line="578" w:lineRule="exact"/>
        <w:ind w:right="-58" w:firstLine="709"/>
        <w:rPr>
          <w:rFonts w:eastAsia="方正仿宋_GBK"/>
          <w:bCs/>
          <w:sz w:val="32"/>
          <w:szCs w:val="32"/>
        </w:rPr>
      </w:pPr>
      <w:r>
        <w:rPr>
          <w:rFonts w:eastAsia="方正仿宋_GBK"/>
          <w:bCs/>
          <w:sz w:val="32"/>
          <w:szCs w:val="32"/>
        </w:rPr>
        <w:t>五、该项目建设必须严格执行环境保护污染治理设施和生态保护措施与主体工程同时设计、同时施工、同时投入使用的环境保护</w:t>
      </w:r>
      <w:r>
        <w:rPr>
          <w:rFonts w:eastAsia="方正仿宋_GBK"/>
          <w:bCs/>
          <w:sz w:val="32"/>
          <w:szCs w:val="32"/>
        </w:rPr>
        <w:t>“</w:t>
      </w:r>
      <w:r>
        <w:rPr>
          <w:rFonts w:eastAsia="方正仿宋_GBK"/>
          <w:bCs/>
          <w:sz w:val="32"/>
          <w:szCs w:val="32"/>
        </w:rPr>
        <w:t>三同时</w:t>
      </w:r>
      <w:r>
        <w:rPr>
          <w:rFonts w:eastAsia="方正仿宋_GBK"/>
          <w:bCs/>
          <w:sz w:val="32"/>
          <w:szCs w:val="32"/>
        </w:rPr>
        <w:t>”</w:t>
      </w:r>
      <w:r>
        <w:rPr>
          <w:rFonts w:eastAsia="方正仿宋_GBK"/>
          <w:bCs/>
          <w:sz w:val="32"/>
          <w:szCs w:val="32"/>
        </w:rPr>
        <w:t>制度。项目竣工后，建设单位必须按</w:t>
      </w:r>
      <w:r>
        <w:rPr>
          <w:rFonts w:eastAsia="方正仿宋_GBK"/>
          <w:bCs/>
          <w:sz w:val="32"/>
          <w:szCs w:val="32"/>
        </w:rPr>
        <w:lastRenderedPageBreak/>
        <w:t>照规定程序及时开展竣工环保验收，建设单位应通过网站或其他便于公众知晓的方式公开环保设施竣工时间、调试期限、验收报告等信息，并同时报送我局备查；验收公示期满</w:t>
      </w:r>
      <w:r>
        <w:rPr>
          <w:rFonts w:eastAsia="方正仿宋_GBK"/>
          <w:bCs/>
          <w:sz w:val="32"/>
          <w:szCs w:val="32"/>
        </w:rPr>
        <w:t>5</w:t>
      </w:r>
      <w:r>
        <w:rPr>
          <w:rFonts w:eastAsia="方正仿宋_GBK"/>
          <w:bCs/>
          <w:sz w:val="32"/>
          <w:szCs w:val="32"/>
        </w:rPr>
        <w:t>个工作日内，建设单位应将项目验收相关信息填报于全国建设项目环境影响评价管理信息平台。项目验收合格后，方能正式投入使用。</w:t>
      </w:r>
    </w:p>
    <w:p w:rsidR="0034715B" w:rsidRDefault="0034715B" w:rsidP="0034715B">
      <w:pPr>
        <w:spacing w:line="578" w:lineRule="exact"/>
        <w:ind w:right="-58" w:firstLine="709"/>
        <w:rPr>
          <w:rFonts w:eastAsia="方正仿宋_GBK"/>
          <w:sz w:val="32"/>
          <w:szCs w:val="32"/>
        </w:rPr>
      </w:pPr>
      <w:r>
        <w:rPr>
          <w:rFonts w:eastAsia="方正仿宋_GBK"/>
          <w:sz w:val="32"/>
          <w:szCs w:val="32"/>
        </w:rPr>
        <w:t>六、该项目性质、规模、地点或者防治污染措施等发生重大变化时，你单位应当重新报批该项目的环境影响评价文件。</w:t>
      </w:r>
    </w:p>
    <w:p w:rsidR="0034715B" w:rsidRDefault="0034715B" w:rsidP="0034715B">
      <w:pPr>
        <w:spacing w:line="578" w:lineRule="exact"/>
        <w:ind w:right="-58" w:firstLineChars="200" w:firstLine="640"/>
        <w:rPr>
          <w:rFonts w:eastAsia="方正仿宋_GBK"/>
          <w:bCs/>
          <w:sz w:val="32"/>
        </w:rPr>
      </w:pPr>
      <w:r>
        <w:rPr>
          <w:rFonts w:eastAsia="方正仿宋_GBK"/>
          <w:bCs/>
          <w:sz w:val="32"/>
        </w:rPr>
        <w:t>七、请县生态环境保护综合行政执法支队、</w:t>
      </w:r>
      <w:r>
        <w:rPr>
          <w:rFonts w:eastAsia="方正仿宋_GBK" w:hint="eastAsia"/>
          <w:bCs/>
          <w:sz w:val="32"/>
        </w:rPr>
        <w:t>南溪镇</w:t>
      </w:r>
      <w:r>
        <w:rPr>
          <w:rFonts w:eastAsia="方正仿宋_GBK"/>
          <w:bCs/>
          <w:sz w:val="32"/>
        </w:rPr>
        <w:t>人民政府负责该项目环境保护日常监督管理工作。</w:t>
      </w:r>
    </w:p>
    <w:p w:rsidR="0034715B" w:rsidRDefault="0034715B" w:rsidP="0034715B">
      <w:pPr>
        <w:spacing w:line="578" w:lineRule="exact"/>
        <w:ind w:right="-58" w:firstLineChars="200" w:firstLine="640"/>
        <w:rPr>
          <w:rFonts w:eastAsia="方正仿宋_GBK"/>
          <w:sz w:val="32"/>
          <w:szCs w:val="32"/>
        </w:rPr>
      </w:pPr>
      <w:r>
        <w:rPr>
          <w:rFonts w:eastAsia="方正仿宋_GBK"/>
          <w:sz w:val="32"/>
          <w:szCs w:val="32"/>
        </w:rPr>
        <w:t>你单位如不服本行政决定，可在接到批准书之日起六十日内依法向云阳县人民政府申请复议，也可在六个月内直接向云阳县人民法院起诉。</w:t>
      </w:r>
    </w:p>
    <w:p w:rsidR="0034715B" w:rsidRDefault="0034715B" w:rsidP="0034715B">
      <w:pPr>
        <w:pStyle w:val="tb"/>
        <w:spacing w:line="560" w:lineRule="exact"/>
        <w:ind w:firstLineChars="200" w:firstLine="640"/>
        <w:rPr>
          <w:rFonts w:ascii="方正仿宋_GBK" w:eastAsia="方正仿宋_GBK" w:hAnsi="宋体" w:hint="eastAsia"/>
          <w:bCs/>
          <w:sz w:val="32"/>
          <w:szCs w:val="32"/>
        </w:rPr>
      </w:pPr>
    </w:p>
    <w:p w:rsidR="0034715B" w:rsidRDefault="0034715B" w:rsidP="0034715B">
      <w:pPr>
        <w:pStyle w:val="tb"/>
        <w:spacing w:line="560" w:lineRule="exact"/>
        <w:ind w:firstLineChars="200" w:firstLine="640"/>
        <w:rPr>
          <w:rFonts w:ascii="方正仿宋_GBK" w:eastAsia="方正仿宋_GBK" w:hAnsi="宋体" w:hint="eastAsia"/>
          <w:bCs/>
          <w:sz w:val="32"/>
          <w:szCs w:val="32"/>
        </w:rPr>
      </w:pPr>
    </w:p>
    <w:p w:rsidR="0034715B" w:rsidRPr="00B5780B" w:rsidRDefault="0034715B" w:rsidP="0034715B">
      <w:pPr>
        <w:pStyle w:val="tb"/>
        <w:spacing w:line="560" w:lineRule="exact"/>
        <w:ind w:firstLineChars="200" w:firstLine="640"/>
        <w:rPr>
          <w:rFonts w:ascii="方正仿宋_GBK" w:eastAsia="方正仿宋_GBK" w:hAnsi="宋体"/>
          <w:bCs/>
          <w:sz w:val="32"/>
          <w:szCs w:val="32"/>
        </w:rPr>
      </w:pPr>
      <w:r>
        <w:rPr>
          <w:rFonts w:ascii="方正仿宋_GBK" w:eastAsia="方正仿宋_GBK" w:hAnsi="宋体" w:hint="eastAsia"/>
          <w:bCs/>
          <w:sz w:val="32"/>
          <w:szCs w:val="32"/>
        </w:rPr>
        <w:t xml:space="preserve">                               </w:t>
      </w:r>
      <w:r w:rsidRPr="00497BD8">
        <w:rPr>
          <w:rFonts w:eastAsia="方正仿宋_GBK"/>
          <w:color w:val="000000"/>
          <w:sz w:val="32"/>
          <w:szCs w:val="32"/>
        </w:rPr>
        <w:t>云阳县生态环境</w:t>
      </w:r>
      <w:r w:rsidRPr="00497BD8">
        <w:rPr>
          <w:rFonts w:eastAsia="方正仿宋_GBK" w:hint="eastAsia"/>
          <w:color w:val="000000"/>
          <w:sz w:val="32"/>
          <w:szCs w:val="32"/>
        </w:rPr>
        <w:t>局</w:t>
      </w:r>
    </w:p>
    <w:p w:rsidR="0034715B" w:rsidRDefault="0034715B" w:rsidP="0034715B">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34715B" w:rsidRDefault="0034715B" w:rsidP="0034715B">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1" w:name="timeDate"/>
      <w:r>
        <w:rPr>
          <w:rFonts w:ascii="方正仿宋_GBK" w:eastAsia="方正仿宋_GBK" w:hAnsi="宋体"/>
          <w:bCs/>
          <w:sz w:val="32"/>
        </w:rPr>
        <w:t>2024年7月19日</w:t>
      </w:r>
      <w:bookmarkEnd w:id="1"/>
      <w:r>
        <w:rPr>
          <w:rFonts w:ascii="方正仿宋_GBK" w:eastAsia="方正仿宋_GBK" w:hAnsi="宋体" w:hint="eastAsia"/>
          <w:bCs/>
          <w:sz w:val="32"/>
        </w:rPr>
        <w:t xml:space="preserve">   </w:t>
      </w:r>
    </w:p>
    <w:p w:rsidR="0034715B" w:rsidRDefault="0034715B" w:rsidP="0034715B">
      <w:pPr>
        <w:spacing w:line="560" w:lineRule="exact"/>
        <w:rPr>
          <w:rFonts w:ascii="方正仿宋_GBK" w:eastAsia="方正仿宋_GBK" w:hAnsi="宋体"/>
          <w:bCs/>
          <w:sz w:val="32"/>
          <w:szCs w:val="32"/>
        </w:rPr>
      </w:pPr>
    </w:p>
    <w:p w:rsidR="0034715B" w:rsidRDefault="0034715B" w:rsidP="0034715B">
      <w:pPr>
        <w:spacing w:line="560" w:lineRule="exact"/>
        <w:rPr>
          <w:rFonts w:ascii="方正仿宋_GBK" w:eastAsia="方正仿宋_GBK"/>
          <w:sz w:val="32"/>
          <w:szCs w:val="32"/>
        </w:rPr>
      </w:pPr>
    </w:p>
    <w:p w:rsidR="0034715B" w:rsidRDefault="0034715B" w:rsidP="0034715B">
      <w:pPr>
        <w:rPr>
          <w:rFonts w:eastAsia="方正仿宋_GBK" w:hint="eastAsia"/>
          <w:kern w:val="0"/>
          <w:sz w:val="32"/>
          <w:szCs w:val="32"/>
        </w:rPr>
      </w:pPr>
    </w:p>
    <w:p w:rsidR="00657C92" w:rsidRPr="0034715B" w:rsidRDefault="0034715B">
      <w:pPr>
        <w:rPr>
          <w:color w:val="FF0000"/>
        </w:rPr>
      </w:pPr>
      <w:r>
        <w:rPr>
          <w:rFonts w:eastAsia="方正仿宋_GBK"/>
          <w:kern w:val="0"/>
          <w:sz w:val="32"/>
          <w:szCs w:val="32"/>
        </w:rPr>
        <w:t>抄送：</w:t>
      </w:r>
      <w:r>
        <w:rPr>
          <w:rFonts w:eastAsia="方正仿宋_GBK" w:hint="eastAsia"/>
          <w:bCs/>
          <w:sz w:val="32"/>
        </w:rPr>
        <w:t>南溪镇</w:t>
      </w:r>
      <w:r>
        <w:rPr>
          <w:rFonts w:eastAsia="方正仿宋_GBK"/>
          <w:bCs/>
          <w:sz w:val="32"/>
        </w:rPr>
        <w:t>，</w:t>
      </w:r>
      <w:r>
        <w:rPr>
          <w:rFonts w:eastAsia="方正仿宋_GBK"/>
          <w:kern w:val="0"/>
          <w:sz w:val="32"/>
          <w:szCs w:val="32"/>
        </w:rPr>
        <w:t>县发展改革委、县规划自然资源局、县林业局</w:t>
      </w:r>
      <w:r>
        <w:rPr>
          <w:rFonts w:eastAsia="方正仿宋_GBK"/>
          <w:bCs/>
          <w:sz w:val="32"/>
        </w:rPr>
        <w:t>，</w:t>
      </w:r>
      <w:r>
        <w:rPr>
          <w:rFonts w:eastAsia="方正仿宋_GBK"/>
          <w:kern w:val="0"/>
          <w:sz w:val="32"/>
          <w:szCs w:val="32"/>
        </w:rPr>
        <w:t>县生态环境保护综合行政执法支队。</w:t>
      </w:r>
    </w:p>
    <w:sectPr w:rsidR="00657C92" w:rsidRPr="0034715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C92" w:rsidRDefault="00657C92" w:rsidP="0034715B">
      <w:r>
        <w:separator/>
      </w:r>
    </w:p>
  </w:endnote>
  <w:endnote w:type="continuationSeparator" w:id="1">
    <w:p w:rsidR="00657C92" w:rsidRDefault="00657C92" w:rsidP="00347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00"/>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C92" w:rsidRDefault="00657C92" w:rsidP="0034715B">
      <w:r>
        <w:separator/>
      </w:r>
    </w:p>
  </w:footnote>
  <w:footnote w:type="continuationSeparator" w:id="1">
    <w:p w:rsidR="00657C92" w:rsidRDefault="00657C92" w:rsidP="00347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15B"/>
    <w:rsid w:val="000F2952"/>
    <w:rsid w:val="0034715B"/>
    <w:rsid w:val="00657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5B"/>
    <w:pPr>
      <w:widowControl w:val="0"/>
      <w:jc w:val="both"/>
    </w:pPr>
    <w:rPr>
      <w:rFonts w:ascii="Times New Roman" w:eastAsia="宋体" w:hAnsi="Times New Roman" w:cs="Times New Roman"/>
      <w:szCs w:val="24"/>
    </w:rPr>
  </w:style>
  <w:style w:type="paragraph" w:styleId="1">
    <w:name w:val="heading 1"/>
    <w:basedOn w:val="a"/>
    <w:next w:val="a"/>
    <w:link w:val="1Char"/>
    <w:qFormat/>
    <w:rsid w:val="0034715B"/>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1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715B"/>
    <w:rPr>
      <w:sz w:val="18"/>
      <w:szCs w:val="18"/>
    </w:rPr>
  </w:style>
  <w:style w:type="paragraph" w:styleId="a4">
    <w:name w:val="footer"/>
    <w:basedOn w:val="a"/>
    <w:link w:val="Char0"/>
    <w:uiPriority w:val="99"/>
    <w:semiHidden/>
    <w:unhideWhenUsed/>
    <w:rsid w:val="003471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715B"/>
    <w:rPr>
      <w:sz w:val="18"/>
      <w:szCs w:val="18"/>
    </w:rPr>
  </w:style>
  <w:style w:type="character" w:customStyle="1" w:styleId="1Char">
    <w:name w:val="标题 1 Char"/>
    <w:basedOn w:val="a0"/>
    <w:link w:val="1"/>
    <w:rsid w:val="0034715B"/>
    <w:rPr>
      <w:rFonts w:ascii="仿宋_GB2312" w:eastAsia="仿宋_GB2312" w:hAnsi="Times New Roman" w:cs="Times New Roman"/>
      <w:b/>
      <w:color w:val="000000"/>
      <w:sz w:val="24"/>
      <w:szCs w:val="24"/>
    </w:rPr>
  </w:style>
  <w:style w:type="paragraph" w:styleId="a5">
    <w:name w:val="Body Text"/>
    <w:basedOn w:val="a"/>
    <w:link w:val="Char1"/>
    <w:rsid w:val="0034715B"/>
    <w:pPr>
      <w:widowControl/>
      <w:jc w:val="left"/>
    </w:pPr>
    <w:rPr>
      <w:kern w:val="0"/>
      <w:sz w:val="32"/>
      <w:szCs w:val="20"/>
    </w:rPr>
  </w:style>
  <w:style w:type="character" w:customStyle="1" w:styleId="Char1">
    <w:name w:val="正文文本 Char"/>
    <w:basedOn w:val="a0"/>
    <w:link w:val="a5"/>
    <w:rsid w:val="0034715B"/>
    <w:rPr>
      <w:rFonts w:ascii="Times New Roman" w:eastAsia="宋体" w:hAnsi="Times New Roman" w:cs="Times New Roman"/>
      <w:kern w:val="0"/>
      <w:sz w:val="32"/>
      <w:szCs w:val="20"/>
    </w:rPr>
  </w:style>
  <w:style w:type="paragraph" w:customStyle="1" w:styleId="tb">
    <w:name w:val="tb"/>
    <w:basedOn w:val="a"/>
    <w:link w:val="tbChar"/>
    <w:qFormat/>
    <w:rsid w:val="0034715B"/>
    <w:pPr>
      <w:spacing w:line="400" w:lineRule="atLeast"/>
    </w:pPr>
    <w:rPr>
      <w:rFonts w:ascii="宋体" w:hAnsi="Arial"/>
      <w:sz w:val="24"/>
      <w:szCs w:val="22"/>
    </w:rPr>
  </w:style>
  <w:style w:type="character" w:customStyle="1" w:styleId="tbChar">
    <w:name w:val="tb Char"/>
    <w:link w:val="tb"/>
    <w:rsid w:val="0034715B"/>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1805</Characters>
  <Application>Microsoft Office Word</Application>
  <DocSecurity>0</DocSecurity>
  <Lines>15</Lines>
  <Paragraphs>4</Paragraphs>
  <ScaleCrop>false</ScaleCrop>
  <Company>微软中国</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2024-07-19T09:28:00Z</dcterms:created>
  <dcterms:modified xsi:type="dcterms:W3CDTF">2024-07-19T09:29:00Z</dcterms:modified>
</cp:coreProperties>
</file>