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  <w:lang w:val="en-US" w:eastAsia="zh-CN"/>
        </w:rPr>
        <w:t>云阳县</w:t>
      </w: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关于202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  <w:lang w:val="en-US" w:eastAsia="zh-CN"/>
        </w:rPr>
        <w:t>5上半</w:t>
      </w: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年市级产品质量监督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抽查结果的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情况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  <w:lang w:val="en-US" w:eastAsia="zh-CN"/>
        </w:rPr>
        <w:t>公示</w:t>
      </w:r>
      <w:bookmarkStart w:id="0" w:name="_GoBack"/>
      <w:bookmarkEnd w:id="0"/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按照《中华人民共和国产品质量法》等法律法规的相关规定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现将2025年上半年市级产品质量监督抽查结果的情况公示如下。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积极配合重庆市市场监督管理局对辖区塑料包装容器工具、家用燃气灶具等6个大类16个品类32批次产品开展了监督抽查。均由重庆市计量质量检测研究院完成抽样工作，合格31批次，不合格1批次，合格率为96.875%。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pacing w:val="6"/>
          <w:sz w:val="24"/>
          <w:szCs w:val="24"/>
        </w:rPr>
        <w:t>表</w:t>
      </w:r>
      <w:r>
        <w:rPr>
          <w:rFonts w:hint="default" w:ascii="Times New Roman" w:hAnsi="Times New Roman" w:eastAsia="方正仿宋_GBK" w:cs="Times New Roman"/>
          <w:spacing w:val="-44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24"/>
          <w:szCs w:val="24"/>
        </w:rPr>
        <w:t>1</w:t>
      </w:r>
      <w:r>
        <w:rPr>
          <w:rFonts w:hint="eastAsia" w:ascii="Times New Roman" w:hAnsi="Times New Roman" w:eastAsia="方正仿宋_GBK" w:cs="Times New Roman"/>
          <w:spacing w:val="6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pacing w:val="6"/>
          <w:sz w:val="24"/>
          <w:szCs w:val="24"/>
        </w:rPr>
        <w:t>202</w:t>
      </w:r>
      <w:r>
        <w:rPr>
          <w:rFonts w:hint="eastAsia" w:ascii="Times New Roman" w:hAnsi="Times New Roman" w:eastAsia="方正仿宋_GBK" w:cs="Times New Roman"/>
          <w:spacing w:val="6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61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24"/>
          <w:szCs w:val="24"/>
        </w:rPr>
        <w:t>年</w:t>
      </w:r>
      <w:r>
        <w:rPr>
          <w:rFonts w:hint="eastAsia" w:ascii="Times New Roman" w:hAnsi="Times New Roman" w:eastAsia="方正仿宋_GBK" w:cs="Times New Roman"/>
          <w:spacing w:val="6"/>
          <w:sz w:val="24"/>
          <w:szCs w:val="24"/>
          <w:lang w:eastAsia="zh-CN"/>
        </w:rPr>
        <w:t>上半年</w:t>
      </w:r>
      <w:r>
        <w:rPr>
          <w:rFonts w:hint="default" w:ascii="Times New Roman" w:hAnsi="Times New Roman" w:eastAsia="方正仿宋_GBK" w:cs="Times New Roman"/>
          <w:spacing w:val="6"/>
          <w:sz w:val="24"/>
          <w:szCs w:val="24"/>
        </w:rPr>
        <w:t>产品质量监督抽查明细表</w:t>
      </w:r>
    </w:p>
    <w:tbl>
      <w:tblPr>
        <w:tblStyle w:val="6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669"/>
        <w:gridCol w:w="2607"/>
        <w:gridCol w:w="872"/>
        <w:gridCol w:w="860"/>
        <w:gridCol w:w="806"/>
        <w:gridCol w:w="816"/>
        <w:gridCol w:w="860"/>
        <w:gridCol w:w="956"/>
      </w:tblGrid>
      <w:tr>
        <w:trPr>
          <w:trHeight w:val="461" w:hRule="atLeast"/>
          <w:jc w:val="center"/>
        </w:trPr>
        <w:tc>
          <w:tcPr>
            <w:tcW w:w="1611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12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spacing w:before="267" w:line="229" w:lineRule="auto"/>
              <w:ind w:left="215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7"/>
                <w:sz w:val="24"/>
                <w:szCs w:val="24"/>
              </w:rPr>
              <w:t>产品类别</w:t>
            </w:r>
          </w:p>
        </w:tc>
        <w:tc>
          <w:tcPr>
            <w:tcW w:w="669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12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spacing w:before="267" w:line="231" w:lineRule="auto"/>
              <w:ind w:left="121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4"/>
                <w:sz w:val="24"/>
                <w:szCs w:val="24"/>
              </w:rPr>
              <w:t>序号</w:t>
            </w:r>
          </w:p>
        </w:tc>
        <w:tc>
          <w:tcPr>
            <w:tcW w:w="2607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12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spacing w:before="267" w:line="23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7"/>
                <w:sz w:val="24"/>
                <w:szCs w:val="24"/>
              </w:rPr>
              <w:t>产品名称</w:t>
            </w:r>
          </w:p>
        </w:tc>
        <w:tc>
          <w:tcPr>
            <w:tcW w:w="173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12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spacing w:before="92" w:line="228" w:lineRule="auto"/>
              <w:ind w:left="294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7"/>
                <w:sz w:val="24"/>
                <w:szCs w:val="24"/>
              </w:rPr>
              <w:t>抽查批次</w:t>
            </w:r>
          </w:p>
        </w:tc>
        <w:tc>
          <w:tcPr>
            <w:tcW w:w="16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12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spacing w:before="92" w:line="228" w:lineRule="auto"/>
              <w:ind w:left="282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7"/>
                <w:sz w:val="24"/>
                <w:szCs w:val="24"/>
              </w:rPr>
              <w:t>不合格批次</w:t>
            </w:r>
          </w:p>
        </w:tc>
        <w:tc>
          <w:tcPr>
            <w:tcW w:w="181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12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pStyle w:val="7"/>
              <w:spacing w:before="92" w:line="228" w:lineRule="auto"/>
              <w:ind w:left="127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6"/>
                <w:sz w:val="24"/>
                <w:szCs w:val="24"/>
              </w:rPr>
              <w:t>不合格率（%）</w:t>
            </w:r>
          </w:p>
        </w:tc>
      </w:tr>
      <w:tr>
        <w:trPr>
          <w:trHeight w:val="468" w:hRule="atLeast"/>
          <w:jc w:val="center"/>
        </w:trPr>
        <w:tc>
          <w:tcPr>
            <w:tcW w:w="1611" w:type="dxa"/>
            <w:vMerge w:val="continue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spacing w:before="85" w:line="230" w:lineRule="auto"/>
              <w:ind w:left="13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5"/>
                <w:sz w:val="24"/>
                <w:szCs w:val="24"/>
              </w:rPr>
              <w:t>生产</w:t>
            </w:r>
          </w:p>
        </w:tc>
        <w:tc>
          <w:tcPr>
            <w:tcW w:w="860" w:type="dxa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spacing w:before="86" w:line="229" w:lineRule="auto"/>
              <w:ind w:left="165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3"/>
                <w:sz w:val="24"/>
                <w:szCs w:val="24"/>
              </w:rPr>
              <w:t>流通</w:t>
            </w:r>
          </w:p>
        </w:tc>
        <w:tc>
          <w:tcPr>
            <w:tcW w:w="806" w:type="dxa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spacing w:before="85" w:line="230" w:lineRule="auto"/>
              <w:ind w:left="17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5"/>
                <w:sz w:val="24"/>
                <w:szCs w:val="24"/>
              </w:rPr>
              <w:t>生产</w:t>
            </w:r>
          </w:p>
        </w:tc>
        <w:tc>
          <w:tcPr>
            <w:tcW w:w="816" w:type="dxa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spacing w:before="86" w:line="229" w:lineRule="auto"/>
              <w:ind w:left="221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3"/>
                <w:sz w:val="24"/>
                <w:szCs w:val="24"/>
              </w:rPr>
              <w:t>流通</w:t>
            </w:r>
          </w:p>
        </w:tc>
        <w:tc>
          <w:tcPr>
            <w:tcW w:w="860" w:type="dxa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spacing w:before="85" w:line="230" w:lineRule="auto"/>
              <w:ind w:left="174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5"/>
                <w:sz w:val="24"/>
                <w:szCs w:val="24"/>
              </w:rPr>
              <w:t>生产</w:t>
            </w:r>
          </w:p>
        </w:tc>
        <w:tc>
          <w:tcPr>
            <w:tcW w:w="956" w:type="dxa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spacing w:before="86" w:line="229" w:lineRule="auto"/>
              <w:ind w:left="258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3"/>
                <w:sz w:val="24"/>
                <w:szCs w:val="24"/>
              </w:rPr>
              <w:t>流通</w:t>
            </w:r>
          </w:p>
        </w:tc>
      </w:tr>
      <w:tr>
        <w:trPr>
          <w:trHeight w:val="375" w:hRule="atLeast"/>
          <w:jc w:val="center"/>
        </w:trPr>
        <w:tc>
          <w:tcPr>
            <w:tcW w:w="161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eastAsia="宋体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食品相关产品</w:t>
            </w: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塑料包装容器工具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375" w:hRule="atLeast"/>
          <w:jc w:val="center"/>
        </w:trPr>
        <w:tc>
          <w:tcPr>
            <w:tcW w:w="1611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日用消费品</w:t>
            </w: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儿童及婴幼儿服装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375" w:hRule="atLeast"/>
          <w:jc w:val="center"/>
        </w:trPr>
        <w:tc>
          <w:tcPr>
            <w:tcW w:w="1611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家用燃气灶具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403" w:hRule="atLeast"/>
          <w:jc w:val="center"/>
        </w:trPr>
        <w:tc>
          <w:tcPr>
            <w:tcW w:w="1611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老年人用品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376" w:hRule="atLeast"/>
          <w:jc w:val="center"/>
        </w:trPr>
        <w:tc>
          <w:tcPr>
            <w:tcW w:w="1611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学生文具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375" w:hRule="atLeast"/>
          <w:jc w:val="center"/>
        </w:trPr>
        <w:tc>
          <w:tcPr>
            <w:tcW w:w="1611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家用电动洗衣机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375" w:hRule="atLeast"/>
          <w:jc w:val="center"/>
        </w:trPr>
        <w:tc>
          <w:tcPr>
            <w:tcW w:w="1611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皮鞋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375" w:hRule="atLeast"/>
          <w:jc w:val="center"/>
        </w:trPr>
        <w:tc>
          <w:tcPr>
            <w:tcW w:w="1611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农业生产资料</w:t>
            </w: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农用薄膜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375" w:hRule="atLeast"/>
          <w:jc w:val="center"/>
        </w:trPr>
        <w:tc>
          <w:tcPr>
            <w:tcW w:w="1611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肥料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431" w:hRule="atLeast"/>
          <w:jc w:val="center"/>
        </w:trPr>
        <w:tc>
          <w:tcPr>
            <w:tcW w:w="161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建筑装修材料</w:t>
            </w: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通用水泥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375" w:hRule="atLeast"/>
          <w:jc w:val="center"/>
        </w:trPr>
        <w:tc>
          <w:tcPr>
            <w:tcW w:w="1611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工业生产资料</w:t>
            </w: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车用汽油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375" w:hRule="atLeast"/>
          <w:jc w:val="center"/>
        </w:trPr>
        <w:tc>
          <w:tcPr>
            <w:tcW w:w="1611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车用压缩天然气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375" w:hRule="atLeast"/>
          <w:jc w:val="center"/>
        </w:trPr>
        <w:tc>
          <w:tcPr>
            <w:tcW w:w="1611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液化石油气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50%</w:t>
            </w:r>
          </w:p>
        </w:tc>
      </w:tr>
      <w:tr>
        <w:trPr>
          <w:trHeight w:val="528" w:hRule="atLeast"/>
          <w:jc w:val="center"/>
        </w:trPr>
        <w:tc>
          <w:tcPr>
            <w:tcW w:w="1611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建筑安全玻璃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375" w:hRule="atLeast"/>
          <w:jc w:val="center"/>
        </w:trPr>
        <w:tc>
          <w:tcPr>
            <w:tcW w:w="1611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其他石油制品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665" w:hRule="atLeast"/>
          <w:jc w:val="center"/>
        </w:trPr>
        <w:tc>
          <w:tcPr>
            <w:tcW w:w="161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电子及信息技术产品</w:t>
            </w: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综合布线系统、网格线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375" w:hRule="atLeast"/>
          <w:jc w:val="center"/>
        </w:trPr>
        <w:tc>
          <w:tcPr>
            <w:tcW w:w="161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4.76%</w:t>
            </w:r>
          </w:p>
        </w:tc>
      </w:tr>
      <w:tr>
        <w:trPr>
          <w:trHeight w:val="520" w:hRule="atLeast"/>
          <w:jc w:val="center"/>
        </w:trPr>
        <w:tc>
          <w:tcPr>
            <w:tcW w:w="161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6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4"/>
                <w:szCs w:val="24"/>
                <w:lang w:val="en-US" w:eastAsia="zh-CN"/>
              </w:rPr>
              <w:t>3.125%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  <w:t>抽查类别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2025上半年市级监督抽查产品包括食品相关产品、日用消费品、建筑装修材料、农业生产资料、工业生产资料、电子及信息技术产品。其中食品相关产品5批次，日用消费品9批次，建筑装修材料1批次，农业生产资料3批次， 工业生产资料13批次、电子及信息技术产品1批次。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  <w:t>不合格批次具体情况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流通领域1批次抽查不合格产品为液化石油气，生产单位：奉节县纽扬液化气有限公司；受检单位：云阳县兆明液化石油气经营点；充装日期：2025年3月23日；检验结论：经抽样检验，组分（（C3+C4）烃类组分（体积分数））和组分（C5及C5以上烃类组分（体积分数））项目不符合GB 11174-2011标准（商品丙丁烷混合物）,依据《重庆市液化石油气产品质量监督抽查实施细则（2025年版）》，判定为被抽查产品不合格。</w:t>
      </w:r>
    </w:p>
    <w:sectPr>
      <w:footerReference r:id="rId5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 w:val="0"/>
                      <w:ind w:left="210" w:leftChars="100" w:right="210" w:rightChars="10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28B83"/>
    <w:multiLevelType w:val="singleLevel"/>
    <w:tmpl w:val="F7628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4FF3"/>
    <w:rsid w:val="03176D9B"/>
    <w:rsid w:val="30417F2B"/>
    <w:rsid w:val="42577DDD"/>
    <w:rsid w:val="69D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2025-07-02T03:10:00Z</dcterms:created>
  <dc:creator>admin</dc:creator>
  <cp:lastModifiedBy>杨寒</cp:lastModifiedBy>
  <dcterms:modified xsi:type="dcterms:W3CDTF">2025-08-26T02:58:03Z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E80DC84A0F804767B6A4735851A7C9EE</vt:lpwstr>
  </property>
</Properties>
</file>