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6E5F4">
      <w:pPr>
        <w:pStyle w:val="4"/>
        <w:rPr>
          <w:rFonts w:ascii="Times New Roman" w:hAnsi="Times New Roman"/>
          <w:sz w:val="44"/>
          <w:szCs w:val="44"/>
          <w:highlight w:val="none"/>
          <w:u w:val="none" w:color="auto"/>
        </w:rPr>
      </w:pPr>
    </w:p>
    <w:p w14:paraId="26B02001">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sz w:val="44"/>
          <w:szCs w:val="44"/>
          <w:highlight w:val="none"/>
          <w:u w:val="none" w:color="auto"/>
        </w:rPr>
      </w:pPr>
      <w:r>
        <w:rPr>
          <w:rFonts w:ascii="Times New Roman" w:hAnsi="Times New Roman"/>
          <w:sz w:val="44"/>
          <w:szCs w:val="44"/>
          <w:highlight w:val="none"/>
          <w:u w:val="none" w:color="auto"/>
        </w:rPr>
        <w:t>云阳县人民政府</w:t>
      </w:r>
    </w:p>
    <w:p w14:paraId="072B446F">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eastAsia="方正楷体_GBK" w:cs="Times New Roman"/>
          <w:sz w:val="32"/>
          <w:szCs w:val="32"/>
          <w:highlight w:val="none"/>
          <w:u w:val="none" w:color="auto"/>
        </w:rPr>
      </w:pPr>
      <w:r>
        <w:rPr>
          <w:rFonts w:ascii="Times New Roman" w:hAnsi="Times New Roman"/>
          <w:sz w:val="44"/>
          <w:szCs w:val="44"/>
          <w:highlight w:val="none"/>
          <w:u w:val="none" w:color="auto"/>
        </w:rPr>
        <w:t>关于20</w:t>
      </w:r>
      <w:r>
        <w:rPr>
          <w:rFonts w:hint="eastAsia" w:ascii="Times New Roman" w:hAnsi="Times New Roman"/>
          <w:sz w:val="44"/>
          <w:szCs w:val="44"/>
          <w:highlight w:val="none"/>
          <w:u w:val="none" w:color="auto"/>
        </w:rPr>
        <w:t>2</w:t>
      </w:r>
      <w:r>
        <w:rPr>
          <w:rFonts w:hint="eastAsia" w:ascii="Times New Roman" w:hAnsi="Times New Roman"/>
          <w:sz w:val="44"/>
          <w:szCs w:val="44"/>
          <w:highlight w:val="none"/>
          <w:u w:val="none" w:color="auto"/>
          <w:lang w:val="en-US" w:eastAsia="zh-CN"/>
        </w:rPr>
        <w:t>4</w:t>
      </w:r>
      <w:r>
        <w:rPr>
          <w:rFonts w:ascii="Times New Roman" w:hAnsi="Times New Roman"/>
          <w:sz w:val="44"/>
          <w:szCs w:val="44"/>
          <w:highlight w:val="none"/>
          <w:u w:val="none" w:color="auto"/>
        </w:rPr>
        <w:t>年上半年国民经济和社会发展计划执行情况的报告</w:t>
      </w:r>
    </w:p>
    <w:p w14:paraId="4DDE418B">
      <w:pPr>
        <w:adjustRightInd w:val="0"/>
        <w:spacing w:line="578" w:lineRule="exact"/>
        <w:rPr>
          <w:rFonts w:ascii="Times New Roman" w:hAnsi="Times New Roman" w:eastAsia="方正楷体_GBK" w:cs="Times New Roman"/>
          <w:color w:val="000000"/>
          <w:sz w:val="28"/>
          <w:szCs w:val="28"/>
          <w:highlight w:val="none"/>
          <w:u w:val="none" w:color="auto"/>
        </w:rPr>
      </w:pPr>
      <w:r>
        <w:rPr>
          <w:rFonts w:hint="eastAsia" w:ascii="Times New Roman" w:hAnsi="Times New Roman" w:eastAsia="方正楷体_GBK" w:cs="Times New Roman"/>
          <w:sz w:val="32"/>
          <w:szCs w:val="32"/>
          <w:highlight w:val="none"/>
          <w:u w:val="none" w:color="auto"/>
          <w:lang w:eastAsia="zh-CN"/>
        </w:rPr>
        <w:t>—</w:t>
      </w:r>
      <w:r>
        <w:rPr>
          <w:rFonts w:ascii="Times New Roman" w:hAnsi="Times New Roman" w:eastAsia="方正楷体_GBK" w:cs="Times New Roman"/>
          <w:color w:val="000000"/>
          <w:sz w:val="32"/>
          <w:szCs w:val="32"/>
          <w:highlight w:val="none"/>
          <w:u w:val="none" w:color="auto"/>
        </w:rPr>
        <w:t>202</w:t>
      </w:r>
      <w:r>
        <w:rPr>
          <w:rFonts w:hint="eastAsia" w:ascii="Times New Roman" w:hAnsi="Times New Roman" w:eastAsia="方正楷体_GBK" w:cs="Times New Roman"/>
          <w:color w:val="000000"/>
          <w:sz w:val="32"/>
          <w:szCs w:val="32"/>
          <w:highlight w:val="none"/>
          <w:u w:val="none" w:color="auto"/>
          <w:lang w:val="en-US" w:eastAsia="zh-CN"/>
        </w:rPr>
        <w:t>4</w:t>
      </w:r>
      <w:r>
        <w:rPr>
          <w:rFonts w:hint="eastAsia" w:ascii="Times New Roman" w:hAnsi="Times New Roman" w:eastAsia="方正楷体_GBK" w:cs="Times New Roman"/>
          <w:color w:val="000000"/>
          <w:sz w:val="32"/>
          <w:szCs w:val="32"/>
          <w:highlight w:val="none"/>
          <w:u w:val="none" w:color="auto"/>
        </w:rPr>
        <w:t>年</w:t>
      </w:r>
      <w:r>
        <w:rPr>
          <w:rFonts w:hint="eastAsia" w:ascii="Times New Roman" w:hAnsi="Times New Roman" w:eastAsia="方正楷体_GBK" w:cs="Times New Roman"/>
          <w:color w:val="000000"/>
          <w:sz w:val="32"/>
          <w:szCs w:val="32"/>
          <w:highlight w:val="none"/>
          <w:u w:val="none" w:color="auto"/>
          <w:lang w:val="en-US" w:eastAsia="zh-CN"/>
        </w:rPr>
        <w:t>7</w:t>
      </w:r>
      <w:r>
        <w:rPr>
          <w:rFonts w:hint="eastAsia" w:ascii="Times New Roman" w:hAnsi="Times New Roman" w:eastAsia="方正楷体_GBK" w:cs="Times New Roman"/>
          <w:color w:val="000000"/>
          <w:sz w:val="32"/>
          <w:szCs w:val="32"/>
          <w:highlight w:val="none"/>
          <w:u w:val="none" w:color="auto"/>
        </w:rPr>
        <w:t>月</w:t>
      </w:r>
      <w:r>
        <w:rPr>
          <w:rFonts w:hint="eastAsia" w:ascii="Times New Roman" w:hAnsi="Times New Roman" w:eastAsia="方正楷体_GBK" w:cs="Times New Roman"/>
          <w:color w:val="000000"/>
          <w:sz w:val="32"/>
          <w:szCs w:val="32"/>
          <w:highlight w:val="none"/>
          <w:u w:val="none" w:color="auto"/>
          <w:lang w:val="en-US" w:eastAsia="zh-CN"/>
        </w:rPr>
        <w:t>9</w:t>
      </w:r>
      <w:r>
        <w:rPr>
          <w:rFonts w:hint="eastAsia" w:ascii="Times New Roman" w:hAnsi="Times New Roman" w:eastAsia="方正楷体_GBK" w:cs="Times New Roman"/>
          <w:color w:val="000000"/>
          <w:sz w:val="32"/>
          <w:szCs w:val="32"/>
          <w:highlight w:val="none"/>
          <w:u w:val="none" w:color="auto"/>
        </w:rPr>
        <w:t>日在县第十八届人大常委会第</w:t>
      </w:r>
      <w:r>
        <w:rPr>
          <w:rFonts w:hint="eastAsia" w:ascii="Times New Roman" w:hAnsi="Times New Roman" w:eastAsia="方正楷体_GBK" w:cs="Times New Roman"/>
          <w:color w:val="000000"/>
          <w:sz w:val="32"/>
          <w:szCs w:val="32"/>
          <w:highlight w:val="none"/>
          <w:u w:val="none" w:color="auto"/>
          <w:lang w:val="en-US" w:eastAsia="zh-CN"/>
        </w:rPr>
        <w:t>十八</w:t>
      </w:r>
      <w:r>
        <w:rPr>
          <w:rFonts w:hint="eastAsia" w:ascii="Times New Roman" w:hAnsi="Times New Roman" w:eastAsia="方正楷体_GBK" w:cs="Times New Roman"/>
          <w:color w:val="000000"/>
          <w:sz w:val="32"/>
          <w:szCs w:val="32"/>
          <w:highlight w:val="none"/>
          <w:u w:val="none" w:color="auto"/>
        </w:rPr>
        <w:t>次会议上</w:t>
      </w:r>
    </w:p>
    <w:p w14:paraId="5E069CF7">
      <w:pPr>
        <w:keepNext w:val="0"/>
        <w:keepLines w:val="0"/>
        <w:pageBreakBefore w:val="0"/>
        <w:kinsoku/>
        <w:wordWrap/>
        <w:overflowPunct/>
        <w:topLinePunct w:val="0"/>
        <w:autoSpaceDE/>
        <w:autoSpaceDN/>
        <w:bidi w:val="0"/>
        <w:adjustRightInd/>
        <w:snapToGrid/>
        <w:spacing w:line="578" w:lineRule="exact"/>
        <w:ind w:left="0"/>
        <w:rPr>
          <w:rFonts w:ascii="Times New Roman" w:hAnsi="Times New Roman" w:eastAsia="方正仿宋_GBK"/>
          <w:sz w:val="32"/>
          <w:szCs w:val="32"/>
          <w:highlight w:val="none"/>
          <w:u w:val="none" w:color="auto"/>
        </w:rPr>
      </w:pPr>
    </w:p>
    <w:p w14:paraId="334ECBE7">
      <w:pPr>
        <w:pStyle w:val="22"/>
        <w:keepNext w:val="0"/>
        <w:keepLines w:val="0"/>
        <w:pageBreakBefore w:val="0"/>
        <w:numPr>
          <w:ilvl w:val="0"/>
          <w:numId w:val="0"/>
        </w:numPr>
        <w:kinsoku/>
        <w:wordWrap/>
        <w:overflowPunct/>
        <w:topLinePunct w:val="0"/>
        <w:autoSpaceDE/>
        <w:autoSpaceDN/>
        <w:bidi w:val="0"/>
        <w:adjustRightInd/>
        <w:snapToGrid/>
        <w:spacing w:line="578" w:lineRule="exact"/>
        <w:ind w:left="0" w:leftChars="0" w:firstLine="640" w:firstLineChars="200"/>
        <w:rPr>
          <w:rFonts w:hint="eastAsia" w:ascii="Times New Roman" w:hAnsi="Times New Roman" w:eastAsia="方正楷体_GBK" w:cs="方正仿宋_GBK"/>
          <w:highlight w:val="none"/>
          <w:u w:val="none" w:color="auto"/>
        </w:rPr>
      </w:pPr>
      <w:r>
        <w:rPr>
          <w:rFonts w:hint="eastAsia" w:ascii="Times New Roman" w:hAnsi="Times New Roman"/>
          <w:color w:val="000000"/>
          <w:highlight w:val="none"/>
          <w:u w:val="none" w:color="auto"/>
          <w:lang w:eastAsia="zh-CN"/>
        </w:rPr>
        <w:t>一、</w:t>
      </w:r>
      <w:r>
        <w:rPr>
          <w:rFonts w:ascii="Times New Roman" w:hAnsi="Times New Roman"/>
          <w:color w:val="000000"/>
          <w:highlight w:val="none"/>
          <w:u w:val="none" w:color="auto"/>
        </w:rPr>
        <w:t>上半年国民经济和社会发展计划执行情况</w:t>
      </w:r>
    </w:p>
    <w:p w14:paraId="049CC8C2">
      <w:pPr>
        <w:pStyle w:val="22"/>
        <w:keepNext w:val="0"/>
        <w:keepLines w:val="0"/>
        <w:pageBreakBefore w:val="0"/>
        <w:kinsoku/>
        <w:wordWrap/>
        <w:overflowPunct/>
        <w:topLinePunct w:val="0"/>
        <w:autoSpaceDE/>
        <w:autoSpaceDN/>
        <w:bidi w:val="0"/>
        <w:adjustRightInd/>
        <w:snapToGrid/>
        <w:spacing w:line="578" w:lineRule="exact"/>
        <w:ind w:left="0" w:firstLine="640"/>
        <w:rPr>
          <w:rFonts w:hint="eastAsia" w:ascii="Times New Roman" w:hAnsi="Times New Roman" w:eastAsia="方正楷体_GBK" w:cs="方正楷体_GBK"/>
          <w:color w:val="auto"/>
          <w:kern w:val="2"/>
          <w:sz w:val="32"/>
          <w:szCs w:val="32"/>
          <w:highlight w:val="none"/>
          <w:u w:val="none" w:color="auto"/>
          <w:lang w:val="en-US" w:eastAsia="zh-CN" w:bidi="ar-SA"/>
        </w:rPr>
      </w:pPr>
      <w:r>
        <w:rPr>
          <w:rFonts w:hint="eastAsia" w:ascii="Times New Roman" w:hAnsi="Times New Roman" w:eastAsia="方正仿宋_GBK" w:cs="方正仿宋_GBK"/>
          <w:highlight w:val="none"/>
          <w:u w:val="none" w:color="auto"/>
        </w:rPr>
        <w:t>今年以来，云阳坚持以习近平新时代中国特色社会主义思想为指导，全面贯彻党的二十大精神，深入学习贯彻习近平总书记视察重庆重要讲话重要指示精神，认真落实市委六届历次全会要求</w:t>
      </w:r>
      <w:r>
        <w:rPr>
          <w:rFonts w:hint="eastAsia" w:ascii="Times New Roman" w:hAnsi="Times New Roman" w:eastAsia="方正仿宋_GBK" w:cs="方正仿宋_GBK"/>
          <w:highlight w:val="none"/>
          <w:u w:val="none" w:color="auto"/>
          <w:lang w:eastAsia="zh-CN"/>
        </w:rPr>
        <w:t>和</w:t>
      </w:r>
      <w:r>
        <w:rPr>
          <w:rFonts w:hint="eastAsia" w:ascii="Times New Roman" w:hAnsi="Times New Roman" w:eastAsia="方正仿宋_GBK" w:cs="方正仿宋_GBK"/>
          <w:highlight w:val="none"/>
          <w:u w:val="none" w:color="auto"/>
        </w:rPr>
        <w:t>市委书记袁家军调研云阳指示</w:t>
      </w:r>
      <w:r>
        <w:rPr>
          <w:rFonts w:hint="eastAsia" w:ascii="Times New Roman" w:hAnsi="Times New Roman" w:eastAsia="方正仿宋_GBK" w:cs="方正仿宋_GBK"/>
          <w:highlight w:val="none"/>
          <w:u w:val="none" w:color="auto"/>
          <w:lang w:eastAsia="zh-CN"/>
        </w:rPr>
        <w:t>要求</w:t>
      </w:r>
      <w:r>
        <w:rPr>
          <w:rFonts w:hint="eastAsia" w:ascii="Times New Roman" w:hAnsi="Times New Roman" w:eastAsia="方正仿宋_GBK" w:cs="方正仿宋_GBK"/>
          <w:highlight w:val="none"/>
          <w:u w:val="none" w:color="auto"/>
        </w:rPr>
        <w:t>，</w:t>
      </w:r>
      <w:r>
        <w:rPr>
          <w:rFonts w:hint="eastAsia" w:ascii="Times New Roman" w:hAnsi="Times New Roman" w:eastAsia="方正仿宋_GBK" w:cs="方正仿宋_GBK"/>
          <w:highlight w:val="none"/>
          <w:u w:val="none" w:color="auto"/>
          <w:lang w:val="en-US" w:eastAsia="zh-CN"/>
        </w:rPr>
        <w:t>突出</w:t>
      </w:r>
      <w:r>
        <w:rPr>
          <w:rFonts w:hint="eastAsia" w:ascii="Times New Roman" w:hAnsi="Times New Roman" w:eastAsia="方正仿宋_GBK" w:cs="方正仿宋_GBK"/>
          <w:highlight w:val="none"/>
          <w:u w:val="none" w:color="auto"/>
        </w:rPr>
        <w:t>稳进增效、除险固安、改革突破、惠民强企工作导向</w:t>
      </w:r>
      <w:r>
        <w:rPr>
          <w:rFonts w:hint="eastAsia" w:ascii="Times New Roman" w:hAnsi="Times New Roman" w:eastAsia="方正仿宋_GBK" w:cs="方正仿宋_GBK"/>
          <w:highlight w:val="none"/>
          <w:u w:val="none" w:color="auto"/>
        </w:rPr>
        <w:t>，</w:t>
      </w:r>
      <w:r>
        <w:rPr>
          <w:rFonts w:hint="eastAsia" w:ascii="Times New Roman" w:hAnsi="Times New Roman" w:eastAsia="方正仿宋_GBK" w:cs="方正仿宋_GBK"/>
          <w:highlight w:val="none"/>
          <w:u w:val="none" w:color="auto"/>
          <w:lang w:eastAsia="zh-CN"/>
        </w:rPr>
        <w:t>努力</w:t>
      </w:r>
      <w:bookmarkStart w:id="0" w:name="_GoBack"/>
      <w:bookmarkEnd w:id="0"/>
      <w:r>
        <w:rPr>
          <w:rFonts w:hint="eastAsia" w:ascii="Times New Roman" w:hAnsi="Times New Roman" w:eastAsia="方正仿宋_GBK" w:cs="方正仿宋_GBK"/>
          <w:highlight w:val="none"/>
          <w:u w:val="none" w:color="auto"/>
          <w:lang w:eastAsia="zh-CN"/>
        </w:rPr>
        <w:t>交出经济社会发展“高分报表”，</w:t>
      </w:r>
      <w:r>
        <w:rPr>
          <w:rFonts w:hint="eastAsia" w:ascii="Times New Roman" w:hAnsi="Times New Roman" w:eastAsia="方正仿宋_GBK" w:cs="方正仿宋_GBK"/>
          <w:highlight w:val="none"/>
          <w:u w:val="none" w:color="auto"/>
          <w:lang w:val="en-US" w:eastAsia="zh-CN"/>
        </w:rPr>
        <w:t>确保</w:t>
      </w:r>
      <w:r>
        <w:rPr>
          <w:rFonts w:hint="eastAsia" w:ascii="Times New Roman" w:hAnsi="Times New Roman" w:eastAsia="方正仿宋_GBK" w:cs="方正仿宋_GBK"/>
          <w:highlight w:val="none"/>
          <w:u w:val="none" w:color="auto"/>
        </w:rPr>
        <w:t>全县经济运行总体平稳，社会大局和谐稳定。</w:t>
      </w:r>
      <w:r>
        <w:rPr>
          <w:rFonts w:hint="eastAsia" w:ascii="Times New Roman" w:hAnsi="Times New Roman" w:eastAsia="方正仿宋_GBK" w:cs="方正仿宋_GBK"/>
          <w:highlight w:val="none"/>
          <w:u w:val="none" w:color="auto"/>
        </w:rPr>
        <w:t>上半年</w:t>
      </w:r>
      <w:r>
        <w:rPr>
          <w:rFonts w:hint="eastAsia" w:ascii="Times New Roman" w:hAnsi="Times New Roman" w:eastAsia="方正仿宋_GBK" w:cs="方正仿宋_GBK"/>
          <w:highlight w:val="none"/>
          <w:u w:val="none" w:color="auto"/>
          <w:lang w:eastAsia="zh-CN"/>
        </w:rPr>
        <w:t>，</w:t>
      </w:r>
      <w:r>
        <w:rPr>
          <w:rFonts w:hint="eastAsia" w:ascii="Times New Roman" w:hAnsi="Times New Roman" w:eastAsia="方正仿宋_GBK" w:cs="方正仿宋_GBK"/>
          <w:highlight w:val="none"/>
          <w:u w:val="none" w:color="auto"/>
          <w:lang w:val="en-US" w:eastAsia="zh-CN"/>
        </w:rPr>
        <w:t>全县</w:t>
      </w:r>
      <w:r>
        <w:rPr>
          <w:rFonts w:hint="eastAsia" w:ascii="Times New Roman" w:hAnsi="Times New Roman" w:eastAsia="方正仿宋_GBK" w:cs="方正仿宋_GBK"/>
          <w:highlight w:val="none"/>
          <w:u w:val="none" w:color="auto"/>
        </w:rPr>
        <w:t>地区生产总值增长</w:t>
      </w:r>
      <w:r>
        <w:rPr>
          <w:rFonts w:hint="eastAsia" w:ascii="Times New Roman" w:hAnsi="Times New Roman" w:eastAsia="方正仿宋_GBK" w:cs="方正仿宋_GBK"/>
          <w:highlight w:val="none"/>
          <w:u w:val="none" w:color="auto"/>
          <w:lang w:val="en-US" w:eastAsia="zh-CN"/>
        </w:rPr>
        <w:t>6.7</w:t>
      </w:r>
      <w:r>
        <w:rPr>
          <w:rFonts w:hint="eastAsia" w:ascii="Times New Roman" w:hAnsi="Times New Roman" w:eastAsia="方正仿宋_GBK" w:cs="方正仿宋_GBK"/>
          <w:highlight w:val="none"/>
          <w:u w:val="none" w:color="auto"/>
        </w:rPr>
        <w:t>%</w:t>
      </w:r>
      <w:r>
        <w:rPr>
          <w:rFonts w:hint="eastAsia" w:ascii="Times New Roman" w:hAnsi="Times New Roman" w:eastAsia="方正仿宋_GBK" w:cs="方正仿宋_GBK"/>
          <w:highlight w:val="none"/>
          <w:u w:val="none" w:color="auto"/>
        </w:rPr>
        <w:t>，固定资产投资增长</w:t>
      </w:r>
      <w:r>
        <w:rPr>
          <w:rFonts w:hint="eastAsia" w:ascii="Times New Roman" w:hAnsi="Times New Roman" w:eastAsia="方正仿宋_GBK" w:cs="方正仿宋_GBK"/>
          <w:highlight w:val="none"/>
          <w:u w:val="none" w:color="auto"/>
          <w:lang w:val="en-US" w:eastAsia="zh-CN"/>
        </w:rPr>
        <w:t>15.3</w:t>
      </w:r>
      <w:r>
        <w:rPr>
          <w:rFonts w:hint="eastAsia" w:ascii="Times New Roman" w:hAnsi="Times New Roman" w:eastAsia="方正仿宋_GBK" w:cs="方正仿宋_GBK"/>
          <w:highlight w:val="none"/>
          <w:u w:val="none" w:color="auto"/>
        </w:rPr>
        <w:t>%</w:t>
      </w:r>
      <w:r>
        <w:rPr>
          <w:rFonts w:hint="eastAsia" w:ascii="Times New Roman" w:hAnsi="Times New Roman" w:eastAsia="方正仿宋_GBK" w:cs="方正仿宋_GBK"/>
          <w:highlight w:val="none"/>
          <w:u w:val="none" w:color="auto"/>
        </w:rPr>
        <w:t>，社会消费品零售总额</w:t>
      </w:r>
      <w:r>
        <w:rPr>
          <w:rFonts w:hint="eastAsia" w:ascii="Times New Roman" w:hAnsi="Times New Roman" w:eastAsia="方正仿宋_GBK" w:cs="方正仿宋_GBK"/>
          <w:color w:val="auto"/>
          <w:highlight w:val="none"/>
          <w:u w:val="none" w:color="auto"/>
        </w:rPr>
        <w:t>增长</w:t>
      </w:r>
      <w:r>
        <w:rPr>
          <w:rFonts w:hint="eastAsia" w:ascii="Times New Roman" w:hAnsi="Times New Roman" w:eastAsia="方正仿宋_GBK" w:cs="方正仿宋_GBK"/>
          <w:color w:val="auto"/>
          <w:highlight w:val="none"/>
          <w:u w:val="none" w:color="auto"/>
        </w:rPr>
        <w:t>6.4%</w:t>
      </w:r>
      <w:r>
        <w:rPr>
          <w:rFonts w:hint="eastAsia" w:ascii="Times New Roman" w:hAnsi="Times New Roman" w:eastAsia="方正仿宋_GBK" w:cs="方正仿宋_GBK"/>
          <w:color w:val="auto"/>
          <w:highlight w:val="none"/>
          <w:u w:val="none" w:color="auto"/>
          <w:lang w:val="en-US" w:eastAsia="zh-CN"/>
        </w:rPr>
        <w:t>，经济运行呈现“稳中向好、稳中有进”的发展态势，基本实现时间过半、任务过半</w:t>
      </w:r>
      <w:r>
        <w:rPr>
          <w:rFonts w:hint="eastAsia" w:ascii="Times New Roman" w:hAnsi="Times New Roman" w:eastAsia="方正仿宋_GBK" w:cs="方正仿宋_GBK"/>
          <w:color w:val="auto"/>
          <w:highlight w:val="none"/>
          <w:u w:val="none" w:color="auto"/>
        </w:rPr>
        <w:t>。</w:t>
      </w:r>
    </w:p>
    <w:p w14:paraId="4A15E104">
      <w:pPr>
        <w:pStyle w:val="22"/>
        <w:keepNext w:val="0"/>
        <w:keepLines w:val="0"/>
        <w:pageBreakBefore w:val="0"/>
        <w:kinsoku/>
        <w:wordWrap/>
        <w:overflowPunct/>
        <w:topLinePunct w:val="0"/>
        <w:autoSpaceDE/>
        <w:autoSpaceDN/>
        <w:bidi w:val="0"/>
        <w:adjustRightInd/>
        <w:snapToGrid/>
        <w:spacing w:line="578" w:lineRule="exact"/>
        <w:ind w:left="0" w:firstLine="640"/>
        <w:rPr>
          <w:rFonts w:hint="eastAsia" w:ascii="Times New Roman" w:hAnsi="Times New Roman" w:eastAsia="方正楷体_GBK" w:cs="方正楷体_GBK"/>
          <w:color w:val="auto"/>
          <w:highlight w:val="none"/>
          <w:u w:val="none" w:color="auto"/>
          <w:lang w:val="en-US" w:eastAsia="zh-CN"/>
        </w:rPr>
      </w:pPr>
      <w:r>
        <w:rPr>
          <w:rFonts w:hint="eastAsia" w:ascii="Times New Roman" w:hAnsi="Times New Roman" w:eastAsia="方正楷体_GBK" w:cs="方正楷体_GBK"/>
          <w:color w:val="auto"/>
          <w:highlight w:val="none"/>
          <w:u w:val="none" w:color="auto"/>
          <w:lang w:val="en-US" w:eastAsia="zh-CN"/>
        </w:rPr>
        <w:t>（一）现代化产业体系加快构建，发展质效稳步提升。</w:t>
      </w:r>
    </w:p>
    <w:p w14:paraId="2556966C">
      <w:pPr>
        <w:pStyle w:val="22"/>
        <w:keepNext w:val="0"/>
        <w:keepLines w:val="0"/>
        <w:pageBreakBefore w:val="0"/>
        <w:kinsoku/>
        <w:wordWrap/>
        <w:overflowPunct/>
        <w:topLinePunct w:val="0"/>
        <w:autoSpaceDE/>
        <w:autoSpaceDN/>
        <w:bidi w:val="0"/>
        <w:adjustRightInd/>
        <w:snapToGrid/>
        <w:spacing w:line="578" w:lineRule="exact"/>
        <w:ind w:left="0" w:firstLine="640"/>
        <w:rPr>
          <w:rFonts w:hint="eastAsia" w:ascii="Times New Roman" w:hAnsi="Times New Roman" w:eastAsia="方正仿宋_GBK" w:cs="方正仿宋_GBK"/>
          <w:highlight w:val="none"/>
          <w:u w:val="none" w:color="auto"/>
          <w:lang w:val="en-US" w:eastAsia="zh-CN"/>
        </w:rPr>
      </w:pPr>
      <w:r>
        <w:rPr>
          <w:rFonts w:hint="eastAsia" w:ascii="Times New Roman" w:hAnsi="Times New Roman" w:eastAsia="方正仿宋_GBK" w:cs="方正仿宋_GBK"/>
          <w:b/>
          <w:bCs/>
          <w:highlight w:val="none"/>
          <w:u w:val="none" w:color="auto"/>
          <w:lang w:val="en-US" w:eastAsia="zh-CN"/>
        </w:rPr>
        <w:t>一是“十链产业·千亿制造”加快发展。</w:t>
      </w:r>
      <w:r>
        <w:rPr>
          <w:rFonts w:hint="eastAsia" w:ascii="Times New Roman" w:hAnsi="Times New Roman" w:eastAsia="方正仿宋_GBK" w:cs="方正仿宋_GBK"/>
          <w:highlight w:val="none"/>
          <w:u w:val="none" w:color="auto"/>
          <w:lang w:val="en-US" w:eastAsia="zh-CN"/>
        </w:rPr>
        <w:t>围绕增税收、增主体、增创新、增招商、稳就业“四增一稳”目标，完善十条重点产业链目标体系、工作体系、政策体系、评价体系，</w:t>
      </w:r>
      <w:r>
        <w:rPr>
          <w:rFonts w:hint="eastAsia" w:ascii="Times New Roman" w:hAnsi="Times New Roman" w:eastAsia="方正仿宋_GBK" w:cs="方正仿宋_GBK"/>
          <w:highlight w:val="none"/>
          <w:u w:val="none" w:color="auto"/>
          <w:lang w:val="en-US" w:eastAsia="zh-CN"/>
        </w:rPr>
        <w:t>“十链产业”规上工业产值达102.2亿元</w:t>
      </w:r>
      <w:r>
        <w:rPr>
          <w:rFonts w:hint="eastAsia" w:ascii="Times New Roman" w:hAnsi="Times New Roman" w:eastAsia="方正仿宋_GBK" w:cs="方正仿宋_GBK"/>
          <w:highlight w:val="none"/>
          <w:u w:val="none" w:color="auto"/>
          <w:lang w:val="en-US" w:eastAsia="zh-CN"/>
        </w:rPr>
        <w:t>，</w:t>
      </w:r>
      <w:r>
        <w:rPr>
          <w:rFonts w:hint="eastAsia" w:ascii="Times New Roman" w:hAnsi="Times New Roman" w:eastAsia="方正仿宋_GBK" w:cs="方正仿宋_GBK"/>
          <w:highlight w:val="none"/>
          <w:u w:val="none" w:color="auto"/>
          <w:lang w:val="en-US" w:eastAsia="zh-CN"/>
        </w:rPr>
        <w:t>上半年全县规上工业增加值增长6.7%</w:t>
      </w:r>
      <w:r>
        <w:rPr>
          <w:rFonts w:hint="eastAsia" w:ascii="Times New Roman" w:hAnsi="Times New Roman" w:eastAsia="方正仿宋_GBK" w:cs="方正仿宋_GBK"/>
          <w:highlight w:val="none"/>
          <w:u w:val="none" w:color="auto"/>
          <w:lang w:val="en-US" w:eastAsia="zh-CN"/>
        </w:rPr>
        <w:t>。上半年新开工精密线束、集装箱生产等14个重点工业项目，竣工投产恒顺醋业、渝新腾扩建等13个重点工业项目，备案实施仙鹿洞矿泉水技改、扬光塑胶制品生产技改扩能等19个工业技术改造项目，</w:t>
      </w:r>
      <w:r>
        <w:rPr>
          <w:rFonts w:hint="eastAsia" w:ascii="Times New Roman" w:hAnsi="Times New Roman" w:eastAsia="方正仿宋_GBK" w:cs="方正仿宋_GBK"/>
          <w:highlight w:val="none"/>
          <w:u w:val="none" w:color="auto"/>
          <w:lang w:val="en-US" w:eastAsia="zh-CN"/>
        </w:rPr>
        <w:t>上半年完成工业固定资产投资同比增长35.9%</w:t>
      </w:r>
      <w:r>
        <w:rPr>
          <w:rFonts w:hint="eastAsia" w:ascii="Times New Roman" w:hAnsi="Times New Roman" w:eastAsia="方正仿宋_GBK" w:cs="方正仿宋_GBK"/>
          <w:highlight w:val="none"/>
          <w:u w:val="none" w:color="auto"/>
          <w:lang w:val="en-US" w:eastAsia="zh-CN"/>
        </w:rPr>
        <w:t>。创新动能持续提升，新申报雲扬电子等5</w:t>
      </w:r>
      <w:r>
        <w:rPr>
          <w:rFonts w:hint="eastAsia" w:ascii="Times New Roman" w:hAnsi="Times New Roman" w:eastAsia="方正仿宋_GBK" w:cs="方正仿宋_GBK"/>
          <w:highlight w:val="none"/>
          <w:u w:val="none" w:color="auto"/>
          <w:lang w:val="en-US" w:eastAsia="zh-CN"/>
        </w:rPr>
        <w:t>家企业为国家高新技术企业、累计达35家，渝鑫船务、雲扬电子等4家企业成功申报市级“专精特新”企业、累计达26家，市级企业技术中心达到7个。实施招商引资“一把手”工程，新签约招商引资项目</w:t>
      </w:r>
      <w:r>
        <w:rPr>
          <w:rFonts w:hint="eastAsia" w:ascii="Times New Roman" w:hAnsi="Times New Roman" w:eastAsia="方正仿宋_GBK" w:cs="方正仿宋_GBK"/>
          <w:highlight w:val="none"/>
          <w:u w:val="none" w:color="auto"/>
          <w:lang w:val="en-US" w:eastAsia="zh-CN"/>
        </w:rPr>
        <w:t>121</w:t>
      </w:r>
      <w:r>
        <w:rPr>
          <w:rFonts w:hint="eastAsia" w:ascii="Times New Roman" w:hAnsi="Times New Roman" w:eastAsia="方正仿宋_GBK" w:cs="方正仿宋_GBK"/>
          <w:highlight w:val="none"/>
          <w:u w:val="none" w:color="auto"/>
          <w:lang w:val="en-US" w:eastAsia="zh-CN"/>
        </w:rPr>
        <w:t>个，其中亿元以上项目12个、5亿元以上项目3个，</w:t>
      </w:r>
      <w:r>
        <w:rPr>
          <w:rFonts w:hint="eastAsia" w:ascii="Times New Roman" w:hAnsi="Times New Roman" w:eastAsia="方正仿宋_GBK" w:cs="方正仿宋_GBK"/>
          <w:highlight w:val="none"/>
          <w:u w:val="none" w:color="auto"/>
          <w:lang w:val="en-US" w:eastAsia="zh-CN"/>
        </w:rPr>
        <w:t>实现资金到位额同比增长63%</w:t>
      </w:r>
      <w:r>
        <w:rPr>
          <w:rFonts w:hint="eastAsia" w:ascii="Times New Roman" w:hAnsi="Times New Roman" w:eastAsia="方正仿宋_GBK" w:cs="方正仿宋_GBK"/>
          <w:highlight w:val="none"/>
          <w:u w:val="none" w:color="auto"/>
          <w:lang w:val="en-US" w:eastAsia="zh-CN"/>
        </w:rPr>
        <w:t>。</w:t>
      </w:r>
    </w:p>
    <w:p w14:paraId="37B60119">
      <w:pPr>
        <w:pStyle w:val="22"/>
        <w:keepNext w:val="0"/>
        <w:keepLines w:val="0"/>
        <w:pageBreakBefore w:val="0"/>
        <w:kinsoku/>
        <w:wordWrap/>
        <w:overflowPunct/>
        <w:topLinePunct w:val="0"/>
        <w:autoSpaceDE/>
        <w:autoSpaceDN/>
        <w:bidi w:val="0"/>
        <w:adjustRightInd/>
        <w:snapToGrid/>
        <w:spacing w:line="578" w:lineRule="exact"/>
        <w:ind w:left="0" w:firstLine="640"/>
        <w:rPr>
          <w:rFonts w:hint="eastAsia" w:ascii="Times New Roman" w:hAnsi="Times New Roman" w:eastAsia="方正仿宋_GBK"/>
          <w:b w:val="0"/>
          <w:bCs w:val="0"/>
          <w:highlight w:val="none"/>
          <w:u w:val="none" w:color="auto"/>
        </w:rPr>
      </w:pPr>
      <w:r>
        <w:rPr>
          <w:rFonts w:hint="eastAsia" w:ascii="Times New Roman" w:hAnsi="Times New Roman" w:eastAsia="方正仿宋_GBK" w:cs="方正仿宋_GBK"/>
          <w:b/>
          <w:bCs/>
          <w:sz w:val="32"/>
          <w:szCs w:val="32"/>
          <w:highlight w:val="none"/>
          <w:u w:val="none" w:color="auto"/>
        </w:rPr>
        <w:t>二是现代农业稳步增长。</w:t>
      </w:r>
      <w:r>
        <w:rPr>
          <w:rFonts w:hint="eastAsia" w:ascii="Times New Roman" w:hAnsi="Times New Roman" w:eastAsia="方正仿宋_GBK" w:cs="方正仿宋_GBK"/>
          <w:b w:val="0"/>
          <w:bCs w:val="0"/>
          <w:sz w:val="32"/>
          <w:szCs w:val="32"/>
          <w:highlight w:val="none"/>
          <w:u w:val="none" w:color="auto"/>
          <w:lang w:val="en-US" w:eastAsia="zh-CN"/>
        </w:rPr>
        <w:t>抓实“</w:t>
      </w:r>
      <w:r>
        <w:rPr>
          <w:rFonts w:hint="eastAsia" w:ascii="Times New Roman" w:hAnsi="Times New Roman" w:eastAsia="方正仿宋_GBK" w:cs="方正仿宋_GBK"/>
          <w:b w:val="0"/>
          <w:bCs w:val="0"/>
          <w:sz w:val="32"/>
          <w:szCs w:val="32"/>
          <w:highlight w:val="none"/>
          <w:u w:val="none" w:color="auto"/>
          <w:lang w:val="en-US" w:eastAsia="zh-CN"/>
        </w:rPr>
        <w:t>33125”工作体系，扎实</w:t>
      </w:r>
      <w:r>
        <w:rPr>
          <w:rFonts w:hint="eastAsia" w:ascii="Times New Roman" w:hAnsi="Times New Roman" w:eastAsia="方正仿宋_GBK" w:cs="方正仿宋_GBK"/>
          <w:b w:val="0"/>
          <w:bCs w:val="0"/>
          <w:sz w:val="32"/>
          <w:szCs w:val="32"/>
          <w:highlight w:val="none"/>
          <w:u w:val="none" w:color="auto"/>
          <w:lang w:eastAsia="zh-CN"/>
        </w:rPr>
        <w:t>落实</w:t>
      </w:r>
      <w:r>
        <w:rPr>
          <w:rFonts w:hint="eastAsia" w:ascii="Times New Roman" w:hAnsi="Times New Roman" w:eastAsia="方正仿宋_GBK" w:cs="方正仿宋_GBK"/>
          <w:b w:val="0"/>
          <w:bCs w:val="0"/>
          <w:sz w:val="32"/>
          <w:szCs w:val="32"/>
          <w:highlight w:val="none"/>
          <w:u w:val="none" w:color="auto"/>
        </w:rPr>
        <w:t>140万亩、42万吨的粮食生产任务，</w:t>
      </w:r>
      <w:r>
        <w:rPr>
          <w:rFonts w:hint="eastAsia" w:ascii="Times New Roman" w:hAnsi="Times New Roman" w:eastAsia="方正仿宋_GBK" w:cs="方正仿宋_GBK"/>
          <w:b w:val="0"/>
          <w:bCs w:val="0"/>
          <w:sz w:val="32"/>
          <w:szCs w:val="32"/>
          <w:highlight w:val="none"/>
          <w:u w:val="none" w:color="auto"/>
          <w:lang w:val="en-US" w:eastAsia="zh-CN"/>
        </w:rPr>
        <w:t>上半年全县60万余亩小春作物陆续收获，99.3万亩大春作物播种基本完成。</w:t>
      </w:r>
      <w:r>
        <w:rPr>
          <w:rFonts w:hint="eastAsia" w:ascii="Times New Roman" w:hAnsi="Times New Roman" w:eastAsia="方正仿宋_GBK"/>
          <w:b w:val="0"/>
          <w:bCs w:val="0"/>
          <w:highlight w:val="none"/>
          <w:u w:val="none" w:color="auto"/>
          <w:lang w:val="en-US" w:eastAsia="zh-CN"/>
        </w:rPr>
        <w:t>深入实施百园示范工程，迭代升级“3+4+X”现代山地特色高效农业体系，清水农业产业强镇项目已获农业部批复，五指印江田园综合体</w:t>
      </w:r>
      <w:r>
        <w:rPr>
          <w:rFonts w:hint="eastAsia" w:ascii="Times New Roman" w:hAnsi="Times New Roman" w:eastAsia="方正仿宋_GBK"/>
          <w:b w:val="0"/>
          <w:bCs w:val="0"/>
          <w:highlight w:val="none"/>
          <w:u w:val="none" w:color="auto"/>
          <w:lang w:val="en-US" w:eastAsia="zh-CN"/>
        </w:rPr>
        <w:t>核心区的10个村</w:t>
      </w:r>
      <w:r>
        <w:rPr>
          <w:rFonts w:hint="eastAsia" w:ascii="Times New Roman" w:hAnsi="Times New Roman" w:eastAsia="方正仿宋_GBK"/>
          <w:b w:val="0"/>
          <w:bCs w:val="0"/>
          <w:highlight w:val="none"/>
          <w:u w:val="none" w:color="auto"/>
          <w:lang w:val="en-US" w:eastAsia="zh-CN"/>
        </w:rPr>
        <w:t>获财政部2024年农村综合性改革试点试验项目批复，巴阳镇乡村振兴示范镇创建已通过市级答辩，川东白山羊种繁基地建设完成，</w:t>
      </w:r>
      <w:r>
        <w:rPr>
          <w:rFonts w:hint="eastAsia" w:ascii="Times New Roman" w:hAnsi="Times New Roman" w:eastAsia="方正仿宋_GBK"/>
          <w:b w:val="0"/>
          <w:bCs w:val="0"/>
          <w:highlight w:val="none"/>
          <w:u w:val="none" w:color="auto"/>
          <w:lang w:val="en-US" w:eastAsia="zh-CN"/>
        </w:rPr>
        <w:t>上半年第一产业增加值增长4%</w:t>
      </w:r>
      <w:r>
        <w:rPr>
          <w:rFonts w:hint="eastAsia" w:ascii="Times New Roman" w:hAnsi="Times New Roman" w:eastAsia="方正仿宋_GBK"/>
          <w:b w:val="0"/>
          <w:bCs w:val="0"/>
          <w:highlight w:val="none"/>
          <w:u w:val="none" w:color="auto"/>
          <w:lang w:val="en-US" w:eastAsia="zh-CN"/>
        </w:rPr>
        <w:t>。大力发展食品及农产品加工业，食品辐照平台即将建成，渝东北检验检测平台加快建设，深入实施“百企培育”工程，上半年新增规上农产品加工企业2家、市级及以上农业龙头企业6家，宏霖酱油、前进食品桃片糕等11款产品纳入2023—2025年市级消费品工业“爆品”培育清单，</w:t>
      </w:r>
      <w:r>
        <w:rPr>
          <w:rFonts w:hint="eastAsia" w:ascii="Times New Roman" w:hAnsi="Times New Roman" w:eastAsia="方正仿宋_GBK"/>
          <w:b w:val="0"/>
          <w:bCs w:val="0"/>
          <w:highlight w:val="none"/>
          <w:u w:val="none" w:color="auto"/>
          <w:lang w:val="en-US" w:eastAsia="zh-CN"/>
        </w:rPr>
        <w:t>上半年食品及农产品加工全</w:t>
      </w:r>
      <w:r>
        <w:rPr>
          <w:rFonts w:hint="eastAsia" w:ascii="Times New Roman" w:hAnsi="Times New Roman" w:eastAsia="方正仿宋_GBK"/>
          <w:b w:val="0"/>
          <w:bCs w:val="0"/>
          <w:highlight w:val="none"/>
          <w:u w:val="none" w:color="auto"/>
          <w:lang w:val="en-US" w:eastAsia="zh-CN"/>
        </w:rPr>
        <w:t>产业链产值达85亿元。</w:t>
      </w:r>
    </w:p>
    <w:p w14:paraId="7BB6773F">
      <w:pPr>
        <w:pStyle w:val="22"/>
        <w:keepNext w:val="0"/>
        <w:keepLines w:val="0"/>
        <w:pageBreakBefore w:val="0"/>
        <w:widowControl w:val="0"/>
        <w:kinsoku/>
        <w:wordWrap/>
        <w:overflowPunct/>
        <w:topLinePunct w:val="0"/>
        <w:autoSpaceDE/>
        <w:autoSpaceDN/>
        <w:bidi w:val="0"/>
        <w:adjustRightInd/>
        <w:snapToGrid/>
        <w:spacing w:line="578" w:lineRule="exact"/>
        <w:ind w:left="0" w:firstLine="640"/>
        <w:textAlignment w:val="baseline"/>
        <w:rPr>
          <w:rFonts w:hint="eastAsia" w:ascii="Times New Roman" w:hAnsi="Times New Roman" w:eastAsia="方正仿宋_GBK" w:cs="方正仿宋_GBK"/>
          <w:b w:val="0"/>
          <w:bCs w:val="0"/>
          <w:sz w:val="32"/>
          <w:szCs w:val="32"/>
          <w:highlight w:val="none"/>
          <w:u w:val="none" w:color="auto"/>
          <w:lang w:val="en-US" w:eastAsia="zh-CN"/>
        </w:rPr>
      </w:pPr>
      <w:r>
        <w:rPr>
          <w:rFonts w:hint="eastAsia" w:ascii="Times New Roman" w:hAnsi="Times New Roman" w:eastAsia="方正仿宋_GBK"/>
          <w:b/>
          <w:bCs/>
          <w:highlight w:val="none"/>
          <w:u w:val="none" w:color="auto"/>
        </w:rPr>
        <w:t>三是</w:t>
      </w:r>
      <w:r>
        <w:rPr>
          <w:rFonts w:hint="eastAsia" w:ascii="Times New Roman" w:hAnsi="Times New Roman" w:eastAsia="方正仿宋_GBK" w:cs="方正仿宋_GBK"/>
          <w:b/>
          <w:bCs/>
          <w:highlight w:val="none"/>
          <w:u w:val="none" w:color="auto"/>
        </w:rPr>
        <w:t>现代服务业提质增效。</w:t>
      </w:r>
      <w:r>
        <w:rPr>
          <w:rFonts w:hint="eastAsia" w:ascii="Times New Roman" w:hAnsi="Times New Roman" w:eastAsia="方正仿宋_GBK" w:cs="方正仿宋_GBK"/>
          <w:b w:val="0"/>
          <w:bCs w:val="0"/>
          <w:highlight w:val="none"/>
          <w:u w:val="none" w:color="auto"/>
          <w:lang w:val="en-US" w:eastAsia="zh-CN"/>
        </w:rPr>
        <w:t>举</w:t>
      </w:r>
      <w:r>
        <w:rPr>
          <w:rFonts w:hint="eastAsia" w:ascii="Times New Roman" w:hAnsi="Times New Roman" w:eastAsia="方正仿宋_GBK" w:cs="方正仿宋_GBK"/>
          <w:b w:val="0"/>
          <w:bCs w:val="0"/>
          <w:highlight w:val="none"/>
          <w:u w:val="none" w:color="auto"/>
          <w:lang w:val="en-US" w:eastAsia="zh-CN"/>
        </w:rPr>
        <w:t>办2024张飞庙新春庙会活动、“爱尚重庆·嗨购云阳”第二届孕婴童博览会、“6·11重百百货节”等惠民促销活动22场次</w:t>
      </w:r>
      <w:r>
        <w:rPr>
          <w:rFonts w:hint="eastAsia" w:ascii="Times New Roman" w:hAnsi="Times New Roman" w:eastAsia="方正仿宋_GBK" w:cs="方正仿宋_GBK"/>
          <w:b w:val="0"/>
          <w:bCs w:val="0"/>
          <w:highlight w:val="none"/>
          <w:u w:val="none" w:color="auto"/>
          <w:lang w:eastAsia="zh-CN"/>
        </w:rPr>
        <w:t>，带动消费超</w:t>
      </w:r>
      <w:r>
        <w:rPr>
          <w:rFonts w:hint="eastAsia" w:ascii="Times New Roman" w:hAnsi="Times New Roman" w:eastAsia="方正仿宋_GBK" w:cs="方正仿宋_GBK"/>
          <w:b w:val="0"/>
          <w:bCs w:val="0"/>
          <w:highlight w:val="none"/>
          <w:u w:val="none" w:color="auto"/>
          <w:lang w:val="en-US" w:eastAsia="zh-CN"/>
        </w:rPr>
        <w:t>70</w:t>
      </w:r>
      <w:r>
        <w:rPr>
          <w:rFonts w:hint="eastAsia" w:ascii="Times New Roman" w:hAnsi="Times New Roman" w:eastAsia="方正仿宋_GBK" w:cs="方正仿宋_GBK"/>
          <w:b w:val="0"/>
          <w:bCs w:val="0"/>
          <w:highlight w:val="none"/>
          <w:u w:val="none" w:color="auto"/>
          <w:lang w:eastAsia="zh-CN"/>
        </w:rPr>
        <w:t>亿元，</w:t>
      </w:r>
      <w:r>
        <w:rPr>
          <w:rFonts w:hint="eastAsia" w:ascii="Times New Roman" w:hAnsi="Times New Roman" w:eastAsia="方正仿宋_GBK" w:cs="方正仿宋_GBK"/>
          <w:b w:val="0"/>
          <w:bCs w:val="0"/>
          <w:highlight w:val="none"/>
          <w:u w:val="none" w:color="auto"/>
          <w:lang w:val="en-US" w:eastAsia="zh-CN"/>
        </w:rPr>
        <w:t>云阳羊脚脚等8道特色美食获评“渝味360碗”</w:t>
      </w:r>
      <w:r>
        <w:rPr>
          <w:rFonts w:hint="eastAsia" w:ascii="Times New Roman" w:hAnsi="Times New Roman" w:eastAsia="方正仿宋_GBK" w:cs="方正仿宋_GBK"/>
          <w:b w:val="0"/>
          <w:bCs w:val="0"/>
          <w:highlight w:val="none"/>
          <w:u w:val="none" w:color="auto"/>
          <w:lang w:eastAsia="zh-CN"/>
        </w:rPr>
        <w:t>，</w:t>
      </w:r>
      <w:r>
        <w:rPr>
          <w:rFonts w:hint="eastAsia" w:ascii="Times New Roman" w:hAnsi="Times New Roman" w:eastAsia="方正仿宋_GBK" w:cs="方正仿宋_GBK"/>
          <w:b w:val="0"/>
          <w:bCs w:val="0"/>
          <w:sz w:val="32"/>
          <w:highlight w:val="none"/>
          <w:u w:val="none" w:color="auto"/>
          <w:lang w:eastAsia="zh-CN"/>
        </w:rPr>
        <w:t>“1+7”</w:t>
      </w:r>
      <w:r>
        <w:rPr>
          <w:rFonts w:hint="eastAsia" w:ascii="Times New Roman" w:hAnsi="Times New Roman" w:eastAsia="方正仿宋_GBK" w:cs="方正仿宋_GBK"/>
          <w:b w:val="0"/>
          <w:bCs w:val="0"/>
          <w:highlight w:val="none"/>
          <w:u w:val="none" w:color="auto"/>
          <w:lang w:eastAsia="zh-CN"/>
        </w:rPr>
        <w:t>商圈</w:t>
      </w:r>
      <w:r>
        <w:rPr>
          <w:rFonts w:hint="default" w:ascii="Times New Roman" w:hAnsi="Times New Roman" w:eastAsia="方正仿宋_GBK" w:cs="Times New Roman"/>
          <w:b w:val="0"/>
          <w:bCs w:val="0"/>
          <w:sz w:val="32"/>
          <w:szCs w:val="32"/>
          <w:highlight w:val="none"/>
          <w:u w:val="none" w:color="auto"/>
        </w:rPr>
        <w:t>入驻率达90%以上</w:t>
      </w:r>
      <w:r>
        <w:rPr>
          <w:rFonts w:hint="eastAsia" w:ascii="Times New Roman" w:hAnsi="Times New Roman" w:eastAsia="方正仿宋_GBK" w:cs="Times New Roman"/>
          <w:b w:val="0"/>
          <w:bCs w:val="0"/>
          <w:sz w:val="32"/>
          <w:szCs w:val="32"/>
          <w:highlight w:val="none"/>
          <w:u w:val="none" w:color="auto"/>
          <w:lang w:eastAsia="zh-CN"/>
        </w:rPr>
        <w:t>，</w:t>
      </w:r>
      <w:r>
        <w:rPr>
          <w:rFonts w:hint="eastAsia" w:ascii="Times New Roman" w:hAnsi="Times New Roman" w:eastAsia="方正仿宋_GBK" w:cs="Times New Roman"/>
          <w:b w:val="0"/>
          <w:bCs w:val="0"/>
          <w:sz w:val="32"/>
          <w:szCs w:val="32"/>
          <w:highlight w:val="none"/>
          <w:u w:val="none" w:color="auto"/>
          <w:lang w:val="en-US" w:eastAsia="zh-CN"/>
        </w:rPr>
        <w:t xml:space="preserve">上半年批发零售业增加值完成 </w:t>
      </w:r>
      <w:r>
        <w:rPr>
          <w:rFonts w:hint="eastAsia" w:ascii="Times New Roman" w:hAnsi="Times New Roman" w:eastAsia="方正仿宋_GBK" w:cs="Times New Roman"/>
          <w:b w:val="0"/>
          <w:bCs w:val="0"/>
          <w:sz w:val="32"/>
          <w:szCs w:val="32"/>
          <w:highlight w:val="none"/>
          <w:u w:val="none" w:color="auto"/>
          <w:lang w:eastAsia="zh-CN"/>
        </w:rPr>
        <w:t>35.2</w:t>
      </w:r>
      <w:r>
        <w:rPr>
          <w:rFonts w:hint="eastAsia" w:ascii="Times New Roman" w:hAnsi="Times New Roman" w:eastAsia="方正仿宋_GBK" w:cs="Times New Roman"/>
          <w:b w:val="0"/>
          <w:bCs w:val="0"/>
          <w:sz w:val="32"/>
          <w:szCs w:val="32"/>
          <w:highlight w:val="none"/>
          <w:u w:val="none" w:color="auto"/>
          <w:lang w:val="en-US" w:eastAsia="zh-CN"/>
        </w:rPr>
        <w:t>亿元、同比增长</w:t>
      </w:r>
      <w:r>
        <w:rPr>
          <w:rFonts w:hint="eastAsia" w:ascii="Times New Roman" w:hAnsi="Times New Roman" w:eastAsia="方正仿宋_GBK" w:cs="Times New Roman"/>
          <w:b w:val="0"/>
          <w:bCs w:val="0"/>
          <w:sz w:val="32"/>
          <w:szCs w:val="32"/>
          <w:highlight w:val="none"/>
          <w:u w:val="none" w:color="auto"/>
          <w:lang w:eastAsia="zh-CN"/>
        </w:rPr>
        <w:t>11</w:t>
      </w:r>
      <w:r>
        <w:rPr>
          <w:rFonts w:hint="eastAsia" w:ascii="Times New Roman" w:hAnsi="Times New Roman" w:eastAsia="方正仿宋_GBK" w:cs="Times New Roman"/>
          <w:b w:val="0"/>
          <w:bCs w:val="0"/>
          <w:sz w:val="32"/>
          <w:szCs w:val="32"/>
          <w:highlight w:val="none"/>
          <w:u w:val="none" w:color="auto"/>
          <w:lang w:val="en-US" w:eastAsia="zh-CN"/>
        </w:rPr>
        <w:t>%，住宿餐饮业增加值完成</w:t>
      </w:r>
      <w:r>
        <w:rPr>
          <w:rFonts w:hint="eastAsia" w:ascii="Times New Roman" w:hAnsi="Times New Roman" w:eastAsia="方正仿宋_GBK" w:cs="Times New Roman"/>
          <w:b w:val="0"/>
          <w:bCs w:val="0"/>
          <w:sz w:val="32"/>
          <w:szCs w:val="32"/>
          <w:highlight w:val="none"/>
          <w:u w:val="none" w:color="auto"/>
          <w:lang w:eastAsia="zh-CN"/>
        </w:rPr>
        <w:t>10.4</w:t>
      </w:r>
      <w:r>
        <w:rPr>
          <w:rFonts w:hint="eastAsia" w:ascii="Times New Roman" w:hAnsi="Times New Roman" w:eastAsia="方正仿宋_GBK" w:cs="Times New Roman"/>
          <w:b w:val="0"/>
          <w:bCs w:val="0"/>
          <w:sz w:val="32"/>
          <w:szCs w:val="32"/>
          <w:highlight w:val="none"/>
          <w:u w:val="none" w:color="auto"/>
          <w:lang w:val="en-US" w:eastAsia="zh-CN"/>
        </w:rPr>
        <w:t>亿元、同比增长</w:t>
      </w:r>
      <w:r>
        <w:rPr>
          <w:rFonts w:hint="eastAsia" w:ascii="Times New Roman" w:hAnsi="Times New Roman" w:eastAsia="方正仿宋_GBK" w:cs="Times New Roman"/>
          <w:b w:val="0"/>
          <w:bCs w:val="0"/>
          <w:sz w:val="32"/>
          <w:szCs w:val="32"/>
          <w:highlight w:val="none"/>
          <w:u w:val="none" w:color="auto"/>
          <w:lang w:eastAsia="zh-CN"/>
        </w:rPr>
        <w:t>5.7</w:t>
      </w:r>
      <w:r>
        <w:rPr>
          <w:rFonts w:hint="eastAsia" w:ascii="Times New Roman" w:hAnsi="Times New Roman" w:eastAsia="方正仿宋_GBK" w:cs="Times New Roman"/>
          <w:b w:val="0"/>
          <w:bCs w:val="0"/>
          <w:sz w:val="32"/>
          <w:szCs w:val="32"/>
          <w:highlight w:val="none"/>
          <w:u w:val="none" w:color="auto"/>
          <w:lang w:val="en-US" w:eastAsia="zh-CN"/>
        </w:rPr>
        <w:t>%</w:t>
      </w:r>
      <w:r>
        <w:rPr>
          <w:rFonts w:hint="eastAsia" w:ascii="Times New Roman" w:hAnsi="Times New Roman" w:eastAsia="方正仿宋_GBK" w:cs="方正仿宋_GBK"/>
          <w:b w:val="0"/>
          <w:bCs w:val="0"/>
          <w:highlight w:val="none"/>
          <w:u w:val="none" w:color="auto"/>
          <w:lang w:val="en-US" w:eastAsia="zh-CN"/>
        </w:rPr>
        <w:t>。文旅消费扩容提质，持续两个月举办“看沙排·趣云阳”沙滩运动季，引进高水平全国沙滩排球巡回赛、世界残排联沙滩排球锦标赛、中国大学生沙滩排球锦标赛等体育精品赛事，接续举办巴阳枇杷节、栖霞油菜花节等节会10余场，凤鸣镇</w:t>
      </w:r>
      <w:r>
        <w:rPr>
          <w:rFonts w:hint="eastAsia" w:ascii="Times New Roman" w:hAnsi="Times New Roman" w:eastAsia="方正仿宋_GBK" w:cs="方正仿宋_GBK"/>
          <w:b w:val="0"/>
          <w:bCs w:val="0"/>
          <w:highlight w:val="none"/>
          <w:u w:val="none" w:color="auto"/>
          <w:lang w:eastAsia="zh-CN"/>
        </w:rPr>
        <w:t>黎明村农文旅产业园、“五指印江”田园综合体等乡村旅游持续火爆</w:t>
      </w:r>
      <w:r>
        <w:rPr>
          <w:rFonts w:hint="eastAsia" w:ascii="Times New Roman" w:hAnsi="Times New Roman" w:eastAsia="方正仿宋_GBK" w:cs="方正仿宋_GBK"/>
          <w:b w:val="0"/>
          <w:bCs w:val="0"/>
          <w:highlight w:val="none"/>
          <w:u w:val="none" w:color="auto"/>
          <w:lang w:val="en-US" w:eastAsia="zh-CN"/>
        </w:rPr>
        <w:t>，全县旅游综合收入、接待游客分别增长10.4%、10%</w:t>
      </w:r>
      <w:r>
        <w:rPr>
          <w:rFonts w:hint="eastAsia" w:ascii="Times New Roman" w:hAnsi="Times New Roman" w:eastAsia="方正仿宋_GBK" w:cs="方正仿宋_GBK"/>
          <w:b w:val="0"/>
          <w:bCs w:val="0"/>
          <w:highlight w:val="none"/>
          <w:u w:val="none" w:color="auto"/>
        </w:rPr>
        <w:t>。</w:t>
      </w:r>
      <w:r>
        <w:rPr>
          <w:rFonts w:hint="eastAsia" w:ascii="Times New Roman" w:hAnsi="Times New Roman" w:eastAsia="方正仿宋_GBK"/>
          <w:b w:val="0"/>
          <w:bCs w:val="0"/>
          <w:sz w:val="32"/>
          <w:szCs w:val="32"/>
          <w:highlight w:val="none"/>
          <w:u w:val="none" w:color="auto"/>
          <w:lang w:eastAsia="zh-CN"/>
        </w:rPr>
        <w:t>加快打造市级一级物流节点，</w:t>
      </w:r>
      <w:r>
        <w:rPr>
          <w:rFonts w:hint="eastAsia" w:ascii="Times New Roman" w:hAnsi="Times New Roman" w:eastAsia="方正仿宋_GBK"/>
          <w:b w:val="0"/>
          <w:bCs w:val="0"/>
          <w:sz w:val="32"/>
          <w:szCs w:val="32"/>
          <w:highlight w:val="none"/>
          <w:u w:val="none" w:color="auto"/>
          <w:lang w:val="en-US" w:eastAsia="zh-CN"/>
        </w:rPr>
        <w:t>中农智慧冷链物流港项目完成一期工程进度的58%，云阳县邮政仓储物流项目、云阳县公共物流配送中心同仓共拣项目已完工</w:t>
      </w:r>
      <w:r>
        <w:rPr>
          <w:rFonts w:hint="eastAsia" w:ascii="Times New Roman" w:hAnsi="Times New Roman" w:eastAsia="方正仿宋_GBK"/>
          <w:b w:val="0"/>
          <w:bCs w:val="0"/>
          <w:sz w:val="32"/>
          <w:szCs w:val="32"/>
          <w:highlight w:val="none"/>
          <w:u w:val="none" w:color="auto"/>
          <w:lang w:eastAsia="zh-CN"/>
        </w:rPr>
        <w:t>，</w:t>
      </w:r>
      <w:r>
        <w:rPr>
          <w:rFonts w:hint="eastAsia" w:ascii="Times New Roman" w:hAnsi="Times New Roman" w:eastAsia="方正仿宋_GBK"/>
          <w:b w:val="0"/>
          <w:bCs w:val="0"/>
          <w:sz w:val="32"/>
          <w:szCs w:val="32"/>
          <w:highlight w:val="none"/>
          <w:u w:val="none" w:color="auto"/>
          <w:lang w:val="en-US" w:eastAsia="zh-CN"/>
        </w:rPr>
        <w:t>加快打造巴阳镇电商直播服务中心项目。</w:t>
      </w:r>
      <w:r>
        <w:rPr>
          <w:rFonts w:hint="default" w:ascii="Times New Roman" w:hAnsi="Times New Roman" w:eastAsia="方正仿宋_GBK" w:cs="方正仿宋_GBK"/>
          <w:b w:val="0"/>
          <w:bCs w:val="0"/>
          <w:sz w:val="32"/>
          <w:szCs w:val="32"/>
          <w:highlight w:val="none"/>
          <w:u w:val="none" w:color="auto"/>
        </w:rPr>
        <w:t>金融支持实体经济质效提升，</w:t>
      </w:r>
      <w:r>
        <w:rPr>
          <w:rFonts w:hint="eastAsia" w:ascii="Times New Roman" w:hAnsi="Times New Roman" w:eastAsia="方正仿宋_GBK" w:cs="方正仿宋_GBK"/>
          <w:b w:val="0"/>
          <w:bCs w:val="0"/>
          <w:sz w:val="32"/>
          <w:szCs w:val="32"/>
          <w:highlight w:val="none"/>
          <w:u w:val="none" w:color="auto"/>
          <w:lang w:eastAsia="zh-CN"/>
        </w:rPr>
        <w:t>上半年存</w:t>
      </w:r>
      <w:r>
        <w:rPr>
          <w:rFonts w:hint="eastAsia" w:ascii="Times New Roman" w:hAnsi="Times New Roman" w:eastAsia="方正仿宋_GBK" w:cs="方正仿宋_GBK"/>
          <w:b w:val="0"/>
          <w:bCs w:val="0"/>
          <w:sz w:val="32"/>
          <w:szCs w:val="32"/>
          <w:highlight w:val="none"/>
          <w:u w:val="none" w:color="auto"/>
          <w:lang w:val="en-US" w:eastAsia="zh-CN"/>
        </w:rPr>
        <w:t>贷款余额均增长8.1%</w:t>
      </w:r>
      <w:r>
        <w:rPr>
          <w:rFonts w:hint="eastAsia" w:ascii="Times New Roman" w:hAnsi="Times New Roman" w:eastAsia="方正仿宋_GBK" w:cs="方正仿宋_GBK"/>
          <w:b w:val="0"/>
          <w:bCs w:val="0"/>
          <w:sz w:val="32"/>
          <w:szCs w:val="32"/>
          <w:highlight w:val="none"/>
          <w:u w:val="none" w:color="auto"/>
          <w:lang w:val="en-US" w:eastAsia="zh-CN"/>
        </w:rPr>
        <w:t>。成功举办云阳县第六届房交会，二手房交易面积同比增长6.6%。</w:t>
      </w:r>
    </w:p>
    <w:p w14:paraId="37F3EC30">
      <w:pPr>
        <w:pStyle w:val="22"/>
        <w:keepNext w:val="0"/>
        <w:keepLines w:val="0"/>
        <w:pageBreakBefore w:val="0"/>
        <w:kinsoku/>
        <w:wordWrap/>
        <w:overflowPunct/>
        <w:topLinePunct w:val="0"/>
        <w:autoSpaceDE/>
        <w:autoSpaceDN/>
        <w:bidi w:val="0"/>
        <w:adjustRightInd/>
        <w:snapToGrid/>
        <w:spacing w:line="578" w:lineRule="exact"/>
        <w:ind w:left="0" w:firstLine="640"/>
        <w:rPr>
          <w:rFonts w:hint="eastAsia" w:ascii="Times New Roman" w:hAnsi="Times New Roman" w:eastAsia="方正楷体_GBK" w:cs="方正楷体_GBK"/>
          <w:highlight w:val="none"/>
          <w:u w:val="none" w:color="auto"/>
          <w:lang w:val="en-US" w:eastAsia="zh-CN"/>
        </w:rPr>
      </w:pPr>
      <w:r>
        <w:rPr>
          <w:rFonts w:hint="eastAsia" w:ascii="Times New Roman" w:hAnsi="Times New Roman" w:eastAsia="方正楷体_GBK" w:cs="方正楷体_GBK"/>
          <w:highlight w:val="none"/>
          <w:u w:val="none" w:color="auto"/>
          <w:lang w:val="en-US" w:eastAsia="zh-CN"/>
        </w:rPr>
        <w:t>（二）深层次改革和高水平开放统筹推进，重大战略走深走实。</w:t>
      </w:r>
    </w:p>
    <w:p w14:paraId="17569493">
      <w:pPr>
        <w:pStyle w:val="22"/>
        <w:keepNext w:val="0"/>
        <w:keepLines w:val="0"/>
        <w:pageBreakBefore w:val="0"/>
        <w:kinsoku/>
        <w:wordWrap/>
        <w:overflowPunct/>
        <w:topLinePunct w:val="0"/>
        <w:autoSpaceDE/>
        <w:autoSpaceDN/>
        <w:bidi w:val="0"/>
        <w:adjustRightInd/>
        <w:snapToGrid/>
        <w:spacing w:line="578" w:lineRule="exact"/>
        <w:ind w:left="0" w:firstLine="640"/>
        <w:rPr>
          <w:rFonts w:hint="eastAsia" w:ascii="Times New Roman" w:hAnsi="Times New Roman" w:eastAsia="方正仿宋_GBK" w:cs="方正仿宋_GBK"/>
          <w:highlight w:val="none"/>
          <w:u w:val="none" w:color="auto"/>
          <w:lang w:val="en-US" w:eastAsia="zh-CN"/>
        </w:rPr>
      </w:pPr>
      <w:r>
        <w:rPr>
          <w:rFonts w:hint="eastAsia" w:ascii="Times New Roman" w:hAnsi="Times New Roman" w:eastAsia="方正仿宋_GBK" w:cs="方正仿宋_GBK"/>
          <w:b/>
          <w:bCs/>
          <w:highlight w:val="none"/>
          <w:u w:val="none" w:color="auto"/>
          <w:lang w:val="en-US" w:eastAsia="zh-CN"/>
        </w:rPr>
        <w:t>一是提速推进成渝地区双城经济圈建设。</w:t>
      </w:r>
      <w:r>
        <w:rPr>
          <w:rFonts w:hint="eastAsia" w:ascii="Times New Roman" w:hAnsi="Times New Roman" w:eastAsia="方正仿宋_GBK" w:cs="方正仿宋_GBK"/>
          <w:highlight w:val="none"/>
          <w:u w:val="none" w:color="auto"/>
          <w:lang w:val="en-US" w:eastAsia="zh-CN"/>
        </w:rPr>
        <w:t>深入落实市上“十项行动”，迭代升级工作体系、目标体系，提速推进“双圈”项目，建全抽水蓄能电站超额完成上半年计划投资的41%，向阳水库征地移民先行用地获自然资源部批复，共建巴蜀文化旅游走廊，完成云阳世界地质公园创建国家专家预评估。推动与成都市金堂县友好城市合作走深走实，成功在文旅体融合发展、乡镇党建结对、远程异地评标等领域取得一批标志性合作成果。深度融入川渝万达开地区统筹发展，合力共建万达开产业协同创新示范区，完成万达开云文旅一体化发展规划编制，启动万达开云文化旅游消费季谋划，召开第九次万达开云政务服务联席会议，推进万达开云政务服务一体化建设。合力推动万开云同城化发展，锦艺新材料与万州雷士照明、开州紫建电子补链延链，协同举办三峡柑橘国际交易会、销售额突破15亿元，共同签订第二轮磨刀溪横向生态补偿协议、毗邻乡镇区域协作框架协议。</w:t>
      </w:r>
    </w:p>
    <w:p w14:paraId="4083BFB4">
      <w:pPr>
        <w:pStyle w:val="22"/>
        <w:keepNext w:val="0"/>
        <w:keepLines w:val="0"/>
        <w:pageBreakBefore w:val="0"/>
        <w:kinsoku/>
        <w:wordWrap/>
        <w:overflowPunct/>
        <w:topLinePunct w:val="0"/>
        <w:autoSpaceDE/>
        <w:autoSpaceDN/>
        <w:bidi w:val="0"/>
        <w:adjustRightInd/>
        <w:snapToGrid/>
        <w:spacing w:line="578" w:lineRule="exact"/>
        <w:ind w:left="0" w:firstLine="640"/>
        <w:rPr>
          <w:rFonts w:hint="eastAsia" w:ascii="Times New Roman" w:hAnsi="Times New Roman" w:eastAsia="方正仿宋_GBK" w:cs="方正仿宋_GBK"/>
          <w:b/>
          <w:bCs/>
          <w:highlight w:val="none"/>
          <w:u w:val="none" w:color="auto"/>
          <w:lang w:val="en-US" w:eastAsia="zh-CN"/>
        </w:rPr>
      </w:pPr>
      <w:r>
        <w:rPr>
          <w:rFonts w:hint="eastAsia" w:ascii="Times New Roman" w:hAnsi="Times New Roman" w:eastAsia="方正仿宋_GBK" w:cs="方正仿宋_GBK"/>
          <w:b/>
          <w:bCs/>
          <w:highlight w:val="none"/>
          <w:u w:val="none" w:color="auto"/>
          <w:lang w:val="en-US" w:eastAsia="zh-CN"/>
        </w:rPr>
        <w:t>二是重点领域改革取得突破。数字重庆加快推进。</w:t>
      </w:r>
      <w:r>
        <w:rPr>
          <w:rFonts w:hint="eastAsia" w:ascii="Times New Roman" w:hAnsi="Times New Roman" w:eastAsia="方正仿宋_GBK" w:cs="方正仿宋_GBK"/>
          <w:highlight w:val="none"/>
          <w:u w:val="none" w:color="auto"/>
          <w:lang w:val="en-US" w:eastAsia="zh-CN"/>
        </w:rPr>
        <w:t>建成云阳数据仓，建设部门数据归集前置库20个、部门应用仓4个，累计编目归集数据4248类5696万条，优质数据占比99.9%。积极推进智慧长江物流、“执法+监督集成”“党建·数智党校”3个市级重大应用使用试点和“文化·</w:t>
      </w:r>
      <w:r>
        <w:rPr>
          <w:rFonts w:hint="eastAsia" w:ascii="Times New Roman" w:hAnsi="Times New Roman" w:eastAsia="方正仿宋_GBK" w:cs="方正仿宋_GBK"/>
          <w:highlight w:val="none"/>
          <w:u w:val="none" w:color="auto"/>
          <w:lang w:val="en-US" w:eastAsia="zh-CN"/>
        </w:rPr>
        <w:t>理响重庆</w:t>
      </w:r>
      <w:r>
        <w:rPr>
          <w:rFonts w:hint="eastAsia" w:ascii="Times New Roman" w:hAnsi="Times New Roman" w:eastAsia="方正仿宋_GBK" w:cs="方正仿宋_GBK"/>
          <w:highlight w:val="none"/>
          <w:u w:val="none" w:color="auto"/>
          <w:lang w:val="en-US" w:eastAsia="zh-CN"/>
        </w:rPr>
        <w:t>”子场景试点开发</w:t>
      </w:r>
      <w:r>
        <w:rPr>
          <w:rFonts w:hint="eastAsia" w:ascii="Times New Roman" w:hAnsi="Times New Roman" w:eastAsia="方正仿宋_GBK" w:cs="方正仿宋_GBK"/>
          <w:b/>
          <w:bCs/>
          <w:highlight w:val="none"/>
          <w:u w:val="none" w:color="auto"/>
          <w:lang w:val="en-US" w:eastAsia="zh-CN"/>
        </w:rPr>
        <w:t>“三攻坚一盘活”改革成效明显。</w:t>
      </w:r>
      <w:r>
        <w:rPr>
          <w:rFonts w:hint="eastAsia" w:ascii="Times New Roman" w:hAnsi="Times New Roman" w:eastAsia="方正仿宋_GBK" w:cs="方正仿宋_GBK"/>
          <w:highlight w:val="none"/>
          <w:u w:val="none" w:color="auto"/>
          <w:lang w:val="en-US" w:eastAsia="zh-CN"/>
        </w:rPr>
        <w:t>国企改革和有效资产盘活成效明显，压减企业法人24户，提前完成全年任务；实现22户企业减亏、7户企业扭亏，超额完成全年任务，盘活国有资产18.6亿元、完成全年目标的290%，回收资金8.4亿元、完成全年目标的141.8%。园区（开发区）改革推进有力，圆满完成压减机构数量任务，工业园区与相关乡镇（街道）、部门以及运营公司之间的权责关系实现清晰界定，深化“标准地”改革，实施“亩均效益”评价，</w:t>
      </w:r>
      <w:r>
        <w:rPr>
          <w:rFonts w:hint="eastAsia" w:ascii="Times New Roman" w:hAnsi="Times New Roman" w:eastAsia="方正仿宋_GBK" w:cs="方正仿宋_GBK"/>
          <w:highlight w:val="none"/>
          <w:u w:val="none" w:color="auto"/>
          <w:lang w:val="en-US" w:eastAsia="zh-CN"/>
        </w:rPr>
        <w:t>上半年实现亩均税收3.1万元/亩</w:t>
      </w:r>
      <w:r>
        <w:rPr>
          <w:rFonts w:hint="eastAsia" w:ascii="Times New Roman" w:hAnsi="Times New Roman" w:eastAsia="方正仿宋_GBK" w:cs="方正仿宋_GBK"/>
          <w:highlight w:val="none"/>
          <w:u w:val="none" w:color="auto"/>
          <w:lang w:val="en-US" w:eastAsia="zh-CN"/>
        </w:rPr>
        <w:t>、亩均增加值</w:t>
      </w:r>
      <w:r>
        <w:rPr>
          <w:rFonts w:hint="eastAsia" w:ascii="Times New Roman" w:hAnsi="Times New Roman" w:eastAsia="方正仿宋_GBK" w:cs="方正仿宋_GBK"/>
          <w:highlight w:val="none"/>
          <w:u w:val="none" w:color="auto"/>
          <w:lang w:val="en-US" w:eastAsia="zh-CN"/>
        </w:rPr>
        <w:t>83.8万元/亩</w:t>
      </w:r>
      <w:r>
        <w:rPr>
          <w:rFonts w:hint="eastAsia" w:ascii="Times New Roman" w:hAnsi="Times New Roman" w:eastAsia="方正仿宋_GBK" w:cs="方正仿宋_GBK"/>
          <w:highlight w:val="none"/>
          <w:u w:val="none" w:color="auto"/>
          <w:lang w:val="en-US" w:eastAsia="zh-CN"/>
        </w:rPr>
        <w:t>。政企分离提前收官，康悦养老公司、南溪富家电站2户涉改企业完成股权划转，政企分离改革完成率、国有资产集中统一监管比例均为100%。</w:t>
      </w:r>
      <w:r>
        <w:rPr>
          <w:rFonts w:hint="eastAsia" w:ascii="Times New Roman" w:hAnsi="Times New Roman" w:eastAsia="方正仿宋_GBK" w:cs="方正仿宋_GBK"/>
          <w:b/>
          <w:bCs/>
          <w:highlight w:val="none"/>
          <w:u w:val="none" w:color="auto"/>
          <w:lang w:val="en-US" w:eastAsia="zh-CN"/>
        </w:rPr>
        <w:t>营商环境持续优化。</w:t>
      </w:r>
      <w:r>
        <w:rPr>
          <w:rFonts w:hint="eastAsia" w:ascii="Times New Roman" w:hAnsi="Times New Roman" w:eastAsia="方正仿宋_GBK" w:cs="方正仿宋_GBK"/>
          <w:highlight w:val="none"/>
          <w:u w:val="none" w:color="auto"/>
          <w:lang w:val="en-US" w:eastAsia="zh-CN"/>
        </w:rPr>
        <w:t>成功举办“统筹融资信用服务平台建设全面提升‘信易贷’工作水平”全国现场会，云阳县“信用助农”场景打造入围重庆市重点信用应用场景试点，2023年度云阳县打造“信用重庆”升级版改革荣获市政府督查激励，成功创建重庆市信用示范城市。</w:t>
      </w:r>
    </w:p>
    <w:p w14:paraId="5A5B666E">
      <w:pPr>
        <w:pStyle w:val="22"/>
        <w:keepNext w:val="0"/>
        <w:keepLines w:val="0"/>
        <w:pageBreakBefore w:val="0"/>
        <w:kinsoku/>
        <w:wordWrap/>
        <w:overflowPunct/>
        <w:topLinePunct w:val="0"/>
        <w:autoSpaceDE/>
        <w:autoSpaceDN/>
        <w:bidi w:val="0"/>
        <w:adjustRightInd/>
        <w:snapToGrid/>
        <w:spacing w:line="578" w:lineRule="exact"/>
        <w:ind w:left="0" w:firstLine="640"/>
        <w:rPr>
          <w:rFonts w:hint="eastAsia" w:ascii="Times New Roman" w:hAnsi="Times New Roman" w:eastAsia="方正仿宋_GBK"/>
          <w:b w:val="0"/>
          <w:bCs w:val="0"/>
          <w:sz w:val="32"/>
          <w:szCs w:val="32"/>
          <w:highlight w:val="none"/>
          <w:u w:val="none" w:color="auto"/>
          <w:lang w:val="en-US" w:eastAsia="zh-CN"/>
        </w:rPr>
      </w:pPr>
      <w:r>
        <w:rPr>
          <w:rFonts w:hint="eastAsia" w:ascii="Times New Roman" w:hAnsi="Times New Roman" w:eastAsia="方正仿宋_GBK" w:cs="方正仿宋_GBK"/>
          <w:b/>
          <w:bCs/>
          <w:highlight w:val="none"/>
          <w:u w:val="none" w:color="auto"/>
          <w:lang w:val="en-US" w:eastAsia="zh-CN"/>
        </w:rPr>
        <w:t>三是</w:t>
      </w:r>
      <w:r>
        <w:rPr>
          <w:rFonts w:hint="eastAsia" w:ascii="Times New Roman" w:hAnsi="Times New Roman" w:eastAsia="方正仿宋_GBK"/>
          <w:b/>
          <w:bCs/>
          <w:sz w:val="32"/>
          <w:szCs w:val="32"/>
          <w:highlight w:val="none"/>
          <w:u w:val="none" w:color="auto"/>
        </w:rPr>
        <w:t>对外</w:t>
      </w:r>
      <w:r>
        <w:rPr>
          <w:rFonts w:hint="eastAsia" w:ascii="Times New Roman" w:hAnsi="Times New Roman" w:eastAsia="方正仿宋_GBK"/>
          <w:b/>
          <w:bCs/>
          <w:sz w:val="32"/>
          <w:szCs w:val="32"/>
          <w:highlight w:val="none"/>
          <w:u w:val="none" w:color="auto"/>
          <w:lang w:eastAsia="zh-CN"/>
        </w:rPr>
        <w:t>交流</w:t>
      </w:r>
      <w:r>
        <w:rPr>
          <w:rFonts w:hint="eastAsia" w:ascii="Times New Roman" w:hAnsi="Times New Roman" w:eastAsia="方正仿宋_GBK"/>
          <w:b/>
          <w:bCs/>
          <w:sz w:val="32"/>
          <w:szCs w:val="32"/>
          <w:highlight w:val="none"/>
          <w:u w:val="none" w:color="auto"/>
        </w:rPr>
        <w:t>合作</w:t>
      </w:r>
      <w:r>
        <w:rPr>
          <w:rFonts w:hint="eastAsia" w:ascii="Times New Roman" w:hAnsi="Times New Roman" w:eastAsia="方正仿宋_GBK"/>
          <w:b/>
          <w:bCs/>
          <w:sz w:val="32"/>
          <w:szCs w:val="32"/>
          <w:highlight w:val="none"/>
          <w:u w:val="none" w:color="auto"/>
          <w:lang w:eastAsia="zh-CN"/>
        </w:rPr>
        <w:t>加深加密</w:t>
      </w:r>
      <w:r>
        <w:rPr>
          <w:rFonts w:hint="eastAsia" w:ascii="Times New Roman" w:hAnsi="Times New Roman" w:eastAsia="方正仿宋_GBK"/>
          <w:b/>
          <w:bCs/>
          <w:sz w:val="32"/>
          <w:szCs w:val="32"/>
          <w:highlight w:val="none"/>
          <w:u w:val="none" w:color="auto"/>
        </w:rPr>
        <w:t>。</w:t>
      </w:r>
      <w:r>
        <w:rPr>
          <w:rFonts w:hint="eastAsia" w:ascii="Times New Roman" w:hAnsi="Times New Roman" w:eastAsia="方正仿宋_GBK"/>
          <w:b w:val="0"/>
          <w:bCs w:val="0"/>
          <w:sz w:val="32"/>
          <w:szCs w:val="32"/>
          <w:highlight w:val="none"/>
          <w:u w:val="none" w:color="auto"/>
          <w:lang w:val="en-US" w:eastAsia="zh-CN"/>
        </w:rPr>
        <w:t>西部陆海新通道建设步入“快</w:t>
      </w:r>
      <w:r>
        <w:rPr>
          <w:rFonts w:hint="eastAsia" w:ascii="Times New Roman" w:hAnsi="Times New Roman" w:eastAsia="方正仿宋_GBK"/>
          <w:b w:val="0"/>
          <w:bCs w:val="0"/>
          <w:sz w:val="32"/>
          <w:szCs w:val="32"/>
          <w:highlight w:val="none"/>
          <w:u w:val="none" w:color="auto"/>
          <w:lang w:val="en-US" w:eastAsia="zh-CN"/>
        </w:rPr>
        <w:t>车道”，</w:t>
      </w:r>
      <w:r>
        <w:rPr>
          <w:rFonts w:hint="eastAsia" w:ascii="Times New Roman" w:hAnsi="Times New Roman" w:eastAsia="方正仿宋_GBK"/>
          <w:b w:val="0"/>
          <w:bCs w:val="0"/>
          <w:sz w:val="32"/>
          <w:szCs w:val="32"/>
          <w:highlight w:val="none"/>
          <w:u w:val="none" w:color="auto"/>
          <w:lang w:eastAsia="zh-CN"/>
        </w:rPr>
        <w:t>召开</w:t>
      </w:r>
      <w:r>
        <w:rPr>
          <w:rFonts w:hint="eastAsia" w:ascii="Times New Roman" w:hAnsi="Times New Roman" w:eastAsia="方正仿宋_GBK"/>
          <w:b w:val="0"/>
          <w:bCs w:val="0"/>
          <w:sz w:val="32"/>
          <w:szCs w:val="32"/>
          <w:highlight w:val="none"/>
          <w:u w:val="none" w:color="auto"/>
        </w:rPr>
        <w:t>融入西部陆海新通道建设工作推进大会</w:t>
      </w:r>
      <w:r>
        <w:rPr>
          <w:rFonts w:hint="eastAsia" w:ascii="Times New Roman" w:hAnsi="Times New Roman" w:eastAsia="方正仿宋_GBK"/>
          <w:b w:val="0"/>
          <w:bCs w:val="0"/>
          <w:sz w:val="32"/>
          <w:szCs w:val="32"/>
          <w:highlight w:val="none"/>
          <w:u w:val="none" w:color="auto"/>
          <w:lang w:eastAsia="zh-CN"/>
        </w:rPr>
        <w:t>，经西部陆海新通道货运量增长</w:t>
      </w:r>
      <w:r>
        <w:rPr>
          <w:rFonts w:hint="eastAsia" w:ascii="Times New Roman" w:hAnsi="Times New Roman" w:eastAsia="方正仿宋_GBK"/>
          <w:b w:val="0"/>
          <w:bCs w:val="0"/>
          <w:sz w:val="32"/>
          <w:szCs w:val="32"/>
          <w:highlight w:val="none"/>
          <w:u w:val="none" w:color="auto"/>
          <w:lang w:val="en-US" w:eastAsia="zh-CN"/>
        </w:rPr>
        <w:t>90%</w:t>
      </w:r>
      <w:r>
        <w:rPr>
          <w:rFonts w:hint="eastAsia" w:ascii="Times New Roman" w:hAnsi="Times New Roman" w:eastAsia="方正仿宋_GBK"/>
          <w:b w:val="0"/>
          <w:bCs w:val="0"/>
          <w:sz w:val="32"/>
          <w:szCs w:val="32"/>
          <w:highlight w:val="none"/>
          <w:u w:val="none" w:color="auto"/>
          <w:lang w:eastAsia="zh-CN"/>
        </w:rPr>
        <w:t>，货运值增长270.1%。召开云阳县金融支持西部陆海新通道建设宣讲会暨融资对接会，现场意向授信</w:t>
      </w:r>
      <w:r>
        <w:rPr>
          <w:rFonts w:hint="eastAsia" w:ascii="Times New Roman" w:hAnsi="Times New Roman" w:eastAsia="方正仿宋_GBK"/>
          <w:b w:val="0"/>
          <w:bCs w:val="0"/>
          <w:sz w:val="32"/>
          <w:szCs w:val="32"/>
          <w:highlight w:val="none"/>
          <w:u w:val="none" w:color="auto"/>
          <w:lang w:val="en-US" w:eastAsia="zh-CN"/>
        </w:rPr>
        <w:t>1.8亿</w:t>
      </w:r>
      <w:r>
        <w:rPr>
          <w:rFonts w:hint="eastAsia" w:ascii="Times New Roman" w:hAnsi="Times New Roman" w:eastAsia="方正仿宋_GBK"/>
          <w:b w:val="0"/>
          <w:bCs w:val="0"/>
          <w:sz w:val="32"/>
          <w:szCs w:val="32"/>
          <w:highlight w:val="none"/>
          <w:u w:val="none" w:color="auto"/>
          <w:lang w:eastAsia="zh-CN"/>
        </w:rPr>
        <w:t>元。推动晚艳农业赴泰国参展开拓泰国销售渠道、云阳徐艾赴香港开展医疗行业国际对接，协助优多科技、重庆婷杰饰品参加134届广交会，组织县内25家企业参加第六届西洽会，开行云粤跨境公路班车</w:t>
      </w:r>
      <w:r>
        <w:rPr>
          <w:rFonts w:hint="eastAsia" w:ascii="Times New Roman" w:hAnsi="Times New Roman" w:eastAsia="方正仿宋_GBK"/>
          <w:b w:val="0"/>
          <w:bCs w:val="0"/>
          <w:sz w:val="32"/>
          <w:szCs w:val="32"/>
          <w:highlight w:val="none"/>
          <w:u w:val="none" w:color="auto"/>
          <w:lang w:val="en-US" w:eastAsia="zh-CN"/>
        </w:rPr>
        <w:t>125</w:t>
      </w:r>
      <w:r>
        <w:rPr>
          <w:rFonts w:hint="eastAsia" w:ascii="Times New Roman" w:hAnsi="Times New Roman" w:eastAsia="方正仿宋_GBK"/>
          <w:b w:val="0"/>
          <w:bCs w:val="0"/>
          <w:sz w:val="32"/>
          <w:szCs w:val="32"/>
          <w:highlight w:val="none"/>
          <w:u w:val="none" w:color="auto"/>
          <w:lang w:eastAsia="zh-CN"/>
        </w:rPr>
        <w:t>趟次，</w:t>
      </w:r>
      <w:r>
        <w:rPr>
          <w:rFonts w:hint="eastAsia" w:ascii="Times New Roman" w:hAnsi="Times New Roman" w:eastAsia="方正仿宋_GBK"/>
          <w:b w:val="0"/>
          <w:bCs w:val="0"/>
          <w:sz w:val="32"/>
          <w:szCs w:val="32"/>
          <w:highlight w:val="none"/>
          <w:u w:val="none" w:color="auto"/>
          <w:lang w:val="en-US" w:eastAsia="zh-CN"/>
        </w:rPr>
        <w:t>上半年全县实现进出口总额0.7亿元、同比增长93%</w:t>
      </w:r>
      <w:r>
        <w:rPr>
          <w:rFonts w:hint="eastAsia" w:ascii="Times New Roman" w:hAnsi="Times New Roman" w:eastAsia="方正仿宋_GBK"/>
          <w:b w:val="0"/>
          <w:bCs w:val="0"/>
          <w:sz w:val="32"/>
          <w:szCs w:val="32"/>
          <w:highlight w:val="none"/>
          <w:u w:val="none" w:color="auto"/>
          <w:lang w:eastAsia="zh-CN"/>
        </w:rPr>
        <w:t>。</w:t>
      </w:r>
    </w:p>
    <w:p w14:paraId="08B4A4A9">
      <w:pPr>
        <w:pStyle w:val="22"/>
        <w:keepNext w:val="0"/>
        <w:keepLines w:val="0"/>
        <w:pageBreakBefore w:val="0"/>
        <w:kinsoku/>
        <w:wordWrap/>
        <w:overflowPunct/>
        <w:topLinePunct w:val="0"/>
        <w:autoSpaceDE/>
        <w:autoSpaceDN/>
        <w:bidi w:val="0"/>
        <w:adjustRightInd/>
        <w:snapToGrid/>
        <w:spacing w:line="578" w:lineRule="exact"/>
        <w:ind w:left="0" w:firstLine="640"/>
        <w:rPr>
          <w:rFonts w:hint="eastAsia" w:ascii="Times New Roman" w:hAnsi="Times New Roman" w:eastAsia="方正楷体_GBK" w:cs="方正楷体_GBK"/>
          <w:highlight w:val="none"/>
          <w:u w:val="none" w:color="auto"/>
          <w:lang w:val="en-US" w:eastAsia="zh-CN"/>
        </w:rPr>
      </w:pPr>
      <w:r>
        <w:rPr>
          <w:rFonts w:hint="eastAsia" w:ascii="Times New Roman" w:hAnsi="Times New Roman" w:eastAsia="方正楷体_GBK" w:cs="方正楷体_GBK"/>
          <w:highlight w:val="none"/>
          <w:u w:val="none" w:color="auto"/>
          <w:lang w:val="en-US" w:eastAsia="zh-CN"/>
        </w:rPr>
        <w:t>（三）新型城镇化和乡村全面振兴扎实推进，城乡融合成效明显。</w:t>
      </w:r>
    </w:p>
    <w:p w14:paraId="382CF571">
      <w:pPr>
        <w:pStyle w:val="22"/>
        <w:keepNext w:val="0"/>
        <w:keepLines w:val="0"/>
        <w:pageBreakBefore w:val="0"/>
        <w:kinsoku/>
        <w:wordWrap/>
        <w:overflowPunct/>
        <w:topLinePunct w:val="0"/>
        <w:autoSpaceDE/>
        <w:autoSpaceDN/>
        <w:bidi w:val="0"/>
        <w:adjustRightInd/>
        <w:snapToGrid/>
        <w:spacing w:line="578" w:lineRule="exact"/>
        <w:ind w:left="0" w:firstLine="640"/>
        <w:rPr>
          <w:rFonts w:hint="eastAsia" w:ascii="Times New Roman" w:hAnsi="Times New Roman" w:eastAsia="方正仿宋_GBK" w:cs="方正仿宋_GBK"/>
          <w:highlight w:val="none"/>
          <w:u w:val="none" w:color="auto"/>
          <w:lang w:val="en-US" w:eastAsia="zh-CN"/>
        </w:rPr>
      </w:pPr>
      <w:r>
        <w:rPr>
          <w:rFonts w:hint="eastAsia" w:ascii="Times New Roman" w:hAnsi="Times New Roman" w:eastAsia="方正仿宋_GBK" w:cs="方正仿宋_GBK"/>
          <w:b/>
          <w:bCs/>
          <w:highlight w:val="none"/>
          <w:u w:val="none" w:color="auto"/>
          <w:lang w:val="en-US" w:eastAsia="zh-CN"/>
        </w:rPr>
        <w:t>一是县城核心区加快构建。</w:t>
      </w:r>
      <w:r>
        <w:rPr>
          <w:rFonts w:hint="eastAsia" w:ascii="Times New Roman" w:hAnsi="Times New Roman" w:eastAsia="方正仿宋_GBK" w:cs="方正仿宋_GBK"/>
          <w:b w:val="0"/>
          <w:bCs w:val="0"/>
          <w:highlight w:val="none"/>
          <w:u w:val="none" w:color="auto"/>
          <w:lang w:val="en-US" w:eastAsia="zh-CN"/>
        </w:rPr>
        <w:t>“小县大城”“强镇带村”试点全面推进，重点</w:t>
      </w:r>
      <w:r>
        <w:rPr>
          <w:rFonts w:hint="eastAsia" w:ascii="Times New Roman" w:hAnsi="Times New Roman" w:eastAsia="方正仿宋_GBK" w:cs="方正仿宋_GBK"/>
          <w:highlight w:val="none"/>
          <w:u w:val="none" w:color="auto"/>
          <w:lang w:val="en-US" w:eastAsia="zh-CN"/>
        </w:rPr>
        <w:t>推动“四街四镇”城乡规划、产业布局、城镇管理等“十个一体化”，形成《四镇四街城乡规划一体化规划研究》成果，“一道两江三环四区”城市空间格局持续优化，完成全县城乡供水一体化规划编制，国家森林城市、市级垃圾分类先锋县、市级生态园林城市加快创建。</w:t>
      </w:r>
      <w:r>
        <w:rPr>
          <w:rFonts w:hint="eastAsia" w:ascii="Times New Roman" w:hAnsi="Times New Roman" w:eastAsia="方正仿宋_GBK"/>
          <w:b w:val="0"/>
          <w:bCs w:val="0"/>
          <w:color w:val="000000"/>
          <w:sz w:val="32"/>
          <w:szCs w:val="32"/>
          <w:highlight w:val="none"/>
          <w:u w:val="none" w:color="auto"/>
        </w:rPr>
        <w:t>“五城同建”提速推进</w:t>
      </w:r>
      <w:r>
        <w:rPr>
          <w:rFonts w:hint="eastAsia" w:ascii="Times New Roman" w:hAnsi="Times New Roman" w:eastAsia="方正仿宋_GBK"/>
          <w:b w:val="0"/>
          <w:bCs w:val="0"/>
          <w:color w:val="000000"/>
          <w:sz w:val="32"/>
          <w:szCs w:val="32"/>
          <w:highlight w:val="none"/>
          <w:u w:val="none" w:color="auto"/>
          <w:lang w:eastAsia="zh-CN"/>
        </w:rPr>
        <w:t>，</w:t>
      </w:r>
      <w:r>
        <w:rPr>
          <w:rFonts w:hint="eastAsia" w:ascii="Times New Roman" w:hAnsi="Times New Roman" w:eastAsia="方正仿宋_GBK"/>
          <w:b w:val="0"/>
          <w:bCs w:val="0"/>
          <w:color w:val="000000"/>
          <w:sz w:val="32"/>
          <w:szCs w:val="32"/>
          <w:highlight w:val="none"/>
          <w:u w:val="none" w:color="auto"/>
          <w:lang w:val="en-US" w:eastAsia="zh-CN"/>
        </w:rPr>
        <w:t>黄石高铁新城高铁大道二期完成总投资的98%，完成初五中场坪及边坡工程，</w:t>
      </w:r>
      <w:r>
        <w:rPr>
          <w:rFonts w:hint="eastAsia" w:ascii="Times New Roman" w:hAnsi="Times New Roman" w:eastAsia="方正仿宋_GBK" w:cs="方正仿宋_GBK"/>
          <w:highlight w:val="none"/>
          <w:u w:val="none" w:color="auto"/>
          <w:lang w:val="en-US" w:eastAsia="zh-CN"/>
        </w:rPr>
        <w:t>建成投用重庆江来歧山酒店，完成产城融合示范项目总体工程量的47%，小江青科城科技孵化中心项目加快推进。六大标识性要素加快凸显，高铁站停车场及综合交通枢纽二期完成桩基础工程量的</w:t>
      </w:r>
      <w:r>
        <w:rPr>
          <w:rFonts w:hint="eastAsia" w:ascii="Times New Roman" w:hAnsi="Times New Roman" w:eastAsia="方正仿宋_GBK" w:cs="方正仿宋_GBK"/>
          <w:highlight w:val="none"/>
          <w:u w:val="none" w:color="auto"/>
          <w:lang w:val="en-US" w:eastAsia="zh-CN"/>
        </w:rPr>
        <w:t>80%</w:t>
      </w:r>
      <w:r>
        <w:rPr>
          <w:rFonts w:hint="eastAsia" w:ascii="Times New Roman" w:hAnsi="Times New Roman" w:eastAsia="方正仿宋_GBK" w:cs="方正仿宋_GBK"/>
          <w:highlight w:val="none"/>
          <w:u w:val="none" w:color="auto"/>
          <w:lang w:val="en-US" w:eastAsia="zh-CN"/>
        </w:rPr>
        <w:t>，完成县级数字化城市运行和治理中心智能化系统部署和装修工程，</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城中城“潮街”正式开街营运，启动国家生态园林城市创建，建成天麓湾口袋公园及云景台口袋公园，县中医院通过重庆中医药学院附属医院评审。</w:t>
      </w:r>
      <w:r>
        <w:rPr>
          <w:rFonts w:hint="eastAsia" w:ascii="Times New Roman" w:hAnsi="Times New Roman" w:eastAsia="方正仿宋_GBK" w:cs="方正仿宋_GBK"/>
          <w:highlight w:val="none"/>
          <w:u w:val="none" w:color="auto"/>
          <w:lang w:val="en-US" w:eastAsia="zh-CN"/>
        </w:rPr>
        <w:t>老旧小区改造推进有力，启动改造城镇老旧小区79个、开工率100%。</w:t>
      </w:r>
    </w:p>
    <w:p w14:paraId="2E114C0C">
      <w:pPr>
        <w:pStyle w:val="22"/>
        <w:keepNext w:val="0"/>
        <w:keepLines w:val="0"/>
        <w:pageBreakBefore w:val="0"/>
        <w:kinsoku/>
        <w:wordWrap/>
        <w:overflowPunct/>
        <w:topLinePunct w:val="0"/>
        <w:autoSpaceDE/>
        <w:autoSpaceDN/>
        <w:bidi w:val="0"/>
        <w:adjustRightInd/>
        <w:snapToGrid/>
        <w:spacing w:line="578" w:lineRule="exact"/>
        <w:ind w:left="0" w:firstLine="640"/>
        <w:rPr>
          <w:rFonts w:hint="eastAsia" w:ascii="Times New Roman" w:hAnsi="Times New Roman" w:eastAsia="方正仿宋_GBK"/>
          <w:b w:val="0"/>
          <w:bCs w:val="0"/>
          <w:sz w:val="32"/>
          <w:szCs w:val="32"/>
          <w:highlight w:val="none"/>
          <w:u w:val="none" w:color="auto"/>
          <w:lang w:eastAsia="zh-CN"/>
        </w:rPr>
      </w:pPr>
      <w:r>
        <w:rPr>
          <w:rFonts w:hint="eastAsia" w:ascii="Times New Roman" w:hAnsi="Times New Roman" w:eastAsia="方正仿宋_GBK" w:cs="方正仿宋_GBK"/>
          <w:b/>
          <w:bCs/>
          <w:highlight w:val="none"/>
          <w:u w:val="none" w:color="auto"/>
          <w:lang w:val="en-US" w:eastAsia="zh-CN"/>
        </w:rPr>
        <w:t>二是现代农村加快建设。脱贫成果巩固扎实稳定。</w:t>
      </w:r>
      <w:r>
        <w:rPr>
          <w:rFonts w:hint="eastAsia" w:ascii="Times New Roman" w:hAnsi="Times New Roman" w:eastAsia="方正仿宋_GBK" w:cs="方正仿宋_GBK"/>
          <w:highlight w:val="none"/>
          <w:u w:val="none" w:color="auto"/>
          <w:lang w:val="en-US" w:eastAsia="zh-CN"/>
        </w:rPr>
        <w:t>持续开展防返贫“大排查大走访大整改”行动，</w:t>
      </w:r>
      <w:r>
        <w:rPr>
          <w:rFonts w:hint="eastAsia" w:ascii="Times New Roman" w:hAnsi="Times New Roman" w:eastAsia="方正仿宋_GBK" w:cs="方正仿宋_GBK"/>
          <w:highlight w:val="none"/>
          <w:u w:val="none" w:color="auto"/>
          <w:lang w:val="en-US" w:eastAsia="zh-CN"/>
        </w:rPr>
        <w:t>累计实现55%的监测对象稳定消除风险，高于全市风险消除率平均水平4个百分点，落实各类帮扶资金1.03亿元。</w:t>
      </w:r>
      <w:r>
        <w:rPr>
          <w:rFonts w:hint="eastAsia" w:ascii="Times New Roman" w:hAnsi="Times New Roman" w:eastAsia="方正仿宋_GBK"/>
          <w:b w:val="0"/>
          <w:bCs w:val="0"/>
          <w:color w:val="auto"/>
          <w:sz w:val="32"/>
          <w:szCs w:val="32"/>
          <w:highlight w:val="none"/>
          <w:u w:val="none" w:color="auto"/>
          <w:lang w:val="en-US" w:eastAsia="zh-CN"/>
        </w:rPr>
        <w:t>大力实施农村饮水安全“一改三提”行动，开工建设</w:t>
      </w:r>
      <w:r>
        <w:rPr>
          <w:rFonts w:ascii="Times New Roman" w:hAnsi="Times New Roman" w:eastAsia="方正仿宋_GBK"/>
          <w:color w:val="auto"/>
          <w:sz w:val="32"/>
          <w:szCs w:val="32"/>
          <w:highlight w:val="none"/>
          <w:u w:val="none" w:color="auto"/>
        </w:rPr>
        <w:t>标准化水厂5座，</w:t>
      </w:r>
      <w:r>
        <w:rPr>
          <w:rFonts w:hint="eastAsia" w:ascii="Times New Roman" w:hAnsi="Times New Roman" w:eastAsia="方正仿宋_GBK"/>
          <w:color w:val="auto"/>
          <w:sz w:val="32"/>
          <w:szCs w:val="32"/>
          <w:highlight w:val="none"/>
          <w:u w:val="none" w:color="auto"/>
          <w:lang w:val="en-US" w:eastAsia="zh-CN"/>
        </w:rPr>
        <w:t>农村饮水集中供水率达92%。开工改造农村危房123户，农村低收入群体危房实现动态清零。</w:t>
      </w:r>
      <w:r>
        <w:rPr>
          <w:rFonts w:hint="eastAsia" w:ascii="Times New Roman" w:hAnsi="Times New Roman" w:eastAsia="方正仿宋_GBK" w:cs="方正仿宋_GBK"/>
          <w:b/>
          <w:bCs/>
          <w:highlight w:val="none"/>
          <w:u w:val="none" w:color="auto"/>
          <w:lang w:val="en-US" w:eastAsia="zh-CN"/>
        </w:rPr>
        <w:t>人居环境持续优化。</w:t>
      </w:r>
      <w:r>
        <w:rPr>
          <w:rFonts w:hint="eastAsia" w:ascii="Times New Roman" w:hAnsi="Times New Roman" w:eastAsia="方正仿宋_GBK" w:cs="方正仿宋_GBK"/>
          <w:highlight w:val="none"/>
          <w:u w:val="none" w:color="auto"/>
          <w:lang w:val="en-US" w:eastAsia="zh-CN"/>
        </w:rPr>
        <w:t>接续推进农村人居环境整治提升五年行动，统筹抓好厕所、垃圾、污水“三个革命”，农村黑臭水体清零区县加快创建。江口场镇雨污管网改造项目竣工、新建管网49km。大力实施通道环境综合整治，上半年整治完成235公里。一体推进巴渝和美乡村创建，上半年全县完成63个达标村、48个巴渝和美院落创建，环湖绿道入选第一批美丽重庆建设典型案例，荣</w:t>
      </w:r>
      <w:r>
        <w:rPr>
          <w:rFonts w:hint="eastAsia" w:ascii="Times New Roman" w:hAnsi="Times New Roman" w:eastAsia="方正仿宋_GBK" w:cs="方正仿宋_GBK"/>
          <w:highlight w:val="none"/>
          <w:u w:val="none" w:color="auto"/>
          <w:lang w:val="en-US" w:eastAsia="zh-CN"/>
        </w:rPr>
        <w:t>获“中国生态宜居典范县”。</w:t>
      </w:r>
      <w:r>
        <w:rPr>
          <w:rFonts w:hint="eastAsia" w:ascii="Times New Roman" w:hAnsi="Times New Roman" w:eastAsia="方正仿宋_GBK" w:cs="方正仿宋_GBK"/>
          <w:b/>
          <w:bCs/>
          <w:highlight w:val="none"/>
          <w:u w:val="none" w:color="auto"/>
          <w:lang w:val="en-US" w:eastAsia="zh-CN"/>
        </w:rPr>
        <w:t>农村改革持续推进。</w:t>
      </w:r>
      <w:r>
        <w:rPr>
          <w:rFonts w:hint="eastAsia" w:ascii="Times New Roman" w:hAnsi="Times New Roman" w:eastAsia="方正仿宋_GBK" w:cs="方正仿宋_GBK"/>
          <w:highlight w:val="none"/>
          <w:u w:val="none" w:color="auto"/>
          <w:lang w:val="en-US" w:eastAsia="zh-CN"/>
        </w:rPr>
        <w:t>加快推进强村富民综合改革，</w:t>
      </w:r>
      <w:r>
        <w:rPr>
          <w:rFonts w:hint="eastAsia" w:ascii="Times New Roman" w:hAnsi="Times New Roman" w:eastAsia="方正仿宋_GBK" w:cs="Times New Roman"/>
          <w:b w:val="0"/>
          <w:bCs w:val="0"/>
          <w:color w:val="auto"/>
          <w:sz w:val="32"/>
          <w:szCs w:val="32"/>
          <w:highlight w:val="none"/>
          <w:u w:val="none" w:color="auto"/>
          <w:lang w:val="en-US" w:eastAsia="zh-CN"/>
        </w:rPr>
        <w:t>新增改革试点村125个，</w:t>
      </w:r>
      <w:r>
        <w:rPr>
          <w:rFonts w:hint="eastAsia" w:ascii="Times New Roman" w:hAnsi="Times New Roman" w:eastAsia="方正仿宋_GBK" w:cs="方正仿宋_GBK"/>
          <w:highlight w:val="none"/>
          <w:u w:val="none" w:color="auto"/>
          <w:lang w:val="en-US" w:eastAsia="zh-CN"/>
        </w:rPr>
        <w:t>组建</w:t>
      </w:r>
      <w:r>
        <w:rPr>
          <w:rFonts w:hint="eastAsia" w:ascii="Times New Roman" w:hAnsi="Times New Roman" w:eastAsia="方正仿宋_GBK" w:cs="Times New Roman"/>
          <w:b w:val="0"/>
          <w:bCs w:val="0"/>
          <w:color w:val="auto"/>
          <w:sz w:val="32"/>
          <w:szCs w:val="32"/>
          <w:highlight w:val="none"/>
          <w:u w:val="none" w:color="auto"/>
          <w:lang w:val="en-US" w:eastAsia="zh-CN"/>
        </w:rPr>
        <w:t>“强村公司”</w:t>
      </w:r>
      <w:r>
        <w:rPr>
          <w:rFonts w:hint="default" w:ascii="Times New Roman" w:hAnsi="Times New Roman" w:eastAsia="方正仿宋_GBK" w:cs="Times New Roman"/>
          <w:b w:val="0"/>
          <w:bCs w:val="0"/>
          <w:color w:val="auto"/>
          <w:sz w:val="32"/>
          <w:szCs w:val="32"/>
          <w:highlight w:val="none"/>
          <w:u w:val="none" w:color="auto"/>
          <w:lang w:val="en-US" w:eastAsia="zh-CN"/>
        </w:rPr>
        <w:t>7家</w:t>
      </w:r>
      <w:r>
        <w:rPr>
          <w:rFonts w:hint="eastAsia" w:ascii="Times New Roman" w:hAnsi="Times New Roman" w:eastAsia="方正仿宋_GBK" w:cs="Times New Roman"/>
          <w:b w:val="0"/>
          <w:bCs w:val="0"/>
          <w:color w:val="auto"/>
          <w:sz w:val="32"/>
          <w:szCs w:val="32"/>
          <w:highlight w:val="none"/>
          <w:u w:val="none" w:color="auto"/>
          <w:lang w:val="en-US" w:eastAsia="zh-CN"/>
        </w:rPr>
        <w:t>，新增农村产权流转交易605.3万元，完成农业社会化服务20万亩次以上。细化促进农民增收举措，设置农民工返乡服务站525个，以工代赈吸纳低收入群体务工人员3299人，</w:t>
      </w:r>
      <w:r>
        <w:rPr>
          <w:rFonts w:hint="eastAsia" w:ascii="Times New Roman" w:hAnsi="Times New Roman" w:eastAsia="方正仿宋_GBK" w:cs="Times New Roman"/>
          <w:b w:val="0"/>
          <w:bCs w:val="0"/>
          <w:color w:val="auto"/>
          <w:sz w:val="32"/>
          <w:szCs w:val="32"/>
          <w:highlight w:val="none"/>
          <w:u w:val="none" w:color="auto"/>
          <w:lang w:val="en-US" w:eastAsia="zh-CN"/>
        </w:rPr>
        <w:t>上半年农村常住居民人均可支配收入增长6.8%</w:t>
      </w:r>
      <w:r>
        <w:rPr>
          <w:rFonts w:hint="eastAsia" w:ascii="Times New Roman" w:hAnsi="Times New Roman" w:eastAsia="方正仿宋_GBK" w:cs="Times New Roman"/>
          <w:b w:val="0"/>
          <w:bCs w:val="0"/>
          <w:color w:val="auto"/>
          <w:sz w:val="32"/>
          <w:szCs w:val="32"/>
          <w:highlight w:val="none"/>
          <w:u w:val="none" w:color="auto"/>
          <w:lang w:val="en-US" w:eastAsia="zh-CN"/>
        </w:rPr>
        <w:t>。持续壮大农村集体经济，</w:t>
      </w:r>
      <w:r>
        <w:rPr>
          <w:rFonts w:hint="eastAsia" w:ascii="Times New Roman" w:hAnsi="Times New Roman" w:eastAsia="方正仿宋_GBK" w:cs="Times New Roman"/>
          <w:b w:val="0"/>
          <w:bCs w:val="0"/>
          <w:color w:val="auto"/>
          <w:sz w:val="32"/>
          <w:szCs w:val="32"/>
          <w:highlight w:val="none"/>
          <w:u w:val="none" w:color="auto"/>
          <w:lang w:val="en-US" w:eastAsia="zh-CN"/>
        </w:rPr>
        <w:t>上半年全县农村集体经济经营性收入达到8532.9万元</w:t>
      </w:r>
      <w:r>
        <w:rPr>
          <w:rFonts w:hint="eastAsia" w:ascii="Times New Roman" w:hAnsi="Times New Roman" w:eastAsia="方正仿宋_GBK" w:cs="Times New Roman"/>
          <w:b w:val="0"/>
          <w:bCs w:val="0"/>
          <w:color w:val="auto"/>
          <w:sz w:val="32"/>
          <w:szCs w:val="32"/>
          <w:highlight w:val="none"/>
          <w:u w:val="none" w:color="auto"/>
          <w:lang w:val="en-US" w:eastAsia="zh-CN"/>
        </w:rPr>
        <w:t>、增长25%，其中经营性收入10万元及以上的村占比达60%以上。</w:t>
      </w:r>
    </w:p>
    <w:p w14:paraId="3CF084F2">
      <w:pPr>
        <w:pStyle w:val="22"/>
        <w:keepNext w:val="0"/>
        <w:keepLines w:val="0"/>
        <w:pageBreakBefore w:val="0"/>
        <w:kinsoku/>
        <w:wordWrap/>
        <w:overflowPunct/>
        <w:topLinePunct w:val="0"/>
        <w:autoSpaceDE/>
        <w:autoSpaceDN/>
        <w:bidi w:val="0"/>
        <w:adjustRightInd/>
        <w:snapToGrid/>
        <w:spacing w:line="578" w:lineRule="exact"/>
        <w:ind w:left="0" w:firstLine="640"/>
        <w:rPr>
          <w:rFonts w:hint="eastAsia" w:ascii="Times New Roman" w:hAnsi="Times New Roman" w:eastAsia="方正仿宋_GBK"/>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sz w:val="32"/>
          <w:szCs w:val="32"/>
          <w:highlight w:val="none"/>
          <w:u w:val="none" w:color="auto"/>
          <w:lang w:eastAsia="zh-CN"/>
        </w:rPr>
        <w:t>三</w:t>
      </w:r>
      <w:r>
        <w:rPr>
          <w:rFonts w:hint="eastAsia" w:ascii="Times New Roman" w:hAnsi="Times New Roman" w:eastAsia="方正仿宋_GBK"/>
          <w:b/>
          <w:bCs/>
          <w:sz w:val="32"/>
          <w:szCs w:val="32"/>
          <w:highlight w:val="none"/>
          <w:u w:val="none" w:color="auto"/>
        </w:rPr>
        <w:t>是基础设施</w:t>
      </w:r>
      <w:r>
        <w:rPr>
          <w:rFonts w:hint="eastAsia" w:ascii="Times New Roman" w:hAnsi="Times New Roman" w:eastAsia="方正仿宋_GBK"/>
          <w:b/>
          <w:bCs/>
          <w:sz w:val="32"/>
          <w:szCs w:val="32"/>
          <w:highlight w:val="none"/>
          <w:u w:val="none" w:color="auto"/>
          <w:lang w:eastAsia="zh-CN"/>
        </w:rPr>
        <w:t>加快提能升级</w:t>
      </w:r>
      <w:r>
        <w:rPr>
          <w:rFonts w:hint="eastAsia" w:ascii="Times New Roman" w:hAnsi="Times New Roman" w:eastAsia="方正仿宋_GBK"/>
          <w:b/>
          <w:bCs/>
          <w:sz w:val="32"/>
          <w:szCs w:val="32"/>
          <w:highlight w:val="none"/>
          <w:u w:val="none" w:color="auto"/>
        </w:rPr>
        <w:t>。</w:t>
      </w:r>
      <w:r>
        <w:rPr>
          <w:rFonts w:hint="eastAsia" w:ascii="Times New Roman" w:hAnsi="Times New Roman" w:eastAsia="方正仿宋_GBK"/>
          <w:b w:val="0"/>
          <w:bCs w:val="0"/>
          <w:sz w:val="32"/>
          <w:szCs w:val="32"/>
          <w:highlight w:val="none"/>
          <w:u w:val="none" w:color="auto"/>
        </w:rPr>
        <w:t>加快</w:t>
      </w:r>
      <w:r>
        <w:rPr>
          <w:rFonts w:hint="eastAsia" w:ascii="Times New Roman" w:hAnsi="Times New Roman" w:eastAsia="方正仿宋_GBK"/>
          <w:b w:val="0"/>
          <w:bCs w:val="0"/>
          <w:color w:val="000000"/>
          <w:sz w:val="32"/>
          <w:szCs w:val="32"/>
          <w:highlight w:val="none"/>
          <w:u w:val="none" w:color="auto"/>
        </w:rPr>
        <w:t>推动交通强县建设，</w:t>
      </w:r>
      <w:r>
        <w:rPr>
          <w:rFonts w:hint="eastAsia" w:ascii="Times New Roman" w:hAnsi="Times New Roman" w:eastAsia="方正仿宋_GBK" w:cs="Times New Roman"/>
          <w:color w:val="auto"/>
          <w:sz w:val="32"/>
          <w:szCs w:val="32"/>
          <w:highlight w:val="none"/>
          <w:u w:val="none" w:color="auto"/>
          <w:lang w:val="en-US" w:eastAsia="zh-CN"/>
        </w:rPr>
        <w:t>巫云开高速云阳境内（B2标）全线总长17.7km实现全线贯通，</w:t>
      </w:r>
      <w:r>
        <w:rPr>
          <w:rFonts w:ascii="Times New Roman" w:hAnsi="Times New Roman" w:eastAsia="方正仿宋_GBK"/>
          <w:color w:val="000000"/>
          <w:sz w:val="32"/>
          <w:szCs w:val="32"/>
          <w:highlight w:val="none"/>
          <w:u w:val="none" w:color="auto"/>
        </w:rPr>
        <w:t>江龙高速</w:t>
      </w:r>
      <w:r>
        <w:rPr>
          <w:rFonts w:hint="eastAsia" w:ascii="Times New Roman" w:hAnsi="Times New Roman" w:eastAsia="方正仿宋_GBK"/>
          <w:color w:val="000000"/>
          <w:sz w:val="32"/>
          <w:szCs w:val="32"/>
          <w:highlight w:val="none"/>
          <w:u w:val="none" w:color="auto"/>
          <w:lang w:val="en-US" w:eastAsia="zh-CN"/>
        </w:rPr>
        <w:t>完成</w:t>
      </w:r>
      <w:r>
        <w:rPr>
          <w:rFonts w:ascii="Times New Roman" w:hAnsi="Times New Roman" w:eastAsia="方正仿宋_GBK"/>
          <w:kern w:val="0"/>
          <w:sz w:val="32"/>
          <w:szCs w:val="32"/>
          <w:highlight w:val="none"/>
          <w:u w:val="none" w:color="auto"/>
        </w:rPr>
        <w:t>总</w:t>
      </w:r>
      <w:r>
        <w:rPr>
          <w:rFonts w:ascii="Times New Roman" w:hAnsi="Times New Roman" w:eastAsia="方正仿宋_GBK"/>
          <w:color w:val="000000" w:themeColor="text1"/>
          <w:kern w:val="0"/>
          <w:sz w:val="32"/>
          <w:szCs w:val="32"/>
          <w:highlight w:val="none"/>
          <w:u w:val="none" w:color="auto"/>
          <w14:textFill>
            <w14:solidFill>
              <w14:schemeClr w14:val="tx1"/>
            </w14:solidFill>
          </w14:textFill>
        </w:rPr>
        <w:t>工程量</w:t>
      </w:r>
      <w:r>
        <w:rPr>
          <w:rFonts w:hint="eastAsia" w:ascii="Times New Roman" w:hAnsi="Times New Roman" w:eastAsia="方正仿宋_GBK"/>
          <w:color w:val="000000" w:themeColor="text1"/>
          <w:kern w:val="0"/>
          <w:sz w:val="32"/>
          <w:szCs w:val="32"/>
          <w:highlight w:val="none"/>
          <w:u w:val="none" w:color="auto"/>
          <w:lang w:eastAsia="zh-CN"/>
          <w14:textFill>
            <w14:solidFill>
              <w14:schemeClr w14:val="tx1"/>
            </w14:solidFill>
          </w14:textFill>
        </w:rPr>
        <w:t>的</w:t>
      </w:r>
      <w:r>
        <w:rPr>
          <w:rFonts w:hint="eastAsia" w:ascii="Times New Roman" w:hAnsi="Times New Roman" w:eastAsia="方正仿宋_GBK"/>
          <w:color w:val="000000" w:themeColor="text1"/>
          <w:kern w:val="0"/>
          <w:sz w:val="32"/>
          <w:szCs w:val="32"/>
          <w:highlight w:val="none"/>
          <w:u w:val="none" w:color="auto"/>
          <w:lang w:val="en-US" w:eastAsia="zh-CN"/>
          <w14:textFill>
            <w14:solidFill>
              <w14:schemeClr w14:val="tx1"/>
            </w14:solidFill>
          </w14:textFill>
        </w:rPr>
        <w:t>84</w:t>
      </w:r>
      <w:r>
        <w:rPr>
          <w:rFonts w:hint="eastAsia" w:ascii="Times New Roman" w:hAnsi="Times New Roman" w:eastAsia="方正仿宋_GBK"/>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sz w:val="32"/>
          <w:szCs w:val="32"/>
          <w:highlight w:val="none"/>
          <w:u w:val="none" w:color="auto"/>
          <w:lang w:eastAsia="zh-CN"/>
        </w:rPr>
        <w:t>，</w:t>
      </w:r>
      <w:r>
        <w:rPr>
          <w:rFonts w:hint="eastAsia" w:ascii="Times New Roman" w:hAnsi="Times New Roman" w:eastAsia="方正仿宋_GBK"/>
          <w:color w:val="000000" w:themeColor="text1"/>
          <w:kern w:val="0"/>
          <w:sz w:val="32"/>
          <w:szCs w:val="32"/>
          <w:highlight w:val="none"/>
          <w:u w:val="none" w:color="auto"/>
          <w:lang w:val="en-US" w:eastAsia="zh-CN"/>
          <w14:textFill>
            <w14:solidFill>
              <w14:schemeClr w14:val="tx1"/>
            </w14:solidFill>
          </w14:textFill>
        </w:rPr>
        <w:t>万云奉巫江南高速前期工作加快推进</w:t>
      </w:r>
      <w:r>
        <w:rPr>
          <w:rFonts w:hint="eastAsia" w:ascii="Times New Roman" w:hAnsi="Times New Roman" w:eastAsia="方正仿宋_GBK"/>
          <w:color w:val="000000" w:themeColor="text1"/>
          <w:kern w:val="0"/>
          <w:sz w:val="32"/>
          <w:szCs w:val="32"/>
          <w:highlight w:val="none"/>
          <w:u w:val="none" w:color="auto"/>
          <w:lang w:val="en-US" w:eastAsia="zh-CN"/>
          <w14:textFill>
            <w14:solidFill>
              <w14:schemeClr w14:val="tx1"/>
            </w14:solidFill>
          </w14:textFill>
        </w:rPr>
        <w:t>，桑坪至双土段、红狮至龙洞段分别完成总工程量的</w:t>
      </w:r>
      <w:r>
        <w:rPr>
          <w:rFonts w:hint="eastAsia" w:ascii="Times New Roman" w:hAnsi="Times New Roman" w:eastAsia="方正仿宋_GBK"/>
          <w:color w:val="000000" w:themeColor="text1"/>
          <w:kern w:val="0"/>
          <w:sz w:val="32"/>
          <w:szCs w:val="32"/>
          <w:highlight w:val="none"/>
          <w:u w:val="none" w:color="auto"/>
          <w:lang w:val="en-US" w:eastAsia="zh-CN"/>
          <w14:textFill>
            <w14:solidFill>
              <w14:schemeClr w14:val="tx1"/>
            </w14:solidFill>
          </w14:textFill>
        </w:rPr>
        <w:t>33%</w:t>
      </w:r>
      <w:r>
        <w:rPr>
          <w:rFonts w:hint="eastAsia" w:ascii="Times New Roman" w:hAnsi="Times New Roman" w:eastAsia="方正仿宋_GBK"/>
          <w:color w:val="000000" w:themeColor="text1"/>
          <w:kern w:val="0"/>
          <w:sz w:val="32"/>
          <w:szCs w:val="32"/>
          <w:highlight w:val="none"/>
          <w:u w:val="none" w:color="auto"/>
          <w:lang w:val="en-US" w:eastAsia="zh-CN"/>
          <w14:textFill>
            <w14:solidFill>
              <w14:schemeClr w14:val="tx1"/>
            </w14:solidFill>
          </w14:textFill>
        </w:rPr>
        <w:t>、65%，实现半小时上高速目标的乡镇达21个、一小时至县城的乡镇达31个。编制完成县域水网和城乡供水一体化规划建设方案，向阳水库导流洞完成总工程量的51%，荷花水库、幸福水库、柳园水库分别完成总工程量的45%、55%、84%，吴家屯水库开工建设，洞青水源工程实现引水入城。加快推进泥溪镇天然气管网建设，新增天然气用户2961户，新（改）建天然气管线6千米。</w:t>
      </w:r>
      <w:r>
        <w:rPr>
          <w:rFonts w:hint="eastAsia" w:ascii="Times New Roman" w:hAnsi="Times New Roman" w:eastAsia="方正仿宋_GBK" w:cs="Times New Roman"/>
          <w:color w:val="000000" w:themeColor="text1"/>
          <w:kern w:val="0"/>
          <w:sz w:val="32"/>
          <w:szCs w:val="32"/>
          <w:highlight w:val="none"/>
          <w:u w:val="none" w:color="auto"/>
          <w:lang w:val="en-US" w:eastAsia="zh-CN"/>
          <w14:textFill>
            <w14:solidFill>
              <w14:schemeClr w14:val="tx1"/>
            </w14:solidFill>
          </w14:textFill>
        </w:rPr>
        <w:t>新建开通5G基站10</w:t>
      </w:r>
      <w:r>
        <w:rPr>
          <w:rFonts w:hint="default" w:ascii="Times New Roman" w:hAnsi="Times New Roman" w:eastAsia="方正仿宋_GBK" w:cs="Times New Roman"/>
          <w:color w:val="000000" w:themeColor="text1"/>
          <w:kern w:val="0"/>
          <w:sz w:val="32"/>
          <w:szCs w:val="32"/>
          <w:highlight w:val="none"/>
          <w:u w:val="none" w:color="auto"/>
          <w:lang w:val="en-US" w:eastAsia="zh-CN"/>
          <w14:textFill>
            <w14:solidFill>
              <w14:schemeClr w14:val="tx1"/>
            </w14:solidFill>
          </w14:textFill>
        </w:rPr>
        <w:t>5</w:t>
      </w:r>
      <w:r>
        <w:rPr>
          <w:rFonts w:hint="eastAsia" w:ascii="Times New Roman" w:hAnsi="Times New Roman" w:eastAsia="方正仿宋_GBK" w:cs="Times New Roman"/>
          <w:color w:val="000000" w:themeColor="text1"/>
          <w:kern w:val="0"/>
          <w:sz w:val="32"/>
          <w:szCs w:val="32"/>
          <w:highlight w:val="none"/>
          <w:u w:val="none" w:color="auto"/>
          <w:lang w:val="en-US" w:eastAsia="zh-CN"/>
          <w14:textFill>
            <w14:solidFill>
              <w14:schemeClr w14:val="tx1"/>
            </w14:solidFill>
          </w14:textFill>
        </w:rPr>
        <w:t>个，累计建成5G基站162</w:t>
      </w:r>
      <w:r>
        <w:rPr>
          <w:rFonts w:hint="default" w:ascii="Times New Roman" w:hAnsi="Times New Roman" w:eastAsia="方正仿宋_GBK" w:cs="Times New Roman"/>
          <w:color w:val="000000" w:themeColor="text1"/>
          <w:kern w:val="0"/>
          <w:sz w:val="32"/>
          <w:szCs w:val="32"/>
          <w:highlight w:val="none"/>
          <w:u w:val="none" w:color="auto"/>
          <w:lang w:val="en-US" w:eastAsia="zh-CN"/>
          <w14:textFill>
            <w14:solidFill>
              <w14:schemeClr w14:val="tx1"/>
            </w14:solidFill>
          </w14:textFill>
        </w:rPr>
        <w:t>0</w:t>
      </w:r>
      <w:r>
        <w:rPr>
          <w:rFonts w:hint="eastAsia" w:ascii="Times New Roman" w:hAnsi="Times New Roman" w:eastAsia="方正仿宋_GBK" w:cs="Times New Roman"/>
          <w:color w:val="000000" w:themeColor="text1"/>
          <w:kern w:val="0"/>
          <w:sz w:val="32"/>
          <w:szCs w:val="32"/>
          <w:highlight w:val="none"/>
          <w:u w:val="none" w:color="auto"/>
          <w:lang w:val="en-US" w:eastAsia="zh-CN"/>
          <w14:textFill>
            <w14:solidFill>
              <w14:schemeClr w14:val="tx1"/>
            </w14:solidFill>
          </w14:textFill>
        </w:rPr>
        <w:t>个。</w:t>
      </w:r>
    </w:p>
    <w:p w14:paraId="70543B59">
      <w:pPr>
        <w:keepNext w:val="0"/>
        <w:keepLines w:val="0"/>
        <w:pageBreakBefore w:val="0"/>
        <w:widowControl/>
        <w:suppressLineNumbers w:val="0"/>
        <w:kinsoku/>
        <w:wordWrap/>
        <w:overflowPunct/>
        <w:topLinePunct w:val="0"/>
        <w:autoSpaceDE/>
        <w:autoSpaceDN/>
        <w:bidi w:val="0"/>
        <w:adjustRightInd/>
        <w:snapToGrid/>
        <w:spacing w:line="578" w:lineRule="exact"/>
        <w:ind w:left="0" w:firstLine="643" w:firstLineChars="200"/>
        <w:jc w:val="both"/>
        <w:rPr>
          <w:rFonts w:hint="eastAsia" w:ascii="Times New Roman" w:hAnsi="Times New Roman" w:eastAsia="方正仿宋_GBK" w:cs="方正仿宋_GBK"/>
          <w:b w:val="0"/>
          <w:kern w:val="2"/>
          <w:sz w:val="32"/>
          <w:szCs w:val="32"/>
          <w:highlight w:val="none"/>
          <w:u w:val="none" w:color="auto"/>
          <w:lang w:val="en-US" w:eastAsia="zh-CN" w:bidi="ar"/>
        </w:rPr>
      </w:pPr>
      <w:r>
        <w:rPr>
          <w:rFonts w:hint="eastAsia" w:ascii="Times New Roman" w:hAnsi="Times New Roman" w:eastAsia="方正仿宋_GBK" w:cs="Times New Roman"/>
          <w:b/>
          <w:bCs/>
          <w:color w:val="000000" w:themeColor="text1"/>
          <w:kern w:val="0"/>
          <w:sz w:val="32"/>
          <w:szCs w:val="32"/>
          <w:highlight w:val="none"/>
          <w:u w:val="none" w:color="auto"/>
          <w:lang w:val="en-US" w:eastAsia="zh-CN" w:bidi="ar-SA"/>
          <w14:textFill>
            <w14:solidFill>
              <w14:schemeClr w14:val="tx1"/>
            </w14:solidFill>
          </w14:textFill>
        </w:rPr>
        <w:t>四是绿色发展底色不断厚植。</w:t>
      </w:r>
      <w:r>
        <w:rPr>
          <w:rFonts w:hint="eastAsia" w:ascii="Times New Roman" w:hAnsi="Times New Roman" w:eastAsia="方正仿宋_GBK" w:cs="Times New Roman"/>
          <w:color w:val="000000" w:themeColor="text1"/>
          <w:kern w:val="0"/>
          <w:sz w:val="32"/>
          <w:szCs w:val="32"/>
          <w:highlight w:val="none"/>
          <w:u w:val="none" w:color="auto"/>
          <w:lang w:val="en-US" w:eastAsia="zh-CN" w:bidi="ar-SA"/>
          <w14:textFill>
            <w14:solidFill>
              <w14:schemeClr w14:val="tx1"/>
            </w14:solidFill>
          </w14:textFill>
        </w:rPr>
        <w:t>加快推动长江经济带高质量发展，召开云阳县推动长江经济带高质量发展暨美丽云阳建设大会，一体推进美丽云阳“九治”，开展春季</w:t>
      </w:r>
      <w:r>
        <w:rPr>
          <w:rFonts w:hint="default" w:ascii="Times New Roman" w:hAnsi="Times New Roman" w:eastAsia="宋体" w:cs="Times New Roman"/>
          <w:color w:val="000000"/>
          <w:kern w:val="0"/>
          <w:sz w:val="32"/>
          <w:szCs w:val="32"/>
          <w:highlight w:val="none"/>
          <w:u w:val="none" w:color="auto"/>
          <w:lang w:val="en-US" w:eastAsia="zh-CN" w:bidi="ar"/>
        </w:rPr>
        <w:t>PM</w:t>
      </w:r>
      <w:r>
        <w:rPr>
          <w:rFonts w:hint="default" w:ascii="Times New Roman" w:hAnsi="Times New Roman" w:eastAsia="宋体" w:cs="Times New Roman"/>
          <w:color w:val="000000"/>
          <w:kern w:val="0"/>
          <w:sz w:val="20"/>
          <w:szCs w:val="20"/>
          <w:highlight w:val="none"/>
          <w:u w:val="none" w:color="auto"/>
          <w:lang w:val="en-US" w:eastAsia="zh-CN" w:bidi="ar"/>
        </w:rPr>
        <w:t>2.5</w:t>
      </w:r>
      <w:r>
        <w:rPr>
          <w:rFonts w:hint="eastAsia" w:ascii="Times New Roman" w:hAnsi="Times New Roman" w:eastAsia="方正仿宋_GBK" w:cs="Times New Roman"/>
          <w:color w:val="000000" w:themeColor="text1"/>
          <w:kern w:val="0"/>
          <w:sz w:val="32"/>
          <w:szCs w:val="32"/>
          <w:highlight w:val="none"/>
          <w:u w:val="none" w:color="auto"/>
          <w:lang w:val="en-US" w:eastAsia="zh-CN" w:bidi="ar-SA"/>
          <w14:textFill>
            <w14:solidFill>
              <w14:schemeClr w14:val="tx1"/>
            </w14:solidFill>
          </w14:textFill>
        </w:rPr>
        <w:t>和夏秋季臭氧大气污染防治专项行动，空气质量优良天数达180天，长江入河排污口完成整治126个，“一江九河”17个断面水质稳定保持在Ⅰ—Ⅲ类，小江、汤溪河市级幸福河流和43个县级幸福河库启动创建。生态保护修复成果显著，提质实施“两岸青山·千里林带”等重点项目，完成营造林17.7万亩，全球新物种云阳掌突蟾入选重庆市生物多样性保护重大成效，三峡库区腹心地带山水林田湖草沙一体化保护修复工程完成形象进度的77%，历史遗留和关闭矿山修复治理完成</w:t>
      </w:r>
      <w:r>
        <w:rPr>
          <w:rFonts w:hint="eastAsia" w:ascii="Times New Roman" w:hAnsi="Times New Roman" w:eastAsia="方正仿宋_GBK" w:cs="Times New Roman"/>
          <w:color w:val="000000" w:themeColor="text1"/>
          <w:kern w:val="0"/>
          <w:sz w:val="32"/>
          <w:szCs w:val="32"/>
          <w:highlight w:val="none"/>
          <w:u w:val="none" w:color="auto"/>
          <w:lang w:val="en-US" w:eastAsia="zh-CN" w:bidi="ar-SA"/>
          <w14:textFill>
            <w14:solidFill>
              <w14:schemeClr w14:val="tx1"/>
            </w14:solidFill>
          </w14:textFill>
        </w:rPr>
        <w:t>销号3.4公顷。大力实施耕地恢复补足和违法占耕问题整改，全县耕地实际保有量87.28万亩，永久基本农田实有保护面积61.65万亩，龙洞等13个乡镇获市级耕地保护奖补150万元。中央和市级环保督察交办问题整改扎实推进。碳达峰碳中和工作扎实推进，坚决遏制“两高”项目盲目发展，督导建设项目环评登记备案</w:t>
      </w:r>
      <w:r>
        <w:rPr>
          <w:rFonts w:hint="default" w:ascii="Times New Roman" w:hAnsi="Times New Roman" w:eastAsia="方正仿宋_GBK" w:cs="Times New Roman"/>
          <w:color w:val="000000" w:themeColor="text1"/>
          <w:kern w:val="0"/>
          <w:sz w:val="32"/>
          <w:szCs w:val="32"/>
          <w:highlight w:val="none"/>
          <w:u w:val="none" w:color="auto"/>
          <w:lang w:val="en-US" w:eastAsia="zh-CN" w:bidi="ar-SA"/>
          <w14:textFill>
            <w14:solidFill>
              <w14:schemeClr w14:val="tx1"/>
            </w14:solidFill>
          </w14:textFill>
        </w:rPr>
        <w:t>44</w:t>
      </w:r>
      <w:r>
        <w:rPr>
          <w:rFonts w:hint="eastAsia" w:ascii="Times New Roman" w:hAnsi="Times New Roman" w:eastAsia="方正仿宋_GBK" w:cs="Times New Roman"/>
          <w:color w:val="000000" w:themeColor="text1"/>
          <w:kern w:val="0"/>
          <w:sz w:val="32"/>
          <w:szCs w:val="32"/>
          <w:highlight w:val="none"/>
          <w:u w:val="none" w:color="auto"/>
          <w:lang w:val="en-US" w:eastAsia="zh-CN" w:bidi="ar-SA"/>
          <w14:textFill>
            <w14:solidFill>
              <w14:schemeClr w14:val="tx1"/>
            </w14:solidFill>
          </w14:textFill>
        </w:rPr>
        <w:t>个，建成云阳县智慧环保平台，“双碳”常态化监测平台完成主体程序开发。持续推进绿色金融改革，</w:t>
      </w:r>
      <w:r>
        <w:rPr>
          <w:rFonts w:hint="default" w:ascii="Times New Roman" w:hAnsi="Times New Roman" w:eastAsia="方正仿宋_GBK" w:cs="方正仿宋_GBK"/>
          <w:b w:val="0"/>
          <w:kern w:val="2"/>
          <w:sz w:val="32"/>
          <w:szCs w:val="32"/>
          <w:highlight w:val="none"/>
          <w:u w:val="none" w:color="auto"/>
          <w:lang w:val="en-US" w:eastAsia="zh-CN" w:bidi="ar"/>
        </w:rPr>
        <w:t>江来文旅集团岐山草场项目落地贷款</w:t>
      </w:r>
      <w:r>
        <w:rPr>
          <w:rFonts w:hint="default" w:ascii="Times New Roman" w:hAnsi="Times New Roman" w:eastAsia="方正仿宋_GBK" w:cs="Times New Roman"/>
          <w:b w:val="0"/>
          <w:kern w:val="2"/>
          <w:sz w:val="32"/>
          <w:szCs w:val="32"/>
          <w:highlight w:val="none"/>
          <w:u w:val="none" w:color="auto"/>
          <w:lang w:val="en-US" w:eastAsia="zh-CN" w:bidi="ar"/>
        </w:rPr>
        <w:t>1.8</w:t>
      </w:r>
      <w:r>
        <w:rPr>
          <w:rFonts w:hint="default" w:ascii="Times New Roman" w:hAnsi="Times New Roman" w:eastAsia="方正仿宋_GBK" w:cs="方正仿宋_GBK"/>
          <w:b w:val="0"/>
          <w:kern w:val="2"/>
          <w:sz w:val="32"/>
          <w:szCs w:val="32"/>
          <w:highlight w:val="none"/>
          <w:u w:val="none" w:color="auto"/>
          <w:lang w:val="en-US" w:eastAsia="zh-CN" w:bidi="ar"/>
        </w:rPr>
        <w:t>亿元</w:t>
      </w:r>
      <w:r>
        <w:rPr>
          <w:rFonts w:hint="default" w:ascii="Times New Roman" w:hAnsi="Times New Roman" w:eastAsia="方正仿宋_GBK" w:cs="方正仿宋_GBK"/>
          <w:b w:val="0"/>
          <w:kern w:val="2"/>
          <w:sz w:val="32"/>
          <w:szCs w:val="32"/>
          <w:highlight w:val="none"/>
          <w:u w:val="none" w:color="auto"/>
          <w:lang w:eastAsia="zh-CN" w:bidi="ar"/>
        </w:rPr>
        <w:t>，</w:t>
      </w:r>
      <w:r>
        <w:rPr>
          <w:rFonts w:hint="default" w:ascii="Times New Roman" w:hAnsi="Times New Roman" w:eastAsia="方正仿宋_GBK" w:cs="方正仿宋_GBK"/>
          <w:b w:val="0"/>
          <w:kern w:val="2"/>
          <w:sz w:val="32"/>
          <w:szCs w:val="32"/>
          <w:highlight w:val="none"/>
          <w:u w:val="none" w:color="auto"/>
          <w:lang w:val="en-US" w:eastAsia="zh-CN" w:bidi="ar"/>
        </w:rPr>
        <w:t>成为全国首例</w:t>
      </w:r>
      <w:r>
        <w:rPr>
          <w:rFonts w:hint="eastAsia" w:ascii="Times New Roman" w:hAnsi="Times New Roman" w:eastAsia="方正仿宋_GBK" w:cs="方正仿宋_GBK"/>
          <w:b w:val="0"/>
          <w:kern w:val="2"/>
          <w:sz w:val="32"/>
          <w:szCs w:val="32"/>
          <w:highlight w:val="none"/>
          <w:u w:val="none" w:color="auto"/>
          <w:lang w:val="en-US" w:eastAsia="zh-CN" w:bidi="ar"/>
        </w:rPr>
        <w:t>“自然资源清单+委托代理协议书”</w:t>
      </w:r>
      <w:r>
        <w:rPr>
          <w:rFonts w:hint="default" w:ascii="Times New Roman" w:hAnsi="Times New Roman" w:eastAsia="方正仿宋_GBK" w:cs="方正仿宋_GBK"/>
          <w:b w:val="0"/>
          <w:kern w:val="2"/>
          <w:sz w:val="32"/>
          <w:szCs w:val="32"/>
          <w:highlight w:val="none"/>
          <w:u w:val="none" w:color="auto"/>
          <w:lang w:val="en-US" w:eastAsia="zh-CN" w:bidi="ar"/>
        </w:rPr>
        <w:t>典型融资案例</w:t>
      </w:r>
      <w:r>
        <w:rPr>
          <w:rFonts w:hint="eastAsia" w:ascii="Times New Roman" w:hAnsi="Times New Roman" w:eastAsia="方正仿宋_GBK" w:cs="方正仿宋_GBK"/>
          <w:b w:val="0"/>
          <w:kern w:val="2"/>
          <w:sz w:val="32"/>
          <w:szCs w:val="32"/>
          <w:highlight w:val="none"/>
          <w:u w:val="none" w:color="auto"/>
          <w:lang w:val="en-US" w:eastAsia="zh-CN" w:bidi="ar"/>
        </w:rPr>
        <w:t>，全县绿色贷款余额增长</w:t>
      </w:r>
      <w:r>
        <w:rPr>
          <w:rFonts w:hint="eastAsia" w:ascii="Times New Roman" w:hAnsi="Times New Roman" w:eastAsia="方正仿宋_GBK" w:cs="方正仿宋_GBK"/>
          <w:b w:val="0"/>
          <w:kern w:val="2"/>
          <w:sz w:val="32"/>
          <w:szCs w:val="32"/>
          <w:highlight w:val="none"/>
          <w:u w:val="none" w:color="auto"/>
          <w:lang w:val="en-US" w:eastAsia="zh-CN" w:bidi="ar"/>
        </w:rPr>
        <w:t>63.3%</w:t>
      </w:r>
      <w:r>
        <w:rPr>
          <w:rFonts w:hint="eastAsia" w:ascii="Times New Roman" w:hAnsi="Times New Roman" w:eastAsia="方正仿宋_GBK" w:cs="方正仿宋_GBK"/>
          <w:b w:val="0"/>
          <w:kern w:val="2"/>
          <w:sz w:val="32"/>
          <w:szCs w:val="32"/>
          <w:highlight w:val="none"/>
          <w:u w:val="none" w:color="auto"/>
          <w:lang w:val="en-US" w:eastAsia="zh-CN" w:bidi="ar"/>
        </w:rPr>
        <w:t>。</w:t>
      </w:r>
    </w:p>
    <w:p w14:paraId="2D181D51">
      <w:pPr>
        <w:pStyle w:val="22"/>
        <w:keepNext w:val="0"/>
        <w:keepLines w:val="0"/>
        <w:pageBreakBefore w:val="0"/>
        <w:kinsoku/>
        <w:wordWrap/>
        <w:overflowPunct/>
        <w:topLinePunct w:val="0"/>
        <w:autoSpaceDE/>
        <w:autoSpaceDN/>
        <w:bidi w:val="0"/>
        <w:adjustRightInd/>
        <w:snapToGrid/>
        <w:spacing w:line="578" w:lineRule="exact"/>
        <w:ind w:left="0" w:firstLine="640"/>
        <w:rPr>
          <w:rFonts w:hint="eastAsia" w:ascii="Times New Roman" w:hAnsi="Times New Roman" w:eastAsia="方正楷体_GBK" w:cs="方正楷体_GBK"/>
          <w:highlight w:val="none"/>
          <w:u w:val="none" w:color="auto"/>
          <w:lang w:val="en-US" w:eastAsia="zh-CN"/>
        </w:rPr>
      </w:pPr>
      <w:r>
        <w:rPr>
          <w:rFonts w:hint="eastAsia" w:ascii="Times New Roman" w:hAnsi="Times New Roman" w:eastAsia="方正楷体_GBK" w:cs="方正楷体_GBK"/>
          <w:highlight w:val="none"/>
          <w:u w:val="none" w:color="auto"/>
          <w:lang w:val="en-US" w:eastAsia="zh-CN"/>
        </w:rPr>
        <w:t>（四）基层治理体系和治理能力现代化加快推进，民生保障更加有力</w:t>
      </w:r>
    </w:p>
    <w:p w14:paraId="644F4954">
      <w:pPr>
        <w:pStyle w:val="22"/>
        <w:keepNext w:val="0"/>
        <w:keepLines w:val="0"/>
        <w:pageBreakBefore w:val="0"/>
        <w:kinsoku/>
        <w:wordWrap/>
        <w:overflowPunct/>
        <w:topLinePunct w:val="0"/>
        <w:autoSpaceDE/>
        <w:autoSpaceDN/>
        <w:bidi w:val="0"/>
        <w:adjustRightInd/>
        <w:snapToGrid/>
        <w:spacing w:line="578" w:lineRule="exact"/>
        <w:ind w:left="0" w:firstLine="640"/>
        <w:rPr>
          <w:rFonts w:hint="eastAsia" w:ascii="Times New Roman" w:hAnsi="Times New Roman" w:eastAsia="方正仿宋_GBK" w:cs="方正仿宋_GBK"/>
          <w:highlight w:val="none"/>
          <w:u w:val="none" w:color="auto"/>
          <w:lang w:val="en-US" w:eastAsia="zh-CN"/>
        </w:rPr>
      </w:pPr>
      <w:r>
        <w:rPr>
          <w:rFonts w:hint="eastAsia" w:ascii="Times New Roman" w:hAnsi="Times New Roman" w:eastAsia="方正仿宋_GBK"/>
          <w:b/>
          <w:bCs/>
          <w:sz w:val="32"/>
          <w:szCs w:val="32"/>
          <w:highlight w:val="none"/>
          <w:u w:val="none" w:color="auto"/>
          <w:lang w:val="en-US" w:eastAsia="zh-CN"/>
        </w:rPr>
        <w:t>一是就业和社会保障全面加强。</w:t>
      </w:r>
      <w:r>
        <w:rPr>
          <w:rFonts w:hint="eastAsia" w:ascii="Times New Roman" w:hAnsi="Times New Roman" w:eastAsia="方正仿宋_GBK" w:cs="方正仿宋_GBK"/>
          <w:highlight w:val="none"/>
          <w:u w:val="none" w:color="auto"/>
          <w:lang w:val="en-US" w:eastAsia="zh-CN"/>
        </w:rPr>
        <w:t>深入推进就业援助月、</w:t>
      </w:r>
      <w:r>
        <w:rPr>
          <w:rFonts w:hint="default" w:ascii="Times New Roman" w:hAnsi="Times New Roman" w:eastAsia="方正仿宋_GBK" w:cs="方正仿宋_GBK"/>
          <w:highlight w:val="none"/>
          <w:u w:val="none" w:color="auto"/>
          <w:lang w:val="en-US" w:eastAsia="zh-CN"/>
        </w:rPr>
        <w:t>春风行动</w:t>
      </w:r>
      <w:r>
        <w:rPr>
          <w:rFonts w:hint="eastAsia" w:ascii="Times New Roman" w:hAnsi="Times New Roman" w:eastAsia="方正仿宋_GBK" w:cs="方正仿宋_GBK"/>
          <w:highlight w:val="none"/>
          <w:u w:val="none" w:color="auto"/>
          <w:lang w:val="en-US" w:eastAsia="zh-CN"/>
        </w:rPr>
        <w:t>、民营企业服务月等专项活动，举办线下线上招聘会71场，开展职业技能培训2550人。</w:t>
      </w:r>
      <w:r>
        <w:rPr>
          <w:rFonts w:hint="default" w:ascii="Times New Roman" w:hAnsi="Times New Roman" w:eastAsia="方正仿宋_GBK" w:cs="方正仿宋_GBK"/>
          <w:highlight w:val="none"/>
          <w:u w:val="none" w:color="auto"/>
          <w:lang w:val="en-US" w:eastAsia="zh-CN"/>
        </w:rPr>
        <w:t>实施</w:t>
      </w:r>
      <w:r>
        <w:rPr>
          <w:rFonts w:hint="eastAsia" w:ascii="Times New Roman" w:hAnsi="Times New Roman" w:eastAsia="方正仿宋_GBK" w:cs="方正仿宋_GBK"/>
          <w:highlight w:val="none"/>
          <w:u w:val="none" w:color="auto"/>
          <w:lang w:val="en-US" w:eastAsia="zh-CN"/>
        </w:rPr>
        <w:t>“农民工返乡返岗暖心服务”</w:t>
      </w:r>
      <w:r>
        <w:rPr>
          <w:rFonts w:hint="default" w:ascii="Times New Roman" w:hAnsi="Times New Roman" w:eastAsia="方正仿宋_GBK" w:cs="方正仿宋_GBK"/>
          <w:highlight w:val="none"/>
          <w:u w:val="none" w:color="auto"/>
          <w:lang w:val="en-US" w:eastAsia="zh-CN"/>
        </w:rPr>
        <w:t>系列活动，提供职业指导2.</w:t>
      </w:r>
      <w:r>
        <w:rPr>
          <w:rFonts w:hint="eastAsia" w:ascii="Times New Roman" w:hAnsi="Times New Roman" w:eastAsia="方正仿宋_GBK" w:cs="方正仿宋_GBK"/>
          <w:highlight w:val="none"/>
          <w:u w:val="none" w:color="auto"/>
          <w:lang w:val="en-US" w:eastAsia="zh-CN"/>
        </w:rPr>
        <w:t>2</w:t>
      </w:r>
      <w:r>
        <w:rPr>
          <w:rFonts w:hint="default" w:ascii="Times New Roman" w:hAnsi="Times New Roman" w:eastAsia="方正仿宋_GBK" w:cs="方正仿宋_GBK"/>
          <w:highlight w:val="none"/>
          <w:u w:val="none" w:color="auto"/>
          <w:lang w:val="en-US" w:eastAsia="zh-CN"/>
        </w:rPr>
        <w:t>万人次</w:t>
      </w:r>
      <w:r>
        <w:rPr>
          <w:rFonts w:hint="eastAsia" w:ascii="Times New Roman" w:hAnsi="Times New Roman" w:eastAsia="方正仿宋_GBK" w:cs="方正仿宋_GBK"/>
          <w:highlight w:val="none"/>
          <w:u w:val="none" w:color="auto"/>
          <w:lang w:val="en-US" w:eastAsia="zh-CN"/>
        </w:rPr>
        <w:t>，新增见习基地备案9家，发放创业担保贷款2476万元。全县城镇新增就业</w:t>
      </w:r>
      <w:r>
        <w:rPr>
          <w:rFonts w:hint="default" w:ascii="Times New Roman" w:hAnsi="Times New Roman" w:eastAsia="方正仿宋_GBK" w:cs="Times New Roman"/>
          <w:b w:val="0"/>
          <w:bCs w:val="0"/>
          <w:sz w:val="32"/>
          <w:szCs w:val="32"/>
          <w:highlight w:val="none"/>
          <w:u w:val="none" w:color="auto"/>
          <w:lang w:val="en-US" w:eastAsia="zh-CN"/>
        </w:rPr>
        <w:t>7020</w:t>
      </w:r>
      <w:r>
        <w:rPr>
          <w:rFonts w:hint="eastAsia" w:ascii="Times New Roman" w:hAnsi="Times New Roman" w:eastAsia="方正仿宋_GBK" w:cs="方正仿宋_GBK"/>
          <w:highlight w:val="none"/>
          <w:u w:val="none" w:color="auto"/>
          <w:lang w:val="en-US" w:eastAsia="zh-CN"/>
        </w:rPr>
        <w:t>人、完成全年任务的70.2%，调查失业率控制在5.5%以内，“云阳菊花工”认定</w:t>
      </w:r>
      <w:r>
        <w:rPr>
          <w:rFonts w:hint="default" w:ascii="Times New Roman" w:hAnsi="Times New Roman" w:eastAsia="方正仿宋_GBK" w:cs="方正仿宋_GBK"/>
          <w:highlight w:val="none"/>
          <w:u w:val="none" w:color="auto"/>
          <w:lang w:val="en-US" w:eastAsia="zh-CN"/>
        </w:rPr>
        <w:t>为2023年重庆市特色劳务品牌</w:t>
      </w:r>
      <w:r>
        <w:rPr>
          <w:rFonts w:hint="eastAsia" w:ascii="Times New Roman" w:hAnsi="Times New Roman" w:eastAsia="方正仿宋_GBK" w:cs="方正仿宋_GBK"/>
          <w:highlight w:val="none"/>
          <w:u w:val="none" w:color="auto"/>
          <w:lang w:val="en-US" w:eastAsia="zh-CN"/>
        </w:rPr>
        <w:t>。养老托幼服务推进有力，基</w:t>
      </w:r>
      <w:r>
        <w:rPr>
          <w:rFonts w:hint="default" w:ascii="Times New Roman" w:hAnsi="Times New Roman" w:eastAsia="方正仿宋_GBK" w:cs="方正仿宋_GBK"/>
          <w:highlight w:val="none"/>
          <w:u w:val="none" w:color="auto"/>
          <w:lang w:val="en-US" w:eastAsia="zh-CN"/>
        </w:rPr>
        <w:t>本养老保险参保83.</w:t>
      </w:r>
      <w:r>
        <w:rPr>
          <w:rFonts w:hint="eastAsia" w:ascii="Times New Roman" w:hAnsi="Times New Roman" w:eastAsia="方正仿宋_GBK" w:cs="方正仿宋_GBK"/>
          <w:highlight w:val="none"/>
          <w:u w:val="none" w:color="auto"/>
          <w:lang w:val="en-US" w:eastAsia="zh-CN"/>
        </w:rPr>
        <w:t>2</w:t>
      </w:r>
      <w:r>
        <w:rPr>
          <w:rFonts w:hint="default" w:ascii="Times New Roman" w:hAnsi="Times New Roman" w:eastAsia="方正仿宋_GBK" w:cs="方正仿宋_GBK"/>
          <w:highlight w:val="none"/>
          <w:u w:val="none" w:color="auto"/>
          <w:lang w:val="en-US" w:eastAsia="zh-CN"/>
        </w:rPr>
        <w:t>万人，发放养老保险待遇15.5亿元，</w:t>
      </w:r>
      <w:r>
        <w:rPr>
          <w:rFonts w:hint="eastAsia" w:ascii="Times New Roman" w:hAnsi="Times New Roman" w:eastAsia="方正仿宋_GBK" w:cs="方正仿宋_GBK"/>
          <w:highlight w:val="none"/>
          <w:u w:val="none" w:color="auto"/>
          <w:lang w:val="en-US" w:eastAsia="zh-CN"/>
        </w:rPr>
        <w:t>深入开展留守老年人探访关爱服务活动，累计走访2.5万余人次、帮助解决生产生活难题1453件次，建成福临隆、巴阳镇等45个社区食堂。新增备案托育机构12家、增加托位1170个，每千常住人口婴幼儿托位数达4.1个。社会</w:t>
      </w:r>
      <w:r>
        <w:rPr>
          <w:rFonts w:hint="eastAsia" w:ascii="Times New Roman" w:hAnsi="Times New Roman" w:eastAsia="方正仿宋_GBK" w:cs="方正仿宋_GBK"/>
          <w:highlight w:val="none"/>
          <w:u w:val="none" w:color="auto"/>
          <w:lang w:val="en-US" w:eastAsia="zh-CN"/>
        </w:rPr>
        <w:t>救助保障有力，发放低保、特困等各类救助金1.7亿元。25件市县重点民生实事进展顺利，社银便民服务点建设等</w:t>
      </w:r>
      <w:r>
        <w:rPr>
          <w:rFonts w:hint="eastAsia" w:ascii="Times New Roman" w:hAnsi="Times New Roman" w:eastAsia="方正仿宋_GBK" w:cs="方正仿宋_GBK"/>
          <w:highlight w:val="none"/>
          <w:u w:val="none" w:color="auto"/>
          <w:lang w:val="en-US" w:eastAsia="zh-CN"/>
        </w:rPr>
        <w:t>7件</w:t>
      </w:r>
      <w:r>
        <w:rPr>
          <w:rFonts w:hint="eastAsia" w:ascii="Times New Roman" w:hAnsi="Times New Roman" w:eastAsia="方正仿宋_GBK" w:cs="方正仿宋_GBK"/>
          <w:highlight w:val="none"/>
          <w:u w:val="none" w:color="auto"/>
          <w:lang w:val="en-US" w:eastAsia="zh-CN"/>
        </w:rPr>
        <w:t>已提前完成全年目标任务。</w:t>
      </w:r>
    </w:p>
    <w:p w14:paraId="1910DC10">
      <w:pPr>
        <w:pStyle w:val="22"/>
        <w:keepNext w:val="0"/>
        <w:keepLines w:val="0"/>
        <w:pageBreakBefore w:val="0"/>
        <w:kinsoku/>
        <w:wordWrap/>
        <w:overflowPunct/>
        <w:topLinePunct w:val="0"/>
        <w:autoSpaceDE/>
        <w:autoSpaceDN/>
        <w:bidi w:val="0"/>
        <w:adjustRightInd/>
        <w:snapToGrid/>
        <w:spacing w:line="578" w:lineRule="exact"/>
        <w:ind w:left="0" w:firstLine="640"/>
        <w:rPr>
          <w:rFonts w:hint="eastAsia" w:ascii="Times New Roman" w:hAnsi="Times New Roman" w:eastAsia="方正仿宋_GBK" w:cs="方正仿宋_GBK"/>
          <w:highlight w:val="none"/>
          <w:u w:val="none" w:color="auto"/>
          <w:lang w:val="en-US" w:eastAsia="zh-CN"/>
        </w:rPr>
      </w:pPr>
      <w:r>
        <w:rPr>
          <w:rFonts w:hint="eastAsia" w:ascii="Times New Roman" w:hAnsi="Times New Roman" w:eastAsia="方正仿宋_GBK" w:cs="方正仿宋_GBK"/>
          <w:b/>
          <w:bCs/>
          <w:highlight w:val="none"/>
          <w:u w:val="none" w:color="auto"/>
          <w:lang w:val="en-US" w:eastAsia="zh-CN"/>
        </w:rPr>
        <w:t>二是公共服务</w:t>
      </w:r>
      <w:r>
        <w:rPr>
          <w:rFonts w:hint="eastAsia" w:ascii="Times New Roman" w:hAnsi="Times New Roman" w:eastAsia="方正仿宋_GBK"/>
          <w:b/>
          <w:bCs/>
          <w:sz w:val="32"/>
          <w:szCs w:val="32"/>
          <w:highlight w:val="none"/>
          <w:u w:val="none" w:color="auto"/>
          <w:lang w:val="en-US" w:eastAsia="zh-CN"/>
        </w:rPr>
        <w:t>供给水平全面提升。</w:t>
      </w:r>
      <w:r>
        <w:rPr>
          <w:rFonts w:hint="eastAsia" w:ascii="Times New Roman" w:hAnsi="Times New Roman" w:eastAsia="方正仿宋_GBK" w:cs="方正仿宋_GBK"/>
          <w:highlight w:val="none"/>
          <w:u w:val="none" w:color="auto"/>
          <w:lang w:val="en-US" w:eastAsia="zh-CN"/>
        </w:rPr>
        <w:t>教育服务有力有效，</w:t>
      </w:r>
      <w:r>
        <w:rPr>
          <w:rFonts w:hint="default" w:ascii="Times New Roman" w:hAnsi="Times New Roman" w:eastAsia="方正仿宋_GBK" w:cs="方正仿宋_GBK"/>
          <w:highlight w:val="none"/>
          <w:u w:val="none" w:color="auto"/>
          <w:lang w:val="en-US" w:eastAsia="zh-CN"/>
        </w:rPr>
        <w:t>新改（扩）建学校7所，</w:t>
      </w:r>
      <w:r>
        <w:rPr>
          <w:rFonts w:hint="eastAsia" w:ascii="Times New Roman" w:hAnsi="Times New Roman" w:eastAsia="方正仿宋_GBK" w:cs="方正仿宋_GBK"/>
          <w:highlight w:val="none"/>
          <w:u w:val="none" w:color="auto"/>
          <w:lang w:val="en-US" w:eastAsia="zh-CN"/>
        </w:rPr>
        <w:t>幼儿师专梨园校区、实验小学扩容全面完工，新增学位2700个。</w:t>
      </w:r>
      <w:r>
        <w:rPr>
          <w:rFonts w:hint="default" w:ascii="Times New Roman" w:hAnsi="Times New Roman" w:eastAsia="方正仿宋_GBK" w:cs="方正仿宋_GBK"/>
          <w:highlight w:val="none"/>
          <w:u w:val="none" w:color="auto"/>
          <w:lang w:val="en-US" w:eastAsia="zh-CN"/>
        </w:rPr>
        <w:t>深化智慧课堂应用</w:t>
      </w:r>
      <w:r>
        <w:rPr>
          <w:rFonts w:hint="eastAsia" w:ascii="Times New Roman" w:hAnsi="Times New Roman" w:eastAsia="方正仿宋_GBK" w:cs="方正仿宋_GBK"/>
          <w:highlight w:val="none"/>
          <w:u w:val="none" w:color="auto"/>
          <w:lang w:val="en-US" w:eastAsia="zh-CN"/>
        </w:rPr>
        <w:t>，“</w:t>
      </w:r>
      <w:r>
        <w:rPr>
          <w:rFonts w:hint="default" w:ascii="Times New Roman" w:hAnsi="Times New Roman" w:eastAsia="方正仿宋_GBK" w:cs="方正仿宋_GBK"/>
          <w:highlight w:val="none"/>
          <w:u w:val="none" w:color="auto"/>
          <w:lang w:val="en-US" w:eastAsia="zh-CN"/>
        </w:rPr>
        <w:t>智慧课堂</w:t>
      </w:r>
      <w:r>
        <w:rPr>
          <w:rFonts w:hint="eastAsia" w:ascii="Times New Roman" w:hAnsi="Times New Roman" w:eastAsia="方正仿宋_GBK" w:cs="方正仿宋_GBK"/>
          <w:highlight w:val="none"/>
          <w:u w:val="none" w:color="auto"/>
          <w:lang w:val="en-US" w:eastAsia="zh-CN"/>
        </w:rPr>
        <w:t>”</w:t>
      </w:r>
      <w:r>
        <w:rPr>
          <w:rFonts w:hint="default" w:ascii="Times New Roman" w:hAnsi="Times New Roman" w:eastAsia="方正仿宋_GBK" w:cs="方正仿宋_GBK"/>
          <w:highlight w:val="none"/>
          <w:u w:val="none" w:color="auto"/>
          <w:lang w:val="en-US" w:eastAsia="zh-CN"/>
        </w:rPr>
        <w:t>学校累计在线备课31万课时</w:t>
      </w:r>
      <w:r>
        <w:rPr>
          <w:rFonts w:hint="eastAsia" w:ascii="Times New Roman" w:hAnsi="Times New Roman" w:eastAsia="方正仿宋_GBK" w:cs="方正仿宋_GBK"/>
          <w:highlight w:val="none"/>
          <w:u w:val="none" w:color="auto"/>
          <w:lang w:val="en-US" w:eastAsia="zh-CN"/>
        </w:rPr>
        <w:t>，实验小学黄代淑优秀课例入选教育部精品课。实验中学、双江小学和平安小学、渠马小学分别被确定为全国科学教育实验校、全国国防教育示范校和全国足球特色学校。医疗服务不断增强，全面铺开“心电一张网”，搭建县乡村三级远程心电诊断系统。就医服务“一件事”推进有序，挂号就诊率提高至</w:t>
      </w:r>
      <w:r>
        <w:rPr>
          <w:rFonts w:hint="default" w:ascii="Times New Roman" w:hAnsi="Times New Roman" w:eastAsia="方正仿宋_GBK" w:cs="方正仿宋_GBK"/>
          <w:highlight w:val="none"/>
          <w:u w:val="none" w:color="auto"/>
          <w:lang w:val="en-US" w:eastAsia="zh-CN"/>
        </w:rPr>
        <w:t>50</w:t>
      </w:r>
      <w:r>
        <w:rPr>
          <w:rFonts w:hint="eastAsia" w:ascii="Times New Roman" w:hAnsi="Times New Roman" w:eastAsia="方正仿宋_GBK" w:cs="方正仿宋_GBK"/>
          <w:highlight w:val="none"/>
          <w:u w:val="none" w:color="auto"/>
          <w:lang w:val="en-US" w:eastAsia="zh-CN"/>
        </w:rPr>
        <w:t>%、门诊就医时长缩短</w:t>
      </w:r>
      <w:r>
        <w:rPr>
          <w:rFonts w:hint="default" w:ascii="Times New Roman" w:hAnsi="Times New Roman" w:eastAsia="方正仿宋_GBK" w:cs="方正仿宋_GBK"/>
          <w:highlight w:val="none"/>
          <w:u w:val="none" w:color="auto"/>
          <w:lang w:val="en-US" w:eastAsia="zh-CN"/>
        </w:rPr>
        <w:t>60</w:t>
      </w:r>
      <w:r>
        <w:rPr>
          <w:rFonts w:hint="eastAsia" w:ascii="Times New Roman" w:hAnsi="Times New Roman" w:eastAsia="方正仿宋_GBK" w:cs="方正仿宋_GBK"/>
          <w:highlight w:val="none"/>
          <w:u w:val="none" w:color="auto"/>
          <w:lang w:val="en-US" w:eastAsia="zh-CN"/>
        </w:rPr>
        <w:t>%以上。医疗保障水平整体提升，全面启动云阳县DRG付费改革，基本医保参保率持续保持95%以上。县人民医院获全国首批“癌症早筛中心”合作单位授牌、国家标准化代谢性疾病管理中心（MMC）分中心授牌。县妇女儿童医院神经内科成功创建国家级头痛门诊。江口镇中心卫生院获县域医疗卫生次中心服务建设标杆奖</w:t>
      </w:r>
      <w:r>
        <w:rPr>
          <w:rFonts w:hint="eastAsia" w:ascii="Times New Roman" w:hAnsi="Times New Roman" w:eastAsia="方正仿宋_GBK" w:cs="方正仿宋_GBK"/>
          <w:highlight w:val="none"/>
          <w:u w:val="none" w:color="auto"/>
          <w:lang w:val="en-US" w:eastAsia="zh-CN"/>
        </w:rPr>
        <w:t>。</w:t>
      </w:r>
      <w:r>
        <w:rPr>
          <w:rFonts w:hint="eastAsia" w:ascii="Times New Roman" w:hAnsi="Times New Roman" w:eastAsia="方正仿宋_GBK" w:cs="方正仿宋_GBK"/>
          <w:sz w:val="32"/>
          <w:szCs w:val="32"/>
          <w:highlight w:val="none"/>
          <w:u w:val="none" w:color="auto"/>
        </w:rPr>
        <w:t>新建多功能运动场3个</w:t>
      </w:r>
      <w:r>
        <w:rPr>
          <w:rFonts w:hint="eastAsia" w:ascii="Times New Roman" w:hAnsi="Times New Roman" w:eastAsia="方正仿宋_GBK" w:cs="方正仿宋_GBK"/>
          <w:sz w:val="32"/>
          <w:szCs w:val="32"/>
          <w:highlight w:val="none"/>
          <w:u w:val="none" w:color="auto"/>
          <w:lang w:eastAsia="zh-CN"/>
        </w:rPr>
        <w:t>、</w:t>
      </w:r>
      <w:r>
        <w:rPr>
          <w:rFonts w:hint="eastAsia" w:ascii="Times New Roman" w:hAnsi="Times New Roman" w:eastAsia="方正仿宋_GBK" w:cs="方正仿宋_GBK"/>
          <w:sz w:val="32"/>
          <w:szCs w:val="32"/>
          <w:highlight w:val="none"/>
          <w:u w:val="none" w:color="auto"/>
        </w:rPr>
        <w:t>体育健身步道1条</w:t>
      </w:r>
      <w:r>
        <w:rPr>
          <w:rFonts w:hint="eastAsia" w:ascii="Times New Roman" w:hAnsi="Times New Roman" w:eastAsia="方正仿宋_GBK" w:cs="方正仿宋_GBK"/>
          <w:sz w:val="32"/>
          <w:szCs w:val="32"/>
          <w:highlight w:val="none"/>
          <w:u w:val="none" w:color="auto"/>
          <w:lang w:eastAsia="zh-CN"/>
        </w:rPr>
        <w:t>，</w:t>
      </w:r>
      <w:r>
        <w:rPr>
          <w:rFonts w:hint="eastAsia" w:ascii="Times New Roman" w:hAnsi="Times New Roman" w:eastAsia="方正仿宋_GBK" w:cstheme="minorBidi"/>
          <w:kern w:val="2"/>
          <w:sz w:val="32"/>
          <w:szCs w:val="32"/>
          <w:highlight w:val="none"/>
          <w:u w:val="none" w:color="auto"/>
          <w:lang w:val="en-US" w:eastAsia="zh-CN" w:bidi="ar-SA"/>
        </w:rPr>
        <w:t>建成投用“一场一馆一池一中心”等大型体育场馆，</w:t>
      </w:r>
      <w:r>
        <w:rPr>
          <w:rFonts w:hint="eastAsia" w:ascii="Times New Roman" w:hAnsi="Times New Roman" w:eastAsia="方正仿宋_GBK" w:cs="方正仿宋_GBK"/>
          <w:sz w:val="32"/>
          <w:szCs w:val="32"/>
          <w:highlight w:val="none"/>
          <w:u w:val="none" w:color="auto"/>
        </w:rPr>
        <w:t>人均体育场地面积达2.81平方米</w:t>
      </w:r>
      <w:r>
        <w:rPr>
          <w:rFonts w:hint="eastAsia" w:ascii="Times New Roman" w:hAnsi="Times New Roman" w:eastAsia="方正仿宋_GBK" w:cs="方正仿宋_GBK"/>
          <w:sz w:val="32"/>
          <w:szCs w:val="32"/>
          <w:highlight w:val="none"/>
          <w:u w:val="none" w:color="auto"/>
          <w:lang w:eastAsia="zh-CN"/>
        </w:rPr>
        <w:t>。</w:t>
      </w:r>
    </w:p>
    <w:p w14:paraId="283D285F">
      <w:pPr>
        <w:pStyle w:val="22"/>
        <w:keepNext w:val="0"/>
        <w:keepLines w:val="0"/>
        <w:pageBreakBefore w:val="0"/>
        <w:kinsoku/>
        <w:wordWrap/>
        <w:overflowPunct/>
        <w:topLinePunct w:val="0"/>
        <w:autoSpaceDE/>
        <w:autoSpaceDN/>
        <w:bidi w:val="0"/>
        <w:adjustRightInd/>
        <w:snapToGrid/>
        <w:spacing w:line="578" w:lineRule="exact"/>
        <w:ind w:left="0" w:firstLine="640"/>
        <w:rPr>
          <w:rFonts w:hint="eastAsia" w:ascii="Times New Roman" w:hAnsi="Times New Roman" w:eastAsia="方正仿宋_GBK"/>
          <w:b w:val="0"/>
          <w:bCs w:val="0"/>
          <w:sz w:val="32"/>
          <w:szCs w:val="32"/>
          <w:highlight w:val="none"/>
          <w:u w:val="none" w:color="auto"/>
        </w:rPr>
      </w:pPr>
      <w:r>
        <w:rPr>
          <w:rFonts w:hint="eastAsia" w:ascii="Times New Roman" w:hAnsi="Times New Roman" w:eastAsia="方正仿宋_GBK" w:cs="方正仿宋_GBK"/>
          <w:b/>
          <w:bCs/>
          <w:highlight w:val="none"/>
          <w:u w:val="none" w:color="auto"/>
          <w:lang w:val="en-US" w:eastAsia="zh-CN"/>
        </w:rPr>
        <w:t>三是治理效能不断提升。</w:t>
      </w:r>
      <w:r>
        <w:rPr>
          <w:rFonts w:hint="default" w:ascii="Times New Roman" w:hAnsi="Times New Roman" w:eastAsia="方正仿宋_GBK" w:cs="方正仿宋_GBK"/>
          <w:highlight w:val="none"/>
          <w:u w:val="none" w:color="auto"/>
          <w:lang w:val="en-US" w:eastAsia="zh-CN"/>
        </w:rPr>
        <w:t>社会治安</w:t>
      </w:r>
      <w:r>
        <w:rPr>
          <w:rFonts w:hint="eastAsia" w:ascii="Times New Roman" w:hAnsi="Times New Roman" w:eastAsia="方正仿宋_GBK" w:cs="方正仿宋_GBK"/>
          <w:highlight w:val="none"/>
          <w:u w:val="none" w:color="auto"/>
          <w:lang w:val="en-US" w:eastAsia="zh-CN"/>
        </w:rPr>
        <w:t>平安有序，</w:t>
      </w:r>
      <w:r>
        <w:rPr>
          <w:rFonts w:hint="default" w:ascii="Times New Roman" w:hAnsi="Times New Roman" w:eastAsia="方正仿宋_GBK" w:cs="方正仿宋_GBK"/>
          <w:highlight w:val="none"/>
          <w:u w:val="none" w:color="auto"/>
          <w:lang w:val="en-US" w:eastAsia="zh-CN"/>
        </w:rPr>
        <w:t>各类矛盾纠纷调解成功率98.7%</w:t>
      </w:r>
      <w:r>
        <w:rPr>
          <w:rFonts w:hint="eastAsia" w:ascii="Times New Roman" w:hAnsi="Times New Roman" w:eastAsia="方正仿宋_GBK" w:cs="方正仿宋_GBK"/>
          <w:highlight w:val="none"/>
          <w:u w:val="none" w:color="auto"/>
          <w:lang w:val="en-US" w:eastAsia="zh-CN"/>
        </w:rPr>
        <w:t>，信访总量下降51.3%，八类案件和现行命案破案率100%。深化地灾隐患“人防+技防+物防”管控措施，推进三峡库区危岩地灾防治和特别国债项目实施，完成工程治理项目4处、排危除险项目2处。</w:t>
      </w:r>
      <w:r>
        <w:rPr>
          <w:rFonts w:hint="default" w:ascii="Times New Roman" w:hAnsi="Times New Roman" w:eastAsia="方正仿宋_GBK" w:cs="方正仿宋_GBK"/>
          <w:highlight w:val="none"/>
          <w:u w:val="none" w:color="auto"/>
          <w:lang w:val="en-US" w:eastAsia="zh-CN"/>
        </w:rPr>
        <w:t>统筹推进气象、水利监测预警软硬件设施和应急处置项目建设，完成28个乡镇（街道）物资储备库标准化建设</w:t>
      </w:r>
      <w:r>
        <w:rPr>
          <w:rFonts w:hint="eastAsia" w:ascii="Times New Roman" w:hAnsi="Times New Roman" w:eastAsia="方正仿宋_GBK" w:cs="方正仿宋_GBK"/>
          <w:highlight w:val="none"/>
          <w:u w:val="none" w:color="auto"/>
          <w:lang w:val="en-US" w:eastAsia="zh-CN"/>
        </w:rPr>
        <w:t>，森林草原防火阻隔系统项目全面开工，</w:t>
      </w:r>
      <w:r>
        <w:rPr>
          <w:rFonts w:hint="default" w:ascii="Times New Roman" w:hAnsi="Times New Roman" w:eastAsia="方正仿宋_GBK" w:cs="方正仿宋_GBK"/>
          <w:highlight w:val="none"/>
          <w:u w:val="none" w:color="auto"/>
          <w:lang w:val="en-US" w:eastAsia="zh-CN"/>
        </w:rPr>
        <w:t>未发生重大</w:t>
      </w:r>
      <w:r>
        <w:rPr>
          <w:rFonts w:hint="eastAsia" w:ascii="Times New Roman" w:hAnsi="Times New Roman" w:eastAsia="方正仿宋_GBK" w:cs="方正仿宋_GBK"/>
          <w:highlight w:val="none"/>
          <w:u w:val="none" w:color="auto"/>
          <w:lang w:val="en-US" w:eastAsia="zh-CN"/>
        </w:rPr>
        <w:t>生产安全</w:t>
      </w:r>
      <w:r>
        <w:rPr>
          <w:rFonts w:hint="default" w:ascii="Times New Roman" w:hAnsi="Times New Roman" w:eastAsia="方正仿宋_GBK" w:cs="方正仿宋_GBK"/>
          <w:highlight w:val="none"/>
          <w:u w:val="none" w:color="auto"/>
          <w:lang w:val="en-US" w:eastAsia="zh-CN"/>
        </w:rPr>
        <w:t>事件。经济金融安全稳妥有</w:t>
      </w:r>
      <w:r>
        <w:rPr>
          <w:rFonts w:hint="default" w:ascii="Times New Roman" w:hAnsi="Times New Roman" w:eastAsia="方正仿宋_GBK" w:cs="方正仿宋_GBK"/>
          <w:highlight w:val="none"/>
          <w:u w:val="none" w:color="auto"/>
          <w:lang w:val="en-US" w:eastAsia="zh-CN"/>
        </w:rPr>
        <w:t>序</w:t>
      </w:r>
      <w:r>
        <w:rPr>
          <w:rFonts w:hint="eastAsia" w:ascii="Times New Roman" w:hAnsi="Times New Roman" w:eastAsia="方正仿宋_GBK" w:cs="方正仿宋_GBK"/>
          <w:highlight w:val="none"/>
          <w:u w:val="none" w:color="auto"/>
          <w:lang w:val="en-US" w:eastAsia="zh-CN"/>
        </w:rPr>
        <w:t>，</w:t>
      </w:r>
      <w:r>
        <w:rPr>
          <w:rFonts w:hint="eastAsia" w:ascii="Times New Roman" w:hAnsi="Times New Roman" w:eastAsia="方正仿宋_GBK" w:cs="Times New Roman"/>
          <w:sz w:val="32"/>
          <w:szCs w:val="32"/>
          <w:highlight w:val="none"/>
          <w:u w:val="none" w:color="auto"/>
          <w:lang w:val="en-US" w:eastAsia="zh-CN"/>
        </w:rPr>
        <w:t>开展‘守住钱袋子</w:t>
      </w:r>
      <w:r>
        <w:rPr>
          <w:rFonts w:hint="eastAsia" w:ascii="Times New Roman" w:hAnsi="Times New Roman" w:eastAsia="宋体" w:cs="宋体"/>
          <w:sz w:val="32"/>
          <w:szCs w:val="32"/>
          <w:highlight w:val="none"/>
          <w:u w:val="none" w:color="auto"/>
          <w:lang w:val="en-US" w:eastAsia="zh-CN"/>
        </w:rPr>
        <w:t>·</w:t>
      </w:r>
      <w:r>
        <w:rPr>
          <w:rFonts w:hint="eastAsia" w:ascii="Times New Roman" w:hAnsi="Times New Roman" w:eastAsia="方正仿宋_GBK" w:cs="Times New Roman"/>
          <w:sz w:val="32"/>
          <w:szCs w:val="32"/>
          <w:highlight w:val="none"/>
          <w:u w:val="none" w:color="auto"/>
          <w:lang w:val="en-US" w:eastAsia="zh-CN"/>
        </w:rPr>
        <w:t>护好幸福家’防范非法集资宣传月活动，</w:t>
      </w:r>
      <w:r>
        <w:rPr>
          <w:rFonts w:hint="eastAsia" w:ascii="Times New Roman" w:hAnsi="Times New Roman" w:eastAsia="方正仿宋_GBK" w:cs="Times New Roman"/>
          <w:sz w:val="32"/>
          <w:szCs w:val="32"/>
          <w:highlight w:val="none"/>
          <w:u w:val="none" w:color="auto"/>
          <w:lang w:val="en-US" w:eastAsia="zh-CN"/>
        </w:rPr>
        <w:t>举办云阳县2024年防范非法集资宣传月启动仪式暨集中宣传日活动</w:t>
      </w:r>
      <w:r>
        <w:rPr>
          <w:rFonts w:hint="eastAsia" w:ascii="Times New Roman" w:hAnsi="Times New Roman" w:eastAsia="方正仿宋_GBK" w:cs="Times New Roman"/>
          <w:sz w:val="32"/>
          <w:szCs w:val="32"/>
          <w:highlight w:val="none"/>
          <w:u w:val="none" w:color="auto"/>
          <w:lang w:val="en-US" w:eastAsia="zh-CN"/>
        </w:rPr>
        <w:t>，</w:t>
      </w:r>
      <w:r>
        <w:rPr>
          <w:rFonts w:hint="eastAsia" w:ascii="Times New Roman" w:hAnsi="Times New Roman" w:eastAsia="方正仿宋_GBK" w:cs="方正仿宋_GBK"/>
          <w:highlight w:val="none"/>
          <w:u w:val="none" w:color="auto"/>
          <w:lang w:val="en-US" w:eastAsia="zh-CN"/>
        </w:rPr>
        <w:t>构建“</w:t>
      </w:r>
      <w:r>
        <w:rPr>
          <w:rFonts w:hint="default" w:ascii="Times New Roman" w:hAnsi="Times New Roman" w:eastAsia="方正仿宋_GBK" w:cs="方正仿宋_GBK"/>
          <w:highlight w:val="none"/>
          <w:u w:val="none" w:color="auto"/>
          <w:lang w:val="en-US" w:eastAsia="zh-CN"/>
        </w:rPr>
        <w:t>全覆盖、无盲区</w:t>
      </w:r>
      <w:r>
        <w:rPr>
          <w:rFonts w:hint="eastAsia" w:ascii="Times New Roman" w:hAnsi="Times New Roman" w:eastAsia="方正仿宋_GBK" w:cs="方正仿宋_GBK"/>
          <w:highlight w:val="none"/>
          <w:u w:val="none" w:color="auto"/>
          <w:lang w:val="en-US" w:eastAsia="zh-CN"/>
        </w:rPr>
        <w:t>”</w:t>
      </w:r>
      <w:r>
        <w:rPr>
          <w:rFonts w:hint="default" w:ascii="Times New Roman" w:hAnsi="Times New Roman" w:eastAsia="方正仿宋_GBK" w:cs="方正仿宋_GBK"/>
          <w:highlight w:val="none"/>
          <w:u w:val="none" w:color="auto"/>
          <w:lang w:val="en-US" w:eastAsia="zh-CN"/>
        </w:rPr>
        <w:t>的金融风险防控管理网络</w:t>
      </w:r>
      <w:r>
        <w:rPr>
          <w:rFonts w:hint="eastAsia" w:ascii="Times New Roman" w:hAnsi="Times New Roman" w:eastAsia="方正仿宋_GBK" w:cs="方正仿宋_GBK"/>
          <w:highlight w:val="none"/>
          <w:u w:val="none" w:color="auto"/>
          <w:lang w:val="en-US" w:eastAsia="zh-CN"/>
        </w:rPr>
        <w:t>，未</w:t>
      </w:r>
      <w:r>
        <w:rPr>
          <w:rFonts w:hint="default" w:ascii="Times New Roman" w:hAnsi="Times New Roman" w:eastAsia="方正仿宋_GBK" w:cs="方正仿宋_GBK"/>
          <w:highlight w:val="none"/>
          <w:u w:val="none" w:color="auto"/>
          <w:lang w:val="en-US" w:eastAsia="zh-CN"/>
        </w:rPr>
        <w:t>发生大型非法集资</w:t>
      </w:r>
      <w:r>
        <w:rPr>
          <w:rFonts w:hint="default" w:ascii="Times New Roman" w:hAnsi="Times New Roman" w:eastAsia="方正仿宋_GBK" w:cs="方正仿宋_GBK"/>
          <w:highlight w:val="none"/>
          <w:u w:val="none" w:color="auto"/>
          <w:lang w:val="en-US" w:eastAsia="zh-CN"/>
        </w:rPr>
        <w:t>案件</w:t>
      </w:r>
      <w:r>
        <w:rPr>
          <w:rFonts w:hint="eastAsia" w:ascii="Times New Roman" w:hAnsi="Times New Roman" w:eastAsia="方正仿宋_GBK" w:cs="方正仿宋_GBK"/>
          <w:highlight w:val="none"/>
          <w:u w:val="none" w:color="auto"/>
          <w:lang w:val="en-US" w:eastAsia="zh-CN"/>
        </w:rPr>
        <w:t>，</w:t>
      </w:r>
      <w:r>
        <w:rPr>
          <w:rFonts w:hint="default" w:ascii="Times New Roman" w:hAnsi="Times New Roman" w:eastAsia="方正仿宋_GBK" w:cs="方正仿宋_GBK"/>
          <w:highlight w:val="none"/>
          <w:u w:val="none" w:color="auto"/>
          <w:lang w:val="en-US" w:eastAsia="zh-CN"/>
        </w:rPr>
        <w:t>完成保交楼目标任务，</w:t>
      </w:r>
      <w:r>
        <w:rPr>
          <w:rFonts w:hint="eastAsia" w:ascii="Times New Roman" w:hAnsi="Times New Roman" w:eastAsia="方正仿宋_GBK" w:cs="方正仿宋_GBK"/>
          <w:highlight w:val="none"/>
          <w:u w:val="none" w:color="auto"/>
          <w:lang w:val="en-US" w:eastAsia="zh-CN"/>
        </w:rPr>
        <w:t>政府性债务化解成效进度53.9%。</w:t>
      </w:r>
    </w:p>
    <w:p w14:paraId="4DB720F5">
      <w:pPr>
        <w:keepNext w:val="0"/>
        <w:keepLines w:val="0"/>
        <w:pageBreakBefore w:val="0"/>
        <w:kinsoku/>
        <w:wordWrap/>
        <w:overflowPunct/>
        <w:topLinePunct w:val="0"/>
        <w:autoSpaceDE/>
        <w:autoSpaceDN/>
        <w:bidi w:val="0"/>
        <w:adjustRightInd/>
        <w:snapToGrid/>
        <w:spacing w:line="578" w:lineRule="exact"/>
        <w:ind w:left="0" w:firstLine="640" w:firstLineChars="200"/>
        <w:rPr>
          <w:rFonts w:hint="eastAsia" w:ascii="Times New Roman" w:hAnsi="Times New Roman" w:eastAsia="方正仿宋_GBK"/>
          <w:b w:val="0"/>
          <w:bCs w:val="0"/>
          <w:sz w:val="32"/>
          <w:szCs w:val="32"/>
          <w:highlight w:val="none"/>
          <w:u w:val="none" w:color="auto"/>
          <w:lang w:val="en-US" w:eastAsia="zh-CN"/>
        </w:rPr>
      </w:pPr>
      <w:r>
        <w:rPr>
          <w:rFonts w:hint="eastAsia" w:ascii="Times New Roman" w:hAnsi="Times New Roman" w:eastAsia="方正仿宋_GBK"/>
          <w:b w:val="0"/>
          <w:bCs w:val="0"/>
          <w:sz w:val="32"/>
          <w:szCs w:val="32"/>
          <w:highlight w:val="none"/>
          <w:u w:val="none" w:color="auto"/>
        </w:rPr>
        <w:t>总体上看，</w:t>
      </w:r>
      <w:r>
        <w:rPr>
          <w:rFonts w:hint="eastAsia" w:ascii="Times New Roman" w:hAnsi="Times New Roman" w:eastAsia="方正仿宋_GBK"/>
          <w:b w:val="0"/>
          <w:bCs w:val="0"/>
          <w:sz w:val="32"/>
          <w:szCs w:val="32"/>
          <w:highlight w:val="none"/>
          <w:u w:val="none" w:color="auto"/>
          <w:lang w:val="en-US" w:eastAsia="zh-CN"/>
        </w:rPr>
        <w:t>虽然上半年我县工作取得明显成效，</w:t>
      </w:r>
      <w:r>
        <w:rPr>
          <w:rFonts w:hint="eastAsia" w:ascii="Times New Roman" w:hAnsi="Times New Roman" w:eastAsia="方正仿宋_GBK"/>
          <w:b w:val="0"/>
          <w:bCs w:val="0"/>
          <w:sz w:val="32"/>
          <w:szCs w:val="32"/>
          <w:highlight w:val="none"/>
          <w:u w:val="none" w:color="auto"/>
        </w:rPr>
        <w:t>但面对复杂的外部环境</w:t>
      </w:r>
      <w:r>
        <w:rPr>
          <w:rFonts w:hint="eastAsia" w:ascii="Times New Roman" w:hAnsi="Times New Roman" w:eastAsia="方正仿宋_GBK"/>
          <w:b w:val="0"/>
          <w:bCs w:val="0"/>
          <w:sz w:val="32"/>
          <w:szCs w:val="32"/>
          <w:highlight w:val="none"/>
          <w:u w:val="none" w:color="auto"/>
          <w:lang w:val="en-US" w:eastAsia="zh-CN"/>
        </w:rPr>
        <w:t>和经济下行压力</w:t>
      </w:r>
      <w:r>
        <w:rPr>
          <w:rFonts w:hint="eastAsia" w:ascii="Times New Roman" w:hAnsi="Times New Roman" w:eastAsia="方正仿宋_GBK"/>
          <w:b w:val="0"/>
          <w:bCs w:val="0"/>
          <w:sz w:val="32"/>
          <w:szCs w:val="32"/>
          <w:highlight w:val="none"/>
          <w:u w:val="none" w:color="auto"/>
        </w:rPr>
        <w:t>，我县经济社会发展</w:t>
      </w:r>
      <w:r>
        <w:rPr>
          <w:rFonts w:hint="eastAsia" w:ascii="Times New Roman" w:hAnsi="Times New Roman" w:eastAsia="方正仿宋_GBK"/>
          <w:b w:val="0"/>
          <w:bCs w:val="0"/>
          <w:sz w:val="32"/>
          <w:szCs w:val="32"/>
          <w:highlight w:val="none"/>
          <w:u w:val="none" w:color="auto"/>
          <w:lang w:val="en-US" w:eastAsia="zh-CN"/>
        </w:rPr>
        <w:t>仍然存在工业后续增长支撑不足、房地产市场持续下行、</w:t>
      </w:r>
      <w:r>
        <w:rPr>
          <w:rFonts w:hint="eastAsia" w:ascii="Times New Roman" w:hAnsi="Times New Roman" w:eastAsia="方正仿宋_GBK"/>
          <w:b w:val="0"/>
          <w:bCs w:val="0"/>
          <w:sz w:val="32"/>
          <w:szCs w:val="32"/>
          <w:highlight w:val="none"/>
          <w:u w:val="none" w:color="auto"/>
        </w:rPr>
        <w:t>财政收支平衡压力加大</w:t>
      </w:r>
      <w:r>
        <w:rPr>
          <w:rFonts w:hint="eastAsia" w:ascii="Times New Roman" w:hAnsi="Times New Roman" w:eastAsia="方正仿宋_GBK"/>
          <w:b w:val="0"/>
          <w:bCs w:val="0"/>
          <w:sz w:val="32"/>
          <w:szCs w:val="32"/>
          <w:highlight w:val="none"/>
          <w:u w:val="none" w:color="auto"/>
          <w:lang w:eastAsia="zh-CN"/>
        </w:rPr>
        <w:t>、</w:t>
      </w:r>
      <w:r>
        <w:rPr>
          <w:rFonts w:hint="eastAsia" w:ascii="Times New Roman" w:hAnsi="Times New Roman" w:eastAsia="方正仿宋_GBK"/>
          <w:b w:val="0"/>
          <w:bCs w:val="0"/>
          <w:sz w:val="32"/>
          <w:szCs w:val="32"/>
          <w:highlight w:val="none"/>
          <w:u w:val="none" w:color="auto"/>
          <w:lang w:val="en-US" w:eastAsia="zh-CN"/>
        </w:rPr>
        <w:t>高校毕业生等青年群体就业矛盾突出</w:t>
      </w:r>
      <w:r>
        <w:rPr>
          <w:rFonts w:hint="eastAsia" w:ascii="Times New Roman" w:hAnsi="Times New Roman" w:eastAsia="方正仿宋_GBK"/>
          <w:b w:val="0"/>
          <w:bCs w:val="0"/>
          <w:sz w:val="32"/>
          <w:szCs w:val="32"/>
          <w:highlight w:val="none"/>
          <w:u w:val="none" w:color="auto"/>
          <w:lang w:eastAsia="zh-CN"/>
        </w:rPr>
        <w:t>、</w:t>
      </w:r>
      <w:r>
        <w:rPr>
          <w:rFonts w:hint="eastAsia" w:ascii="Times New Roman" w:hAnsi="Times New Roman" w:eastAsia="方正仿宋_GBK"/>
          <w:b w:val="0"/>
          <w:bCs w:val="0"/>
          <w:sz w:val="32"/>
          <w:szCs w:val="32"/>
          <w:highlight w:val="none"/>
          <w:u w:val="none" w:color="auto"/>
          <w:lang w:val="en-US" w:eastAsia="zh-CN"/>
        </w:rPr>
        <w:t>市场主体经营困难等问题和挑战，需要在下半年工作中</w:t>
      </w:r>
      <w:r>
        <w:rPr>
          <w:rFonts w:hint="eastAsia" w:ascii="Times New Roman" w:hAnsi="Times New Roman" w:eastAsia="方正仿宋_GBK"/>
          <w:b w:val="0"/>
          <w:bCs w:val="0"/>
          <w:sz w:val="32"/>
          <w:szCs w:val="32"/>
          <w:highlight w:val="none"/>
          <w:u w:val="none" w:color="auto"/>
        </w:rPr>
        <w:t>高度重视</w:t>
      </w:r>
      <w:r>
        <w:rPr>
          <w:rFonts w:hint="eastAsia" w:ascii="Times New Roman" w:hAnsi="Times New Roman" w:eastAsia="方正仿宋_GBK"/>
          <w:b w:val="0"/>
          <w:bCs w:val="0"/>
          <w:sz w:val="32"/>
          <w:szCs w:val="32"/>
          <w:highlight w:val="none"/>
          <w:u w:val="none" w:color="auto"/>
          <w:lang w:eastAsia="zh-CN"/>
        </w:rPr>
        <w:t>、</w:t>
      </w:r>
      <w:r>
        <w:rPr>
          <w:rFonts w:hint="eastAsia" w:ascii="Times New Roman" w:hAnsi="Times New Roman" w:eastAsia="方正仿宋_GBK"/>
          <w:b w:val="0"/>
          <w:bCs w:val="0"/>
          <w:sz w:val="32"/>
          <w:szCs w:val="32"/>
          <w:highlight w:val="none"/>
          <w:u w:val="none" w:color="auto"/>
        </w:rPr>
        <w:t>积极应对</w:t>
      </w:r>
      <w:r>
        <w:rPr>
          <w:rFonts w:hint="eastAsia" w:ascii="Times New Roman" w:hAnsi="Times New Roman" w:eastAsia="方正仿宋_GBK"/>
          <w:b w:val="0"/>
          <w:bCs w:val="0"/>
          <w:sz w:val="32"/>
          <w:szCs w:val="32"/>
          <w:highlight w:val="none"/>
          <w:u w:val="none" w:color="auto"/>
          <w:lang w:eastAsia="zh-CN"/>
        </w:rPr>
        <w:t>、</w:t>
      </w:r>
      <w:r>
        <w:rPr>
          <w:rFonts w:hint="eastAsia" w:ascii="Times New Roman" w:hAnsi="Times New Roman" w:eastAsia="方正仿宋_GBK"/>
          <w:b w:val="0"/>
          <w:bCs w:val="0"/>
          <w:sz w:val="32"/>
          <w:szCs w:val="32"/>
          <w:highlight w:val="none"/>
          <w:u w:val="none" w:color="auto"/>
          <w:lang w:val="en-US" w:eastAsia="zh-CN"/>
        </w:rPr>
        <w:t>着力改善</w:t>
      </w:r>
      <w:r>
        <w:rPr>
          <w:rFonts w:hint="eastAsia" w:ascii="Times New Roman" w:hAnsi="Times New Roman" w:eastAsia="方正仿宋_GBK"/>
          <w:b w:val="0"/>
          <w:bCs w:val="0"/>
          <w:sz w:val="32"/>
          <w:szCs w:val="32"/>
          <w:highlight w:val="none"/>
          <w:u w:val="none" w:color="auto"/>
          <w:lang w:eastAsia="zh-CN"/>
        </w:rPr>
        <w:t>。</w:t>
      </w:r>
    </w:p>
    <w:p w14:paraId="10C2FC9F">
      <w:pPr>
        <w:keepNext w:val="0"/>
        <w:keepLines w:val="0"/>
        <w:pageBreakBefore w:val="0"/>
        <w:kinsoku/>
        <w:wordWrap/>
        <w:overflowPunct/>
        <w:topLinePunct w:val="0"/>
        <w:autoSpaceDE/>
        <w:autoSpaceDN/>
        <w:bidi w:val="0"/>
        <w:adjustRightInd/>
        <w:snapToGrid/>
        <w:spacing w:line="578" w:lineRule="exact"/>
        <w:ind w:left="0" w:firstLine="640" w:firstLineChars="200"/>
        <w:rPr>
          <w:rFonts w:hint="eastAsia" w:ascii="Times New Roman" w:hAnsi="Times New Roman" w:eastAsia="方正黑体_GBK" w:cs="方正黑体_GBK"/>
          <w:b w:val="0"/>
          <w:bCs w:val="0"/>
          <w:sz w:val="32"/>
          <w:szCs w:val="32"/>
          <w:highlight w:val="none"/>
          <w:u w:val="none" w:color="auto"/>
        </w:rPr>
      </w:pPr>
      <w:r>
        <w:rPr>
          <w:rFonts w:hint="eastAsia" w:ascii="Times New Roman" w:hAnsi="Times New Roman" w:eastAsia="方正黑体_GBK" w:cs="方正黑体_GBK"/>
          <w:b w:val="0"/>
          <w:bCs w:val="0"/>
          <w:sz w:val="32"/>
          <w:szCs w:val="32"/>
          <w:highlight w:val="none"/>
          <w:u w:val="none" w:color="auto"/>
          <w:lang w:eastAsia="zh-CN"/>
        </w:rPr>
        <w:t>二</w:t>
      </w:r>
      <w:r>
        <w:rPr>
          <w:rFonts w:hint="eastAsia" w:ascii="Times New Roman" w:hAnsi="Times New Roman" w:eastAsia="方正黑体_GBK" w:cs="方正黑体_GBK"/>
          <w:b w:val="0"/>
          <w:bCs w:val="0"/>
          <w:sz w:val="32"/>
          <w:szCs w:val="32"/>
          <w:highlight w:val="none"/>
          <w:u w:val="none" w:color="auto"/>
        </w:rPr>
        <w:t>、下半年工作重点</w:t>
      </w:r>
    </w:p>
    <w:p w14:paraId="484A7B22">
      <w:pPr>
        <w:pStyle w:val="22"/>
        <w:keepNext w:val="0"/>
        <w:keepLines w:val="0"/>
        <w:pageBreakBefore w:val="0"/>
        <w:kinsoku/>
        <w:wordWrap/>
        <w:overflowPunct/>
        <w:topLinePunct w:val="0"/>
        <w:autoSpaceDE/>
        <w:autoSpaceDN/>
        <w:bidi w:val="0"/>
        <w:adjustRightInd/>
        <w:snapToGrid/>
        <w:spacing w:line="578" w:lineRule="exact"/>
        <w:ind w:left="0" w:firstLine="640"/>
        <w:rPr>
          <w:rFonts w:hint="eastAsia" w:ascii="Times New Roman" w:hAnsi="Times New Roman" w:eastAsia="方正仿宋_GBK"/>
          <w:b w:val="0"/>
          <w:bCs w:val="0"/>
          <w:color w:val="auto"/>
          <w:sz w:val="32"/>
          <w:szCs w:val="32"/>
          <w:highlight w:val="none"/>
          <w:u w:val="none" w:color="auto"/>
          <w:lang w:val="en-US" w:eastAsia="zh-CN"/>
        </w:rPr>
      </w:pPr>
      <w:r>
        <w:rPr>
          <w:rFonts w:hint="eastAsia" w:ascii="Times New Roman" w:hAnsi="Times New Roman" w:eastAsia="方正仿宋_GBK" w:cs="方正仿宋_GBK"/>
          <w:b w:val="0"/>
          <w:bCs w:val="0"/>
          <w:color w:val="auto"/>
          <w:sz w:val="32"/>
          <w:szCs w:val="32"/>
          <w:highlight w:val="none"/>
          <w:u w:val="none" w:color="auto"/>
        </w:rPr>
        <w:t>下半年，我们将坚持以习近平新时代中国特色社会主义思想为指导，</w:t>
      </w:r>
      <w:r>
        <w:rPr>
          <w:rFonts w:hint="eastAsia" w:ascii="Times New Roman" w:hAnsi="Times New Roman" w:eastAsia="方正仿宋_GBK" w:cs="方正仿宋_GBK"/>
          <w:b w:val="0"/>
          <w:bCs w:val="0"/>
          <w:color w:val="auto"/>
          <w:sz w:val="32"/>
          <w:szCs w:val="32"/>
          <w:highlight w:val="none"/>
          <w:u w:val="none" w:color="auto"/>
          <w:lang w:eastAsia="zh-CN"/>
        </w:rPr>
        <w:t>全面贯彻党的二十大精神，深入学习贯彻习近平总书记视察重庆重要讲话重要指示精神，认真落实市委六届二次、三次、四次、五次全会工作部署，按照稳进增效、</w:t>
      </w:r>
      <w:r>
        <w:rPr>
          <w:rFonts w:hint="eastAsia" w:ascii="Times New Roman" w:hAnsi="Times New Roman" w:eastAsia="方正仿宋_GBK" w:cs="方正仿宋_GBK"/>
          <w:b w:val="0"/>
          <w:bCs w:val="0"/>
          <w:color w:val="auto"/>
          <w:sz w:val="32"/>
          <w:szCs w:val="32"/>
          <w:highlight w:val="none"/>
          <w:u w:val="none" w:color="auto"/>
          <w:lang w:val="en-US" w:eastAsia="zh-CN"/>
        </w:rPr>
        <w:t>除险固安</w:t>
      </w:r>
      <w:r>
        <w:rPr>
          <w:rFonts w:hint="eastAsia" w:ascii="Times New Roman" w:hAnsi="Times New Roman" w:eastAsia="方正仿宋_GBK" w:cs="方正仿宋_GBK"/>
          <w:b w:val="0"/>
          <w:bCs w:val="0"/>
          <w:color w:val="auto"/>
          <w:sz w:val="32"/>
          <w:szCs w:val="32"/>
          <w:highlight w:val="none"/>
          <w:u w:val="none" w:color="auto"/>
          <w:lang w:eastAsia="zh-CN"/>
        </w:rPr>
        <w:t>、改革</w:t>
      </w:r>
      <w:r>
        <w:rPr>
          <w:rFonts w:hint="eastAsia" w:ascii="Times New Roman" w:hAnsi="Times New Roman" w:eastAsia="方正仿宋_GBK" w:cs="方正仿宋_GBK"/>
          <w:b w:val="0"/>
          <w:bCs w:val="0"/>
          <w:color w:val="auto"/>
          <w:sz w:val="32"/>
          <w:szCs w:val="32"/>
          <w:highlight w:val="none"/>
          <w:u w:val="none" w:color="auto"/>
          <w:lang w:val="en-US" w:eastAsia="zh-CN"/>
        </w:rPr>
        <w:t>突破</w:t>
      </w:r>
      <w:r>
        <w:rPr>
          <w:rFonts w:hint="eastAsia" w:ascii="Times New Roman" w:hAnsi="Times New Roman" w:eastAsia="方正仿宋_GBK" w:cs="方正仿宋_GBK"/>
          <w:b w:val="0"/>
          <w:bCs w:val="0"/>
          <w:color w:val="auto"/>
          <w:sz w:val="32"/>
          <w:szCs w:val="32"/>
          <w:highlight w:val="none"/>
          <w:u w:val="none" w:color="auto"/>
          <w:lang w:eastAsia="zh-CN"/>
        </w:rPr>
        <w:t>、惠民</w:t>
      </w:r>
      <w:r>
        <w:rPr>
          <w:rFonts w:hint="eastAsia" w:ascii="Times New Roman" w:hAnsi="Times New Roman" w:eastAsia="方正仿宋_GBK" w:cs="方正仿宋_GBK"/>
          <w:b w:val="0"/>
          <w:bCs w:val="0"/>
          <w:color w:val="auto"/>
          <w:sz w:val="32"/>
          <w:szCs w:val="32"/>
          <w:highlight w:val="none"/>
          <w:u w:val="none" w:color="auto"/>
          <w:lang w:val="en-US" w:eastAsia="zh-CN"/>
        </w:rPr>
        <w:t>强企</w:t>
      </w:r>
      <w:r>
        <w:rPr>
          <w:rFonts w:hint="eastAsia" w:ascii="Times New Roman" w:hAnsi="Times New Roman" w:eastAsia="方正仿宋_GBK" w:cs="方正仿宋_GBK"/>
          <w:b w:val="0"/>
          <w:bCs w:val="0"/>
          <w:color w:val="auto"/>
          <w:sz w:val="32"/>
          <w:szCs w:val="32"/>
          <w:highlight w:val="none"/>
          <w:u w:val="none" w:color="auto"/>
          <w:lang w:eastAsia="zh-CN"/>
        </w:rPr>
        <w:t>工作导向，锚定目标不动摇、主动作为不懈怠、迎难而上不退缩，全力推动经济持续回升向好，确保完成全年主要目标任务。</w:t>
      </w:r>
    </w:p>
    <w:p w14:paraId="6104148F">
      <w:pPr>
        <w:pStyle w:val="22"/>
        <w:keepNext w:val="0"/>
        <w:keepLines w:val="0"/>
        <w:pageBreakBefore w:val="0"/>
        <w:kinsoku/>
        <w:wordWrap/>
        <w:overflowPunct/>
        <w:topLinePunct w:val="0"/>
        <w:autoSpaceDE/>
        <w:autoSpaceDN/>
        <w:bidi w:val="0"/>
        <w:adjustRightInd/>
        <w:snapToGrid/>
        <w:spacing w:line="578" w:lineRule="exact"/>
        <w:ind w:left="0" w:firstLine="640"/>
        <w:rPr>
          <w:rFonts w:hint="eastAsia" w:ascii="Times New Roman" w:hAnsi="Times New Roman" w:eastAsia="方正楷体_GBK" w:cs="方正楷体_GBK"/>
          <w:b w:val="0"/>
          <w:bCs w:val="0"/>
          <w:sz w:val="32"/>
          <w:szCs w:val="32"/>
          <w:highlight w:val="none"/>
          <w:u w:val="none" w:color="auto"/>
          <w:lang w:val="en-US" w:eastAsia="zh-CN"/>
        </w:rPr>
      </w:pPr>
      <w:r>
        <w:rPr>
          <w:rFonts w:hint="eastAsia" w:ascii="Times New Roman" w:hAnsi="Times New Roman" w:eastAsia="方正楷体_GBK" w:cs="方正楷体_GBK"/>
          <w:b w:val="0"/>
          <w:bCs w:val="0"/>
          <w:sz w:val="32"/>
          <w:szCs w:val="32"/>
          <w:highlight w:val="none"/>
          <w:u w:val="none" w:color="auto"/>
          <w:lang w:val="en-US" w:eastAsia="zh-CN"/>
        </w:rPr>
        <w:t>（一）加快形成高质量发展新格局，在建设西部地区高质量发展先行区上勇挑重担、走在前列。</w:t>
      </w:r>
    </w:p>
    <w:p w14:paraId="6374356D">
      <w:pPr>
        <w:pStyle w:val="22"/>
        <w:keepNext w:val="0"/>
        <w:keepLines w:val="0"/>
        <w:pageBreakBefore w:val="0"/>
        <w:kinsoku/>
        <w:wordWrap/>
        <w:overflowPunct/>
        <w:topLinePunct w:val="0"/>
        <w:autoSpaceDE/>
        <w:autoSpaceDN/>
        <w:bidi w:val="0"/>
        <w:adjustRightInd/>
        <w:snapToGrid/>
        <w:spacing w:line="578" w:lineRule="exact"/>
        <w:ind w:left="0" w:firstLine="640"/>
        <w:rPr>
          <w:rFonts w:hint="eastAsia" w:ascii="Times New Roman" w:hAnsi="Times New Roman" w:eastAsia="方正仿宋_GBK"/>
          <w:b w:val="0"/>
          <w:bCs w:val="0"/>
          <w:sz w:val="32"/>
          <w:szCs w:val="32"/>
          <w:highlight w:val="none"/>
          <w:u w:val="none" w:color="auto"/>
          <w:lang w:val="en-US" w:eastAsia="zh-CN"/>
        </w:rPr>
      </w:pPr>
      <w:r>
        <w:rPr>
          <w:rFonts w:hint="eastAsia" w:ascii="Times New Roman" w:hAnsi="Times New Roman" w:eastAsia="方正仿宋_GBK" w:cs="Times New Roman"/>
          <w:b/>
          <w:bCs/>
          <w:sz w:val="32"/>
          <w:szCs w:val="32"/>
          <w:highlight w:val="none"/>
          <w:u w:val="none" w:color="auto"/>
          <w:lang w:val="en-US" w:eastAsia="zh-CN"/>
        </w:rPr>
        <w:t>一是推动成渝地区双城经济圈建设走深走实。</w:t>
      </w:r>
      <w:r>
        <w:rPr>
          <w:rFonts w:hint="eastAsia" w:ascii="Times New Roman" w:hAnsi="Times New Roman" w:eastAsia="方正仿宋_GBK"/>
          <w:b w:val="0"/>
          <w:bCs w:val="0"/>
          <w:sz w:val="32"/>
          <w:szCs w:val="32"/>
          <w:highlight w:val="none"/>
          <w:u w:val="none" w:color="auto"/>
          <w:lang w:val="en-US" w:eastAsia="zh-CN"/>
        </w:rPr>
        <w:t>加快“双圈”重大项目建设，向阳水库、建全抽水蓄能电站等2个项目力争超额完成年度计划投资的15%，开园普安恐龙化石遗址馆，中国复眼二期进行观测实验。强化与“双核”平台联动，持续加强与金堂交流合作，深化文旅体融合发展、远程异地评标等领域交流合作成果；提质增效渝北云阳对口协同，“渝北云阳对口协同产业园”入驻企业累计达到</w:t>
      </w:r>
      <w:r>
        <w:rPr>
          <w:rFonts w:hint="eastAsia" w:ascii="Times New Roman" w:hAnsi="Times New Roman" w:eastAsia="方正仿宋_GBK"/>
          <w:b w:val="0"/>
          <w:bCs w:val="0"/>
          <w:sz w:val="32"/>
          <w:szCs w:val="32"/>
          <w:highlight w:val="none"/>
          <w:u w:val="none" w:color="auto"/>
          <w:lang w:val="en-US" w:eastAsia="zh-CN"/>
        </w:rPr>
        <w:t>9家、年产值突破4亿元</w:t>
      </w:r>
      <w:r>
        <w:rPr>
          <w:rFonts w:hint="eastAsia" w:ascii="Times New Roman" w:hAnsi="Times New Roman" w:eastAsia="方正仿宋_GBK"/>
          <w:b w:val="0"/>
          <w:bCs w:val="0"/>
          <w:sz w:val="32"/>
          <w:szCs w:val="32"/>
          <w:highlight w:val="none"/>
          <w:u w:val="none" w:color="auto"/>
          <w:lang w:val="en-US" w:eastAsia="zh-CN"/>
        </w:rPr>
        <w:t>。强化与“万达开”平台联动，合力实施“延伸拓展川渝东北地区对外大通道”等20项重点任务，举办大数据产业链招商引资专题推介会，成立“万达开云”数字经济产业联盟。</w:t>
      </w:r>
      <w:r>
        <w:rPr>
          <w:rFonts w:hint="eastAsia" w:ascii="Times New Roman" w:hAnsi="Times New Roman" w:eastAsia="方正仿宋_GBK"/>
          <w:sz w:val="32"/>
          <w:szCs w:val="32"/>
          <w:highlight w:val="none"/>
          <w:u w:val="none" w:color="auto"/>
        </w:rPr>
        <w:t>加快小江青科城建设进程，以共建“万达开”协同创新示范区为契机，</w:t>
      </w:r>
      <w:r>
        <w:rPr>
          <w:rFonts w:hint="eastAsia" w:ascii="Times New Roman" w:hAnsi="Times New Roman" w:eastAsia="方正仿宋_GBK"/>
          <w:sz w:val="32"/>
          <w:szCs w:val="32"/>
          <w:highlight w:val="none"/>
          <w:u w:val="none" w:color="auto"/>
          <w:lang w:eastAsia="zh-CN"/>
        </w:rPr>
        <w:t>加快</w:t>
      </w:r>
      <w:r>
        <w:rPr>
          <w:rFonts w:hint="eastAsia" w:ascii="Times New Roman" w:hAnsi="Times New Roman" w:eastAsia="方正仿宋_GBK"/>
          <w:sz w:val="32"/>
          <w:szCs w:val="32"/>
          <w:highlight w:val="none"/>
          <w:u w:val="none" w:color="auto"/>
        </w:rPr>
        <w:t>打造政策共通、资源共享、产业共育的“万达开云”科创走廊。</w:t>
      </w:r>
    </w:p>
    <w:p w14:paraId="13E98ADA">
      <w:pPr>
        <w:pStyle w:val="22"/>
        <w:keepNext w:val="0"/>
        <w:keepLines w:val="0"/>
        <w:pageBreakBefore w:val="0"/>
        <w:kinsoku/>
        <w:wordWrap/>
        <w:overflowPunct/>
        <w:topLinePunct w:val="0"/>
        <w:autoSpaceDE/>
        <w:autoSpaceDN/>
        <w:bidi w:val="0"/>
        <w:adjustRightInd/>
        <w:snapToGrid/>
        <w:spacing w:line="578" w:lineRule="exact"/>
        <w:ind w:left="0" w:firstLine="640"/>
        <w:rPr>
          <w:rFonts w:hint="eastAsia" w:ascii="Times New Roman" w:hAnsi="Times New Roman" w:eastAsia="方正仿宋_GBK"/>
          <w:b w:val="0"/>
          <w:bCs w:val="0"/>
          <w:sz w:val="32"/>
          <w:szCs w:val="32"/>
          <w:highlight w:val="none"/>
          <w:u w:val="none" w:color="auto"/>
          <w:lang w:val="en-US" w:eastAsia="zh-CN"/>
        </w:rPr>
      </w:pPr>
      <w:r>
        <w:rPr>
          <w:rFonts w:hint="eastAsia" w:ascii="Times New Roman" w:hAnsi="Times New Roman" w:eastAsia="方正仿宋_GBK"/>
          <w:b/>
          <w:bCs/>
          <w:sz w:val="32"/>
          <w:szCs w:val="32"/>
          <w:highlight w:val="none"/>
          <w:u w:val="none" w:color="auto"/>
          <w:lang w:val="en-US" w:eastAsia="zh-CN"/>
        </w:rPr>
        <w:t>二是以科技创新引领现代化产业体系。推动工业提速发展。</w:t>
      </w:r>
      <w:r>
        <w:rPr>
          <w:rFonts w:hint="eastAsia" w:ascii="Times New Roman" w:hAnsi="Times New Roman" w:eastAsia="方正仿宋_GBK"/>
          <w:b w:val="0"/>
          <w:bCs w:val="0"/>
          <w:sz w:val="32"/>
          <w:szCs w:val="32"/>
          <w:highlight w:val="none"/>
          <w:u w:val="none" w:color="auto"/>
          <w:lang w:val="en-US" w:eastAsia="zh-CN"/>
        </w:rPr>
        <w:t>落实“百个重点工业项目”调度机制，推动全年实现高阳光伏、</w:t>
      </w:r>
      <w:r>
        <w:rPr>
          <w:rFonts w:hint="eastAsia" w:ascii="Times New Roman" w:hAnsi="Times New Roman" w:eastAsia="方正仿宋_GBK"/>
          <w:b w:val="0"/>
          <w:bCs w:val="0"/>
          <w:sz w:val="32"/>
          <w:szCs w:val="32"/>
          <w:highlight w:val="none"/>
          <w:u w:val="none" w:color="auto"/>
          <w:lang w:val="en-US" w:eastAsia="zh-CN"/>
        </w:rPr>
        <w:t>宏琪花椒加工、中澳高新建材等19个项目开工，“芸阳徐艾”数智工厂、光电产品制造等20个项目</w:t>
      </w:r>
      <w:r>
        <w:rPr>
          <w:rFonts w:hint="eastAsia" w:ascii="Times New Roman" w:hAnsi="Times New Roman" w:eastAsia="方正仿宋_GBK" w:cs="Times New Roman"/>
          <w:color w:val="auto"/>
          <w:sz w:val="32"/>
          <w:szCs w:val="32"/>
          <w:highlight w:val="none"/>
          <w:u w:val="none" w:color="auto"/>
        </w:rPr>
        <w:t>投产</w:t>
      </w:r>
      <w:r>
        <w:rPr>
          <w:rFonts w:hint="eastAsia" w:ascii="Times New Roman" w:hAnsi="Times New Roman" w:eastAsia="方正仿宋_GBK" w:cs="Times New Roman"/>
          <w:color w:val="auto"/>
          <w:sz w:val="32"/>
          <w:szCs w:val="32"/>
          <w:highlight w:val="none"/>
          <w:u w:val="none" w:color="auto"/>
          <w:lang w:eastAsia="zh-CN"/>
        </w:rPr>
        <w:t>，万力中药饮片、金莱博产能进一步释放，力争全年</w:t>
      </w:r>
      <w:r>
        <w:rPr>
          <w:rFonts w:hint="eastAsia" w:ascii="Times New Roman" w:hAnsi="Times New Roman" w:eastAsia="方正仿宋_GBK" w:cs="Times New Roman"/>
          <w:color w:val="auto"/>
          <w:sz w:val="32"/>
          <w:szCs w:val="32"/>
          <w:highlight w:val="none"/>
          <w:u w:val="none" w:color="auto"/>
          <w:lang w:val="en-US" w:eastAsia="zh-CN"/>
        </w:rPr>
        <w:t>规上工业增加值增长10%</w:t>
      </w:r>
      <w:r>
        <w:rPr>
          <w:rFonts w:hint="eastAsia" w:ascii="Times New Roman" w:hAnsi="Times New Roman" w:eastAsia="方正仿宋_GBK" w:cs="Times New Roman"/>
          <w:color w:val="auto"/>
          <w:sz w:val="32"/>
          <w:szCs w:val="32"/>
          <w:highlight w:val="none"/>
          <w:u w:val="none" w:color="auto"/>
          <w:lang w:eastAsia="zh-CN"/>
        </w:rPr>
        <w:t>。</w:t>
      </w:r>
      <w:r>
        <w:rPr>
          <w:rFonts w:hint="eastAsia" w:ascii="Times New Roman" w:hAnsi="Times New Roman" w:eastAsia="方正仿宋_GBK"/>
          <w:b w:val="0"/>
          <w:bCs w:val="0"/>
          <w:sz w:val="32"/>
          <w:szCs w:val="32"/>
          <w:highlight w:val="none"/>
          <w:u w:val="none" w:color="auto"/>
          <w:lang w:val="en-US" w:eastAsia="zh-CN"/>
        </w:rPr>
        <w:t>落实高新技术企业和科技型企业“双倍增”行动计划，力争全年新增国家高新技术企业7家、市级科技型企业60家以上。加强科技成果转化，推动落地北京理工大学重庆云阳研究所、浙江金田高分子材料研究院西南分院（云阳中试基地），深化西南大学、重庆邮电大学等院校、院所“产学研”协同，全年</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促成校（院）企合作项目10个以上。推动工业园区高质量发展，</w:t>
      </w:r>
      <w:r>
        <w:rPr>
          <w:rFonts w:hint="eastAsia" w:ascii="Times New Roman" w:hAnsi="Times New Roman" w:eastAsia="方正仿宋_GBK" w:cs="方正仿宋_GBK"/>
          <w:color w:val="000000" w:themeColor="text1"/>
          <w:sz w:val="32"/>
          <w:szCs w:val="32"/>
          <w:highlight w:val="none"/>
          <w:u w:val="none" w:color="auto"/>
          <w14:textFill>
            <w14:solidFill>
              <w14:schemeClr w14:val="tx1"/>
            </w14:solidFill>
          </w14:textFill>
        </w:rPr>
        <w:t>持续推进工业园区“满园行动”，依法依规推进“僵尸”企业处置</w:t>
      </w:r>
      <w:r>
        <w:rPr>
          <w:rFonts w:hint="eastAsia" w:ascii="Times New Roman" w:hAnsi="Times New Roman" w:eastAsia="方正仿宋_GBK" w:cs="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u w:val="none" w:color="auto"/>
          <w:lang w:val="en-US" w:eastAsia="zh-CN"/>
          <w14:textFill>
            <w14:solidFill>
              <w14:schemeClr w14:val="tx1"/>
            </w14:solidFill>
          </w14:textFill>
        </w:rPr>
        <w:t>推动园区基础设施配套建设，新增黄岭产业园等标准厂房10万平方米、入驻率达90%以上。</w:t>
      </w:r>
      <w:r>
        <w:rPr>
          <w:rFonts w:hint="eastAsia" w:ascii="Times New Roman" w:hAnsi="Times New Roman" w:eastAsia="方正仿宋_GBK"/>
          <w:b/>
          <w:bCs/>
          <w:sz w:val="32"/>
          <w:szCs w:val="32"/>
          <w:highlight w:val="none"/>
          <w:u w:val="none" w:color="auto"/>
          <w:lang w:val="en-US" w:eastAsia="zh-CN"/>
        </w:rPr>
        <w:t>推动农业稳步增长。</w:t>
      </w:r>
      <w:r>
        <w:rPr>
          <w:rFonts w:hint="eastAsia" w:ascii="Times New Roman" w:hAnsi="Times New Roman" w:eastAsia="方正仿宋_GBK"/>
          <w:b w:val="0"/>
          <w:bCs w:val="0"/>
          <w:sz w:val="32"/>
          <w:szCs w:val="32"/>
          <w:highlight w:val="none"/>
          <w:u w:val="none" w:color="auto"/>
          <w:lang w:val="en-US" w:eastAsia="zh-CN"/>
        </w:rPr>
        <w:t>高质量完成年度高标准农田建设和撂荒地整治任务，深入开展主要粮油作物大面积单产提</w:t>
      </w:r>
      <w:r>
        <w:rPr>
          <w:rFonts w:hint="eastAsia" w:ascii="Times New Roman" w:hAnsi="Times New Roman" w:eastAsia="方正仿宋_GBK"/>
          <w:b w:val="0"/>
          <w:bCs w:val="0"/>
          <w:sz w:val="32"/>
          <w:szCs w:val="32"/>
          <w:highlight w:val="none"/>
          <w:u w:val="none" w:color="auto"/>
          <w:lang w:val="en-US" w:eastAsia="zh-CN"/>
        </w:rPr>
        <w:t>升行动，</w:t>
      </w:r>
      <w:r>
        <w:rPr>
          <w:rFonts w:hint="eastAsia" w:ascii="Times New Roman" w:hAnsi="Times New Roman" w:eastAsia="方正仿宋_GBK" w:cs="Times New Roman"/>
          <w:kern w:val="0"/>
          <w:sz w:val="32"/>
          <w:szCs w:val="32"/>
          <w:highlight w:val="none"/>
          <w:u w:val="none" w:color="auto"/>
          <w14:ligatures w14:val="none"/>
        </w:rPr>
        <w:t>打造30个规模化种植示范片</w:t>
      </w:r>
      <w:r>
        <w:rPr>
          <w:rFonts w:hint="eastAsia" w:ascii="Times New Roman" w:hAnsi="Times New Roman" w:eastAsia="方正仿宋_GBK" w:cs="Times New Roman"/>
          <w:kern w:val="0"/>
          <w:sz w:val="32"/>
          <w:szCs w:val="32"/>
          <w:highlight w:val="none"/>
          <w:u w:val="none" w:color="auto"/>
          <w:lang w:eastAsia="zh-CN"/>
          <w14:ligatures w14:val="none"/>
        </w:rPr>
        <w:t>，</w:t>
      </w:r>
      <w:r>
        <w:rPr>
          <w:rFonts w:hint="eastAsia" w:ascii="Times New Roman" w:hAnsi="Times New Roman" w:eastAsia="方正仿宋_GBK" w:cs="Times New Roman"/>
          <w:kern w:val="0"/>
          <w:sz w:val="32"/>
          <w:szCs w:val="32"/>
          <w:highlight w:val="none"/>
          <w:u w:val="none" w:color="auto"/>
          <w14:ligatures w14:val="none"/>
        </w:rPr>
        <w:t>新建区域性为农户服务中心3个</w:t>
      </w:r>
      <w:r>
        <w:rPr>
          <w:rFonts w:hint="eastAsia" w:ascii="Times New Roman" w:hAnsi="Times New Roman" w:eastAsia="方正仿宋_GBK" w:cs="Times New Roman"/>
          <w:kern w:val="0"/>
          <w:sz w:val="32"/>
          <w:szCs w:val="32"/>
          <w:highlight w:val="none"/>
          <w:u w:val="none" w:color="auto"/>
          <w:lang w:eastAsia="zh-CN"/>
          <w14:ligatures w14:val="none"/>
        </w:rPr>
        <w:t>，</w:t>
      </w:r>
      <w:r>
        <w:rPr>
          <w:rFonts w:hint="eastAsia" w:ascii="Times New Roman" w:hAnsi="Times New Roman" w:eastAsia="方正仿宋_GBK" w:cs="Times New Roman"/>
          <w:kern w:val="0"/>
          <w:sz w:val="32"/>
          <w:szCs w:val="32"/>
          <w:highlight w:val="none"/>
          <w:u w:val="none" w:color="auto"/>
          <w14:ligatures w14:val="none"/>
        </w:rPr>
        <w:t>全年开展农业社会化服务50万亩次</w:t>
      </w:r>
      <w:r>
        <w:rPr>
          <w:rFonts w:hint="eastAsia" w:ascii="Times New Roman" w:hAnsi="Times New Roman" w:eastAsia="方正仿宋_GBK" w:cs="Times New Roman"/>
          <w:kern w:val="0"/>
          <w:sz w:val="32"/>
          <w:szCs w:val="32"/>
          <w:highlight w:val="none"/>
          <w:u w:val="none" w:color="auto"/>
          <w:lang w:eastAsia="zh-CN"/>
          <w14:ligatures w14:val="none"/>
        </w:rPr>
        <w:t>，</w:t>
      </w:r>
      <w:r>
        <w:rPr>
          <w:rFonts w:hint="eastAsia" w:ascii="Times New Roman" w:hAnsi="Times New Roman" w:eastAsia="方正仿宋_GBK"/>
          <w:b w:val="0"/>
          <w:bCs w:val="0"/>
          <w:sz w:val="32"/>
          <w:szCs w:val="32"/>
          <w:highlight w:val="none"/>
          <w:u w:val="none" w:color="auto"/>
          <w:lang w:val="en-US" w:eastAsia="zh-CN"/>
        </w:rPr>
        <w:t>实现耕地保有量目标完成率100%，确保年度“粮食产量稳定度”考核保A档。发展“一主两辅”生态特色产业，稳定柑橘、中药材</w:t>
      </w:r>
      <w:r>
        <w:rPr>
          <w:rFonts w:hint="eastAsia" w:ascii="Times New Roman" w:hAnsi="Times New Roman" w:eastAsia="方正仿宋_GBK"/>
          <w:b w:val="0"/>
          <w:bCs w:val="0"/>
          <w:sz w:val="32"/>
          <w:szCs w:val="32"/>
          <w:highlight w:val="none"/>
          <w:u w:val="none" w:color="auto"/>
          <w:lang w:val="en-US" w:eastAsia="zh-CN"/>
        </w:rPr>
        <w:t>种植面积分别达33万亩、13.5万亩，确保生猪出栏97万头、牛羊出栏67万头（只），力争全年农业增加值增长5%以上。用好用活食品及农产品加工“黄金十条”政策，建成投用食品辐照平台和渝东北检验检测平台，打造柑橘、中药材、生猪3条十亿级产业链，打造超千万元“爆品”10款，产业链综合产值达196亿元。</w:t>
      </w:r>
      <w:r>
        <w:rPr>
          <w:rFonts w:hint="eastAsia" w:ascii="Times New Roman" w:hAnsi="Times New Roman" w:eastAsia="方正仿宋_GBK"/>
          <w:b/>
          <w:bCs/>
          <w:sz w:val="32"/>
          <w:szCs w:val="32"/>
          <w:highlight w:val="none"/>
          <w:u w:val="none" w:color="auto"/>
          <w:lang w:val="en-US" w:eastAsia="zh-CN"/>
        </w:rPr>
        <w:t>推动服务业提质增效。</w:t>
      </w:r>
      <w:r>
        <w:rPr>
          <w:rFonts w:hint="eastAsia" w:ascii="Times New Roman" w:hAnsi="Times New Roman" w:eastAsia="方正仿宋_GBK"/>
          <w:b w:val="0"/>
          <w:bCs w:val="0"/>
          <w:sz w:val="32"/>
          <w:szCs w:val="32"/>
          <w:highlight w:val="none"/>
          <w:u w:val="none" w:color="auto"/>
          <w:lang w:val="en-US" w:eastAsia="zh-CN"/>
        </w:rPr>
        <w:t>开展2024秋季汽车展、“爱尚重庆·渝悦消费”绿色智能家电以旧换新惠民消费季、海尔以旧换新消费季等活动，促进消费潜力释放，力争全年社会消费品零售总额增长9%。加快金科三亚湾综合市场、滨江购物公园、阳光沙滩水街、公共保税仓区展示展销等场景打造，推出一批“新潮流打卡地”。以建设一刻钟便民生活圈示范社区为抓手，引导布局“一老一小生活服务便利店”“社区食堂”等便民生活服务业态。实施数字生活新服务行动，推动吃住行游购娱等生活服务业在线化，力争商贸企业和生活服务企业数字化渗透率超过50%。加快创建世界地质公园，推进彭氏宗祠等优质文物景点、云安十里精品水果乡村旅游带等农旅示范区创建3A及以上旅游景区，办好“天生云阳”金秋节、山水铁人多项赛等精品赛事节会，文化旅游产业增加值增长10%以上。</w:t>
      </w:r>
    </w:p>
    <w:p w14:paraId="1EF8CD2D">
      <w:pPr>
        <w:pStyle w:val="22"/>
        <w:keepNext w:val="0"/>
        <w:keepLines w:val="0"/>
        <w:pageBreakBefore w:val="0"/>
        <w:kinsoku/>
        <w:wordWrap/>
        <w:overflowPunct/>
        <w:topLinePunct w:val="0"/>
        <w:autoSpaceDE/>
        <w:autoSpaceDN/>
        <w:bidi w:val="0"/>
        <w:adjustRightInd/>
        <w:snapToGrid/>
        <w:spacing w:line="578" w:lineRule="exact"/>
        <w:ind w:left="0" w:firstLine="640"/>
        <w:rPr>
          <w:rFonts w:hint="eastAsia" w:ascii="Times New Roman" w:hAnsi="Times New Roman" w:eastAsia="方正楷体_GBK" w:cs="方正楷体_GBK"/>
          <w:b w:val="0"/>
          <w:bCs w:val="0"/>
          <w:sz w:val="32"/>
          <w:szCs w:val="32"/>
          <w:highlight w:val="none"/>
          <w:u w:val="none" w:color="auto"/>
          <w:lang w:val="en-US" w:eastAsia="zh-CN"/>
        </w:rPr>
      </w:pPr>
      <w:r>
        <w:rPr>
          <w:rFonts w:hint="eastAsia" w:ascii="Times New Roman" w:hAnsi="Times New Roman" w:eastAsia="方正楷体_GBK" w:cs="方正楷体_GBK"/>
          <w:b w:val="0"/>
          <w:bCs w:val="0"/>
          <w:sz w:val="32"/>
          <w:szCs w:val="32"/>
          <w:highlight w:val="none"/>
          <w:u w:val="none" w:color="auto"/>
          <w:lang w:val="en-US" w:eastAsia="zh-CN"/>
        </w:rPr>
        <w:t>（二）加快打造川渝东北地区东向开放桥头堡，在建设内陆国际开放合作引领区上勇挑重担、走在前列。</w:t>
      </w:r>
    </w:p>
    <w:p w14:paraId="1CB8D285">
      <w:pPr>
        <w:pStyle w:val="22"/>
        <w:keepNext w:val="0"/>
        <w:keepLines w:val="0"/>
        <w:pageBreakBefore w:val="0"/>
        <w:kinsoku/>
        <w:wordWrap/>
        <w:overflowPunct/>
        <w:topLinePunct w:val="0"/>
        <w:autoSpaceDE/>
        <w:autoSpaceDN/>
        <w:bidi w:val="0"/>
        <w:adjustRightInd/>
        <w:snapToGrid/>
        <w:spacing w:line="578" w:lineRule="exact"/>
        <w:ind w:left="0" w:firstLine="640"/>
        <w:rPr>
          <w:rFonts w:hint="eastAsia" w:ascii="Times New Roman" w:hAnsi="Times New Roman" w:eastAsia="方正仿宋_GBK" w:cs="Times New Roman"/>
          <w:b w:val="0"/>
          <w:bCs w:val="0"/>
          <w:sz w:val="32"/>
          <w:szCs w:val="32"/>
          <w:highlight w:val="none"/>
          <w:u w:val="none" w:color="auto"/>
          <w:lang w:val="en-US" w:eastAsia="zh-CN"/>
        </w:rPr>
      </w:pPr>
      <w:r>
        <w:rPr>
          <w:rFonts w:hint="eastAsia" w:ascii="Times New Roman" w:hAnsi="Times New Roman" w:eastAsia="方正仿宋_GBK"/>
          <w:b/>
          <w:bCs/>
          <w:sz w:val="32"/>
          <w:szCs w:val="32"/>
          <w:highlight w:val="none"/>
          <w:u w:val="none" w:color="auto"/>
          <w:lang w:val="en-US" w:eastAsia="zh-CN"/>
        </w:rPr>
        <w:t>一是加强物流网络建设。</w:t>
      </w:r>
      <w:r>
        <w:rPr>
          <w:rFonts w:hint="eastAsia" w:ascii="Times New Roman" w:hAnsi="Times New Roman" w:eastAsia="方正仿宋_GBK"/>
          <w:b w:val="0"/>
          <w:bCs w:val="0"/>
          <w:sz w:val="32"/>
          <w:szCs w:val="32"/>
          <w:highlight w:val="none"/>
          <w:u w:val="none" w:color="auto"/>
          <w:lang w:val="en-US" w:eastAsia="zh-CN"/>
        </w:rPr>
        <w:t>推动交通网络互联互通，加快推进万云奉巫南线高速和江龙高速南延伸段前期工作，力争江龙高速主体完工、巫云开高速建成通车，开展复兴港招商推介，推动</w:t>
      </w:r>
      <w:r>
        <w:rPr>
          <w:rFonts w:hint="eastAsia" w:ascii="Times New Roman" w:hAnsi="Times New Roman" w:eastAsia="方正仿宋_GBK" w:cs="Times New Roman"/>
          <w:b w:val="0"/>
          <w:bCs w:val="0"/>
          <w:sz w:val="32"/>
          <w:szCs w:val="32"/>
          <w:highlight w:val="none"/>
          <w:u w:val="none" w:color="auto"/>
          <w:lang w:val="en-US" w:eastAsia="zh-CN"/>
        </w:rPr>
        <w:t>红龙路建成通车。</w:t>
      </w:r>
      <w:r>
        <w:rPr>
          <w:rFonts w:hint="eastAsia" w:ascii="Times New Roman" w:hAnsi="Times New Roman" w:eastAsia="方正仿宋_GBK"/>
          <w:b w:val="0"/>
          <w:bCs w:val="0"/>
          <w:sz w:val="32"/>
          <w:szCs w:val="32"/>
          <w:highlight w:val="none"/>
          <w:u w:val="none" w:color="auto"/>
          <w:lang w:val="en-US" w:eastAsia="zh-CN"/>
        </w:rPr>
        <w:t>加快推进三峡智慧冷链（国际）物流港、雨睿物流产业园等重点物流项目建设，推进渝东北智慧仓储冷链物流园项目落地。</w:t>
      </w:r>
      <w:r>
        <w:rPr>
          <w:rFonts w:hint="eastAsia" w:ascii="Times New Roman" w:hAnsi="Times New Roman" w:eastAsia="方正仿宋_GBK" w:cs="Times New Roman"/>
          <w:b w:val="0"/>
          <w:bCs w:val="0"/>
          <w:sz w:val="32"/>
          <w:szCs w:val="32"/>
          <w:highlight w:val="none"/>
          <w:u w:val="none" w:color="auto"/>
          <w:lang w:val="en-US" w:eastAsia="zh-CN"/>
        </w:rPr>
        <w:t>全力开展农村三级物流体系建设，积极争取“邮运通”试点，成功创建重庆市“农村三级物流示范县”。</w:t>
      </w:r>
    </w:p>
    <w:p w14:paraId="2450CE83">
      <w:pPr>
        <w:pStyle w:val="22"/>
        <w:keepNext w:val="0"/>
        <w:keepLines w:val="0"/>
        <w:pageBreakBefore w:val="0"/>
        <w:kinsoku/>
        <w:wordWrap/>
        <w:overflowPunct/>
        <w:topLinePunct w:val="0"/>
        <w:autoSpaceDE/>
        <w:autoSpaceDN/>
        <w:bidi w:val="0"/>
        <w:adjustRightInd/>
        <w:snapToGrid/>
        <w:spacing w:line="578" w:lineRule="exact"/>
        <w:ind w:left="0" w:firstLine="640"/>
        <w:rPr>
          <w:rFonts w:hint="eastAsia" w:ascii="Times New Roman" w:hAnsi="Times New Roman" w:eastAsia="方正仿宋_GBK"/>
          <w:b w:val="0"/>
          <w:bCs w:val="0"/>
          <w:sz w:val="32"/>
          <w:szCs w:val="32"/>
          <w:highlight w:val="none"/>
          <w:u w:val="none" w:color="auto"/>
          <w:lang w:val="en-US" w:eastAsia="zh-CN"/>
        </w:rPr>
      </w:pPr>
      <w:r>
        <w:rPr>
          <w:rFonts w:hint="eastAsia" w:ascii="Times New Roman" w:hAnsi="Times New Roman" w:eastAsia="方正仿宋_GBK"/>
          <w:b/>
          <w:bCs/>
          <w:sz w:val="32"/>
          <w:szCs w:val="32"/>
          <w:highlight w:val="none"/>
          <w:u w:val="none" w:color="auto"/>
          <w:lang w:val="en-US" w:eastAsia="zh-CN"/>
        </w:rPr>
        <w:t>二是提升开放平台能级。持续开拓海外市场。</w:t>
      </w:r>
      <w:r>
        <w:rPr>
          <w:rFonts w:hint="eastAsia" w:ascii="Times New Roman" w:hAnsi="Times New Roman" w:eastAsia="方正仿宋_GBK"/>
          <w:b w:val="0"/>
          <w:bCs w:val="0"/>
          <w:sz w:val="32"/>
          <w:szCs w:val="32"/>
          <w:highlight w:val="none"/>
          <w:u w:val="none" w:color="auto"/>
          <w:lang w:val="en-US" w:eastAsia="zh-CN"/>
        </w:rPr>
        <w:t>支持企业拓展以“一带一路”、RCEP 国家为重点的国际市场，组织芸山农业开发有限公司赴马来西亚参加国际农业科技展览会，推动宏霖食品在越南设立分公司。</w:t>
      </w:r>
      <w:r>
        <w:rPr>
          <w:rFonts w:hint="eastAsia" w:ascii="Times New Roman" w:hAnsi="Times New Roman" w:eastAsia="方正仿宋_GBK"/>
          <w:b/>
          <w:bCs/>
          <w:sz w:val="32"/>
          <w:szCs w:val="32"/>
          <w:highlight w:val="none"/>
          <w:u w:val="none" w:color="auto"/>
          <w:lang w:val="en-US" w:eastAsia="zh-CN"/>
        </w:rPr>
        <w:t>完善企业进出口资质。</w:t>
      </w:r>
      <w:r>
        <w:rPr>
          <w:rFonts w:hint="eastAsia" w:ascii="Times New Roman" w:hAnsi="Times New Roman" w:eastAsia="方正仿宋_GBK"/>
          <w:b w:val="0"/>
          <w:bCs w:val="0"/>
          <w:sz w:val="32"/>
          <w:szCs w:val="32"/>
          <w:highlight w:val="none"/>
          <w:u w:val="none" w:color="auto"/>
          <w:lang w:val="en-US" w:eastAsia="zh-CN"/>
        </w:rPr>
        <w:t>持续打造“天生云阳”区域公用品牌，</w:t>
      </w:r>
      <w:r>
        <w:rPr>
          <w:rFonts w:hint="eastAsia" w:ascii="Times New Roman" w:hAnsi="Times New Roman" w:eastAsia="方正仿宋_GBK"/>
          <w:b w:val="0"/>
          <w:bCs w:val="0"/>
          <w:sz w:val="32"/>
          <w:szCs w:val="32"/>
          <w:highlight w:val="none"/>
          <w:u w:val="none" w:color="auto"/>
          <w:lang w:val="en-US" w:eastAsia="zh-CN"/>
        </w:rPr>
        <w:t>建立三峡库区特色农产品质量控制信用评价体系，</w:t>
      </w:r>
      <w:r>
        <w:rPr>
          <w:rFonts w:hint="eastAsia" w:ascii="Times New Roman" w:hAnsi="Times New Roman" w:eastAsia="方正仿宋_GBK"/>
          <w:b w:val="0"/>
          <w:bCs w:val="0"/>
          <w:sz w:val="32"/>
          <w:szCs w:val="32"/>
          <w:highlight w:val="none"/>
          <w:u w:val="none" w:color="auto"/>
          <w:lang w:val="en-US" w:eastAsia="zh-CN"/>
        </w:rPr>
        <w:t>支持创建一批GAP认证基地和出口备案基地。推动渝路粉条完善进出口资质，做好故陵镇、耀灵镇、南溪镇等7个乡镇的柑橘基地海关备案。加快落实印尼SAK西南分公司采购宏霖食品出口至印度尼西亚相关手续。力争全年进出口总值达到4亿元，实际使用外资增长10%以上。</w:t>
      </w:r>
    </w:p>
    <w:p w14:paraId="7A3235DC">
      <w:pPr>
        <w:pStyle w:val="22"/>
        <w:keepNext w:val="0"/>
        <w:keepLines w:val="0"/>
        <w:pageBreakBefore w:val="0"/>
        <w:kinsoku/>
        <w:wordWrap/>
        <w:overflowPunct/>
        <w:topLinePunct w:val="0"/>
        <w:autoSpaceDE/>
        <w:autoSpaceDN/>
        <w:bidi w:val="0"/>
        <w:adjustRightInd/>
        <w:snapToGrid/>
        <w:spacing w:line="578" w:lineRule="exact"/>
        <w:ind w:left="0" w:firstLine="640"/>
        <w:rPr>
          <w:rFonts w:hint="eastAsia" w:ascii="Times New Roman" w:hAnsi="Times New Roman" w:eastAsia="方正楷体_GBK" w:cs="方正楷体_GBK"/>
          <w:b w:val="0"/>
          <w:bCs w:val="0"/>
          <w:sz w:val="32"/>
          <w:szCs w:val="32"/>
          <w:highlight w:val="none"/>
          <w:u w:val="none" w:color="auto"/>
          <w:lang w:val="en-US" w:eastAsia="zh-CN"/>
        </w:rPr>
      </w:pPr>
      <w:r>
        <w:rPr>
          <w:rFonts w:hint="eastAsia" w:ascii="Times New Roman" w:hAnsi="Times New Roman" w:eastAsia="方正楷体_GBK" w:cs="方正楷体_GBK"/>
          <w:b w:val="0"/>
          <w:bCs w:val="0"/>
          <w:sz w:val="32"/>
          <w:szCs w:val="32"/>
          <w:highlight w:val="none"/>
          <w:u w:val="none" w:color="auto"/>
          <w:lang w:val="en-US" w:eastAsia="zh-CN"/>
        </w:rPr>
        <w:t>（三）加快建设数字重庆，在建设全面深化改革先行区上勇挑重担、走在前列。</w:t>
      </w:r>
    </w:p>
    <w:p w14:paraId="1A151A76">
      <w:pPr>
        <w:pStyle w:val="22"/>
        <w:keepNext w:val="0"/>
        <w:keepLines w:val="0"/>
        <w:pageBreakBefore w:val="0"/>
        <w:kinsoku/>
        <w:wordWrap/>
        <w:overflowPunct/>
        <w:topLinePunct w:val="0"/>
        <w:autoSpaceDE/>
        <w:autoSpaceDN/>
        <w:bidi w:val="0"/>
        <w:adjustRightInd/>
        <w:snapToGrid/>
        <w:spacing w:line="578" w:lineRule="exact"/>
        <w:ind w:left="0" w:firstLine="640"/>
        <w:rPr>
          <w:rFonts w:hint="eastAsia" w:ascii="Times New Roman" w:hAnsi="Times New Roman" w:eastAsia="方正仿宋_GBK"/>
          <w:b/>
          <w:bCs/>
          <w:sz w:val="32"/>
          <w:szCs w:val="32"/>
          <w:highlight w:val="none"/>
          <w:u w:val="none" w:color="auto"/>
          <w:lang w:val="en-US" w:eastAsia="zh-CN"/>
        </w:rPr>
      </w:pPr>
      <w:r>
        <w:rPr>
          <w:rFonts w:hint="eastAsia" w:ascii="Times New Roman" w:hAnsi="Times New Roman" w:eastAsia="方正仿宋_GBK"/>
          <w:b/>
          <w:bCs/>
          <w:sz w:val="32"/>
          <w:szCs w:val="32"/>
          <w:highlight w:val="none"/>
          <w:u w:val="none" w:color="auto"/>
          <w:lang w:val="en-US" w:eastAsia="zh-CN"/>
        </w:rPr>
        <w:t>一是持续推动数字重庆建设。</w:t>
      </w:r>
      <w:r>
        <w:rPr>
          <w:rFonts w:hint="default" w:ascii="Times New Roman" w:hAnsi="Times New Roman" w:eastAsia="方正仿宋_GBK" w:cs="方正仿宋_GBK"/>
          <w:sz w:val="32"/>
          <w:szCs w:val="32"/>
          <w:highlight w:val="none"/>
          <w:u w:val="none" w:color="auto"/>
          <w:lang w:val="en-US" w:eastAsia="zh-CN"/>
        </w:rPr>
        <w:t>围绕城运中心实战时效支撑，</w:t>
      </w:r>
      <w:r>
        <w:rPr>
          <w:rFonts w:hint="eastAsia" w:ascii="Times New Roman" w:hAnsi="Times New Roman" w:eastAsia="方正仿宋_GBK" w:cs="方正仿宋_GBK"/>
          <w:sz w:val="32"/>
          <w:szCs w:val="32"/>
          <w:highlight w:val="none"/>
          <w:u w:val="none" w:color="auto"/>
          <w:lang w:val="en-US" w:eastAsia="zh-CN"/>
        </w:rPr>
        <w:t>持续推进平台贯通、数据贯通、应用贯通、体制机制贯通，提升</w:t>
      </w:r>
      <w:r>
        <w:rPr>
          <w:rFonts w:hint="default" w:ascii="Times New Roman" w:hAnsi="Times New Roman" w:eastAsia="方正仿宋_GBK" w:cs="Times New Roman"/>
          <w:sz w:val="32"/>
          <w:szCs w:val="32"/>
          <w:highlight w:val="none"/>
          <w:u w:val="none" w:color="auto"/>
          <w:lang w:val="en-US" w:eastAsia="zh-CN"/>
        </w:rPr>
        <w:t>7</w:t>
      </w:r>
      <w:r>
        <w:rPr>
          <w:rFonts w:hint="eastAsia" w:ascii="Times New Roman" w:hAnsi="Times New Roman" w:eastAsia="方正仿宋_GBK" w:cs="方正仿宋_GBK"/>
          <w:sz w:val="32"/>
          <w:szCs w:val="32"/>
          <w:highlight w:val="none"/>
          <w:u w:val="none" w:color="auto"/>
          <w:lang w:val="en-US" w:eastAsia="zh-CN"/>
        </w:rPr>
        <w:t>大板块实战能力，加快“云之眼”项目建设，着力打造标志性的任务和成果。</w:t>
      </w:r>
      <w:r>
        <w:rPr>
          <w:rFonts w:hint="default" w:ascii="Times New Roman" w:hAnsi="Times New Roman" w:eastAsia="方正仿宋_GBK" w:cs="方正仿宋_GBK"/>
          <w:sz w:val="32"/>
          <w:szCs w:val="32"/>
          <w:highlight w:val="none"/>
          <w:u w:val="none" w:color="auto"/>
          <w:lang w:val="en-US" w:eastAsia="zh-CN"/>
        </w:rPr>
        <w:t>围绕特色应用打造，</w:t>
      </w:r>
      <w:r>
        <w:rPr>
          <w:rFonts w:hint="eastAsia" w:ascii="Times New Roman" w:hAnsi="Times New Roman" w:eastAsia="方正仿宋_GBK" w:cs="方正仿宋_GBK"/>
          <w:sz w:val="32"/>
          <w:szCs w:val="32"/>
          <w:highlight w:val="none"/>
          <w:u w:val="none" w:color="auto"/>
          <w:lang w:val="en-US" w:eastAsia="zh-CN"/>
        </w:rPr>
        <w:t>持续完善“云智办”应用场景功能，推动政务服务高频事项智能配置、智能办理、智能审核。</w:t>
      </w:r>
      <w:r>
        <w:rPr>
          <w:rFonts w:hint="eastAsia" w:ascii="Times New Roman" w:hAnsi="Times New Roman" w:eastAsia="方正仿宋_GBK" w:cs="方正仿宋_GBK"/>
          <w:highlight w:val="none"/>
          <w:u w:val="none" w:color="auto"/>
          <w:lang w:val="en-US" w:eastAsia="zh-CN"/>
        </w:rPr>
        <w:t>迭代升级云上营商数字化治理平台，全年创新推出数字业务场景10个以上，持续创建营商环境标杆城市。</w:t>
      </w:r>
      <w:r>
        <w:rPr>
          <w:rFonts w:hint="eastAsia" w:ascii="Times New Roman" w:hAnsi="Times New Roman" w:eastAsia="方正仿宋_GBK"/>
          <w:b w:val="0"/>
          <w:bCs w:val="0"/>
          <w:sz w:val="32"/>
          <w:szCs w:val="32"/>
          <w:highlight w:val="none"/>
          <w:u w:val="none" w:color="auto"/>
          <w:lang w:val="en-US" w:eastAsia="zh-CN"/>
        </w:rPr>
        <w:t>积极推进“信用助农”场景打造，确保试点取得实效。强化信用赋能，推进企业信用评价及应用，打造“信用园区”场景应用，助力企业诚信经营、健康发展。大力推广实施信易贷，推进“三农”信用体系建设。</w:t>
      </w:r>
    </w:p>
    <w:p w14:paraId="30920795">
      <w:pPr>
        <w:pStyle w:val="22"/>
        <w:keepNext w:val="0"/>
        <w:keepLines w:val="0"/>
        <w:pageBreakBefore w:val="0"/>
        <w:kinsoku/>
        <w:wordWrap/>
        <w:overflowPunct/>
        <w:topLinePunct w:val="0"/>
        <w:autoSpaceDE/>
        <w:autoSpaceDN/>
        <w:bidi w:val="0"/>
        <w:adjustRightInd/>
        <w:snapToGrid/>
        <w:spacing w:line="578" w:lineRule="exact"/>
        <w:ind w:left="0" w:firstLine="640"/>
        <w:rPr>
          <w:rFonts w:hint="eastAsia" w:ascii="Times New Roman" w:hAnsi="Times New Roman" w:eastAsia="方正仿宋_GBK"/>
          <w:b w:val="0"/>
          <w:bCs w:val="0"/>
          <w:sz w:val="32"/>
          <w:szCs w:val="32"/>
          <w:highlight w:val="none"/>
          <w:u w:val="none" w:color="auto"/>
          <w:lang w:val="en-US" w:eastAsia="zh-CN"/>
        </w:rPr>
      </w:pPr>
      <w:r>
        <w:rPr>
          <w:rFonts w:hint="eastAsia" w:ascii="Times New Roman" w:hAnsi="Times New Roman" w:eastAsia="方正仿宋_GBK"/>
          <w:b/>
          <w:bCs/>
          <w:sz w:val="32"/>
          <w:szCs w:val="32"/>
          <w:highlight w:val="none"/>
          <w:u w:val="none" w:color="auto"/>
          <w:lang w:val="en-US" w:eastAsia="zh-CN"/>
        </w:rPr>
        <w:t>二是深化拓展“三攻坚一盘活”改革。</w:t>
      </w:r>
      <w:r>
        <w:rPr>
          <w:rFonts w:hint="eastAsia" w:ascii="Times New Roman" w:hAnsi="Times New Roman" w:eastAsia="方正仿宋_GBK"/>
          <w:color w:val="auto"/>
          <w:sz w:val="32"/>
          <w:szCs w:val="32"/>
          <w:highlight w:val="none"/>
          <w:u w:val="none" w:color="auto"/>
          <w:lang w:val="en-US" w:eastAsia="zh-CN"/>
        </w:rPr>
        <w:t>推进国企改革攻坚，加快专业化重组整合，提高法人注销、吸收合并、股权出让等事项的时效，</w:t>
      </w:r>
      <w:r>
        <w:rPr>
          <w:rFonts w:hint="eastAsia" w:ascii="Times New Roman" w:hAnsi="Times New Roman" w:eastAsia="方正仿宋_GBK"/>
          <w:b w:val="0"/>
          <w:bCs w:val="0"/>
          <w:color w:val="auto"/>
          <w:sz w:val="32"/>
          <w:szCs w:val="32"/>
          <w:highlight w:val="none"/>
          <w:u w:val="none" w:color="auto"/>
          <w:lang w:val="en-US" w:eastAsia="zh-CN"/>
        </w:rPr>
        <w:t>加快推动重咨兴云、检测公司等县属国有企业培</w:t>
      </w:r>
      <w:r>
        <w:rPr>
          <w:rFonts w:hint="eastAsia" w:ascii="Times New Roman" w:hAnsi="Times New Roman" w:eastAsia="方正仿宋_GBK"/>
          <w:b w:val="0"/>
          <w:bCs w:val="0"/>
          <w:sz w:val="32"/>
          <w:szCs w:val="32"/>
          <w:highlight w:val="none"/>
          <w:u w:val="none" w:color="auto"/>
          <w:lang w:val="en-US" w:eastAsia="zh-CN"/>
        </w:rPr>
        <w:t>育更多营收增长点。</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推进园区开发区改革攻坚，</w:t>
      </w:r>
      <w:r>
        <w:rPr>
          <w:rFonts w:hint="eastAsia" w:ascii="Times New Roman" w:hAnsi="Times New Roman" w:eastAsia="方正仿宋_GBK"/>
          <w:b w:val="0"/>
          <w:bCs w:val="0"/>
          <w:sz w:val="32"/>
          <w:szCs w:val="32"/>
          <w:highlight w:val="none"/>
          <w:u w:val="none" w:color="auto"/>
          <w:lang w:val="en-US" w:eastAsia="zh-CN"/>
        </w:rPr>
        <w:t>加快完成工业园区四至范围重新划定，深化园区“亩均论英雄”改革，确保制造业规上企业亩均税收增长5%以上、亩均增加值增长7%以上。全力推进国有资产盘活，加快推动黄岭产业园 9-22#楼等符合条件的国有房屋土地确权登记，加快回收公办养老、污水处理厂经营权盘活资金。</w:t>
      </w:r>
    </w:p>
    <w:p w14:paraId="3267C83F">
      <w:pPr>
        <w:pStyle w:val="22"/>
        <w:keepNext w:val="0"/>
        <w:keepLines w:val="0"/>
        <w:pageBreakBefore w:val="0"/>
        <w:numPr>
          <w:ilvl w:val="0"/>
          <w:numId w:val="0"/>
        </w:numPr>
        <w:kinsoku/>
        <w:wordWrap/>
        <w:overflowPunct/>
        <w:topLinePunct w:val="0"/>
        <w:autoSpaceDE/>
        <w:autoSpaceDN/>
        <w:bidi w:val="0"/>
        <w:adjustRightInd/>
        <w:snapToGrid/>
        <w:spacing w:line="578" w:lineRule="exact"/>
        <w:ind w:left="0" w:firstLine="640" w:firstLineChars="200"/>
        <w:rPr>
          <w:rFonts w:hint="eastAsia" w:ascii="Times New Roman" w:hAnsi="Times New Roman" w:eastAsia="方正楷体_GBK" w:cs="方正楷体_GBK"/>
          <w:b w:val="0"/>
          <w:bCs w:val="0"/>
          <w:sz w:val="32"/>
          <w:szCs w:val="32"/>
          <w:highlight w:val="none"/>
          <w:u w:val="none" w:color="auto"/>
          <w:lang w:val="en-US" w:eastAsia="zh-CN"/>
        </w:rPr>
      </w:pPr>
      <w:r>
        <w:rPr>
          <w:rFonts w:hint="eastAsia" w:ascii="Times New Roman" w:hAnsi="Times New Roman" w:eastAsia="方正楷体_GBK" w:cs="方正楷体_GBK"/>
          <w:b w:val="0"/>
          <w:bCs w:val="0"/>
          <w:sz w:val="32"/>
          <w:szCs w:val="32"/>
          <w:highlight w:val="none"/>
          <w:u w:val="none" w:color="auto"/>
          <w:lang w:val="en-US" w:eastAsia="zh-CN"/>
        </w:rPr>
        <w:t>（四）加快探索城市现代化治理新路子，在建设超大城市现代化治理示范区上勇挑重担、走在前列。</w:t>
      </w:r>
    </w:p>
    <w:p w14:paraId="3AF48A66">
      <w:pPr>
        <w:pStyle w:val="22"/>
        <w:keepNext w:val="0"/>
        <w:keepLines w:val="0"/>
        <w:pageBreakBefore w:val="0"/>
        <w:numPr>
          <w:ilvl w:val="0"/>
          <w:numId w:val="0"/>
        </w:numPr>
        <w:kinsoku/>
        <w:wordWrap/>
        <w:overflowPunct/>
        <w:topLinePunct w:val="0"/>
        <w:autoSpaceDE/>
        <w:autoSpaceDN/>
        <w:bidi w:val="0"/>
        <w:adjustRightInd/>
        <w:snapToGrid/>
        <w:spacing w:line="578" w:lineRule="exact"/>
        <w:ind w:left="0" w:firstLine="643" w:firstLineChars="200"/>
        <w:rPr>
          <w:rFonts w:hint="eastAsia" w:ascii="Times New Roman" w:hAnsi="Times New Roman" w:eastAsia="方正仿宋_GBK" w:cs="Times New Roman"/>
          <w:b w:val="0"/>
          <w:bCs w:val="0"/>
          <w:sz w:val="32"/>
          <w:szCs w:val="32"/>
          <w:highlight w:val="none"/>
          <w:u w:val="none" w:color="auto"/>
          <w:lang w:val="en-US" w:eastAsia="zh-CN"/>
        </w:rPr>
      </w:pPr>
      <w:r>
        <w:rPr>
          <w:rFonts w:hint="eastAsia" w:ascii="Times New Roman" w:hAnsi="Times New Roman" w:eastAsia="方正仿宋_GBK" w:cs="Times New Roman"/>
          <w:b/>
          <w:bCs/>
          <w:sz w:val="32"/>
          <w:szCs w:val="32"/>
          <w:highlight w:val="none"/>
          <w:u w:val="none" w:color="auto"/>
          <w:lang w:val="en-US" w:eastAsia="zh-CN"/>
        </w:rPr>
        <w:t>一是加快完善城乡治理体系。</w:t>
      </w:r>
      <w:r>
        <w:rPr>
          <w:rFonts w:hint="eastAsia" w:ascii="Times New Roman" w:hAnsi="Times New Roman" w:eastAsia="方正仿宋_GBK" w:cs="Times New Roman"/>
          <w:b w:val="0"/>
          <w:bCs w:val="0"/>
          <w:sz w:val="32"/>
          <w:szCs w:val="32"/>
          <w:highlight w:val="none"/>
          <w:u w:val="none" w:color="auto"/>
          <w:lang w:val="en-US" w:eastAsia="zh-CN"/>
        </w:rPr>
        <w:t>迭代升级“141”基层智治体系，深化智治体系实体运行，提高网格实战能力，尽快实现“县—镇街—村社—网格”事件高效流转处置。</w:t>
      </w:r>
      <w:r>
        <w:rPr>
          <w:rFonts w:hint="eastAsia" w:ascii="Times New Roman" w:hAnsi="Times New Roman" w:eastAsia="方正仿宋_GBK" w:cs="Times New Roman"/>
          <w:b w:val="0"/>
          <w:bCs w:val="0"/>
          <w:sz w:val="32"/>
          <w:szCs w:val="32"/>
          <w:highlight w:val="none"/>
          <w:u w:val="none" w:color="auto"/>
          <w:lang w:val="en-US" w:eastAsia="zh-CN"/>
        </w:rPr>
        <w:t>加大平安乡镇（街道）、平安村（社区）、平安网格三级和平安学校、平安小区、平安医院三类平安细胞创建力度，努力形成平安联创的工作格局。</w:t>
      </w:r>
      <w:r>
        <w:rPr>
          <w:rFonts w:hint="eastAsia" w:ascii="Times New Roman" w:hAnsi="Times New Roman" w:eastAsia="方正仿宋_GBK" w:cs="Times New Roman"/>
          <w:b w:val="0"/>
          <w:bCs w:val="0"/>
          <w:sz w:val="32"/>
          <w:szCs w:val="32"/>
          <w:highlight w:val="none"/>
          <w:u w:val="none" w:color="auto"/>
          <w:lang w:val="en-US" w:eastAsia="zh-CN"/>
        </w:rPr>
        <w:t>全力推动</w:t>
      </w:r>
      <w:r>
        <w:rPr>
          <w:rFonts w:hint="default" w:ascii="Times New Roman" w:hAnsi="Times New Roman" w:eastAsia="方正仿宋_GBK" w:cs="Times New Roman"/>
          <w:b w:val="0"/>
          <w:bCs w:val="0"/>
          <w:sz w:val="32"/>
          <w:szCs w:val="32"/>
          <w:highlight w:val="none"/>
          <w:u w:val="none" w:color="auto"/>
          <w:lang w:val="en-US" w:eastAsia="zh-CN"/>
        </w:rPr>
        <w:t>安全生产治本攻坚三年行动</w:t>
      </w:r>
      <w:r>
        <w:rPr>
          <w:rFonts w:hint="eastAsia" w:ascii="Times New Roman" w:hAnsi="Times New Roman" w:eastAsia="方正仿宋_GBK" w:cs="Times New Roman"/>
          <w:b w:val="0"/>
          <w:bCs w:val="0"/>
          <w:sz w:val="32"/>
          <w:szCs w:val="32"/>
          <w:highlight w:val="none"/>
          <w:u w:val="none" w:color="auto"/>
          <w:lang w:val="en-US" w:eastAsia="zh-CN"/>
        </w:rPr>
        <w:t>，加强重点行业、重点领域安全监管，有效防范较大及以上安全事故发生。推动三峡库区危岩地灾防治，全面完工库区危岩治理工程，完成森林草原防火阻隔系统项目建设任务。抓好经济金融领域风险防范化解，加强政府债务、金融、房地产等领域风险研判化解，守住不发生系统性、区域性风险的底线。</w:t>
      </w:r>
    </w:p>
    <w:p w14:paraId="7B92F969">
      <w:pPr>
        <w:pStyle w:val="22"/>
        <w:keepNext w:val="0"/>
        <w:keepLines w:val="0"/>
        <w:pageBreakBefore w:val="0"/>
        <w:numPr>
          <w:ilvl w:val="0"/>
          <w:numId w:val="0"/>
        </w:numPr>
        <w:kinsoku/>
        <w:wordWrap/>
        <w:overflowPunct/>
        <w:topLinePunct w:val="0"/>
        <w:autoSpaceDE/>
        <w:autoSpaceDN/>
        <w:bidi w:val="0"/>
        <w:adjustRightInd/>
        <w:snapToGrid/>
        <w:spacing w:line="578" w:lineRule="exact"/>
        <w:ind w:left="0" w:firstLine="643" w:firstLineChars="200"/>
        <w:rPr>
          <w:rFonts w:hint="eastAsia" w:ascii="Times New Roman" w:hAnsi="Times New Roman" w:eastAsia="方正仿宋_GBK"/>
          <w:b w:val="0"/>
          <w:bCs w:val="0"/>
          <w:sz w:val="32"/>
          <w:szCs w:val="32"/>
          <w:highlight w:val="none"/>
          <w:u w:val="none" w:color="auto"/>
          <w:lang w:val="en-US" w:eastAsia="zh-CN"/>
        </w:rPr>
      </w:pPr>
      <w:r>
        <w:rPr>
          <w:rFonts w:hint="eastAsia" w:ascii="Times New Roman" w:hAnsi="Times New Roman" w:eastAsia="方正仿宋_GBK"/>
          <w:b/>
          <w:bCs/>
          <w:sz w:val="32"/>
          <w:szCs w:val="32"/>
          <w:highlight w:val="none"/>
          <w:u w:val="none" w:color="auto"/>
          <w:lang w:val="en-US" w:eastAsia="zh-CN"/>
        </w:rPr>
        <w:t>二是推动保障和改善民生。</w:t>
      </w:r>
      <w:r>
        <w:rPr>
          <w:rFonts w:hint="eastAsia" w:ascii="Times New Roman" w:hAnsi="Times New Roman" w:eastAsia="方正仿宋_GBK"/>
          <w:b w:val="0"/>
          <w:bCs w:val="0"/>
          <w:sz w:val="32"/>
          <w:szCs w:val="32"/>
          <w:highlight w:val="none"/>
          <w:u w:val="none" w:color="auto"/>
          <w:lang w:val="en-US" w:eastAsia="zh-CN"/>
        </w:rPr>
        <w:t>高质量完成25件市县级重点民生实事。深入推进就业援助月、民营企业服务月、公共服务进校园等专</w:t>
      </w:r>
      <w:r>
        <w:rPr>
          <w:rFonts w:hint="eastAsia" w:ascii="Times New Roman" w:hAnsi="Times New Roman" w:eastAsia="方正仿宋_GBK"/>
          <w:b w:val="0"/>
          <w:bCs w:val="0"/>
          <w:sz w:val="32"/>
          <w:szCs w:val="32"/>
          <w:highlight w:val="none"/>
          <w:u w:val="none" w:color="auto"/>
          <w:lang w:val="en-US" w:eastAsia="zh-CN"/>
        </w:rPr>
        <w:t>项活动，推动高校毕业生、退役军人、农民工等重点人群稳定</w:t>
      </w:r>
      <w:r>
        <w:rPr>
          <w:rFonts w:hint="eastAsia" w:ascii="Times New Roman" w:hAnsi="Times New Roman" w:eastAsia="方正仿宋_GBK"/>
          <w:b w:val="0"/>
          <w:bCs w:val="0"/>
          <w:sz w:val="32"/>
          <w:szCs w:val="32"/>
          <w:highlight w:val="none"/>
          <w:u w:val="none" w:color="auto"/>
          <w:lang w:val="en-US" w:eastAsia="zh-CN"/>
        </w:rPr>
        <w:t>就业，</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 xml:space="preserve">发放创业担保贷款 </w:t>
      </w:r>
      <w:r>
        <w:rPr>
          <w:rFonts w:hint="eastAsia" w:ascii="Times New Roman" w:hAnsi="Times New Roman" w:eastAsia="方正仿宋_GBK" w:cs="Times New Roman"/>
          <w:b w:val="0"/>
          <w:bCs w:val="0"/>
          <w:color w:val="auto"/>
          <w:kern w:val="2"/>
          <w:sz w:val="32"/>
          <w:szCs w:val="32"/>
          <w:highlight w:val="none"/>
          <w:u w:val="none" w:color="auto"/>
          <w:lang w:val="en-US" w:eastAsia="zh-CN" w:bidi="ar-SA"/>
        </w:rPr>
        <w:t>6000</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万元</w:t>
      </w:r>
      <w:r>
        <w:rPr>
          <w:rFonts w:hint="eastAsia" w:ascii="Times New Roman" w:hAnsi="Times New Roman" w:eastAsia="方正仿宋_GBK" w:cs="Times New Roman"/>
          <w:b w:val="0"/>
          <w:bCs w:val="0"/>
          <w:color w:val="auto"/>
          <w:kern w:val="2"/>
          <w:sz w:val="32"/>
          <w:szCs w:val="32"/>
          <w:highlight w:val="none"/>
          <w:u w:val="none" w:color="auto"/>
          <w:lang w:val="en-US" w:eastAsia="zh-CN" w:bidi="ar-SA"/>
        </w:rPr>
        <w:t>以上，</w:t>
      </w:r>
      <w:r>
        <w:rPr>
          <w:rFonts w:hint="eastAsia" w:ascii="Times New Roman" w:hAnsi="Times New Roman" w:eastAsia="方正仿宋_GBK"/>
          <w:b w:val="0"/>
          <w:bCs w:val="0"/>
          <w:sz w:val="32"/>
          <w:szCs w:val="32"/>
          <w:highlight w:val="none"/>
          <w:u w:val="none" w:color="auto"/>
          <w:lang w:val="en-US" w:eastAsia="zh-CN"/>
        </w:rPr>
        <w:t>离校未就业高校毕业生就业率达90%以上，困难毕业生就业率达1</w:t>
      </w:r>
      <w:r>
        <w:rPr>
          <w:rFonts w:hint="eastAsia" w:ascii="Times New Roman" w:hAnsi="Times New Roman" w:eastAsia="方正仿宋_GBK"/>
          <w:b w:val="0"/>
          <w:bCs w:val="0"/>
          <w:sz w:val="32"/>
          <w:szCs w:val="32"/>
          <w:highlight w:val="none"/>
          <w:u w:val="none" w:color="auto"/>
          <w:lang w:val="en-US" w:eastAsia="zh-CN"/>
        </w:rPr>
        <w:t>00%，全年城镇新增就业1万人以上。深入实施全民参保计划，开展“扩面提质”专项行动，城乡居民养老保险、基本医疗保险参保率巩固在97%、95%以上。持续优化教育资源配置，加快曙光小学、第五中学、御江山幼儿园等学校建设，新增学位5200个。持续提升医疗卫生水平，加快县妇女儿童医院三级妇幼保健院建设、县第二人民医院二甲创建，新建县级医疗质量控制中心3个。加快推进县老年养护院、第二老年养护院、广爱康养中心、社区居家养老服务网络项目建设，新增养老床位1000张，培育星级养老机构10家以上，建设老年食堂30家。加快建设文化强县，积极融入长江国家文化公园建设，加快打造博物馆新馆、“云街”文创街区等文化载体，力争万人拥有公共文化设施面积达600平方米。</w:t>
      </w:r>
    </w:p>
    <w:p w14:paraId="028C368A">
      <w:pPr>
        <w:pStyle w:val="22"/>
        <w:keepNext w:val="0"/>
        <w:keepLines w:val="0"/>
        <w:pageBreakBefore w:val="0"/>
        <w:numPr>
          <w:ilvl w:val="0"/>
          <w:numId w:val="0"/>
        </w:numPr>
        <w:kinsoku/>
        <w:wordWrap/>
        <w:overflowPunct/>
        <w:topLinePunct w:val="0"/>
        <w:autoSpaceDE/>
        <w:autoSpaceDN/>
        <w:bidi w:val="0"/>
        <w:adjustRightInd/>
        <w:snapToGrid/>
        <w:spacing w:line="578" w:lineRule="exact"/>
        <w:ind w:left="0" w:firstLine="640" w:firstLineChars="200"/>
        <w:rPr>
          <w:rFonts w:hint="eastAsia" w:ascii="Times New Roman" w:hAnsi="Times New Roman" w:eastAsia="方正楷体_GBK" w:cs="方正楷体_GBK"/>
          <w:b w:val="0"/>
          <w:bCs w:val="0"/>
          <w:sz w:val="32"/>
          <w:szCs w:val="32"/>
          <w:highlight w:val="none"/>
          <w:u w:val="none" w:color="auto"/>
          <w:lang w:val="en-US" w:eastAsia="zh-CN"/>
        </w:rPr>
      </w:pPr>
      <w:r>
        <w:rPr>
          <w:rFonts w:hint="eastAsia" w:ascii="Times New Roman" w:hAnsi="Times New Roman" w:eastAsia="方正楷体_GBK" w:cs="方正楷体_GBK"/>
          <w:b w:val="0"/>
          <w:bCs w:val="0"/>
          <w:sz w:val="32"/>
          <w:szCs w:val="32"/>
          <w:highlight w:val="none"/>
          <w:u w:val="none" w:color="auto"/>
          <w:lang w:val="en-US" w:eastAsia="zh-CN"/>
        </w:rPr>
        <w:t>（五）加快推进“小县大城”“强镇带村”试点，在建设城乡融合乡村振兴示范区上勇挑重担、走在前列。</w:t>
      </w:r>
    </w:p>
    <w:p w14:paraId="6D6A56C4">
      <w:pPr>
        <w:pStyle w:val="22"/>
        <w:keepNext w:val="0"/>
        <w:keepLines w:val="0"/>
        <w:pageBreakBefore w:val="0"/>
        <w:numPr>
          <w:ilvl w:val="0"/>
          <w:numId w:val="0"/>
        </w:numPr>
        <w:kinsoku/>
        <w:wordWrap/>
        <w:overflowPunct/>
        <w:topLinePunct w:val="0"/>
        <w:autoSpaceDE/>
        <w:autoSpaceDN/>
        <w:bidi w:val="0"/>
        <w:adjustRightInd/>
        <w:snapToGrid/>
        <w:spacing w:line="578" w:lineRule="exact"/>
        <w:ind w:left="0" w:firstLine="643" w:firstLineChars="200"/>
        <w:rPr>
          <w:rFonts w:hint="eastAsia" w:ascii="Times New Roman" w:hAnsi="Times New Roman" w:eastAsia="方正仿宋_GBK"/>
          <w:b w:val="0"/>
          <w:bCs w:val="0"/>
          <w:sz w:val="32"/>
          <w:szCs w:val="32"/>
          <w:highlight w:val="none"/>
          <w:u w:val="none" w:color="auto"/>
          <w:lang w:val="en-US" w:eastAsia="zh-CN"/>
        </w:rPr>
      </w:pPr>
      <w:r>
        <w:rPr>
          <w:rFonts w:hint="eastAsia" w:ascii="Times New Roman" w:hAnsi="Times New Roman" w:eastAsia="方正仿宋_GBK"/>
          <w:b/>
          <w:bCs/>
          <w:sz w:val="32"/>
          <w:szCs w:val="32"/>
          <w:highlight w:val="none"/>
          <w:u w:val="none" w:color="auto"/>
          <w:lang w:val="en-US" w:eastAsia="zh-CN"/>
        </w:rPr>
        <w:t>一是加快建设全域山水公园城市。</w:t>
      </w:r>
      <w:r>
        <w:rPr>
          <w:rFonts w:hint="eastAsia" w:ascii="Times New Roman" w:hAnsi="Times New Roman" w:eastAsia="方正仿宋_GBK"/>
          <w:b w:val="0"/>
          <w:bCs w:val="0"/>
          <w:sz w:val="32"/>
          <w:szCs w:val="32"/>
          <w:highlight w:val="none"/>
          <w:u w:val="none" w:color="auto"/>
          <w:lang w:val="en-US" w:eastAsia="zh-CN"/>
        </w:rPr>
        <w:t>加快“小县大城”试点，大力实施新市民安居保障和市政基础设施提档升级等10项行动，加快推进“四街四镇”城乡规划等“十个一体化”，清单化打表推进创建国家森林城市等82项重点任务。提速推进“五城同建”，完成高铁站综合交通枢纽二期项目主体施工，完工电力入地通道工程（一期），加快推进渝东北山地综合</w:t>
      </w:r>
      <w:r>
        <w:rPr>
          <w:rFonts w:hint="eastAsia" w:ascii="Times New Roman" w:hAnsi="Times New Roman" w:eastAsia="方正仿宋_GBK"/>
          <w:b w:val="0"/>
          <w:bCs w:val="0"/>
          <w:sz w:val="32"/>
          <w:szCs w:val="32"/>
          <w:highlight w:val="none"/>
          <w:u w:val="none" w:color="auto"/>
          <w:lang w:val="en-US" w:eastAsia="zh-CN"/>
        </w:rPr>
        <w:t>实训基地，建成投用数智森林小镇产业园一期项目，产城融合示范项目完成总体工程量的60%。突出打造“六大标识性要素”，启动黄石片区夜间照明及公共基础设施工程，完成平安、巴阳等17个县级出入口提升打造，建成阳光沙滩水街、</w:t>
      </w:r>
      <w:r>
        <w:rPr>
          <w:rFonts w:hint="eastAsia" w:ascii="Times New Roman" w:hAnsi="Times New Roman" w:eastAsia="方正仿宋_GBK"/>
          <w:b w:val="0"/>
          <w:bCs w:val="0"/>
          <w:sz w:val="32"/>
          <w:szCs w:val="32"/>
          <w:highlight w:val="none"/>
          <w:u w:val="none" w:color="auto"/>
          <w:lang w:val="en-US" w:eastAsia="zh-CN"/>
        </w:rPr>
        <w:t>四方井舟迹码头夜市等环湖绿道商业设施，县中医院通过“三甲”复评，打</w:t>
      </w:r>
      <w:r>
        <w:rPr>
          <w:rFonts w:hint="eastAsia" w:ascii="Times New Roman" w:hAnsi="Times New Roman" w:eastAsia="方正仿宋_GBK"/>
          <w:b w:val="0"/>
          <w:bCs w:val="0"/>
          <w:sz w:val="32"/>
          <w:szCs w:val="32"/>
          <w:highlight w:val="none"/>
          <w:u w:val="none" w:color="auto"/>
          <w:lang w:val="en-US" w:eastAsia="zh-CN"/>
        </w:rPr>
        <w:t>造最美阳台160个。坚持“改小区—改片区—改辖区”，推动社区设施适老化、适儿化改造，实现67个老旧小区改造升级、171万平方米建筑整体提升。</w:t>
      </w:r>
    </w:p>
    <w:p w14:paraId="03E74B88">
      <w:pPr>
        <w:pStyle w:val="22"/>
        <w:keepNext w:val="0"/>
        <w:keepLines w:val="0"/>
        <w:pageBreakBefore w:val="0"/>
        <w:kinsoku/>
        <w:wordWrap/>
        <w:overflowPunct/>
        <w:topLinePunct w:val="0"/>
        <w:autoSpaceDE/>
        <w:autoSpaceDN/>
        <w:bidi w:val="0"/>
        <w:adjustRightInd/>
        <w:snapToGrid/>
        <w:spacing w:line="578" w:lineRule="exact"/>
        <w:ind w:left="0" w:firstLine="640"/>
        <w:rPr>
          <w:rFonts w:hint="default" w:ascii="Times New Roman" w:hAnsi="Times New Roman" w:eastAsia="方正仿宋_GBK"/>
          <w:b w:val="0"/>
          <w:bCs w:val="0"/>
          <w:sz w:val="32"/>
          <w:szCs w:val="32"/>
          <w:highlight w:val="none"/>
          <w:u w:val="none" w:color="auto"/>
          <w:lang w:val="en-US" w:eastAsia="zh-CN"/>
        </w:rPr>
      </w:pPr>
      <w:r>
        <w:rPr>
          <w:rFonts w:hint="eastAsia" w:ascii="Times New Roman" w:hAnsi="Times New Roman" w:eastAsia="方正仿宋_GBK"/>
          <w:b/>
          <w:bCs/>
          <w:sz w:val="32"/>
          <w:szCs w:val="32"/>
          <w:highlight w:val="none"/>
          <w:u w:val="none" w:color="auto"/>
          <w:lang w:val="en-US" w:eastAsia="zh-CN"/>
        </w:rPr>
        <w:t>二是加快推动城乡融合发展。推进农村改革试点示范。</w:t>
      </w:r>
      <w:r>
        <w:rPr>
          <w:rFonts w:hint="eastAsia" w:ascii="Times New Roman" w:hAnsi="Times New Roman" w:eastAsia="方正仿宋_GBK"/>
          <w:b w:val="0"/>
          <w:bCs w:val="0"/>
          <w:sz w:val="32"/>
          <w:szCs w:val="32"/>
          <w:highlight w:val="none"/>
          <w:u w:val="none" w:color="auto"/>
          <w:lang w:val="en-US" w:eastAsia="zh-CN"/>
        </w:rPr>
        <w:t>围绕建设新型农民生活圈、延伸产业发展链条等重点任务，加快江口镇“强镇带村”改革试点。完善农业转移人口市民化机制，引导农业转移人口依法自愿退出农村权益，转移农民进城就业6000人。</w:t>
      </w:r>
      <w:r>
        <w:rPr>
          <w:rFonts w:hint="eastAsia" w:ascii="Times New Roman" w:hAnsi="Times New Roman" w:eastAsia="方正仿宋_GBK"/>
          <w:b w:val="0"/>
          <w:bCs w:val="0"/>
          <w:sz w:val="32"/>
          <w:szCs w:val="32"/>
          <w:highlight w:val="none"/>
          <w:u w:val="none" w:color="auto"/>
          <w:lang w:val="en-US" w:eastAsia="zh-CN"/>
        </w:rPr>
        <w:t>聚焦“五指印江”核心区域，围绕乡村产业发展、数字乡村建设、乡村人才振兴、乡村基层治理等四个方面，加快推进农村综合改革试点试验。</w:t>
      </w:r>
      <w:r>
        <w:rPr>
          <w:rFonts w:hint="eastAsia" w:ascii="Times New Roman" w:hAnsi="Times New Roman" w:eastAsia="方正仿宋_GBK" w:cs="Times New Roman"/>
          <w:kern w:val="0"/>
          <w:sz w:val="32"/>
          <w:szCs w:val="32"/>
          <w:highlight w:val="none"/>
          <w:u w:val="none" w:color="auto"/>
          <w14:ligatures w14:val="none"/>
        </w:rPr>
        <w:t>健全农村土地流转风险监控机制，农业适度规模经营面积占比达53%</w:t>
      </w:r>
      <w:r>
        <w:rPr>
          <w:rFonts w:hint="eastAsia" w:ascii="Times New Roman" w:hAnsi="Times New Roman" w:eastAsia="方正仿宋_GBK" w:cs="Times New Roman"/>
          <w:kern w:val="0"/>
          <w:sz w:val="32"/>
          <w:szCs w:val="32"/>
          <w:highlight w:val="none"/>
          <w:u w:val="none" w:color="auto"/>
          <w:lang w:eastAsia="zh-CN"/>
          <w14:ligatures w14:val="none"/>
        </w:rPr>
        <w:t>，</w:t>
      </w:r>
      <w:r>
        <w:rPr>
          <w:rFonts w:hint="eastAsia" w:ascii="Times New Roman" w:hAnsi="Times New Roman" w:eastAsia="方正仿宋_GBK" w:cs="Times New Roman"/>
          <w:kern w:val="0"/>
          <w:sz w:val="32"/>
          <w:szCs w:val="32"/>
          <w:highlight w:val="none"/>
          <w:u w:val="none" w:color="auto"/>
          <w14:ligatures w14:val="none"/>
        </w:rPr>
        <w:t>新增农村</w:t>
      </w:r>
      <w:r>
        <w:rPr>
          <w:rFonts w:hint="eastAsia" w:ascii="Times New Roman" w:hAnsi="Times New Roman" w:cs="Times New Roman"/>
          <w:kern w:val="0"/>
          <w:sz w:val="32"/>
          <w:szCs w:val="32"/>
          <w:highlight w:val="none"/>
          <w:u w:val="none" w:color="auto"/>
          <w:lang w:eastAsia="zh-CN"/>
          <w14:ligatures w14:val="none"/>
        </w:rPr>
        <w:t>“</w:t>
      </w:r>
      <w:r>
        <w:rPr>
          <w:rFonts w:hint="eastAsia" w:ascii="Times New Roman" w:hAnsi="Times New Roman" w:eastAsia="方正仿宋_GBK" w:cs="Times New Roman"/>
          <w:kern w:val="0"/>
          <w:sz w:val="32"/>
          <w:szCs w:val="32"/>
          <w:highlight w:val="none"/>
          <w:u w:val="none" w:color="auto"/>
          <w14:ligatures w14:val="none"/>
        </w:rPr>
        <w:t>三变</w:t>
      </w:r>
      <w:r>
        <w:rPr>
          <w:rFonts w:hint="eastAsia" w:ascii="Times New Roman" w:hAnsi="Times New Roman" w:cs="Times New Roman"/>
          <w:kern w:val="0"/>
          <w:sz w:val="32"/>
          <w:szCs w:val="32"/>
          <w:highlight w:val="none"/>
          <w:u w:val="none" w:color="auto"/>
          <w:lang w:eastAsia="zh-CN"/>
          <w14:ligatures w14:val="none"/>
        </w:rPr>
        <w:t>”</w:t>
      </w:r>
      <w:r>
        <w:rPr>
          <w:rFonts w:hint="eastAsia" w:ascii="Times New Roman" w:hAnsi="Times New Roman" w:eastAsia="方正仿宋_GBK" w:cs="Times New Roman"/>
          <w:kern w:val="0"/>
          <w:sz w:val="32"/>
          <w:szCs w:val="32"/>
          <w:highlight w:val="none"/>
          <w:u w:val="none" w:color="auto"/>
          <w14:ligatures w14:val="none"/>
        </w:rPr>
        <w:t>改革村100个以上，盘活闲置农房和宅基地500宗</w:t>
      </w:r>
      <w:r>
        <w:rPr>
          <w:rFonts w:hint="eastAsia" w:ascii="Times New Roman" w:hAnsi="Times New Roman" w:eastAsia="方正仿宋_GBK" w:cs="Times New Roman"/>
          <w:kern w:val="0"/>
          <w:sz w:val="32"/>
          <w:szCs w:val="32"/>
          <w:highlight w:val="none"/>
          <w:u w:val="none" w:color="auto"/>
          <w14:ligatures w14:val="none"/>
        </w:rPr>
        <w:t>。</w:t>
      </w:r>
      <w:r>
        <w:rPr>
          <w:rFonts w:hint="eastAsia" w:ascii="Times New Roman" w:hAnsi="Times New Roman" w:eastAsia="方正仿宋_GBK"/>
          <w:b w:val="0"/>
          <w:bCs w:val="0"/>
          <w:sz w:val="32"/>
          <w:szCs w:val="32"/>
          <w:highlight w:val="none"/>
          <w:u w:val="none" w:color="auto"/>
          <w:lang w:val="en-US" w:eastAsia="zh-CN"/>
        </w:rPr>
        <w:t>加快推进农村产权流转交易规范化建设，鼓励城市资本、人才、技术等入乡，全年完成农村产权流转交易500万元以上。</w:t>
      </w:r>
      <w:r>
        <w:rPr>
          <w:rFonts w:hint="eastAsia" w:ascii="Times New Roman" w:hAnsi="Times New Roman" w:eastAsia="方正仿宋_GBK"/>
          <w:b/>
          <w:bCs/>
          <w:sz w:val="32"/>
          <w:szCs w:val="32"/>
          <w:highlight w:val="none"/>
          <w:u w:val="none" w:color="auto"/>
          <w:lang w:val="en-US" w:eastAsia="zh-CN"/>
        </w:rPr>
        <w:t>发展壮大集体经济。</w:t>
      </w:r>
      <w:r>
        <w:rPr>
          <w:rFonts w:hint="eastAsia" w:ascii="Times New Roman" w:hAnsi="Times New Roman" w:eastAsia="方正仿宋_GBK"/>
          <w:b w:val="0"/>
          <w:bCs w:val="0"/>
          <w:sz w:val="32"/>
          <w:szCs w:val="32"/>
          <w:highlight w:val="none"/>
          <w:u w:val="none" w:color="auto"/>
          <w:lang w:val="en-US" w:eastAsia="zh-CN"/>
        </w:rPr>
        <w:t>深入实施“百村共富”工程，推动强村公司规范化运营，力争全年村集体经营性收入突破2亿元。</w:t>
      </w:r>
      <w:r>
        <w:rPr>
          <w:rFonts w:hint="eastAsia" w:ascii="Times New Roman" w:hAnsi="Times New Roman" w:eastAsia="方正仿宋_GBK"/>
          <w:b/>
          <w:bCs/>
          <w:sz w:val="32"/>
          <w:szCs w:val="32"/>
          <w:highlight w:val="none"/>
          <w:u w:val="none" w:color="auto"/>
          <w:lang w:val="en-US" w:eastAsia="zh-CN"/>
        </w:rPr>
        <w:t>推动巴渝和美乡村建设。</w:t>
      </w:r>
      <w:r>
        <w:rPr>
          <w:rFonts w:hint="eastAsia" w:ascii="Times New Roman" w:hAnsi="Times New Roman" w:eastAsia="方正仿宋_GBK" w:cs="Times New Roman"/>
          <w:b w:val="0"/>
          <w:bCs w:val="0"/>
          <w:sz w:val="32"/>
          <w:szCs w:val="32"/>
          <w:highlight w:val="none"/>
          <w:u w:val="none" w:color="auto"/>
          <w:lang w:val="en-US" w:eastAsia="zh-CN"/>
        </w:rPr>
        <w:t>深入实施“百村和美”工程</w:t>
      </w:r>
      <w:r>
        <w:rPr>
          <w:rFonts w:hint="eastAsia" w:ascii="Times New Roman" w:hAnsi="Times New Roman" w:eastAsia="方正仿宋_GBK" w:cs="Times New Roman"/>
          <w:b w:val="0"/>
          <w:bCs w:val="0"/>
          <w:sz w:val="32"/>
          <w:szCs w:val="32"/>
          <w:highlight w:val="none"/>
          <w:u w:val="none" w:color="auto"/>
          <w:lang w:val="en-US" w:eastAsia="zh-CN"/>
        </w:rPr>
        <w:t>，</w:t>
      </w:r>
      <w:r>
        <w:rPr>
          <w:rFonts w:hint="eastAsia" w:ascii="Times New Roman" w:hAnsi="Times New Roman" w:eastAsia="方正仿宋_GBK" w:cs="Times New Roman"/>
          <w:b w:val="0"/>
          <w:bCs w:val="0"/>
          <w:sz w:val="32"/>
          <w:szCs w:val="32"/>
          <w:highlight w:val="none"/>
          <w:u w:val="none" w:color="auto"/>
          <w:lang w:val="en-US" w:eastAsia="zh-CN"/>
        </w:rPr>
        <w:t>一体推进巴渝和美乡村创建，创建示范镇1个、示范村20个、示范院落50个，“达标村”创建率30%以上。</w:t>
      </w:r>
      <w:r>
        <w:rPr>
          <w:rFonts w:hint="eastAsia" w:ascii="Times New Roman" w:hAnsi="Times New Roman" w:eastAsia="方正仿宋_GBK"/>
          <w:b w:val="0"/>
          <w:bCs w:val="0"/>
          <w:sz w:val="32"/>
          <w:szCs w:val="32"/>
          <w:highlight w:val="none"/>
          <w:u w:val="none" w:color="auto"/>
          <w:lang w:val="en-US" w:eastAsia="zh-CN"/>
        </w:rPr>
        <w:t>加</w:t>
      </w:r>
      <w:r>
        <w:rPr>
          <w:rFonts w:hint="eastAsia" w:ascii="Times New Roman" w:hAnsi="Times New Roman" w:eastAsia="方正仿宋_GBK"/>
          <w:b w:val="0"/>
          <w:bCs w:val="0"/>
          <w:sz w:val="32"/>
          <w:szCs w:val="32"/>
          <w:highlight w:val="none"/>
          <w:u w:val="none" w:color="auto"/>
          <w:lang w:val="en-US" w:eastAsia="zh-CN"/>
        </w:rPr>
        <w:t>快实施</w:t>
      </w:r>
      <w:r>
        <w:rPr>
          <w:rFonts w:hint="eastAsia" w:ascii="Times New Roman" w:hAnsi="Times New Roman" w:eastAsia="方正仿宋_GBK"/>
          <w:b w:val="0"/>
          <w:bCs w:val="0"/>
          <w:sz w:val="32"/>
          <w:szCs w:val="32"/>
          <w:highlight w:val="none"/>
          <w:u w:val="none" w:color="auto"/>
          <w:lang w:val="en-US" w:eastAsia="zh-CN"/>
        </w:rPr>
        <w:t>通道环境综合整治500公里以上。</w:t>
      </w:r>
      <w:r>
        <w:rPr>
          <w:rFonts w:hint="eastAsia" w:ascii="Times New Roman" w:hAnsi="Times New Roman" w:eastAsia="方正仿宋_GBK"/>
          <w:b/>
          <w:bCs/>
          <w:sz w:val="32"/>
          <w:szCs w:val="32"/>
          <w:highlight w:val="none"/>
          <w:u w:val="none" w:color="auto"/>
          <w:lang w:val="en-US" w:eastAsia="zh-CN"/>
        </w:rPr>
        <w:t>加快基础设施建设。</w:t>
      </w:r>
      <w:r>
        <w:rPr>
          <w:rFonts w:hint="eastAsia" w:ascii="Times New Roman" w:hAnsi="Times New Roman" w:eastAsia="方正仿宋_GBK" w:cs="Times New Roman"/>
          <w:b w:val="0"/>
          <w:bCs w:val="0"/>
          <w:sz w:val="32"/>
          <w:szCs w:val="32"/>
          <w:highlight w:val="none"/>
          <w:u w:val="none" w:color="auto"/>
          <w:lang w:val="en-US" w:eastAsia="zh-CN"/>
        </w:rPr>
        <w:t>积极争取纳入全市水网先导区县建设，加快推进向阳水库、幸福水库、荷花水库、柳园水库等水源工程建设，推动福泰水库、石楼水库等前期工作。全年新改建天然气管道43公里，全年累计新增天然气用户9500户。全年新建5G基站达150个，实现行政村5G网络全覆盖。</w:t>
      </w:r>
    </w:p>
    <w:p w14:paraId="2930937F">
      <w:pPr>
        <w:pStyle w:val="22"/>
        <w:keepNext w:val="0"/>
        <w:keepLines w:val="0"/>
        <w:pageBreakBefore w:val="0"/>
        <w:numPr>
          <w:ilvl w:val="0"/>
          <w:numId w:val="0"/>
        </w:numPr>
        <w:kinsoku/>
        <w:wordWrap/>
        <w:overflowPunct/>
        <w:topLinePunct w:val="0"/>
        <w:autoSpaceDE/>
        <w:autoSpaceDN/>
        <w:bidi w:val="0"/>
        <w:adjustRightInd/>
        <w:snapToGrid/>
        <w:spacing w:line="578" w:lineRule="exact"/>
        <w:ind w:left="0" w:firstLine="640" w:firstLineChars="200"/>
        <w:rPr>
          <w:rFonts w:hint="eastAsia" w:ascii="Times New Roman" w:hAnsi="Times New Roman" w:eastAsia="方正楷体_GBK" w:cs="方正楷体_GBK"/>
          <w:b w:val="0"/>
          <w:bCs w:val="0"/>
          <w:sz w:val="32"/>
          <w:szCs w:val="32"/>
          <w:highlight w:val="none"/>
          <w:u w:val="none" w:color="auto"/>
          <w:lang w:val="en-US" w:eastAsia="zh-CN"/>
        </w:rPr>
      </w:pPr>
      <w:r>
        <w:rPr>
          <w:rFonts w:hint="eastAsia" w:ascii="Times New Roman" w:hAnsi="Times New Roman" w:eastAsia="方正楷体_GBK" w:cs="方正楷体_GBK"/>
          <w:b w:val="0"/>
          <w:bCs w:val="0"/>
          <w:sz w:val="32"/>
          <w:szCs w:val="32"/>
          <w:highlight w:val="none"/>
          <w:u w:val="none" w:color="auto"/>
          <w:lang w:val="en-US" w:eastAsia="zh-CN"/>
        </w:rPr>
        <w:t>（六）加快发挥在长江经济带绿色发展中的示范作用，在建设美丽中国先行区上勇挑重担、走在前列。</w:t>
      </w:r>
    </w:p>
    <w:p w14:paraId="6BDC8C4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left="0" w:firstLine="643" w:firstLineChars="200"/>
        <w:textAlignment w:val="auto"/>
        <w:rPr>
          <w:rFonts w:hint="eastAsia" w:ascii="Times New Roman" w:hAnsi="Times New Roman" w:eastAsia="方正仿宋_GBK"/>
          <w:b w:val="0"/>
          <w:bCs w:val="0"/>
          <w:sz w:val="32"/>
          <w:szCs w:val="32"/>
          <w:highlight w:val="none"/>
          <w:u w:val="none" w:color="auto"/>
          <w:lang w:val="en-US" w:eastAsia="zh-CN"/>
        </w:rPr>
      </w:pPr>
      <w:r>
        <w:rPr>
          <w:rFonts w:hint="eastAsia" w:ascii="Times New Roman" w:hAnsi="Times New Roman" w:eastAsia="方正仿宋_GBK"/>
          <w:b/>
          <w:bCs/>
          <w:sz w:val="32"/>
          <w:szCs w:val="32"/>
          <w:highlight w:val="none"/>
          <w:u w:val="none" w:color="auto"/>
          <w:lang w:val="en-US" w:eastAsia="zh-CN"/>
        </w:rPr>
        <w:t>一是加快建设美丽云阳。深化打好污染防治攻坚战。</w:t>
      </w:r>
      <w:r>
        <w:rPr>
          <w:rFonts w:hint="eastAsia" w:ascii="Times New Roman" w:hAnsi="Times New Roman" w:eastAsia="方正仿宋_GBK"/>
          <w:color w:val="auto"/>
          <w:sz w:val="32"/>
          <w:szCs w:val="32"/>
          <w:highlight w:val="none"/>
          <w:u w:val="none" w:color="auto"/>
        </w:rPr>
        <w:t>一体推进</w:t>
      </w:r>
      <w:r>
        <w:rPr>
          <w:rFonts w:hint="eastAsia" w:ascii="Times New Roman" w:hAnsi="Times New Roman" w:eastAsia="方正仿宋_GBK"/>
          <w:color w:val="auto"/>
          <w:sz w:val="32"/>
          <w:szCs w:val="32"/>
          <w:highlight w:val="none"/>
          <w:u w:val="none" w:color="auto"/>
          <w:lang w:val="en-US" w:eastAsia="zh-CN"/>
        </w:rPr>
        <w:t>美丽云阳</w:t>
      </w:r>
      <w:r>
        <w:rPr>
          <w:rFonts w:hint="eastAsia" w:ascii="Times New Roman" w:hAnsi="Times New Roman" w:eastAsia="方正仿宋_GBK"/>
          <w:color w:val="auto"/>
          <w:sz w:val="32"/>
          <w:szCs w:val="32"/>
          <w:highlight w:val="none"/>
          <w:u w:val="none" w:color="auto"/>
          <w:lang w:eastAsia="zh-CN"/>
        </w:rPr>
        <w:t>“</w:t>
      </w:r>
      <w:r>
        <w:rPr>
          <w:rFonts w:hint="eastAsia" w:ascii="Times New Roman" w:hAnsi="Times New Roman" w:eastAsia="方正仿宋_GBK"/>
          <w:color w:val="auto"/>
          <w:sz w:val="32"/>
          <w:szCs w:val="32"/>
          <w:highlight w:val="none"/>
          <w:u w:val="none" w:color="auto"/>
        </w:rPr>
        <w:t>九治</w:t>
      </w:r>
      <w:r>
        <w:rPr>
          <w:rFonts w:hint="eastAsia" w:ascii="Times New Roman" w:hAnsi="Times New Roman" w:eastAsia="方正仿宋_GBK"/>
          <w:color w:val="auto"/>
          <w:sz w:val="32"/>
          <w:szCs w:val="32"/>
          <w:highlight w:val="none"/>
          <w:u w:val="none" w:color="auto"/>
          <w:lang w:eastAsia="zh-CN"/>
        </w:rPr>
        <w:t>”</w:t>
      </w:r>
      <w:r>
        <w:rPr>
          <w:rFonts w:hint="eastAsia" w:ascii="Times New Roman" w:hAnsi="Times New Roman" w:eastAsia="方正仿宋_GBK"/>
          <w:color w:val="auto"/>
          <w:sz w:val="32"/>
          <w:szCs w:val="32"/>
          <w:highlight w:val="none"/>
          <w:u w:val="none" w:color="auto"/>
        </w:rPr>
        <w:t>，贯彻落实《美丽重庆建设行动计划》，打卡推进73项年度重点任务落地落实</w:t>
      </w:r>
      <w:r>
        <w:rPr>
          <w:rFonts w:hint="eastAsia" w:ascii="Times New Roman" w:hAnsi="Times New Roman" w:eastAsia="方正仿宋_GBK"/>
          <w:b w:val="0"/>
          <w:bCs w:val="0"/>
          <w:sz w:val="32"/>
          <w:szCs w:val="32"/>
          <w:highlight w:val="none"/>
          <w:u w:val="none" w:color="auto"/>
          <w:lang w:val="en-US" w:eastAsia="zh-CN"/>
        </w:rPr>
        <w:t>，推动生态报表稳定保持A档</w:t>
      </w:r>
      <w:r>
        <w:rPr>
          <w:rFonts w:hint="eastAsia" w:ascii="Times New Roman" w:hAnsi="Times New Roman" w:eastAsia="方正仿宋_GBK"/>
          <w:b w:val="0"/>
          <w:bCs w:val="0"/>
          <w:sz w:val="32"/>
          <w:szCs w:val="32"/>
          <w:highlight w:val="none"/>
          <w:u w:val="none" w:color="auto"/>
          <w:lang w:val="en-US" w:eastAsia="zh-CN"/>
        </w:rPr>
        <w:t>。持续推进入河排污口排查整治，加强集中式饮用水水源地保护，确保地表水功能区水质达标率和城市集中式饮用水水源地水质达标率均稳定保持100%，成功创建农村黑臭水体清零县。</w:t>
      </w:r>
      <w:r>
        <w:rPr>
          <w:rFonts w:hint="eastAsia" w:ascii="Times New Roman" w:hAnsi="Times New Roman" w:eastAsia="方正仿宋_GBK" w:cs="方正楷体_GBK"/>
          <w:sz w:val="32"/>
          <w:szCs w:val="32"/>
          <w:highlight w:val="none"/>
          <w:u w:val="none" w:color="auto"/>
          <w:shd w:val="clear" w:color="auto" w:fill="FFFFFF"/>
        </w:rPr>
        <w:t>持续开展冬</w:t>
      </w:r>
      <w:r>
        <w:rPr>
          <w:rFonts w:hint="eastAsia" w:ascii="Times New Roman" w:hAnsi="Times New Roman" w:eastAsia="方正仿宋_GBK" w:cs="Times New Roman"/>
          <w:bCs/>
          <w:sz w:val="32"/>
          <w:szCs w:val="32"/>
          <w:highlight w:val="none"/>
          <w:u w:val="none" w:color="auto"/>
        </w:rPr>
        <w:t>季PM</w:t>
      </w:r>
      <w:r>
        <w:rPr>
          <w:rFonts w:hint="eastAsia" w:ascii="Times New Roman" w:hAnsi="Times New Roman" w:eastAsia="方正仿宋_GBK" w:cs="Times New Roman"/>
          <w:bCs/>
          <w:sz w:val="32"/>
          <w:szCs w:val="32"/>
          <w:highlight w:val="none"/>
          <w:u w:val="none" w:color="auto"/>
          <w:vertAlign w:val="subscript"/>
        </w:rPr>
        <w:t>2.5</w:t>
      </w:r>
      <w:r>
        <w:rPr>
          <w:rFonts w:hint="eastAsia" w:ascii="Times New Roman" w:hAnsi="Times New Roman" w:eastAsia="方正仿宋_GBK" w:cs="Times New Roman"/>
          <w:bCs/>
          <w:sz w:val="32"/>
          <w:szCs w:val="32"/>
          <w:highlight w:val="none"/>
          <w:u w:val="none" w:color="auto"/>
        </w:rPr>
        <w:t>和夏秋</w:t>
      </w:r>
      <w:r>
        <w:rPr>
          <w:rFonts w:hint="eastAsia" w:ascii="Times New Roman" w:hAnsi="Times New Roman" w:eastAsia="方正仿宋_GBK" w:cs="方正楷体_GBK"/>
          <w:sz w:val="32"/>
          <w:szCs w:val="32"/>
          <w:highlight w:val="none"/>
          <w:u w:val="none" w:color="auto"/>
          <w:shd w:val="clear" w:color="auto" w:fill="FFFFFF"/>
        </w:rPr>
        <w:t>季臭氧大气污染防治攻坚行动，确保空气质量优良天</w:t>
      </w:r>
      <w:r>
        <w:rPr>
          <w:rFonts w:hint="eastAsia" w:ascii="Times New Roman" w:hAnsi="Times New Roman" w:eastAsia="方正仿宋_GBK" w:cs="Times New Roman"/>
          <w:sz w:val="32"/>
          <w:szCs w:val="32"/>
          <w:highlight w:val="none"/>
          <w:u w:val="none" w:color="auto"/>
        </w:rPr>
        <w:t>数比率</w:t>
      </w:r>
      <w:r>
        <w:rPr>
          <w:rFonts w:ascii="Times New Roman" w:hAnsi="Times New Roman" w:eastAsia="方正仿宋_GBK" w:cs="Times New Roman"/>
          <w:sz w:val="32"/>
          <w:szCs w:val="32"/>
          <w:highlight w:val="none"/>
          <w:u w:val="none" w:color="auto"/>
        </w:rPr>
        <w:t>95%</w:t>
      </w:r>
      <w:r>
        <w:rPr>
          <w:rFonts w:hint="eastAsia" w:ascii="Times New Roman" w:hAnsi="Times New Roman" w:eastAsia="方正仿宋_GBK" w:cs="Times New Roman"/>
          <w:sz w:val="32"/>
          <w:szCs w:val="32"/>
          <w:highlight w:val="none"/>
          <w:u w:val="none" w:color="auto"/>
        </w:rPr>
        <w:t>以上</w:t>
      </w:r>
      <w:r>
        <w:rPr>
          <w:rFonts w:hint="eastAsia" w:ascii="Times New Roman" w:hAnsi="Times New Roman" w:eastAsia="方正仿宋_GBK" w:cs="Times New Roman"/>
          <w:sz w:val="32"/>
          <w:szCs w:val="32"/>
          <w:highlight w:val="none"/>
          <w:u w:val="none" w:color="auto"/>
          <w:lang w:eastAsia="zh-CN"/>
        </w:rPr>
        <w:t>。开展耕地周边涉镉等重金属污染成因分析或源头治理，确保重点建设用地安全利用率达到</w:t>
      </w:r>
      <w:r>
        <w:rPr>
          <w:rFonts w:hint="default" w:ascii="Times New Roman" w:hAnsi="Times New Roman" w:eastAsia="方正仿宋_GBK" w:cs="Times New Roman"/>
          <w:sz w:val="32"/>
          <w:szCs w:val="32"/>
          <w:highlight w:val="none"/>
          <w:u w:val="none" w:color="auto"/>
          <w:lang w:eastAsia="zh-CN"/>
        </w:rPr>
        <w:t>100%</w:t>
      </w:r>
      <w:r>
        <w:rPr>
          <w:rFonts w:hint="eastAsia" w:ascii="Times New Roman" w:hAnsi="Times New Roman" w:eastAsia="方正仿宋_GBK" w:cs="Times New Roman"/>
          <w:sz w:val="32"/>
          <w:szCs w:val="32"/>
          <w:highlight w:val="none"/>
          <w:u w:val="none" w:color="auto"/>
          <w:lang w:eastAsia="zh-CN"/>
        </w:rPr>
        <w:t>，受污染耕地安全利用率达到</w:t>
      </w:r>
      <w:r>
        <w:rPr>
          <w:rFonts w:hint="default" w:ascii="Times New Roman" w:hAnsi="Times New Roman" w:eastAsia="方正仿宋_GBK" w:cs="Times New Roman"/>
          <w:sz w:val="32"/>
          <w:szCs w:val="32"/>
          <w:highlight w:val="none"/>
          <w:u w:val="none" w:color="auto"/>
          <w:lang w:eastAsia="zh-CN"/>
        </w:rPr>
        <w:t>93%</w:t>
      </w:r>
      <w:r>
        <w:rPr>
          <w:rFonts w:hint="eastAsia" w:ascii="Times New Roman" w:hAnsi="Times New Roman" w:eastAsia="方正仿宋_GBK" w:cs="Times New Roman"/>
          <w:sz w:val="32"/>
          <w:szCs w:val="32"/>
          <w:highlight w:val="none"/>
          <w:u w:val="none" w:color="auto"/>
          <w:lang w:eastAsia="zh-CN"/>
        </w:rPr>
        <w:t>。</w:t>
      </w:r>
      <w:r>
        <w:rPr>
          <w:rFonts w:hint="eastAsia" w:ascii="Times New Roman" w:hAnsi="Times New Roman" w:eastAsia="方正仿宋_GBK" w:cs="Times New Roman"/>
          <w:b/>
          <w:bCs/>
          <w:sz w:val="32"/>
          <w:szCs w:val="32"/>
          <w:highlight w:val="none"/>
          <w:u w:val="none" w:color="auto"/>
          <w:lang w:eastAsia="zh-CN"/>
        </w:rPr>
        <w:t>加强</w:t>
      </w:r>
      <w:r>
        <w:rPr>
          <w:rFonts w:hint="eastAsia" w:ascii="Times New Roman" w:hAnsi="Times New Roman" w:eastAsia="方正仿宋_GBK"/>
          <w:b/>
          <w:bCs/>
          <w:sz w:val="32"/>
          <w:szCs w:val="32"/>
          <w:highlight w:val="none"/>
          <w:u w:val="none" w:color="auto"/>
          <w:lang w:val="en-US" w:eastAsia="zh-CN"/>
        </w:rPr>
        <w:t>生态保护修复。</w:t>
      </w:r>
      <w:r>
        <w:rPr>
          <w:rFonts w:hint="eastAsia" w:ascii="Times New Roman" w:hAnsi="Times New Roman" w:eastAsia="方正仿宋_GBK"/>
          <w:bCs/>
          <w:sz w:val="32"/>
          <w:szCs w:val="32"/>
          <w:highlight w:val="none"/>
          <w:u w:val="none" w:color="auto"/>
          <w:lang w:val="en-US" w:eastAsia="zh-CN"/>
        </w:rPr>
        <w:t>加快</w:t>
      </w:r>
      <w:r>
        <w:rPr>
          <w:rFonts w:hint="eastAsia" w:ascii="Times New Roman" w:hAnsi="Times New Roman" w:eastAsia="方正仿宋_GBK"/>
          <w:bCs/>
          <w:sz w:val="32"/>
          <w:szCs w:val="32"/>
          <w:highlight w:val="none"/>
          <w:u w:val="none" w:color="auto"/>
        </w:rPr>
        <w:t>推</w:t>
      </w:r>
      <w:r>
        <w:rPr>
          <w:rFonts w:hint="eastAsia" w:ascii="Times New Roman" w:hAnsi="Times New Roman" w:eastAsia="方正仿宋_GBK"/>
          <w:sz w:val="32"/>
          <w:szCs w:val="32"/>
          <w:highlight w:val="none"/>
          <w:u w:val="none" w:color="auto"/>
        </w:rPr>
        <w:t>进</w:t>
      </w:r>
      <w:r>
        <w:rPr>
          <w:rFonts w:hint="eastAsia" w:ascii="Times New Roman" w:hAnsi="Times New Roman" w:eastAsia="方正仿宋_GBK"/>
          <w:bCs/>
          <w:sz w:val="32"/>
          <w:szCs w:val="32"/>
          <w:highlight w:val="none"/>
          <w:u w:val="none" w:color="auto"/>
        </w:rPr>
        <w:t>“两岸青山·千里林带”等项目，完成营造林</w:t>
      </w:r>
      <w:r>
        <w:rPr>
          <w:rFonts w:hint="eastAsia" w:ascii="Times New Roman" w:hAnsi="Times New Roman" w:eastAsia="方正仿宋_GBK"/>
          <w:sz w:val="32"/>
          <w:szCs w:val="32"/>
          <w:highlight w:val="none"/>
          <w:u w:val="none" w:color="auto"/>
        </w:rPr>
        <w:t>20.</w:t>
      </w:r>
      <w:r>
        <w:rPr>
          <w:rFonts w:hint="eastAsia" w:ascii="Times New Roman" w:hAnsi="Times New Roman" w:eastAsia="方正仿宋_GBK"/>
          <w:sz w:val="32"/>
          <w:szCs w:val="32"/>
          <w:highlight w:val="none"/>
          <w:u w:val="none" w:color="auto"/>
          <w:lang w:val="en-US" w:eastAsia="zh-CN"/>
        </w:rPr>
        <w:t>4</w:t>
      </w:r>
      <w:r>
        <w:rPr>
          <w:rFonts w:hint="eastAsia" w:ascii="Times New Roman" w:hAnsi="Times New Roman" w:eastAsia="方正仿宋_GBK"/>
          <w:sz w:val="32"/>
          <w:szCs w:val="32"/>
          <w:highlight w:val="none"/>
          <w:u w:val="none" w:color="auto"/>
        </w:rPr>
        <w:t>万亩</w:t>
      </w:r>
      <w:r>
        <w:rPr>
          <w:rFonts w:hint="eastAsia" w:ascii="Times New Roman" w:hAnsi="Times New Roman" w:eastAsia="方正仿宋_GBK"/>
          <w:bCs/>
          <w:sz w:val="32"/>
          <w:szCs w:val="32"/>
          <w:highlight w:val="none"/>
          <w:u w:val="none" w:color="auto"/>
        </w:rPr>
        <w:t>、</w:t>
      </w:r>
      <w:r>
        <w:rPr>
          <w:rFonts w:ascii="Times New Roman" w:hAnsi="Times New Roman" w:eastAsia="方正仿宋_GBK"/>
          <w:bCs/>
          <w:sz w:val="32"/>
          <w:szCs w:val="32"/>
          <w:highlight w:val="none"/>
          <w:u w:val="none" w:color="auto"/>
        </w:rPr>
        <w:t>义务植树</w:t>
      </w:r>
      <w:r>
        <w:rPr>
          <w:rFonts w:hint="eastAsia" w:ascii="Times New Roman" w:hAnsi="Times New Roman" w:eastAsia="方正仿宋_GBK"/>
          <w:bCs/>
          <w:sz w:val="32"/>
          <w:szCs w:val="32"/>
          <w:highlight w:val="none"/>
          <w:u w:val="none" w:color="auto"/>
        </w:rPr>
        <w:t>300</w:t>
      </w:r>
      <w:r>
        <w:rPr>
          <w:rFonts w:ascii="Times New Roman" w:hAnsi="Times New Roman" w:eastAsia="方正仿宋_GBK"/>
          <w:bCs/>
          <w:sz w:val="32"/>
          <w:szCs w:val="32"/>
          <w:highlight w:val="none"/>
          <w:u w:val="none" w:color="auto"/>
        </w:rPr>
        <w:t>万株</w:t>
      </w:r>
      <w:r>
        <w:rPr>
          <w:rFonts w:hint="eastAsia" w:ascii="Times New Roman" w:hAnsi="Times New Roman" w:eastAsia="方正仿宋_GBK"/>
          <w:bCs/>
          <w:sz w:val="32"/>
          <w:szCs w:val="32"/>
          <w:highlight w:val="none"/>
          <w:u w:val="none" w:color="auto"/>
        </w:rPr>
        <w:t>以上</w:t>
      </w:r>
      <w:r>
        <w:rPr>
          <w:rFonts w:hint="eastAsia" w:ascii="Times New Roman" w:hAnsi="Times New Roman" w:eastAsia="方正仿宋_GBK"/>
          <w:bCs/>
          <w:sz w:val="32"/>
          <w:szCs w:val="32"/>
          <w:highlight w:val="none"/>
          <w:u w:val="none" w:color="auto"/>
          <w:lang w:eastAsia="zh-CN"/>
        </w:rPr>
        <w:t>。</w:t>
      </w:r>
      <w:r>
        <w:rPr>
          <w:rFonts w:hint="eastAsia" w:ascii="Times New Roman" w:hAnsi="Times New Roman" w:eastAsia="方正仿宋_GBK"/>
          <w:bCs/>
          <w:sz w:val="32"/>
          <w:szCs w:val="32"/>
          <w:highlight w:val="none"/>
          <w:u w:val="none" w:color="auto"/>
          <w:lang w:val="en-US" w:eastAsia="zh-CN"/>
        </w:rPr>
        <w:t>大力实施山水林田湖草沙一体化保护修复，完成首批三峡库区山水林田湖草沙一体化保护修复项目，治理水土流失100平方公里以上，完成关闭矿山生态修复8公顷。</w:t>
      </w:r>
      <w:r>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全面实施生物多样性保护行动计划，打好长江“十年禁渔”持久战。</w:t>
      </w:r>
      <w:r>
        <w:rPr>
          <w:rFonts w:hint="eastAsia" w:ascii="Times New Roman" w:hAnsi="Times New Roman" w:eastAsia="方正仿宋_GBK"/>
          <w:b w:val="0"/>
          <w:bCs w:val="0"/>
          <w:sz w:val="32"/>
          <w:szCs w:val="32"/>
          <w:highlight w:val="none"/>
          <w:u w:val="none" w:color="auto"/>
          <w:lang w:val="en-US" w:eastAsia="zh-CN"/>
        </w:rPr>
        <w:t>扎实推进中央和市级生态环境保护督察反馈问题整改。</w:t>
      </w:r>
    </w:p>
    <w:p w14:paraId="67C54E82">
      <w:pPr>
        <w:pStyle w:val="22"/>
        <w:keepNext w:val="0"/>
        <w:keepLines w:val="0"/>
        <w:pageBreakBefore w:val="0"/>
        <w:numPr>
          <w:ilvl w:val="0"/>
          <w:numId w:val="0"/>
        </w:numPr>
        <w:kinsoku/>
        <w:wordWrap/>
        <w:overflowPunct/>
        <w:topLinePunct w:val="0"/>
        <w:autoSpaceDE/>
        <w:autoSpaceDN/>
        <w:bidi w:val="0"/>
        <w:adjustRightInd/>
        <w:snapToGrid/>
        <w:spacing w:line="578" w:lineRule="exact"/>
        <w:ind w:left="0" w:firstLine="643" w:firstLineChars="200"/>
        <w:rPr>
          <w:rFonts w:hint="eastAsia" w:ascii="Times New Roman" w:hAnsi="Times New Roman" w:eastAsia="方正仿宋_GBK"/>
          <w:b w:val="0"/>
          <w:bCs w:val="0"/>
          <w:sz w:val="32"/>
          <w:szCs w:val="32"/>
          <w:highlight w:val="none"/>
          <w:u w:val="none" w:color="auto"/>
          <w:lang w:val="en-US" w:eastAsia="zh-CN"/>
        </w:rPr>
      </w:pPr>
      <w:r>
        <w:rPr>
          <w:rFonts w:hint="eastAsia" w:ascii="Times New Roman" w:hAnsi="Times New Roman" w:eastAsia="方正仿宋_GBK"/>
          <w:b/>
          <w:bCs/>
          <w:sz w:val="32"/>
          <w:szCs w:val="32"/>
          <w:highlight w:val="none"/>
          <w:u w:val="none" w:color="auto"/>
          <w:lang w:val="en-US" w:eastAsia="zh-CN"/>
        </w:rPr>
        <w:t>二是推动绿色发展提质增效。</w:t>
      </w:r>
      <w:r>
        <w:rPr>
          <w:rFonts w:hint="eastAsia" w:ascii="Times New Roman" w:hAnsi="Times New Roman" w:eastAsia="方正仿宋_GBK" w:cs="Times New Roman"/>
          <w:sz w:val="32"/>
          <w:szCs w:val="32"/>
          <w:highlight w:val="none"/>
          <w:u w:val="none" w:color="auto"/>
          <w:lang w:val="en-US" w:eastAsia="zh-CN"/>
        </w:rPr>
        <w:t>积极稳妥推进碳达峰碳中和，实施减污降碳协同增效行动，严格落实云阳县“三线一单”分区管控要求，坚决遏制“两高”项目落地，引导绿色低碳产业发展。</w:t>
      </w:r>
      <w:r>
        <w:rPr>
          <w:rFonts w:hint="eastAsia" w:ascii="Times New Roman" w:hAnsi="Times New Roman" w:eastAsia="方正仿宋_GBK"/>
          <w:b w:val="0"/>
          <w:bCs w:val="0"/>
          <w:sz w:val="32"/>
          <w:szCs w:val="32"/>
          <w:highlight w:val="none"/>
          <w:u w:val="none" w:color="auto"/>
          <w:lang w:val="en-US" w:eastAsia="zh-CN"/>
        </w:rPr>
        <w:t>加快推进大规模设备更新，鼓励企业加大新装备、新工艺、新技术应用，力</w:t>
      </w:r>
      <w:r>
        <w:rPr>
          <w:rFonts w:hint="eastAsia" w:ascii="Times New Roman" w:hAnsi="Times New Roman" w:eastAsia="方正仿宋_GBK"/>
          <w:b w:val="0"/>
          <w:bCs w:val="0"/>
          <w:sz w:val="32"/>
          <w:szCs w:val="32"/>
          <w:highlight w:val="none"/>
          <w:u w:val="none" w:color="auto"/>
          <w:lang w:val="en-US" w:eastAsia="zh-CN"/>
        </w:rPr>
        <w:t>争全年实施锦艺新材料、德仁新饲料等技术改造项目30个以上，培育国家级绿色工厂1家。加快推</w:t>
      </w:r>
      <w:r>
        <w:rPr>
          <w:rFonts w:hint="eastAsia" w:ascii="Times New Roman" w:hAnsi="Times New Roman" w:eastAsia="方正仿宋_GBK"/>
          <w:b w:val="0"/>
          <w:bCs w:val="0"/>
          <w:sz w:val="32"/>
          <w:szCs w:val="32"/>
          <w:highlight w:val="none"/>
          <w:u w:val="none" w:color="auto"/>
          <w:lang w:val="en-US" w:eastAsia="zh-CN"/>
        </w:rPr>
        <w:t>进市级气候投融资试点，打造气候投融资经典案例10个，开发应用气候投融资金融工具、金融产品1—2款，做好绿色金融改革创新试验工作。着力构建“风光水储一体化、源网荷储一体化”的清洁能源体系，提速洞鹿风电、宝坪光伏等项目建设。</w:t>
      </w:r>
    </w:p>
    <w:p w14:paraId="7B84212B">
      <w:pPr>
        <w:pStyle w:val="13"/>
        <w:rPr>
          <w:rFonts w:hint="default" w:ascii="Times New Roman" w:hAnsi="Times New Roman"/>
          <w:highlight w:val="none"/>
          <w:u w:val="none" w:color="auto"/>
          <w:lang w:val="en-US" w:eastAsia="zh-CN"/>
        </w:rPr>
      </w:pPr>
    </w:p>
    <w:sectPr>
      <w:footerReference r:id="rId3" w:type="default"/>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80299172-F619-44D7-B6AF-FB7B4F843039}"/>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embedRegular r:id="rId2" w:fontKey="{FCF3147F-585F-4C7C-A6DD-90819B61EF39}"/>
  </w:font>
  <w:font w:name="仿宋_GB2312">
    <w:altName w:val="仿宋"/>
    <w:panose1 w:val="00000000000000000000"/>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embedRegular r:id="rId3" w:fontKey="{394955E2-83E8-43E9-9535-C9B177C3930B}"/>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71B13">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7EBE7">
                          <w:pPr>
                            <w:pStyle w:val="14"/>
                            <w:keepNext w:val="0"/>
                            <w:keepLines w:val="0"/>
                            <w:pageBreakBefore w:val="0"/>
                            <w:widowControl w:val="0"/>
                            <w:kinsoku/>
                            <w:wordWrap/>
                            <w:overflowPunct/>
                            <w:topLinePunct w:val="0"/>
                            <w:bidi w:val="0"/>
                            <w:adjustRightInd/>
                            <w:snapToGrid w:val="0"/>
                            <w:ind w:right="210" w:rightChars="100" w:firstLine="280" w:firstLine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A7EBE7">
                    <w:pPr>
                      <w:pStyle w:val="14"/>
                      <w:keepNext w:val="0"/>
                      <w:keepLines w:val="0"/>
                      <w:pageBreakBefore w:val="0"/>
                      <w:widowControl w:val="0"/>
                      <w:kinsoku/>
                      <w:wordWrap/>
                      <w:overflowPunct/>
                      <w:topLinePunct w:val="0"/>
                      <w:bidi w:val="0"/>
                      <w:adjustRightInd/>
                      <w:snapToGrid w:val="0"/>
                      <w:ind w:right="210" w:rightChars="100" w:firstLine="280" w:firstLine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YWE2NzA4NjMxZDBjMmM1YTU4M2QzZmViZjlkNGEifQ=="/>
  </w:docVars>
  <w:rsids>
    <w:rsidRoot w:val="5B705E8F"/>
    <w:rsid w:val="004C6093"/>
    <w:rsid w:val="004E0863"/>
    <w:rsid w:val="00C054F2"/>
    <w:rsid w:val="00D42B17"/>
    <w:rsid w:val="011B572A"/>
    <w:rsid w:val="018B09DB"/>
    <w:rsid w:val="01A34369"/>
    <w:rsid w:val="01B2185F"/>
    <w:rsid w:val="01C0753F"/>
    <w:rsid w:val="01D408F4"/>
    <w:rsid w:val="01E50D53"/>
    <w:rsid w:val="021F4265"/>
    <w:rsid w:val="024609FA"/>
    <w:rsid w:val="027C369B"/>
    <w:rsid w:val="029C1412"/>
    <w:rsid w:val="02CB1CF7"/>
    <w:rsid w:val="03103BAE"/>
    <w:rsid w:val="03443858"/>
    <w:rsid w:val="03561F09"/>
    <w:rsid w:val="035D2013"/>
    <w:rsid w:val="03B56B3F"/>
    <w:rsid w:val="03DC0A65"/>
    <w:rsid w:val="03E70DB3"/>
    <w:rsid w:val="04385958"/>
    <w:rsid w:val="04461F7D"/>
    <w:rsid w:val="04504BAA"/>
    <w:rsid w:val="0473605D"/>
    <w:rsid w:val="048905A1"/>
    <w:rsid w:val="04D527FC"/>
    <w:rsid w:val="04FA1554"/>
    <w:rsid w:val="05271FFB"/>
    <w:rsid w:val="052F2A11"/>
    <w:rsid w:val="053578FC"/>
    <w:rsid w:val="053D3CFB"/>
    <w:rsid w:val="055E63E0"/>
    <w:rsid w:val="05681A7F"/>
    <w:rsid w:val="05706B86"/>
    <w:rsid w:val="05844C79"/>
    <w:rsid w:val="058D7738"/>
    <w:rsid w:val="05976809"/>
    <w:rsid w:val="05A50F26"/>
    <w:rsid w:val="05C4143E"/>
    <w:rsid w:val="05C84C14"/>
    <w:rsid w:val="05E97D7C"/>
    <w:rsid w:val="05F92647"/>
    <w:rsid w:val="060F2843"/>
    <w:rsid w:val="061816F7"/>
    <w:rsid w:val="06481EFA"/>
    <w:rsid w:val="065B3392"/>
    <w:rsid w:val="068A6917"/>
    <w:rsid w:val="069C0B90"/>
    <w:rsid w:val="06A156DC"/>
    <w:rsid w:val="06A72A7B"/>
    <w:rsid w:val="06B937F7"/>
    <w:rsid w:val="06EE2848"/>
    <w:rsid w:val="06F32BFB"/>
    <w:rsid w:val="072E5553"/>
    <w:rsid w:val="075C4BC0"/>
    <w:rsid w:val="076A5F83"/>
    <w:rsid w:val="076F3599"/>
    <w:rsid w:val="079B25E0"/>
    <w:rsid w:val="07BA26B0"/>
    <w:rsid w:val="07BB67DE"/>
    <w:rsid w:val="07BE007D"/>
    <w:rsid w:val="08397703"/>
    <w:rsid w:val="088F5CC1"/>
    <w:rsid w:val="08A96637"/>
    <w:rsid w:val="08C01BD2"/>
    <w:rsid w:val="08C23B0C"/>
    <w:rsid w:val="08CA47FF"/>
    <w:rsid w:val="08D00067"/>
    <w:rsid w:val="08D833C0"/>
    <w:rsid w:val="08FD3BF2"/>
    <w:rsid w:val="090441B5"/>
    <w:rsid w:val="091B505B"/>
    <w:rsid w:val="091D0DD3"/>
    <w:rsid w:val="092E4D8E"/>
    <w:rsid w:val="09523172"/>
    <w:rsid w:val="0A0C1573"/>
    <w:rsid w:val="0ABC3FED"/>
    <w:rsid w:val="0ACF25A3"/>
    <w:rsid w:val="0ADA51CD"/>
    <w:rsid w:val="0AE20513"/>
    <w:rsid w:val="0AF07676"/>
    <w:rsid w:val="0B3D575C"/>
    <w:rsid w:val="0B403215"/>
    <w:rsid w:val="0B534F80"/>
    <w:rsid w:val="0B64718D"/>
    <w:rsid w:val="0B8B5B25"/>
    <w:rsid w:val="0B9A49F7"/>
    <w:rsid w:val="0BAA1044"/>
    <w:rsid w:val="0BBE124B"/>
    <w:rsid w:val="0BC23F6A"/>
    <w:rsid w:val="0BD80C0E"/>
    <w:rsid w:val="0C300E1D"/>
    <w:rsid w:val="0C576503"/>
    <w:rsid w:val="0C7B5B99"/>
    <w:rsid w:val="0C8F023A"/>
    <w:rsid w:val="0C951D2E"/>
    <w:rsid w:val="0CA23AC9"/>
    <w:rsid w:val="0D0F4ED6"/>
    <w:rsid w:val="0D1A5D55"/>
    <w:rsid w:val="0D3D30EB"/>
    <w:rsid w:val="0D4B23B2"/>
    <w:rsid w:val="0D51729D"/>
    <w:rsid w:val="0D8633EB"/>
    <w:rsid w:val="0DCD1019"/>
    <w:rsid w:val="0DFA44A7"/>
    <w:rsid w:val="0E1924B1"/>
    <w:rsid w:val="0E2826F4"/>
    <w:rsid w:val="0E3A5F83"/>
    <w:rsid w:val="0E4532A6"/>
    <w:rsid w:val="0E456E02"/>
    <w:rsid w:val="0E501060"/>
    <w:rsid w:val="0EAE0E4B"/>
    <w:rsid w:val="0ECE04F6"/>
    <w:rsid w:val="0ED61370"/>
    <w:rsid w:val="0EDE2DB2"/>
    <w:rsid w:val="0F210269"/>
    <w:rsid w:val="0F256C33"/>
    <w:rsid w:val="0FA933C0"/>
    <w:rsid w:val="0FB029A1"/>
    <w:rsid w:val="0FB31FBB"/>
    <w:rsid w:val="0FFA3740"/>
    <w:rsid w:val="10771680"/>
    <w:rsid w:val="10784632"/>
    <w:rsid w:val="10A450C0"/>
    <w:rsid w:val="10B55F8E"/>
    <w:rsid w:val="10EA3C90"/>
    <w:rsid w:val="10FB396F"/>
    <w:rsid w:val="111807FE"/>
    <w:rsid w:val="111B6540"/>
    <w:rsid w:val="11317B11"/>
    <w:rsid w:val="114E2471"/>
    <w:rsid w:val="11557EE8"/>
    <w:rsid w:val="1158509E"/>
    <w:rsid w:val="11800151"/>
    <w:rsid w:val="119D6F55"/>
    <w:rsid w:val="11CE710E"/>
    <w:rsid w:val="11E903EC"/>
    <w:rsid w:val="1206091A"/>
    <w:rsid w:val="12137246"/>
    <w:rsid w:val="1229383F"/>
    <w:rsid w:val="122B4561"/>
    <w:rsid w:val="12505D75"/>
    <w:rsid w:val="125F3A56"/>
    <w:rsid w:val="126E4812"/>
    <w:rsid w:val="127A1D47"/>
    <w:rsid w:val="129C7F02"/>
    <w:rsid w:val="12DD3BD0"/>
    <w:rsid w:val="1319260B"/>
    <w:rsid w:val="133438E9"/>
    <w:rsid w:val="13421B62"/>
    <w:rsid w:val="134E49AB"/>
    <w:rsid w:val="134F5527"/>
    <w:rsid w:val="13516249"/>
    <w:rsid w:val="135D2A31"/>
    <w:rsid w:val="136C14FB"/>
    <w:rsid w:val="136D4631"/>
    <w:rsid w:val="13767A5D"/>
    <w:rsid w:val="139B74C4"/>
    <w:rsid w:val="13A4281C"/>
    <w:rsid w:val="13C20EF5"/>
    <w:rsid w:val="13E470BD"/>
    <w:rsid w:val="14123C2A"/>
    <w:rsid w:val="144638D4"/>
    <w:rsid w:val="144C2B30"/>
    <w:rsid w:val="145A2D69"/>
    <w:rsid w:val="146A7F28"/>
    <w:rsid w:val="146D4A8E"/>
    <w:rsid w:val="147D6BCA"/>
    <w:rsid w:val="14900FF3"/>
    <w:rsid w:val="14951C6C"/>
    <w:rsid w:val="14C87183"/>
    <w:rsid w:val="14E51181"/>
    <w:rsid w:val="14F0180C"/>
    <w:rsid w:val="15296E2A"/>
    <w:rsid w:val="153E66BC"/>
    <w:rsid w:val="15433AE1"/>
    <w:rsid w:val="156D10F1"/>
    <w:rsid w:val="15977DC9"/>
    <w:rsid w:val="15D1541F"/>
    <w:rsid w:val="15FE7261"/>
    <w:rsid w:val="160475A2"/>
    <w:rsid w:val="166444E5"/>
    <w:rsid w:val="166D4C14"/>
    <w:rsid w:val="16A8318F"/>
    <w:rsid w:val="16CD7C73"/>
    <w:rsid w:val="16DA45AD"/>
    <w:rsid w:val="16E15B36"/>
    <w:rsid w:val="16E178E4"/>
    <w:rsid w:val="16FE5EC8"/>
    <w:rsid w:val="1706734A"/>
    <w:rsid w:val="170A0BE8"/>
    <w:rsid w:val="17127A9D"/>
    <w:rsid w:val="171E28E6"/>
    <w:rsid w:val="1734773E"/>
    <w:rsid w:val="1735086C"/>
    <w:rsid w:val="17465999"/>
    <w:rsid w:val="17733D48"/>
    <w:rsid w:val="178E1A4E"/>
    <w:rsid w:val="17AF353E"/>
    <w:rsid w:val="18143C58"/>
    <w:rsid w:val="181B6E25"/>
    <w:rsid w:val="185C36C6"/>
    <w:rsid w:val="186B3D04"/>
    <w:rsid w:val="18956BD8"/>
    <w:rsid w:val="18DA3D75"/>
    <w:rsid w:val="18DC4807"/>
    <w:rsid w:val="18EC27F2"/>
    <w:rsid w:val="193225C5"/>
    <w:rsid w:val="19341F4D"/>
    <w:rsid w:val="196B16E7"/>
    <w:rsid w:val="19933997"/>
    <w:rsid w:val="19BB2E57"/>
    <w:rsid w:val="19F034D5"/>
    <w:rsid w:val="1A246465"/>
    <w:rsid w:val="1A2D6FC7"/>
    <w:rsid w:val="1A366198"/>
    <w:rsid w:val="1A4408B5"/>
    <w:rsid w:val="1A4E2B62"/>
    <w:rsid w:val="1A6417E4"/>
    <w:rsid w:val="1A7C004F"/>
    <w:rsid w:val="1ACA3608"/>
    <w:rsid w:val="1AED21FE"/>
    <w:rsid w:val="1AF303A8"/>
    <w:rsid w:val="1AFD11C6"/>
    <w:rsid w:val="1AFE322C"/>
    <w:rsid w:val="1B0167A6"/>
    <w:rsid w:val="1B2B6606"/>
    <w:rsid w:val="1B395F40"/>
    <w:rsid w:val="1B846C34"/>
    <w:rsid w:val="1B903686"/>
    <w:rsid w:val="1B9273FE"/>
    <w:rsid w:val="1B950C9D"/>
    <w:rsid w:val="1BAF6202"/>
    <w:rsid w:val="1BB9498B"/>
    <w:rsid w:val="1BD45C69"/>
    <w:rsid w:val="1BED43A3"/>
    <w:rsid w:val="1BFD6F6E"/>
    <w:rsid w:val="1C2C7853"/>
    <w:rsid w:val="1C3D6695"/>
    <w:rsid w:val="1C550B58"/>
    <w:rsid w:val="1C5B1EE6"/>
    <w:rsid w:val="1C71524A"/>
    <w:rsid w:val="1CAC2742"/>
    <w:rsid w:val="1CF230FA"/>
    <w:rsid w:val="1D0B56BA"/>
    <w:rsid w:val="1D193BF3"/>
    <w:rsid w:val="1D6B6159"/>
    <w:rsid w:val="1DAD6772"/>
    <w:rsid w:val="1DB95116"/>
    <w:rsid w:val="1DC95998"/>
    <w:rsid w:val="1DCC2DE1"/>
    <w:rsid w:val="1E171619"/>
    <w:rsid w:val="1E222CBC"/>
    <w:rsid w:val="1E294391"/>
    <w:rsid w:val="1E5E181A"/>
    <w:rsid w:val="1E9F430C"/>
    <w:rsid w:val="1EA062D6"/>
    <w:rsid w:val="1EA336D1"/>
    <w:rsid w:val="1EA5569B"/>
    <w:rsid w:val="1EEA12FF"/>
    <w:rsid w:val="1F72557D"/>
    <w:rsid w:val="1F7E6617"/>
    <w:rsid w:val="1F9279CD"/>
    <w:rsid w:val="1FA12306"/>
    <w:rsid w:val="1FA24E77"/>
    <w:rsid w:val="1FC25D19"/>
    <w:rsid w:val="1FC5256A"/>
    <w:rsid w:val="1FE87F35"/>
    <w:rsid w:val="2006175C"/>
    <w:rsid w:val="201D2128"/>
    <w:rsid w:val="20254CE5"/>
    <w:rsid w:val="207F0328"/>
    <w:rsid w:val="20E95D13"/>
    <w:rsid w:val="20EC708A"/>
    <w:rsid w:val="211865F8"/>
    <w:rsid w:val="215A09BE"/>
    <w:rsid w:val="217A6BD0"/>
    <w:rsid w:val="219537A4"/>
    <w:rsid w:val="21A2548E"/>
    <w:rsid w:val="21A53933"/>
    <w:rsid w:val="21A777BD"/>
    <w:rsid w:val="21D56297"/>
    <w:rsid w:val="21F60DFA"/>
    <w:rsid w:val="220607EF"/>
    <w:rsid w:val="222041B4"/>
    <w:rsid w:val="22223D21"/>
    <w:rsid w:val="222F3BF9"/>
    <w:rsid w:val="223C6316"/>
    <w:rsid w:val="22484CBB"/>
    <w:rsid w:val="224D66D5"/>
    <w:rsid w:val="22804455"/>
    <w:rsid w:val="22F866E1"/>
    <w:rsid w:val="230639FB"/>
    <w:rsid w:val="230A1F70"/>
    <w:rsid w:val="23171B76"/>
    <w:rsid w:val="23204FDC"/>
    <w:rsid w:val="2331574F"/>
    <w:rsid w:val="23405992"/>
    <w:rsid w:val="2350337E"/>
    <w:rsid w:val="237D2742"/>
    <w:rsid w:val="23AA169B"/>
    <w:rsid w:val="23B0178A"/>
    <w:rsid w:val="23B24756"/>
    <w:rsid w:val="242B219E"/>
    <w:rsid w:val="243C43AB"/>
    <w:rsid w:val="24622678"/>
    <w:rsid w:val="24914A82"/>
    <w:rsid w:val="24F266F0"/>
    <w:rsid w:val="25701D7D"/>
    <w:rsid w:val="2575673E"/>
    <w:rsid w:val="25815638"/>
    <w:rsid w:val="259A12AB"/>
    <w:rsid w:val="25AC730F"/>
    <w:rsid w:val="25C23CDC"/>
    <w:rsid w:val="25CD5C03"/>
    <w:rsid w:val="25DE1BBE"/>
    <w:rsid w:val="25E42F4C"/>
    <w:rsid w:val="26063582"/>
    <w:rsid w:val="263B74AD"/>
    <w:rsid w:val="263D13C1"/>
    <w:rsid w:val="26487037"/>
    <w:rsid w:val="264D6D44"/>
    <w:rsid w:val="26695200"/>
    <w:rsid w:val="268117A7"/>
    <w:rsid w:val="268A7650"/>
    <w:rsid w:val="26B74F7E"/>
    <w:rsid w:val="26D365F5"/>
    <w:rsid w:val="26EC20B9"/>
    <w:rsid w:val="27182EAE"/>
    <w:rsid w:val="278E4F1E"/>
    <w:rsid w:val="27D36DD5"/>
    <w:rsid w:val="27D65618"/>
    <w:rsid w:val="27DC037F"/>
    <w:rsid w:val="27E56B08"/>
    <w:rsid w:val="27E82557"/>
    <w:rsid w:val="281A0EA7"/>
    <w:rsid w:val="2829105A"/>
    <w:rsid w:val="282B09BF"/>
    <w:rsid w:val="28397580"/>
    <w:rsid w:val="284708D1"/>
    <w:rsid w:val="28785CD9"/>
    <w:rsid w:val="28810F26"/>
    <w:rsid w:val="28884063"/>
    <w:rsid w:val="28B05368"/>
    <w:rsid w:val="28E503CD"/>
    <w:rsid w:val="28E978C7"/>
    <w:rsid w:val="28EF6E22"/>
    <w:rsid w:val="28F926AD"/>
    <w:rsid w:val="290318AB"/>
    <w:rsid w:val="290D1C5D"/>
    <w:rsid w:val="2912392D"/>
    <w:rsid w:val="2927562A"/>
    <w:rsid w:val="29287563"/>
    <w:rsid w:val="292875F4"/>
    <w:rsid w:val="293470A9"/>
    <w:rsid w:val="2939710B"/>
    <w:rsid w:val="294A30C6"/>
    <w:rsid w:val="297B7724"/>
    <w:rsid w:val="2996630C"/>
    <w:rsid w:val="299D58EC"/>
    <w:rsid w:val="29E72F7B"/>
    <w:rsid w:val="2A331DAD"/>
    <w:rsid w:val="2A545C41"/>
    <w:rsid w:val="2A6F54DA"/>
    <w:rsid w:val="2A756869"/>
    <w:rsid w:val="2A8D47D5"/>
    <w:rsid w:val="2A9A017F"/>
    <w:rsid w:val="2AB90504"/>
    <w:rsid w:val="2ACB4020"/>
    <w:rsid w:val="2AF404DD"/>
    <w:rsid w:val="2AF966CA"/>
    <w:rsid w:val="2B015E80"/>
    <w:rsid w:val="2B30453E"/>
    <w:rsid w:val="2B342280"/>
    <w:rsid w:val="2B3460B4"/>
    <w:rsid w:val="2B4F2DF9"/>
    <w:rsid w:val="2B54022C"/>
    <w:rsid w:val="2B5476A1"/>
    <w:rsid w:val="2B69017C"/>
    <w:rsid w:val="2B970F1A"/>
    <w:rsid w:val="2BA50A88"/>
    <w:rsid w:val="2BAC1E16"/>
    <w:rsid w:val="2BC90C1A"/>
    <w:rsid w:val="2BDF043E"/>
    <w:rsid w:val="2BFC0FF0"/>
    <w:rsid w:val="2C136339"/>
    <w:rsid w:val="2C212804"/>
    <w:rsid w:val="2C3B13EC"/>
    <w:rsid w:val="2C491D5B"/>
    <w:rsid w:val="2C4B162F"/>
    <w:rsid w:val="2C6251B5"/>
    <w:rsid w:val="2C732934"/>
    <w:rsid w:val="2C8273EB"/>
    <w:rsid w:val="2CA80672"/>
    <w:rsid w:val="2CBB49CC"/>
    <w:rsid w:val="2CF631E9"/>
    <w:rsid w:val="2CF972DD"/>
    <w:rsid w:val="2D373DBD"/>
    <w:rsid w:val="2D502C75"/>
    <w:rsid w:val="2D5C161A"/>
    <w:rsid w:val="2D7352E2"/>
    <w:rsid w:val="2D7C702A"/>
    <w:rsid w:val="2D876C69"/>
    <w:rsid w:val="2D8A43D9"/>
    <w:rsid w:val="2D8C1F00"/>
    <w:rsid w:val="2DD375EA"/>
    <w:rsid w:val="2E4F471D"/>
    <w:rsid w:val="2E5844D8"/>
    <w:rsid w:val="2E61338C"/>
    <w:rsid w:val="2EBF3285"/>
    <w:rsid w:val="2EC41B6D"/>
    <w:rsid w:val="2EE30245"/>
    <w:rsid w:val="2F3E36CD"/>
    <w:rsid w:val="2F7D2448"/>
    <w:rsid w:val="2F882B9B"/>
    <w:rsid w:val="2FC11AE6"/>
    <w:rsid w:val="300B63B9"/>
    <w:rsid w:val="3010119F"/>
    <w:rsid w:val="301E705B"/>
    <w:rsid w:val="3050460D"/>
    <w:rsid w:val="30975D98"/>
    <w:rsid w:val="309C68FD"/>
    <w:rsid w:val="31163B69"/>
    <w:rsid w:val="312955B6"/>
    <w:rsid w:val="31880FC8"/>
    <w:rsid w:val="31A60C22"/>
    <w:rsid w:val="31FC517A"/>
    <w:rsid w:val="32110C25"/>
    <w:rsid w:val="3212499D"/>
    <w:rsid w:val="32313075"/>
    <w:rsid w:val="32582CF8"/>
    <w:rsid w:val="32604BB6"/>
    <w:rsid w:val="326E6078"/>
    <w:rsid w:val="32F56799"/>
    <w:rsid w:val="33075BC0"/>
    <w:rsid w:val="33462B51"/>
    <w:rsid w:val="336D4EC5"/>
    <w:rsid w:val="339C09C3"/>
    <w:rsid w:val="33A700A6"/>
    <w:rsid w:val="33C65A3F"/>
    <w:rsid w:val="33C70135"/>
    <w:rsid w:val="34020A5A"/>
    <w:rsid w:val="340628FA"/>
    <w:rsid w:val="340F73E6"/>
    <w:rsid w:val="3414536B"/>
    <w:rsid w:val="342B4E18"/>
    <w:rsid w:val="344706A0"/>
    <w:rsid w:val="34473024"/>
    <w:rsid w:val="344A52E4"/>
    <w:rsid w:val="345117AD"/>
    <w:rsid w:val="34655258"/>
    <w:rsid w:val="346556C6"/>
    <w:rsid w:val="34A35960"/>
    <w:rsid w:val="34AF2977"/>
    <w:rsid w:val="34B13389"/>
    <w:rsid w:val="34BA37F6"/>
    <w:rsid w:val="34BE785C"/>
    <w:rsid w:val="35040E85"/>
    <w:rsid w:val="35143F5C"/>
    <w:rsid w:val="352E1AEE"/>
    <w:rsid w:val="353115DE"/>
    <w:rsid w:val="356E5739"/>
    <w:rsid w:val="35B46497"/>
    <w:rsid w:val="35C44201"/>
    <w:rsid w:val="35E328D9"/>
    <w:rsid w:val="36183502"/>
    <w:rsid w:val="363C2F28"/>
    <w:rsid w:val="363E2205"/>
    <w:rsid w:val="36427956"/>
    <w:rsid w:val="365657A0"/>
    <w:rsid w:val="366652B8"/>
    <w:rsid w:val="36914A2B"/>
    <w:rsid w:val="37192788"/>
    <w:rsid w:val="37296A11"/>
    <w:rsid w:val="374B4BD9"/>
    <w:rsid w:val="37607553"/>
    <w:rsid w:val="376E2676"/>
    <w:rsid w:val="37757EA8"/>
    <w:rsid w:val="37935918"/>
    <w:rsid w:val="380A1955"/>
    <w:rsid w:val="381274A5"/>
    <w:rsid w:val="38163439"/>
    <w:rsid w:val="38392C84"/>
    <w:rsid w:val="38452E97"/>
    <w:rsid w:val="387B329C"/>
    <w:rsid w:val="38B46F01"/>
    <w:rsid w:val="38E3083D"/>
    <w:rsid w:val="38FE14F3"/>
    <w:rsid w:val="39A64349"/>
    <w:rsid w:val="39B27192"/>
    <w:rsid w:val="3A2D05C6"/>
    <w:rsid w:val="3A351AE0"/>
    <w:rsid w:val="3A535CE8"/>
    <w:rsid w:val="3A536DFC"/>
    <w:rsid w:val="3A7E5235"/>
    <w:rsid w:val="3B092091"/>
    <w:rsid w:val="3B143534"/>
    <w:rsid w:val="3B351E28"/>
    <w:rsid w:val="3B404329"/>
    <w:rsid w:val="3B6236A0"/>
    <w:rsid w:val="3B7A3CDF"/>
    <w:rsid w:val="3B98620E"/>
    <w:rsid w:val="3B9D24B0"/>
    <w:rsid w:val="3BA64AD4"/>
    <w:rsid w:val="3BB03CB1"/>
    <w:rsid w:val="3BCB453B"/>
    <w:rsid w:val="3BE61375"/>
    <w:rsid w:val="3BE719E8"/>
    <w:rsid w:val="3C5067EE"/>
    <w:rsid w:val="3C554718"/>
    <w:rsid w:val="3C662A48"/>
    <w:rsid w:val="3CAC1624"/>
    <w:rsid w:val="3CBA010B"/>
    <w:rsid w:val="3CBB45AF"/>
    <w:rsid w:val="3CC01BC6"/>
    <w:rsid w:val="3CCB40C7"/>
    <w:rsid w:val="3CDB255C"/>
    <w:rsid w:val="3CE24074"/>
    <w:rsid w:val="3CE358B4"/>
    <w:rsid w:val="3CE37662"/>
    <w:rsid w:val="3CEC4769"/>
    <w:rsid w:val="3CFD6976"/>
    <w:rsid w:val="3D314871"/>
    <w:rsid w:val="3D5D7415"/>
    <w:rsid w:val="3D69400B"/>
    <w:rsid w:val="3D6C098B"/>
    <w:rsid w:val="3D7674BC"/>
    <w:rsid w:val="3D9A76D5"/>
    <w:rsid w:val="3DA23079"/>
    <w:rsid w:val="3DA43295"/>
    <w:rsid w:val="3DA768E2"/>
    <w:rsid w:val="3DAB63D2"/>
    <w:rsid w:val="3DB12122"/>
    <w:rsid w:val="3DB334D8"/>
    <w:rsid w:val="3DBD6105"/>
    <w:rsid w:val="3DCE3E6E"/>
    <w:rsid w:val="3DD552CF"/>
    <w:rsid w:val="3DEC0810"/>
    <w:rsid w:val="3E115986"/>
    <w:rsid w:val="3E2972F7"/>
    <w:rsid w:val="3E6622F9"/>
    <w:rsid w:val="3E9C5D1B"/>
    <w:rsid w:val="3E9E7CE5"/>
    <w:rsid w:val="3EA64DEB"/>
    <w:rsid w:val="3EB47508"/>
    <w:rsid w:val="3ECA0ADA"/>
    <w:rsid w:val="3ED77FFB"/>
    <w:rsid w:val="3EEA117C"/>
    <w:rsid w:val="3EFA36A4"/>
    <w:rsid w:val="3F081602"/>
    <w:rsid w:val="3F2D1069"/>
    <w:rsid w:val="3F3C12AC"/>
    <w:rsid w:val="3F400D9C"/>
    <w:rsid w:val="3F4C4898"/>
    <w:rsid w:val="3F4F0FDF"/>
    <w:rsid w:val="3F631903"/>
    <w:rsid w:val="3F663C97"/>
    <w:rsid w:val="3F95131C"/>
    <w:rsid w:val="3FC419CD"/>
    <w:rsid w:val="3FCE3808"/>
    <w:rsid w:val="40093884"/>
    <w:rsid w:val="402265D6"/>
    <w:rsid w:val="409019AD"/>
    <w:rsid w:val="409C0254"/>
    <w:rsid w:val="40D043A1"/>
    <w:rsid w:val="40EA0E01"/>
    <w:rsid w:val="41016749"/>
    <w:rsid w:val="412070D7"/>
    <w:rsid w:val="41313092"/>
    <w:rsid w:val="415A1CC9"/>
    <w:rsid w:val="416F3BBA"/>
    <w:rsid w:val="41780CC1"/>
    <w:rsid w:val="41A90E7A"/>
    <w:rsid w:val="41B617E9"/>
    <w:rsid w:val="41CA7043"/>
    <w:rsid w:val="41CE602D"/>
    <w:rsid w:val="41D844DF"/>
    <w:rsid w:val="42073DF3"/>
    <w:rsid w:val="421D662F"/>
    <w:rsid w:val="42277FF1"/>
    <w:rsid w:val="423544BC"/>
    <w:rsid w:val="423F358D"/>
    <w:rsid w:val="425228BE"/>
    <w:rsid w:val="42781DC2"/>
    <w:rsid w:val="427C658F"/>
    <w:rsid w:val="42C85330"/>
    <w:rsid w:val="42D83F6B"/>
    <w:rsid w:val="42E31525"/>
    <w:rsid w:val="42E83C24"/>
    <w:rsid w:val="42F415AC"/>
    <w:rsid w:val="42FB3958"/>
    <w:rsid w:val="430B026F"/>
    <w:rsid w:val="431F6F1A"/>
    <w:rsid w:val="432B1D63"/>
    <w:rsid w:val="43340C18"/>
    <w:rsid w:val="43454BD3"/>
    <w:rsid w:val="435F6801"/>
    <w:rsid w:val="43642079"/>
    <w:rsid w:val="43984153"/>
    <w:rsid w:val="43B4209F"/>
    <w:rsid w:val="43D30430"/>
    <w:rsid w:val="441445A5"/>
    <w:rsid w:val="44326669"/>
    <w:rsid w:val="444B5EE3"/>
    <w:rsid w:val="44564BBE"/>
    <w:rsid w:val="446C2633"/>
    <w:rsid w:val="448677E0"/>
    <w:rsid w:val="449A0979"/>
    <w:rsid w:val="44AB4F09"/>
    <w:rsid w:val="44AF7030"/>
    <w:rsid w:val="44D77AAC"/>
    <w:rsid w:val="452177DE"/>
    <w:rsid w:val="454012F4"/>
    <w:rsid w:val="45430A3C"/>
    <w:rsid w:val="458C4D3B"/>
    <w:rsid w:val="45AB14B8"/>
    <w:rsid w:val="45C25D82"/>
    <w:rsid w:val="45D64208"/>
    <w:rsid w:val="45EC3D59"/>
    <w:rsid w:val="460F101E"/>
    <w:rsid w:val="46333378"/>
    <w:rsid w:val="46492C2C"/>
    <w:rsid w:val="46613B39"/>
    <w:rsid w:val="46A460B4"/>
    <w:rsid w:val="46A55988"/>
    <w:rsid w:val="46B75DE7"/>
    <w:rsid w:val="46CE3131"/>
    <w:rsid w:val="46D1677D"/>
    <w:rsid w:val="46E310B9"/>
    <w:rsid w:val="46E40E51"/>
    <w:rsid w:val="46EE10DD"/>
    <w:rsid w:val="47204799"/>
    <w:rsid w:val="47264D1B"/>
    <w:rsid w:val="473C453F"/>
    <w:rsid w:val="47946129"/>
    <w:rsid w:val="47975C19"/>
    <w:rsid w:val="47C06F1E"/>
    <w:rsid w:val="47D66741"/>
    <w:rsid w:val="47F46716"/>
    <w:rsid w:val="47FD3CCE"/>
    <w:rsid w:val="48013F2E"/>
    <w:rsid w:val="48221986"/>
    <w:rsid w:val="483656FA"/>
    <w:rsid w:val="486E0728"/>
    <w:rsid w:val="487F0B55"/>
    <w:rsid w:val="48AA4DCA"/>
    <w:rsid w:val="491237A9"/>
    <w:rsid w:val="49156DF5"/>
    <w:rsid w:val="49746212"/>
    <w:rsid w:val="4A3245C0"/>
    <w:rsid w:val="4A35793D"/>
    <w:rsid w:val="4A54394D"/>
    <w:rsid w:val="4A604B4B"/>
    <w:rsid w:val="4A69389D"/>
    <w:rsid w:val="4AA74182"/>
    <w:rsid w:val="4AA85A47"/>
    <w:rsid w:val="4AE27F0A"/>
    <w:rsid w:val="4B10647C"/>
    <w:rsid w:val="4B201A81"/>
    <w:rsid w:val="4B58746D"/>
    <w:rsid w:val="4B6C5B23"/>
    <w:rsid w:val="4B763ADA"/>
    <w:rsid w:val="4B7E5126"/>
    <w:rsid w:val="4B840CB7"/>
    <w:rsid w:val="4BBF129A"/>
    <w:rsid w:val="4BEB2810"/>
    <w:rsid w:val="4BF4363A"/>
    <w:rsid w:val="4C017A74"/>
    <w:rsid w:val="4C194DBE"/>
    <w:rsid w:val="4C6F69B4"/>
    <w:rsid w:val="4C982217"/>
    <w:rsid w:val="4CC90623"/>
    <w:rsid w:val="4CD11285"/>
    <w:rsid w:val="4CD82614"/>
    <w:rsid w:val="4CF36AC5"/>
    <w:rsid w:val="4D1D271C"/>
    <w:rsid w:val="4D265E19"/>
    <w:rsid w:val="4D2C295F"/>
    <w:rsid w:val="4D3B2BA3"/>
    <w:rsid w:val="4D4128AF"/>
    <w:rsid w:val="4D4759EB"/>
    <w:rsid w:val="4D64659D"/>
    <w:rsid w:val="4D676399"/>
    <w:rsid w:val="4D6A5155"/>
    <w:rsid w:val="4D7F6F33"/>
    <w:rsid w:val="4D8E7176"/>
    <w:rsid w:val="4D9F302D"/>
    <w:rsid w:val="4DB0533F"/>
    <w:rsid w:val="4DBA7F6B"/>
    <w:rsid w:val="4DBF5582"/>
    <w:rsid w:val="4DC112FA"/>
    <w:rsid w:val="4E1C0C26"/>
    <w:rsid w:val="4E360A4E"/>
    <w:rsid w:val="4E5E4D9B"/>
    <w:rsid w:val="4E7B3B0E"/>
    <w:rsid w:val="4E916F1E"/>
    <w:rsid w:val="4EAA651A"/>
    <w:rsid w:val="4EC15329"/>
    <w:rsid w:val="4EC54E1A"/>
    <w:rsid w:val="4EE03A01"/>
    <w:rsid w:val="4EED611E"/>
    <w:rsid w:val="4F1F2C96"/>
    <w:rsid w:val="4F365D17"/>
    <w:rsid w:val="4F367AC5"/>
    <w:rsid w:val="4F5C20BE"/>
    <w:rsid w:val="4FA47972"/>
    <w:rsid w:val="4FBC3681"/>
    <w:rsid w:val="4FCE7CFE"/>
    <w:rsid w:val="4FE96861"/>
    <w:rsid w:val="4FF5172F"/>
    <w:rsid w:val="50414974"/>
    <w:rsid w:val="505428F9"/>
    <w:rsid w:val="508F56DF"/>
    <w:rsid w:val="50BC115C"/>
    <w:rsid w:val="50E7551B"/>
    <w:rsid w:val="50EF370A"/>
    <w:rsid w:val="51071719"/>
    <w:rsid w:val="51115901"/>
    <w:rsid w:val="51162C05"/>
    <w:rsid w:val="512322CB"/>
    <w:rsid w:val="512F7091"/>
    <w:rsid w:val="513149E8"/>
    <w:rsid w:val="516505B8"/>
    <w:rsid w:val="516A7EFA"/>
    <w:rsid w:val="519A433C"/>
    <w:rsid w:val="51DF79B2"/>
    <w:rsid w:val="520E2096"/>
    <w:rsid w:val="52AF2069"/>
    <w:rsid w:val="52CD6993"/>
    <w:rsid w:val="52DB10B0"/>
    <w:rsid w:val="52FC320D"/>
    <w:rsid w:val="5314472F"/>
    <w:rsid w:val="53242390"/>
    <w:rsid w:val="532C36B9"/>
    <w:rsid w:val="53620E89"/>
    <w:rsid w:val="53826598"/>
    <w:rsid w:val="53CE4770"/>
    <w:rsid w:val="53D8114B"/>
    <w:rsid w:val="53DB0C3B"/>
    <w:rsid w:val="53F341D7"/>
    <w:rsid w:val="541008E5"/>
    <w:rsid w:val="54161C73"/>
    <w:rsid w:val="54505C8A"/>
    <w:rsid w:val="54646E83"/>
    <w:rsid w:val="54680721"/>
    <w:rsid w:val="54B43966"/>
    <w:rsid w:val="54B64069"/>
    <w:rsid w:val="54DF6509"/>
    <w:rsid w:val="55067F3A"/>
    <w:rsid w:val="55346855"/>
    <w:rsid w:val="55452810"/>
    <w:rsid w:val="554747DA"/>
    <w:rsid w:val="55641D5B"/>
    <w:rsid w:val="557E3F74"/>
    <w:rsid w:val="558A32EB"/>
    <w:rsid w:val="55C10345"/>
    <w:rsid w:val="55C33663"/>
    <w:rsid w:val="55C645F4"/>
    <w:rsid w:val="563D5BDD"/>
    <w:rsid w:val="56551179"/>
    <w:rsid w:val="56680EAC"/>
    <w:rsid w:val="56817845"/>
    <w:rsid w:val="56905B4F"/>
    <w:rsid w:val="56A30136"/>
    <w:rsid w:val="56A874FB"/>
    <w:rsid w:val="56AB2B47"/>
    <w:rsid w:val="56D51DDC"/>
    <w:rsid w:val="56E47C47"/>
    <w:rsid w:val="57087F99"/>
    <w:rsid w:val="573C5E95"/>
    <w:rsid w:val="576C59CB"/>
    <w:rsid w:val="577E64AD"/>
    <w:rsid w:val="57C06AC6"/>
    <w:rsid w:val="57C24821"/>
    <w:rsid w:val="57FA35B7"/>
    <w:rsid w:val="581A7F84"/>
    <w:rsid w:val="584835EA"/>
    <w:rsid w:val="58810003"/>
    <w:rsid w:val="5888496D"/>
    <w:rsid w:val="588E2720"/>
    <w:rsid w:val="58966A1F"/>
    <w:rsid w:val="58D72319"/>
    <w:rsid w:val="593037D7"/>
    <w:rsid w:val="593E42AA"/>
    <w:rsid w:val="594E2409"/>
    <w:rsid w:val="597010C8"/>
    <w:rsid w:val="59B60181"/>
    <w:rsid w:val="59E92304"/>
    <w:rsid w:val="59F20A8D"/>
    <w:rsid w:val="59F842F5"/>
    <w:rsid w:val="5A0031AA"/>
    <w:rsid w:val="5A175C21"/>
    <w:rsid w:val="5A1E1882"/>
    <w:rsid w:val="5A5654C0"/>
    <w:rsid w:val="5A89319F"/>
    <w:rsid w:val="5ABF3075"/>
    <w:rsid w:val="5ADA1C4D"/>
    <w:rsid w:val="5AE76118"/>
    <w:rsid w:val="5B396E29"/>
    <w:rsid w:val="5B4D0671"/>
    <w:rsid w:val="5B705E8F"/>
    <w:rsid w:val="5B77068B"/>
    <w:rsid w:val="5BB95D06"/>
    <w:rsid w:val="5BC13E39"/>
    <w:rsid w:val="5BD90156"/>
    <w:rsid w:val="5BFF66F2"/>
    <w:rsid w:val="5C442880"/>
    <w:rsid w:val="5C78171D"/>
    <w:rsid w:val="5C7D5440"/>
    <w:rsid w:val="5CED1606"/>
    <w:rsid w:val="5D094A6B"/>
    <w:rsid w:val="5D335281"/>
    <w:rsid w:val="5D57594F"/>
    <w:rsid w:val="5D586B38"/>
    <w:rsid w:val="5D6F0D72"/>
    <w:rsid w:val="5DB622D4"/>
    <w:rsid w:val="5E394EDC"/>
    <w:rsid w:val="5E600B7D"/>
    <w:rsid w:val="5E630ECB"/>
    <w:rsid w:val="5ED54C05"/>
    <w:rsid w:val="5EF13600"/>
    <w:rsid w:val="5F0F4EEA"/>
    <w:rsid w:val="5F273059"/>
    <w:rsid w:val="5F465B03"/>
    <w:rsid w:val="5F5E0F4F"/>
    <w:rsid w:val="5F7268F8"/>
    <w:rsid w:val="5F743D87"/>
    <w:rsid w:val="5F8B5419"/>
    <w:rsid w:val="5F9A5DBE"/>
    <w:rsid w:val="5FB12070"/>
    <w:rsid w:val="5FD255E8"/>
    <w:rsid w:val="5FEB66AA"/>
    <w:rsid w:val="600E0B59"/>
    <w:rsid w:val="601223DA"/>
    <w:rsid w:val="604D2857"/>
    <w:rsid w:val="605160E6"/>
    <w:rsid w:val="605476B9"/>
    <w:rsid w:val="606C63E9"/>
    <w:rsid w:val="60996056"/>
    <w:rsid w:val="609D4D61"/>
    <w:rsid w:val="609D7A68"/>
    <w:rsid w:val="60B44CEE"/>
    <w:rsid w:val="60BE791B"/>
    <w:rsid w:val="60EC26DA"/>
    <w:rsid w:val="61047A23"/>
    <w:rsid w:val="612967DF"/>
    <w:rsid w:val="613F5D71"/>
    <w:rsid w:val="615C778E"/>
    <w:rsid w:val="615F4C5A"/>
    <w:rsid w:val="61752AB8"/>
    <w:rsid w:val="6189617B"/>
    <w:rsid w:val="61A32BB9"/>
    <w:rsid w:val="61A60ADB"/>
    <w:rsid w:val="61B7569E"/>
    <w:rsid w:val="61D2367E"/>
    <w:rsid w:val="61F41846"/>
    <w:rsid w:val="62074A71"/>
    <w:rsid w:val="6211064A"/>
    <w:rsid w:val="621E2CBB"/>
    <w:rsid w:val="62312A9A"/>
    <w:rsid w:val="62891A3A"/>
    <w:rsid w:val="62BB05B6"/>
    <w:rsid w:val="632919C3"/>
    <w:rsid w:val="63387E58"/>
    <w:rsid w:val="633A3BD0"/>
    <w:rsid w:val="63522FCC"/>
    <w:rsid w:val="63631B1E"/>
    <w:rsid w:val="636447A9"/>
    <w:rsid w:val="637E4A58"/>
    <w:rsid w:val="63804284"/>
    <w:rsid w:val="63AA30D7"/>
    <w:rsid w:val="63BF7C32"/>
    <w:rsid w:val="63E92F01"/>
    <w:rsid w:val="63F91396"/>
    <w:rsid w:val="64095351"/>
    <w:rsid w:val="6417181C"/>
    <w:rsid w:val="643E140E"/>
    <w:rsid w:val="646D1D84"/>
    <w:rsid w:val="646F1658"/>
    <w:rsid w:val="64A62BA0"/>
    <w:rsid w:val="64C37BF6"/>
    <w:rsid w:val="64C9520C"/>
    <w:rsid w:val="65055B18"/>
    <w:rsid w:val="65436640"/>
    <w:rsid w:val="65752C9E"/>
    <w:rsid w:val="65AB2698"/>
    <w:rsid w:val="65C4560F"/>
    <w:rsid w:val="65DB4FAB"/>
    <w:rsid w:val="65E87914"/>
    <w:rsid w:val="6655487D"/>
    <w:rsid w:val="66630D48"/>
    <w:rsid w:val="66703465"/>
    <w:rsid w:val="66794A0B"/>
    <w:rsid w:val="668F4233"/>
    <w:rsid w:val="66CD2666"/>
    <w:rsid w:val="66D02156"/>
    <w:rsid w:val="66D954AE"/>
    <w:rsid w:val="66DC2BCD"/>
    <w:rsid w:val="66F45E44"/>
    <w:rsid w:val="66F75934"/>
    <w:rsid w:val="675F1CB2"/>
    <w:rsid w:val="67C25F42"/>
    <w:rsid w:val="67F0485E"/>
    <w:rsid w:val="680E7CB9"/>
    <w:rsid w:val="684150B9"/>
    <w:rsid w:val="685A189E"/>
    <w:rsid w:val="689478DF"/>
    <w:rsid w:val="68B7181F"/>
    <w:rsid w:val="68C27C0F"/>
    <w:rsid w:val="68C82EF0"/>
    <w:rsid w:val="68D1586F"/>
    <w:rsid w:val="69015905"/>
    <w:rsid w:val="69036813"/>
    <w:rsid w:val="6908207B"/>
    <w:rsid w:val="692844CB"/>
    <w:rsid w:val="6958090C"/>
    <w:rsid w:val="69603C65"/>
    <w:rsid w:val="699F012C"/>
    <w:rsid w:val="69AF24F6"/>
    <w:rsid w:val="69D7415C"/>
    <w:rsid w:val="69DF4B8A"/>
    <w:rsid w:val="6A411E5B"/>
    <w:rsid w:val="6A8D3E4B"/>
    <w:rsid w:val="6AA66AB5"/>
    <w:rsid w:val="6AB16976"/>
    <w:rsid w:val="6AC26197"/>
    <w:rsid w:val="6AF57897"/>
    <w:rsid w:val="6AFF68D3"/>
    <w:rsid w:val="6B2D5DC9"/>
    <w:rsid w:val="6B32518D"/>
    <w:rsid w:val="6B633598"/>
    <w:rsid w:val="6B712159"/>
    <w:rsid w:val="6B730FCE"/>
    <w:rsid w:val="6BA37E39"/>
    <w:rsid w:val="6BCA3618"/>
    <w:rsid w:val="6BE328C1"/>
    <w:rsid w:val="6C256AA0"/>
    <w:rsid w:val="6C2B1066"/>
    <w:rsid w:val="6C353187"/>
    <w:rsid w:val="6C376EFF"/>
    <w:rsid w:val="6C411B2C"/>
    <w:rsid w:val="6C5F3CBB"/>
    <w:rsid w:val="6C88775B"/>
    <w:rsid w:val="6C963990"/>
    <w:rsid w:val="6CA64085"/>
    <w:rsid w:val="6D1C1056"/>
    <w:rsid w:val="6D5E495F"/>
    <w:rsid w:val="6D9C0FE4"/>
    <w:rsid w:val="6DB77BCC"/>
    <w:rsid w:val="6DB83784"/>
    <w:rsid w:val="6DC67D7E"/>
    <w:rsid w:val="6DD24A05"/>
    <w:rsid w:val="6DE33810"/>
    <w:rsid w:val="6E0146AF"/>
    <w:rsid w:val="6E2E4332"/>
    <w:rsid w:val="6E7D32FC"/>
    <w:rsid w:val="6E8059A6"/>
    <w:rsid w:val="6EB81E4D"/>
    <w:rsid w:val="6EEE586F"/>
    <w:rsid w:val="6F2968A7"/>
    <w:rsid w:val="6F3B3C0A"/>
    <w:rsid w:val="6F3D7D2C"/>
    <w:rsid w:val="6F6124E5"/>
    <w:rsid w:val="6F71097A"/>
    <w:rsid w:val="6F743FC6"/>
    <w:rsid w:val="6F7447ED"/>
    <w:rsid w:val="6F812311"/>
    <w:rsid w:val="6F8A5598"/>
    <w:rsid w:val="6FB53551"/>
    <w:rsid w:val="6FF46BE9"/>
    <w:rsid w:val="700D7F77"/>
    <w:rsid w:val="702722E1"/>
    <w:rsid w:val="703419A7"/>
    <w:rsid w:val="70355FEC"/>
    <w:rsid w:val="7036571F"/>
    <w:rsid w:val="70645DE9"/>
    <w:rsid w:val="70812E3F"/>
    <w:rsid w:val="70AD3C34"/>
    <w:rsid w:val="70B328CC"/>
    <w:rsid w:val="70BB5A31"/>
    <w:rsid w:val="70BB79D3"/>
    <w:rsid w:val="70BC64FF"/>
    <w:rsid w:val="710E7945"/>
    <w:rsid w:val="711D0F45"/>
    <w:rsid w:val="71211937"/>
    <w:rsid w:val="71360C93"/>
    <w:rsid w:val="717C53B4"/>
    <w:rsid w:val="719B1CDE"/>
    <w:rsid w:val="71B149FF"/>
    <w:rsid w:val="71BE777B"/>
    <w:rsid w:val="72285EA2"/>
    <w:rsid w:val="72583FC5"/>
    <w:rsid w:val="726E0966"/>
    <w:rsid w:val="72783DCD"/>
    <w:rsid w:val="72807126"/>
    <w:rsid w:val="728475E2"/>
    <w:rsid w:val="728E7235"/>
    <w:rsid w:val="72A66B8C"/>
    <w:rsid w:val="72C2773E"/>
    <w:rsid w:val="72C9287B"/>
    <w:rsid w:val="72D637F2"/>
    <w:rsid w:val="72FA6ED8"/>
    <w:rsid w:val="731D48E4"/>
    <w:rsid w:val="7325302F"/>
    <w:rsid w:val="73353A6C"/>
    <w:rsid w:val="733E6DC5"/>
    <w:rsid w:val="73941822"/>
    <w:rsid w:val="73B05D63"/>
    <w:rsid w:val="73B9644B"/>
    <w:rsid w:val="73D17C39"/>
    <w:rsid w:val="73D24CAF"/>
    <w:rsid w:val="740B2A1F"/>
    <w:rsid w:val="743401C8"/>
    <w:rsid w:val="74415BCB"/>
    <w:rsid w:val="746A1E3C"/>
    <w:rsid w:val="74962BA0"/>
    <w:rsid w:val="74BE25D2"/>
    <w:rsid w:val="74C4154C"/>
    <w:rsid w:val="74DF1EE2"/>
    <w:rsid w:val="74E14FF5"/>
    <w:rsid w:val="74FD680C"/>
    <w:rsid w:val="7508150A"/>
    <w:rsid w:val="755E23DB"/>
    <w:rsid w:val="756357C0"/>
    <w:rsid w:val="75742F72"/>
    <w:rsid w:val="757C5983"/>
    <w:rsid w:val="757F36C5"/>
    <w:rsid w:val="75BF7F65"/>
    <w:rsid w:val="75C5557C"/>
    <w:rsid w:val="760360A4"/>
    <w:rsid w:val="7621652A"/>
    <w:rsid w:val="763E532E"/>
    <w:rsid w:val="76404C02"/>
    <w:rsid w:val="7654775F"/>
    <w:rsid w:val="76807C09"/>
    <w:rsid w:val="768C7332"/>
    <w:rsid w:val="76A52D1C"/>
    <w:rsid w:val="76BB24DB"/>
    <w:rsid w:val="76EA2DC0"/>
    <w:rsid w:val="76F36118"/>
    <w:rsid w:val="7706748E"/>
    <w:rsid w:val="771C1FDE"/>
    <w:rsid w:val="773A3D47"/>
    <w:rsid w:val="773C7ABF"/>
    <w:rsid w:val="774041AC"/>
    <w:rsid w:val="774A7C72"/>
    <w:rsid w:val="77572046"/>
    <w:rsid w:val="77B70EF4"/>
    <w:rsid w:val="77C14AA6"/>
    <w:rsid w:val="77DA1086"/>
    <w:rsid w:val="78085BF3"/>
    <w:rsid w:val="78280044"/>
    <w:rsid w:val="78370F40"/>
    <w:rsid w:val="785E1CB7"/>
    <w:rsid w:val="787943FB"/>
    <w:rsid w:val="78A70F68"/>
    <w:rsid w:val="78AA6CAB"/>
    <w:rsid w:val="78BD237C"/>
    <w:rsid w:val="78E55F35"/>
    <w:rsid w:val="78F023DA"/>
    <w:rsid w:val="78F702DB"/>
    <w:rsid w:val="791A5BDE"/>
    <w:rsid w:val="7927654D"/>
    <w:rsid w:val="792A5740"/>
    <w:rsid w:val="792F0F5E"/>
    <w:rsid w:val="79420C91"/>
    <w:rsid w:val="794E7636"/>
    <w:rsid w:val="79735A85"/>
    <w:rsid w:val="799662EB"/>
    <w:rsid w:val="799F58FF"/>
    <w:rsid w:val="79AC5601"/>
    <w:rsid w:val="79ED32F3"/>
    <w:rsid w:val="79F0693F"/>
    <w:rsid w:val="7A1A1C0E"/>
    <w:rsid w:val="7A21379E"/>
    <w:rsid w:val="7A304F8E"/>
    <w:rsid w:val="7A37631C"/>
    <w:rsid w:val="7A5133C1"/>
    <w:rsid w:val="7A983619"/>
    <w:rsid w:val="7AAB6331"/>
    <w:rsid w:val="7B0B653B"/>
    <w:rsid w:val="7B252618"/>
    <w:rsid w:val="7B332F87"/>
    <w:rsid w:val="7B3867F0"/>
    <w:rsid w:val="7B4909FD"/>
    <w:rsid w:val="7B4C5DF7"/>
    <w:rsid w:val="7B956089"/>
    <w:rsid w:val="7BB5399C"/>
    <w:rsid w:val="7BE14791"/>
    <w:rsid w:val="7BE661BB"/>
    <w:rsid w:val="7BF870E4"/>
    <w:rsid w:val="7C0861C2"/>
    <w:rsid w:val="7C1C1C6D"/>
    <w:rsid w:val="7C224DAA"/>
    <w:rsid w:val="7C6B1E45"/>
    <w:rsid w:val="7C975798"/>
    <w:rsid w:val="7CA26617"/>
    <w:rsid w:val="7CC52274"/>
    <w:rsid w:val="7CC876FF"/>
    <w:rsid w:val="7CD56E64"/>
    <w:rsid w:val="7CEE7D6F"/>
    <w:rsid w:val="7CF30A86"/>
    <w:rsid w:val="7CF46746"/>
    <w:rsid w:val="7D0270B5"/>
    <w:rsid w:val="7D0C7F34"/>
    <w:rsid w:val="7D0F65D7"/>
    <w:rsid w:val="7D1B0177"/>
    <w:rsid w:val="7D243A6F"/>
    <w:rsid w:val="7D284642"/>
    <w:rsid w:val="7D2C40A1"/>
    <w:rsid w:val="7D3E714C"/>
    <w:rsid w:val="7D5454E3"/>
    <w:rsid w:val="7D6F401F"/>
    <w:rsid w:val="7D782FD9"/>
    <w:rsid w:val="7D847ACA"/>
    <w:rsid w:val="7DCE6F97"/>
    <w:rsid w:val="7DD3542E"/>
    <w:rsid w:val="7DF86B91"/>
    <w:rsid w:val="7E01736D"/>
    <w:rsid w:val="7E176B90"/>
    <w:rsid w:val="7E221091"/>
    <w:rsid w:val="7E33504C"/>
    <w:rsid w:val="7E5176FC"/>
    <w:rsid w:val="7E61468C"/>
    <w:rsid w:val="7E677AC8"/>
    <w:rsid w:val="7E6D055E"/>
    <w:rsid w:val="7E6F0E3E"/>
    <w:rsid w:val="7E7C4C45"/>
    <w:rsid w:val="7E805542"/>
    <w:rsid w:val="7E8F4D14"/>
    <w:rsid w:val="7E973007"/>
    <w:rsid w:val="7E9B6173"/>
    <w:rsid w:val="7EA146AC"/>
    <w:rsid w:val="7EF23159"/>
    <w:rsid w:val="7F3379FA"/>
    <w:rsid w:val="7F511C2E"/>
    <w:rsid w:val="7F725CAE"/>
    <w:rsid w:val="7F923FF5"/>
    <w:rsid w:val="7F9D1286"/>
    <w:rsid w:val="7FCA1B75"/>
    <w:rsid w:val="7FD14B1D"/>
    <w:rsid w:val="7FDF7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小标宋_GBK" w:hAnsi="宋体" w:eastAsia="方正小标宋_GBK" w:cs="Times New Roman"/>
      <w:kern w:val="2"/>
      <w:sz w:val="21"/>
      <w:szCs w:val="21"/>
      <w:lang w:val="en-US" w:eastAsia="zh-CN" w:bidi="ar-SA"/>
    </w:rPr>
  </w:style>
  <w:style w:type="paragraph" w:styleId="9">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10">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11">
    <w:name w:val="heading 4"/>
    <w:basedOn w:val="10"/>
    <w:next w:val="1"/>
    <w:qFormat/>
    <w:uiPriority w:val="0"/>
    <w:pPr>
      <w:keepNext/>
      <w:keepLines/>
      <w:widowControl w:val="0"/>
      <w:spacing w:before="280" w:after="290" w:line="376" w:lineRule="auto"/>
      <w:ind w:firstLine="561"/>
      <w:jc w:val="both"/>
      <w:outlineLvl w:val="3"/>
    </w:pPr>
    <w:rPr>
      <w:rFonts w:ascii="Calibri" w:hAnsi="Calibri" w:eastAsia="宋体" w:cs="Times New Roman"/>
      <w:kern w:val="2"/>
      <w:sz w:val="28"/>
      <w:szCs w:val="28"/>
      <w:lang w:val="en-US" w:eastAsia="zh-CN" w:bidi="ar-SA"/>
    </w:rPr>
  </w:style>
  <w:style w:type="paragraph" w:styleId="3">
    <w:name w:val="heading 5"/>
    <w:basedOn w:val="1"/>
    <w:next w:val="4"/>
    <w:qFormat/>
    <w:uiPriority w:val="9"/>
    <w:pPr>
      <w:keepNext/>
      <w:keepLines/>
      <w:spacing w:before="280" w:after="290" w:line="376" w:lineRule="auto"/>
      <w:outlineLvl w:val="4"/>
    </w:pPr>
    <w:rPr>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D标题5"/>
    <w:basedOn w:val="3"/>
    <w:next w:val="6"/>
    <w:qFormat/>
    <w:uiPriority w:val="0"/>
    <w:pPr>
      <w:spacing w:before="100" w:beforeAutospacing="1" w:after="100" w:afterAutospacing="1" w:line="240" w:lineRule="auto"/>
      <w:ind w:hanging="1008"/>
      <w:jc w:val="left"/>
    </w:pPr>
    <w:rPr>
      <w:rFonts w:ascii="Calibri" w:hAnsi="Calibri" w:eastAsia="黑体" w:cs="Times New Roman"/>
      <w:bCs w:val="0"/>
      <w:szCs w:val="20"/>
      <w:lang w:val="zh-CN"/>
    </w:rPr>
  </w:style>
  <w:style w:type="paragraph" w:styleId="4">
    <w:name w:val="Body Text"/>
    <w:basedOn w:val="1"/>
    <w:next w:val="5"/>
    <w:unhideWhenUsed/>
    <w:qFormat/>
    <w:uiPriority w:val="99"/>
    <w:pPr>
      <w:widowControl w:val="0"/>
      <w:ind w:left="100" w:leftChars="100" w:right="100" w:rightChars="100"/>
      <w:jc w:val="both"/>
    </w:pPr>
    <w:rPr>
      <w:rFonts w:ascii="Times New Roman" w:hAnsi="Times New Roman" w:eastAsia="宋体" w:cs="Times New Roman"/>
      <w:kern w:val="2"/>
      <w:sz w:val="21"/>
      <w:szCs w:val="22"/>
      <w:lang w:val="en-US" w:eastAsia="zh-CN" w:bidi="ar-SA"/>
    </w:rPr>
  </w:style>
  <w:style w:type="paragraph" w:styleId="5">
    <w:name w:val="index 7"/>
    <w:basedOn w:val="1"/>
    <w:next w:val="1"/>
    <w:unhideWhenUsed/>
    <w:qFormat/>
    <w:uiPriority w:val="99"/>
    <w:pPr>
      <w:ind w:left="1200" w:leftChars="1200"/>
    </w:pPr>
  </w:style>
  <w:style w:type="paragraph" w:customStyle="1" w:styleId="6">
    <w:name w:val="D正文"/>
    <w:basedOn w:val="7"/>
    <w:next w:val="7"/>
    <w:qFormat/>
    <w:uiPriority w:val="0"/>
    <w:pPr>
      <w:widowControl/>
      <w:spacing w:before="100" w:beforeAutospacing="1" w:after="100" w:afterAutospacing="1"/>
      <w:ind w:left="0" w:leftChars="0"/>
      <w:jc w:val="left"/>
    </w:pPr>
    <w:rPr>
      <w:rFonts w:ascii="Arial" w:hAnsi="Arial" w:eastAsia="方正仿宋_GBK"/>
      <w:kern w:val="0"/>
      <w:sz w:val="32"/>
      <w:szCs w:val="20"/>
    </w:rPr>
  </w:style>
  <w:style w:type="paragraph" w:styleId="7">
    <w:name w:val="Body Text First Indent 2"/>
    <w:basedOn w:val="8"/>
    <w:unhideWhenUsed/>
    <w:qFormat/>
    <w:uiPriority w:val="99"/>
    <w:pPr>
      <w:ind w:firstLine="420" w:firstLineChars="200"/>
    </w:pPr>
  </w:style>
  <w:style w:type="paragraph" w:styleId="8">
    <w:name w:val="Body Text Indent"/>
    <w:basedOn w:val="1"/>
    <w:unhideWhenUsed/>
    <w:qFormat/>
    <w:uiPriority w:val="99"/>
    <w:pPr>
      <w:spacing w:after="120"/>
      <w:ind w:left="420" w:leftChars="200"/>
    </w:pPr>
  </w:style>
  <w:style w:type="paragraph" w:styleId="12">
    <w:name w:val="index 8"/>
    <w:next w:val="1"/>
    <w:unhideWhenUsed/>
    <w:qFormat/>
    <w:uiPriority w:val="99"/>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13">
    <w:name w:val="toc 5"/>
    <w:basedOn w:val="1"/>
    <w:next w:val="1"/>
    <w:unhideWhenUsed/>
    <w:qFormat/>
    <w:uiPriority w:val="99"/>
    <w:pPr>
      <w:spacing w:line="594" w:lineRule="exact"/>
      <w:jc w:val="left"/>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itle"/>
    <w:basedOn w:val="1"/>
    <w:next w:val="1"/>
    <w:qFormat/>
    <w:uiPriority w:val="10"/>
    <w:pPr>
      <w:jc w:val="center"/>
      <w:outlineLvl w:val="0"/>
    </w:pPr>
    <w:rPr>
      <w:rFonts w:ascii="Arial" w:hAnsi="Arial" w:eastAsia="方正小标宋_GBK" w:cs="宋体"/>
      <w:b/>
      <w:bCs/>
      <w:color w:val="000000"/>
      <w:kern w:val="0"/>
      <w:szCs w:val="32"/>
    </w:rPr>
  </w:style>
  <w:style w:type="paragraph" w:styleId="17">
    <w:name w:val="Body Text First Indent"/>
    <w:basedOn w:val="4"/>
    <w:unhideWhenUsed/>
    <w:qFormat/>
    <w:uiPriority w:val="99"/>
    <w:pPr>
      <w:ind w:firstLine="420" w:firstLineChars="100"/>
    </w:pPr>
    <w:rPr>
      <w:rFonts w:ascii="Calibri" w:hAnsi="Calibri"/>
      <w:szCs w:val="22"/>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1">
    <w:name w:val="Strong"/>
    <w:basedOn w:val="20"/>
    <w:qFormat/>
    <w:uiPriority w:val="0"/>
    <w:rPr>
      <w:b/>
    </w:rPr>
  </w:style>
  <w:style w:type="paragraph" w:customStyle="1" w:styleId="22">
    <w:name w:val="TOC5"/>
    <w:basedOn w:val="1"/>
    <w:next w:val="1"/>
    <w:qFormat/>
    <w:uiPriority w:val="0"/>
    <w:pPr>
      <w:spacing w:line="600" w:lineRule="exact"/>
      <w:ind w:firstLine="200" w:firstLineChars="200"/>
      <w:textAlignment w:val="baseline"/>
    </w:pPr>
    <w:rPr>
      <w:rFonts w:ascii="方正黑体_GBK" w:eastAsia="方正黑体_GBK"/>
      <w:sz w:val="32"/>
      <w:szCs w:val="32"/>
    </w:rPr>
  </w:style>
  <w:style w:type="paragraph" w:customStyle="1" w:styleId="23">
    <w:name w:val="Char Char3"/>
    <w:qFormat/>
    <w:uiPriority w:val="99"/>
    <w:pPr>
      <w:widowControl w:val="0"/>
      <w:spacing w:after="160" w:line="240" w:lineRule="exact"/>
    </w:pPr>
    <w:rPr>
      <w:rFonts w:ascii="Calibri" w:hAnsi="Calibri" w:eastAsia="宋体" w:cs="Times New Roman"/>
      <w:kern w:val="2"/>
      <w:sz w:val="21"/>
      <w:szCs w:val="24"/>
      <w:lang w:val="en-US" w:eastAsia="zh-CN" w:bidi="ar-SA"/>
    </w:rPr>
  </w:style>
  <w:style w:type="paragraph" w:customStyle="1" w:styleId="24">
    <w:name w:val="BodyText"/>
    <w:basedOn w:val="1"/>
    <w:next w:val="2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12014</Words>
  <Characters>12714</Characters>
  <Lines>0</Lines>
  <Paragraphs>0</Paragraphs>
  <TotalTime>14</TotalTime>
  <ScaleCrop>false</ScaleCrop>
  <LinksUpToDate>false</LinksUpToDate>
  <CharactersWithSpaces>12820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2024-06-13T08:58:00Z</dcterms:created>
  <dc:creator>香溢梦园</dc:creator>
  <cp:lastModifiedBy>田秋香</cp:lastModifiedBy>
  <cp:lastPrinted>2024-07-02T16:25:00Z</cp:lastPrinted>
  <dcterms:modified xsi:type="dcterms:W3CDTF">2024-08-14T01:53:47Z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EB25834BCC24444ABBE8EBA8DBEDC07C_13</vt:lpwstr>
  </property>
</Properties>
</file>