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Times New Roman" w:hAnsi="Times New Roman" w:eastAsia="方正楷体_GBK"/>
          <w:sz w:val="24"/>
        </w:rPr>
      </w:pPr>
      <w:r>
        <w:rPr>
          <w:rFonts w:ascii="Times New Roman" w:hAnsi="Times New Roman" w:eastAsia="方正楷体_GBK"/>
          <w:spacing w:val="1"/>
          <w:w w:val="100"/>
          <w:kern w:val="0"/>
          <w:sz w:val="24"/>
          <w:fitText w:val="2904" w:id="1058095880"/>
        </w:rPr>
        <w:t>云阳县十</w:t>
      </w:r>
      <w:r>
        <w:rPr>
          <w:rFonts w:hint="eastAsia" w:ascii="Times New Roman" w:hAnsi="Times New Roman" w:eastAsia="方正楷体_GBK"/>
          <w:spacing w:val="1"/>
          <w:w w:val="100"/>
          <w:kern w:val="0"/>
          <w:sz w:val="24"/>
          <w:fitText w:val="2904" w:id="1058095880"/>
        </w:rPr>
        <w:t>八</w:t>
      </w:r>
      <w:r>
        <w:rPr>
          <w:rFonts w:ascii="Times New Roman" w:hAnsi="Times New Roman" w:eastAsia="方正楷体_GBK"/>
          <w:spacing w:val="1"/>
          <w:w w:val="100"/>
          <w:kern w:val="0"/>
          <w:sz w:val="24"/>
          <w:fitText w:val="2904" w:id="1058095880"/>
        </w:rPr>
        <w:t>届人大</w:t>
      </w:r>
      <w:r>
        <w:rPr>
          <w:rFonts w:hint="eastAsia" w:ascii="Times New Roman" w:hAnsi="Times New Roman" w:eastAsia="方正楷体_GBK"/>
          <w:spacing w:val="1"/>
          <w:w w:val="100"/>
          <w:kern w:val="0"/>
          <w:sz w:val="24"/>
          <w:fitText w:val="2904" w:id="1058095880"/>
          <w:lang w:eastAsia="zh-CN"/>
        </w:rPr>
        <w:t>八</w:t>
      </w:r>
      <w:r>
        <w:rPr>
          <w:rFonts w:ascii="Times New Roman" w:hAnsi="Times New Roman" w:eastAsia="方正楷体_GBK"/>
          <w:spacing w:val="1"/>
          <w:w w:val="100"/>
          <w:kern w:val="0"/>
          <w:sz w:val="24"/>
          <w:fitText w:val="2904" w:id="1058095880"/>
        </w:rPr>
        <w:t>次会议</w:t>
      </w:r>
      <w:r>
        <w:rPr>
          <w:rFonts w:ascii="Times New Roman" w:hAnsi="Times New Roman" w:eastAsia="方正楷体_GBK"/>
          <w:spacing w:val="2"/>
          <w:sz w:val="24"/>
        </w:rPr>
        <w:t xml:space="preserve">                                       </w:t>
      </w:r>
      <w:r>
        <w:rPr>
          <w:rFonts w:ascii="Times New Roman" w:hAnsi="Times New Roman" w:eastAsia="方正楷体_GBK"/>
          <w:sz w:val="24"/>
        </w:rPr>
        <w:t>会议文件</w:t>
      </w:r>
    </w:p>
    <w:p>
      <w:pPr>
        <w:spacing w:line="380" w:lineRule="exact"/>
        <w:rPr>
          <w:rFonts w:ascii="Times New Roman" w:hAnsi="Times New Roman" w:eastAsia="方正楷体_GBK"/>
          <w:sz w:val="28"/>
          <w:szCs w:val="28"/>
        </w:rPr>
      </w:pPr>
      <w:r>
        <w:rPr>
          <w:rFonts w:hint="eastAsia" w:ascii="方正楷体_GBK" w:eastAsia="方正楷体_GBK"/>
          <w:spacing w:val="28"/>
          <w:kern w:val="0"/>
          <w:sz w:val="24"/>
          <w:fitText w:val="2904" w:id="786978375"/>
        </w:rPr>
        <w:t>大会材料之</w:t>
      </w:r>
      <w:r>
        <w:rPr>
          <w:rFonts w:hint="eastAsia" w:ascii="方正楷体_GBK" w:eastAsia="方正楷体_GBK"/>
          <w:spacing w:val="28"/>
          <w:kern w:val="0"/>
          <w:sz w:val="24"/>
          <w:fitText w:val="2904" w:id="786978375"/>
          <w:lang w:eastAsia="zh-CN"/>
        </w:rPr>
        <w:t>十六（一</w:t>
      </w:r>
      <w:r>
        <w:rPr>
          <w:rFonts w:hint="eastAsia" w:ascii="方正楷体_GBK" w:eastAsia="方正楷体_GBK"/>
          <w:spacing w:val="0"/>
          <w:kern w:val="0"/>
          <w:sz w:val="24"/>
          <w:fitText w:val="2904" w:id="786978375"/>
          <w:lang w:eastAsia="zh-CN"/>
        </w:rPr>
        <w:t>）</w:t>
      </w:r>
      <w:r>
        <w:rPr>
          <w:rFonts w:hint="eastAsia" w:ascii="方正楷体_GBK" w:eastAsia="方正楷体_GBK"/>
          <w:spacing w:val="60"/>
          <w:sz w:val="24"/>
        </w:rPr>
        <w:t xml:space="preserve">  </w:t>
      </w:r>
      <w:r>
        <w:rPr>
          <w:rFonts w:hint="eastAsia" w:ascii="方正楷体_GBK" w:eastAsia="方正楷体_GBK"/>
          <w:spacing w:val="2"/>
          <w:sz w:val="24"/>
        </w:rPr>
        <w:t xml:space="preserve">        </w:t>
      </w:r>
      <w:r>
        <w:rPr>
          <w:rFonts w:hint="eastAsia" w:ascii="方正楷体_GBK" w:eastAsia="方正楷体_GBK"/>
          <w:spacing w:val="2"/>
          <w:sz w:val="24"/>
          <w:lang w:val="en-US" w:eastAsia="zh-CN"/>
        </w:rPr>
        <w:t xml:space="preserve">      </w:t>
      </w:r>
      <w:r>
        <w:rPr>
          <w:rFonts w:hint="eastAsia" w:ascii="方正楷体_GBK" w:eastAsia="方正楷体_GBK"/>
          <w:spacing w:val="2"/>
          <w:sz w:val="24"/>
        </w:rPr>
        <w:t xml:space="preserve">          </w:t>
      </w:r>
      <w:r>
        <w:rPr>
          <w:rFonts w:hint="eastAsia" w:ascii="方正楷体_GBK" w:eastAsia="方正楷体_GBK"/>
          <w:spacing w:val="10"/>
          <w:sz w:val="24"/>
        </w:rPr>
        <w:t xml:space="preserve">    </w:t>
      </w:r>
      <w:r>
        <w:rPr>
          <w:rFonts w:hint="eastAsia" w:ascii="方正楷体_GBK" w:eastAsia="方正楷体_GBK"/>
          <w:spacing w:val="10"/>
          <w:sz w:val="24"/>
          <w:lang w:val="en-US" w:eastAsia="zh-CN"/>
        </w:rPr>
        <w:t xml:space="preserve"> </w:t>
      </w:r>
      <w:r>
        <w:rPr>
          <w:rFonts w:hint="eastAsia" w:ascii="方正楷体_GBK" w:eastAsia="方正楷体_GBK"/>
          <w:spacing w:val="10"/>
          <w:sz w:val="24"/>
        </w:rPr>
        <w:t xml:space="preserve">  </w:t>
      </w:r>
      <w:r>
        <w:rPr>
          <w:rFonts w:hint="eastAsia" w:ascii="方正楷体_GBK" w:eastAsia="方正楷体_GBK"/>
          <w:spacing w:val="2"/>
          <w:sz w:val="24"/>
        </w:rPr>
        <w:t xml:space="preserve">   </w:t>
      </w:r>
      <w:r>
        <w:rPr>
          <w:rFonts w:hint="eastAsia" w:ascii="方正楷体_GBK" w:eastAsia="方正楷体_GBK"/>
          <w:sz w:val="24"/>
        </w:rPr>
        <w:t>妥善保管</w:t>
      </w:r>
    </w:p>
    <w:p>
      <w:pPr>
        <w:spacing w:line="594" w:lineRule="exact"/>
        <w:jc w:val="center"/>
        <w:rPr>
          <w:rFonts w:ascii="方正小标宋_GBK" w:hAnsi="方正小标宋_GBK" w:eastAsia="方正小标宋_GBK" w:cs="方正小标宋_GBK"/>
          <w:sz w:val="44"/>
          <w:szCs w:val="44"/>
          <w:lang w:bidi="ar"/>
        </w:rPr>
      </w:pPr>
    </w:p>
    <w:p>
      <w:pPr>
        <w:overflowPunct w:val="0"/>
        <w:spacing w:line="72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bidi="ar"/>
          <w14:textFill>
            <w14:solidFill>
              <w14:schemeClr w14:val="tx1"/>
            </w14:solidFill>
          </w14:textFill>
        </w:rPr>
        <w:t>云阳县2025年财政预算执行情况和</w:t>
      </w:r>
    </w:p>
    <w:p>
      <w:pPr>
        <w:overflowPunct w:val="0"/>
        <w:spacing w:line="720"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bidi="ar"/>
          <w14:textFill>
            <w14:solidFill>
              <w14:schemeClr w14:val="tx1"/>
            </w14:solidFill>
          </w14:textFill>
        </w:rPr>
        <w:t>2026年财政预算的报告</w:t>
      </w:r>
    </w:p>
    <w:p>
      <w:pPr>
        <w:overflowPunct w:val="0"/>
        <w:spacing w:line="720" w:lineRule="exact"/>
        <w:jc w:val="center"/>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云阳县财政局</w:t>
      </w:r>
    </w:p>
    <w:p>
      <w:pPr>
        <w:pStyle w:val="18"/>
        <w:overflowPunct w:val="0"/>
        <w:spacing w:beforeAutospacing="0" w:afterAutospacing="0" w:line="578" w:lineRule="exact"/>
        <w:jc w:val="both"/>
        <w:rPr>
          <w:rFonts w:hint="default" w:ascii="Times New Roman" w:hAnsi="Times New Roman" w:cs="Times New Roman"/>
          <w:color w:val="000000" w:themeColor="text1"/>
          <w:kern w:val="2"/>
          <w:sz w:val="21"/>
          <w:szCs w:val="21"/>
          <w14:textFill>
            <w14:solidFill>
              <w14:schemeClr w14:val="tx1"/>
            </w14:solidFill>
          </w14:textFill>
        </w:rPr>
      </w:pPr>
    </w:p>
    <w:p>
      <w:pPr>
        <w:overflowPunct w:val="0"/>
        <w:spacing w:line="578"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各位代表：</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受县政府委托，现将云阳县2025年财政预算执行情况和2026年财政预算草案提请大会审查，并请各位政协委员和列席人员提出意见。</w:t>
      </w:r>
    </w:p>
    <w:p>
      <w:pPr>
        <w:overflowPunct w:val="0"/>
        <w:spacing w:line="578"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一、2025年财政预算执行情况</w:t>
      </w:r>
    </w:p>
    <w:p>
      <w:pPr>
        <w:overflowPunct w:val="0"/>
        <w:spacing w:line="578"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刚刚过去的2025年，是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十四五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官之年，也是现代化新云阳建设推进年和招商引资突破年。面对严峻复杂的外部环境和供强需弱、债务化解等多重挑战，我们全面贯彻党中央、国务院决策部署，认真落实市委、市政府工作要求，在县委的正确领导下，在县人大、县政协的监督支持下，突出稳进增效、改革创新、除险固安、强企富民工作导向，干字当头、唯实争先，推动经济承压前行、稳中向好发展。</w:t>
      </w:r>
      <w:r>
        <w:rPr>
          <w:rFonts w:hint="default" w:ascii="Times New Roman" w:hAnsi="Times New Roman" w:eastAsia="方正仿宋_GBK" w:cs="Times New Roman"/>
          <w:color w:val="000000" w:themeColor="text1"/>
          <w:sz w:val="32"/>
          <w:szCs w:val="32"/>
          <w:lang w:bidi="ar"/>
          <w14:textFill>
            <w14:solidFill>
              <w14:schemeClr w14:val="tx1"/>
            </w14:solidFill>
          </w14:textFill>
        </w:rPr>
        <w:t>全县财政系统围绕建设</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活力财政、发展财政、民生财政、质效财政、健康财政</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总体目标，主动作为、应变克难，加大推动财政资源统筹力度，优化财政资源配置，提升政策效能，全面深化财政管理改革，顺利实现收入大幅增长、支出保障有力、政策提质增效、风险平稳可控，</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较好完成县十八届人大六次会议确定的各项目标任务。</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（一）一般公共预算执行情况</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1. 一般公共预算收入执行情况。2025年，全县一般公共预算本级收入完成306479万元，为预算的100.2%，同比增长45.2%。其</w:t>
      </w:r>
      <w:r>
        <w:rPr>
          <w:rFonts w:hint="default" w:ascii="Times New Roman" w:hAnsi="Times New Roman" w:eastAsia="方正仿宋_GBK" w:cs="Times New Roman"/>
          <w:color w:val="000000" w:themeColor="text1"/>
          <w:spacing w:val="-6"/>
          <w:sz w:val="32"/>
          <w:szCs w:val="32"/>
          <w:lang w:bidi="ar"/>
          <w14:textFill>
            <w14:solidFill>
              <w14:schemeClr w14:val="tx1"/>
            </w14:solidFill>
          </w14:textFill>
        </w:rPr>
        <w:t>中：</w:t>
      </w:r>
      <w:r>
        <w:rPr>
          <w:rFonts w:hint="default" w:ascii="Times New Roman" w:hAnsi="Times New Roman" w:eastAsia="方正仿宋_GBK" w:cs="Times New Roman"/>
          <w:color w:val="000000" w:themeColor="text1"/>
          <w:spacing w:val="-8"/>
          <w:sz w:val="32"/>
          <w:szCs w:val="32"/>
          <w:lang w:bidi="ar"/>
          <w14:textFill>
            <w14:solidFill>
              <w14:schemeClr w14:val="tx1"/>
            </w14:solidFill>
          </w14:textFill>
        </w:rPr>
        <w:t>税收收入完成</w:t>
      </w:r>
      <w:r>
        <w:rPr>
          <w:rFonts w:hint="default" w:ascii="Times New Roman" w:hAnsi="Times New Roman" w:eastAsia="方正仿宋_GBK" w:cs="Times New Roman"/>
          <w:color w:val="000000" w:themeColor="text1"/>
          <w:spacing w:val="-6"/>
          <w:sz w:val="32"/>
          <w:szCs w:val="32"/>
          <w:lang w:bidi="ar"/>
          <w14:textFill>
            <w14:solidFill>
              <w14:schemeClr w14:val="tx1"/>
            </w14:solidFill>
          </w14:textFill>
        </w:rPr>
        <w:t>80324万元，</w:t>
      </w:r>
      <w:r>
        <w:rPr>
          <w:rFonts w:hint="default" w:ascii="Times New Roman" w:hAnsi="Times New Roman" w:eastAsia="方正仿宋_GBK" w:cs="Times New Roman"/>
          <w:color w:val="000000" w:themeColor="text1"/>
          <w:spacing w:val="-8"/>
          <w:sz w:val="32"/>
          <w:szCs w:val="32"/>
          <w:lang w:bidi="ar"/>
          <w14:textFill>
            <w14:solidFill>
              <w14:schemeClr w14:val="tx1"/>
            </w14:solidFill>
          </w14:textFill>
        </w:rPr>
        <w:t>为预算的</w:t>
      </w:r>
      <w:r>
        <w:rPr>
          <w:rFonts w:hint="default" w:ascii="Times New Roman" w:hAnsi="Times New Roman" w:eastAsia="方正仿宋_GBK" w:cs="Times New Roman"/>
          <w:color w:val="000000" w:themeColor="text1"/>
          <w:spacing w:val="-6"/>
          <w:sz w:val="32"/>
          <w:szCs w:val="32"/>
          <w:lang w:bidi="ar"/>
          <w14:textFill>
            <w14:solidFill>
              <w14:schemeClr w14:val="tx1"/>
            </w14:solidFill>
          </w14:textFill>
        </w:rPr>
        <w:t>75.8%，</w:t>
      </w:r>
      <w:r>
        <w:rPr>
          <w:rFonts w:hint="default" w:ascii="Times New Roman" w:hAnsi="Times New Roman" w:eastAsia="方正仿宋_GBK" w:cs="Times New Roman"/>
          <w:color w:val="000000" w:themeColor="text1"/>
          <w:spacing w:val="-8"/>
          <w:sz w:val="32"/>
          <w:szCs w:val="32"/>
          <w:lang w:bidi="ar"/>
          <w14:textFill>
            <w14:solidFill>
              <w14:schemeClr w14:val="tx1"/>
            </w14:solidFill>
          </w14:textFill>
        </w:rPr>
        <w:t>同比下降</w:t>
      </w:r>
      <w:r>
        <w:rPr>
          <w:rFonts w:hint="default" w:ascii="Times New Roman" w:hAnsi="Times New Roman" w:eastAsia="方正仿宋_GBK" w:cs="Times New Roman"/>
          <w:color w:val="000000" w:themeColor="text1"/>
          <w:spacing w:val="-6"/>
          <w:sz w:val="32"/>
          <w:szCs w:val="32"/>
          <w:lang w:bidi="ar"/>
          <w14:textFill>
            <w14:solidFill>
              <w14:schemeClr w14:val="tx1"/>
            </w14:solidFill>
          </w14:textFill>
        </w:rPr>
        <w:t>19.8%；</w:t>
      </w:r>
      <w:r>
        <w:rPr>
          <w:rFonts w:hint="default" w:ascii="Times New Roman" w:hAnsi="Times New Roman" w:eastAsia="方正仿宋_GBK" w:cs="Times New Roman"/>
          <w:color w:val="000000" w:themeColor="text1"/>
          <w:sz w:val="32"/>
          <w:szCs w:val="32"/>
          <w:lang w:bidi="ar"/>
          <w14:textFill>
            <w14:solidFill>
              <w14:schemeClr w14:val="tx1"/>
            </w14:solidFill>
          </w14:textFill>
        </w:rPr>
        <w:t>非税收入完成226155万元，为预算的113.1%，同比增长103.9%。</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2025年，一般公共预算本级收入完成306479万元，加上一般公共预算上级补助收入634488万元、债务转贷收入153610万元、调入资金36231万元、动用预算稳定调节基金1128万元、区域间转移性收入300万元及上年结转结余148403万元（根据2024年决算数据调整）后，2025年全县一般公共预算收入总计1280639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 一般公共预算支出执行情况。2025年，全县一般公共预算本级支出962545万元，同比下降16.6%。加上债务还本支出147339万元、上解支出48128万元、安排预算稳定调节基金953万元、区域间转移性支出900万元以及结转下年支出120774万元后，全县一般公共预算支出总计1280639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3. 一般公共预算收支平衡情况。2025年，一般公共预算收入总计1280639万元，一般公共预算支出总计1280639万元。收入减去支出，当年一般公共预算收支平衡。</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（二）政府性基金预算执行情况</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1. 政府性基金预算收入执行情况。2025年，全县政府性基金本级收入完成140158万元，为预算的100.2%，同比增长16.7%。</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2025年，政府性基金预算本级收入完成140158万元，加上债务转贷收入284670万元、上级补助收入154809万元以及上年结转结余153549万元后，全县政府性基金预算收入总计733186万元。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 政府性基金预算支出执行情况。2025年，全县政府性基金预算本级支出390944万元，同比增长23.2%。加上债务还本支出156900万元、上解支出7749万元、调出资金29000万元以及结转下年支出148593万元后，全县政府性基金预算支出总计733186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3. 政府性基金预算收支平衡情况。2025年，政府性基金预算收入总计733186万元，政府性基金预算支出总计733186万元。收入减去支出，当年政府性基金预算收支平衡。</w:t>
      </w:r>
    </w:p>
    <w:p>
      <w:pPr>
        <w:overflowPunct w:val="0"/>
        <w:spacing w:line="578"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（三）国有资本经营预算执行情况</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1. 国有资本经营预算收入执行情况。2025年，全县国有资本经营预算本级完成18231万元，为预算的100%，同比下降9.1%。加上上级补助收入108万元、上年结转108万元后，全县国有资本经营预算收入总计18447万元。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 国有资本经营预算支出执行情况。2025年，全县国有资本经营预算本级支出11000万元。加上调出资金7231万元、结转下年支出216万元后，全县国有资本经营预算支出总计18447万元。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3. 国有资本经营预算收支平衡情况。2025年，国有资本经营预算收入总计18447万元，国有资本经营预算支出总计18447万元。收入减去支出，当年国有资本经营预算收支平衡。</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（四）社会保险基金预算执行情况</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社会保险基金由市级统筹管理，社会保险基金预算由市级统一编制，县级不编制社会保险基金预算。2025年，我县社会保险基金总收入829357万元。社会保险基金总支出870511万元，社会保险基金年末滚存结余42543万元。</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（五）2025年政府债务举借偿还情况</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1. 2024年底政府债务余额情况。2024年底，全县政府债务余额为2483470万元，其中：一般债务余额404270万元，专项债务余额2079200万元。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 2025年地方政府债务新增及使用情况。2025年发行政府债券438280万元。其中：新增政府债券资金237300万元、再融资债券200980万元。新增政府一般债券21400万元，结合2025年重点公益性基础设施建设项目资金需求，重点投向义务教育、生态环保、其他社会事业等领域，主要用于云阳县第四初级中学（云阳县北城小学）建设项目、巫云开高速公路云阳段路域环境整治等9个项目；新增政府专项债券215900万元，重点投向产业园区基础设施、养老、文化旅游、土地收储等领域，主要用于中国复眼天文旅游融合基地（一期）建设项目、云阳县普安恐龙地质公园综合建设一期项目等15个重点项目。再融资债券200980万元，全部用于政府债务本金。</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3. 2025年地方政府债务偿还情况。2025年，我县偿还地方政府债务222139万元。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4. 2025年底政府债务限额及余额情况。市财政局核定我县2025年政府债务限额2702000万元，其中：一般债务限额412000万元、专项债务限额2290000万元。2025年底，全县政府债务余额为2699521万元，其中：一般债务余额410451万元、专项债务余额2289070万元。一般债务余额和专项债务余额全部在市级核定的限额内，政府债务风险可控。</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由于县第十八届人民代表大会第八次会议在市级审核县财政决算前召开，市级审核后批复我县财政决算情况，将向县人大常委会报告。</w:t>
      </w:r>
    </w:p>
    <w:p>
      <w:pPr>
        <w:overflowPunct w:val="0"/>
        <w:spacing w:line="578"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二、2025年财政重点工作开展情况</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lang w:bidi="ar"/>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（一）提升政策效能，助力经济稳中向好</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加力落实增量政策。</w:t>
      </w:r>
      <w:r>
        <w:rPr>
          <w:rFonts w:hint="default" w:ascii="Times New Roman" w:hAnsi="Times New Roman" w:eastAsia="方正仿宋_GBK" w:cs="Times New Roman"/>
          <w:color w:val="000000" w:themeColor="text1"/>
          <w:sz w:val="32"/>
          <w:szCs w:val="32"/>
          <w:lang w:bidi="ar"/>
          <w14:textFill>
            <w14:solidFill>
              <w14:schemeClr w14:val="tx1"/>
            </w14:solidFill>
          </w14:textFill>
        </w:rPr>
        <w:t>抢抓国家新一轮财政增量政策，聚焦重点、精准施策，全年争取各类资金85.2亿元、同口径增长12%，有力支持经济增长提质增效。其中，争取专项债券13.38亿元，支持加快县人民医院黄石分院、普安恐龙地质公园等重大公共服务与文旅设施建设；争取超长期特别国债12.19亿元，额度居全市首位，重点投入高标准农田、交通干线改造、城市内涝治理等重大基础设施补短板及设备更新领域；争取中央预算内资金8.17亿元，支持人居环境整治、老旧小区改造及深空探测雷达预研等民生与前沿项目，切实发挥政府投资引领带动作用。</w:t>
      </w:r>
      <w:r>
        <w:rPr>
          <w:rFonts w:hint="default" w:ascii="Times New Roman" w:hAnsi="Times New Roman" w:eastAsia="方正黑体_GBK" w:cs="Times New Roman"/>
          <w:color w:val="000000" w:themeColor="text1"/>
          <w:sz w:val="32"/>
          <w:szCs w:val="32"/>
          <w:lang w:bidi="ar"/>
          <w14:textFill>
            <w14:solidFill>
              <w14:schemeClr w14:val="tx1"/>
            </w14:solidFill>
          </w14:textFill>
        </w:rPr>
        <w:t>加大市场主体培育。</w:t>
      </w:r>
      <w:r>
        <w:rPr>
          <w:rFonts w:hint="default" w:ascii="Times New Roman" w:hAnsi="Times New Roman" w:eastAsia="方正仿宋_GBK" w:cs="Times New Roman"/>
          <w:color w:val="000000" w:themeColor="text1"/>
          <w:sz w:val="32"/>
          <w:szCs w:val="32"/>
          <w:lang w:bidi="ar"/>
          <w14:textFill>
            <w14:solidFill>
              <w14:schemeClr w14:val="tx1"/>
            </w14:solidFill>
          </w14:textFill>
        </w:rPr>
        <w:t>落实落细结构性减税政策，聚焦支持科技创新与制造业等重点领域，全年累计为市场主体减免税费1.27亿元，办理增值税留抵退税0.24亿元，政策红利惠及市场主体5773户（次），切实减轻企业负担。强化融资担保支持，安排资金425万元，累计为348笔实体经济、中小企业流动资金贷款提供担保，撬动贷款1.58亿元，有效缓解企业融资压力。优化政府采购市场环境，通过严格落实预留份额、价格评审优惠等措施，全年授予中小微企业的政府采购合同金额达2.33亿元，占政府采购总规模的63.8%，有力促进了中小微企业平稳健康发展。</w:t>
      </w:r>
      <w:r>
        <w:rPr>
          <w:rFonts w:hint="default" w:ascii="Times New Roman" w:hAnsi="Times New Roman" w:eastAsia="方正黑体_GBK" w:cs="Times New Roman"/>
          <w:color w:val="000000" w:themeColor="text1"/>
          <w:sz w:val="32"/>
          <w:szCs w:val="32"/>
          <w:lang w:bidi="ar"/>
          <w14:textFill>
            <w14:solidFill>
              <w14:schemeClr w14:val="tx1"/>
            </w14:solidFill>
          </w14:textFill>
        </w:rPr>
        <w:t>强化就业服务保障。</w:t>
      </w:r>
      <w:r>
        <w:rPr>
          <w:rFonts w:hint="default" w:ascii="Times New Roman" w:hAnsi="Times New Roman" w:eastAsia="方正仿宋_GBK" w:cs="Times New Roman"/>
          <w:color w:val="000000" w:themeColor="text1"/>
          <w:sz w:val="32"/>
          <w:szCs w:val="32"/>
          <w:lang w:bidi="ar"/>
          <w14:textFill>
            <w14:solidFill>
              <w14:schemeClr w14:val="tx1"/>
            </w14:solidFill>
          </w14:textFill>
        </w:rPr>
        <w:t xml:space="preserve">安排资金1.24亿元，落地落实一次性求职创业补贴、社会保险补贴、公益性岗位补贴、创业担保贷款贴息等政策，成功创建市级农民工返乡创业园，惠及就业困难人员0.55万名，开发乡村公益性岗位安置脱贫人口0.58万人，落实各类政策扶持创业主体946个，带动就业0.28万人，城镇调查失业率控制在5.5%以内。  </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lang w:bidi="ar"/>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（二）优化资源配置，加大对重点领域关键环节支持力度</w:t>
      </w:r>
    </w:p>
    <w:p>
      <w:pPr>
        <w:overflowPunct w:val="0"/>
        <w:spacing w:line="578" w:lineRule="exact"/>
        <w:ind w:firstLine="640" w:firstLineChars="200"/>
        <w:rPr>
          <w:rFonts w:hint="default" w:ascii="Times New Roman" w:hAnsi="Times New Roman" w:eastAsia="方正黑体_GBK" w:cs="Times New Roman"/>
          <w:color w:val="000000" w:themeColor="text1"/>
          <w:sz w:val="32"/>
          <w:szCs w:val="32"/>
          <w:lang w:bidi="ar"/>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加快推动大三峡文旅新地标建设</w:t>
      </w:r>
      <w:r>
        <w:rPr>
          <w:rFonts w:hint="default" w:ascii="Times New Roman" w:hAnsi="Times New Roman" w:eastAsia="方正仿宋_GBK" w:cs="Times New Roman"/>
          <w:color w:val="000000" w:themeColor="text1"/>
          <w:sz w:val="32"/>
          <w:szCs w:val="32"/>
          <w:lang w:bidi="ar"/>
          <w14:textFill>
            <w14:solidFill>
              <w14:schemeClr w14:val="tx1"/>
            </w14:solidFill>
          </w14:textFill>
        </w:rPr>
        <w:t>。安排资金0.35亿元，推动云阳世界地质公园品牌与城市营销、文旅消费深度融合，支持高水平举办世界地质公园新闻发布会、</w:t>
      </w:r>
      <w:r>
        <w:rPr>
          <w:rFonts w:hint="default" w:ascii="Times New Roman" w:hAnsi="Times New Roman" w:eastAsia="方正仿宋_GBK" w:cs="Times New Roman"/>
          <w:sz w:val="32"/>
          <w:szCs w:val="32"/>
        </w:rPr>
        <w:t>联合国教科文组织世界地质公园国际培训班</w:t>
      </w:r>
      <w:r>
        <w:rPr>
          <w:rFonts w:hint="default" w:ascii="Times New Roman" w:hAnsi="Times New Roman" w:eastAsia="方正仿宋_GBK" w:cs="Times New Roman"/>
          <w:color w:val="000000" w:themeColor="text1"/>
          <w:sz w:val="32"/>
          <w:szCs w:val="32"/>
          <w:lang w:bidi="ar"/>
          <w14:textFill>
            <w14:solidFill>
              <w14:schemeClr w14:val="tx1"/>
            </w14:solidFill>
          </w14:textFill>
        </w:rPr>
        <w:t>，承办全国沙滩排球巡回赛、</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渝超</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联赛等品牌赛事，提升区域文旅影响力。安排资金0.59亿元，系统推进公共文化服务体系建设，开展</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梯城悦读吧</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、长江三峡文旅展演季等活动，推进磐石城、张恒候庙等重点文物保护修缮。</w:t>
      </w:r>
      <w:r>
        <w:rPr>
          <w:rFonts w:hint="default" w:ascii="Times New Roman" w:hAnsi="Times New Roman" w:eastAsia="方正黑体_GBK" w:cs="Times New Roman"/>
          <w:color w:val="000000" w:themeColor="text1"/>
          <w:sz w:val="32"/>
          <w:szCs w:val="32"/>
          <w:lang w:bidi="ar"/>
          <w14:textFill>
            <w14:solidFill>
              <w14:schemeClr w14:val="tx1"/>
            </w14:solidFill>
          </w14:textFill>
        </w:rPr>
        <w:t>加快绿色工业集聚区建设。</w:t>
      </w:r>
      <w:r>
        <w:rPr>
          <w:rFonts w:hint="default" w:ascii="Times New Roman" w:hAnsi="Times New Roman" w:eastAsia="方正仿宋_GBK" w:cs="Times New Roman"/>
          <w:sz w:val="32"/>
          <w:szCs w:val="32"/>
        </w:rPr>
        <w:t>聚焦产业平台能级提升，安排资金6.22亿元，重点支持加快复眼天文旅游融合基地等项目建设，落实工业园区租金补贴，增强产业发展承载能力。</w:t>
      </w:r>
      <w:r>
        <w:rPr>
          <w:rFonts w:hint="default" w:ascii="Times New Roman" w:hAnsi="Times New Roman" w:eastAsia="方正仿宋_GBK" w:cs="Times New Roman"/>
          <w:bCs/>
          <w:color w:val="000000" w:themeColor="text1"/>
          <w:sz w:val="32"/>
          <w:szCs w:val="32"/>
          <w:lang w:bidi="ar"/>
          <w14:textFill>
            <w14:solidFill>
              <w14:schemeClr w14:val="tx1"/>
            </w14:solidFill>
          </w14:textFill>
        </w:rPr>
        <w:t>做实做优招商外联服务，支持14个外联服务中心、9个招商组团、2个驻外办事处开展招商活动，全年</w:t>
      </w:r>
      <w:r>
        <w:rPr>
          <w:rFonts w:hint="default" w:ascii="Times New Roman" w:hAnsi="Times New Roman" w:eastAsia="方正仿宋_GBK" w:cs="Times New Roman"/>
          <w:sz w:val="32"/>
          <w:szCs w:val="32"/>
        </w:rPr>
        <w:t>签约招商引资项目247个，</w:t>
      </w:r>
      <w:r>
        <w:rPr>
          <w:rFonts w:hint="default" w:ascii="Times New Roman" w:hAnsi="Times New Roman" w:eastAsia="方正仿宋_GBK" w:cs="Times New Roman"/>
          <w:bCs/>
          <w:color w:val="000000" w:themeColor="text1"/>
          <w:sz w:val="32"/>
          <w:szCs w:val="32"/>
          <w:lang w:bidi="ar"/>
          <w14:textFill>
            <w14:solidFill>
              <w14:schemeClr w14:val="tx1"/>
            </w14:solidFill>
          </w14:textFill>
        </w:rPr>
        <w:t>撬动</w:t>
      </w:r>
      <w:r>
        <w:rPr>
          <w:rFonts w:hint="default" w:ascii="Times New Roman" w:hAnsi="Times New Roman" w:eastAsia="方正仿宋_GBK" w:cs="Times New Roman"/>
          <w:sz w:val="32"/>
          <w:szCs w:val="32"/>
        </w:rPr>
        <w:t>资金65.2亿元。</w:t>
      </w:r>
      <w:r>
        <w:rPr>
          <w:rFonts w:hint="default" w:ascii="Times New Roman" w:hAnsi="Times New Roman" w:eastAsia="方正黑体_GBK" w:cs="Times New Roman"/>
          <w:color w:val="000000" w:themeColor="text1"/>
          <w:sz w:val="32"/>
          <w:szCs w:val="32"/>
          <w:lang w:bidi="ar"/>
          <w14:textFill>
            <w14:solidFill>
              <w14:schemeClr w14:val="tx1"/>
            </w14:solidFill>
          </w14:textFill>
        </w:rPr>
        <w:t>加快山地农业优品区建设。</w:t>
      </w:r>
      <w:r>
        <w:rPr>
          <w:rFonts w:hint="default" w:ascii="Times New Roman" w:hAnsi="Times New Roman" w:eastAsia="方正仿宋_GBK" w:cs="Times New Roman"/>
          <w:sz w:val="32"/>
          <w:szCs w:val="32"/>
        </w:rPr>
        <w:t>聚焦产业培育，安排6.75亿元，</w:t>
      </w:r>
      <w:r>
        <w:rPr>
          <w:rFonts w:hint="default" w:ascii="Times New Roman" w:hAnsi="Times New Roman" w:eastAsia="方正仿宋_GBK" w:cs="Times New Roman"/>
          <w:color w:val="000000" w:themeColor="text1"/>
          <w:sz w:val="32"/>
          <w:szCs w:val="32"/>
          <w:lang w:bidi="ar"/>
          <w14:textFill>
            <w14:solidFill>
              <w14:schemeClr w14:val="tx1"/>
            </w14:solidFill>
          </w14:textFill>
        </w:rPr>
        <w:t>全面推进乡村振兴，支持</w:t>
      </w:r>
      <w:r>
        <w:rPr>
          <w:rFonts w:hint="default" w:ascii="Times New Roman" w:hAnsi="Times New Roman" w:eastAsia="方正仿宋_GBK" w:cs="Times New Roman"/>
          <w:sz w:val="32"/>
          <w:szCs w:val="32"/>
        </w:rPr>
        <w:t>发展特色农业、壮大集体经济，加快农产品全产业链建设，推动标准化、品牌化发展。聚焦稳产保供，安排2.2亿元，落实惠农补贴与农业保险，完成粮油类作物保险26.92万亩、特色产业保险9.36万亩等，筑牢粮食安全底线。聚焦农业基础设施建设，投入8.09亿元，加快推进向阳水库、高标准农田、城乡供水一</w:t>
      </w:r>
      <w:r>
        <w:rPr>
          <w:rFonts w:hint="default" w:ascii="Times New Roman" w:hAnsi="Times New Roman" w:eastAsia="方正仿宋_GBK" w:cs="Times New Roman"/>
          <w:color w:val="000000" w:themeColor="text1"/>
          <w:sz w:val="32"/>
          <w:szCs w:val="32"/>
          <w:lang w:bidi="ar"/>
          <w14:textFill>
            <w14:solidFill>
              <w14:schemeClr w14:val="tx1"/>
            </w14:solidFill>
          </w14:textFill>
        </w:rPr>
        <w:t>体化等重点项目，持续完善农田水利基础设施，改善农村生产生活条件。</w:t>
      </w:r>
      <w:r>
        <w:rPr>
          <w:rFonts w:hint="default" w:ascii="Times New Roman" w:hAnsi="Times New Roman" w:eastAsia="方正黑体_GBK" w:cs="Times New Roman"/>
          <w:color w:val="000000" w:themeColor="text1"/>
          <w:sz w:val="32"/>
          <w:szCs w:val="32"/>
          <w:lang w:bidi="ar"/>
          <w14:textFill>
            <w14:solidFill>
              <w14:schemeClr w14:val="tx1"/>
            </w14:solidFill>
          </w14:textFill>
        </w:rPr>
        <w:t>加快新型消费引领区建设。</w:t>
      </w:r>
      <w:r>
        <w:rPr>
          <w:rFonts w:hint="default" w:ascii="Times New Roman" w:hAnsi="Times New Roman" w:eastAsia="方正仿宋_GBK" w:cs="Times New Roman"/>
          <w:sz w:val="32"/>
          <w:szCs w:val="32"/>
        </w:rPr>
        <w:t>安排资金5.82亿元，落实消费品以旧换新政策，重点支持营运船舶、供水管网、老旧电梯等领域更新改造，带动相关消费升级。安排资金528万元，支持举办第八届房地产交易等系列展会，促进房地产开发投资与商品房销售企稳回暖，全县</w:t>
      </w:r>
      <w:r>
        <w:rPr>
          <w:rFonts w:hint="default" w:ascii="Times New Roman" w:hAnsi="Times New Roman" w:eastAsia="方正仿宋_GBK" w:cs="Times New Roman"/>
          <w:color w:val="000000" w:themeColor="text1"/>
          <w:sz w:val="32"/>
          <w:szCs w:val="32"/>
          <w:lang w:bidi="ar"/>
          <w14:textFill>
            <w14:solidFill>
              <w14:schemeClr w14:val="tx1"/>
            </w14:solidFill>
          </w14:textFill>
        </w:rPr>
        <w:t>房地产开发投资和商品房销售实现</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双转正</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sz w:val="32"/>
          <w:szCs w:val="32"/>
        </w:rPr>
        <w:t>。安排资金430万元，支持举办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农民丰收节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天生云阳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金秋季等特色促消费活动，引导企业融入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西洽会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智博会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等重点展会，进一步拓展消费市场、释放内需潜力。</w:t>
      </w:r>
      <w:r>
        <w:rPr>
          <w:rFonts w:hint="default" w:ascii="Times New Roman" w:hAnsi="Times New Roman" w:eastAsia="方正黑体_GBK" w:cs="Times New Roman"/>
          <w:color w:val="000000" w:themeColor="text1"/>
          <w:sz w:val="32"/>
          <w:szCs w:val="32"/>
          <w:lang w:bidi="ar"/>
          <w14:textFill>
            <w14:solidFill>
              <w14:schemeClr w14:val="tx1"/>
            </w14:solidFill>
          </w14:textFill>
        </w:rPr>
        <w:t>加快人居环境卓越城市建设。</w:t>
      </w:r>
      <w:r>
        <w:rPr>
          <w:rFonts w:hint="default" w:ascii="Times New Roman" w:hAnsi="Times New Roman" w:eastAsia="方正仿宋_GBK" w:cs="Times New Roman"/>
          <w:color w:val="000000" w:themeColor="text1"/>
          <w:sz w:val="32"/>
          <w:szCs w:val="32"/>
          <w:lang w:bidi="ar"/>
          <w14:textFill>
            <w14:solidFill>
              <w14:schemeClr w14:val="tx1"/>
            </w14:solidFill>
          </w14:textFill>
        </w:rPr>
        <w:t>深入打好污染防治攻坚战，安排资金3.65亿元，支持大气、水、土壤协同治理，推动农村生活污水治理率达89.73%，长江入河排污口整治完成率达97.6%，空气质量优良天数超350天。推进生态保护修复，投入资金4.96亿元，完成生态修复33公顷、治理水土流失70平方公里以上。支持国土绿化与生物多样性保护，建设</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两岸青山·千里林带</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19.7万亩。强化城乡环境基础，安排资金1.22亿元，保障城市运维与垃圾处置，提升城区环境品质。</w:t>
      </w:r>
      <w:r>
        <w:rPr>
          <w:rFonts w:hint="default" w:ascii="Times New Roman" w:hAnsi="Times New Roman" w:eastAsia="方正黑体_GBK" w:cs="Times New Roman"/>
          <w:color w:val="000000" w:themeColor="text1"/>
          <w:sz w:val="32"/>
          <w:szCs w:val="32"/>
          <w:lang w:bidi="ar"/>
          <w14:textFill>
            <w14:solidFill>
              <w14:schemeClr w14:val="tx1"/>
            </w14:solidFill>
          </w14:textFill>
        </w:rPr>
        <w:t>加快区域交通枢纽城市建设。</w:t>
      </w:r>
      <w:r>
        <w:rPr>
          <w:rFonts w:hint="default" w:ascii="Times New Roman" w:hAnsi="Times New Roman" w:eastAsia="方正仿宋_GBK" w:cs="Times New Roman"/>
          <w:color w:val="000000" w:themeColor="text1"/>
          <w:sz w:val="32"/>
          <w:szCs w:val="32"/>
          <w:lang w:bidi="ar"/>
          <w14:textFill>
            <w14:solidFill>
              <w14:schemeClr w14:val="tx1"/>
            </w14:solidFill>
          </w14:textFill>
        </w:rPr>
        <w:t>筹集资金11.16亿元，加快综合城市交通体系建设，重点推进G348干线公路、江南高速等重点项目，着力构建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三提五网一枢纽</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大交通格局。筹集1.5亿元，重点用于国省干线与农村公路的养护提质、安全防护及重点项目建设，筑牢出行安全屏障。</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lang w:bidi="ar"/>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（三）坚持理财为民，持续提升民生保障水平</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推进教育强县建设。</w:t>
      </w:r>
      <w:r>
        <w:rPr>
          <w:rFonts w:hint="default" w:ascii="Times New Roman" w:hAnsi="Times New Roman" w:eastAsia="方正仿宋_GBK" w:cs="Times New Roman"/>
          <w:color w:val="000000" w:themeColor="text1"/>
          <w:sz w:val="32"/>
          <w:szCs w:val="32"/>
          <w:lang w:bidi="ar"/>
          <w14:textFill>
            <w14:solidFill>
              <w14:schemeClr w14:val="tx1"/>
            </w14:solidFill>
          </w14:textFill>
        </w:rPr>
        <w:t>安排资金2.74亿元，落实生均公用经费、农村学校营养改善计划和学生资助政策，将高中国家助学金调整为特殊类困难学生1600元/生/期、其他类困难学生800元/生/期，中职国家助学金调整为所有脱贫户（含脱贫不稳定户）学生1600元/生/期、其余学生助学金1000元/生/期。安排资金18.15亿元，健全基础教育经费保障机制，落地落实学前教育逐步免费政策，义务教育集团化办学、学区制管理覆盖率达到100%，优质高中资源覆盖率达到77.8%。安排资金4.31亿元，支持初五中、滨江小学、北城高中建设，推动8所高中学校提能升级，教育水平持续提升。</w:t>
      </w:r>
      <w:r>
        <w:rPr>
          <w:rFonts w:hint="default" w:ascii="Times New Roman" w:hAnsi="Times New Roman" w:eastAsia="方正黑体_GBK" w:cs="Times New Roman"/>
          <w:color w:val="000000" w:themeColor="text1"/>
          <w:sz w:val="32"/>
          <w:szCs w:val="32"/>
          <w:lang w:bidi="ar"/>
          <w14:textFill>
            <w14:solidFill>
              <w14:schemeClr w14:val="tx1"/>
            </w14:solidFill>
          </w14:textFill>
        </w:rPr>
        <w:t>健全多层次社会保障体系。</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投入资金7.43亿元，建立健全多层次社会保障体系。其中，安排资金4.65 亿元，实施城乡低保、特困供养、临时救助、残疾人两项补贴等困难群众救助政策，将城乡低保标准分别提高到每月770元、630元，特困供养人员保障标准提高到每月1001元，散居孤儿标准提高到每月1651元。安排资金1.38亿元，加大对城乡居民基本养老保险基金补助，将城乡居民基础养老金每月提高到185元，支持构建多元养老服务体系。安排资金1.4亿元，落实退役军人等优抚对象抚恤补助。</w:t>
      </w:r>
      <w:r>
        <w:rPr>
          <w:rFonts w:hint="default" w:ascii="Times New Roman" w:hAnsi="Times New Roman" w:eastAsia="方正黑体_GBK" w:cs="Times New Roman"/>
          <w:color w:val="000000" w:themeColor="text1"/>
          <w:sz w:val="32"/>
          <w:szCs w:val="32"/>
          <w:lang w:bidi="ar"/>
          <w14:textFill>
            <w14:solidFill>
              <w14:schemeClr w14:val="tx1"/>
            </w14:solidFill>
          </w14:textFill>
        </w:rPr>
        <w:t>优化卫生健康服务。</w:t>
      </w:r>
      <w:r>
        <w:rPr>
          <w:rFonts w:hint="default" w:ascii="Times New Roman" w:hAnsi="Times New Roman" w:eastAsia="方正仿宋_GBK" w:cs="Times New Roman"/>
          <w:color w:val="000000" w:themeColor="text1"/>
          <w:sz w:val="32"/>
          <w:szCs w:val="32"/>
          <w:lang w:bidi="ar"/>
          <w14:textFill>
            <w14:solidFill>
              <w14:schemeClr w14:val="tx1"/>
            </w14:solidFill>
          </w14:textFill>
        </w:rPr>
        <w:t>投入资金4.58亿元，支持医疗卫生事业发展。其中，安排资金0.89亿元，促进基本公共卫生服务均等化，将基本公共卫生服务经费人均财政补助标准提高5元，支持推进</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健康积分</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相关经验入选国家基本公共卫生服务15年主题大会典型案例。安排资金0.97亿元，加大城乡医疗救助和医疗服务保障水平，将城乡居民医保人均财政补助标准，在原标准基础上增加30元。安排资金0.88亿元，落实育儿补贴政策，惠及群众2万余人，减轻家庭生育、养育负担。安排资金0.44亿元，保障计划生育奖励扶助、特别扶助家庭权益。安排资金0.5亿元，重点支持推动县域医共体资源共享中心项目建设，加快卫生基础设施补短板。</w:t>
      </w:r>
      <w:r>
        <w:rPr>
          <w:rFonts w:hint="default" w:ascii="Times New Roman" w:hAnsi="Times New Roman" w:eastAsia="方正黑体_GBK" w:cs="Times New Roman"/>
          <w:color w:val="000000" w:themeColor="text1"/>
          <w:sz w:val="32"/>
          <w:szCs w:val="32"/>
          <w:lang w:bidi="ar"/>
          <w14:textFill>
            <w14:solidFill>
              <w14:schemeClr w14:val="tx1"/>
            </w14:solidFill>
          </w14:textFill>
        </w:rPr>
        <w:t>完善住房保障体系。</w:t>
      </w:r>
      <w:r>
        <w:rPr>
          <w:rFonts w:hint="default" w:ascii="Times New Roman" w:hAnsi="Times New Roman" w:eastAsia="方正仿宋_GBK" w:cs="Times New Roman"/>
          <w:color w:val="000000" w:themeColor="text1"/>
          <w:sz w:val="32"/>
          <w:szCs w:val="32"/>
          <w:lang w:bidi="ar"/>
          <w14:textFill>
            <w14:solidFill>
              <w14:schemeClr w14:val="tx1"/>
            </w14:solidFill>
          </w14:textFill>
        </w:rPr>
        <w:t>投入资金5.55亿元，支持老旧小区改造、保障性租赁住房建设。其中，安排资金4.85亿元，重点用于老旧小区改造、电梯更新、垃圾分类转运等重大民生工程，支持改造双江街道桂湾社区等城镇老旧小区88个、面积229.09万平方米，惠及居民1.89万户。安排资金0.7亿元，筹集保障性租赁住房0.14万套，支持住房租赁市场发展。</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lang w:bidi="ar"/>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（四）强化底线思维，统筹发展与安全</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bCs/>
          <w:color w:val="000000" w:themeColor="text1"/>
          <w:sz w:val="32"/>
          <w:szCs w:val="32"/>
          <w:lang w:bidi="ar"/>
          <w14:textFill>
            <w14:solidFill>
              <w14:schemeClr w14:val="tx1"/>
            </w14:solidFill>
          </w14:textFill>
        </w:rPr>
        <w:t>保障财政稳健运行。</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坚持壮大政府综合财力，财政收入提速进位、实现双突破，县级地方财政收入首次突破40亿元、达46.41亿元、增长32%，其中，一般公共预算收入首次突破30亿元、达30.6亿元、增长45%，为</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十四五</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规划目标的156%，五年年均增速12.7%，为全县社会经济事业发展提供了有力支撑。</w:t>
      </w:r>
      <w:r>
        <w:rPr>
          <w:rFonts w:hint="default" w:ascii="Times New Roman" w:hAnsi="Times New Roman" w:eastAsia="方正仿宋_GBK" w:cs="Times New Roman"/>
          <w:color w:val="000000" w:themeColor="text1"/>
          <w:sz w:val="32"/>
          <w:szCs w:val="32"/>
          <w:lang w:bidi="ar"/>
          <w14:textFill>
            <w14:solidFill>
              <w14:schemeClr w14:val="tx1"/>
            </w14:solidFill>
          </w14:textFill>
        </w:rPr>
        <w:t>始终把</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三保</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责任放在财政预算安排和资金拨付的首要地位，全年累计实现</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三保</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支出</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54.79</w:t>
      </w:r>
      <w:r>
        <w:rPr>
          <w:rFonts w:hint="default" w:ascii="Times New Roman" w:hAnsi="Times New Roman" w:eastAsia="方正仿宋_GBK" w:cs="Times New Roman"/>
          <w:color w:val="000000" w:themeColor="text1"/>
          <w:sz w:val="32"/>
          <w:szCs w:val="32"/>
          <w:lang w:bidi="ar"/>
          <w14:textFill>
            <w14:solidFill>
              <w14:schemeClr w14:val="tx1"/>
            </w14:solidFill>
          </w14:textFill>
        </w:rPr>
        <w:t>亿元，基本民生、人员待遇均及时兑现、应保尽保。进一步提升财政国库库款管理的精准性与保障能力，聚焦春节和开学季等周期性支出高峰，完善</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事前测算、事中监测、事后评估</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的闭环管理机制，确保全年财政支付平稳有序，全年月均库款保障系数高于0.3。</w:t>
      </w:r>
      <w:r>
        <w:rPr>
          <w:rFonts w:hint="default" w:ascii="Times New Roman" w:hAnsi="Times New Roman" w:eastAsia="方正黑体_GBK" w:cs="Times New Roman"/>
          <w:bCs/>
          <w:color w:val="000000" w:themeColor="text1"/>
          <w:sz w:val="32"/>
          <w:szCs w:val="32"/>
          <w:lang w:bidi="ar"/>
          <w14:textFill>
            <w14:solidFill>
              <w14:schemeClr w14:val="tx1"/>
            </w14:solidFill>
          </w14:textFill>
        </w:rPr>
        <w:t>严守债务安全底线。</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紧盯地方政府债务，累计争取置换债务的债券额度28.31亿元，县级还本付息压力大幅度减轻，流动性显著增强，腾挪出更多财力保</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三保</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、促内需。完善全口径地方债务监测监管体系，严格落实违规举债问责机制，全县政府债务余额控制在限额以下，定性、定量指标均在管控目标内，债务风险总体可控。</w:t>
      </w:r>
      <w:r>
        <w:rPr>
          <w:rFonts w:hint="default" w:ascii="Times New Roman" w:hAnsi="Times New Roman" w:eastAsia="方正黑体_GBK" w:cs="Times New Roman"/>
          <w:bCs/>
          <w:color w:val="000000" w:themeColor="text1"/>
          <w:sz w:val="32"/>
          <w:szCs w:val="32"/>
          <w:lang w:bidi="ar"/>
          <w14:textFill>
            <w14:solidFill>
              <w14:schemeClr w14:val="tx1"/>
            </w14:solidFill>
          </w14:textFill>
        </w:rPr>
        <w:t>筑牢财经纪律防线。</w:t>
      </w:r>
      <w:r>
        <w:rPr>
          <w:rFonts w:hint="default" w:ascii="Times New Roman" w:hAnsi="Times New Roman" w:eastAsia="方正仿宋_GBK" w:cs="Times New Roman"/>
          <w:color w:val="000000" w:themeColor="text1"/>
          <w:sz w:val="32"/>
          <w:szCs w:val="32"/>
          <w:lang w:bidi="ar"/>
          <w14:textFill>
            <w14:solidFill>
              <w14:schemeClr w14:val="tx1"/>
            </w14:solidFill>
          </w14:textFill>
        </w:rPr>
        <w:t>聚焦防范化解财政风险、保障运行平稳的核心目标，紧盯预算编制、资金使用、存量化解等关键环节，对97家单位开展常态化、穿透式监督检查，严肃查处违反财经纪律、挤占挪用资金等问题。强化与纪检监察、审计等部门协同联动，完善线索移送、成果共享机制，全年完成协同事项2件，移交案件线索1条，切实形成监督合力。</w:t>
      </w:r>
      <w:r>
        <w:rPr>
          <w:rFonts w:hint="default" w:ascii="Times New Roman" w:hAnsi="Times New Roman" w:eastAsia="方正黑体_GBK" w:cs="Times New Roman"/>
          <w:bCs/>
          <w:color w:val="000000" w:themeColor="text1"/>
          <w:sz w:val="32"/>
          <w:szCs w:val="32"/>
          <w:lang w:bidi="ar"/>
          <w14:textFill>
            <w14:solidFill>
              <w14:schemeClr w14:val="tx1"/>
            </w14:solidFill>
          </w14:textFill>
        </w:rPr>
        <w:t>协同防控重点风险。</w:t>
      </w:r>
      <w:r>
        <w:rPr>
          <w:rFonts w:hint="default" w:ascii="Times New Roman" w:hAnsi="Times New Roman" w:eastAsia="方正仿宋_GBK" w:cs="Times New Roman"/>
          <w:color w:val="000000" w:themeColor="text1"/>
          <w:sz w:val="32"/>
          <w:szCs w:val="32"/>
          <w:lang w:bidi="ar"/>
          <w14:textFill>
            <w14:solidFill>
              <w14:schemeClr w14:val="tx1"/>
            </w14:solidFill>
          </w14:textFill>
        </w:rPr>
        <w:t>安排资金2.93亿元，健全防灾减灾救灾保障机制，加强山体滑坡、泥石流、三峡库区危岩等地质灾害防治工作，实施城市防洪排涝等重大工程。应对强降水和高温天气，建立受灾群众慰问备用金制度，及时救助4万余名受灾困难群众。补充救援装备1100余台（套）和消防装备 273台（卷），应急物资8500件（套），增强应急、消防救援能力。建设完善2759个农村应急广播，构建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风险精准预警—信息高效叫应—群众及时避险</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全链条闭环管理机制，提升农村精准预警叫应效能。安排资金3.29亿元，进一步巩固提升社会安全稳定态势，坚决维护社会稳定、严厉打击涉黑涉恶、网赌电诈、毒品等突出犯罪，推进两级综治中心规范化建设，迭代</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141</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基层智治体系实战功能，全方位筑牢安全防线。安排资金1.5亿元，保障党建引领基层治理和基层政权建设，将村社干部基本报酬纳入惠农惠民</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一卡通</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由财政统一按月直接发放，夯实党在农村的执政根基。</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lang w:bidi="ar"/>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（五）深化改革创新，提升财政管理效能</w:t>
      </w:r>
    </w:p>
    <w:p>
      <w:pPr>
        <w:overflowPunct w:val="0"/>
        <w:spacing w:line="578" w:lineRule="exact"/>
        <w:ind w:firstLine="640" w:firstLineChars="200"/>
        <w:rPr>
          <w:rFonts w:hint="default" w:ascii="Times New Roman" w:hAnsi="Times New Roman" w:eastAsia="方正黑体_GBK" w:cs="Times New Roman"/>
          <w:color w:val="000000" w:themeColor="text1"/>
          <w:sz w:val="32"/>
          <w:szCs w:val="32"/>
          <w:lang w:bidi="ar"/>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资产盘活成效显著。</w:t>
      </w:r>
      <w:r>
        <w:rPr>
          <w:rFonts w:hint="default" w:ascii="Times New Roman" w:hAnsi="Times New Roman" w:eastAsia="方正仿宋_GBK" w:cs="Times New Roman"/>
          <w:color w:val="000000" w:themeColor="text1"/>
          <w:sz w:val="32"/>
          <w:szCs w:val="32"/>
          <w:lang w:bidi="ar"/>
          <w14:textFill>
            <w14:solidFill>
              <w14:schemeClr w14:val="tx1"/>
            </w14:solidFill>
          </w14:textFill>
        </w:rPr>
        <w:t>系统推进闲置低效资产盘活，建立</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一本账</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管理模式，完成公租房、河道清淤砂石利用等经营权公开转让，积极引入社会资本参与土地资源开发，全年累计盘活资产32.64亿元，回收资金18.04亿元，超额完成市级任务。</w:t>
      </w:r>
      <w:r>
        <w:rPr>
          <w:rFonts w:hint="default" w:ascii="Times New Roman" w:hAnsi="Times New Roman" w:eastAsia="方正黑体_GBK" w:cs="Times New Roman"/>
          <w:color w:val="000000" w:themeColor="text1"/>
          <w:sz w:val="32"/>
          <w:szCs w:val="32"/>
          <w:lang w:bidi="ar"/>
          <w14:textFill>
            <w14:solidFill>
              <w14:schemeClr w14:val="tx1"/>
            </w14:solidFill>
          </w14:textFill>
        </w:rPr>
        <w:t>厉行节约落到实处。</w:t>
      </w:r>
      <w:r>
        <w:rPr>
          <w:rFonts w:hint="default" w:ascii="Times New Roman" w:hAnsi="Times New Roman" w:eastAsia="方正仿宋_GBK" w:cs="Times New Roman"/>
          <w:color w:val="000000" w:themeColor="text1"/>
          <w:sz w:val="32"/>
          <w:szCs w:val="32"/>
          <w:lang w:bidi="ar"/>
          <w14:textFill>
            <w14:solidFill>
              <w14:schemeClr w14:val="tx1"/>
            </w14:solidFill>
          </w14:textFill>
        </w:rPr>
        <w:t>坚持节俭办一切事业，严控三公经费、会议、培训等一般性支出一般性支出，2025年全县</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三公</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经费同比下降13.9%，公用经费、公务用车运行经费持续压减，节约财力全部用于保障民生和高质量发展重点领域。</w:t>
      </w:r>
      <w:r>
        <w:rPr>
          <w:rFonts w:hint="default" w:ascii="Times New Roman" w:hAnsi="Times New Roman" w:eastAsia="方正黑体_GBK" w:cs="Times New Roman"/>
          <w:color w:val="000000" w:themeColor="text1"/>
          <w:sz w:val="32"/>
          <w:szCs w:val="32"/>
          <w:lang w:bidi="ar"/>
          <w14:textFill>
            <w14:solidFill>
              <w14:schemeClr w14:val="tx1"/>
            </w14:solidFill>
          </w14:textFill>
        </w:rPr>
        <w:t>绩效管理纵深推进。</w:t>
      </w:r>
      <w:r>
        <w:rPr>
          <w:rFonts w:hint="default" w:ascii="Times New Roman" w:hAnsi="Times New Roman" w:eastAsia="方正仿宋_GBK" w:cs="Times New Roman"/>
          <w:color w:val="000000" w:themeColor="text1"/>
          <w:sz w:val="32"/>
          <w:szCs w:val="32"/>
          <w:lang w:bidi="ar"/>
          <w14:textFill>
            <w14:solidFill>
              <w14:schemeClr w14:val="tx1"/>
            </w14:solidFill>
          </w14:textFill>
        </w:rPr>
        <w:t>制定印发绩效评价管理办法，建成覆盖26类共性项目和15个行业领域的绩效指标体系，共计5100余条指标。全面完成103个部门整体绩效、0.91万个项目线上绩效监控，涉及财政资金159.8亿元。开展多层次绩效评价10项，涉及财政资金7.02亿元，相关经验获《财会监督》刊发推广，绩效管理科学化、精细化水平不断提升。</w:t>
      </w:r>
      <w:r>
        <w:rPr>
          <w:rFonts w:hint="default" w:ascii="Times New Roman" w:hAnsi="Times New Roman" w:eastAsia="方正黑体_GBK" w:cs="Times New Roman"/>
          <w:color w:val="000000" w:themeColor="text1"/>
          <w:sz w:val="32"/>
          <w:szCs w:val="32"/>
          <w:lang w:bidi="ar"/>
          <w14:textFill>
            <w14:solidFill>
              <w14:schemeClr w14:val="tx1"/>
            </w14:solidFill>
          </w14:textFill>
        </w:rPr>
        <w:t>投资评审精准强化。</w:t>
      </w:r>
      <w:r>
        <w:rPr>
          <w:rFonts w:hint="default" w:ascii="Times New Roman" w:hAnsi="Times New Roman" w:eastAsia="方正仿宋_GBK" w:cs="Times New Roman"/>
          <w:color w:val="000000" w:themeColor="text1"/>
          <w:sz w:val="32"/>
          <w:szCs w:val="32"/>
          <w:lang w:bidi="ar"/>
          <w14:textFill>
            <w14:solidFill>
              <w14:schemeClr w14:val="tx1"/>
            </w14:solidFill>
          </w14:textFill>
        </w:rPr>
        <w:t>依托</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云跟审</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数字化改革，赋能政府投资项目精准监管，实现对黄岭产业园标准厂房、汤溪河流域污水厂网一体化等16个重大项目的全过程跟踪评审，推动财政管理从</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事后审核</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向</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全过程控制</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转变，有效破解了政府投资项目监管滞后、协同低效、风险难控等难题。全年完成337个政府投资项目概（预）算审核，送审金额为81.45亿元，审减金额7.13亿元，审减率8.7%。</w:t>
      </w:r>
      <w:r>
        <w:rPr>
          <w:rFonts w:hint="default" w:ascii="Times New Roman" w:hAnsi="Times New Roman" w:eastAsia="方正黑体_GBK" w:cs="Times New Roman"/>
          <w:color w:val="000000" w:themeColor="text1"/>
          <w:sz w:val="32"/>
          <w:szCs w:val="32"/>
          <w:lang w:bidi="ar"/>
          <w14:textFill>
            <w14:solidFill>
              <w14:schemeClr w14:val="tx1"/>
            </w14:solidFill>
          </w14:textFill>
        </w:rPr>
        <w:t>履职能力稳步增强。</w:t>
      </w:r>
      <w:r>
        <w:rPr>
          <w:rFonts w:hint="default" w:ascii="Times New Roman" w:hAnsi="Times New Roman" w:eastAsia="方正仿宋_GBK" w:cs="Times New Roman"/>
          <w:color w:val="000000" w:themeColor="text1"/>
          <w:sz w:val="32"/>
          <w:szCs w:val="32"/>
          <w:lang w:bidi="ar"/>
          <w14:textFill>
            <w14:solidFill>
              <w14:schemeClr w14:val="tx1"/>
            </w14:solidFill>
          </w14:textFill>
        </w:rPr>
        <w:t>注重以系统培训赋能财政干部队伍。围绕预算管理、往来清理、债务风险、基层财政等重点领域，实施常态化、精准化业务培训，覆盖1600人次。强化年轻干部战略培养，深入实施</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8090</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工程，统筹理论武装与实践锻炼，全面锻造符合现代财政治理要求的专业骨干力量。</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（六）落实县人大决议和服务代表委员情况</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严格落实县人大决议决定。</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严格按照县第十八届人民代表大会第六次会议批准的财政预算和县第十八届人大常委会第28次、第31次会议批准的预算调整方案执行，坚持理财为公、理财为民、理财为效，认真执行财政收支预算，贯彻重大决策部署，推动各项改革任务，常态落实</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过紧日子</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要求，切实提升资金使用效益。</w:t>
      </w:r>
      <w:r>
        <w:rPr>
          <w:rFonts w:hint="default" w:ascii="Times New Roman" w:hAnsi="Times New Roman" w:eastAsia="方正黑体_GBK" w:cs="Times New Roman"/>
          <w:color w:val="000000" w:themeColor="text1"/>
          <w:sz w:val="32"/>
          <w:szCs w:val="32"/>
          <w:lang w:bidi="ar"/>
          <w14:textFill>
            <w14:solidFill>
              <w14:schemeClr w14:val="tx1"/>
            </w14:solidFill>
          </w14:textFill>
        </w:rPr>
        <w:t>自觉接受人大、政协监督。</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主动向县人大常委会议报告预算执行、预算调整、政府债务管理等事项，积极配合人大、审计等监督检查，运用线上线下监督平台强化财政资金全过程监管。</w:t>
      </w:r>
      <w:r>
        <w:rPr>
          <w:rFonts w:hint="default" w:ascii="Times New Roman" w:hAnsi="Times New Roman" w:eastAsia="方正黑体_GBK" w:cs="Times New Roman"/>
          <w:color w:val="000000" w:themeColor="text1"/>
          <w:sz w:val="32"/>
          <w:szCs w:val="32"/>
          <w:lang w:bidi="ar"/>
          <w14:textFill>
            <w14:solidFill>
              <w14:schemeClr w14:val="tx1"/>
            </w14:solidFill>
          </w14:textFill>
        </w:rPr>
        <w:t>认真办理代表建议、政协提案。</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针对人大代表、政协委员提出的建议意见，深入调查研究，加强部门协作，重点问题聚力快办，民生问题靠前先办，真正解决一批民生实事、化解一批民忧难题。全年承办县十八届人大六次会议代表建议8件，其中：主办1件，协办7件。承办县政协十五届第五次会议委员提案12件，其中：主办1件，协办11件。均按期办结，满意率100%。</w:t>
      </w:r>
    </w:p>
    <w:p>
      <w:pPr>
        <w:overflowPunct w:val="0"/>
        <w:spacing w:line="578"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三、2026年工作安排</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今年是</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十五五</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开局之年，也是县委确定的现代化新云阳建设提质年和招商引资强化年。</w:t>
      </w:r>
      <w:r>
        <w:rPr>
          <w:rFonts w:hint="default" w:ascii="Times New Roman" w:hAnsi="Times New Roman" w:eastAsia="方正仿宋_GBK" w:cs="Times New Roman"/>
          <w:color w:val="000000" w:themeColor="text1"/>
          <w:sz w:val="32"/>
          <w:szCs w:val="32"/>
          <w:lang w:bidi="ar"/>
          <w14:textFill>
            <w14:solidFill>
              <w14:schemeClr w14:val="tx1"/>
            </w14:solidFill>
          </w14:textFill>
        </w:rPr>
        <w:t>全县财政将全面贯彻党中央、国务院和市委、市政府决策部署，严格落实县委、县政府工作要求，坚持</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以政领财、以财辅政</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，扎实推进预算编制、财政管理改革等各项工作，充分发挥积极财政政策作用，有力有效服务保障</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一地一标三区两城</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现代化新云阳建设</w:t>
      </w:r>
      <w:r>
        <w:rPr>
          <w:rFonts w:hint="default" w:ascii="Times New Roman" w:hAnsi="Times New Roman" w:eastAsia="方正仿宋_GBK" w:cs="Times New Roman"/>
          <w:color w:val="000000" w:themeColor="text1"/>
          <w:sz w:val="32"/>
          <w:szCs w:val="32"/>
          <w:lang w:bidi="ar"/>
          <w14:textFill>
            <w14:solidFill>
              <w14:schemeClr w14:val="tx1"/>
            </w14:solidFill>
          </w14:textFill>
        </w:rPr>
        <w:t>。</w:t>
      </w:r>
    </w:p>
    <w:p>
      <w:pPr>
        <w:overflowPunct w:val="0"/>
        <w:spacing w:line="578"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（一）2026年财政收支形势</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我国经济长期向好的支撑条件和基本趋势没有改变。当前财政工作面临的挑战前所未有，机遇也前所未有。挑战来自于收入增速放缓，来自于刚性支出增长加快，来自于债务管控和</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三保</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压力。机遇来自于国家政策红利持续叠加释放，全市、全县改革发展稳定积厚成势。</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2026年，中央将继续实施更加积极的财政政策。保持必要的财政赤字、债务总规模和支出总量，一系列增量政策红利和效应逐步释放，为我县抓好争资争项，服务保障经济高质量发展提供了坚实支撑。中央更加重视解决地方财政困难，为我县兜牢</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三保</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底线、守牢债务</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底线</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提供了有力保障。但同时，全县税收规模偏小，经常性收入占比较低，税源培育力度、征管强度还需加大。</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三保</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、债务还本付息等刚性支出持续增长，教育、医疗、社保等重点民生领域仍需财政持续加强保障。</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黑体_GBK" w:cs="Times New Roman"/>
          <w:color w:val="000000" w:themeColor="text1"/>
          <w:sz w:val="32"/>
          <w:szCs w:val="32"/>
          <w:shd w:val="clear" w:color="auto" w:fill="FFFFFF"/>
          <w:lang w:bidi="ar"/>
          <w14:textFill>
            <w14:solidFill>
              <w14:schemeClr w14:val="tx1"/>
            </w14:solidFill>
          </w14:textFill>
        </w:rPr>
        <w:t>总体看</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，2026年，财政收支矛盾依然突出，财政运行仍将高位承压。对此我们高度重视、积极应对，努力把各方面积极因素转化为发展实绩。</w:t>
      </w:r>
    </w:p>
    <w:p>
      <w:pPr>
        <w:overflowPunct w:val="0"/>
        <w:spacing w:line="578" w:lineRule="exact"/>
        <w:ind w:firstLine="640" w:firstLineChars="200"/>
        <w:rPr>
          <w:rFonts w:hint="default" w:ascii="Times New Roman" w:hAnsi="Times New Roman" w:eastAsia="方正楷体_GBK" w:cs="Times New Roman"/>
          <w:color w:val="FF0000"/>
          <w:sz w:val="32"/>
          <w:szCs w:val="32"/>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（二）2026年预算编制指导思想和财政工作总体要求</w:t>
      </w:r>
    </w:p>
    <w:p>
      <w:pPr>
        <w:overflowPunct w:val="0"/>
        <w:adjustRightInd w:val="0"/>
        <w:snapToGrid w:val="0"/>
        <w:spacing w:line="578" w:lineRule="exact"/>
        <w:ind w:firstLine="640" w:firstLineChars="200"/>
        <w:outlineLvl w:val="1"/>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预算编制指导思想：</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要坚持以习近平新时代中国特色社会主义思想为指导，深入贯彻落实党的二十大和二十届历次全会精神，认真学习贯彻习近平总书记视察重庆重要讲话重要指示精神，深化落实中央经济工作会议、市委经济工作会议精神，聚焦在全市做实</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两大定位</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、发挥</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三个作用</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上勇挑重担、走在前列，按照县委部署要求，完整准确全面贯彻新发展理念，主动服务融入新发展格局，扎实推动高质量发展，坚持稳中求进工作总基调，更好统筹发展和安全、发展和化债，强化改革、开放、创新、招商动力支撑，持续扩大内需、优化供给、做优增量、盘活存量，因地制宜发展新质生产力，积极融入全国统一大市场建设，持续防范化解重点领域风险，着力稳就业、稳企业、稳市场、稳预期，推动经济实现质的有效提升和量的合理增长，保持社会和谐稳定，推动</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一地一标三区两城</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现代化新云阳建设提质增效，实现</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十五五</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良好开局。</w:t>
      </w:r>
    </w:p>
    <w:p>
      <w:pPr>
        <w:overflowPunct w:val="0"/>
        <w:snapToGrid w:val="0"/>
        <w:spacing w:line="578" w:lineRule="exact"/>
        <w:ind w:firstLine="640" w:firstLineChars="200"/>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财政工作的总体要求</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w:t>
      </w:r>
      <w:r>
        <w:rPr>
          <w:rFonts w:hint="default" w:ascii="Times New Roman" w:hAnsi="Times New Roman" w:eastAsia="方正仿宋_GBK" w:cs="Times New Roman"/>
          <w:color w:val="000000" w:themeColor="text1"/>
          <w:kern w:val="44"/>
          <w:sz w:val="32"/>
          <w:szCs w:val="32"/>
          <w:lang w:bidi="ar"/>
          <w14:textFill>
            <w14:solidFill>
              <w14:schemeClr w14:val="tx1"/>
            </w14:solidFill>
          </w14:textFill>
        </w:rPr>
        <w:t>坚持稳中求进、提质增效，继续实施更加积极的财政政策。加强财政科学管理，优化财政支出结构，规范税收优惠、财政补贴政策。严肃财经纪律，坚持党政机关过紧日子。深化零基预算改革，提高财政资金使用绩效。推动经济实现质的有效提升和量的合理增长，保持社会和谐稳定，实现</w:t>
      </w:r>
      <w:r>
        <w:rPr>
          <w:rFonts w:hint="eastAsia" w:ascii="Times New Roman" w:hAnsi="Times New Roman" w:eastAsia="方正仿宋_GBK" w:cs="Times New Roman"/>
          <w:color w:val="000000" w:themeColor="text1"/>
          <w:kern w:val="44"/>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44"/>
          <w:sz w:val="32"/>
          <w:szCs w:val="32"/>
          <w:lang w:bidi="ar"/>
          <w14:textFill>
            <w14:solidFill>
              <w14:schemeClr w14:val="tx1"/>
            </w14:solidFill>
          </w14:textFill>
        </w:rPr>
        <w:t>十五五</w:t>
      </w:r>
      <w:r>
        <w:rPr>
          <w:rFonts w:hint="eastAsia" w:ascii="Times New Roman" w:hAnsi="Times New Roman" w:eastAsia="方正仿宋_GBK" w:cs="Times New Roman"/>
          <w:color w:val="000000" w:themeColor="text1"/>
          <w:kern w:val="44"/>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44"/>
          <w:sz w:val="32"/>
          <w:szCs w:val="32"/>
          <w:lang w:bidi="ar"/>
          <w14:textFill>
            <w14:solidFill>
              <w14:schemeClr w14:val="tx1"/>
            </w14:solidFill>
          </w14:textFill>
        </w:rPr>
        <w:t>良好开局。</w:t>
      </w:r>
    </w:p>
    <w:p>
      <w:pPr>
        <w:overflowPunct w:val="0"/>
        <w:spacing w:line="578"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（三）2026年财政重点工</w:t>
      </w:r>
      <w:r>
        <w:rPr>
          <w:rFonts w:hint="default" w:ascii="Times New Roman" w:hAnsi="Times New Roman" w:eastAsia="方正楷体_GBK" w:cs="Times New Roman"/>
          <w:color w:val="000000" w:themeColor="text1"/>
          <w:kern w:val="0"/>
          <w:sz w:val="32"/>
          <w:szCs w:val="32"/>
          <w:lang w:bidi="ar"/>
          <w14:textFill>
            <w14:solidFill>
              <w14:schemeClr w14:val="tx1"/>
            </w14:solidFill>
          </w14:textFill>
        </w:rPr>
        <w:t>作</w:t>
      </w:r>
    </w:p>
    <w:p>
      <w:pPr>
        <w:overflowPunct w:val="0"/>
        <w:spacing w:line="578" w:lineRule="exact"/>
        <w:ind w:firstLine="640" w:firstLineChars="200"/>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1.坚持强基固本、提质增效，聚力推动</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活力财政</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建设</w:t>
      </w:r>
    </w:p>
    <w:p>
      <w:pPr>
        <w:pStyle w:val="2"/>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围绕财税核心目标，统筹当前增收与长远培育，着力构建更稳固、可持续的财力保障体系。</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充分激发增收潜力</w:t>
      </w:r>
      <w:r>
        <w:rPr>
          <w:rFonts w:hint="default" w:ascii="Times New Roman" w:hAnsi="Times New Roman" w:eastAsia="方正仿宋_GBK" w:cs="Times New Roman"/>
          <w:color w:val="000000" w:themeColor="text1"/>
          <w:sz w:val="32"/>
          <w:szCs w:val="32"/>
          <w:lang w:bidi="ar"/>
          <w14:textFill>
            <w14:solidFill>
              <w14:schemeClr w14:val="tx1"/>
            </w14:solidFill>
          </w14:textFill>
        </w:rPr>
        <w:t>。健全资产盘活与价值实现机制，加快推动民政、文旅等重点领域的资源资产高效变现。用活用足债券资金盘活存量土地资源政策，稳定土地市场预期。</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切实提升征管效能。</w:t>
      </w:r>
      <w:r>
        <w:rPr>
          <w:rFonts w:hint="default" w:ascii="Times New Roman" w:hAnsi="Times New Roman" w:eastAsia="方正仿宋_GBK" w:cs="Times New Roman"/>
          <w:color w:val="000000" w:themeColor="text1"/>
          <w:sz w:val="32"/>
          <w:szCs w:val="32"/>
          <w:lang w:bidi="ar"/>
          <w14:textFill>
            <w14:solidFill>
              <w14:schemeClr w14:val="tx1"/>
            </w14:solidFill>
          </w14:textFill>
        </w:rPr>
        <w:t>完善财税联席会议制度，强化收入形势动态研判与跨部门高位统筹。聚焦重点行业、重点企业与重点项目，加强财源精细化管控。压实各环节征收责任，确保应收尽收、依法征收。</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积极争取政策支持。</w:t>
      </w:r>
      <w:r>
        <w:rPr>
          <w:rFonts w:hint="default" w:ascii="Times New Roman" w:hAnsi="Times New Roman" w:eastAsia="方正仿宋_GBK" w:cs="Times New Roman"/>
          <w:color w:val="000000" w:themeColor="text1"/>
          <w:sz w:val="32"/>
          <w:szCs w:val="32"/>
          <w:lang w:bidi="ar"/>
          <w14:textFill>
            <w14:solidFill>
              <w14:schemeClr w14:val="tx1"/>
            </w14:solidFill>
          </w14:textFill>
        </w:rPr>
        <w:t>构建发改、部门、财政协同争资工作体系，聚焦交通、水利等重点领域，建立健全前期工作经费滚动保障与考核激励机制，切实提高项目成熟度与向上争资的精准度。提高超长期特别国债、中央预算内投资等重点专项资金调度精准性，有序保障重大项目建设，切实加快财政支出进度。</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有效发挥撬动作用。</w:t>
      </w:r>
      <w:r>
        <w:rPr>
          <w:rFonts w:hint="default" w:ascii="Times New Roman" w:hAnsi="Times New Roman" w:eastAsia="方正仿宋_GBK" w:cs="Times New Roman"/>
          <w:color w:val="000000" w:themeColor="text1"/>
          <w:sz w:val="32"/>
          <w:szCs w:val="32"/>
          <w:lang w:bidi="ar"/>
          <w14:textFill>
            <w14:solidFill>
              <w14:schemeClr w14:val="tx1"/>
            </w14:solidFill>
          </w14:textFill>
        </w:rPr>
        <w:t>保持合理的债务规模，积极撬动社会资本，有效激发民间投资活力。明晰政府与市场的边界，积极探索政府购买服务、特许经营等多元化公共服务供给路径，构建可持续、高效率的财力保障机制。</w:t>
      </w:r>
    </w:p>
    <w:p>
      <w:pPr>
        <w:overflowPunct w:val="0"/>
        <w:spacing w:line="578" w:lineRule="exact"/>
        <w:ind w:firstLine="640" w:firstLineChars="200"/>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2.坚持政策集成、靶向施策，聚力推动</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发展财政</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建设</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牢固树立</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财随政走</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理念，有力有效发挥存量政策和增量政策集成效应，推动财政资源向关键领域集聚。</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聚焦产业培育，强化政策与资金集成。</w:t>
      </w:r>
      <w:r>
        <w:rPr>
          <w:rFonts w:hint="default" w:ascii="Times New Roman" w:hAnsi="Times New Roman" w:eastAsia="方正仿宋_GBK" w:cs="Times New Roman"/>
          <w:color w:val="000000" w:themeColor="text1"/>
          <w:sz w:val="32"/>
          <w:szCs w:val="32"/>
          <w:lang w:bidi="ar"/>
          <w14:textFill>
            <w14:solidFill>
              <w14:schemeClr w14:val="tx1"/>
            </w14:solidFill>
          </w14:textFill>
        </w:rPr>
        <w:t>着力优化营商环境，规范税收优惠、财政补贴政策，维护公平透明的市场秩序。加强政策统筹与集成发力，系统落实减税降费、融资支持、就业帮扶等惠企措施，助力市场主体成长壮大。提升招商外联工作质效，健全经费</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申报—审批—报销—监管</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闭环管理，提高资金使用效益。积极拓宽产业资金来源，紧扣政策导向，全力争取专项债券、科技创新、中小企业发展等领域上级补助，重点支持产业基础设施配套与企业激励。</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发力文旅融合，深化品牌与消费互动。</w:t>
      </w:r>
      <w:r>
        <w:rPr>
          <w:rFonts w:hint="default" w:ascii="Times New Roman" w:hAnsi="Times New Roman" w:eastAsia="方正仿宋_GBK" w:cs="Times New Roman"/>
          <w:color w:val="000000" w:themeColor="text1"/>
          <w:sz w:val="32"/>
          <w:szCs w:val="32"/>
          <w:lang w:bidi="ar"/>
          <w14:textFill>
            <w14:solidFill>
              <w14:schemeClr w14:val="tx1"/>
            </w14:solidFill>
          </w14:textFill>
        </w:rPr>
        <w:t>用好用活对口帮扶、文旅发展、公共文化等专项资金，支持恐龙地质公园</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数字+恐龙</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业态，持续实施旅游景区强基焕新行动，串珠成链做强一批精品文旅线路，加快创建世界地质遗产地。推动文旅产业提能，支持办好亚洲沙滩排球锦标赛等大型精品赛事。深入实施提振消费专项行动，推动汽车、家电、家居、电子产品等开展消费品以旧换新，办好</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天生云阳</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金秋季、重庆小面文化节等系列节会，做强全国县域商业</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领跑县</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统筹城乡发展，提升城市与乡村能级。</w:t>
      </w:r>
      <w:r>
        <w:rPr>
          <w:rFonts w:hint="default" w:ascii="Times New Roman" w:hAnsi="Times New Roman" w:eastAsia="方正仿宋_GBK" w:cs="Times New Roman"/>
          <w:color w:val="000000" w:themeColor="text1"/>
          <w:sz w:val="32"/>
          <w:szCs w:val="32"/>
          <w:lang w:bidi="ar"/>
          <w14:textFill>
            <w14:solidFill>
              <w14:schemeClr w14:val="tx1"/>
            </w14:solidFill>
          </w14:textFill>
        </w:rPr>
        <w:t>着力提升县城中心区发展能级，聚焦中央预算内、污染防治等上级增量政策，优化城市运行维护经费保障方式，统筹推进</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四城共建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，持续实施城市更新提升行动，支持人居环境卓越城市创建。深入推进乡村全面振兴，</w:t>
      </w:r>
      <w:r>
        <w:rPr>
          <w:rFonts w:hint="default" w:ascii="Times New Roman" w:hAnsi="Times New Roman" w:eastAsia="方正仿宋_GBK" w:cs="Times New Roman"/>
          <w:sz w:val="32"/>
          <w:szCs w:val="36"/>
        </w:rPr>
        <w:t>聚力农业增产、农村增美、农民增收，统筹乡村振兴衔接、三峡后续、农林水发展等涉农资金，抓好稳粮保供，发展壮大山地特色农业，加快巴渝和美乡村建设，扎实推进乡村全面振兴。</w:t>
      </w:r>
    </w:p>
    <w:p>
      <w:pPr>
        <w:overflowPunct w:val="0"/>
        <w:spacing w:line="578" w:lineRule="exact"/>
        <w:ind w:firstLine="640" w:firstLineChars="200"/>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3.坚持投资于人、量力而行，聚力推动</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民生财政</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建设</w:t>
      </w:r>
    </w:p>
    <w:p>
      <w:pPr>
        <w:pStyle w:val="2"/>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聚焦群众</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急难愁盼</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，优化财政投入机制，着力解决好群众最关心、最直接、最现实的问题。</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提速推进教育强县建设，</w:t>
      </w:r>
      <w:r>
        <w:rPr>
          <w:rFonts w:hint="default" w:ascii="Times New Roman" w:hAnsi="Times New Roman" w:eastAsia="方正仿宋_GBK" w:cs="Times New Roman"/>
          <w:color w:val="000000" w:themeColor="text1"/>
          <w:sz w:val="32"/>
          <w:szCs w:val="32"/>
          <w:lang w:bidi="ar"/>
          <w14:textFill>
            <w14:solidFill>
              <w14:schemeClr w14:val="tx1"/>
            </w14:solidFill>
          </w14:textFill>
        </w:rPr>
        <w:t>健全与人口变化相适应的教育资源配置和资金保障机制，推动云中锦绣中学和北城高中新校建设。落实学生资助、营养改善计划和免保教费等政策，巩固提升全国学前教育普及普惠县创建成果，聚力攻坚全国义务教育优质均衡发展县创建。夯实产教融合发展, 提速推进重庆城乡职业发展学院建设。</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深入实施就业优先战略。</w:t>
      </w:r>
      <w:r>
        <w:rPr>
          <w:rFonts w:hint="default" w:ascii="Times New Roman" w:hAnsi="Times New Roman" w:eastAsia="方正仿宋_GBK" w:cs="Times New Roman"/>
          <w:color w:val="000000" w:themeColor="text1"/>
          <w:sz w:val="32"/>
          <w:szCs w:val="32"/>
          <w:lang w:bidi="ar"/>
          <w14:textFill>
            <w14:solidFill>
              <w14:schemeClr w14:val="tx1"/>
            </w14:solidFill>
          </w14:textFill>
        </w:rPr>
        <w:t>完善高质量充分就业促进机制和政策体系，加强产业就业协同，实施劳务品牌培育行动，争创市级农民工返乡创业园，加快建设青年发展型城市、产业工人发展型城市。</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健全分层分类社会救助体系。</w:t>
      </w:r>
      <w:r>
        <w:rPr>
          <w:rFonts w:hint="default" w:ascii="Times New Roman" w:hAnsi="Times New Roman" w:eastAsia="方正仿宋_GBK" w:cs="Times New Roman"/>
          <w:color w:val="000000" w:themeColor="text1"/>
          <w:sz w:val="32"/>
          <w:szCs w:val="32"/>
          <w:lang w:bidi="ar"/>
          <w14:textFill>
            <w14:solidFill>
              <w14:schemeClr w14:val="tx1"/>
            </w14:solidFill>
          </w14:textFill>
        </w:rPr>
        <w:t>强化财政资金的精准保障与引导作用，深化</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物质+服务</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综合改革，强化动态监测，做到应救尽救。优化养老服务补贴津贴保障机制，构建居家社区机构相协调、医养康养相结合的服务网络。做强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童心相伴</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品牌，推进</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精康融合</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，加强特殊群体保障。加快乡镇公益性安葬设施建设，完善殡葬服务。</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支持卫生健康事业发展。</w:t>
      </w:r>
      <w:r>
        <w:rPr>
          <w:rFonts w:hint="default" w:ascii="Times New Roman" w:hAnsi="Times New Roman" w:eastAsia="方正仿宋_GBK" w:cs="Times New Roman"/>
          <w:color w:val="000000" w:themeColor="text1"/>
          <w:sz w:val="32"/>
          <w:szCs w:val="32"/>
          <w:lang w:bidi="ar"/>
          <w14:textFill>
            <w14:solidFill>
              <w14:schemeClr w14:val="tx1"/>
            </w14:solidFill>
          </w14:textFill>
        </w:rPr>
        <w:t>强化</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三医</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联动，加快推动县域医共体资源共享中心建设，推动优质医疗服务资源均衡布局，提升医疗卫生服务能力。</w:t>
      </w:r>
      <w:r>
        <w:rPr>
          <w:rFonts w:hint="default" w:ascii="Times New Roman" w:hAnsi="Times New Roman" w:eastAsia="方正仿宋_GBK" w:cs="Times New Roman"/>
          <w:sz w:val="32"/>
          <w:szCs w:val="32"/>
        </w:rPr>
        <w:t>健全覆盖全人群、全生命周期的人口服务体系，</w:t>
      </w:r>
      <w:r>
        <w:rPr>
          <w:rFonts w:hint="default" w:ascii="Times New Roman" w:hAnsi="Times New Roman" w:eastAsia="方正仿宋_GBK" w:cs="Times New Roman"/>
          <w:color w:val="000000" w:themeColor="text1"/>
          <w:sz w:val="32"/>
          <w:szCs w:val="32"/>
          <w:lang w:bidi="ar"/>
          <w14:textFill>
            <w14:solidFill>
              <w14:schemeClr w14:val="tx1"/>
            </w14:solidFill>
          </w14:textFill>
        </w:rPr>
        <w:t>持续落实育儿补贴政策，</w:t>
      </w:r>
      <w:r>
        <w:rPr>
          <w:rFonts w:hint="default" w:ascii="Times New Roman" w:hAnsi="Times New Roman" w:eastAsia="方正仿宋_GBK" w:cs="Times New Roman"/>
          <w:sz w:val="32"/>
          <w:szCs w:val="32"/>
        </w:rPr>
        <w:t>加强普惠育幼服务体系建设，深化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政府+社会+市场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养老服务多元供给。</w:t>
      </w:r>
    </w:p>
    <w:p>
      <w:pPr>
        <w:overflowPunct w:val="0"/>
        <w:spacing w:line="578" w:lineRule="exact"/>
        <w:ind w:firstLine="640" w:firstLineChars="200"/>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4.坚持深化改革、科学管理，聚力推动</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质效财政</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建设</w:t>
      </w:r>
    </w:p>
    <w:p>
      <w:pPr>
        <w:pStyle w:val="2"/>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聚焦</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管好钱、用好钱、分好钱</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关键环节，推动财政资源配置向精准化、集约化、效能化深度转型，全面提升财政对重大战略和基本民生的保障能力。</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深化预算管理改革。</w:t>
      </w:r>
      <w:r>
        <w:rPr>
          <w:rFonts w:hint="default" w:ascii="Times New Roman" w:hAnsi="Times New Roman" w:eastAsia="方正仿宋_GBK" w:cs="Times New Roman"/>
          <w:color w:val="000000" w:themeColor="text1"/>
          <w:sz w:val="32"/>
          <w:szCs w:val="32"/>
          <w:lang w:bidi="ar"/>
          <w14:textFill>
            <w14:solidFill>
              <w14:schemeClr w14:val="tx1"/>
            </w14:solidFill>
          </w14:textFill>
        </w:rPr>
        <w:t>加大财政资源和预算统筹，全量纳管政府性资金、资源、资产，一体推动债务、一般公共预算、政府性基金、国有资本经营收益和社保基金</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五本账</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纳入预算管理，全面提升财政治理效能。落实党政机关习惯过</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紧日子</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要求，全面实施零基预算，加快县级重点项目支出标准建设，从严管控</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三公</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经费、会议费、培训费等支出，切实提升财政资源配置效率。</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纵深推进预算绩效管理。</w:t>
      </w:r>
      <w:r>
        <w:rPr>
          <w:rFonts w:hint="default" w:ascii="Times New Roman" w:hAnsi="Times New Roman" w:eastAsia="方正仿宋_GBK" w:cs="Times New Roman"/>
          <w:color w:val="000000" w:themeColor="text1"/>
          <w:sz w:val="32"/>
          <w:szCs w:val="32"/>
          <w:lang w:bidi="ar"/>
          <w14:textFill>
            <w14:solidFill>
              <w14:schemeClr w14:val="tx1"/>
            </w14:solidFill>
          </w14:textFill>
        </w:rPr>
        <w:t>夯实目标引领，健全县域绩效指标体系，提升绩效目标编审的科学性、规范性。扩大评价覆盖面，采取</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单位自评、财政抽查、重点评价</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相结合方式，推动绩效评价向更多领域和资金拓展。硬化结果应用，将绩效结果与预算安排、政策调整实质性挂钩，形成</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评估、目标、监控、评价、应用</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的管理闭环。</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迭代乡镇财政体制改革。</w:t>
      </w:r>
      <w:r>
        <w:rPr>
          <w:rFonts w:hint="default" w:ascii="Times New Roman" w:hAnsi="Times New Roman" w:eastAsia="方正仿宋_GBK" w:cs="Times New Roman"/>
          <w:color w:val="000000" w:themeColor="text1"/>
          <w:sz w:val="32"/>
          <w:szCs w:val="32"/>
          <w:lang w:bidi="ar"/>
          <w14:textFill>
            <w14:solidFill>
              <w14:schemeClr w14:val="tx1"/>
            </w14:solidFill>
          </w14:textFill>
        </w:rPr>
        <w:t>围绕</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保基本、促均衡、</w:t>
      </w:r>
      <w:r>
        <w:rPr>
          <w:rFonts w:hint="default" w:ascii="Times New Roman" w:hAnsi="Times New Roman" w:eastAsia="方正仿宋_GBK" w:cs="Times New Roman"/>
          <w:sz w:val="32"/>
          <w:szCs w:val="32"/>
        </w:rPr>
        <w:t>厘事权、优激励、兜底线</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原则，进一步强化乡镇</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三保</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支出保障，健全收支基数动态调整机制，加快推进县乡财政事权和支出责任划分，推动乡镇基本公共服务供给均等化、保障标准化。完善县对乡镇转移支付体系，充分调动乡镇抓经济、促发展的内生动力，切实增强基层治理效能与可持续发展能力。</w:t>
      </w:r>
    </w:p>
    <w:p>
      <w:pPr>
        <w:overflowPunct w:val="0"/>
        <w:spacing w:line="578" w:lineRule="exact"/>
        <w:ind w:firstLine="640" w:firstLineChars="200"/>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5.坚持底线思维、系统治理，聚力推动</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健康财政</w:t>
      </w:r>
      <w:r>
        <w:rPr>
          <w:rFonts w:hint="eastAsia" w:ascii="Times New Roman" w:hAnsi="Times New Roman" w:eastAsia="方正黑体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建设</w:t>
      </w:r>
    </w:p>
    <w:p>
      <w:pPr>
        <w:overflowPunct w:val="0"/>
        <w:spacing w:line="578" w:lineRule="exact"/>
        <w:ind w:firstLine="640" w:firstLineChars="200"/>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把防范化解重大风险摆在更加突出的位置，坚持底线思维、强化系统应对，着力构建稳固可持续的财政运行体系。</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筑牢财政运行安全屏障。</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坚持</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三保</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优先，建立健全民生支出清单管理和动态调整机制，确保国家和地方</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三保</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政策全面落实。加大财政资源统筹力度，深化存量资金、资产盘活，稳步推进暂付款清理消化。加强财政运行动态监测和库款精准调度，建立跨周期预算平衡机制，增强财政可持续性。健全重大财政政策与重大项目财政承受能力评估机制，确保支出责任与财力相匹配。</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严守政府债务风险红线。</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严格执行政府债务限额管理和预算管理，健全</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借、用、管、还</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全流程闭环管控机制。积极对接置换债券等化债政策工具，优化债务期限结构，确保到期债务本息按时足额偿付。强化政府投资项目源头管控，做实政府投资项目资金来源，全面实施事前绩效评估，切实提高项目质量和偿债能力。完善债务风险监测预警机制，加强重点领域、重点部门监督检查，严控违规新增政府债务。</w:t>
      </w:r>
      <w:r>
        <w:rPr>
          <w:rFonts w:hint="default" w:ascii="Times New Roman" w:hAnsi="Times New Roman" w:eastAsia="方正黑体_GBK" w:cs="Times New Roman"/>
          <w:color w:val="000000" w:themeColor="text1"/>
          <w:kern w:val="0"/>
          <w:sz w:val="32"/>
          <w:szCs w:val="32"/>
          <w:lang w:bidi="ar"/>
          <w14:textFill>
            <w14:solidFill>
              <w14:schemeClr w14:val="tx1"/>
            </w14:solidFill>
          </w14:textFill>
        </w:rPr>
        <w:t>织密财经纪律监督防线。</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完善覆盖预算编制、执行、决算全过程的财会监督体系，推进监督信息共享和成果共用。聚焦重大政策落实、重点资金使用、国有资产管理等关键环节，常态化开展专项检查与整治。强化审计监督、财会监督与纪检监察监督的贯通协同，严肃查处违法违规行为。加强财政干部队伍纪律教育和专业能力建设，筑牢拒腐防变的思想防线和制度屏障。</w:t>
      </w:r>
    </w:p>
    <w:p>
      <w:pPr>
        <w:overflowPunct w:val="0"/>
        <w:spacing w:line="578"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四、2026年财政预算</w:t>
      </w:r>
    </w:p>
    <w:p>
      <w:pPr>
        <w:overflowPunct w:val="0"/>
        <w:spacing w:line="578"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bidi="ar"/>
          <w14:textFill>
            <w14:solidFill>
              <w14:schemeClr w14:val="tx1"/>
            </w14:solidFill>
          </w14:textFill>
        </w:rPr>
        <w:t>（一）一般公共预算收支预算</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1. 一般公共预算收入情况。2026年全县一般公共预算本级收入315000万元，同比增长2.8%，其中：税收收入115000万元，同比增长43.2%；非税收入200000万元，同比下降11.6%。</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2026年一般公共预算本级收入315000万元，加上上级补助收入506376万元、调入资金72000万元、上年结转结余120774万元、债务转贷收入36000万元以及动用预算稳定调节基金953万元后，全县一般公共预算收入总计1051103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 一般公共预算支出情况。2026年全县一般公共预算本级支出959818万元，加上债务还本支出40450万元、上解支出50835万元后，一般公共预算支出总计1051103万元。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一般公共预算本级支出安排重点：</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——一般公共服务支出97121万元。主要用于：保障党政机关、人大、政协、群团组织运转及履职。</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——公共安全支出27686万元。主要用于：保障政法运转及履职、支持基层平安法治建设，维护政治安全、社会稳定。</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教育支出219746万元。主要用于：完善城乡义务教育经费保障机制；支持扩大普惠性学前教育资源，落实学前教育逐步免费政策，落实学生营养改善计划、薄弱环节改善与能力提升、高中和职业教育办学条件改善等项目；落实家庭经济困难学生国家助学金和生活补助等资助政策；支持教师综合素质提升和职业能力培养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文化旅游体育与传媒支出7104万元。主要用于：推进公共文化服务体系建设；文化馆、图书馆、博物馆免费开放；公共体育场馆向社会免费或低收费开放；重点文物保护；农村文化建设；打造大三峡文旅新地标；开展群众文化体育活动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 xml:space="preserve">——社会保障和就业支出168944万元。主要用于：支持企业稳定就业岗位，促进就业创业；落实优抚对象补助；落实城乡困难群众救助政策；养老保险缴费及准备期职业年金清缴等。—  </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——卫生健康支出83908万元。主要用于：实施基本公共卫生服务和重大公共卫生服务；落实医疗保险缴费及城乡居民合作医疗保险政策，提高基本医疗保障水平；落实育儿补贴及计划生育家庭奖扶等。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——节能环保支出23192万元。主要用于：落实长江经济带</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共抓大保护、不搞大开发</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方针，加强环境监测与服务、污染防治攻坚，实施林业草原生态保护等。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——城乡社区支出23402万元。主要用于：实施城市提升行动计划，加大市政基础设施建设维护。</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——农林水支出104606万元。主要用于：加大乡村振兴投入；重大水利基础设施建设；深化农村产业融合发展；完善政策性农业保险体系；加强农村基础设施建设；改善农村人居环境等。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——交通运输支出36220万元。主要用于：支持国省干线公路、农村公路建设及养护，农村公路安防建设，危桥整治等。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——住房保障支出88509万元。主要用于：支持廉租房建设和棚户区改造；推进老旧小区、农村危旧房改造等。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——债务付息支出9957万元。主要用于：偿还一般债券利息；偿还向国际金融组织和联合国各基金组织借款的利息。</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——预备费11000万元。用于当年预算执行中的自然灾害救助、应急处置等突发事件处理支出以及其他难以预见的开支。</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一般公共预算基本支出按经济科目分类：</w:t>
      </w:r>
    </w:p>
    <w:p>
      <w:pPr>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机关工资福利支出64753万元，机关商品和服务支出16500万元，机关资本性支出244万元，对企事业单位的补助332063万元，对事业单位资本性补助63万元，对个人和家庭的补助32917万元。</w:t>
      </w:r>
    </w:p>
    <w:p>
      <w:pPr>
        <w:overflowPunct w:val="0"/>
        <w:spacing w:line="578"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bidi="ar"/>
          <w14:textFill>
            <w14:solidFill>
              <w14:schemeClr w14:val="tx1"/>
            </w14:solidFill>
          </w14:textFill>
        </w:rPr>
        <w:t>（二）政府性基金预算收支预算</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1. 政府性基金预算收入情况。2026年全县政府性基金预算本级收入155000万元，同比增长10.6 %，加上上级补助收入8641万元、上年结转结余148594万元以及债务转贷收入87030万元后，政府性基金预算收入总计399265万元。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 政府性基金预算支出情况。2026年全县政府性基金预算本级支出246665万元，加上上解支出3900万元、调出资金52000万元以及债务还本支出96700万元后，全县政府性基金预算支出399265万元。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lang w:bidi="ar"/>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政府性基金本级支出安排重点：</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——节能环保支出22930万元。主要用于：超长期特别国债安排的环保方面的支出。</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——城乡社区事务支出50238万元。主要用于：征地拆迁补偿支出；土地开发整治；市政基础设施建设；污水处理等。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——农林水事务支出26796万元。主要用于：支持三峡库区地质灾害防治；水安全保障；城镇迁建区居住安全保障；超长期特别国债安排的农林水方面的支出等。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——交通运输支出49511万元。主要用于：超长期特别国债安排的公路运输方面的支出。</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——其他支出27939万元。主要用于：彩票公益金用于社会福利、体育、教育、残疾人等方面的支出。超长期特别国债安排的其他方面的支出。</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——债务付息支出67134万元。用于偿还专项债券利息。</w:t>
      </w:r>
    </w:p>
    <w:p>
      <w:pPr>
        <w:overflowPunct w:val="0"/>
        <w:spacing w:line="578" w:lineRule="exact"/>
        <w:ind w:firstLine="640" w:firstLineChars="200"/>
        <w:rPr>
          <w:rFonts w:hint="default" w:ascii="Times New Roman" w:hAnsi="Times New Roman" w:eastAsia="方正楷体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bidi="ar"/>
          <w14:textFill>
            <w14:solidFill>
              <w14:schemeClr w14:val="tx1"/>
            </w14:solidFill>
          </w14:textFill>
        </w:rPr>
        <w:t>（三）国有资本经营收支预算</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1. 国有资本经营预算收入情况。2026年全县国有资本经营预算本级收入20000万元，同比增长9.7 %，加上上级补助收入108万元、上年结转结余216万元后，国有资本经营预算收入总计20324万元。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2. 国有资本经营预算支出情况。2026年全县国有资本经营预算本级支出324万元，加上调出资金20000万元后，全县政府性基金预算支出20324万元。</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bidi="ar"/>
          <w14:textFill>
            <w14:solidFill>
              <w14:schemeClr w14:val="tx1"/>
            </w14:solidFill>
          </w14:textFill>
        </w:rPr>
        <w:t>上述支出中，涉及预算草案批准前必须安排的人员、基本运转等支出，按照《预算法》第五十四条规定，已作相应安排。</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各位代表，做好2026年财政工作任务艰巨、责任重大，我们将坚持以习近平新时代中国特色社会主义思想为指导，在县委坚强领导下，自觉接受县人大的监督，虚心听取县政协的意见和建议，紧扣</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强业强基、跨越登梯</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目标定位，聚焦建设</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五型</w:t>
      </w:r>
      <w:r>
        <w:rPr>
          <w:rFonts w:hint="eastAsia" w:ascii="Times New Roman" w:hAnsi="Times New Roman" w:eastAsia="方正仿宋_GBK" w:cs="Times New Roman"/>
          <w:color w:val="000000" w:themeColor="text1"/>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财政路径措施，坚定信心、开拓奋进，真抓实干、担当作为，更好发挥财政职能作用，</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为</w:t>
      </w:r>
      <w:r>
        <w:rPr>
          <w:rFonts w:hint="default"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加快</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推动</w:t>
      </w:r>
      <w:r>
        <w:rPr>
          <w:rFonts w:hint="eastAsia"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一地一标三区两城</w:t>
      </w:r>
      <w:r>
        <w:rPr>
          <w:rFonts w:hint="eastAsia" w:ascii="Times New Roman" w:hAnsi="Times New Roman" w:eastAsia="方正仿宋_GBK" w:cs="Times New Roman"/>
          <w:color w:val="000000" w:themeColor="text1"/>
          <w:kern w:val="0"/>
          <w:sz w:val="32"/>
          <w:szCs w:val="32"/>
          <w:shd w:val="clear" w:color="auto" w:fill="FFFFFF"/>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shd w:val="clear" w:color="auto" w:fill="FFFFFF"/>
          <w:lang w:bidi="ar"/>
          <w14:textFill>
            <w14:solidFill>
              <w14:schemeClr w14:val="tx1"/>
            </w14:solidFill>
          </w14:textFill>
        </w:rPr>
        <w:t>现代化新云阳建设作出积极贡献。</w:t>
      </w:r>
    </w:p>
    <w:p>
      <w:pPr>
        <w:overflowPunct w:val="0"/>
        <w:spacing w:line="578" w:lineRule="exact"/>
        <w:rPr>
          <w:rFonts w:hint="default" w:ascii="Times New Roman" w:hAnsi="Times New Roman" w:eastAsia="方正黑体_GBK" w:cs="Times New Roman"/>
          <w:color w:val="000000" w:themeColor="text1"/>
          <w:sz w:val="32"/>
          <w:szCs w:val="32"/>
          <w:lang w:bidi="ar"/>
          <w14:textFill>
            <w14:solidFill>
              <w14:schemeClr w14:val="tx1"/>
            </w14:solidFill>
          </w14:textFill>
        </w:rPr>
      </w:pPr>
    </w:p>
    <w:p>
      <w:pPr>
        <w:overflowPunct w:val="0"/>
        <w:spacing w:line="578" w:lineRule="exact"/>
        <w:rPr>
          <w:rFonts w:hint="default" w:ascii="Times New Roman" w:hAnsi="Times New Roman" w:eastAsia="方正黑体_GBK" w:cs="Times New Roman"/>
          <w:color w:val="000000" w:themeColor="text1"/>
          <w:sz w:val="32"/>
          <w:szCs w:val="32"/>
          <w:lang w:bidi="ar"/>
          <w14:textFill>
            <w14:solidFill>
              <w14:schemeClr w14:val="tx1"/>
            </w14:solidFill>
          </w14:textFill>
        </w:rPr>
      </w:pPr>
    </w:p>
    <w:p>
      <w:pPr>
        <w:overflowPunct w:val="0"/>
        <w:spacing w:line="578" w:lineRule="exact"/>
        <w:rPr>
          <w:rFonts w:hint="default" w:ascii="Times New Roman" w:hAnsi="Times New Roman" w:eastAsia="方正黑体_GBK" w:cs="Times New Roman"/>
          <w:color w:val="000000" w:themeColor="text1"/>
          <w:sz w:val="32"/>
          <w:szCs w:val="32"/>
          <w:lang w:bidi="ar"/>
          <w14:textFill>
            <w14:solidFill>
              <w14:schemeClr w14:val="tx1"/>
            </w14:solidFill>
          </w14:textFill>
        </w:rPr>
      </w:pPr>
    </w:p>
    <w:p>
      <w:pPr>
        <w:overflowPunct w:val="0"/>
        <w:spacing w:line="578" w:lineRule="exact"/>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lang w:bidi="ar"/>
          <w14:textFill>
            <w14:solidFill>
              <w14:schemeClr w14:val="tx1"/>
            </w14:solidFill>
          </w14:textFill>
        </w:rPr>
        <w:t>名词解释：</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 一般公共预算收入：</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是对以税收为主体的财政收入，安排用于保障和改善民生、推动经济社会发展、维护国家安全、维持国家机构正常运转等方面的收支预算。包括税收收入和非税收入，其中，非税收入主要包括行政事业性收费收入、罚没收入、国有资源（资产）有偿使用收入等。</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2. 政府性基金收入：</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是对依照法律、行政法规的规定在一定期限内向特定对象征收、收取或者以其他方式筹集的资金，专项用于特定公共事业发展的收支预算。主要包括土地收入、城市建设配套费。</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3. 国有资本经营预算：</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是对国有资本收益作出支出安排的收支预算。主要为国企上缴利润收入、产权转让收入。</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4. 社保基金预算：</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是对社会保险缴款、一般公共预算安排和其他方式筹集的资金，专项用于社会保险的收支预算。目前是全市统筹，由市统一编制、我县不单独编报。</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5. 财政转移支付：</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是以各级政府之间所存在的财政能力差异为基础，以实现各地公共服务水平的均等化为主旨，而实行的一种财政资金转移或财政平衡制度。主要包括：一般性转移支付、专项转移支付。</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6. 债券资金：</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即地方政府债券资金，是指重庆市政府以政府的信用为基础并承诺偿还本息，自主向社会发行地方政府债券筹集的财政资金。按债券发行类别分为置换债券资金和新增债券资金，按预算管理分为一般债券（纳入一般公共预算管理）和专项债券（纳入政府性基金预算管理）。</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7. 调整预算：</w:t>
      </w:r>
      <w:r>
        <w:rPr>
          <w:rFonts w:hint="default" w:ascii="Times New Roman" w:hAnsi="Times New Roman" w:eastAsia="方正仿宋_GBK" w:cs="Times New Roman"/>
          <w:color w:val="000000" w:themeColor="text1"/>
          <w:sz w:val="32"/>
          <w:szCs w:val="32"/>
          <w:lang w:bidi="ar"/>
          <w14:textFill>
            <w14:solidFill>
              <w14:schemeClr w14:val="tx1"/>
            </w14:solidFill>
          </w14:textFill>
        </w:rPr>
        <w:t>按照《预算法》要求，经人大批准的预算，执行中发生收支增减变化，由政府编制预算调整方案并报同级人大常委会审查批准。在执行中出现下列情况之一的，应当进行预算调整：（一）需要增加或者减少预算总支出的；（二）需要调入预算稳定调节基金的；（三）需要调减预算安排的重点支出数额的；（四）需要增加举借债务数额的。</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8.</w:t>
      </w:r>
      <w:r>
        <w:rPr>
          <w:rFonts w:hint="eastAsia" w:ascii="Times New Roman" w:hAnsi="Times New Roman" w:eastAsia="方正楷体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楷体_GBK" w:cs="Times New Roman"/>
          <w:color w:val="000000" w:themeColor="text1"/>
          <w:sz w:val="32"/>
          <w:szCs w:val="32"/>
          <w:lang w:bidi="ar"/>
          <w14:textFill>
            <w14:solidFill>
              <w14:schemeClr w14:val="tx1"/>
            </w14:solidFill>
          </w14:textFill>
        </w:rPr>
        <w:t>三保</w:t>
      </w:r>
      <w:r>
        <w:rPr>
          <w:rFonts w:hint="eastAsia" w:ascii="Times New Roman" w:hAnsi="Times New Roman" w:eastAsia="方正楷体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楷体_GBK" w:cs="Times New Roman"/>
          <w:color w:val="000000" w:themeColor="text1"/>
          <w:sz w:val="32"/>
          <w:szCs w:val="32"/>
          <w:lang w:bidi="ar"/>
          <w14:textFill>
            <w14:solidFill>
              <w14:schemeClr w14:val="tx1"/>
            </w14:solidFill>
          </w14:textFill>
        </w:rPr>
        <w:t>支出：</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指保基本民生、保工资、保运转。</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9. 财政民生投入：</w:t>
      </w:r>
      <w:r>
        <w:rPr>
          <w:rFonts w:hint="default" w:ascii="Times New Roman" w:hAnsi="Times New Roman" w:eastAsia="方正仿宋_GBK" w:cs="Times New Roman"/>
          <w:color w:val="000000" w:themeColor="text1"/>
          <w:sz w:val="32"/>
          <w:szCs w:val="32"/>
          <w:lang w:bidi="ar"/>
          <w14:textFill>
            <w14:solidFill>
              <w14:schemeClr w14:val="tx1"/>
            </w14:solidFill>
          </w14:textFill>
        </w:rPr>
        <w:t>围绕</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学有所教、劳有所得、病有所医、老有所养、住有所居</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相应统计的教育、医疗卫生、社会保障、住房保障和生态环保等与老百姓直接相关财政支出。近年来，我县围绕保障和改善民生各项重大决策，逐步形成了全县一般公共预算70%以上用于民生的财政民生投入机制。</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10. 上解支出：</w:t>
      </w:r>
      <w:r>
        <w:rPr>
          <w:rFonts w:hint="default" w:ascii="Times New Roman" w:hAnsi="Times New Roman" w:eastAsia="方正仿宋_GBK" w:cs="Times New Roman"/>
          <w:color w:val="000000" w:themeColor="text1"/>
          <w:sz w:val="32"/>
          <w:szCs w:val="32"/>
          <w:lang w:bidi="ar"/>
          <w14:textFill>
            <w14:solidFill>
              <w14:schemeClr w14:val="tx1"/>
            </w14:solidFill>
          </w14:textFill>
        </w:rPr>
        <w:t>指按财政体制规定由下级财政解交给上级财政的款项。不包括按分税制财政体制规定由中央和市级财政分享的收入。</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11. 结转：</w:t>
      </w:r>
      <w:r>
        <w:rPr>
          <w:rFonts w:hint="default" w:ascii="Times New Roman" w:hAnsi="Times New Roman" w:eastAsia="方正仿宋_GBK" w:cs="Times New Roman"/>
          <w:color w:val="000000" w:themeColor="text1"/>
          <w:sz w:val="32"/>
          <w:szCs w:val="32"/>
          <w:lang w:bidi="ar"/>
          <w14:textFill>
            <w14:solidFill>
              <w14:schemeClr w14:val="tx1"/>
            </w14:solidFill>
          </w14:textFill>
        </w:rPr>
        <w:t>指有专项用途、需继续安排使用的资金。</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12. 土地出让收入：</w:t>
      </w:r>
      <w:r>
        <w:rPr>
          <w:rFonts w:hint="default" w:ascii="Times New Roman" w:hAnsi="Times New Roman" w:eastAsia="方正仿宋_GBK" w:cs="Times New Roman"/>
          <w:color w:val="000000" w:themeColor="text1"/>
          <w:sz w:val="32"/>
          <w:szCs w:val="32"/>
          <w:lang w:bidi="ar"/>
          <w14:textFill>
            <w14:solidFill>
              <w14:schemeClr w14:val="tx1"/>
            </w14:solidFill>
          </w14:textFill>
        </w:rPr>
        <w:t>指地方政府依法以招标、拍卖、挂牌和协议等出让方式配置国有土地使用权取得的全部土地价款，包括受让人支付的征地和拆迁补偿费用、土地前期开发费用和土地出让收益等。</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13. 部门预算：</w:t>
      </w:r>
      <w:r>
        <w:rPr>
          <w:rFonts w:hint="default" w:ascii="Times New Roman" w:hAnsi="Times New Roman" w:eastAsia="方正仿宋_GBK" w:cs="Times New Roman"/>
          <w:color w:val="000000" w:themeColor="text1"/>
          <w:sz w:val="32"/>
          <w:szCs w:val="32"/>
          <w:lang w:bidi="ar"/>
          <w14:textFill>
            <w14:solidFill>
              <w14:schemeClr w14:val="tx1"/>
            </w14:solidFill>
          </w14:textFill>
        </w:rPr>
        <w:t>指部门依据国家有关政策规定及其行使职能的需要，由基层预算单位编制，逐级上报，经各级政府财政部门汇总审核后提交立法机关依法批准的涵盖部门各项收支的综合财政计划。主要包括部门收入、部门支出。部门支出分为基本支出和项目支出预算等内容。</w:t>
      </w:r>
    </w:p>
    <w:p>
      <w:pPr>
        <w:overflowPunct w:val="0"/>
        <w:spacing w:line="578" w:lineRule="exact"/>
        <w:ind w:firstLine="64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14. 全过程预算绩效管理：</w:t>
      </w:r>
      <w:r>
        <w:rPr>
          <w:rFonts w:hint="default" w:ascii="Times New Roman" w:hAnsi="Times New Roman" w:eastAsia="方正仿宋_GBK" w:cs="Times New Roman"/>
          <w:color w:val="000000" w:themeColor="text1"/>
          <w:sz w:val="32"/>
          <w:szCs w:val="32"/>
          <w:lang w:bidi="ar"/>
          <w14:textFill>
            <w14:solidFill>
              <w14:schemeClr w14:val="tx1"/>
            </w14:solidFill>
          </w14:textFill>
        </w:rPr>
        <w:t>指将绩效理念和方法深度融入预算编制、执行、监督全过程，构建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预算编制有目标、预算执行有监控、预算完成有评价、评价结果有反馈、反馈结果有运用</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bidi="ar"/>
          <w14:textFill>
            <w14:solidFill>
              <w14:schemeClr w14:val="tx1"/>
            </w14:solidFill>
          </w14:textFill>
        </w:rPr>
        <w:t>的全过程预算绩效闭环管理机制。</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15.</w:t>
      </w:r>
      <w:r>
        <w:rPr>
          <w:rFonts w:hint="eastAsia" w:ascii="Times New Roman" w:hAnsi="Times New Roman" w:eastAsia="方正楷体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楷体_GBK" w:cs="Times New Roman"/>
          <w:color w:val="000000" w:themeColor="text1"/>
          <w:sz w:val="32"/>
          <w:szCs w:val="32"/>
          <w:lang w:bidi="ar"/>
          <w14:textFill>
            <w14:solidFill>
              <w14:schemeClr w14:val="tx1"/>
            </w14:solidFill>
          </w14:textFill>
        </w:rPr>
        <w:t>三公</w:t>
      </w:r>
      <w:r>
        <w:rPr>
          <w:rFonts w:hint="eastAsia" w:ascii="Times New Roman" w:hAnsi="Times New Roman" w:eastAsia="方正楷体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楷体_GBK" w:cs="Times New Roman"/>
          <w:color w:val="000000" w:themeColor="text1"/>
          <w:sz w:val="32"/>
          <w:szCs w:val="32"/>
          <w:lang w:bidi="ar"/>
          <w14:textFill>
            <w14:solidFill>
              <w14:schemeClr w14:val="tx1"/>
            </w14:solidFill>
          </w14:textFill>
        </w:rPr>
        <w:t>经费：</w:t>
      </w:r>
      <w:r>
        <w:rPr>
          <w:rFonts w:hint="default" w:ascii="Times New Roman" w:hAnsi="Times New Roman" w:eastAsia="方正仿宋_GBK" w:cs="Times New Roman"/>
          <w:color w:val="000000" w:themeColor="text1"/>
          <w:sz w:val="32"/>
          <w:szCs w:val="32"/>
          <w:lang w:bidi="ar"/>
          <w14:textFill>
            <w14:solidFill>
              <w14:schemeClr w14:val="tx1"/>
            </w14:solidFill>
          </w14:textFill>
        </w:rPr>
        <w:t>指政府部门人员因公出国（境）经费、公务车购置及运行费、公务接待产生的消费。</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16. 预算稳定调节基金：</w:t>
      </w:r>
      <w:r>
        <w:rPr>
          <w:rFonts w:hint="default" w:ascii="Times New Roman" w:hAnsi="Times New Roman" w:eastAsia="方正仿宋_GBK" w:cs="Times New Roman"/>
          <w:color w:val="000000" w:themeColor="text1"/>
          <w:sz w:val="32"/>
          <w:szCs w:val="32"/>
          <w:lang w:bidi="ar"/>
          <w14:textFill>
            <w14:solidFill>
              <w14:schemeClr w14:val="tx1"/>
            </w14:solidFill>
          </w14:textFill>
        </w:rPr>
        <w:t>根据《预算法》相关规定设立，用于弥补以后年度预算资金的不足。一般公共预算执行中如出现超收，用于化解政府债务或补充预算稳定调节基金；如出现短收，通过调入预算稳定调节基金或其他预算资金、削减支出实现平衡。对连续两年未用完的结转资金，作为结余资金管理，其中一般公共预算的结余资金，补充预算稳定调节基金。</w:t>
      </w:r>
    </w:p>
    <w:p>
      <w:pPr>
        <w:overflowPunct w:val="0"/>
        <w:spacing w:line="578"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17. 政府债务：</w:t>
      </w:r>
      <w:r>
        <w:rPr>
          <w:rFonts w:hint="default" w:ascii="Times New Roman" w:hAnsi="Times New Roman" w:eastAsia="方正仿宋_GBK" w:cs="Times New Roman"/>
          <w:color w:val="000000" w:themeColor="text1"/>
          <w:sz w:val="32"/>
          <w:szCs w:val="32"/>
          <w:lang w:bidi="ar"/>
          <w14:textFill>
            <w14:solidFill>
              <w14:schemeClr w14:val="tx1"/>
            </w14:solidFill>
          </w14:textFill>
        </w:rPr>
        <w:t>即政府性债务中的一类债务，仅指政府负有偿还责任的债务，不含地方政府提供直接或间接担保，负有连带偿债责任的债务以及地方政府未提供担保，在法律上对该类债务不承担偿债责任，但可能需要承担救助责任的债务。</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18.</w:t>
      </w:r>
      <w:r>
        <w:rPr>
          <w:rFonts w:hint="eastAsia" w:ascii="Times New Roman" w:hAnsi="Times New Roman" w:eastAsia="方正楷体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楷体_GBK" w:cs="Times New Roman"/>
          <w:color w:val="000000" w:themeColor="text1"/>
          <w:sz w:val="32"/>
          <w:szCs w:val="32"/>
          <w:lang w:bidi="ar"/>
          <w14:textFill>
            <w14:solidFill>
              <w14:schemeClr w14:val="tx1"/>
            </w14:solidFill>
          </w14:textFill>
        </w:rPr>
        <w:t>三资</w:t>
      </w:r>
      <w:r>
        <w:rPr>
          <w:rFonts w:hint="eastAsia" w:ascii="Times New Roman" w:hAnsi="Times New Roman" w:eastAsia="方正楷体_GBK" w:cs="Times New Roman"/>
          <w:color w:val="000000" w:themeColor="text1"/>
          <w:sz w:val="32"/>
          <w:szCs w:val="32"/>
          <w:lang w:eastAsia="zh-CN" w:bidi="ar"/>
          <w14:textFill>
            <w14:solidFill>
              <w14:schemeClr w14:val="tx1"/>
            </w14:solidFill>
          </w14:textFill>
        </w:rPr>
        <w:t>”</w:t>
      </w:r>
      <w:r>
        <w:rPr>
          <w:rFonts w:hint="default" w:ascii="Times New Roman" w:hAnsi="Times New Roman" w:eastAsia="方正楷体_GBK" w:cs="Times New Roman"/>
          <w:color w:val="000000" w:themeColor="text1"/>
          <w:sz w:val="32"/>
          <w:szCs w:val="32"/>
          <w:lang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指资源、资产、资金。</w:t>
      </w:r>
    </w:p>
    <w:p>
      <w:pPr>
        <w:overflowPunct w:val="0"/>
        <w:spacing w:line="578" w:lineRule="exact"/>
        <w:ind w:firstLine="640" w:firstLineChars="200"/>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pPr>
      <w:r>
        <w:rPr>
          <w:rFonts w:hint="default" w:ascii="Times New Roman" w:hAnsi="Times New Roman" w:eastAsia="方正楷体_GBK" w:cs="Times New Roman"/>
          <w:color w:val="000000" w:themeColor="text1"/>
          <w:sz w:val="32"/>
          <w:szCs w:val="32"/>
          <w:lang w:bidi="ar"/>
          <w14:textFill>
            <w14:solidFill>
              <w14:schemeClr w14:val="tx1"/>
            </w14:solidFill>
          </w14:textFill>
        </w:rPr>
        <w:t>19. 预算管理一体化：</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是财政部贯彻落实中央深化预算管理制度改革的决策部署，以系统化思维和信息化手段，横向全流程整合预算管理制度和业务环节，纵向贯通中央、市、区县各级财政预算管理，构建</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制度+技术</w:t>
      </w:r>
      <w:r>
        <w:rPr>
          <w:rFonts w:hint="eastAsia" w:ascii="Times New Roman" w:hAnsi="Times New Roman" w:eastAsia="方正仿宋_GBK" w:cs="Times New Roman"/>
          <w:color w:val="000000" w:themeColor="text1"/>
          <w:kern w:val="0"/>
          <w:sz w:val="32"/>
          <w:szCs w:val="32"/>
          <w:lang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bidi="ar"/>
          <w14:textFill>
            <w14:solidFill>
              <w14:schemeClr w14:val="tx1"/>
            </w14:solidFill>
          </w14:textFill>
        </w:rPr>
        <w:t>的管理机制，实现财政资金资产的全生命周期管理和动态监控，从而更好地发挥财政在国家治理中的基础和重要支柱作用。</w:t>
      </w:r>
    </w:p>
    <w:p>
      <w:pPr>
        <w:pStyle w:val="9"/>
        <w:overflowPunct w:val="0"/>
        <w:spacing w:after="0" w:line="578" w:lineRule="exact"/>
        <w:rPr>
          <w:rFonts w:hint="default" w:ascii="Times New Roman" w:hAnsi="Times New Roman" w:cs="Times New Roman"/>
          <w:i/>
          <w:color w:val="000000" w:themeColor="text1"/>
          <w14:textFill>
            <w14:solidFill>
              <w14:schemeClr w14:val="tx1"/>
            </w14:solidFill>
          </w14:textFill>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9"/>
        <w:rPr>
          <w:rFonts w:hint="eastAsia"/>
          <w:i/>
        </w:rPr>
      </w:pPr>
    </w:p>
    <w:p>
      <w:pPr>
        <w:rPr>
          <w:rFonts w:hint="eastAsia"/>
          <w:i/>
        </w:rPr>
      </w:pPr>
    </w:p>
    <w:p>
      <w:pPr>
        <w:pStyle w:val="2"/>
        <w:rPr>
          <w:rFonts w:hint="eastAsia"/>
          <w:i/>
        </w:rPr>
      </w:pPr>
    </w:p>
    <w:p>
      <w:pPr>
        <w:rPr>
          <w:rFonts w:hint="eastAsia"/>
          <w:i/>
        </w:rPr>
      </w:pPr>
    </w:p>
    <w:p>
      <w:pPr>
        <w:pStyle w:val="2"/>
        <w:rPr>
          <w:rFonts w:hint="eastAsia"/>
          <w:i/>
        </w:rPr>
      </w:pPr>
    </w:p>
    <w:p>
      <w:pPr>
        <w:rPr>
          <w:rFonts w:hint="eastAsia"/>
          <w:i/>
        </w:rPr>
      </w:pPr>
      <w:bookmarkStart w:id="0" w:name="_GoBack"/>
      <w:bookmarkEnd w:id="0"/>
    </w:p>
    <w:p>
      <w:pPr>
        <w:pStyle w:val="2"/>
        <w:ind w:left="0" w:leftChars="0" w:firstLine="0" w:firstLineChars="0"/>
        <w:rPr>
          <w:rFonts w:hint="eastAsia"/>
        </w:rPr>
      </w:pPr>
    </w:p>
    <w:p>
      <w:pPr>
        <w:pStyle w:val="12"/>
        <w:spacing w:line="126" w:lineRule="exact"/>
        <w:rPr>
          <w:rFonts w:hint="eastAsia" w:eastAsia="宋体"/>
          <w:i/>
        </w:rPr>
      </w:pPr>
    </w:p>
    <w:p>
      <w:pPr>
        <w:pBdr>
          <w:top w:val="single" w:color="auto" w:sz="12" w:space="1"/>
          <w:bottom w:val="single" w:color="auto" w:sz="12" w:space="2"/>
        </w:pBdr>
        <w:spacing w:line="480" w:lineRule="exact"/>
        <w:textAlignment w:val="center"/>
        <w:rPr>
          <w:rFonts w:hint="eastAsia" w:ascii="Times New Roman" w:hAnsi="Times New Roman" w:eastAsia="方正仿宋_GBK"/>
          <w:sz w:val="32"/>
          <w:szCs w:val="32"/>
        </w:rPr>
      </w:pPr>
      <w:r>
        <w:rPr>
          <w:rFonts w:ascii="Times New Roman" w:hAnsi="Times New Roman" w:eastAsia="方正仿宋_GBK"/>
          <w:i/>
          <w:color w:val="000000"/>
          <w:sz w:val="28"/>
          <w:szCs w:val="28"/>
        </w:rPr>
        <w:t xml:space="preserve"> </w:t>
      </w:r>
      <w:r>
        <w:rPr>
          <w:rFonts w:hint="eastAsia" w:ascii="Times New Roman" w:hAnsi="Times New Roman" w:eastAsia="方正仿宋_GBK"/>
          <w:color w:val="000000"/>
          <w:sz w:val="28"/>
          <w:szCs w:val="28"/>
        </w:rPr>
        <w:t xml:space="preserve"> </w:t>
      </w:r>
      <w:r>
        <w:rPr>
          <w:rFonts w:ascii="Times New Roman" w:hAnsi="Times New Roman" w:eastAsia="方正仿宋_GBK"/>
          <w:color w:val="000000"/>
          <w:sz w:val="28"/>
          <w:szCs w:val="28"/>
        </w:rPr>
        <w:t xml:space="preserve">大会秘书处                </w:t>
      </w:r>
      <w:r>
        <w:rPr>
          <w:rFonts w:hint="eastAsia" w:ascii="Times New Roman" w:hAnsi="Times New Roman" w:eastAsia="方正仿宋_GBK"/>
          <w:color w:val="000000"/>
          <w:sz w:val="28"/>
          <w:szCs w:val="28"/>
        </w:rPr>
        <w:t xml:space="preserve">  </w:t>
      </w:r>
      <w:r>
        <w:rPr>
          <w:rFonts w:ascii="Times New Roman" w:hAnsi="Times New Roman" w:eastAsia="方正仿宋_GBK"/>
          <w:color w:val="000000"/>
          <w:sz w:val="28"/>
          <w:szCs w:val="28"/>
        </w:rPr>
        <w:t xml:space="preserve">            202</w:t>
      </w:r>
      <w:r>
        <w:rPr>
          <w:rFonts w:hint="eastAsia" w:ascii="Times New Roman" w:hAnsi="Times New Roman" w:eastAsia="方正仿宋_GBK"/>
          <w:color w:val="000000"/>
          <w:sz w:val="28"/>
          <w:szCs w:val="28"/>
          <w:lang w:val="en-US" w:eastAsia="zh-CN"/>
        </w:rPr>
        <w:t>6</w:t>
      </w:r>
      <w:r>
        <w:rPr>
          <w:rFonts w:ascii="Times New Roman" w:hAnsi="Times New Roman" w:eastAsia="方正仿宋_GBK"/>
          <w:color w:val="000000"/>
          <w:sz w:val="28"/>
          <w:szCs w:val="28"/>
        </w:rPr>
        <w:t>年</w:t>
      </w:r>
      <w:r>
        <w:rPr>
          <w:rFonts w:hint="eastAsia" w:ascii="Times New Roman" w:hAnsi="Times New Roman" w:eastAsia="方正仿宋_GBK"/>
          <w:color w:val="000000"/>
          <w:sz w:val="28"/>
          <w:szCs w:val="28"/>
          <w:lang w:val="en-US" w:eastAsia="zh-CN"/>
        </w:rPr>
        <w:t>2</w:t>
      </w:r>
      <w:r>
        <w:rPr>
          <w:rFonts w:ascii="Times New Roman" w:hAnsi="Times New Roman" w:eastAsia="方正仿宋_GBK"/>
          <w:color w:val="000000"/>
          <w:sz w:val="28"/>
          <w:szCs w:val="28"/>
        </w:rPr>
        <w:t>月</w:t>
      </w:r>
      <w:r>
        <w:rPr>
          <w:rFonts w:hint="eastAsia" w:ascii="Times New Roman" w:hAnsi="Times New Roman" w:eastAsia="方正仿宋_GBK"/>
          <w:sz w:val="28"/>
          <w:szCs w:val="28"/>
          <w:lang w:val="en-US" w:eastAsia="zh-CN"/>
        </w:rPr>
        <w:t>2</w:t>
      </w:r>
      <w:r>
        <w:rPr>
          <w:rFonts w:ascii="Times New Roman" w:hAnsi="Times New Roman" w:eastAsia="方正仿宋_GBK"/>
          <w:color w:val="000000"/>
          <w:sz w:val="28"/>
          <w:szCs w:val="28"/>
        </w:rPr>
        <w:t>日印制</w:t>
      </w:r>
    </w:p>
    <w:sectPr>
      <w:headerReference r:id="rId3" w:type="default"/>
      <w:footerReference r:id="rId4" w:type="default"/>
      <w:footerReference r:id="rId5" w:type="even"/>
      <w:pgSz w:w="11906" w:h="16838"/>
      <w:pgMar w:top="1985" w:right="1446" w:bottom="1644" w:left="1446"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YTM1NmQ3MDAyOWYwYTU5MGNmMDllMDQwNmZiNmUifQ=="/>
  </w:docVars>
  <w:rsids>
    <w:rsidRoot w:val="0093082F"/>
    <w:rsid w:val="000E24BB"/>
    <w:rsid w:val="00107AC1"/>
    <w:rsid w:val="0011590D"/>
    <w:rsid w:val="001D511F"/>
    <w:rsid w:val="00282C1E"/>
    <w:rsid w:val="00315707"/>
    <w:rsid w:val="00540BA4"/>
    <w:rsid w:val="00713595"/>
    <w:rsid w:val="00891FDA"/>
    <w:rsid w:val="0093082F"/>
    <w:rsid w:val="0096220E"/>
    <w:rsid w:val="00965AF6"/>
    <w:rsid w:val="00A67EC5"/>
    <w:rsid w:val="00AA2C47"/>
    <w:rsid w:val="00AA3484"/>
    <w:rsid w:val="00BB3262"/>
    <w:rsid w:val="00BF37C1"/>
    <w:rsid w:val="00C71BE9"/>
    <w:rsid w:val="00C97285"/>
    <w:rsid w:val="00CA1143"/>
    <w:rsid w:val="00CB3F39"/>
    <w:rsid w:val="00D4442A"/>
    <w:rsid w:val="00DA3977"/>
    <w:rsid w:val="00DE2CD2"/>
    <w:rsid w:val="00E16192"/>
    <w:rsid w:val="00F62BB7"/>
    <w:rsid w:val="00FD67A3"/>
    <w:rsid w:val="01254F42"/>
    <w:rsid w:val="02140F07"/>
    <w:rsid w:val="03B134E7"/>
    <w:rsid w:val="044555A2"/>
    <w:rsid w:val="05AF4F5A"/>
    <w:rsid w:val="0616183B"/>
    <w:rsid w:val="062C7E85"/>
    <w:rsid w:val="08670714"/>
    <w:rsid w:val="09180606"/>
    <w:rsid w:val="09E07D74"/>
    <w:rsid w:val="0A496B3A"/>
    <w:rsid w:val="0E0119D7"/>
    <w:rsid w:val="0E65021B"/>
    <w:rsid w:val="0F026AA1"/>
    <w:rsid w:val="0F334EAC"/>
    <w:rsid w:val="10755F8E"/>
    <w:rsid w:val="11E60A1B"/>
    <w:rsid w:val="122D7541"/>
    <w:rsid w:val="12ED47D4"/>
    <w:rsid w:val="12F41FA0"/>
    <w:rsid w:val="13C54FFD"/>
    <w:rsid w:val="15554B5D"/>
    <w:rsid w:val="158F12AA"/>
    <w:rsid w:val="16B14EB7"/>
    <w:rsid w:val="17AD6810"/>
    <w:rsid w:val="17E32DB8"/>
    <w:rsid w:val="180B48AA"/>
    <w:rsid w:val="18BC7E0D"/>
    <w:rsid w:val="1B3A0874"/>
    <w:rsid w:val="1CA1450C"/>
    <w:rsid w:val="1D3A7D4E"/>
    <w:rsid w:val="1D5676E8"/>
    <w:rsid w:val="1E3B05B4"/>
    <w:rsid w:val="1FDB37B2"/>
    <w:rsid w:val="201F0815"/>
    <w:rsid w:val="20395124"/>
    <w:rsid w:val="20F42A40"/>
    <w:rsid w:val="214178FD"/>
    <w:rsid w:val="21D969EC"/>
    <w:rsid w:val="22F4274D"/>
    <w:rsid w:val="255479FA"/>
    <w:rsid w:val="25AF5FD3"/>
    <w:rsid w:val="25ED00A6"/>
    <w:rsid w:val="25FA2934"/>
    <w:rsid w:val="267B565F"/>
    <w:rsid w:val="26DF0BE1"/>
    <w:rsid w:val="274B2A63"/>
    <w:rsid w:val="277E0F29"/>
    <w:rsid w:val="27B143FB"/>
    <w:rsid w:val="295068BC"/>
    <w:rsid w:val="2A877FA4"/>
    <w:rsid w:val="2B8A5888"/>
    <w:rsid w:val="2CC43900"/>
    <w:rsid w:val="2E2760CC"/>
    <w:rsid w:val="2F237F88"/>
    <w:rsid w:val="2F2F6E0E"/>
    <w:rsid w:val="2F5F164F"/>
    <w:rsid w:val="30DF11C5"/>
    <w:rsid w:val="31411F5C"/>
    <w:rsid w:val="32B42883"/>
    <w:rsid w:val="339A763E"/>
    <w:rsid w:val="33D10C20"/>
    <w:rsid w:val="344A7771"/>
    <w:rsid w:val="344C063B"/>
    <w:rsid w:val="3552776C"/>
    <w:rsid w:val="37251F04"/>
    <w:rsid w:val="37AB1B58"/>
    <w:rsid w:val="37DD15AA"/>
    <w:rsid w:val="38C36DAE"/>
    <w:rsid w:val="39433C57"/>
    <w:rsid w:val="3A13103F"/>
    <w:rsid w:val="3B686512"/>
    <w:rsid w:val="3BD00970"/>
    <w:rsid w:val="3CD55BFA"/>
    <w:rsid w:val="3CE46170"/>
    <w:rsid w:val="3D057A1E"/>
    <w:rsid w:val="3D9837CB"/>
    <w:rsid w:val="3F604F9A"/>
    <w:rsid w:val="3F7915FD"/>
    <w:rsid w:val="3F840CB0"/>
    <w:rsid w:val="40D62B04"/>
    <w:rsid w:val="410F0C8B"/>
    <w:rsid w:val="418C5B9C"/>
    <w:rsid w:val="428020AC"/>
    <w:rsid w:val="439547CB"/>
    <w:rsid w:val="43F87BE1"/>
    <w:rsid w:val="44246EDE"/>
    <w:rsid w:val="443212F0"/>
    <w:rsid w:val="4503007D"/>
    <w:rsid w:val="45E40E39"/>
    <w:rsid w:val="46AF722A"/>
    <w:rsid w:val="47053D6B"/>
    <w:rsid w:val="4799373F"/>
    <w:rsid w:val="479F32CE"/>
    <w:rsid w:val="481C452E"/>
    <w:rsid w:val="4A9A78B6"/>
    <w:rsid w:val="4A9E641D"/>
    <w:rsid w:val="4B681FF2"/>
    <w:rsid w:val="4B9B023F"/>
    <w:rsid w:val="4CC7569A"/>
    <w:rsid w:val="4D360ADE"/>
    <w:rsid w:val="4D592E82"/>
    <w:rsid w:val="4DD558FA"/>
    <w:rsid w:val="4EC673E2"/>
    <w:rsid w:val="4EFB4CDF"/>
    <w:rsid w:val="4F7F298C"/>
    <w:rsid w:val="50047C41"/>
    <w:rsid w:val="50495562"/>
    <w:rsid w:val="50750D76"/>
    <w:rsid w:val="51D9378D"/>
    <w:rsid w:val="521B2AED"/>
    <w:rsid w:val="525D5883"/>
    <w:rsid w:val="55B23F0A"/>
    <w:rsid w:val="561402C2"/>
    <w:rsid w:val="56DA342C"/>
    <w:rsid w:val="57522714"/>
    <w:rsid w:val="57B940E4"/>
    <w:rsid w:val="58E45E1D"/>
    <w:rsid w:val="5A9F6EBD"/>
    <w:rsid w:val="5AFC1BC3"/>
    <w:rsid w:val="5B6A4388"/>
    <w:rsid w:val="5C560996"/>
    <w:rsid w:val="5C99547F"/>
    <w:rsid w:val="5D942587"/>
    <w:rsid w:val="5E583B08"/>
    <w:rsid w:val="5E7A5C21"/>
    <w:rsid w:val="5EBF0F86"/>
    <w:rsid w:val="5EC35A0D"/>
    <w:rsid w:val="5F735579"/>
    <w:rsid w:val="602E27A3"/>
    <w:rsid w:val="60760251"/>
    <w:rsid w:val="61483DB4"/>
    <w:rsid w:val="632144D4"/>
    <w:rsid w:val="64AE0996"/>
    <w:rsid w:val="653A56B1"/>
    <w:rsid w:val="67A239C5"/>
    <w:rsid w:val="67AC2BC3"/>
    <w:rsid w:val="67D17E08"/>
    <w:rsid w:val="688F5356"/>
    <w:rsid w:val="6BAB6469"/>
    <w:rsid w:val="6CC77E31"/>
    <w:rsid w:val="6DA73C10"/>
    <w:rsid w:val="6DF81B8C"/>
    <w:rsid w:val="6E22598D"/>
    <w:rsid w:val="6E434BFD"/>
    <w:rsid w:val="6E8312F2"/>
    <w:rsid w:val="6FBE19E1"/>
    <w:rsid w:val="6FC83DE4"/>
    <w:rsid w:val="70741DA4"/>
    <w:rsid w:val="714850DA"/>
    <w:rsid w:val="71C40754"/>
    <w:rsid w:val="72001F1A"/>
    <w:rsid w:val="72690C90"/>
    <w:rsid w:val="73AC128C"/>
    <w:rsid w:val="74570FB6"/>
    <w:rsid w:val="756E3A41"/>
    <w:rsid w:val="75AC4D83"/>
    <w:rsid w:val="75B84599"/>
    <w:rsid w:val="75C34BC5"/>
    <w:rsid w:val="78586AFE"/>
    <w:rsid w:val="786102ED"/>
    <w:rsid w:val="79030169"/>
    <w:rsid w:val="79483229"/>
    <w:rsid w:val="7B876E2F"/>
    <w:rsid w:val="7C0674CD"/>
    <w:rsid w:val="7D1005A1"/>
    <w:rsid w:val="7E841ED7"/>
    <w:rsid w:val="7F7C4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4"/>
    <w:next w:val="1"/>
    <w:qFormat/>
    <w:uiPriority w:val="0"/>
    <w:pPr>
      <w:spacing w:before="280" w:after="290" w:line="372" w:lineRule="auto"/>
      <w:outlineLvl w:val="3"/>
    </w:pPr>
    <w:rPr>
      <w:rFonts w:ascii="Arial" w:hAnsi="Arial" w:eastAsia="黑体"/>
      <w:sz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7">
    <w:name w:val="table of authorities"/>
    <w:basedOn w:val="1"/>
    <w:next w:val="1"/>
    <w:qFormat/>
    <w:uiPriority w:val="0"/>
    <w:pPr>
      <w:ind w:left="420" w:leftChars="200"/>
    </w:pPr>
    <w:rPr>
      <w:rFonts w:ascii="Times New Roman" w:hAnsi="Times New Roman"/>
      <w:szCs w:val="20"/>
    </w:rPr>
  </w:style>
  <w:style w:type="paragraph" w:styleId="8">
    <w:name w:val="index 6"/>
    <w:basedOn w:val="1"/>
    <w:next w:val="1"/>
    <w:qFormat/>
    <w:uiPriority w:val="0"/>
    <w:pPr>
      <w:ind w:left="2100"/>
    </w:pPr>
  </w:style>
  <w:style w:type="paragraph" w:styleId="9">
    <w:name w:val="Body Text"/>
    <w:basedOn w:val="1"/>
    <w:next w:val="1"/>
    <w:unhideWhenUsed/>
    <w:qFormat/>
    <w:uiPriority w:val="0"/>
    <w:pPr>
      <w:spacing w:after="120"/>
    </w:pPr>
    <w:rPr>
      <w:rFonts w:ascii="Calibri" w:hAnsi="Calibri" w:eastAsia="宋体" w:cs="Times New Roman"/>
    </w:rPr>
  </w:style>
  <w:style w:type="paragraph" w:styleId="10">
    <w:name w:val="Body Text Indent"/>
    <w:basedOn w:val="1"/>
    <w:qFormat/>
    <w:uiPriority w:val="0"/>
    <w:pPr>
      <w:ind w:firstLine="1280" w:firstLineChars="400"/>
    </w:pPr>
    <w:rPr>
      <w:szCs w:val="20"/>
    </w:rPr>
  </w:style>
  <w:style w:type="paragraph" w:styleId="11">
    <w:name w:val="Block Text"/>
    <w:basedOn w:val="1"/>
    <w:unhideWhenUsed/>
    <w:qFormat/>
    <w:uiPriority w:val="99"/>
    <w:pPr>
      <w:spacing w:after="120"/>
      <w:ind w:left="1440" w:leftChars="700" w:right="1440" w:rightChars="700"/>
    </w:pPr>
    <w:rPr>
      <w:rFonts w:ascii="Calibri" w:hAnsi="Calibri"/>
    </w:rPr>
  </w:style>
  <w:style w:type="paragraph" w:styleId="12">
    <w:name w:val="toc 5"/>
    <w:basedOn w:val="1"/>
    <w:next w:val="1"/>
    <w:unhideWhenUsed/>
    <w:qFormat/>
    <w:uiPriority w:val="0"/>
    <w:pPr>
      <w:jc w:val="left"/>
    </w:pPr>
    <w:rPr>
      <w:rFonts w:cs="Times New Roman"/>
    </w:rPr>
  </w:style>
  <w:style w:type="paragraph" w:styleId="13">
    <w:name w:val="Plain Text"/>
    <w:basedOn w:val="1"/>
    <w:unhideWhenUsed/>
    <w:qFormat/>
    <w:uiPriority w:val="0"/>
    <w:rPr>
      <w:rFonts w:ascii="宋体" w:hAnsi="Courier New" w:eastAsia="宋体" w:cs="Courier New"/>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index 7"/>
    <w:basedOn w:val="1"/>
    <w:next w:val="1"/>
    <w:qFormat/>
    <w:uiPriority w:val="0"/>
    <w:pPr>
      <w:ind w:left="1200" w:leftChars="1200"/>
    </w:pPr>
  </w:style>
  <w:style w:type="paragraph" w:styleId="17">
    <w:name w:val="table of figures"/>
    <w:basedOn w:val="1"/>
    <w:next w:val="1"/>
    <w:qFormat/>
    <w:uiPriority w:val="0"/>
    <w:pPr>
      <w:ind w:left="200" w:leftChars="200" w:hanging="200" w:hangingChars="200"/>
    </w:pPr>
  </w:style>
  <w:style w:type="paragraph" w:styleId="18">
    <w:name w:val="Normal (Web)"/>
    <w:basedOn w:val="1"/>
    <w:semiHidden/>
    <w:unhideWhenUsed/>
    <w:qFormat/>
    <w:uiPriority w:val="99"/>
    <w:pPr>
      <w:spacing w:beforeAutospacing="1" w:afterAutospacing="1"/>
      <w:jc w:val="left"/>
    </w:pPr>
    <w:rPr>
      <w:rFonts w:ascii="宋体" w:hAnsi="宋体" w:eastAsia="宋体" w:cs="Times New Roman"/>
      <w:kern w:val="0"/>
      <w:sz w:val="24"/>
      <w:szCs w:val="24"/>
    </w:rPr>
  </w:style>
  <w:style w:type="paragraph" w:styleId="19">
    <w:name w:val="Title"/>
    <w:basedOn w:val="1"/>
    <w:next w:val="1"/>
    <w:qFormat/>
    <w:uiPriority w:val="0"/>
    <w:pPr>
      <w:spacing w:before="240" w:after="60"/>
      <w:jc w:val="center"/>
      <w:outlineLvl w:val="0"/>
    </w:pPr>
    <w:rPr>
      <w:rFonts w:ascii="Cambria" w:hAnsi="Cambria" w:eastAsia="宋体" w:cs="Times New Roman"/>
      <w:b/>
      <w:bCs/>
      <w:szCs w:val="32"/>
    </w:rPr>
  </w:style>
  <w:style w:type="paragraph" w:styleId="20">
    <w:name w:val="Body Text First Indent"/>
    <w:basedOn w:val="9"/>
    <w:next w:val="6"/>
    <w:qFormat/>
    <w:uiPriority w:val="99"/>
    <w:pPr>
      <w:spacing w:line="580" w:lineRule="exact"/>
      <w:ind w:firstLine="880"/>
    </w:pPr>
  </w:style>
  <w:style w:type="paragraph" w:styleId="21">
    <w:name w:val="Body Text First Indent 2"/>
    <w:basedOn w:val="10"/>
    <w:qFormat/>
    <w:uiPriority w:val="0"/>
    <w:pPr>
      <w:ind w:firstLine="420" w:firstLineChars="200"/>
    </w:pPr>
    <w:rPr>
      <w:rFonts w:ascii="Calibri" w:hAnsi="Calibri" w:eastAsia="宋体" w:cs="Times New Roma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Strong"/>
    <w:basedOn w:val="24"/>
    <w:qFormat/>
    <w:uiPriority w:val="0"/>
    <w:rPr>
      <w:b/>
    </w:rPr>
  </w:style>
  <w:style w:type="character" w:styleId="26">
    <w:name w:val="Hyperlink"/>
    <w:unhideWhenUsed/>
    <w:qFormat/>
    <w:uiPriority w:val="0"/>
    <w:rPr>
      <w:color w:val="0563C1"/>
      <w:u w:val="single"/>
    </w:rPr>
  </w:style>
  <w:style w:type="paragraph" w:customStyle="1" w:styleId="27">
    <w:name w:val="D标题5"/>
    <w:basedOn w:val="6"/>
    <w:next w:val="28"/>
    <w:qFormat/>
    <w:uiPriority w:val="0"/>
    <w:pPr>
      <w:spacing w:before="100" w:beforeAutospacing="1" w:after="100" w:afterAutospacing="1" w:line="240" w:lineRule="auto"/>
      <w:ind w:hanging="1008"/>
      <w:jc w:val="left"/>
    </w:pPr>
    <w:rPr>
      <w:rFonts w:eastAsia="黑体"/>
      <w:bCs w:val="0"/>
      <w:szCs w:val="20"/>
      <w:lang w:val="zh-CN"/>
    </w:rPr>
  </w:style>
  <w:style w:type="paragraph" w:customStyle="1" w:styleId="28">
    <w:name w:val="D正文"/>
    <w:basedOn w:val="21"/>
    <w:qFormat/>
    <w:uiPriority w:val="0"/>
    <w:pPr>
      <w:widowControl/>
      <w:spacing w:before="100" w:beforeAutospacing="1" w:after="100" w:afterAutospacing="1"/>
      <w:jc w:val="left"/>
    </w:pPr>
  </w:style>
  <w:style w:type="paragraph" w:customStyle="1" w:styleId="29">
    <w:name w:val="Char Char3"/>
    <w:qFormat/>
    <w:uiPriority w:val="99"/>
    <w:pPr>
      <w:widowControl w:val="0"/>
      <w:spacing w:after="160" w:line="240" w:lineRule="exact"/>
    </w:pPr>
    <w:rPr>
      <w:rFonts w:ascii="Calibri" w:hAnsi="Calibri" w:eastAsia="宋体" w:cs="Times New Roman"/>
      <w:kern w:val="2"/>
      <w:sz w:val="21"/>
      <w:szCs w:val="24"/>
      <w:lang w:val="en-US" w:eastAsia="zh-CN" w:bidi="ar-SA"/>
    </w:rPr>
  </w:style>
  <w:style w:type="paragraph" w:customStyle="1" w:styleId="30">
    <w:name w:val="索引 51"/>
    <w:basedOn w:val="1"/>
    <w:next w:val="1"/>
    <w:qFormat/>
    <w:uiPriority w:val="0"/>
    <w:pPr>
      <w:ind w:left="1680"/>
    </w:pPr>
    <w:rPr>
      <w:rFonts w:ascii="Times New Roman" w:hAnsi="Times New Roman" w:cs="Times New Roman"/>
    </w:rPr>
  </w:style>
  <w:style w:type="paragraph" w:customStyle="1" w:styleId="31">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32">
    <w:name w:val="页眉 Char"/>
    <w:basedOn w:val="24"/>
    <w:link w:val="15"/>
    <w:qFormat/>
    <w:uiPriority w:val="99"/>
    <w:rPr>
      <w:sz w:val="18"/>
      <w:szCs w:val="18"/>
    </w:rPr>
  </w:style>
  <w:style w:type="character" w:customStyle="1" w:styleId="33">
    <w:name w:val="页脚 Char"/>
    <w:basedOn w:val="24"/>
    <w:link w:val="14"/>
    <w:qFormat/>
    <w:uiPriority w:val="99"/>
    <w:rPr>
      <w:sz w:val="18"/>
      <w:szCs w:val="18"/>
    </w:rPr>
  </w:style>
  <w:style w:type="character" w:customStyle="1" w:styleId="34">
    <w:name w:val="NormalCharacter"/>
    <w:link w:val="35"/>
    <w:qFormat/>
    <w:uiPriority w:val="0"/>
    <w:rPr>
      <w:rFonts w:ascii="宋体" w:hAnsi="宋体" w:eastAsia="宋体" w:cs="Times New Roman"/>
      <w:kern w:val="0"/>
      <w:sz w:val="24"/>
      <w:szCs w:val="20"/>
    </w:rPr>
  </w:style>
  <w:style w:type="paragraph" w:customStyle="1" w:styleId="35">
    <w:name w:val="UserStyle_0"/>
    <w:basedOn w:val="1"/>
    <w:link w:val="34"/>
    <w:qFormat/>
    <w:uiPriority w:val="0"/>
    <w:rPr>
      <w:rFonts w:ascii="宋体" w:hAnsi="宋体" w:eastAsia="宋体" w:cs="Times New Roman"/>
      <w:kern w:val="0"/>
      <w:sz w:val="24"/>
      <w:szCs w:val="20"/>
    </w:rPr>
  </w:style>
  <w:style w:type="paragraph" w:customStyle="1" w:styleId="36">
    <w:name w:val="_Style 8"/>
    <w:basedOn w:val="1"/>
    <w:next w:val="37"/>
    <w:qFormat/>
    <w:uiPriority w:val="99"/>
    <w:pPr>
      <w:ind w:firstLine="420" w:firstLineChars="200"/>
    </w:pPr>
    <w:rPr>
      <w:rFonts w:ascii="Calibri" w:hAnsi="Calibri" w:eastAsia="宋体" w:cs="Times New Roman"/>
      <w:szCs w:val="24"/>
    </w:rPr>
  </w:style>
  <w:style w:type="paragraph" w:styleId="37">
    <w:name w:val="List Paragraph"/>
    <w:basedOn w:val="1"/>
    <w:qFormat/>
    <w:uiPriority w:val="34"/>
    <w:pPr>
      <w:ind w:firstLine="420" w:firstLineChars="200"/>
    </w:pPr>
  </w:style>
  <w:style w:type="paragraph" w:customStyle="1" w:styleId="38">
    <w:name w:val="正文首缩两字 Char"/>
    <w:basedOn w:val="1"/>
    <w:qFormat/>
    <w:uiPriority w:val="99"/>
    <w:rPr>
      <w:rFonts w:ascii="Verdana" w:hAnsi="Verdana"/>
      <w:bCs/>
    </w:rPr>
  </w:style>
  <w:style w:type="paragraph" w:customStyle="1" w:styleId="39">
    <w:name w:val="p0"/>
    <w:basedOn w:val="1"/>
    <w:qFormat/>
    <w:uiPriority w:val="0"/>
    <w:rPr>
      <w:rFonts w:cs="宋体"/>
      <w:kern w:val="0"/>
      <w:szCs w:val="21"/>
    </w:rPr>
  </w:style>
  <w:style w:type="character" w:customStyle="1" w:styleId="40">
    <w:name w:val="15"/>
    <w:basedOn w:val="24"/>
    <w:qFormat/>
    <w:uiPriority w:val="0"/>
    <w:rPr>
      <w:rFonts w:hint="default" w:ascii="Times New Roman" w:hAnsi="Times New Roman" w:cs="Times New Roman"/>
      <w:b/>
    </w:rPr>
  </w:style>
  <w:style w:type="character" w:customStyle="1" w:styleId="41">
    <w:name w:val="10"/>
    <w:basedOn w:val="24"/>
    <w:qFormat/>
    <w:uiPriority w:val="0"/>
    <w:rPr>
      <w:rFonts w:hint="default" w:ascii="Times New Roman" w:hAnsi="Times New Roman" w:cs="Times New Roman"/>
    </w:rPr>
  </w:style>
  <w:style w:type="paragraph" w:customStyle="1" w:styleId="42">
    <w:name w:val="Body Text First Indent1"/>
    <w:qFormat/>
    <w:uiPriority w:val="0"/>
    <w:pPr>
      <w:spacing w:line="594" w:lineRule="exact"/>
      <w:ind w:firstLine="420" w:firstLineChars="100"/>
      <w:jc w:val="both"/>
    </w:pPr>
    <w:rPr>
      <w:rFonts w:hint="eastAsia" w:ascii="方正仿宋_GBK" w:hAnsi="方正仿宋_GBK" w:eastAsia="方正仿宋_GBK" w:cs="Times New Roman"/>
      <w:kern w:val="2"/>
      <w:sz w:val="33"/>
      <w:szCs w:val="33"/>
      <w:lang w:val="en-US" w:eastAsia="zh-CN" w:bidi="ar-SA"/>
    </w:rPr>
  </w:style>
  <w:style w:type="paragraph" w:customStyle="1" w:styleId="43">
    <w:name w:val="文件"/>
    <w:basedOn w:val="1"/>
    <w:qFormat/>
    <w:uiPriority w:val="0"/>
    <w:pPr>
      <w:widowControl/>
      <w:spacing w:line="600" w:lineRule="exact"/>
      <w:ind w:firstLine="664" w:firstLineChars="200"/>
    </w:pPr>
    <w:rPr>
      <w:rFonts w:ascii="仿宋_GB2312" w:hAnsi="Times New Roman" w:eastAsia="仿宋_GB2312" w:cs="Times New Roman"/>
      <w:spacing w:val="6"/>
      <w:kern w:val="0"/>
      <w:sz w:val="32"/>
      <w:szCs w:val="32"/>
    </w:rPr>
  </w:style>
  <w:style w:type="paragraph" w:customStyle="1" w:styleId="44">
    <w:name w:val="首行缩进"/>
    <w:basedOn w:val="1"/>
    <w:qFormat/>
    <w:uiPriority w:val="0"/>
    <w:pPr>
      <w:spacing w:line="360" w:lineRule="auto"/>
      <w:ind w:firstLine="480" w:firstLineChars="200"/>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14579</Words>
  <Characters>15708</Characters>
  <Lines>108</Lines>
  <Paragraphs>30</Paragraphs>
  <TotalTime>5</TotalTime>
  <ScaleCrop>false</ScaleCrop>
  <LinksUpToDate>false</LinksUpToDate>
  <CharactersWithSpaces>15859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2023-01-31T03:22:00Z</dcterms:created>
  <dc:creator>QI XIANG</dc:creator>
  <cp:lastModifiedBy>Administrator</cp:lastModifiedBy>
  <dcterms:modified xsi:type="dcterms:W3CDTF">2026-02-11T06:50:53Z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99409BDDBFDB4C7EB7B84FF3226EF67A</vt:lpwstr>
  </property>
  <property fmtid="{D5CDD505-2E9C-101B-9397-08002B2CF9AE}" pid="4" name="KSOTemplateDocerSaveRecord">
    <vt:lpwstr>eyJoZGlkIjoiNzdmMDE2Nzg0ZjQyMDIyZTVlYzRlZTQ4YTRjMjAxYzMiLCJ1c2VySWQiOiIxNDY4MjQ1Mzc2In0=</vt:lpwstr>
  </property>
</Properties>
</file>