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val="en-US" w:eastAsia="zh-CN"/>
        </w:rPr>
        <w:t xml:space="preserve"> </w:t>
      </w:r>
      <w:r>
        <w:rPr>
          <w:rFonts w:hint="eastAsia" w:ascii="方正小标宋_GBK" w:hAnsi="方正小标宋_GBK" w:eastAsia="方正小标宋_GBK" w:cs="方正小标宋_GBK"/>
          <w:kern w:val="2"/>
          <w:sz w:val="44"/>
          <w:szCs w:val="44"/>
        </w:rPr>
        <w:t>云阳县渠马镇退役军人服务站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720" w:lineRule="exact"/>
        <w:ind w:left="0" w:right="0"/>
        <w:jc w:val="center"/>
        <w:textAlignment w:val="auto"/>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2022年度部门决算情况说明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一、部门基本情况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负责做好退役军人关系转接、联络接待、困难帮扶、信息采集、情况反映、立功喜报、悬挂光荣牌和</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八一</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、春节等节日以及重大变故走访慰问等具体事务。负责搭建政策咨询、帮扶援助、沟通联系、学习交流等活动场所。落实领导交办事项等。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（二）机构设置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云阳县渠马镇退役军人服务站设有编制数</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个。</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二、部门决算情况说明</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（一）收入支出决算总体情况说明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总体情况。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年度收入总计</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万元，支出总计</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万元。收支较上年决算数增加</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年度收入合计</w:t>
      </w:r>
      <w:r>
        <w:rPr>
          <w:rFonts w:hint="default" w:ascii="Times New Roman" w:hAnsi="Times New Roman" w:eastAsia="方正仿宋_GBK" w:cs="Times New Roman"/>
          <w:color w:val="000000"/>
          <w:kern w:val="2"/>
          <w:sz w:val="32"/>
          <w:szCs w:val="32"/>
        </w:rPr>
        <w:t>25.15</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25.15</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，主要原因是上年本单位未单独列决算。其中：财政拨款收入</w:t>
      </w:r>
      <w:r>
        <w:rPr>
          <w:rFonts w:hint="default" w:ascii="Times New Roman" w:hAnsi="Times New Roman" w:eastAsia="方正仿宋_GBK" w:cs="Times New Roman"/>
          <w:color w:val="000000"/>
          <w:kern w:val="2"/>
          <w:sz w:val="32"/>
          <w:szCs w:val="32"/>
        </w:rPr>
        <w:t>25.15</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right="0" w:righ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年度支出合计</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万元，较上年决算增加</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，主要原因是上年本单位未单独列决算。其中：基本支出</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（二）财政拨款收入支出决算总体情况说明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年度财政拨款收、支总计</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万元。与</w:t>
      </w:r>
      <w:r>
        <w:rPr>
          <w:rFonts w:hint="default" w:ascii="Times New Roman" w:hAnsi="Times New Roman" w:eastAsia="方正仿宋_GBK" w:cs="Times New Roman"/>
          <w:color w:val="000000"/>
          <w:kern w:val="2"/>
          <w:sz w:val="32"/>
          <w:szCs w:val="32"/>
        </w:rPr>
        <w:t>2021</w:t>
      </w:r>
      <w:r>
        <w:rPr>
          <w:rFonts w:hint="eastAsia" w:ascii="方正仿宋_GBK" w:hAnsi="方正仿宋_GBK" w:eastAsia="方正仿宋_GBK" w:cs="方正仿宋_GBK"/>
          <w:color w:val="000000"/>
          <w:kern w:val="2"/>
          <w:sz w:val="32"/>
          <w:szCs w:val="32"/>
        </w:rPr>
        <w:t>年相比，财政拨款收、支总计各增加</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（三）一般公共预算财政拨款收入支出决算情况说明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kern w:val="2"/>
          <w:sz w:val="32"/>
          <w:szCs w:val="32"/>
        </w:rPr>
        <w:t>1.</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收入情况。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年度一般公共预算财政拨款收入</w:t>
      </w:r>
      <w:r>
        <w:rPr>
          <w:rFonts w:hint="default" w:ascii="Times New Roman" w:hAnsi="Times New Roman" w:eastAsia="方正仿宋_GBK" w:cs="Times New Roman"/>
          <w:color w:val="000000"/>
          <w:kern w:val="2"/>
          <w:sz w:val="32"/>
          <w:szCs w:val="32"/>
        </w:rPr>
        <w:t>25.15</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25.15</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。主要原因是上年本单位未单独列决算。较年初预算数减少</w:t>
      </w:r>
      <w:r>
        <w:rPr>
          <w:rFonts w:hint="default" w:ascii="Times New Roman" w:hAnsi="Times New Roman" w:eastAsia="方正仿宋_GBK" w:cs="Times New Roman"/>
          <w:color w:val="000000"/>
          <w:kern w:val="2"/>
          <w:sz w:val="32"/>
          <w:szCs w:val="32"/>
        </w:rPr>
        <w:t>5.85</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18.9%</w:t>
      </w:r>
      <w:r>
        <w:rPr>
          <w:rFonts w:hint="eastAsia" w:ascii="方正仿宋_GBK" w:hAnsi="方正仿宋_GBK" w:eastAsia="方正仿宋_GBK" w:cs="方正仿宋_GBK"/>
          <w:color w:val="000000"/>
          <w:kern w:val="2"/>
          <w:sz w:val="32"/>
          <w:szCs w:val="32"/>
        </w:rPr>
        <w:t>。主要原因是落实</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过紧日子</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政策，压缩了日常公用经费。此外，年初财政拨款结转和结余</w:t>
      </w:r>
      <w:r>
        <w:rPr>
          <w:rFonts w:hint="default" w:ascii="Times New Roman" w:hAnsi="Times New Roman" w:eastAsia="方正仿宋_GBK" w:cs="Times New Roman"/>
          <w:color w:val="000000"/>
          <w:kern w:val="2"/>
          <w:sz w:val="32"/>
          <w:szCs w:val="32"/>
        </w:rPr>
        <w:t>0.04</w:t>
      </w:r>
      <w:r>
        <w:rPr>
          <w:rFonts w:hint="eastAsia" w:ascii="方正仿宋_GBK" w:hAnsi="方正仿宋_GBK" w:eastAsia="方正仿宋_GBK" w:cs="方正仿宋_GBK"/>
          <w:color w:val="000000"/>
          <w:kern w:val="2"/>
          <w:sz w:val="32"/>
          <w:szCs w:val="32"/>
        </w:rPr>
        <w:t>万元。</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2"/>
          <w:sz w:val="32"/>
          <w:szCs w:val="32"/>
        </w:rPr>
        <w:t>2.</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支出情况。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。主要原因是上年本单位未单独列决算。较年初预算数减少</w:t>
      </w:r>
      <w:r>
        <w:rPr>
          <w:rFonts w:hint="default" w:ascii="Times New Roman" w:hAnsi="Times New Roman" w:eastAsia="方正仿宋_GBK" w:cs="Times New Roman"/>
          <w:color w:val="000000"/>
          <w:kern w:val="2"/>
          <w:sz w:val="32"/>
          <w:szCs w:val="32"/>
        </w:rPr>
        <w:t>5.85</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18.8%</w:t>
      </w:r>
      <w:r>
        <w:rPr>
          <w:rFonts w:hint="eastAsia" w:ascii="方正仿宋_GBK" w:hAnsi="方正仿宋_GBK" w:eastAsia="方正仿宋_GBK" w:cs="方正仿宋_GBK"/>
          <w:color w:val="000000"/>
          <w:kern w:val="2"/>
          <w:sz w:val="32"/>
          <w:szCs w:val="32"/>
        </w:rPr>
        <w:t>。主要原因是落实</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过紧日子</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政策，压缩了日常公用经费。</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2"/>
          <w:sz w:val="32"/>
          <w:szCs w:val="32"/>
        </w:rPr>
        <w:t>3.</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结转结余情况。</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年度年末一般公共预算财政拨款无结转和结余。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2"/>
          <w:sz w:val="32"/>
          <w:szCs w:val="32"/>
          <w:lang w:val="en-US" w:eastAsia="zh-CN"/>
        </w:rPr>
        <w:t>4</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rPr>
        <w:t xml:space="preserve"> </w:t>
      </w:r>
      <w:r>
        <w:rPr>
          <w:rFonts w:hint="eastAsia" w:ascii="方正仿宋_GBK" w:hAnsi="方正仿宋_GBK" w:eastAsia="方正仿宋_GBK" w:cs="方正仿宋_GBK"/>
          <w:kern w:val="2"/>
          <w:sz w:val="32"/>
          <w:szCs w:val="32"/>
        </w:rPr>
        <w:t>比较情况。</w:t>
      </w: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年度一般公共预算财政拨款支出主要用于以下几个方面：（</w:t>
      </w: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）社会保障与就业支出</w:t>
      </w:r>
      <w:r>
        <w:rPr>
          <w:rFonts w:hint="default" w:ascii="Times New Roman" w:hAnsi="Times New Roman" w:eastAsia="方正仿宋_GBK" w:cs="Times New Roman"/>
          <w:color w:val="000000"/>
          <w:kern w:val="2"/>
          <w:sz w:val="32"/>
          <w:szCs w:val="32"/>
        </w:rPr>
        <w:t>22.06</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87.6%</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5</w:t>
      </w:r>
      <w:bookmarkStart w:id="0" w:name="_GoBack"/>
      <w:bookmarkEnd w:id="0"/>
      <w:r>
        <w:rPr>
          <w:rFonts w:hint="default" w:ascii="Times New Roman" w:hAnsi="Times New Roman" w:eastAsia="方正仿宋_GBK" w:cs="Times New Roman"/>
          <w:color w:val="000000"/>
          <w:kern w:val="2"/>
          <w:sz w:val="32"/>
          <w:szCs w:val="32"/>
        </w:rPr>
        <w:t>.73</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20.6%</w:t>
      </w:r>
      <w:r>
        <w:rPr>
          <w:rFonts w:hint="eastAsia" w:ascii="方正仿宋_GBK" w:hAnsi="方正仿宋_GBK" w:eastAsia="方正仿宋_GBK" w:cs="方正仿宋_GBK"/>
          <w:color w:val="000000"/>
          <w:kern w:val="2"/>
          <w:sz w:val="32"/>
          <w:szCs w:val="32"/>
        </w:rPr>
        <w:t>，主要原因是社保有所调整。（</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）卫生健康支出</w:t>
      </w:r>
      <w:r>
        <w:rPr>
          <w:rFonts w:hint="default" w:ascii="Times New Roman" w:hAnsi="Times New Roman" w:eastAsia="方正仿宋_GBK" w:cs="Times New Roman"/>
          <w:color w:val="000000"/>
          <w:kern w:val="2"/>
          <w:sz w:val="32"/>
          <w:szCs w:val="32"/>
        </w:rPr>
        <w:t>1.53</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6.1%</w:t>
      </w:r>
      <w:r>
        <w:rPr>
          <w:rFonts w:hint="eastAsia" w:ascii="方正仿宋_GBK" w:hAnsi="方正仿宋_GBK" w:eastAsia="方正仿宋_GBK" w:cs="方正仿宋_GBK"/>
          <w:color w:val="000000"/>
          <w:kern w:val="2"/>
          <w:sz w:val="32"/>
          <w:szCs w:val="32"/>
        </w:rPr>
        <w:t>，较年初预算数减少</w:t>
      </w:r>
      <w:r>
        <w:rPr>
          <w:rFonts w:hint="default" w:ascii="Times New Roman" w:hAnsi="Times New Roman" w:eastAsia="方正仿宋_GBK" w:cs="Times New Roman"/>
          <w:color w:val="000000"/>
          <w:kern w:val="2"/>
          <w:sz w:val="32"/>
          <w:szCs w:val="32"/>
        </w:rPr>
        <w:t>0.12</w:t>
      </w:r>
      <w:r>
        <w:rPr>
          <w:rFonts w:hint="eastAsia" w:ascii="方正仿宋_GBK" w:hAnsi="方正仿宋_GBK" w:eastAsia="方正仿宋_GBK" w:cs="方正仿宋_GBK"/>
          <w:color w:val="000000"/>
          <w:kern w:val="2"/>
          <w:sz w:val="32"/>
          <w:szCs w:val="32"/>
        </w:rPr>
        <w:t>万元，下降</w:t>
      </w:r>
      <w:r>
        <w:rPr>
          <w:rFonts w:hint="default" w:ascii="Times New Roman" w:hAnsi="Times New Roman" w:eastAsia="方正仿宋_GBK" w:cs="Times New Roman"/>
          <w:color w:val="000000"/>
          <w:kern w:val="2"/>
          <w:sz w:val="32"/>
          <w:szCs w:val="32"/>
        </w:rPr>
        <w:t>7.3%</w:t>
      </w:r>
      <w:r>
        <w:rPr>
          <w:rFonts w:hint="eastAsia" w:ascii="方正仿宋_GBK" w:hAnsi="方正仿宋_GBK" w:eastAsia="方正仿宋_GBK" w:cs="方正仿宋_GBK"/>
          <w:color w:val="000000"/>
          <w:kern w:val="2"/>
          <w:sz w:val="32"/>
          <w:szCs w:val="32"/>
        </w:rPr>
        <w:t>，主要原因是预算安排比较充足。（</w:t>
      </w: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）住房保障支出</w:t>
      </w:r>
      <w:r>
        <w:rPr>
          <w:rFonts w:hint="default" w:ascii="Times New Roman" w:hAnsi="Times New Roman" w:eastAsia="方正仿宋_GBK" w:cs="Times New Roman"/>
          <w:color w:val="000000"/>
          <w:kern w:val="2"/>
          <w:sz w:val="32"/>
          <w:szCs w:val="32"/>
        </w:rPr>
        <w:t>1.60</w:t>
      </w:r>
      <w:r>
        <w:rPr>
          <w:rFonts w:hint="eastAsia" w:ascii="方正仿宋_GBK" w:hAnsi="方正仿宋_GBK" w:eastAsia="方正仿宋_GBK" w:cs="方正仿宋_GBK"/>
          <w:color w:val="000000"/>
          <w:kern w:val="2"/>
          <w:sz w:val="32"/>
          <w:szCs w:val="32"/>
        </w:rPr>
        <w:t>万元，占</w:t>
      </w:r>
      <w:r>
        <w:rPr>
          <w:rFonts w:hint="default" w:ascii="Times New Roman" w:hAnsi="Times New Roman" w:eastAsia="方正仿宋_GBK" w:cs="Times New Roman"/>
          <w:color w:val="000000"/>
          <w:kern w:val="2"/>
          <w:sz w:val="32"/>
          <w:szCs w:val="32"/>
        </w:rPr>
        <w:t>6.4%</w:t>
      </w:r>
      <w:r>
        <w:rPr>
          <w:rFonts w:hint="eastAsia" w:ascii="方正仿宋_GBK" w:hAnsi="方正仿宋_GBK" w:eastAsia="方正仿宋_GBK" w:cs="方正仿宋_GBK"/>
          <w:color w:val="000000"/>
          <w:kern w:val="2"/>
          <w:sz w:val="32"/>
          <w:szCs w:val="32"/>
        </w:rPr>
        <w:t>，较年初预算数无变化。</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2"/>
          <w:sz w:val="32"/>
          <w:szCs w:val="32"/>
        </w:rPr>
        <w:t>（四）一般公共预算财政拨款基本支出决算情况说明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年度一般公共预算财政拨款基本支出</w:t>
      </w:r>
      <w:r>
        <w:rPr>
          <w:rFonts w:hint="default" w:ascii="Times New Roman" w:hAnsi="Times New Roman" w:eastAsia="方正仿宋_GBK" w:cs="Times New Roman"/>
          <w:color w:val="000000"/>
          <w:kern w:val="2"/>
          <w:sz w:val="32"/>
          <w:szCs w:val="32"/>
        </w:rPr>
        <w:t>25.19</w:t>
      </w:r>
      <w:r>
        <w:rPr>
          <w:rFonts w:hint="eastAsia" w:ascii="方正仿宋_GBK" w:hAnsi="方正仿宋_GBK" w:eastAsia="方正仿宋_GBK" w:cs="方正仿宋_GBK"/>
          <w:color w:val="000000"/>
          <w:kern w:val="2"/>
          <w:sz w:val="32"/>
          <w:szCs w:val="32"/>
        </w:rPr>
        <w:t>万元。其中：人员经费</w:t>
      </w:r>
      <w:r>
        <w:rPr>
          <w:rFonts w:hint="default" w:ascii="Times New Roman" w:hAnsi="Times New Roman" w:eastAsia="方正仿宋_GBK" w:cs="Times New Roman"/>
          <w:color w:val="000000"/>
          <w:kern w:val="2"/>
          <w:sz w:val="32"/>
          <w:szCs w:val="32"/>
        </w:rPr>
        <w:t>25.06</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25.06</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，主要原因是上年本单位未单独列决算。人员经费用途主要包括基本工资、津贴补贴、绩效工资、社会保障缴费、住房公积金等。公用经费</w:t>
      </w:r>
      <w:r>
        <w:rPr>
          <w:rFonts w:hint="default" w:ascii="Times New Roman" w:hAnsi="Times New Roman" w:eastAsia="方正仿宋_GBK" w:cs="Times New Roman"/>
          <w:color w:val="000000"/>
          <w:kern w:val="2"/>
          <w:sz w:val="32"/>
          <w:szCs w:val="32"/>
        </w:rPr>
        <w:t>0.13</w:t>
      </w:r>
      <w:r>
        <w:rPr>
          <w:rFonts w:hint="eastAsia" w:ascii="方正仿宋_GBK" w:hAnsi="方正仿宋_GBK" w:eastAsia="方正仿宋_GBK" w:cs="方正仿宋_GBK"/>
          <w:color w:val="000000"/>
          <w:kern w:val="2"/>
          <w:sz w:val="32"/>
          <w:szCs w:val="32"/>
        </w:rPr>
        <w:t>万元，较上年决算数增加</w:t>
      </w:r>
      <w:r>
        <w:rPr>
          <w:rFonts w:hint="default" w:ascii="Times New Roman" w:hAnsi="Times New Roman" w:eastAsia="方正仿宋_GBK" w:cs="Times New Roman"/>
          <w:color w:val="000000"/>
          <w:kern w:val="2"/>
          <w:sz w:val="32"/>
          <w:szCs w:val="32"/>
        </w:rPr>
        <w:t>0.13</w:t>
      </w:r>
      <w:r>
        <w:rPr>
          <w:rFonts w:hint="eastAsia" w:ascii="方正仿宋_GBK" w:hAnsi="方正仿宋_GBK" w:eastAsia="方正仿宋_GBK" w:cs="方正仿宋_GBK"/>
          <w:color w:val="000000"/>
          <w:kern w:val="2"/>
          <w:sz w:val="32"/>
          <w:szCs w:val="32"/>
        </w:rPr>
        <w:t>万元，增长</w:t>
      </w:r>
      <w:r>
        <w:rPr>
          <w:rFonts w:hint="default" w:ascii="Times New Roman" w:hAnsi="Times New Roman" w:eastAsia="方正仿宋_GBK" w:cs="Times New Roman"/>
          <w:color w:val="000000"/>
          <w:kern w:val="2"/>
          <w:sz w:val="32"/>
          <w:szCs w:val="32"/>
        </w:rPr>
        <w:t>100%</w:t>
      </w:r>
      <w:r>
        <w:rPr>
          <w:rFonts w:hint="eastAsia" w:ascii="方正仿宋_GBK" w:hAnsi="方正仿宋_GBK" w:eastAsia="方正仿宋_GBK" w:cs="方正仿宋_GBK"/>
          <w:color w:val="000000"/>
          <w:kern w:val="2"/>
          <w:sz w:val="32"/>
          <w:szCs w:val="32"/>
        </w:rPr>
        <w:t>，主要原因是上年本单位未单独列决算。公用经费用途主要包括办公费、印刷费、差旅费、物业管理费、会议费、培训费、公务接待费、公务用车运行费、维修（护）费、劳务费等。</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2"/>
          <w:sz w:val="32"/>
          <w:szCs w:val="32"/>
        </w:rPr>
        <w:t>（五）政府性基金预算收支决算情况说明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年度无政府性基金预算财政拨款收支。</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（六）国有资本经营预算财政拨款支出决算情况说明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年度无国有资本经营预算财政拨款支出。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三、“三公”经费情况说明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（一）“三公”经费支出总体情况说明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三公</w:t>
      </w:r>
      <w:r>
        <w:rPr>
          <w:rFonts w:hint="default" w:ascii="Times New Roman" w:hAnsi="Times New Roman" w:eastAsia="方正仿宋_GBK" w:cs="Times New Roman"/>
          <w:color w:val="000000"/>
          <w:kern w:val="2"/>
          <w:sz w:val="32"/>
          <w:szCs w:val="32"/>
        </w:rPr>
        <w:t>”</w:t>
      </w:r>
      <w:r>
        <w:rPr>
          <w:rFonts w:hint="eastAsia" w:ascii="方正仿宋_GBK" w:hAnsi="方正仿宋_GBK" w:eastAsia="方正仿宋_GBK" w:cs="方正仿宋_GBK"/>
          <w:color w:val="000000"/>
          <w:kern w:val="2"/>
          <w:sz w:val="32"/>
          <w:szCs w:val="32"/>
        </w:rPr>
        <w:t>经费支出。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（二）“三公”经费分项支出情况</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年度未发生因公出国（境）费用支出。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年度未发生公务车购置支出。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年度未发生公务车运行维护支出。</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年度未发生公务接待支出。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leftChars="0" w:firstLine="640" w:firstLineChars="200"/>
        <w:jc w:val="both"/>
        <w:rPr>
          <w:rFonts w:hint="default" w:ascii="Times New Roman" w:hAnsi="Times New Roman" w:eastAsia="方正楷体_GBK" w:cs="Times New Roman"/>
          <w:kern w:val="0"/>
          <w:sz w:val="32"/>
          <w:szCs w:val="32"/>
        </w:rPr>
      </w:pPr>
      <w:r>
        <w:rPr>
          <w:rFonts w:hint="eastAsia" w:ascii="方正楷体_GBK" w:hAnsi="方正楷体_GBK" w:eastAsia="方正楷体_GBK" w:cs="方正楷体_GBK"/>
          <w:kern w:val="0"/>
          <w:sz w:val="32"/>
          <w:szCs w:val="32"/>
        </w:rPr>
        <w:t>（三）</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三公</w:t>
      </w:r>
      <w:r>
        <w:rPr>
          <w:rFonts w:hint="default" w:ascii="Times New Roman" w:hAnsi="Times New Roman" w:eastAsia="方正楷体_GBK" w:cs="Times New Roman"/>
          <w:kern w:val="0"/>
          <w:sz w:val="32"/>
          <w:szCs w:val="32"/>
        </w:rPr>
        <w:t>”</w:t>
      </w:r>
      <w:r>
        <w:rPr>
          <w:rFonts w:hint="eastAsia" w:ascii="方正楷体_GBK" w:hAnsi="方正楷体_GBK" w:eastAsia="方正楷体_GBK" w:cs="方正楷体_GBK"/>
          <w:kern w:val="0"/>
          <w:sz w:val="32"/>
          <w:szCs w:val="32"/>
        </w:rPr>
        <w:t>经费实物量情况</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方正仿宋_GBK" w:hAnsi="方正仿宋_GBK" w:eastAsia="方正仿宋_GBK" w:cs="方正仿宋_GBK"/>
          <w:color w:val="000000"/>
          <w:kern w:val="2"/>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辆；国内公务接待</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批次</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元，车均购置费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万元，车均维护费</w:t>
      </w:r>
      <w:r>
        <w:rPr>
          <w:rFonts w:hint="eastAsia" w:ascii="Times New Roman" w:hAnsi="Times New Roman" w:eastAsia="方正仿宋_GBK" w:cs="Times New Roman"/>
          <w:kern w:val="0"/>
          <w:sz w:val="32"/>
          <w:szCs w:val="32"/>
          <w:lang w:val="en-US" w:eastAsia="zh-CN"/>
        </w:rPr>
        <w:t>0</w:t>
      </w:r>
      <w:r>
        <w:rPr>
          <w:rFonts w:hint="eastAsia" w:ascii="方正仿宋_GBK" w:hAnsi="方正仿宋_GBK" w:eastAsia="方正仿宋_GBK" w:cs="方正仿宋_GBK"/>
          <w:kern w:val="0"/>
          <w:sz w:val="32"/>
          <w:szCs w:val="32"/>
        </w:rPr>
        <w:t>万元。</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四、其他需要说明的事项</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（一）财政拨款会议费和培训费情况说明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年度未发生会议费及培训费支出。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（二）机关运行经费支出情况说明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w:t>
      </w:r>
      <w:r>
        <w:rPr>
          <w:rFonts w:hint="default" w:ascii="Times New Roman" w:hAnsi="Times New Roman" w:eastAsia="方正仿宋_GBK" w:cs="Times New Roman"/>
          <w:color w:val="000000"/>
          <w:kern w:val="2"/>
          <w:sz w:val="32"/>
          <w:szCs w:val="32"/>
        </w:rPr>
        <w:t>2022</w:t>
      </w:r>
      <w:r>
        <w:rPr>
          <w:rFonts w:hint="eastAsia" w:ascii="方正仿宋_GBK" w:hAnsi="方正仿宋_GBK" w:eastAsia="方正仿宋_GBK" w:cs="方正仿宋_GBK"/>
          <w:color w:val="000000"/>
          <w:kern w:val="2"/>
          <w:sz w:val="32"/>
          <w:szCs w:val="32"/>
        </w:rPr>
        <w:t>年度未发生运行经费支出。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（三）国有资产占用情况说明</w:t>
      </w: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color w:val="000000"/>
          <w:kern w:val="2"/>
          <w:sz w:val="32"/>
          <w:szCs w:val="32"/>
        </w:rPr>
        <w:t>本单位无国有资产。</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楷体_GBK" w:hAnsi="方正楷体_GBK" w:eastAsia="方正楷体_GBK" w:cs="方正楷体_GBK"/>
          <w:kern w:val="2"/>
          <w:sz w:val="32"/>
          <w:szCs w:val="32"/>
        </w:rPr>
      </w:pPr>
      <w:r>
        <w:rPr>
          <w:rFonts w:hint="eastAsia" w:ascii="方正楷体_GBK" w:hAnsi="方正楷体_GBK" w:eastAsia="方正楷体_GBK" w:cs="方正楷体_GBK"/>
          <w:kern w:val="2"/>
          <w:sz w:val="32"/>
          <w:szCs w:val="32"/>
        </w:rPr>
        <w:t>（四）政府采购支出说明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年度本单位未发生政府采购事项，无相关经费支出。</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五、预算绩效管理情况说明</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年度本单位无预算绩效管理项目。</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78" w:lineRule="exact"/>
        <w:ind w:lef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六、专业名词解释</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Style w:val="13"/>
          <w:rFonts w:hint="eastAsia" w:ascii="方正楷体_GBK" w:hAnsi="方正楷体_GBK" w:eastAsia="方正楷体_GBK" w:cs="方正楷体_GBK"/>
          <w:b w:val="0"/>
          <w:bCs w:val="0"/>
          <w:sz w:val="32"/>
          <w:szCs w:val="32"/>
          <w:shd w:val="clear" w:fill="FFFFFF"/>
        </w:rPr>
        <w:t>（</w:t>
      </w:r>
      <w:r>
        <w:rPr>
          <w:rFonts w:hint="eastAsia" w:ascii="方正楷体_GBK" w:hAnsi="方正楷体_GBK" w:eastAsia="方正楷体_GBK" w:cs="方正楷体_GBK"/>
          <w:kern w:val="2"/>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（四）其他收入：</w:t>
      </w:r>
      <w:r>
        <w:rPr>
          <w:rFonts w:hint="eastAsia" w:ascii="方正仿宋_GBK" w:hAnsi="方正仿宋_GBK" w:eastAsia="方正仿宋_GBK" w:cs="方正仿宋_GBK"/>
          <w:kern w:val="0"/>
          <w:sz w:val="32"/>
          <w:szCs w:val="32"/>
        </w:rPr>
        <w:t>指单位取得的除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（五）使用非财政拨款结余：</w:t>
      </w:r>
      <w:r>
        <w:rPr>
          <w:rFonts w:hint="eastAsia" w:ascii="方正仿宋_GBK" w:hAnsi="方正仿宋_GBK" w:eastAsia="方正仿宋_GBK" w:cs="方正仿宋_GBK"/>
          <w:kern w:val="0"/>
          <w:sz w:val="32"/>
          <w:szCs w:val="32"/>
        </w:rPr>
        <w:t>指单位在当年的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财政拨款收入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事业收入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经营收入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其他收入</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等不足以安排当年支出的情况下，使用以前年度积累的非财政拨款结余弥补本年度收支缺口的资金。</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；公用经费指政府收支分类经济科目中除</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工资福利支出</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和</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对个人和家庭的补助</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外的其他支出。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（十二）“三公”经费：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pPr>
        <w:pStyle w:val="1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78"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七、决算公开联系方式及信息反馈渠道</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本单位决算公开信息反馈和联系方式：</w:t>
      </w:r>
    </w:p>
    <w:p>
      <w:pPr>
        <w:keepNext w:val="0"/>
        <w:keepLines w:val="0"/>
        <w:pageBreakBefore w:val="0"/>
        <w:widowControl/>
        <w:suppressLineNumbers w:val="0"/>
        <w:kinsoku/>
        <w:wordWrap/>
        <w:overflowPunct/>
        <w:topLinePunct w:val="0"/>
        <w:autoSpaceDE w:val="0"/>
        <w:autoSpaceDN/>
        <w:bidi w:val="0"/>
        <w:adjustRightInd/>
        <w:snapToGrid/>
        <w:spacing w:afterAutospacing="0" w:line="578" w:lineRule="exact"/>
        <w:ind w:left="0" w:firstLine="640" w:firstLineChars="200"/>
        <w:textAlignment w:val="auto"/>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联系人：杨晶</w:t>
      </w:r>
      <w:r>
        <w:rPr>
          <w:rFonts w:hint="default" w:ascii="Times New Roman" w:hAnsi="Times New Roman" w:eastAsia="方正仿宋_GBK" w:cs="Times New Roman"/>
          <w:kern w:val="0"/>
          <w:sz w:val="32"/>
          <w:szCs w:val="32"/>
        </w:rPr>
        <w:t xml:space="preserve">  </w:t>
      </w:r>
      <w:r>
        <w:rPr>
          <w:rFonts w:hint="eastAsia" w:ascii="方正仿宋_GBK" w:hAnsi="方正仿宋_GBK" w:eastAsia="方正仿宋_GBK" w:cs="方正仿宋_GBK"/>
          <w:kern w:val="0"/>
          <w:sz w:val="32"/>
          <w:szCs w:val="32"/>
        </w:rPr>
        <w:t>办公电话：</w:t>
      </w:r>
      <w:r>
        <w:rPr>
          <w:rFonts w:hint="default" w:ascii="Times New Roman" w:hAnsi="Times New Roman" w:eastAsia="方正仿宋_GBK" w:cs="Times New Roman"/>
          <w:kern w:val="0"/>
          <w:sz w:val="32"/>
          <w:szCs w:val="32"/>
        </w:rPr>
        <w:t>023-55633558</w:t>
      </w:r>
    </w:p>
    <w:p>
      <w:pPr>
        <w:pStyle w:val="18"/>
        <w:keepNext w:val="0"/>
        <w:keepLines w:val="0"/>
        <w:pageBreakBefore w:val="0"/>
        <w:widowControl/>
        <w:suppressLineNumbers w:val="0"/>
        <w:kinsoku/>
        <w:wordWrap/>
        <w:overflowPunct/>
        <w:topLinePunct w:val="0"/>
        <w:autoSpaceDN/>
        <w:bidi w:val="0"/>
        <w:adjustRightInd/>
        <w:snapToGrid/>
        <w:spacing w:before="0" w:beforeAutospacing="0" w:afterAutospacing="0"/>
        <w:ind w:left="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sectPr>
      <w:pgSz w:w="11915" w:h="16851"/>
      <w:pgMar w:top="2098" w:right="1531" w:bottom="1984" w:left="1531" w:header="851" w:footer="1474"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D9A35346-269F-4FE0-AA2F-98EB904FE0EA}"/>
  </w:font>
  <w:font w:name="方正仿宋_GBK">
    <w:panose1 w:val="02000000000000000000"/>
    <w:charset w:val="86"/>
    <w:family w:val="auto"/>
    <w:pitch w:val="default"/>
    <w:sig w:usb0="A00002BF" w:usb1="38CF7CFA" w:usb2="00082016" w:usb3="00000000" w:csb0="00040001" w:csb1="00000000"/>
    <w:embedRegular r:id="rId2" w:fontKey="{F0D79BBC-FD76-4075-9EC6-36EF950F7346}"/>
  </w:font>
  <w:font w:name="方正黑体_GBK">
    <w:panose1 w:val="03000509000000000000"/>
    <w:charset w:val="86"/>
    <w:family w:val="auto"/>
    <w:pitch w:val="default"/>
    <w:sig w:usb0="00000001" w:usb1="080E0000" w:usb2="00000000" w:usb3="00000000" w:csb0="00040000" w:csb1="00000000"/>
    <w:embedRegular r:id="rId3" w:fontKey="{BBE502C0-F32A-4B3C-833D-7EE94ECB7821}"/>
  </w:font>
  <w:font w:name="方正楷体_GBK">
    <w:panose1 w:val="02000000000000000000"/>
    <w:charset w:val="86"/>
    <w:family w:val="auto"/>
    <w:pitch w:val="default"/>
    <w:sig w:usb0="800002BF" w:usb1="38CF7CFA" w:usb2="00000016" w:usb3="00000000" w:csb0="00040000" w:csb1="00000000"/>
    <w:embedRegular r:id="rId4" w:fontKey="{C9E7D3B4-8640-42D2-8D21-278A9EFFF50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GVhZjY5ODcxNTU2OGIxZTg3MDNlYWQ5MGJhOGEifQ=="/>
  </w:docVars>
  <w:rsids>
    <w:rsidRoot w:val="00000000"/>
    <w:rsid w:val="10186364"/>
    <w:rsid w:val="444F75A5"/>
    <w:rsid w:val="4E811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3">
    <w:name w:val="16"/>
    <w:basedOn w:val="11"/>
    <w:qFormat/>
    <w:uiPriority w:val="0"/>
    <w:rPr>
      <w:rFonts w:hint="default" w:ascii="Times New Roman" w:hAnsi="Times New Roman" w:cs="Times New Roman"/>
      <w:b/>
      <w:bCs/>
    </w:rPr>
  </w:style>
  <w:style w:type="character" w:customStyle="1" w:styleId="14">
    <w:name w:val="10"/>
    <w:basedOn w:val="11"/>
    <w:qFormat/>
    <w:uiPriority w:val="0"/>
    <w:rPr>
      <w:rFonts w:hint="default" w:ascii="Times New Roman" w:hAnsi="Times New Roman" w:cs="Times New Roman"/>
    </w:rPr>
  </w:style>
  <w:style w:type="character" w:customStyle="1" w:styleId="15">
    <w:name w:val="15"/>
    <w:basedOn w:val="11"/>
    <w:qFormat/>
    <w:uiPriority w:val="0"/>
    <w:rPr>
      <w:rFonts w:hint="default" w:ascii="Times New Roman" w:hAnsi="Times New Roman" w:cs="Times New Roman"/>
    </w:rPr>
  </w:style>
  <w:style w:type="character" w:customStyle="1" w:styleId="16">
    <w:name w:val="17"/>
    <w:basedOn w:val="11"/>
    <w:qFormat/>
    <w:uiPriority w:val="0"/>
    <w:rPr>
      <w:rFonts w:hint="default" w:ascii="Times New Roman" w:hAnsi="Times New Roman" w:cs="Times New Roman"/>
      <w:b/>
      <w:bCs/>
    </w:rPr>
  </w:style>
  <w:style w:type="paragraph" w:customStyle="1" w:styleId="1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2023-10-24T02:42:00Z</dcterms:created>
  <dc:creator>Administrator.PC-20190704LKPV</dc:creator>
  <cp:lastModifiedBy>任以春</cp:lastModifiedBy>
  <dcterms:modified xsi:type="dcterms:W3CDTF">2023-11-01T09:02:56Z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BA8B641B211141CE9BF5949EE0E88F2D_13</vt:lpwstr>
  </property>
</Properties>
</file>