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720" w:lineRule="exact"/>
        <w:ind w:left="0" w:right="0"/>
        <w:jc w:val="center"/>
        <w:textAlignment w:val="auto"/>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rPr>
        <w:t>云阳县渠马镇文化服务中心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720" w:lineRule="exact"/>
        <w:ind w:left="0" w:right="0"/>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2022</w:t>
      </w:r>
      <w:r>
        <w:rPr>
          <w:rFonts w:hint="eastAsia" w:ascii="方正小标宋_GBK" w:hAnsi="方正小标宋_GBK" w:eastAsia="方正小标宋_GBK" w:cs="方正小标宋_GBK"/>
          <w:kern w:val="2"/>
          <w:sz w:val="44"/>
          <w:szCs w:val="44"/>
        </w:rPr>
        <w:t>年度部门决算情况说明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一、部门基本情况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（一）职能职责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负责文化、宣传、广播电视、体育、科技培训、文物、旅游发展、领导交办事项等。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（二）机构设置</w:t>
      </w:r>
    </w:p>
    <w:p>
      <w:pPr>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0"/>
          <w:sz w:val="32"/>
          <w:szCs w:val="32"/>
        </w:rPr>
        <w:t>云阳县渠马镇文化服务中心设有编制数</w:t>
      </w: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个。</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二、部门决算情况说明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（一）收入支出决算总体情况说明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2"/>
          <w:sz w:val="32"/>
          <w:szCs w:val="32"/>
        </w:rPr>
        <w:t>1.</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总体情况。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年度收入总计</w:t>
      </w:r>
      <w:r>
        <w:rPr>
          <w:rFonts w:hint="default" w:ascii="Times New Roman" w:hAnsi="Times New Roman" w:eastAsia="方正仿宋_GBK" w:cs="Times New Roman"/>
          <w:color w:val="000000"/>
          <w:kern w:val="2"/>
          <w:sz w:val="32"/>
          <w:szCs w:val="32"/>
        </w:rPr>
        <w:t>48.30</w:t>
      </w:r>
      <w:r>
        <w:rPr>
          <w:rFonts w:hint="eastAsia" w:ascii="方正仿宋_GBK" w:hAnsi="方正仿宋_GBK" w:eastAsia="方正仿宋_GBK" w:cs="方正仿宋_GBK"/>
          <w:color w:val="000000"/>
          <w:kern w:val="2"/>
          <w:sz w:val="32"/>
          <w:szCs w:val="32"/>
        </w:rPr>
        <w:t>万元，支出总计</w:t>
      </w:r>
      <w:r>
        <w:rPr>
          <w:rFonts w:hint="default" w:ascii="Times New Roman" w:hAnsi="Times New Roman" w:eastAsia="方正仿宋_GBK" w:cs="Times New Roman"/>
          <w:color w:val="000000"/>
          <w:kern w:val="2"/>
          <w:sz w:val="32"/>
          <w:szCs w:val="32"/>
        </w:rPr>
        <w:t>48.30</w:t>
      </w:r>
      <w:r>
        <w:rPr>
          <w:rFonts w:hint="eastAsia" w:ascii="方正仿宋_GBK" w:hAnsi="方正仿宋_GBK" w:eastAsia="方正仿宋_GBK" w:cs="方正仿宋_GBK"/>
          <w:color w:val="000000"/>
          <w:kern w:val="2"/>
          <w:sz w:val="32"/>
          <w:szCs w:val="32"/>
        </w:rPr>
        <w:t>万元。收支较上年决算数增加</w:t>
      </w:r>
      <w:r>
        <w:rPr>
          <w:rFonts w:hint="default" w:ascii="Times New Roman" w:hAnsi="Times New Roman" w:eastAsia="方正仿宋_GBK" w:cs="Times New Roman"/>
          <w:color w:val="000000"/>
          <w:kern w:val="2"/>
          <w:sz w:val="32"/>
          <w:szCs w:val="32"/>
        </w:rPr>
        <w:t>48.30</w:t>
      </w:r>
      <w:r>
        <w:rPr>
          <w:rFonts w:hint="eastAsia" w:ascii="方正仿宋_GBK" w:hAnsi="方正仿宋_GBK" w:eastAsia="方正仿宋_GBK" w:cs="方正仿宋_GBK"/>
          <w:color w:val="000000"/>
          <w:kern w:val="2"/>
          <w:sz w:val="32"/>
          <w:szCs w:val="32"/>
        </w:rPr>
        <w:t>万元</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right="0" w:rightChars="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2"/>
          <w:sz w:val="32"/>
          <w:szCs w:val="32"/>
        </w:rPr>
        <w:t>2.</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收入情况。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年度收入合计</w:t>
      </w:r>
      <w:r>
        <w:rPr>
          <w:rFonts w:hint="default" w:ascii="Times New Roman" w:hAnsi="Times New Roman" w:eastAsia="方正仿宋_GBK" w:cs="Times New Roman"/>
          <w:color w:val="000000"/>
          <w:kern w:val="2"/>
          <w:sz w:val="32"/>
          <w:szCs w:val="32"/>
        </w:rPr>
        <w:t>48.30</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48.30</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，主要原因是上年本单位未单独列决算。其中：财政拨款收入</w:t>
      </w:r>
      <w:r>
        <w:rPr>
          <w:rFonts w:hint="default" w:ascii="Times New Roman" w:hAnsi="Times New Roman" w:eastAsia="方正仿宋_GBK" w:cs="Times New Roman"/>
          <w:color w:val="000000"/>
          <w:kern w:val="2"/>
          <w:sz w:val="32"/>
          <w:szCs w:val="32"/>
        </w:rPr>
        <w:t>48.30</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100%.</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right="0" w:rightChars="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2"/>
          <w:sz w:val="32"/>
          <w:szCs w:val="32"/>
        </w:rPr>
        <w:t xml:space="preserve">3. </w:t>
      </w:r>
      <w:r>
        <w:rPr>
          <w:rFonts w:hint="eastAsia" w:ascii="方正仿宋_GBK" w:hAnsi="方正仿宋_GBK" w:eastAsia="方正仿宋_GBK" w:cs="方正仿宋_GBK"/>
          <w:kern w:val="2"/>
          <w:sz w:val="32"/>
          <w:szCs w:val="32"/>
        </w:rPr>
        <w:t>支出情况。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年度支出合计</w:t>
      </w:r>
      <w:r>
        <w:rPr>
          <w:rFonts w:hint="default" w:ascii="Times New Roman" w:hAnsi="Times New Roman" w:eastAsia="方正仿宋_GBK" w:cs="Times New Roman"/>
          <w:color w:val="000000"/>
          <w:kern w:val="2"/>
          <w:sz w:val="32"/>
          <w:szCs w:val="32"/>
        </w:rPr>
        <w:t>48.30</w:t>
      </w:r>
      <w:r>
        <w:rPr>
          <w:rFonts w:hint="eastAsia" w:ascii="方正仿宋_GBK" w:hAnsi="方正仿宋_GBK" w:eastAsia="方正仿宋_GBK" w:cs="方正仿宋_GBK"/>
          <w:color w:val="000000"/>
          <w:kern w:val="2"/>
          <w:sz w:val="32"/>
          <w:szCs w:val="32"/>
        </w:rPr>
        <w:t>万元，较上年决算增加</w:t>
      </w:r>
      <w:r>
        <w:rPr>
          <w:rFonts w:hint="default" w:ascii="Times New Roman" w:hAnsi="Times New Roman" w:eastAsia="方正仿宋_GBK" w:cs="Times New Roman"/>
          <w:color w:val="000000"/>
          <w:kern w:val="2"/>
          <w:sz w:val="32"/>
          <w:szCs w:val="32"/>
        </w:rPr>
        <w:t>48.30</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，主要原因是上年本单位未单独列决算。其中：基本支出</w:t>
      </w:r>
      <w:r>
        <w:rPr>
          <w:rFonts w:hint="default" w:ascii="Times New Roman" w:hAnsi="Times New Roman" w:eastAsia="方正仿宋_GBK" w:cs="Times New Roman"/>
          <w:color w:val="000000"/>
          <w:kern w:val="2"/>
          <w:sz w:val="32"/>
          <w:szCs w:val="32"/>
        </w:rPr>
        <w:t>48.30</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（二）财政拨款收入支出决算总体情况说明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年度财政拨款收、支总计</w:t>
      </w:r>
      <w:r>
        <w:rPr>
          <w:rFonts w:hint="default" w:ascii="Times New Roman" w:hAnsi="Times New Roman" w:eastAsia="方正仿宋_GBK" w:cs="Times New Roman"/>
          <w:color w:val="000000"/>
          <w:kern w:val="2"/>
          <w:sz w:val="32"/>
          <w:szCs w:val="32"/>
        </w:rPr>
        <w:t>48.30</w:t>
      </w:r>
      <w:r>
        <w:rPr>
          <w:rFonts w:hint="eastAsia" w:ascii="方正仿宋_GBK" w:hAnsi="方正仿宋_GBK" w:eastAsia="方正仿宋_GBK" w:cs="方正仿宋_GBK"/>
          <w:color w:val="000000"/>
          <w:kern w:val="2"/>
          <w:sz w:val="32"/>
          <w:szCs w:val="32"/>
        </w:rPr>
        <w:t>万元。与</w:t>
      </w:r>
      <w:r>
        <w:rPr>
          <w:rFonts w:hint="default" w:ascii="Times New Roman" w:hAnsi="Times New Roman" w:eastAsia="方正仿宋_GBK" w:cs="Times New Roman"/>
          <w:color w:val="000000"/>
          <w:kern w:val="2"/>
          <w:sz w:val="32"/>
          <w:szCs w:val="32"/>
        </w:rPr>
        <w:t>2021</w:t>
      </w:r>
      <w:r>
        <w:rPr>
          <w:rFonts w:hint="eastAsia" w:ascii="方正仿宋_GBK" w:hAnsi="方正仿宋_GBK" w:eastAsia="方正仿宋_GBK" w:cs="方正仿宋_GBK"/>
          <w:color w:val="000000"/>
          <w:kern w:val="2"/>
          <w:sz w:val="32"/>
          <w:szCs w:val="32"/>
        </w:rPr>
        <w:t>年相比，财政拨款收、支总计各增加</w:t>
      </w:r>
      <w:r>
        <w:rPr>
          <w:rFonts w:hint="default" w:ascii="Times New Roman" w:hAnsi="Times New Roman" w:eastAsia="方正仿宋_GBK" w:cs="Times New Roman"/>
          <w:color w:val="000000"/>
          <w:kern w:val="2"/>
          <w:sz w:val="32"/>
          <w:szCs w:val="32"/>
        </w:rPr>
        <w:t>48.30</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（三）一般公共预算财政拨款收入支出决算情况说明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2"/>
          <w:sz w:val="32"/>
          <w:szCs w:val="32"/>
        </w:rPr>
        <w:t>1.</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收入情况。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年度一般公共预算财政拨款收入</w:t>
      </w:r>
      <w:r>
        <w:rPr>
          <w:rFonts w:hint="default" w:ascii="Times New Roman" w:hAnsi="Times New Roman" w:eastAsia="方正仿宋_GBK" w:cs="Times New Roman"/>
          <w:color w:val="000000"/>
          <w:kern w:val="2"/>
          <w:sz w:val="32"/>
          <w:szCs w:val="32"/>
        </w:rPr>
        <w:t>48.30</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48.30</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。主要原因是上年本单位未单独列决算。较年初预算数增加</w:t>
      </w:r>
      <w:r>
        <w:rPr>
          <w:rFonts w:hint="default" w:ascii="Times New Roman" w:hAnsi="Times New Roman" w:eastAsia="方正仿宋_GBK" w:cs="Times New Roman"/>
          <w:color w:val="000000"/>
          <w:kern w:val="2"/>
          <w:sz w:val="32"/>
          <w:szCs w:val="32"/>
        </w:rPr>
        <w:t>16.17</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50.3%</w:t>
      </w:r>
      <w:r>
        <w:rPr>
          <w:rFonts w:hint="eastAsia" w:ascii="方正仿宋_GBK" w:hAnsi="方正仿宋_GBK" w:eastAsia="方正仿宋_GBK" w:cs="方正仿宋_GBK"/>
          <w:color w:val="000000"/>
          <w:kern w:val="2"/>
          <w:sz w:val="32"/>
          <w:szCs w:val="32"/>
        </w:rPr>
        <w:t>。主要原因是文化活动自编项目预算安排增加。</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right="0" w:rightChars="0" w:firstLine="640" w:firstLineChars="200"/>
        <w:jc w:val="both"/>
        <w:textAlignment w:val="auto"/>
        <w:rPr>
          <w:rFonts w:hint="eastAsia" w:ascii="方正仿宋_GBK" w:hAnsi="方正仿宋_GBK" w:eastAsia="方正仿宋_GBK" w:cs="方正仿宋_GBK"/>
          <w:color w:val="000000"/>
          <w:kern w:val="2"/>
          <w:sz w:val="32"/>
          <w:szCs w:val="32"/>
          <w:lang w:val="en-US" w:eastAsia="zh-CN"/>
        </w:rPr>
      </w:pPr>
      <w:r>
        <w:rPr>
          <w:rFonts w:hint="default" w:ascii="Times New Roman" w:hAnsi="Times New Roman" w:eastAsia="方正仿宋_GBK" w:cs="Times New Roman"/>
          <w:kern w:val="2"/>
          <w:sz w:val="32"/>
          <w:szCs w:val="32"/>
        </w:rPr>
        <w:t xml:space="preserve">2. </w:t>
      </w:r>
      <w:r>
        <w:rPr>
          <w:rFonts w:hint="eastAsia" w:ascii="方正仿宋_GBK" w:hAnsi="方正仿宋_GBK" w:eastAsia="方正仿宋_GBK" w:cs="方正仿宋_GBK"/>
          <w:kern w:val="2"/>
          <w:sz w:val="32"/>
          <w:szCs w:val="32"/>
        </w:rPr>
        <w:t>支出情况。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年度一般公共预算财政拨款支出</w:t>
      </w:r>
      <w:r>
        <w:rPr>
          <w:rFonts w:hint="default" w:ascii="Times New Roman" w:hAnsi="Times New Roman" w:eastAsia="方正仿宋_GBK" w:cs="Times New Roman"/>
          <w:color w:val="000000"/>
          <w:kern w:val="2"/>
          <w:sz w:val="32"/>
          <w:szCs w:val="32"/>
        </w:rPr>
        <w:t>48.30</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48.30</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。主要原因是上年本单位未单独列决算。较年初预算数增加</w:t>
      </w:r>
      <w:r>
        <w:rPr>
          <w:rFonts w:hint="default" w:ascii="Times New Roman" w:hAnsi="Times New Roman" w:eastAsia="方正仿宋_GBK" w:cs="Times New Roman"/>
          <w:color w:val="000000"/>
          <w:kern w:val="2"/>
          <w:sz w:val="32"/>
          <w:szCs w:val="32"/>
        </w:rPr>
        <w:t>16.17</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50.3%</w:t>
      </w:r>
      <w:r>
        <w:rPr>
          <w:rFonts w:hint="eastAsia" w:ascii="方正仿宋_GBK" w:hAnsi="方正仿宋_GBK" w:eastAsia="方正仿宋_GBK" w:cs="方正仿宋_GBK"/>
          <w:color w:val="000000"/>
          <w:kern w:val="2"/>
          <w:sz w:val="32"/>
          <w:szCs w:val="32"/>
        </w:rPr>
        <w:t>。主要原因是文化活动自编项目支出增加</w:t>
      </w:r>
      <w:r>
        <w:rPr>
          <w:rFonts w:hint="eastAsia" w:ascii="方正仿宋_GBK" w:hAnsi="方正仿宋_GBK" w:eastAsia="方正仿宋_GBK" w:cs="方正仿宋_GBK"/>
          <w:color w:val="000000"/>
          <w:kern w:val="2"/>
          <w:sz w:val="32"/>
          <w:szCs w:val="32"/>
          <w:lang w:val="en-US" w:eastAsia="zh-CN"/>
        </w:rPr>
        <w:t>.</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right="0" w:rightChars="0" w:firstLine="640" w:firstLineChars="200"/>
        <w:jc w:val="both"/>
        <w:textAlignment w:val="auto"/>
        <w:rPr>
          <w:rFonts w:hint="eastAsia" w:ascii="方正仿宋_GBK" w:hAnsi="方正仿宋_GBK" w:eastAsia="方正仿宋_GBK" w:cs="方正仿宋_GBK"/>
          <w:color w:val="000000"/>
          <w:kern w:val="2"/>
          <w:sz w:val="32"/>
          <w:szCs w:val="32"/>
          <w:lang w:val="en-US" w:eastAsia="zh-CN"/>
        </w:rPr>
      </w:pPr>
      <w:r>
        <w:rPr>
          <w:rFonts w:hint="default" w:ascii="Times New Roman" w:hAnsi="Times New Roman" w:eastAsia="方正仿宋_GBK" w:cs="Times New Roman"/>
          <w:kern w:val="2"/>
          <w:sz w:val="32"/>
          <w:szCs w:val="32"/>
        </w:rPr>
        <w:t>3.</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结转结余情况。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年度年末一般公共预算财政拨款无结转和结余。</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Times New Roman" w:hAnsi="Times New Roman" w:eastAsia="方正仿宋_GBK" w:cs="Times New Roman"/>
          <w:kern w:val="2"/>
          <w:sz w:val="32"/>
          <w:szCs w:val="32"/>
          <w:lang w:val="en-US" w:eastAsia="zh-CN"/>
        </w:rPr>
        <w:t>4</w:t>
      </w:r>
      <w:r>
        <w:rPr>
          <w:rFonts w:hint="default"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比较情况。</w:t>
      </w:r>
      <w:r>
        <w:rPr>
          <w:rFonts w:hint="eastAsia" w:ascii="方正仿宋_GBK" w:hAnsi="方正仿宋_GBK" w:eastAsia="方正仿宋_GBK" w:cs="方正仿宋_GBK"/>
          <w:color w:val="000000"/>
          <w:kern w:val="2"/>
          <w:sz w:val="32"/>
          <w:szCs w:val="32"/>
        </w:rPr>
        <w:t>本部门</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年度一般公共预算财政拨款支出主要用于以下几个方面：（</w:t>
      </w:r>
      <w:r>
        <w:rPr>
          <w:rFonts w:hint="default" w:ascii="Times New Roman" w:hAnsi="Times New Roman" w:eastAsia="方正仿宋_GBK" w:cs="Times New Roman"/>
          <w:color w:val="000000"/>
          <w:kern w:val="2"/>
          <w:sz w:val="32"/>
          <w:szCs w:val="32"/>
        </w:rPr>
        <w:t>1</w:t>
      </w:r>
      <w:r>
        <w:rPr>
          <w:rFonts w:hint="eastAsia" w:ascii="方正仿宋_GBK" w:hAnsi="方正仿宋_GBK" w:eastAsia="方正仿宋_GBK" w:cs="方正仿宋_GBK"/>
          <w:color w:val="000000"/>
          <w:kern w:val="2"/>
          <w:sz w:val="32"/>
          <w:szCs w:val="32"/>
        </w:rPr>
        <w:t>）文化旅游体育与传媒支出</w:t>
      </w:r>
      <w:r>
        <w:rPr>
          <w:rFonts w:hint="default" w:ascii="Times New Roman" w:hAnsi="Times New Roman" w:eastAsia="方正仿宋_GBK" w:cs="Times New Roman"/>
          <w:color w:val="000000"/>
          <w:kern w:val="2"/>
          <w:sz w:val="32"/>
          <w:szCs w:val="32"/>
        </w:rPr>
        <w:t>35.96</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74.5%</w:t>
      </w:r>
      <w:r>
        <w:rPr>
          <w:rFonts w:hint="eastAsia" w:ascii="方正仿宋_GBK" w:hAnsi="方正仿宋_GBK" w:eastAsia="方正仿宋_GBK" w:cs="方正仿宋_GBK"/>
          <w:color w:val="000000"/>
          <w:kern w:val="2"/>
          <w:sz w:val="32"/>
          <w:szCs w:val="32"/>
        </w:rPr>
        <w:t>，较年初预算数增加</w:t>
      </w:r>
      <w:r>
        <w:rPr>
          <w:rFonts w:hint="default" w:ascii="Times New Roman" w:hAnsi="Times New Roman" w:eastAsia="方正仿宋_GBK" w:cs="Times New Roman"/>
          <w:color w:val="000000"/>
          <w:kern w:val="2"/>
          <w:sz w:val="32"/>
          <w:szCs w:val="32"/>
        </w:rPr>
        <w:t>10.53</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41.4%</w:t>
      </w:r>
      <w:r>
        <w:rPr>
          <w:rFonts w:hint="eastAsia" w:ascii="方正仿宋_GBK" w:hAnsi="方正仿宋_GBK" w:eastAsia="方正仿宋_GBK" w:cs="方正仿宋_GBK"/>
          <w:color w:val="000000"/>
          <w:kern w:val="2"/>
          <w:sz w:val="32"/>
          <w:szCs w:val="32"/>
        </w:rPr>
        <w:t>，主要原因是文化活动自编项目预算安排增加。（</w:t>
      </w:r>
      <w:r>
        <w:rPr>
          <w:rFonts w:hint="default" w:ascii="Times New Roman" w:hAnsi="Times New Roman" w:eastAsia="方正仿宋_GBK" w:cs="Times New Roman"/>
          <w:color w:val="000000"/>
          <w:kern w:val="2"/>
          <w:sz w:val="32"/>
          <w:szCs w:val="32"/>
        </w:rPr>
        <w:t>2</w:t>
      </w:r>
      <w:r>
        <w:rPr>
          <w:rFonts w:hint="eastAsia" w:ascii="方正仿宋_GBK" w:hAnsi="方正仿宋_GBK" w:eastAsia="方正仿宋_GBK" w:cs="方正仿宋_GBK"/>
          <w:color w:val="000000"/>
          <w:kern w:val="2"/>
          <w:sz w:val="32"/>
          <w:szCs w:val="32"/>
        </w:rPr>
        <w:t>）社会保障与就业支出</w:t>
      </w:r>
      <w:r>
        <w:rPr>
          <w:rFonts w:hint="default" w:ascii="Times New Roman" w:hAnsi="Times New Roman" w:eastAsia="方正仿宋_GBK" w:cs="Times New Roman"/>
          <w:color w:val="000000"/>
          <w:kern w:val="2"/>
          <w:sz w:val="32"/>
          <w:szCs w:val="32"/>
        </w:rPr>
        <w:t>7.85</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16.3%</w:t>
      </w:r>
      <w:r>
        <w:rPr>
          <w:rFonts w:hint="eastAsia" w:ascii="方正仿宋_GBK" w:hAnsi="方正仿宋_GBK" w:eastAsia="方正仿宋_GBK" w:cs="方正仿宋_GBK"/>
          <w:color w:val="000000"/>
          <w:kern w:val="2"/>
          <w:sz w:val="32"/>
          <w:szCs w:val="32"/>
        </w:rPr>
        <w:t>，较年初预算数增加</w:t>
      </w:r>
      <w:r>
        <w:rPr>
          <w:rFonts w:hint="default" w:ascii="Times New Roman" w:hAnsi="Times New Roman" w:eastAsia="方正仿宋_GBK" w:cs="Times New Roman"/>
          <w:color w:val="000000"/>
          <w:kern w:val="2"/>
          <w:sz w:val="32"/>
          <w:szCs w:val="32"/>
        </w:rPr>
        <w:t>4.52</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135.7%</w:t>
      </w:r>
      <w:r>
        <w:rPr>
          <w:rFonts w:hint="eastAsia" w:ascii="方正仿宋_GBK" w:hAnsi="方正仿宋_GBK" w:eastAsia="方正仿宋_GBK" w:cs="方正仿宋_GBK"/>
          <w:color w:val="000000"/>
          <w:kern w:val="2"/>
          <w:sz w:val="32"/>
          <w:szCs w:val="32"/>
        </w:rPr>
        <w:t>，主要原因是在职人员社保有所变化。（</w:t>
      </w:r>
      <w:r>
        <w:rPr>
          <w:rFonts w:hint="default" w:ascii="Times New Roman" w:hAnsi="Times New Roman" w:eastAsia="方正仿宋_GBK" w:cs="Times New Roman"/>
          <w:color w:val="000000"/>
          <w:kern w:val="2"/>
          <w:sz w:val="32"/>
          <w:szCs w:val="32"/>
        </w:rPr>
        <w:t>3</w:t>
      </w:r>
      <w:r>
        <w:rPr>
          <w:rFonts w:hint="eastAsia" w:ascii="方正仿宋_GBK" w:hAnsi="方正仿宋_GBK" w:eastAsia="方正仿宋_GBK" w:cs="方正仿宋_GBK"/>
          <w:color w:val="000000"/>
          <w:kern w:val="2"/>
          <w:sz w:val="32"/>
          <w:szCs w:val="32"/>
        </w:rPr>
        <w:t>）卫生健康支出</w:t>
      </w:r>
      <w:r>
        <w:rPr>
          <w:rFonts w:hint="default" w:ascii="Times New Roman" w:hAnsi="Times New Roman" w:eastAsia="方正仿宋_GBK" w:cs="Times New Roman"/>
          <w:color w:val="000000"/>
          <w:kern w:val="2"/>
          <w:sz w:val="32"/>
          <w:szCs w:val="32"/>
        </w:rPr>
        <w:t>2.21</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4.6%</w:t>
      </w:r>
      <w:r>
        <w:rPr>
          <w:rFonts w:hint="eastAsia" w:ascii="方正仿宋_GBK" w:hAnsi="方正仿宋_GBK" w:eastAsia="方正仿宋_GBK" w:cs="方正仿宋_GBK"/>
          <w:color w:val="000000"/>
          <w:kern w:val="2"/>
          <w:sz w:val="32"/>
          <w:szCs w:val="32"/>
        </w:rPr>
        <w:t>，较年初预算数增加</w:t>
      </w:r>
      <w:r>
        <w:rPr>
          <w:rFonts w:hint="default" w:ascii="Times New Roman" w:hAnsi="Times New Roman" w:eastAsia="方正仿宋_GBK" w:cs="Times New Roman"/>
          <w:color w:val="000000"/>
          <w:kern w:val="2"/>
          <w:sz w:val="32"/>
          <w:szCs w:val="32"/>
        </w:rPr>
        <w:t>0.50</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29.2%</w:t>
      </w:r>
      <w:r>
        <w:rPr>
          <w:rFonts w:hint="eastAsia" w:ascii="方正仿宋_GBK" w:hAnsi="方正仿宋_GBK" w:eastAsia="方正仿宋_GBK" w:cs="方正仿宋_GBK"/>
          <w:color w:val="000000"/>
          <w:kern w:val="2"/>
          <w:sz w:val="32"/>
          <w:szCs w:val="32"/>
        </w:rPr>
        <w:t>，主要原因是疫情防控支出增加。（</w:t>
      </w:r>
      <w:r>
        <w:rPr>
          <w:rFonts w:hint="default" w:ascii="Times New Roman" w:hAnsi="Times New Roman" w:eastAsia="方正仿宋_GBK" w:cs="Times New Roman"/>
          <w:color w:val="000000"/>
          <w:kern w:val="2"/>
          <w:sz w:val="32"/>
          <w:szCs w:val="32"/>
        </w:rPr>
        <w:t>4</w:t>
      </w:r>
      <w:r>
        <w:rPr>
          <w:rFonts w:hint="eastAsia" w:ascii="方正仿宋_GBK" w:hAnsi="方正仿宋_GBK" w:eastAsia="方正仿宋_GBK" w:cs="方正仿宋_GBK"/>
          <w:color w:val="000000"/>
          <w:kern w:val="2"/>
          <w:sz w:val="32"/>
          <w:szCs w:val="32"/>
        </w:rPr>
        <w:t>）住房保障支出</w:t>
      </w:r>
      <w:r>
        <w:rPr>
          <w:rFonts w:hint="default" w:ascii="Times New Roman" w:hAnsi="Times New Roman" w:eastAsia="方正仿宋_GBK" w:cs="Times New Roman"/>
          <w:color w:val="000000"/>
          <w:kern w:val="2"/>
          <w:sz w:val="32"/>
          <w:szCs w:val="32"/>
        </w:rPr>
        <w:t>2.27</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4.7%</w:t>
      </w:r>
      <w:r>
        <w:rPr>
          <w:rFonts w:hint="eastAsia" w:ascii="方正仿宋_GBK" w:hAnsi="方正仿宋_GBK" w:eastAsia="方正仿宋_GBK" w:cs="方正仿宋_GBK"/>
          <w:color w:val="000000"/>
          <w:kern w:val="2"/>
          <w:sz w:val="32"/>
          <w:szCs w:val="32"/>
        </w:rPr>
        <w:t>，较年初预算数增加</w:t>
      </w:r>
      <w:r>
        <w:rPr>
          <w:rFonts w:hint="default" w:ascii="Times New Roman" w:hAnsi="Times New Roman" w:eastAsia="方正仿宋_GBK" w:cs="Times New Roman"/>
          <w:color w:val="000000"/>
          <w:kern w:val="2"/>
          <w:sz w:val="32"/>
          <w:szCs w:val="32"/>
        </w:rPr>
        <w:t>0.60</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35.9%</w:t>
      </w:r>
      <w:r>
        <w:rPr>
          <w:rFonts w:hint="eastAsia" w:ascii="方正仿宋_GBK" w:hAnsi="方正仿宋_GBK" w:eastAsia="方正仿宋_GBK" w:cs="方正仿宋_GBK"/>
          <w:color w:val="000000"/>
          <w:kern w:val="2"/>
          <w:sz w:val="32"/>
          <w:szCs w:val="32"/>
        </w:rPr>
        <w:t>，主要原因是住房公积金基数调整。</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（四）一般公共预算财政拨款基本支出决算情况说明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年度一般公共预算财政拨款基本支出</w:t>
      </w:r>
      <w:r>
        <w:rPr>
          <w:rFonts w:hint="default" w:ascii="Times New Roman" w:hAnsi="Times New Roman" w:eastAsia="方正仿宋_GBK" w:cs="Times New Roman"/>
          <w:color w:val="000000"/>
          <w:kern w:val="2"/>
          <w:sz w:val="32"/>
          <w:szCs w:val="32"/>
        </w:rPr>
        <w:t>48.30</w:t>
      </w:r>
      <w:r>
        <w:rPr>
          <w:rFonts w:hint="eastAsia" w:ascii="方正仿宋_GBK" w:hAnsi="方正仿宋_GBK" w:eastAsia="方正仿宋_GBK" w:cs="方正仿宋_GBK"/>
          <w:color w:val="000000"/>
          <w:kern w:val="2"/>
          <w:sz w:val="32"/>
          <w:szCs w:val="32"/>
        </w:rPr>
        <w:t>万元。其中：人员经费</w:t>
      </w:r>
      <w:r>
        <w:rPr>
          <w:rFonts w:hint="default" w:ascii="Times New Roman" w:hAnsi="Times New Roman" w:eastAsia="方正仿宋_GBK" w:cs="Times New Roman"/>
          <w:color w:val="000000"/>
          <w:kern w:val="2"/>
          <w:sz w:val="32"/>
          <w:szCs w:val="32"/>
        </w:rPr>
        <w:t>48.16</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48.16</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，主要原因是上年本单位未单独列决算。人员经费用途主要包括基本工资、津贴补贴、绩效工资、社会保障缴费、住房公积金等。公用经费</w:t>
      </w:r>
      <w:r>
        <w:rPr>
          <w:rFonts w:hint="default" w:ascii="Times New Roman" w:hAnsi="Times New Roman" w:eastAsia="方正仿宋_GBK" w:cs="Times New Roman"/>
          <w:color w:val="000000"/>
          <w:kern w:val="2"/>
          <w:sz w:val="32"/>
          <w:szCs w:val="32"/>
        </w:rPr>
        <w:t>0.14</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0.14</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，主要原因是上年本单位未单独列决算。公用经费用途主要包括办公费、印刷费、差旅费、物业管理费、会议费、培训费、公务接待费、公务用车运行费、维修（护）费、劳务费等。</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2"/>
          <w:sz w:val="32"/>
          <w:szCs w:val="32"/>
        </w:rPr>
        <w:t>（五）政府性基金预算收支决算情况说明</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年度无政府性基金预算财政拨款收支。</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（六）国有资本经营预算财政拨款支出决算情况说明</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年度无国有资本经营预算财政拨款支出。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kern w:val="2"/>
          <w:sz w:val="32"/>
          <w:szCs w:val="32"/>
        </w:rPr>
        <w:t>三、</w:t>
      </w:r>
      <w:r>
        <w:rPr>
          <w:rFonts w:hint="default" w:ascii="Times New Roman" w:hAnsi="Times New Roman" w:eastAsia="方正黑体_GBK" w:cs="Times New Roman"/>
          <w:kern w:val="2"/>
          <w:sz w:val="32"/>
          <w:szCs w:val="32"/>
        </w:rPr>
        <w:t>“</w:t>
      </w:r>
      <w:r>
        <w:rPr>
          <w:rFonts w:hint="eastAsia" w:ascii="方正黑体_GBK" w:hAnsi="方正黑体_GBK" w:eastAsia="方正黑体_GBK" w:cs="方正黑体_GBK"/>
          <w:kern w:val="2"/>
          <w:sz w:val="32"/>
          <w:szCs w:val="32"/>
        </w:rPr>
        <w:t>三公</w:t>
      </w:r>
      <w:r>
        <w:rPr>
          <w:rFonts w:hint="default" w:ascii="Times New Roman" w:hAnsi="Times New Roman" w:eastAsia="方正黑体_GBK" w:cs="Times New Roman"/>
          <w:kern w:val="2"/>
          <w:sz w:val="32"/>
          <w:szCs w:val="32"/>
        </w:rPr>
        <w:t>”</w:t>
      </w:r>
      <w:r>
        <w:rPr>
          <w:rFonts w:hint="eastAsia" w:ascii="方正黑体_GBK" w:hAnsi="方正黑体_GBK" w:eastAsia="方正黑体_GBK" w:cs="方正黑体_GBK"/>
          <w:kern w:val="2"/>
          <w:sz w:val="32"/>
          <w:szCs w:val="32"/>
        </w:rPr>
        <w:t>经费情况说明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（一）“三公”经费支出总体情况说明</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三公</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经费支出。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（二）“三公”经费分项支出情况</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年度未发生因公出国（境）费用支出。</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年度未发生公务车购置支出。</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年度未发生公务车运行维护支出。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年度未发生公务接待支出。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（三）</w:t>
      </w:r>
      <w:r>
        <w:rPr>
          <w:rFonts w:hint="default" w:ascii="Times New Roman" w:hAnsi="Times New Roman" w:eastAsia="方正楷体_GBK" w:cs="Times New Roman"/>
          <w:kern w:val="0"/>
          <w:sz w:val="32"/>
          <w:szCs w:val="32"/>
        </w:rPr>
        <w:t>“</w:t>
      </w:r>
      <w:r>
        <w:rPr>
          <w:rFonts w:hint="eastAsia" w:ascii="方正楷体_GBK" w:hAnsi="方正楷体_GBK" w:eastAsia="方正楷体_GBK" w:cs="方正楷体_GBK"/>
          <w:kern w:val="0"/>
          <w:sz w:val="32"/>
          <w:szCs w:val="32"/>
        </w:rPr>
        <w:t>三公</w:t>
      </w:r>
      <w:r>
        <w:rPr>
          <w:rFonts w:hint="default" w:ascii="Times New Roman" w:hAnsi="Times New Roman" w:eastAsia="方正楷体_GBK" w:cs="Times New Roman"/>
          <w:kern w:val="0"/>
          <w:sz w:val="32"/>
          <w:szCs w:val="32"/>
        </w:rPr>
        <w:t>”</w:t>
      </w:r>
      <w:r>
        <w:rPr>
          <w:rFonts w:hint="eastAsia" w:ascii="方正楷体_GBK" w:hAnsi="方正楷体_GBK" w:eastAsia="方正楷体_GBK" w:cs="方正楷体_GBK"/>
          <w:kern w:val="0"/>
          <w:sz w:val="32"/>
          <w:szCs w:val="32"/>
        </w:rPr>
        <w:t>经费实物量情况</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方正仿宋_GBK" w:hAnsi="方正仿宋_GBK" w:eastAsia="方正仿宋_GBK" w:cs="方正仿宋_GBK"/>
          <w:color w:val="000000"/>
          <w:kern w:val="2"/>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年本单位因公出国（境）共计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个团组，</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人；公务用车购置</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辆，公务车保有量为</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辆；国内公务接待</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批次</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人，其中：国内外事接待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人；国（境）外公务接待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年本部门人均接待费</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元，车均购置费</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万元，车均维护费</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万元。</w:t>
      </w:r>
      <w:bookmarkStart w:id="0" w:name="_GoBack"/>
      <w:bookmarkEnd w:id="0"/>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四、其他需要说明的事项</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（一）财政拨款会议费和培训费情况说明</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年度未发生会议费及培训费支出。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（二）机关运行经费支出情况说明</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年度未发生运行经费支出。</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（三）国有资产占用情况说明</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color w:val="000000"/>
          <w:kern w:val="2"/>
          <w:sz w:val="32"/>
          <w:szCs w:val="32"/>
        </w:rPr>
        <w:t>本单位无国有资产。</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（四）政府采购支出说明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年度本单位未发生政府采购事项，无相关经费支出。</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五、预算绩效管理情况说明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年度本单位无预算绩效管理项目。</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六、专业名词解释</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Style w:val="12"/>
          <w:rFonts w:hint="eastAsia" w:ascii="方正楷体_GBK" w:hAnsi="方正楷体_GBK" w:eastAsia="方正楷体_GBK" w:cs="方正楷体_GBK"/>
          <w:b w:val="0"/>
          <w:bCs w:val="0"/>
          <w:sz w:val="32"/>
          <w:szCs w:val="32"/>
          <w:shd w:val="clear" w:fill="FFFFFF"/>
        </w:rPr>
        <w:t>（</w:t>
      </w:r>
      <w:r>
        <w:rPr>
          <w:rFonts w:hint="eastAsia" w:ascii="方正楷体_GBK" w:hAnsi="方正楷体_GBK" w:eastAsia="方正楷体_GBK" w:cs="方正楷体_GBK"/>
          <w:b w:val="0"/>
          <w:bCs w:val="0"/>
          <w:kern w:val="2"/>
          <w:sz w:val="32"/>
          <w:szCs w:val="32"/>
        </w:rPr>
        <w:t>一）财政拨款收入：</w:t>
      </w:r>
      <w:r>
        <w:rPr>
          <w:rFonts w:hint="eastAsia" w:ascii="方正仿宋_GBK" w:hAnsi="方正仿宋_GBK" w:eastAsia="方正仿宋_GBK" w:cs="方正仿宋_GBK"/>
          <w:kern w:val="0"/>
          <w:sz w:val="32"/>
          <w:szCs w:val="32"/>
        </w:rPr>
        <w:t>指本年度从本级财政部门取得的财政拨款，包括一般公共预算财政拨款和政府性基金预算财政拨款。</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（二）事业收入：</w:t>
      </w:r>
      <w:r>
        <w:rPr>
          <w:rFonts w:hint="eastAsia" w:ascii="方正仿宋_GBK" w:hAnsi="方正仿宋_GBK" w:eastAsia="方正仿宋_GBK" w:cs="方正仿宋_GBK"/>
          <w:kern w:val="0"/>
          <w:sz w:val="32"/>
          <w:szCs w:val="32"/>
        </w:rPr>
        <w:t>指事业单位开展专业业务活动及其辅助活动取得的现金流入；事业单位收到的财政专户实际核拨的教育收费等资金在此反映。</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（三）经营收入：</w:t>
      </w:r>
      <w:r>
        <w:rPr>
          <w:rFonts w:hint="eastAsia" w:ascii="方正仿宋_GBK" w:hAnsi="方正仿宋_GBK" w:eastAsia="方正仿宋_GBK" w:cs="方正仿宋_GBK"/>
          <w:kern w:val="0"/>
          <w:sz w:val="32"/>
          <w:szCs w:val="32"/>
        </w:rPr>
        <w:t>指事业单位在专业业务活动及其辅助活动之外开展非独立核算经营活动取得的现金流入。</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（四）其他收入：</w:t>
      </w:r>
      <w:r>
        <w:rPr>
          <w:rFonts w:hint="eastAsia" w:ascii="方正仿宋_GBK" w:hAnsi="方正仿宋_GBK" w:eastAsia="方正仿宋_GBK" w:cs="方正仿宋_GBK"/>
          <w:kern w:val="0"/>
          <w:sz w:val="32"/>
          <w:szCs w:val="32"/>
        </w:rPr>
        <w:t>指单位取得的除</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财政拨款收入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事业收入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经营收入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（五）使用非财政拨款结余：</w:t>
      </w:r>
      <w:r>
        <w:rPr>
          <w:rFonts w:hint="eastAsia" w:ascii="方正仿宋_GBK" w:hAnsi="方正仿宋_GBK" w:eastAsia="方正仿宋_GBK" w:cs="方正仿宋_GBK"/>
          <w:kern w:val="0"/>
          <w:sz w:val="32"/>
          <w:szCs w:val="32"/>
        </w:rPr>
        <w:t>指单位在当年的</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财政拨款收入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事业收入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经营收入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其他收入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等不足以安排当年支出的情况下，使用以前年度积累的非财政拨款结余弥补本年度收支缺口的资金。</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（六）年初结转和结余：</w:t>
      </w:r>
      <w:r>
        <w:rPr>
          <w:rFonts w:hint="eastAsia" w:ascii="方正仿宋_GBK" w:hAnsi="方正仿宋_GBK" w:eastAsia="方正仿宋_GBK" w:cs="方正仿宋_GBK"/>
          <w:kern w:val="0"/>
          <w:sz w:val="32"/>
          <w:szCs w:val="32"/>
        </w:rPr>
        <w:t>指单位上年结转本年使用的基本支出结转、项目支出结转和结余、经营结余。</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（七）结余分配：</w:t>
      </w:r>
      <w:r>
        <w:rPr>
          <w:rFonts w:hint="eastAsia" w:ascii="方正仿宋_GBK" w:hAnsi="方正仿宋_GBK" w:eastAsia="方正仿宋_GBK" w:cs="方正仿宋_GBK"/>
          <w:kern w:val="0"/>
          <w:sz w:val="32"/>
          <w:szCs w:val="32"/>
        </w:rPr>
        <w:t>指单位按照国家有关规定，缴纳所得税、提取专用基金、转入非财政拨款结余等当年结余的分配情况。</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（八）年末结转和结余：</w:t>
      </w:r>
      <w:r>
        <w:rPr>
          <w:rFonts w:hint="eastAsia" w:ascii="方正仿宋_GBK" w:hAnsi="方正仿宋_GBK" w:eastAsia="方正仿宋_GBK" w:cs="方正仿宋_GBK"/>
          <w:kern w:val="0"/>
          <w:sz w:val="32"/>
          <w:szCs w:val="32"/>
        </w:rPr>
        <w:t>指单位结转下年的基本支出结转、项目支出结转和结余、经营结余。</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（九）基本支出：</w:t>
      </w:r>
      <w:r>
        <w:rPr>
          <w:rFonts w:hint="eastAsia" w:ascii="方正仿宋_GBK" w:hAnsi="方正仿宋_GBK" w:eastAsia="方正仿宋_GBK" w:cs="方正仿宋_GBK"/>
          <w:kern w:val="0"/>
          <w:sz w:val="32"/>
          <w:szCs w:val="32"/>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工资福利支出</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和</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对个人和家庭的补助</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；公用经费指政府收支分类经济科目中除</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工资福利支出</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和</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对个人和家庭的补助</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外的其他支出。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（十）项目支出：</w:t>
      </w:r>
      <w:r>
        <w:rPr>
          <w:rFonts w:hint="eastAsia" w:ascii="方正仿宋_GBK" w:hAnsi="方正仿宋_GBK" w:eastAsia="方正仿宋_GBK" w:cs="方正仿宋_GBK"/>
          <w:kern w:val="0"/>
          <w:sz w:val="32"/>
          <w:szCs w:val="32"/>
        </w:rPr>
        <w:t>指在基本支出之外为完成特定行政任务和事业发展目标所发生的支出。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（十一）经营支出：</w:t>
      </w:r>
      <w:r>
        <w:rPr>
          <w:rFonts w:hint="eastAsia" w:ascii="方正仿宋_GBK" w:hAnsi="方正仿宋_GBK" w:eastAsia="方正仿宋_GBK" w:cs="方正仿宋_GBK"/>
          <w:kern w:val="0"/>
          <w:sz w:val="32"/>
          <w:szCs w:val="32"/>
        </w:rPr>
        <w:t>指事业单位在专业业务活动及其辅助活动之外开展非独立核算经营活动发生的支出。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（十二）“三公”经费：</w:t>
      </w:r>
      <w:r>
        <w:rPr>
          <w:rFonts w:hint="eastAsia" w:ascii="方正仿宋_GBK" w:hAnsi="方正仿宋_GBK" w:eastAsia="方正仿宋_GBK" w:cs="方正仿宋_GBK"/>
          <w:kern w:val="0"/>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（十三）机关运行经费：</w:t>
      </w:r>
      <w:r>
        <w:rPr>
          <w:rFonts w:hint="eastAsia" w:ascii="方正仿宋_GBK" w:hAnsi="方正仿宋_GBK" w:eastAsia="方正仿宋_GBK" w:cs="方正仿宋_GBK"/>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（十四）工资福利支出（支出经济分类科目类级）：</w:t>
      </w:r>
      <w:r>
        <w:rPr>
          <w:rFonts w:hint="eastAsia" w:ascii="方正仿宋_GBK" w:hAnsi="方正仿宋_GBK" w:eastAsia="方正仿宋_GBK" w:cs="方正仿宋_GBK"/>
          <w:kern w:val="0"/>
          <w:sz w:val="32"/>
          <w:szCs w:val="32"/>
        </w:rPr>
        <w:t>反映单位开支的在职职工和编制外长期聘用人员的各类劳动报酬，以及为上述人员缴纳的各项社会保险费等。</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（十五）商品和服务支出（支出经济分类科目类级）：</w:t>
      </w:r>
      <w:r>
        <w:rPr>
          <w:rFonts w:hint="eastAsia" w:ascii="方正仿宋_GBK" w:hAnsi="方正仿宋_GBK" w:eastAsia="方正仿宋_GBK" w:cs="方正仿宋_GBK"/>
          <w:kern w:val="0"/>
          <w:sz w:val="32"/>
          <w:szCs w:val="32"/>
        </w:rPr>
        <w:t>反映单位购买商品和服务的支出（不包括用于购置固定资产的支出、战略性和应急储备支出）。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（十六）对个人和家庭的补助（支出经济分类科目类级）：</w:t>
      </w:r>
      <w:r>
        <w:rPr>
          <w:rFonts w:hint="eastAsia" w:ascii="方正仿宋_GBK" w:hAnsi="方正仿宋_GBK" w:eastAsia="方正仿宋_GBK" w:cs="方正仿宋_GBK"/>
          <w:kern w:val="0"/>
          <w:sz w:val="32"/>
          <w:szCs w:val="32"/>
        </w:rPr>
        <w:t>反映用于对个人和家庭的补助支出。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（十七）其他资本性支出（支出经济分类科目类级）：</w:t>
      </w:r>
      <w:r>
        <w:rPr>
          <w:rFonts w:hint="eastAsia" w:ascii="方正仿宋_GBK" w:hAnsi="方正仿宋_GBK" w:eastAsia="方正仿宋_GBK" w:cs="方正仿宋_GBK"/>
          <w:kern w:val="0"/>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七、决算公开联系方式及信息反馈渠道</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本单位决算公开信息反馈和联系方式：</w:t>
      </w:r>
    </w:p>
    <w:p>
      <w:pPr>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联系人：杨晶</w:t>
      </w:r>
      <w:r>
        <w:rPr>
          <w:rFonts w:hint="default" w:ascii="Times New Roman" w:hAnsi="Times New Roman" w:eastAsia="方正仿宋_GBK" w:cs="Times New Roman"/>
          <w:kern w:val="0"/>
          <w:sz w:val="32"/>
          <w:szCs w:val="32"/>
        </w:rPr>
        <w:t xml:space="preserve">  </w:t>
      </w:r>
      <w:r>
        <w:rPr>
          <w:rFonts w:hint="eastAsia" w:ascii="方正仿宋_GBK" w:hAnsi="方正仿宋_GBK" w:eastAsia="方正仿宋_GBK" w:cs="方正仿宋_GBK"/>
          <w:kern w:val="0"/>
          <w:sz w:val="32"/>
          <w:szCs w:val="32"/>
        </w:rPr>
        <w:t>办公电话：</w:t>
      </w:r>
      <w:r>
        <w:rPr>
          <w:rFonts w:hint="default" w:ascii="Times New Roman" w:hAnsi="Times New Roman" w:eastAsia="方正仿宋_GBK" w:cs="Times New Roman"/>
          <w:kern w:val="0"/>
          <w:sz w:val="32"/>
          <w:szCs w:val="32"/>
        </w:rPr>
        <w:t>023-55633558</w:t>
      </w:r>
    </w:p>
    <w:p>
      <w:pPr>
        <w:pStyle w:val="18"/>
        <w:keepNext w:val="0"/>
        <w:keepLines w:val="0"/>
        <w:pageBreakBefore w:val="0"/>
        <w:widowControl/>
        <w:suppressLineNumbers w:val="0"/>
        <w:kinsoku/>
        <w:wordWrap/>
        <w:overflowPunct/>
        <w:topLinePunct w:val="0"/>
        <w:autoSpaceDN/>
        <w:bidi w:val="0"/>
        <w:adjustRightInd/>
        <w:snapToGrid/>
        <w:spacing w:before="0" w:beforeAutospacing="0" w:afterAutospacing="0"/>
        <w:ind w:left="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w:t>
      </w:r>
    </w:p>
    <w:sectPr>
      <w:pgSz w:w="11915" w:h="16851"/>
      <w:pgMar w:top="2098" w:right="1531" w:bottom="1984" w:left="1531" w:header="851" w:footer="1474" w:gutter="0"/>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E3278253-5AF4-495C-AED5-93F6ECE07FDC}"/>
  </w:font>
  <w:font w:name="方正仿宋_GBK">
    <w:panose1 w:val="02000000000000000000"/>
    <w:charset w:val="86"/>
    <w:family w:val="auto"/>
    <w:pitch w:val="default"/>
    <w:sig w:usb0="A00002BF" w:usb1="38CF7CFA" w:usb2="00082016" w:usb3="00000000" w:csb0="00040001" w:csb1="00000000"/>
    <w:embedRegular r:id="rId2" w:fontKey="{1B80BD21-A847-425E-AD54-C7040694E353}"/>
  </w:font>
  <w:font w:name="方正黑体_GBK">
    <w:panose1 w:val="03000509000000000000"/>
    <w:charset w:val="86"/>
    <w:family w:val="auto"/>
    <w:pitch w:val="default"/>
    <w:sig w:usb0="00000001" w:usb1="080E0000" w:usb2="00000000" w:usb3="00000000" w:csb0="00040000" w:csb1="00000000"/>
    <w:embedRegular r:id="rId3" w:fontKey="{0AA77BEF-C925-416E-8B29-A4AD10A16297}"/>
  </w:font>
  <w:font w:name="方正楷体_GBK">
    <w:panose1 w:val="02000000000000000000"/>
    <w:charset w:val="86"/>
    <w:family w:val="auto"/>
    <w:pitch w:val="default"/>
    <w:sig w:usb0="800002BF" w:usb1="38CF7CFA" w:usb2="00000016" w:usb3="00000000" w:csb0="00040000" w:csb1="00000000"/>
    <w:embedRegular r:id="rId4" w:fontKey="{FA7EEFE9-BB4C-4F99-8D71-2810E0A38A7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OGVhZjY5ODcxNTU2OGIxZTg3MDNlYWQ5MGJhOGEifQ=="/>
  </w:docVars>
  <w:rsids>
    <w:rsidRoot w:val="00000000"/>
    <w:rsid w:val="366109E7"/>
    <w:rsid w:val="6A865F51"/>
    <w:rsid w:val="790977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6"/>
    <w:basedOn w:val="11"/>
    <w:qFormat/>
    <w:uiPriority w:val="0"/>
    <w:rPr>
      <w:rFonts w:hint="default" w:ascii="Times New Roman" w:hAnsi="Times New Roman" w:cs="Times New Roman"/>
      <w:b/>
      <w:bCs/>
    </w:rPr>
  </w:style>
  <w:style w:type="paragraph" w:customStyle="1" w:styleId="13">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7"/>
    <w:basedOn w:val="11"/>
    <w:qFormat/>
    <w:uiPriority w:val="0"/>
    <w:rPr>
      <w:rFonts w:hint="default" w:ascii="Times New Roman" w:hAnsi="Times New Roman" w:cs="Times New Roman"/>
    </w:rPr>
  </w:style>
  <w:style w:type="paragraph" w:customStyle="1" w:styleId="15">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6">
    <w:name w:val="HTML 预设格式 Char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7">
    <w:name w:val="10"/>
    <w:basedOn w:val="11"/>
    <w:qFormat/>
    <w:uiPriority w:val="0"/>
    <w:rPr>
      <w:rFonts w:hint="default" w:ascii="Times New Roman" w:hAnsi="Times New Roman" w:cs="Times New Roman"/>
    </w:rPr>
  </w:style>
  <w:style w:type="paragraph" w:customStyle="1" w:styleId="18">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9">
    <w:name w:val="15"/>
    <w:basedOn w:val="11"/>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2023-10-24T02:42:00Z</dcterms:created>
  <dc:creator>Administrator.PC-20190704LKPV</dc:creator>
  <cp:lastModifiedBy>任以春</cp:lastModifiedBy>
  <dcterms:modified xsi:type="dcterms:W3CDTF">2023-11-01T09:04:18Z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2FBDCAAE69144F62B7DBDFF27BB19F6B_13</vt:lpwstr>
  </property>
</Properties>
</file>