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afterAutospacing="0" w:line="720" w:lineRule="exact"/>
        <w:jc w:val="center"/>
        <w:textAlignment w:val="auto"/>
        <w:rPr>
          <w:rFonts w:hint="default"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云阳县渠马镇综合行政执法大队</w:t>
      </w:r>
    </w:p>
    <w:p>
      <w:pPr>
        <w:keepNext w:val="0"/>
        <w:keepLines w:val="0"/>
        <w:pageBreakBefore w:val="0"/>
        <w:widowControl w:val="0"/>
        <w:suppressLineNumbers w:val="0"/>
        <w:kinsoku/>
        <w:wordWrap/>
        <w:overflowPunct/>
        <w:topLinePunct w:val="0"/>
        <w:autoSpaceDE w:val="0"/>
        <w:autoSpaceDN/>
        <w:bidi w:val="0"/>
        <w:adjustRightInd/>
        <w:snapToGrid/>
        <w:spacing w:afterAutospacing="0" w:line="720" w:lineRule="exact"/>
        <w:jc w:val="center"/>
        <w:textAlignment w:val="auto"/>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rPr>
        <w:t>2022</w:t>
      </w:r>
      <w:r>
        <w:rPr>
          <w:rFonts w:hint="eastAsia" w:ascii="方正小标宋_GBK" w:hAnsi="方正小标宋_GBK" w:eastAsia="方正小标宋_GBK" w:cs="方正小标宋_GBK"/>
          <w:kern w:val="2"/>
          <w:sz w:val="44"/>
          <w:szCs w:val="44"/>
        </w:rPr>
        <w:t>年度部门决算情况说明</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一、部门基本情况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抗灾救灾、消防、安全生产（水陆交通、煤管、非煤矿山、烟爆危化）、应急管理、交通、运管、公路、食品药品监督管理、港航、海事、客渡船及自用船舶管理、综合行政执法，依法接受委托集中行使农林水利、规划建设、环境保护、卫生计生、文化旅游、民政管理、道路交通等领域的执法权，领导交办事项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（二）机构设置</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云阳县渠马镇综合行政执法大队设有编制数</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（一）收入支出决算总体情况说明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总体情况。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年度收入总计</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万元，支出总计</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万元。收支</w:t>
      </w:r>
      <w:r>
        <w:rPr>
          <w:rFonts w:hint="eastAsia" w:ascii="方正仿宋_GBK" w:hAnsi="方正仿宋_GBK" w:eastAsia="方正仿宋_GBK" w:cs="方正仿宋_GBK"/>
          <w:kern w:val="0"/>
          <w:sz w:val="32"/>
          <w:szCs w:val="32"/>
        </w:rPr>
        <w:t>较上年</w:t>
      </w:r>
      <w:r>
        <w:rPr>
          <w:rFonts w:hint="eastAsia" w:ascii="方正仿宋_GBK" w:hAnsi="方正仿宋_GBK" w:eastAsia="方正仿宋_GBK" w:cs="方正仿宋_GBK"/>
          <w:color w:val="000000"/>
          <w:kern w:val="2"/>
          <w:sz w:val="32"/>
          <w:szCs w:val="32"/>
        </w:rPr>
        <w:t>决算数增加</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年度收入合计</w:t>
      </w:r>
      <w:r>
        <w:rPr>
          <w:rFonts w:hint="default" w:ascii="Times New Roman" w:hAnsi="Times New Roman" w:eastAsia="方正仿宋_GBK" w:cs="Times New Roman"/>
          <w:color w:val="000000"/>
          <w:kern w:val="2"/>
          <w:sz w:val="32"/>
          <w:szCs w:val="32"/>
        </w:rPr>
        <w:t>75.36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75.36</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，主要原因是上年本单位未单独列决算。其中：财政拨款收入</w:t>
      </w:r>
      <w:r>
        <w:rPr>
          <w:rFonts w:hint="default" w:ascii="Times New Roman" w:hAnsi="Times New Roman" w:eastAsia="方正仿宋_GBK" w:cs="Times New Roman"/>
          <w:color w:val="000000"/>
          <w:kern w:val="2"/>
          <w:sz w:val="32"/>
          <w:szCs w:val="32"/>
        </w:rPr>
        <w:t>75.36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年度支出合计</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万元，较上年决算增加</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，主要原因是上年本单位未单独列决算。其中：基本支出</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年度财政拨款收、支总计</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万元。与</w:t>
      </w:r>
      <w:r>
        <w:rPr>
          <w:rFonts w:hint="default" w:ascii="Times New Roman" w:hAnsi="Times New Roman" w:eastAsia="方正仿宋_GBK" w:cs="Times New Roman"/>
          <w:color w:val="000000"/>
          <w:kern w:val="2"/>
          <w:sz w:val="32"/>
          <w:szCs w:val="32"/>
        </w:rPr>
        <w:t>2021</w:t>
      </w:r>
      <w:r>
        <w:rPr>
          <w:rFonts w:hint="eastAsia" w:ascii="方正仿宋_GBK" w:hAnsi="方正仿宋_GBK" w:eastAsia="方正仿宋_GBK" w:cs="方正仿宋_GBK"/>
          <w:color w:val="000000"/>
          <w:kern w:val="2"/>
          <w:sz w:val="32"/>
          <w:szCs w:val="32"/>
        </w:rPr>
        <w:t>年相比，财政拨款收、支总计各增加</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年度一般公共预算财政拨款收入</w:t>
      </w:r>
      <w:r>
        <w:rPr>
          <w:rFonts w:hint="default" w:ascii="Times New Roman" w:hAnsi="Times New Roman" w:eastAsia="方正仿宋_GBK" w:cs="Times New Roman"/>
          <w:color w:val="000000"/>
          <w:kern w:val="2"/>
          <w:sz w:val="32"/>
          <w:szCs w:val="32"/>
        </w:rPr>
        <w:t>75.36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75.36</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。主要原因是上年本单位未单独列决算。较年初预算数减少</w:t>
      </w:r>
      <w:r>
        <w:rPr>
          <w:rFonts w:hint="default" w:ascii="Times New Roman" w:hAnsi="Times New Roman" w:eastAsia="方正仿宋_GBK" w:cs="Times New Roman"/>
          <w:color w:val="000000"/>
          <w:kern w:val="2"/>
          <w:sz w:val="32"/>
          <w:szCs w:val="32"/>
        </w:rPr>
        <w:t>4.61</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5.8%</w:t>
      </w:r>
      <w:r>
        <w:rPr>
          <w:rFonts w:hint="eastAsia" w:ascii="方正仿宋_GBK" w:hAnsi="方正仿宋_GBK" w:eastAsia="方正仿宋_GBK" w:cs="方正仿宋_GBK"/>
          <w:color w:val="000000"/>
          <w:kern w:val="2"/>
          <w:sz w:val="32"/>
          <w:szCs w:val="32"/>
        </w:rPr>
        <w:t>。主要原因是落实</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过紧日子</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政策，压缩了日常公用经费。此外，年初财政拨款结转和结余</w:t>
      </w:r>
      <w:r>
        <w:rPr>
          <w:rFonts w:hint="default" w:ascii="Times New Roman" w:hAnsi="Times New Roman" w:eastAsia="方正仿宋_GBK" w:cs="Times New Roman"/>
          <w:color w:val="000000"/>
          <w:kern w:val="2"/>
          <w:sz w:val="32"/>
          <w:szCs w:val="32"/>
        </w:rPr>
        <w:t>0.12</w:t>
      </w:r>
      <w:r>
        <w:rPr>
          <w:rFonts w:hint="eastAsia" w:ascii="方正仿宋_GBK" w:hAnsi="方正仿宋_GBK" w:eastAsia="方正仿宋_GBK" w:cs="方正仿宋_GBK"/>
          <w:color w:val="000000"/>
          <w:kern w:val="2"/>
          <w:sz w:val="32"/>
          <w:szCs w:val="32"/>
        </w:rPr>
        <w:t>万元。</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。主要原因是上年本单位未单独列决算。较年初预算数减少</w:t>
      </w:r>
      <w:r>
        <w:rPr>
          <w:rFonts w:hint="default" w:ascii="Times New Roman" w:hAnsi="Times New Roman" w:eastAsia="方正仿宋_GBK" w:cs="Times New Roman"/>
          <w:color w:val="000000"/>
          <w:kern w:val="2"/>
          <w:sz w:val="32"/>
          <w:szCs w:val="32"/>
        </w:rPr>
        <w:t>4.61</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5.8%</w:t>
      </w:r>
      <w:r>
        <w:rPr>
          <w:rFonts w:hint="eastAsia" w:ascii="方正仿宋_GBK" w:hAnsi="方正仿宋_GBK" w:eastAsia="方正仿宋_GBK" w:cs="方正仿宋_GBK"/>
          <w:color w:val="000000"/>
          <w:kern w:val="2"/>
          <w:sz w:val="32"/>
          <w:szCs w:val="32"/>
        </w:rPr>
        <w:t>。主要原因是落实</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过紧日子</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政策，压缩了日常公用经费。</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年度年末一般公共预算财政拨款无结转和结余。</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比较情况。</w:t>
      </w: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年度一般公共预算财政拨款支出主要用于以下几个方面：（</w:t>
      </w: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）一般公共服务支出</w:t>
      </w:r>
      <w:r>
        <w:rPr>
          <w:rFonts w:hint="default" w:ascii="Times New Roman" w:hAnsi="Times New Roman" w:eastAsia="方正仿宋_GBK" w:cs="Times New Roman"/>
          <w:color w:val="000000"/>
          <w:kern w:val="2"/>
          <w:sz w:val="32"/>
          <w:szCs w:val="32"/>
        </w:rPr>
        <w:t>59.63</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79%</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3.51</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5.6%</w:t>
      </w:r>
      <w:r>
        <w:rPr>
          <w:rFonts w:hint="eastAsia" w:ascii="方正仿宋_GBK" w:hAnsi="方正仿宋_GBK" w:eastAsia="方正仿宋_GBK" w:cs="方正仿宋_GBK"/>
          <w:color w:val="000000"/>
          <w:kern w:val="2"/>
          <w:sz w:val="32"/>
          <w:szCs w:val="32"/>
        </w:rPr>
        <w:t>，主要原因是在职人员人员减少。（</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）社会保障与就业支出</w:t>
      </w:r>
      <w:r>
        <w:rPr>
          <w:rFonts w:hint="default" w:ascii="Times New Roman" w:hAnsi="Times New Roman" w:eastAsia="方正仿宋_GBK" w:cs="Times New Roman"/>
          <w:color w:val="000000"/>
          <w:kern w:val="2"/>
          <w:sz w:val="32"/>
          <w:szCs w:val="32"/>
        </w:rPr>
        <w:t>7.52</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0.90</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10.7%</w:t>
      </w:r>
      <w:r>
        <w:rPr>
          <w:rFonts w:hint="eastAsia" w:ascii="方正仿宋_GBK" w:hAnsi="方正仿宋_GBK" w:eastAsia="方正仿宋_GBK" w:cs="方正仿宋_GBK"/>
          <w:color w:val="000000"/>
          <w:kern w:val="2"/>
          <w:sz w:val="32"/>
          <w:szCs w:val="32"/>
        </w:rPr>
        <w:t>，主要原因是人员减少。（</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）卫生健康支出</w:t>
      </w:r>
      <w:r>
        <w:rPr>
          <w:rFonts w:hint="default" w:ascii="Times New Roman" w:hAnsi="Times New Roman" w:eastAsia="方正仿宋_GBK" w:cs="Times New Roman"/>
          <w:color w:val="000000"/>
          <w:kern w:val="2"/>
          <w:sz w:val="32"/>
          <w:szCs w:val="32"/>
        </w:rPr>
        <w:t>4.11</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5.4%</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0.20</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4.6%</w:t>
      </w:r>
      <w:r>
        <w:rPr>
          <w:rFonts w:hint="eastAsia" w:ascii="方正仿宋_GBK" w:hAnsi="方正仿宋_GBK" w:eastAsia="方正仿宋_GBK" w:cs="方正仿宋_GBK"/>
          <w:color w:val="000000"/>
          <w:kern w:val="2"/>
          <w:sz w:val="32"/>
          <w:szCs w:val="32"/>
        </w:rPr>
        <w:t>，主要原因是预算安排比较充足。（</w:t>
      </w: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）住房保障支出</w:t>
      </w:r>
      <w:r>
        <w:rPr>
          <w:rFonts w:hint="default" w:ascii="Times New Roman" w:hAnsi="Times New Roman" w:eastAsia="方正仿宋_GBK" w:cs="Times New Roman"/>
          <w:color w:val="000000"/>
          <w:kern w:val="2"/>
          <w:sz w:val="32"/>
          <w:szCs w:val="32"/>
        </w:rPr>
        <w:t>4.21</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5.6%</w:t>
      </w:r>
      <w:r>
        <w:rPr>
          <w:rFonts w:hint="eastAsia" w:ascii="方正仿宋_GBK" w:hAnsi="方正仿宋_GBK" w:eastAsia="方正仿宋_GBK" w:cs="方正仿宋_GBK"/>
          <w:color w:val="000000"/>
          <w:kern w:val="2"/>
          <w:sz w:val="32"/>
          <w:szCs w:val="32"/>
        </w:rPr>
        <w:t>，较年初预算数无变化。</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年度一般公共预算财政拨款基本支出</w:t>
      </w:r>
      <w:r>
        <w:rPr>
          <w:rFonts w:hint="default" w:ascii="Times New Roman" w:hAnsi="Times New Roman" w:eastAsia="方正仿宋_GBK" w:cs="Times New Roman"/>
          <w:color w:val="000000"/>
          <w:kern w:val="2"/>
          <w:sz w:val="32"/>
          <w:szCs w:val="32"/>
        </w:rPr>
        <w:t>75.47</w:t>
      </w:r>
      <w:r>
        <w:rPr>
          <w:rFonts w:hint="eastAsia" w:ascii="方正仿宋_GBK" w:hAnsi="方正仿宋_GBK" w:eastAsia="方正仿宋_GBK" w:cs="方正仿宋_GBK"/>
          <w:color w:val="000000"/>
          <w:kern w:val="2"/>
          <w:sz w:val="32"/>
          <w:szCs w:val="32"/>
        </w:rPr>
        <w:t>万元。其中：人员经费</w:t>
      </w:r>
      <w:r>
        <w:rPr>
          <w:rFonts w:hint="default" w:ascii="Times New Roman" w:hAnsi="Times New Roman" w:eastAsia="方正仿宋_GBK" w:cs="Times New Roman"/>
          <w:color w:val="000000"/>
          <w:kern w:val="2"/>
          <w:sz w:val="32"/>
          <w:szCs w:val="32"/>
        </w:rPr>
        <w:t>75.11</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75.11</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，主要原因是上年本单位未单独列决算。人员经费用途主要包括基本工资、津贴补贴、绩效工资、社会保障缴费、住房公积金等。公用经费</w:t>
      </w:r>
      <w:r>
        <w:rPr>
          <w:rFonts w:hint="default" w:ascii="Times New Roman" w:hAnsi="Times New Roman" w:eastAsia="方正仿宋_GBK" w:cs="Times New Roman"/>
          <w:color w:val="000000"/>
          <w:kern w:val="2"/>
          <w:sz w:val="32"/>
          <w:szCs w:val="32"/>
        </w:rPr>
        <w:t>0.37</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0.37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，主要原因是上年本单位未单独列决算。公用经费用途主要包括办公费、印刷费、差旅费、物业管理费、会议费、培训费、公务接待费、公务用车运行费、维修（护）费、劳务费等。</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2"/>
          <w:sz w:val="32"/>
          <w:szCs w:val="32"/>
        </w:rPr>
        <w:t>（五）政府性基金预算收支决算情况说明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年度无政府性基金预算财政拨款收支。</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三、</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三公</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经费情况说明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经费支出总体情况说明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三公</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经费支出。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经费分项支出情况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年度未发生因公出国（境）费用支出。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年度未发生公务车购置支出。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年度未发生公务车运行维护支出。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年度未发生公务接待支出。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经费实物量情况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辆；国内公务接待</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批次</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元，车均购置费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万元，车均维护费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四、其他需要说明的事项</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年度未发生会议费及培训费支出。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年度未发生运行经费支出。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（三）国有资产占用情况说明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本单位无国有资产。</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（四）政府采购支出说明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年度本单位未发生政府采购事项，无相关经费支出。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五、预算绩效管理情况说明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年度本单位无预算绩效管理项目。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六、专业名词解释</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Style w:val="16"/>
          <w:rFonts w:hint="eastAsia" w:ascii="方正楷体_GBK" w:hAnsi="方正楷体_GBK" w:eastAsia="方正楷体_GBK" w:cs="方正楷体_GBK"/>
          <w:b w:val="0"/>
          <w:bCs w:val="0"/>
          <w:sz w:val="32"/>
          <w:szCs w:val="32"/>
          <w:shd w:val="clear" w:fill="FFFFFF"/>
        </w:rPr>
        <w:t>（</w:t>
      </w:r>
      <w:r>
        <w:rPr>
          <w:rFonts w:hint="eastAsia" w:ascii="方正楷体_GBK" w:hAnsi="方正楷体_GBK" w:eastAsia="方正楷体_GBK" w:cs="方正楷体_GBK"/>
          <w:b w:val="0"/>
          <w:bCs w:val="0"/>
          <w:kern w:val="2"/>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（十二）“三公”经费：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联系人：杨晶</w:t>
      </w: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办公电话：</w:t>
      </w:r>
      <w:r>
        <w:rPr>
          <w:rFonts w:hint="default" w:ascii="Times New Roman" w:hAnsi="Times New Roman" w:eastAsia="方正仿宋_GBK" w:cs="Times New Roman"/>
          <w:kern w:val="0"/>
          <w:sz w:val="32"/>
          <w:szCs w:val="32"/>
        </w:rPr>
        <w:t>023-55633558</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GVhZjY5ODcxNTU2OGIxZTg3MDNlYWQ5MGJhOGEifQ=="/>
  </w:docVars>
  <w:rsids>
    <w:rsidRoot w:val="00000000"/>
    <w:rsid w:val="47DE05BB"/>
    <w:rsid w:val="549817AB"/>
    <w:rsid w:val="600F7B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0"/>
    <w:basedOn w:val="11"/>
    <w:uiPriority w:val="0"/>
    <w:rPr>
      <w:rFonts w:hint="default" w:ascii="Times New Roman" w:hAnsi="Times New Roman" w:cs="Times New Roman"/>
    </w:rPr>
  </w:style>
  <w:style w:type="paragraph" w:customStyle="1" w:styleId="14">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6"/>
    <w:basedOn w:val="11"/>
    <w:qFormat/>
    <w:uiPriority w:val="0"/>
    <w:rPr>
      <w:rFonts w:hint="default" w:ascii="Times New Roman" w:hAnsi="Times New Roman" w:cs="Times New Roman"/>
    </w:rPr>
  </w:style>
  <w:style w:type="character" w:customStyle="1" w:styleId="16">
    <w:name w:val="15"/>
    <w:basedOn w:val="11"/>
    <w:qFormat/>
    <w:uiPriority w:val="0"/>
    <w:rPr>
      <w:rFonts w:hint="default" w:ascii="Times New Roman" w:hAnsi="Times New Roman" w:cs="Times New Roman"/>
      <w:b/>
      <w:bCs/>
    </w:rPr>
  </w:style>
  <w:style w:type="character" w:customStyle="1" w:styleId="17">
    <w:name w:val="17"/>
    <w:basedOn w:val="11"/>
    <w:qFormat/>
    <w:uiPriority w:val="0"/>
    <w:rPr>
      <w:rFonts w:hint="default" w:ascii="Times New Roman" w:hAnsi="Times New Roman" w:cs="Times New Roman"/>
      <w:b/>
      <w:bCs/>
    </w:rPr>
  </w:style>
  <w:style w:type="paragraph" w:customStyle="1" w:styleId="18">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2023-10-24T02:42:00Z</dcterms:created>
  <dc:creator>Administrator.PC-20190704LKPV</dc:creator>
  <cp:lastModifiedBy>任以春</cp:lastModifiedBy>
  <dcterms:modified xsi:type="dcterms:W3CDTF">2023-11-01T09:05:16Z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1A321FEEE71E4B4294843C7C951E9650_13</vt:lpwstr>
  </property>
</Properties>
</file>