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val="0"/>
        <w:autoSpaceDN/>
        <w:bidi w:val="0"/>
        <w:adjustRightInd/>
        <w:snapToGrid/>
        <w:spacing w:afterAutospacing="0" w:line="720" w:lineRule="exact"/>
        <w:jc w:val="center"/>
        <w:textAlignment w:val="auto"/>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rPr>
        <w:t>云阳县渠马镇农业服务中心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72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2022</w:t>
      </w:r>
      <w:r>
        <w:rPr>
          <w:rFonts w:hint="eastAsia" w:ascii="方正小标宋_GBK" w:hAnsi="方正小标宋_GBK" w:eastAsia="方正小标宋_GBK" w:cs="方正小标宋_GBK"/>
          <w:kern w:val="2"/>
          <w:sz w:val="44"/>
          <w:szCs w:val="44"/>
        </w:rPr>
        <w:t>年度部门决算情况说明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jc w:val="both"/>
        <w:textAlignment w:val="auto"/>
        <w:rPr>
          <w:rFonts w:hint="default" w:ascii="Times New Roman" w:hAnsi="Times New Roman" w:eastAsia="方正仿宋_GBK" w:cs="Times New Roman"/>
          <w:b/>
          <w:bCs/>
          <w:kern w:val="0"/>
          <w:sz w:val="32"/>
          <w:szCs w:val="32"/>
          <w:shd w:val="clear" w:fill="FFFFFF"/>
        </w:rPr>
      </w:pPr>
      <w:r>
        <w:rPr>
          <w:rStyle w:val="26"/>
          <w:rFonts w:hint="default" w:ascii="Times New Roman" w:hAnsi="Times New Roman" w:eastAsia="方正仿宋_GBK" w:cs="Times New Roman"/>
          <w:b/>
          <w:bCs/>
          <w:sz w:val="32"/>
          <w:szCs w:val="32"/>
          <w:shd w:val="clear" w:fill="FFFFFF"/>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一、部门基本情况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负责农业及农村、农业执法、林业、果业、畜牧、气象、领导交办事项等。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（二）机构设置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云阳县渠马镇农业服务中心设有编制数</w:t>
      </w:r>
      <w:r>
        <w:rPr>
          <w:rFonts w:hint="default" w:ascii="Times New Roman" w:hAnsi="Times New Roman" w:eastAsia="方正仿宋_GBK" w:cs="Times New Roman"/>
          <w:color w:val="000000"/>
          <w:kern w:val="2"/>
          <w:sz w:val="32"/>
          <w:szCs w:val="32"/>
        </w:rPr>
        <w:t>10</w:t>
      </w:r>
      <w:r>
        <w:rPr>
          <w:rFonts w:hint="eastAsia" w:ascii="方正仿宋_GBK" w:hAnsi="方正仿宋_GBK" w:eastAsia="方正仿宋_GBK" w:cs="方正仿宋_GBK"/>
          <w:color w:val="000000"/>
          <w:kern w:val="2"/>
          <w:sz w:val="32"/>
          <w:szCs w:val="32"/>
        </w:rPr>
        <w:t>个。</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二、部门决算情况说明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（一）收入支出决算总体情况说明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总体情况。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年度收入总计</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万元，支出总计</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万元。收支较上年决算数增加</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年度收入合计</w:t>
      </w:r>
      <w:r>
        <w:rPr>
          <w:rFonts w:hint="default" w:ascii="Times New Roman" w:hAnsi="Times New Roman" w:eastAsia="方正仿宋_GBK" w:cs="Times New Roman"/>
          <w:color w:val="000000"/>
          <w:kern w:val="2"/>
          <w:sz w:val="32"/>
          <w:szCs w:val="32"/>
        </w:rPr>
        <w:t>167.86</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167.86</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，主要原因是上年本单位未单独列决算。其中：财政拨款收入</w:t>
      </w:r>
      <w:r>
        <w:rPr>
          <w:rFonts w:hint="default" w:ascii="Times New Roman" w:hAnsi="Times New Roman" w:eastAsia="方正仿宋_GBK" w:cs="Times New Roman"/>
          <w:color w:val="000000"/>
          <w:kern w:val="2"/>
          <w:sz w:val="32"/>
          <w:szCs w:val="32"/>
        </w:rPr>
        <w:t>167.86</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年初结转和结余</w:t>
      </w:r>
      <w:r>
        <w:rPr>
          <w:rFonts w:hint="default" w:ascii="Times New Roman" w:hAnsi="Times New Roman" w:eastAsia="方正仿宋_GBK" w:cs="Times New Roman"/>
          <w:color w:val="000000"/>
          <w:kern w:val="2"/>
          <w:sz w:val="32"/>
          <w:szCs w:val="32"/>
        </w:rPr>
        <w:t>0.19</w:t>
      </w:r>
      <w:r>
        <w:rPr>
          <w:rFonts w:hint="eastAsia" w:ascii="方正仿宋_GBK" w:hAnsi="方正仿宋_GBK" w:eastAsia="方正仿宋_GBK" w:cs="方正仿宋_GBK"/>
          <w:color w:val="000000"/>
          <w:kern w:val="2"/>
          <w:sz w:val="32"/>
          <w:szCs w:val="32"/>
        </w:rPr>
        <w:t>万元。</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eastAsia"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年度支出合计</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万元，较上年决算增加</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，主要原因是上年本单位未单独列决算。其中：基本支出</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（二）财政拨款收入支出决算总体情况说明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年度财政拨款收、支总计</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万元。与</w:t>
      </w:r>
      <w:r>
        <w:rPr>
          <w:rFonts w:hint="default" w:ascii="Times New Roman" w:hAnsi="Times New Roman" w:eastAsia="方正仿宋_GBK" w:cs="Times New Roman"/>
          <w:color w:val="000000"/>
          <w:kern w:val="2"/>
          <w:sz w:val="32"/>
          <w:szCs w:val="32"/>
        </w:rPr>
        <w:t>2021</w:t>
      </w:r>
      <w:r>
        <w:rPr>
          <w:rFonts w:hint="eastAsia" w:ascii="方正仿宋_GBK" w:hAnsi="方正仿宋_GBK" w:eastAsia="方正仿宋_GBK" w:cs="方正仿宋_GBK"/>
          <w:color w:val="000000"/>
          <w:kern w:val="2"/>
          <w:sz w:val="32"/>
          <w:szCs w:val="32"/>
        </w:rPr>
        <w:t>年相比，财政拨款收、支总计各增加</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2"/>
          <w:sz w:val="32"/>
          <w:szCs w:val="32"/>
        </w:rPr>
        <w:t>（三）一般公共预算财政拨款收入支出决算情况说明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年度一般公共预算财政拨款收入</w:t>
      </w:r>
      <w:r>
        <w:rPr>
          <w:rFonts w:hint="default" w:ascii="Times New Roman" w:hAnsi="Times New Roman" w:eastAsia="方正仿宋_GBK" w:cs="Times New Roman"/>
          <w:color w:val="000000"/>
          <w:kern w:val="2"/>
          <w:sz w:val="32"/>
          <w:szCs w:val="32"/>
        </w:rPr>
        <w:t>167.86</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167.86</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。主要原因是上年本单位未单独列决算。较年初预算数减少</w:t>
      </w:r>
      <w:r>
        <w:rPr>
          <w:rFonts w:hint="default" w:ascii="Times New Roman" w:hAnsi="Times New Roman" w:eastAsia="方正仿宋_GBK" w:cs="Times New Roman"/>
          <w:color w:val="000000"/>
          <w:kern w:val="2"/>
          <w:sz w:val="32"/>
          <w:szCs w:val="32"/>
        </w:rPr>
        <w:t>4.06</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2.4%</w:t>
      </w:r>
      <w:r>
        <w:rPr>
          <w:rFonts w:hint="eastAsia" w:ascii="方正仿宋_GBK" w:hAnsi="方正仿宋_GBK" w:eastAsia="方正仿宋_GBK" w:cs="方正仿宋_GBK"/>
          <w:color w:val="000000"/>
          <w:kern w:val="2"/>
          <w:sz w:val="32"/>
          <w:szCs w:val="32"/>
        </w:rPr>
        <w:t>。主要原因是落实</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过紧日子</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政策，压缩了日常公用经费。此外，年初财政拨款结转和结余</w:t>
      </w:r>
      <w:r>
        <w:rPr>
          <w:rFonts w:hint="default" w:ascii="Times New Roman" w:hAnsi="Times New Roman" w:eastAsia="方正仿宋_GBK" w:cs="Times New Roman"/>
          <w:color w:val="000000"/>
          <w:kern w:val="2"/>
          <w:sz w:val="32"/>
          <w:szCs w:val="32"/>
        </w:rPr>
        <w:t>0.19</w:t>
      </w:r>
      <w:r>
        <w:rPr>
          <w:rFonts w:hint="eastAsia" w:ascii="方正仿宋_GBK" w:hAnsi="方正仿宋_GBK" w:eastAsia="方正仿宋_GBK" w:cs="方正仿宋_GBK"/>
          <w:color w:val="000000"/>
          <w:kern w:val="2"/>
          <w:sz w:val="32"/>
          <w:szCs w:val="32"/>
        </w:rPr>
        <w:t>万元。</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。主要原因是上年本单位未单独列决算。较年初预算数减少</w:t>
      </w:r>
      <w:r>
        <w:rPr>
          <w:rFonts w:hint="default" w:ascii="Times New Roman" w:hAnsi="Times New Roman" w:eastAsia="方正仿宋_GBK" w:cs="Times New Roman"/>
          <w:color w:val="000000"/>
          <w:kern w:val="2"/>
          <w:sz w:val="32"/>
          <w:szCs w:val="32"/>
        </w:rPr>
        <w:t>4.06</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2.4%</w:t>
      </w:r>
      <w:r>
        <w:rPr>
          <w:rFonts w:hint="eastAsia" w:ascii="方正仿宋_GBK" w:hAnsi="方正仿宋_GBK" w:eastAsia="方正仿宋_GBK" w:cs="方正仿宋_GBK"/>
          <w:color w:val="000000"/>
          <w:kern w:val="2"/>
          <w:sz w:val="32"/>
          <w:szCs w:val="32"/>
        </w:rPr>
        <w:t>。主要原因是落实</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过紧日子</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政策，减少日常开支。</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结转结余情况。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年度年末一般公共预算财政拨款无结转和结余。</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4.</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比较情况。</w:t>
      </w: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年度一般公共预算财政拨款支出主要用于以下几个方面：（</w:t>
      </w: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）社会保障与就业支出</w:t>
      </w:r>
      <w:r>
        <w:rPr>
          <w:rFonts w:hint="default" w:ascii="Times New Roman" w:hAnsi="Times New Roman" w:eastAsia="方正仿宋_GBK" w:cs="Times New Roman"/>
          <w:color w:val="000000"/>
          <w:kern w:val="2"/>
          <w:sz w:val="32"/>
          <w:szCs w:val="32"/>
        </w:rPr>
        <w:t>28.25</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16.8%</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0.72</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2.5%</w:t>
      </w:r>
      <w:r>
        <w:rPr>
          <w:rFonts w:hint="eastAsia" w:ascii="方正仿宋_GBK" w:hAnsi="方正仿宋_GBK" w:eastAsia="方正仿宋_GBK" w:cs="方正仿宋_GBK"/>
          <w:color w:val="000000"/>
          <w:kern w:val="2"/>
          <w:sz w:val="32"/>
          <w:szCs w:val="32"/>
        </w:rPr>
        <w:t>，主要原因是在职人员有所变动。（</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）卫生健康支出</w:t>
      </w:r>
      <w:r>
        <w:rPr>
          <w:rFonts w:hint="default" w:ascii="Times New Roman" w:hAnsi="Times New Roman" w:eastAsia="方正仿宋_GBK" w:cs="Times New Roman"/>
          <w:color w:val="000000"/>
          <w:kern w:val="2"/>
          <w:sz w:val="32"/>
          <w:szCs w:val="32"/>
        </w:rPr>
        <w:t>9.52</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5.7%</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0.20</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2.1%</w:t>
      </w:r>
      <w:r>
        <w:rPr>
          <w:rFonts w:hint="eastAsia" w:ascii="方正仿宋_GBK" w:hAnsi="方正仿宋_GBK" w:eastAsia="方正仿宋_GBK" w:cs="方正仿宋_GBK"/>
          <w:color w:val="000000"/>
          <w:kern w:val="2"/>
          <w:sz w:val="32"/>
          <w:szCs w:val="32"/>
        </w:rPr>
        <w:t>，主要原因是预算安排比较充足。（</w:t>
      </w: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）农林水支出</w:t>
      </w:r>
      <w:r>
        <w:rPr>
          <w:rFonts w:hint="default" w:ascii="Times New Roman" w:hAnsi="Times New Roman" w:eastAsia="方正仿宋_GBK" w:cs="Times New Roman"/>
          <w:color w:val="000000"/>
          <w:kern w:val="2"/>
          <w:sz w:val="32"/>
          <w:szCs w:val="32"/>
        </w:rPr>
        <w:t>121.55</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72.3%</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3.15</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2.5%</w:t>
      </w:r>
      <w:r>
        <w:rPr>
          <w:rFonts w:hint="eastAsia" w:ascii="方正仿宋_GBK" w:hAnsi="方正仿宋_GBK" w:eastAsia="方正仿宋_GBK" w:cs="方正仿宋_GBK"/>
          <w:color w:val="000000"/>
          <w:kern w:val="2"/>
          <w:sz w:val="32"/>
          <w:szCs w:val="32"/>
        </w:rPr>
        <w:t>，主要原因是农林水项目减少。（</w:t>
      </w:r>
      <w:r>
        <w:rPr>
          <w:rFonts w:hint="default" w:ascii="Times New Roman" w:hAnsi="Times New Roman" w:eastAsia="方正仿宋_GBK" w:cs="Times New Roman"/>
          <w:color w:val="000000"/>
          <w:kern w:val="2"/>
          <w:sz w:val="32"/>
          <w:szCs w:val="32"/>
        </w:rPr>
        <w:t>4</w:t>
      </w:r>
      <w:r>
        <w:rPr>
          <w:rFonts w:hint="eastAsia" w:ascii="方正仿宋_GBK" w:hAnsi="方正仿宋_GBK" w:eastAsia="方正仿宋_GBK" w:cs="方正仿宋_GBK"/>
          <w:color w:val="000000"/>
          <w:kern w:val="2"/>
          <w:sz w:val="32"/>
          <w:szCs w:val="32"/>
        </w:rPr>
        <w:t>）住房保障支出</w:t>
      </w:r>
      <w:r>
        <w:rPr>
          <w:rFonts w:hint="default" w:ascii="Times New Roman" w:hAnsi="Times New Roman" w:eastAsia="方正仿宋_GBK" w:cs="Times New Roman"/>
          <w:color w:val="000000"/>
          <w:kern w:val="2"/>
          <w:sz w:val="32"/>
          <w:szCs w:val="32"/>
        </w:rPr>
        <w:t>8.73</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5.2%</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0.00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0%</w:t>
      </w:r>
      <w:r>
        <w:rPr>
          <w:rFonts w:hint="eastAsia" w:ascii="方正仿宋_GBK" w:hAnsi="方正仿宋_GBK" w:eastAsia="方正仿宋_GBK" w:cs="方正仿宋_GBK"/>
          <w:color w:val="000000"/>
          <w:kern w:val="2"/>
          <w:sz w:val="32"/>
          <w:szCs w:val="32"/>
        </w:rPr>
        <w:t>，主要原因是住房公积金基数调整。</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年度一般公共预算财政拨款基本支出</w:t>
      </w:r>
      <w:r>
        <w:rPr>
          <w:rFonts w:hint="default" w:ascii="Times New Roman" w:hAnsi="Times New Roman" w:eastAsia="方正仿宋_GBK" w:cs="Times New Roman"/>
          <w:color w:val="000000"/>
          <w:kern w:val="2"/>
          <w:sz w:val="32"/>
          <w:szCs w:val="32"/>
        </w:rPr>
        <w:t>168.05</w:t>
      </w:r>
      <w:r>
        <w:rPr>
          <w:rFonts w:hint="eastAsia" w:ascii="方正仿宋_GBK" w:hAnsi="方正仿宋_GBK" w:eastAsia="方正仿宋_GBK" w:cs="方正仿宋_GBK"/>
          <w:color w:val="000000"/>
          <w:kern w:val="2"/>
          <w:sz w:val="32"/>
          <w:szCs w:val="32"/>
        </w:rPr>
        <w:t>万元。其中：人员经费</w:t>
      </w:r>
      <w:r>
        <w:rPr>
          <w:rFonts w:hint="default" w:ascii="Times New Roman" w:hAnsi="Times New Roman" w:eastAsia="方正仿宋_GBK" w:cs="Times New Roman"/>
          <w:color w:val="000000"/>
          <w:kern w:val="2"/>
          <w:sz w:val="32"/>
          <w:szCs w:val="32"/>
        </w:rPr>
        <w:t>167.30</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167.30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，主要原因是上年本单位未单独列决算。人员经费用途主要包括基本工资、津贴补贴、绩效工资、社会保障缴费、住房公积金等。公用经费</w:t>
      </w:r>
      <w:r>
        <w:rPr>
          <w:rFonts w:hint="default" w:ascii="Times New Roman" w:hAnsi="Times New Roman" w:eastAsia="方正仿宋_GBK" w:cs="Times New Roman"/>
          <w:color w:val="000000"/>
          <w:kern w:val="2"/>
          <w:sz w:val="32"/>
          <w:szCs w:val="32"/>
        </w:rPr>
        <w:t>0.75</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0.75</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，主要原因是上年本单位未单独列决算。公用经费用途主要包括办公费、印刷费、差旅费、物业管理费、会议费、培训费、公务接待费、公务用车运行费、维修（护）费、劳务费等。</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2"/>
          <w:sz w:val="32"/>
          <w:szCs w:val="32"/>
        </w:rPr>
        <w:t>（五）政府性基金预算收支决算情况说明</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年度无政府性基金预算财政拨款收支。</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年度无国有资本经营预算财政拨款支出。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三、</w:t>
      </w:r>
      <w:r>
        <w:rPr>
          <w:rFonts w:hint="default" w:ascii="Times New Roman" w:hAnsi="Times New Roman" w:eastAsia="方正黑体_GBK" w:cs="Times New Roman"/>
          <w:kern w:val="2"/>
          <w:sz w:val="32"/>
          <w:szCs w:val="32"/>
        </w:rPr>
        <w:t>“</w:t>
      </w:r>
      <w:r>
        <w:rPr>
          <w:rFonts w:hint="eastAsia" w:ascii="方正黑体_GBK" w:hAnsi="方正黑体_GBK" w:eastAsia="方正黑体_GBK" w:cs="方正黑体_GBK"/>
          <w:kern w:val="2"/>
          <w:sz w:val="32"/>
          <w:szCs w:val="32"/>
        </w:rPr>
        <w:t>三公</w:t>
      </w:r>
      <w:r>
        <w:rPr>
          <w:rFonts w:hint="default" w:ascii="Times New Roman" w:hAnsi="Times New Roman" w:eastAsia="方正黑体_GBK" w:cs="Times New Roman"/>
          <w:kern w:val="2"/>
          <w:sz w:val="32"/>
          <w:szCs w:val="32"/>
        </w:rPr>
        <w:t>”</w:t>
      </w:r>
      <w:r>
        <w:rPr>
          <w:rFonts w:hint="eastAsia" w:ascii="方正黑体_GBK" w:hAnsi="方正黑体_GBK" w:eastAsia="方正黑体_GBK" w:cs="方正黑体_GBK"/>
          <w:kern w:val="2"/>
          <w:sz w:val="32"/>
          <w:szCs w:val="32"/>
        </w:rPr>
        <w:t>经费情况说明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三公</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经费支出总体情况说明</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三公</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经费支出。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三公</w:t>
      </w:r>
      <w:r>
        <w:rPr>
          <w:rFonts w:hint="default" w:ascii="Times New Roman" w:hAnsi="Times New Roman" w:eastAsia="方正楷体_GBK" w:cs="Times New Roman"/>
          <w:kern w:val="2"/>
          <w:sz w:val="32"/>
          <w:szCs w:val="32"/>
        </w:rPr>
        <w:t>”</w:t>
      </w:r>
      <w:r>
        <w:rPr>
          <w:rFonts w:hint="eastAsia" w:ascii="方正楷体_GBK" w:hAnsi="方正楷体_GBK" w:eastAsia="方正楷体_GBK" w:cs="方正楷体_GBK"/>
          <w:kern w:val="2"/>
          <w:sz w:val="32"/>
          <w:szCs w:val="32"/>
        </w:rPr>
        <w:t>经费分项支出情况</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年度未发生因公出国（境）费用支出。</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年度未发生公务车购置支出。</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年度未发生公务车运行维护支出。</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年度未发生公务接待支出。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经费实物量情况</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年本单位因公出国（境）共计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辆；国内公务接待</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批次</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元，车均购置费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万元，车均维护费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四、其他需要说明的事项</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（一）财政拨款会议费和培训费情况说明</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年度未发生会议费及培训费支出。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（二）机关运行经费支出情况说明</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年度未发生运行经费支出。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（三）国有资产占用情况说明</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本单位无国有资产。</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（四）政府采购支出说明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年度本单位未发生政府采购事项，无相关经费支出。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五、预算绩效管理情况说明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年度本单位无预算绩效管理项目。</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六、专业名词解释</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（四）其他收入：</w:t>
      </w:r>
      <w:r>
        <w:rPr>
          <w:rFonts w:hint="eastAsia" w:ascii="方正仿宋_GBK" w:hAnsi="方正仿宋_GBK" w:eastAsia="方正仿宋_GBK" w:cs="方正仿宋_GBK"/>
          <w:kern w:val="0"/>
          <w:sz w:val="32"/>
          <w:szCs w:val="32"/>
        </w:rPr>
        <w:t>指单位取得的除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（五）使用非财政拨款结余：</w:t>
      </w:r>
      <w:r>
        <w:rPr>
          <w:rFonts w:hint="eastAsia" w:ascii="方正仿宋_GBK" w:hAnsi="方正仿宋_GBK" w:eastAsia="方正仿宋_GBK" w:cs="方正仿宋_GBK"/>
          <w:kern w:val="0"/>
          <w:sz w:val="32"/>
          <w:szCs w:val="32"/>
        </w:rPr>
        <w:t>指单位在当年的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外的其他支出。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（十二）“三公”经费：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七、决算公开联系方式及信息反馈渠道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联系人：杨晶</w:t>
      </w: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办公电话：</w:t>
      </w:r>
      <w:r>
        <w:rPr>
          <w:rFonts w:hint="default" w:ascii="Times New Roman" w:hAnsi="Times New Roman" w:eastAsia="方正仿宋_GBK" w:cs="Times New Roman"/>
          <w:kern w:val="0"/>
          <w:sz w:val="32"/>
          <w:szCs w:val="32"/>
        </w:rPr>
        <w:t>023-55633558</w:t>
      </w:r>
    </w:p>
    <w:p>
      <w:pPr>
        <w:pStyle w:val="20"/>
        <w:keepNext w:val="0"/>
        <w:keepLines w:val="0"/>
        <w:pageBreakBefore w:val="0"/>
        <w:widowControl/>
        <w:suppressLineNumbers w:val="0"/>
        <w:kinsoku/>
        <w:wordWrap/>
        <w:overflowPunct/>
        <w:topLinePunct w:val="0"/>
        <w:autoSpaceDN/>
        <w:bidi w:val="0"/>
        <w:adjustRightInd/>
        <w:snapToGrid/>
        <w:spacing w:before="0" w:beforeAutospacing="0" w:afterAutospacing="0"/>
        <w:ind w:lef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p>
    <w:sectPr>
      <w:pgSz w:w="11915" w:h="16851"/>
      <w:pgMar w:top="2098" w:right="1531" w:bottom="1984" w:left="1531" w:header="851" w:footer="1474"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63F5B2F1-F8E8-4693-9DA6-3B476D417D8E}"/>
  </w:font>
  <w:font w:name="方正仿宋_GBK">
    <w:panose1 w:val="02000000000000000000"/>
    <w:charset w:val="86"/>
    <w:family w:val="auto"/>
    <w:pitch w:val="default"/>
    <w:sig w:usb0="A00002BF" w:usb1="38CF7CFA" w:usb2="00082016" w:usb3="00000000" w:csb0="00040001" w:csb1="00000000"/>
    <w:embedRegular r:id="rId2" w:fontKey="{0450C9DE-5DE4-446A-9419-EC0BAE74B9BC}"/>
  </w:font>
  <w:font w:name="方正黑体_GBK">
    <w:panose1 w:val="03000509000000000000"/>
    <w:charset w:val="86"/>
    <w:family w:val="auto"/>
    <w:pitch w:val="default"/>
    <w:sig w:usb0="00000001" w:usb1="080E0000" w:usb2="00000000" w:usb3="00000000" w:csb0="00040000" w:csb1="00000000"/>
    <w:embedRegular r:id="rId3" w:fontKey="{56897E86-1DE2-4368-B501-6B13E6272FD0}"/>
  </w:font>
  <w:font w:name="方正楷体_GBK">
    <w:panose1 w:val="02000000000000000000"/>
    <w:charset w:val="86"/>
    <w:family w:val="auto"/>
    <w:pitch w:val="default"/>
    <w:sig w:usb0="800002BF" w:usb1="38CF7CFA" w:usb2="00000016" w:usb3="00000000" w:csb0="00040000" w:csb1="00000000"/>
    <w:embedRegular r:id="rId4" w:fontKey="{D28673FF-AA0F-4C71-A6F5-8B562548685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GVhZjY5ODcxNTU2OGIxZTg3MDNlYWQ5MGJhOGEifQ=="/>
  </w:docVars>
  <w:rsids>
    <w:rsidRoot w:val="00000000"/>
    <w:rsid w:val="27A40F54"/>
    <w:rsid w:val="50B77517"/>
    <w:rsid w:val="709561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21"/>
    <w:basedOn w:val="11"/>
    <w:qFormat/>
    <w:uiPriority w:val="0"/>
    <w:rPr>
      <w:rFonts w:hint="default" w:ascii="Times New Roman" w:hAnsi="Times New Roman" w:cs="Times New Roman"/>
    </w:rPr>
  </w:style>
  <w:style w:type="paragraph" w:customStyle="1" w:styleId="13">
    <w:name w:val="HTML 预设格式 Char Char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15"/>
    <w:basedOn w:val="11"/>
    <w:qFormat/>
    <w:uiPriority w:val="0"/>
    <w:rPr>
      <w:rFonts w:hint="default" w:ascii="Times New Roman" w:hAnsi="Times New Roman" w:cs="Times New Roman"/>
    </w:rPr>
  </w:style>
  <w:style w:type="paragraph" w:customStyle="1" w:styleId="16">
    <w:name w:val="HTML 预设格式 Char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7">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16"/>
    <w:basedOn w:val="11"/>
    <w:qFormat/>
    <w:uiPriority w:val="0"/>
    <w:rPr>
      <w:rFonts w:hint="default" w:ascii="Times New Roman" w:hAnsi="Times New Roman" w:cs="Times New Roman"/>
    </w:rPr>
  </w:style>
  <w:style w:type="character" w:customStyle="1" w:styleId="19">
    <w:name w:val="17"/>
    <w:basedOn w:val="11"/>
    <w:qFormat/>
    <w:uiPriority w:val="0"/>
    <w:rPr>
      <w:rFonts w:hint="default" w:ascii="Times New Roman" w:hAnsi="Times New Roman" w:cs="Times New Roman"/>
    </w:rPr>
  </w:style>
  <w:style w:type="paragraph" w:customStyle="1" w:styleId="20">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1">
    <w:name w:val="10"/>
    <w:basedOn w:val="11"/>
    <w:qFormat/>
    <w:uiPriority w:val="0"/>
    <w:rPr>
      <w:rFonts w:hint="default" w:ascii="Times New Roman" w:hAnsi="Times New Roman" w:cs="Times New Roman"/>
    </w:rPr>
  </w:style>
  <w:style w:type="paragraph" w:customStyle="1" w:styleId="22">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3">
    <w:name w:val="18"/>
    <w:basedOn w:val="11"/>
    <w:qFormat/>
    <w:uiPriority w:val="0"/>
    <w:rPr>
      <w:rFonts w:hint="default" w:ascii="Times New Roman" w:hAnsi="Times New Roman" w:cs="Times New Roman"/>
    </w:rPr>
  </w:style>
  <w:style w:type="character" w:customStyle="1" w:styleId="24">
    <w:name w:val="19"/>
    <w:basedOn w:val="11"/>
    <w:qFormat/>
    <w:uiPriority w:val="0"/>
    <w:rPr>
      <w:rFonts w:hint="default" w:ascii="Times New Roman" w:hAnsi="Times New Roman" w:cs="Times New Roman"/>
    </w:rPr>
  </w:style>
  <w:style w:type="character" w:customStyle="1" w:styleId="25">
    <w:name w:val="20"/>
    <w:basedOn w:val="11"/>
    <w:qFormat/>
    <w:uiPriority w:val="0"/>
    <w:rPr>
      <w:rFonts w:hint="default" w:ascii="Times New Roman" w:hAnsi="Times New Roman" w:cs="Times New Roman"/>
    </w:rPr>
  </w:style>
  <w:style w:type="character" w:customStyle="1" w:styleId="26">
    <w:name w:val="22"/>
    <w:basedOn w:val="11"/>
    <w:qFormat/>
    <w:uiPriority w:val="0"/>
    <w:rPr>
      <w:rFonts w:hint="default" w:ascii="Times New Roman" w:hAnsi="Times New Roman" w:cs="Times New Roman"/>
      <w:b/>
      <w:bCs/>
    </w:rPr>
  </w:style>
  <w:style w:type="character" w:customStyle="1" w:styleId="27">
    <w:name w:val="23"/>
    <w:basedOn w:val="11"/>
    <w:qFormat/>
    <w:uiPriority w:val="0"/>
    <w:rPr>
      <w:rFonts w:hint="default" w:ascii="Times New Roman" w:hAnsi="Times New Roman" w:cs="Times New Roman"/>
    </w:rPr>
  </w:style>
  <w:style w:type="paragraph" w:customStyle="1" w:styleId="28">
    <w:name w:val="pre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0">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2023-10-24T02:40:00Z</dcterms:created>
  <dc:creator>Administrator.PC-20190704LKPV</dc:creator>
  <cp:lastModifiedBy>任以春</cp:lastModifiedBy>
  <dcterms:modified xsi:type="dcterms:W3CDTF">2023-11-01T09:00:07Z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DF7AA2A5D74A49228C780834880FFDB8_13</vt:lpwstr>
  </property>
</Properties>
</file>