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color w:val="auto"/>
          <w:sz w:val="36"/>
          <w:szCs w:val="36"/>
          <w:highlight w:val="none"/>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880" w:firstLineChars="200"/>
        <w:jc w:val="center"/>
        <w:textAlignment w:val="auto"/>
        <w:rPr>
          <w:rFonts w:hint="default" w:ascii="方正小标宋_GBK" w:hAnsi="方正小标宋_GBK" w:eastAsia="方正小标宋_GBK" w:cs="方正小标宋_GBK"/>
          <w:b w:val="0"/>
          <w:bCs w:val="0"/>
          <w:sz w:val="44"/>
          <w:szCs w:val="44"/>
          <w:lang w:val="en-US" w:eastAsia="zh-CN"/>
        </w:rPr>
      </w:pPr>
      <w:r>
        <w:rPr>
          <w:rFonts w:hint="default" w:ascii="方正小标宋_GBK" w:hAnsi="方正小标宋_GBK" w:eastAsia="方正小标宋_GBK" w:cs="方正小标宋_GBK"/>
          <w:b w:val="0"/>
          <w:bCs w:val="0"/>
          <w:sz w:val="44"/>
          <w:szCs w:val="44"/>
          <w:lang w:val="en-US" w:eastAsia="zh-CN"/>
        </w:rPr>
        <w:t>重庆市云阳县路阳镇便民服务中心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880" w:firstLineChars="200"/>
        <w:jc w:val="center"/>
        <w:textAlignment w:val="auto"/>
        <w:rPr>
          <w:rFonts w:hint="default" w:ascii="方正小标宋_GBK" w:hAnsi="方正小标宋_GBK" w:eastAsia="方正小标宋_GBK" w:cs="方正小标宋_GBK"/>
          <w:b w:val="0"/>
          <w:bCs w:val="0"/>
          <w:sz w:val="44"/>
          <w:szCs w:val="44"/>
          <w:lang w:val="en-US" w:eastAsia="zh-CN"/>
        </w:rPr>
      </w:pPr>
      <w:r>
        <w:rPr>
          <w:rFonts w:hint="default" w:ascii="方正小标宋_GBK" w:hAnsi="方正小标宋_GBK" w:eastAsia="方正小标宋_GBK" w:cs="方正小标宋_GBK"/>
          <w:b w:val="0"/>
          <w:bCs w:val="0"/>
          <w:sz w:val="44"/>
          <w:szCs w:val="44"/>
          <w:lang w:val="en-US" w:eastAsia="zh-CN"/>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（一）职能职责</w:t>
      </w:r>
    </w:p>
    <w:p>
      <w:pPr>
        <w:pStyle w:val="6"/>
        <w:shd w:val="clear" w:color="auto" w:fill="FFFFFF"/>
        <w:ind w:firstLine="420"/>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负责国家就业方针政策及劳动和社会保障有关法律、法规的宣传咨询工作；负责建立辖区内居民的就业和社会保障的台账，实行动态管理；负责就业和培训信息的收集、发布，为辖区居民提供就业指导、职业介绍和职业培训服务，对就业困难人员实施援助；协助做好辖区内城乡居民养老保险金的收缴、发放、查询、变更和生存认证等工作；做好各类报表的统计、汇报、分析和上报工作；做好上级部门交办的其他工作。</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w:t>
      </w:r>
      <w:r>
        <w:rPr>
          <w:rStyle w:val="10"/>
          <w:rFonts w:hint="eastAsia" w:ascii="方正楷体_GBK" w:hAnsi="方正楷体_GBK" w:eastAsia="方正楷体_GBK" w:cs="方正楷体_GBK"/>
          <w:b w:val="0"/>
          <w:bCs/>
          <w:sz w:val="32"/>
          <w:szCs w:val="32"/>
          <w:shd w:val="clear" w:color="auto" w:fill="FFFFFF"/>
          <w:lang w:val="en-US" w:eastAsia="zh-CN"/>
        </w:rPr>
        <w:t>二</w:t>
      </w:r>
      <w:r>
        <w:rPr>
          <w:rStyle w:val="10"/>
          <w:rFonts w:hint="eastAsia" w:ascii="方正楷体_GBK" w:hAnsi="方正楷体_GBK" w:eastAsia="方正楷体_GBK" w:cs="方正楷体_GBK"/>
          <w:b w:val="0"/>
          <w:bCs/>
          <w:sz w:val="32"/>
          <w:szCs w:val="32"/>
          <w:shd w:val="clear" w:color="auto" w:fill="FFFFFF"/>
        </w:rPr>
        <w:t>）机构设置</w:t>
      </w:r>
    </w:p>
    <w:p>
      <w:pPr>
        <w:pStyle w:val="6"/>
        <w:numPr>
          <w:ilvl w:val="0"/>
          <w:numId w:val="0"/>
        </w:numPr>
        <w:shd w:val="clear" w:color="auto" w:fill="FFFFFF"/>
        <w:ind w:firstLine="640" w:firstLineChars="200"/>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本单位为路阳镇人民政府下属单位，无独立的机构设置。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（一）收入支出决算总体情况说明</w:t>
      </w:r>
    </w:p>
    <w:p>
      <w:pPr>
        <w:pStyle w:val="6"/>
        <w:shd w:val="clear" w:color="auto" w:fill="FFFFFF"/>
        <w:ind w:firstLine="640" w:firstLineChars="200"/>
        <w:rPr>
          <w:rFonts w:hint="eastAsia" w:ascii="方正仿宋_GBK" w:hAnsi="方正仿宋_GBK" w:eastAsia="方正仿宋_GBK" w:cs="方正仿宋_GBK"/>
          <w:color w:val="auto"/>
          <w:sz w:val="32"/>
          <w:szCs w:val="32"/>
          <w:highlight w:val="none"/>
          <w:lang w:eastAsia="zh-CN"/>
        </w:rPr>
      </w:pPr>
      <w:r>
        <w:rPr>
          <w:rStyle w:val="10"/>
          <w:rFonts w:ascii="方正仿宋_GBK" w:hAnsi="方正仿宋_GBK" w:eastAsia="方正仿宋_GBK" w:cs="方正仿宋_GBK"/>
          <w:color w:val="auto"/>
          <w:sz w:val="32"/>
          <w:szCs w:val="32"/>
          <w:highlight w:val="none"/>
          <w:shd w:val="clear" w:color="auto" w:fill="FFFFFF"/>
        </w:rPr>
        <w:t>1.总体情况。</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度收入总计80.50万元，支出总计</w:t>
      </w:r>
      <w:r>
        <w:rPr>
          <w:rFonts w:ascii="方正仿宋_GBK" w:hAnsi="方正仿宋_GBK" w:eastAsia="方正仿宋_GBK" w:cs="方正仿宋_GBK"/>
          <w:color w:val="auto"/>
          <w:sz w:val="32"/>
          <w:szCs w:val="32"/>
          <w:highlight w:val="none"/>
        </w:rPr>
        <w:t>80.50</w:t>
      </w:r>
      <w:r>
        <w:rPr>
          <w:rFonts w:ascii="方正仿宋_GBK" w:hAnsi="方正仿宋_GBK" w:eastAsia="方正仿宋_GBK" w:cs="方正仿宋_GBK"/>
          <w:color w:val="auto"/>
          <w:sz w:val="32"/>
          <w:szCs w:val="32"/>
          <w:highlight w:val="none"/>
          <w:shd w:val="clear" w:color="auto" w:fill="FFFFFF"/>
        </w:rPr>
        <w:t>万元。收、支与2023年度相比，增加80.50万元，增长100.0%，主要原因是我单位为2024年新设置预算单位，无法与上年同期数进行比较</w:t>
      </w:r>
      <w:r>
        <w:rPr>
          <w:rFonts w:hint="eastAsia" w:ascii="方正仿宋_GBK" w:hAnsi="方正仿宋_GBK" w:eastAsia="方正仿宋_GBK" w:cs="方正仿宋_GBK"/>
          <w:color w:val="auto"/>
          <w:sz w:val="32"/>
          <w:szCs w:val="32"/>
          <w:highlight w:val="none"/>
          <w:shd w:val="clear" w:color="auto" w:fill="FFFFFF"/>
          <w:lang w:eastAsia="zh-CN"/>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2.收入情况。</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度收入合计80.50万元，与2023年度相比，增加80.50万元，增长100.0%，主要原因是我单位为2024年新设置预算单位，无法与上年同期数进行比较</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其中：财政拨款收入</w:t>
      </w:r>
      <w:r>
        <w:rPr>
          <w:rFonts w:ascii="方正仿宋_GBK" w:hAnsi="方正仿宋_GBK" w:eastAsia="方正仿宋_GBK" w:cs="方正仿宋_GBK"/>
          <w:color w:val="auto"/>
          <w:sz w:val="32"/>
          <w:szCs w:val="32"/>
          <w:highlight w:val="none"/>
        </w:rPr>
        <w:t>80.50</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100.00</w:t>
      </w:r>
      <w:r>
        <w:rPr>
          <w:rFonts w:ascii="方正仿宋_GBK" w:hAnsi="方正仿宋_GBK" w:eastAsia="方正仿宋_GBK" w:cs="方正仿宋_GBK"/>
          <w:color w:val="auto"/>
          <w:sz w:val="32"/>
          <w:szCs w:val="32"/>
          <w:highlight w:val="none"/>
          <w:shd w:val="clear" w:color="auto" w:fill="FFFFFF"/>
        </w:rPr>
        <w:t>%；事业收入</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万元，占0.00%；经营收入</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万元，占0.00%；其他收入</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万元，占0.00%。此外，使用非财政拨款结余和专用结余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万元，年初结转和结余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3.支出情况。</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度支出合计</w:t>
      </w:r>
      <w:r>
        <w:rPr>
          <w:rFonts w:ascii="方正仿宋_GBK" w:hAnsi="方正仿宋_GBK" w:eastAsia="方正仿宋_GBK" w:cs="方正仿宋_GBK"/>
          <w:color w:val="auto"/>
          <w:sz w:val="32"/>
          <w:szCs w:val="32"/>
          <w:highlight w:val="none"/>
        </w:rPr>
        <w:t>80.50</w:t>
      </w:r>
      <w:r>
        <w:rPr>
          <w:rFonts w:ascii="方正仿宋_GBK" w:hAnsi="方正仿宋_GBK" w:eastAsia="方正仿宋_GBK" w:cs="方正仿宋_GBK"/>
          <w:color w:val="auto"/>
          <w:sz w:val="32"/>
          <w:szCs w:val="32"/>
          <w:highlight w:val="none"/>
          <w:shd w:val="clear" w:color="auto" w:fill="FFFFFF"/>
        </w:rPr>
        <w:t>万元，与2023年度相比，增加80.50万元，增长100.0%，主要原因是我单位为2024年新设置预算单位，无法与上年同期数进行比较</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其中：基本支出</w:t>
      </w:r>
      <w:r>
        <w:rPr>
          <w:rFonts w:ascii="方正仿宋_GBK" w:hAnsi="方正仿宋_GBK" w:eastAsia="方正仿宋_GBK" w:cs="方正仿宋_GBK"/>
          <w:color w:val="auto"/>
          <w:sz w:val="32"/>
          <w:szCs w:val="32"/>
          <w:highlight w:val="none"/>
        </w:rPr>
        <w:t>80.50</w:t>
      </w:r>
      <w:r>
        <w:rPr>
          <w:rFonts w:ascii="方正仿宋_GBK" w:hAnsi="方正仿宋_GBK" w:eastAsia="方正仿宋_GBK" w:cs="方正仿宋_GBK"/>
          <w:color w:val="auto"/>
          <w:sz w:val="32"/>
          <w:szCs w:val="32"/>
          <w:highlight w:val="none"/>
          <w:shd w:val="clear" w:color="auto" w:fill="FFFFFF"/>
        </w:rPr>
        <w:t>万元，占100.00%；项目支出</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万元，占0.00%；经营支出</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万元，占0.00%。此外，结余分配</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w:t>
      </w:r>
    </w:p>
    <w:p>
      <w:pPr>
        <w:numPr>
          <w:ilvl w:val="0"/>
          <w:numId w:val="0"/>
        </w:numPr>
        <w:rPr>
          <w:rFonts w:hint="default" w:ascii="方正仿宋_GBK" w:hAnsi="方正仿宋_GBK" w:eastAsia="方正仿宋_GBK" w:cs="方正仿宋_GBK"/>
          <w:color w:val="auto"/>
          <w:sz w:val="32"/>
          <w:szCs w:val="32"/>
          <w:highlight w:val="none"/>
          <w:shd w:val="clear" w:color="auto" w:fill="FFFFFF"/>
          <w:lang w:val="en-US" w:eastAsia="zh-CN"/>
        </w:rPr>
      </w:pPr>
      <w:r>
        <w:rPr>
          <w:rStyle w:val="10"/>
          <w:rFonts w:ascii="方正仿宋_GBK" w:hAnsi="方正仿宋_GBK" w:eastAsia="方正仿宋_GBK" w:cs="方正仿宋_GBK"/>
          <w:color w:val="auto"/>
          <w:sz w:val="32"/>
          <w:szCs w:val="32"/>
          <w:highlight w:val="none"/>
          <w:shd w:val="clear" w:color="auto" w:fill="FFFFFF"/>
        </w:rPr>
        <w:t>4.结转结余情况。</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度年末结转和结余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万元，与2023年度相比，无增减，主要原因是</w:t>
      </w:r>
      <w:r>
        <w:rPr>
          <w:rFonts w:hint="eastAsia" w:ascii="方正仿宋_GBK" w:hAnsi="方正仿宋_GBK" w:eastAsia="方正仿宋_GBK" w:cs="方正仿宋_GBK"/>
          <w:color w:val="auto"/>
          <w:sz w:val="32"/>
          <w:szCs w:val="32"/>
          <w:highlight w:val="none"/>
          <w:shd w:val="clear" w:color="auto" w:fill="FFFFFF"/>
          <w:lang w:val="en-US" w:eastAsia="zh-CN"/>
        </w:rPr>
        <w:t>我单位为2024年新设置预算单位，无法与上年同期数进行比较。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度财政拨款收、支总计80.50万元。与202</w:t>
      </w:r>
      <w:r>
        <w:rPr>
          <w:rFonts w:hint="eastAsia" w:ascii="方正仿宋_GBK" w:hAnsi="方正仿宋_GBK" w:eastAsia="方正仿宋_GBK" w:cs="方正仿宋_GBK"/>
          <w:color w:val="auto"/>
          <w:sz w:val="32"/>
          <w:szCs w:val="32"/>
          <w:highlight w:val="none"/>
          <w:shd w:val="clear" w:color="auto" w:fill="FFFFFF"/>
          <w:lang w:val="en-US" w:eastAsia="zh-CN"/>
        </w:rPr>
        <w:t>3</w:t>
      </w:r>
      <w:r>
        <w:rPr>
          <w:rFonts w:ascii="方正仿宋_GBK" w:hAnsi="方正仿宋_GBK" w:eastAsia="方正仿宋_GBK" w:cs="方正仿宋_GBK"/>
          <w:color w:val="auto"/>
          <w:sz w:val="32"/>
          <w:szCs w:val="32"/>
          <w:highlight w:val="none"/>
          <w:shd w:val="clear" w:color="auto" w:fill="FFFFFF"/>
        </w:rPr>
        <w:t>年相比，财政拨款收、支总计各增加80.50万元，增长100.0%。主要原因是我单位为2024年新设置预算单位，无法与上年同期数进行比较</w:t>
      </w:r>
      <w:r>
        <w:rPr>
          <w:rFonts w:hint="eastAsia" w:ascii="方正仿宋_GBK" w:hAnsi="方正仿宋_GBK" w:eastAsia="方正仿宋_GBK" w:cs="方正仿宋_GBK"/>
          <w:color w:val="auto"/>
          <w:sz w:val="32"/>
          <w:szCs w:val="32"/>
          <w:highlight w:val="none"/>
          <w:shd w:val="clear" w:color="auto"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Style w:val="10"/>
          <w:rFonts w:ascii="方正仿宋_GBK" w:hAnsi="方正仿宋_GBK" w:eastAsia="方正仿宋_GBK" w:cs="方正仿宋_GBK"/>
          <w:color w:val="auto"/>
          <w:sz w:val="32"/>
          <w:szCs w:val="32"/>
          <w:highlight w:val="none"/>
          <w:shd w:val="clear" w:color="auto" w:fill="FFFFFF"/>
        </w:rPr>
        <w:t>1.收入情况。</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度一般公共预算财政拨款收入</w:t>
      </w:r>
      <w:r>
        <w:rPr>
          <w:rFonts w:ascii="方正仿宋_GBK" w:hAnsi="方正仿宋_GBK" w:eastAsia="方正仿宋_GBK" w:cs="方正仿宋_GBK"/>
          <w:color w:val="auto"/>
          <w:sz w:val="32"/>
          <w:szCs w:val="32"/>
          <w:highlight w:val="none"/>
        </w:rPr>
        <w:t>80.50</w:t>
      </w:r>
      <w:r>
        <w:rPr>
          <w:rFonts w:ascii="方正仿宋_GBK" w:hAnsi="方正仿宋_GBK" w:eastAsia="方正仿宋_GBK" w:cs="方正仿宋_GBK"/>
          <w:color w:val="auto"/>
          <w:sz w:val="32"/>
          <w:szCs w:val="32"/>
          <w:highlight w:val="none"/>
          <w:shd w:val="clear" w:color="auto" w:fill="FFFFFF"/>
        </w:rPr>
        <w:t>万元，与2023年度相比，增加80.50万元，增长100.0%。主要原因是我单位为2024年新设置预算单位，无法与上年同期数进行比较</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较年初预算数减少5.83万元，下降6.8%。主要原因是</w:t>
      </w:r>
      <w:r>
        <w:rPr>
          <w:rFonts w:hint="eastAsia" w:ascii="方正仿宋_GBK" w:hAnsi="方正仿宋_GBK" w:eastAsia="方正仿宋_GBK" w:cs="方正仿宋_GBK"/>
          <w:color w:val="auto"/>
          <w:sz w:val="32"/>
          <w:szCs w:val="32"/>
          <w:highlight w:val="none"/>
          <w:shd w:val="clear" w:color="auto" w:fill="FFFFFF"/>
          <w:lang w:val="en-US" w:eastAsia="zh-CN"/>
        </w:rPr>
        <w:t>机构改革，人员调进调出，追减了预算</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此外，年初财政拨款结转和结余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Style w:val="10"/>
          <w:rFonts w:ascii="方正仿宋_GBK" w:hAnsi="方正仿宋_GBK" w:eastAsia="方正仿宋_GBK" w:cs="方正仿宋_GBK"/>
          <w:color w:val="auto"/>
          <w:sz w:val="32"/>
          <w:szCs w:val="32"/>
          <w:highlight w:val="none"/>
          <w:shd w:val="clear" w:color="auto" w:fill="FFFFFF"/>
        </w:rPr>
        <w:t>2.支出情况。</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度一般公共预算财政拨款支出</w:t>
      </w:r>
      <w:r>
        <w:rPr>
          <w:rFonts w:ascii="方正仿宋_GBK" w:hAnsi="方正仿宋_GBK" w:eastAsia="方正仿宋_GBK" w:cs="方正仿宋_GBK"/>
          <w:color w:val="auto"/>
          <w:sz w:val="32"/>
          <w:szCs w:val="32"/>
          <w:highlight w:val="none"/>
        </w:rPr>
        <w:t>80.50</w:t>
      </w:r>
      <w:r>
        <w:rPr>
          <w:rFonts w:ascii="方正仿宋_GBK" w:hAnsi="方正仿宋_GBK" w:eastAsia="方正仿宋_GBK" w:cs="方正仿宋_GBK"/>
          <w:color w:val="auto"/>
          <w:sz w:val="32"/>
          <w:szCs w:val="32"/>
          <w:highlight w:val="none"/>
          <w:shd w:val="clear" w:color="auto" w:fill="FFFFFF"/>
        </w:rPr>
        <w:t>万元，与2023年度相比，增加80.50万元，增长100.0%。主要原因是我单位为2024年新设置预算单位，无法与上年同期数进行比较</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较年初预算数减少5.83万元，下降6.8%。主要原因是</w:t>
      </w:r>
      <w:r>
        <w:rPr>
          <w:rFonts w:hint="eastAsia" w:ascii="方正仿宋_GBK" w:hAnsi="方正仿宋_GBK" w:eastAsia="方正仿宋_GBK" w:cs="方正仿宋_GBK"/>
          <w:color w:val="auto"/>
          <w:sz w:val="32"/>
          <w:szCs w:val="32"/>
          <w:highlight w:val="none"/>
          <w:shd w:val="clear" w:color="auto" w:fill="FFFFFF"/>
          <w:lang w:val="en-US" w:eastAsia="zh-CN"/>
        </w:rPr>
        <w:t>机构改革，人员调进调出，追减了预算</w:t>
      </w:r>
      <w:r>
        <w:rPr>
          <w:rFonts w:hint="eastAsia" w:ascii="方正仿宋_GBK" w:hAnsi="方正仿宋_GBK" w:eastAsia="方正仿宋_GBK" w:cs="方正仿宋_GBK"/>
          <w:color w:val="auto"/>
          <w:sz w:val="32"/>
          <w:szCs w:val="32"/>
          <w:highlight w:val="none"/>
          <w:shd w:val="clear" w:color="auto" w:fill="FFFFFF"/>
          <w:lang w:eastAsia="zh-CN"/>
        </w:rPr>
        <w:t>。</w:t>
      </w:r>
    </w:p>
    <w:p>
      <w:pPr>
        <w:numPr>
          <w:ilvl w:val="0"/>
          <w:numId w:val="0"/>
        </w:numPr>
        <w:ind w:firstLine="640" w:firstLineChars="200"/>
        <w:rPr>
          <w:rFonts w:hint="eastAsia" w:ascii="方正仿宋_GBK" w:hAnsi="方正仿宋_GBK" w:eastAsia="方正仿宋_GBK" w:cs="方正仿宋_GBK"/>
          <w:color w:val="auto"/>
          <w:sz w:val="32"/>
          <w:szCs w:val="32"/>
          <w:highlight w:val="none"/>
          <w:shd w:val="clear" w:color="auto" w:fill="FFFFFF"/>
          <w:lang w:val="en-US" w:eastAsia="zh-CN"/>
        </w:rPr>
      </w:pPr>
      <w:r>
        <w:rPr>
          <w:rStyle w:val="10"/>
          <w:rFonts w:ascii="方正仿宋_GBK" w:hAnsi="方正仿宋_GBK" w:eastAsia="方正仿宋_GBK" w:cs="方正仿宋_GBK"/>
          <w:color w:val="auto"/>
          <w:sz w:val="32"/>
          <w:szCs w:val="32"/>
          <w:highlight w:val="none"/>
          <w:shd w:val="clear" w:color="auto" w:fill="FFFFFF"/>
        </w:rPr>
        <w:t>3.结转结余情况。</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度年末一般公共预算财政拨款结转和结余</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万元，与2023年度相比，无增减，主要原因是</w:t>
      </w:r>
      <w:r>
        <w:rPr>
          <w:rFonts w:hint="eastAsia" w:ascii="方正仿宋_GBK" w:hAnsi="方正仿宋_GBK" w:eastAsia="方正仿宋_GBK" w:cs="方正仿宋_GBK"/>
          <w:color w:val="auto"/>
          <w:sz w:val="32"/>
          <w:szCs w:val="32"/>
          <w:highlight w:val="none"/>
          <w:shd w:val="clear" w:color="auto" w:fill="FFFFFF"/>
          <w:lang w:val="en-US" w:eastAsia="zh-CN"/>
        </w:rPr>
        <w:t>我单位为2024年新设置预算单位，无法与上年同期数进行比较。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color w:val="auto"/>
          <w:sz w:val="32"/>
          <w:szCs w:val="32"/>
          <w:highlight w:val="none"/>
          <w:shd w:val="clear" w:color="auto" w:fill="FFFFFF"/>
        </w:rPr>
        <w:t xml:space="preserve"> 4.比较情况。</w:t>
      </w:r>
      <w:r>
        <w:rPr>
          <w:rFonts w:ascii="方正仿宋_GBK" w:hAnsi="方正仿宋_GBK" w:eastAsia="方正仿宋_GBK" w:cs="方正仿宋_GBK"/>
          <w:color w:val="auto"/>
          <w:sz w:val="32"/>
          <w:szCs w:val="32"/>
          <w:highlight w:val="none"/>
          <w:shd w:val="clear" w:color="auto" w:fill="FFFFFF"/>
        </w:rPr>
        <w:t>本部门</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color w:val="auto"/>
          <w:sz w:val="32"/>
          <w:szCs w:val="32"/>
          <w:highlight w:val="none"/>
          <w:shd w:val="clear" w:color="auto" w:fill="FFFFFF"/>
        </w:rPr>
        <w:t>（1）一般公共服务支出</w:t>
      </w:r>
      <w:r>
        <w:rPr>
          <w:rFonts w:ascii="方正仿宋_GBK" w:hAnsi="方正仿宋_GBK" w:eastAsia="方正仿宋_GBK" w:cs="方正仿宋_GBK"/>
          <w:color w:val="auto"/>
          <w:sz w:val="32"/>
          <w:szCs w:val="32"/>
          <w:highlight w:val="none"/>
        </w:rPr>
        <w:t>24.51</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30.44</w:t>
      </w:r>
      <w:r>
        <w:rPr>
          <w:rFonts w:ascii="方正仿宋_GBK" w:hAnsi="方正仿宋_GBK" w:eastAsia="方正仿宋_GBK" w:cs="方正仿宋_GBK"/>
          <w:color w:val="auto"/>
          <w:sz w:val="32"/>
          <w:szCs w:val="32"/>
          <w:highlight w:val="none"/>
          <w:shd w:val="clear" w:color="auto" w:fill="FFFFFF"/>
        </w:rPr>
        <w:t>%，较年初预算数增加24.51万元，增长100.0%，主要原因是我单位为2024年新设置预算单位，无法与上年同期数进行比较</w:t>
      </w:r>
      <w:r>
        <w:rPr>
          <w:rFonts w:hint="eastAsia" w:ascii="方正仿宋_GBK" w:hAnsi="方正仿宋_GBK" w:eastAsia="方正仿宋_GBK" w:cs="方正仿宋_GBK"/>
          <w:color w:val="auto"/>
          <w:sz w:val="32"/>
          <w:szCs w:val="32"/>
          <w:highlight w:val="none"/>
          <w:shd w:val="clear" w:color="auto" w:fill="FFFFFF"/>
          <w:lang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color w:val="auto"/>
          <w:sz w:val="32"/>
          <w:szCs w:val="32"/>
          <w:highlight w:val="none"/>
          <w:shd w:val="clear" w:color="auto" w:fill="FFFFFF"/>
        </w:rPr>
        <w:t>（2）社会保障与就业支出</w:t>
      </w:r>
      <w:r>
        <w:rPr>
          <w:rFonts w:ascii="方正仿宋_GBK" w:hAnsi="方正仿宋_GBK" w:eastAsia="方正仿宋_GBK" w:cs="方正仿宋_GBK"/>
          <w:color w:val="auto"/>
          <w:sz w:val="32"/>
          <w:szCs w:val="32"/>
          <w:highlight w:val="none"/>
        </w:rPr>
        <w:t>47.23</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58.66</w:t>
      </w:r>
      <w:r>
        <w:rPr>
          <w:rFonts w:ascii="方正仿宋_GBK" w:hAnsi="方正仿宋_GBK" w:eastAsia="方正仿宋_GBK" w:cs="方正仿宋_GBK"/>
          <w:color w:val="auto"/>
          <w:sz w:val="32"/>
          <w:szCs w:val="32"/>
          <w:highlight w:val="none"/>
          <w:shd w:val="clear" w:color="auto" w:fill="FFFFFF"/>
        </w:rPr>
        <w:t>%，较年初预算数减少30.21万元，下降39.0%，主要原因是</w:t>
      </w:r>
      <w:r>
        <w:rPr>
          <w:rFonts w:hint="eastAsia" w:ascii="方正仿宋_GBK" w:hAnsi="方正仿宋_GBK" w:eastAsia="方正仿宋_GBK" w:cs="方正仿宋_GBK"/>
          <w:color w:val="auto"/>
          <w:sz w:val="32"/>
          <w:szCs w:val="32"/>
          <w:highlight w:val="none"/>
          <w:shd w:val="clear" w:color="auto" w:fill="FFFFFF"/>
          <w:lang w:val="en-US" w:eastAsia="zh-CN"/>
        </w:rPr>
        <w:t>机构改革，人员调进调出，追减了预算</w:t>
      </w:r>
      <w:r>
        <w:rPr>
          <w:rFonts w:hint="eastAsia" w:ascii="方正仿宋_GBK" w:hAnsi="方正仿宋_GBK" w:eastAsia="方正仿宋_GBK" w:cs="方正仿宋_GBK"/>
          <w:color w:val="auto"/>
          <w:sz w:val="32"/>
          <w:szCs w:val="32"/>
          <w:highlight w:val="none"/>
          <w:shd w:val="clear" w:color="auto" w:fill="FFFFFF"/>
          <w:lang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3</w:t>
      </w:r>
      <w:r>
        <w:rPr>
          <w:rFonts w:ascii="方正仿宋_GBK" w:hAnsi="方正仿宋_GBK" w:eastAsia="方正仿宋_GBK" w:cs="方正仿宋_GBK"/>
          <w:color w:val="auto"/>
          <w:sz w:val="32"/>
          <w:szCs w:val="32"/>
          <w:highlight w:val="none"/>
          <w:shd w:val="clear" w:color="auto" w:fill="FFFFFF"/>
        </w:rPr>
        <w:t>）卫生健康支出</w:t>
      </w:r>
      <w:r>
        <w:rPr>
          <w:rFonts w:ascii="方正仿宋_GBK" w:hAnsi="方正仿宋_GBK" w:eastAsia="方正仿宋_GBK" w:cs="方正仿宋_GBK"/>
          <w:color w:val="auto"/>
          <w:sz w:val="32"/>
          <w:szCs w:val="32"/>
          <w:highlight w:val="none"/>
        </w:rPr>
        <w:t>4.12</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5.12</w:t>
      </w:r>
      <w:r>
        <w:rPr>
          <w:rFonts w:ascii="方正仿宋_GBK" w:hAnsi="方正仿宋_GBK" w:eastAsia="方正仿宋_GBK" w:cs="方正仿宋_GBK"/>
          <w:color w:val="auto"/>
          <w:sz w:val="32"/>
          <w:szCs w:val="32"/>
          <w:highlight w:val="none"/>
          <w:shd w:val="clear" w:color="auto" w:fill="FFFFFF"/>
        </w:rPr>
        <w:t>%，较年初预算数减少0.36万元，下降8.0%，主要原因是</w:t>
      </w:r>
      <w:r>
        <w:rPr>
          <w:rFonts w:hint="eastAsia" w:ascii="方正仿宋_GBK" w:hAnsi="方正仿宋_GBK" w:eastAsia="方正仿宋_GBK" w:cs="方正仿宋_GBK"/>
          <w:color w:val="auto"/>
          <w:sz w:val="32"/>
          <w:szCs w:val="32"/>
          <w:highlight w:val="none"/>
          <w:shd w:val="clear" w:color="auto" w:fill="FFFFFF"/>
          <w:lang w:val="en-US" w:eastAsia="zh-CN"/>
        </w:rPr>
        <w:t>机构改革，人员调进调出，追减了预算</w:t>
      </w:r>
      <w:r>
        <w:rPr>
          <w:rFonts w:hint="eastAsia" w:ascii="方正仿宋_GBK" w:hAnsi="方正仿宋_GBK" w:eastAsia="方正仿宋_GBK" w:cs="方正仿宋_GBK"/>
          <w:color w:val="auto"/>
          <w:sz w:val="32"/>
          <w:szCs w:val="32"/>
          <w:highlight w:val="none"/>
          <w:shd w:val="clear" w:color="auto" w:fill="FFFFFF"/>
          <w:lang w:eastAsia="zh-CN"/>
        </w:rPr>
        <w:t>。</w:t>
      </w:r>
    </w:p>
    <w:p>
      <w:pPr>
        <w:ind w:firstLine="640" w:firstLineChars="200"/>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4</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rPr>
        <w:t>住房保障支出4.65</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5.77</w:t>
      </w:r>
      <w:r>
        <w:rPr>
          <w:rFonts w:ascii="方正仿宋_GBK" w:hAnsi="方正仿宋_GBK" w:eastAsia="方正仿宋_GBK" w:cs="方正仿宋_GBK"/>
          <w:color w:val="auto"/>
          <w:sz w:val="32"/>
          <w:szCs w:val="32"/>
          <w:highlight w:val="none"/>
          <w:shd w:val="clear" w:color="auto" w:fill="FFFFFF"/>
        </w:rPr>
        <w:t>%，较年初预算数增加0.24万元，增长5.4%，主要原因是</w:t>
      </w:r>
      <w:r>
        <w:rPr>
          <w:rFonts w:hint="eastAsia" w:ascii="方正仿宋_GBK" w:hAnsi="方正仿宋_GBK" w:eastAsia="方正仿宋_GBK" w:cs="方正仿宋_GBK"/>
          <w:color w:val="auto"/>
          <w:sz w:val="32"/>
          <w:szCs w:val="32"/>
          <w:highlight w:val="none"/>
          <w:shd w:val="clear" w:color="auto" w:fill="FFFFFF"/>
          <w:lang w:val="en-US" w:eastAsia="zh-CN"/>
        </w:rPr>
        <w:t>机构改革，人员调进调出，追减了预算</w:t>
      </w:r>
      <w:r>
        <w:rPr>
          <w:rFonts w:hint="eastAsia" w:ascii="方正仿宋_GBK" w:hAnsi="方正仿宋_GBK" w:eastAsia="方正仿宋_GBK" w:cs="方正仿宋_GBK"/>
          <w:color w:val="auto"/>
          <w:sz w:val="32"/>
          <w:szCs w:val="32"/>
          <w:highlight w:val="none"/>
          <w:shd w:val="clear" w:color="auto"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lang w:val="en-US"/>
        </w:rPr>
      </w:pPr>
      <w:r>
        <w:rPr>
          <w:rFonts w:ascii="方正仿宋_GBK" w:hAnsi="方正仿宋_GBK" w:eastAsia="方正仿宋_GBK" w:cs="方正仿宋_GBK"/>
          <w:color w:val="auto"/>
          <w:sz w:val="32"/>
          <w:szCs w:val="32"/>
          <w:highlight w:val="none"/>
          <w:shd w:val="clear" w:color="auto" w:fill="FFFFFF"/>
        </w:rPr>
        <w:t> </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度一般公共财政拨款基本支出</w:t>
      </w:r>
      <w:r>
        <w:rPr>
          <w:rFonts w:ascii="方正仿宋_GBK" w:hAnsi="方正仿宋_GBK" w:eastAsia="方正仿宋_GBK" w:cs="方正仿宋_GBK"/>
          <w:color w:val="auto"/>
          <w:sz w:val="32"/>
          <w:szCs w:val="32"/>
          <w:highlight w:val="none"/>
        </w:rPr>
        <w:t>80.50</w:t>
      </w:r>
      <w:r>
        <w:rPr>
          <w:rFonts w:ascii="方正仿宋_GBK" w:hAnsi="方正仿宋_GBK" w:eastAsia="方正仿宋_GBK" w:cs="方正仿宋_GBK"/>
          <w:color w:val="auto"/>
          <w:sz w:val="32"/>
          <w:szCs w:val="32"/>
          <w:highlight w:val="none"/>
          <w:shd w:val="clear" w:color="auto" w:fill="FFFFFF"/>
        </w:rPr>
        <w:t>万元。其中：人员经费</w:t>
      </w:r>
      <w:r>
        <w:rPr>
          <w:rFonts w:ascii="方正仿宋_GBK" w:hAnsi="方正仿宋_GBK" w:eastAsia="方正仿宋_GBK" w:cs="方正仿宋_GBK"/>
          <w:color w:val="auto"/>
          <w:sz w:val="32"/>
          <w:szCs w:val="32"/>
          <w:highlight w:val="none"/>
        </w:rPr>
        <w:t>79.11</w:t>
      </w:r>
      <w:r>
        <w:rPr>
          <w:rFonts w:ascii="方正仿宋_GBK" w:hAnsi="方正仿宋_GBK" w:eastAsia="方正仿宋_GBK" w:cs="方正仿宋_GBK"/>
          <w:color w:val="auto"/>
          <w:sz w:val="32"/>
          <w:szCs w:val="32"/>
          <w:highlight w:val="none"/>
          <w:shd w:val="clear" w:color="auto" w:fill="FFFFFF"/>
        </w:rPr>
        <w:t>万元，与2023年度相比，增加79.11万元，增长100.0%，主要原因是我单位为2024年新设置预算单位，无法与上年同期数进行比较</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人员经费用途主要包括</w:t>
      </w:r>
      <w:r>
        <w:rPr>
          <w:rFonts w:hint="eastAsia" w:ascii="方正仿宋_GBK" w:hAnsi="方正仿宋_GBK" w:eastAsia="方正仿宋_GBK" w:cs="方正仿宋_GBK"/>
          <w:color w:val="auto"/>
          <w:sz w:val="32"/>
          <w:szCs w:val="32"/>
          <w:highlight w:val="none"/>
          <w:shd w:val="clear" w:color="auto" w:fill="FFFFFF"/>
          <w:lang w:val="en-US" w:eastAsia="zh-CN"/>
        </w:rPr>
        <w:t>工资福利支出。</w:t>
      </w:r>
      <w:r>
        <w:rPr>
          <w:rFonts w:ascii="方正仿宋_GBK" w:hAnsi="方正仿宋_GBK" w:eastAsia="方正仿宋_GBK" w:cs="方正仿宋_GBK"/>
          <w:color w:val="auto"/>
          <w:sz w:val="32"/>
          <w:szCs w:val="32"/>
          <w:highlight w:val="none"/>
          <w:shd w:val="clear" w:color="auto" w:fill="FFFFFF"/>
        </w:rPr>
        <w:t>公用经费</w:t>
      </w:r>
      <w:r>
        <w:rPr>
          <w:rFonts w:ascii="方正仿宋_GBK" w:hAnsi="方正仿宋_GBK" w:eastAsia="方正仿宋_GBK" w:cs="方正仿宋_GBK"/>
          <w:color w:val="auto"/>
          <w:sz w:val="32"/>
          <w:szCs w:val="32"/>
          <w:highlight w:val="none"/>
        </w:rPr>
        <w:t>1.40</w:t>
      </w:r>
      <w:r>
        <w:rPr>
          <w:rFonts w:ascii="方正仿宋_GBK" w:hAnsi="方正仿宋_GBK" w:eastAsia="方正仿宋_GBK" w:cs="方正仿宋_GBK"/>
          <w:color w:val="auto"/>
          <w:sz w:val="32"/>
          <w:szCs w:val="32"/>
          <w:highlight w:val="none"/>
          <w:shd w:val="clear" w:color="auto" w:fill="FFFFFF"/>
        </w:rPr>
        <w:t>万元，与2023年度相比，增加1.40万元，增长100.0%，主要原因是主要原因是我单位为2024年新设置预算单位，无法与上年同期数进行比较</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公用经费用途主要包括</w:t>
      </w:r>
      <w:r>
        <w:rPr>
          <w:rFonts w:hint="eastAsia" w:ascii="方正仿宋_GBK" w:hAnsi="方正仿宋_GBK" w:eastAsia="方正仿宋_GBK" w:cs="方正仿宋_GBK"/>
          <w:color w:val="auto"/>
          <w:sz w:val="32"/>
          <w:szCs w:val="32"/>
          <w:highlight w:val="none"/>
          <w:shd w:val="clear" w:color="auto" w:fill="FFFFFF"/>
          <w:lang w:val="en-US" w:eastAsia="zh-CN"/>
        </w:rPr>
        <w:t>差旅费、办公费、培训费等办公需要的工作经费列支。</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shd w:val="clear" w:color="auto" w:fill="FFFFFF"/>
          <w:lang w:val="en-US" w:eastAsia="zh-CN"/>
        </w:rPr>
        <w:t>本部门2024年度无政府性基金预算财政拨款收支。</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FFFFFF"/>
          <w:lang w:val="en-US" w:eastAsia="zh-CN"/>
        </w:rPr>
      </w:pPr>
      <w:r>
        <w:rPr>
          <w:rFonts w:hint="eastAsia" w:ascii="方正仿宋_GBK" w:hAnsi="方正仿宋_GBK" w:eastAsia="方正仿宋_GBK" w:cs="方正仿宋_GBK"/>
          <w:color w:val="auto"/>
          <w:sz w:val="32"/>
          <w:szCs w:val="32"/>
          <w:highlight w:val="none"/>
          <w:shd w:val="clear" w:color="auto" w:fill="FFFFFF"/>
          <w:lang w:val="en-US" w:eastAsia="zh-CN"/>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度“三公”经费支出共计</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lang w:eastAsia="zh-CN"/>
        </w:rPr>
      </w:pP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度本部门因公出国（境）费用</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万元，主要是用于</w:t>
      </w:r>
      <w:r>
        <w:rPr>
          <w:rFonts w:hint="eastAsia" w:ascii="方正仿宋_GBK" w:hAnsi="方正仿宋_GBK" w:eastAsia="方正仿宋_GBK" w:cs="方正仿宋_GBK"/>
          <w:color w:val="auto"/>
          <w:sz w:val="32"/>
          <w:szCs w:val="32"/>
          <w:highlight w:val="none"/>
          <w:shd w:val="clear" w:color="auto" w:fill="FFFFFF"/>
          <w:lang w:val="en-US" w:eastAsia="zh-CN"/>
        </w:rPr>
        <w:t>本单位出国公务交流的费用。</w:t>
      </w:r>
      <w:r>
        <w:rPr>
          <w:rFonts w:ascii="方正仿宋_GBK" w:hAnsi="方正仿宋_GBK" w:eastAsia="方正仿宋_GBK" w:cs="方正仿宋_GBK"/>
          <w:color w:val="auto"/>
          <w:sz w:val="32"/>
          <w:szCs w:val="32"/>
          <w:highlight w:val="none"/>
          <w:shd w:val="clear" w:color="auto" w:fill="FFFFFF"/>
        </w:rPr>
        <w:t>费用支出较年初预算数无增减，</w:t>
      </w:r>
      <w:r>
        <w:rPr>
          <w:rFonts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kern w:val="0"/>
          <w:sz w:val="32"/>
          <w:szCs w:val="32"/>
          <w:highlight w:val="none"/>
        </w:rPr>
        <w:t>按照</w:t>
      </w:r>
      <w:r>
        <w:rPr>
          <w:rFonts w:hint="eastAsia" w:ascii="方正仿宋_GBK" w:hAnsi="方正仿宋_GBK" w:eastAsia="方正仿宋_GBK" w:cs="方正仿宋_GBK"/>
          <w:kern w:val="0"/>
          <w:sz w:val="32"/>
          <w:szCs w:val="32"/>
          <w:highlight w:val="none"/>
          <w:lang w:eastAsia="zh-CN"/>
        </w:rPr>
        <w:t>单位</w:t>
      </w:r>
      <w:r>
        <w:rPr>
          <w:rFonts w:hint="eastAsia" w:ascii="方正仿宋_GBK" w:hAnsi="方正仿宋_GBK" w:eastAsia="方正仿宋_GBK" w:cs="方正仿宋_GBK"/>
          <w:kern w:val="0"/>
          <w:sz w:val="32"/>
          <w:szCs w:val="32"/>
          <w:highlight w:val="none"/>
        </w:rPr>
        <w:t>决算列报口径，</w:t>
      </w:r>
      <w:r>
        <w:rPr>
          <w:rFonts w:hint="eastAsia" w:ascii="方正仿宋_GBK" w:hAnsi="方正仿宋_GBK" w:eastAsia="方正仿宋_GBK" w:cs="方正仿宋_GBK"/>
          <w:kern w:val="0"/>
          <w:sz w:val="32"/>
          <w:szCs w:val="32"/>
          <w:highlight w:val="none"/>
          <w:lang w:eastAsia="zh-CN"/>
        </w:rPr>
        <w:t>统一在政府机关本级列报</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shd w:val="clear" w:color="auto" w:fill="FFFFFF"/>
          <w:lang w:eastAsia="zh-CN"/>
        </w:rPr>
        <w:t>我</w:t>
      </w:r>
      <w:r>
        <w:rPr>
          <w:rFonts w:ascii="方正仿宋_GBK" w:hAnsi="方正仿宋_GBK" w:eastAsia="方正仿宋_GBK" w:cs="方正仿宋_GBK"/>
          <w:sz w:val="32"/>
          <w:szCs w:val="32"/>
          <w:highlight w:val="none"/>
          <w:shd w:val="clear" w:color="auto" w:fill="FFFFFF"/>
        </w:rPr>
        <w:t>单位为2024年新设置预算单位，无法与上年同期数进行比较</w:t>
      </w:r>
      <w:r>
        <w:rPr>
          <w:rFonts w:hint="eastAsia" w:ascii="方正仿宋_GBK" w:hAnsi="方正仿宋_GBK" w:eastAsia="方正仿宋_GBK" w:cs="方正仿宋_GBK"/>
          <w:sz w:val="32"/>
          <w:szCs w:val="32"/>
          <w:highlight w:val="none"/>
          <w:shd w:val="clear" w:color="auto" w:fill="FFFFFF"/>
          <w:lang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lang w:eastAsia="zh-CN"/>
        </w:rPr>
      </w:pPr>
      <w:r>
        <w:rPr>
          <w:rFonts w:ascii="方正仿宋_GBK" w:hAnsi="方正仿宋_GBK" w:eastAsia="方正仿宋_GBK" w:cs="方正仿宋_GBK"/>
          <w:color w:val="auto"/>
          <w:sz w:val="32"/>
          <w:szCs w:val="32"/>
          <w:highlight w:val="none"/>
          <w:shd w:val="clear" w:color="auto" w:fill="FFFFFF"/>
        </w:rPr>
        <w:t> 公务车购置费</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万元，主要用于</w:t>
      </w:r>
      <w:r>
        <w:rPr>
          <w:rFonts w:hint="eastAsia" w:ascii="方正仿宋_GBK" w:hAnsi="方正仿宋_GBK" w:eastAsia="方正仿宋_GBK" w:cs="方正仿宋_GBK"/>
          <w:color w:val="auto"/>
          <w:sz w:val="32"/>
          <w:szCs w:val="32"/>
          <w:highlight w:val="none"/>
          <w:shd w:val="clear" w:color="auto" w:fill="FFFFFF"/>
          <w:lang w:val="en-US" w:eastAsia="zh-CN"/>
        </w:rPr>
        <w:t>公务用车购置支出。</w:t>
      </w:r>
      <w:r>
        <w:rPr>
          <w:rFonts w:ascii="方正仿宋_GBK" w:hAnsi="方正仿宋_GBK" w:eastAsia="方正仿宋_GBK" w:cs="方正仿宋_GBK"/>
          <w:color w:val="auto"/>
          <w:sz w:val="32"/>
          <w:szCs w:val="32"/>
          <w:highlight w:val="none"/>
          <w:shd w:val="clear" w:color="auto" w:fill="FFFFFF"/>
        </w:rPr>
        <w:t>费用支出较年初预算数无增减，主要原因</w:t>
      </w:r>
      <w:r>
        <w:rPr>
          <w:rFonts w:hint="eastAsia" w:ascii="方正仿宋_GBK" w:hAnsi="方正仿宋_GBK" w:eastAsia="方正仿宋_GBK" w:cs="方正仿宋_GBK"/>
          <w:kern w:val="0"/>
          <w:sz w:val="32"/>
          <w:szCs w:val="32"/>
          <w:highlight w:val="none"/>
        </w:rPr>
        <w:t>按照</w:t>
      </w:r>
      <w:r>
        <w:rPr>
          <w:rFonts w:hint="eastAsia" w:ascii="方正仿宋_GBK" w:hAnsi="方正仿宋_GBK" w:eastAsia="方正仿宋_GBK" w:cs="方正仿宋_GBK"/>
          <w:kern w:val="0"/>
          <w:sz w:val="32"/>
          <w:szCs w:val="32"/>
          <w:highlight w:val="none"/>
          <w:lang w:eastAsia="zh-CN"/>
        </w:rPr>
        <w:t>单位</w:t>
      </w:r>
      <w:r>
        <w:rPr>
          <w:rFonts w:hint="eastAsia" w:ascii="方正仿宋_GBK" w:hAnsi="方正仿宋_GBK" w:eastAsia="方正仿宋_GBK" w:cs="方正仿宋_GBK"/>
          <w:kern w:val="0"/>
          <w:sz w:val="32"/>
          <w:szCs w:val="32"/>
          <w:highlight w:val="none"/>
        </w:rPr>
        <w:t>决算列报口径，</w:t>
      </w:r>
      <w:r>
        <w:rPr>
          <w:rFonts w:hint="eastAsia" w:ascii="方正仿宋_GBK" w:hAnsi="方正仿宋_GBK" w:eastAsia="方正仿宋_GBK" w:cs="方正仿宋_GBK"/>
          <w:kern w:val="0"/>
          <w:sz w:val="32"/>
          <w:szCs w:val="32"/>
          <w:highlight w:val="none"/>
          <w:lang w:eastAsia="zh-CN"/>
        </w:rPr>
        <w:t>统一在政府机关本级列报</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shd w:val="clear" w:color="auto" w:fill="FFFFFF"/>
          <w:lang w:eastAsia="zh-CN"/>
        </w:rPr>
        <w:t>我</w:t>
      </w:r>
      <w:r>
        <w:rPr>
          <w:rFonts w:ascii="方正仿宋_GBK" w:hAnsi="方正仿宋_GBK" w:eastAsia="方正仿宋_GBK" w:cs="方正仿宋_GBK"/>
          <w:sz w:val="32"/>
          <w:szCs w:val="32"/>
          <w:highlight w:val="none"/>
          <w:shd w:val="clear" w:color="auto" w:fill="FFFFFF"/>
        </w:rPr>
        <w:t>单位为2024年新设置预算单位，无法与上年同期数进行比较</w:t>
      </w:r>
      <w:r>
        <w:rPr>
          <w:rFonts w:hint="eastAsia" w:ascii="方正仿宋_GBK" w:hAnsi="方正仿宋_GBK" w:eastAsia="方正仿宋_GBK" w:cs="方正仿宋_GBK"/>
          <w:sz w:val="32"/>
          <w:szCs w:val="32"/>
          <w:highlight w:val="none"/>
          <w:shd w:val="clear" w:color="auto" w:fill="FFFFFF"/>
          <w:lang w:eastAsia="zh-CN"/>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lang w:eastAsia="zh-CN"/>
        </w:rPr>
      </w:pPr>
      <w:r>
        <w:rPr>
          <w:rFonts w:ascii="方正仿宋_GBK" w:hAnsi="方正仿宋_GBK" w:eastAsia="方正仿宋_GBK" w:cs="方正仿宋_GBK"/>
          <w:color w:val="auto"/>
          <w:sz w:val="32"/>
          <w:szCs w:val="32"/>
          <w:highlight w:val="none"/>
          <w:shd w:val="clear" w:color="auto" w:fill="FFFFFF"/>
        </w:rPr>
        <w:t> 公务车运行维护费</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万元，主要用于</w:t>
      </w:r>
      <w:r>
        <w:rPr>
          <w:rFonts w:hint="eastAsia" w:ascii="方正仿宋_GBK" w:hAnsi="方正仿宋_GBK" w:eastAsia="方正仿宋_GBK" w:cs="方正仿宋_GBK"/>
          <w:color w:val="auto"/>
          <w:sz w:val="32"/>
          <w:szCs w:val="32"/>
          <w:highlight w:val="none"/>
          <w:shd w:val="clear" w:color="auto" w:fill="FFFFFF"/>
          <w:lang w:val="en-US" w:eastAsia="zh-CN"/>
        </w:rPr>
        <w:t>公务用车的运行维护、保险及加油费用。</w:t>
      </w:r>
      <w:r>
        <w:rPr>
          <w:rFonts w:ascii="方正仿宋_GBK" w:hAnsi="方正仿宋_GBK" w:eastAsia="方正仿宋_GBK" w:cs="方正仿宋_GBK"/>
          <w:color w:val="auto"/>
          <w:sz w:val="32"/>
          <w:szCs w:val="32"/>
          <w:highlight w:val="none"/>
          <w:shd w:val="clear" w:color="auto" w:fill="FFFFFF"/>
        </w:rPr>
        <w:t>费用支出较年初预算数无增减，主要原因是</w:t>
      </w:r>
      <w:r>
        <w:rPr>
          <w:rFonts w:hint="eastAsia" w:ascii="方正仿宋_GBK" w:hAnsi="方正仿宋_GBK" w:eastAsia="方正仿宋_GBK" w:cs="方正仿宋_GBK"/>
          <w:kern w:val="0"/>
          <w:sz w:val="32"/>
          <w:szCs w:val="32"/>
          <w:highlight w:val="none"/>
        </w:rPr>
        <w:t>按照</w:t>
      </w:r>
      <w:r>
        <w:rPr>
          <w:rFonts w:hint="eastAsia" w:ascii="方正仿宋_GBK" w:hAnsi="方正仿宋_GBK" w:eastAsia="方正仿宋_GBK" w:cs="方正仿宋_GBK"/>
          <w:kern w:val="0"/>
          <w:sz w:val="32"/>
          <w:szCs w:val="32"/>
          <w:highlight w:val="none"/>
          <w:lang w:eastAsia="zh-CN"/>
        </w:rPr>
        <w:t>单位</w:t>
      </w:r>
      <w:r>
        <w:rPr>
          <w:rFonts w:hint="eastAsia" w:ascii="方正仿宋_GBK" w:hAnsi="方正仿宋_GBK" w:eastAsia="方正仿宋_GBK" w:cs="方正仿宋_GBK"/>
          <w:kern w:val="0"/>
          <w:sz w:val="32"/>
          <w:szCs w:val="32"/>
          <w:highlight w:val="none"/>
        </w:rPr>
        <w:t>决算列报口径，</w:t>
      </w:r>
      <w:r>
        <w:rPr>
          <w:rFonts w:hint="eastAsia" w:ascii="方正仿宋_GBK" w:hAnsi="方正仿宋_GBK" w:eastAsia="方正仿宋_GBK" w:cs="方正仿宋_GBK"/>
          <w:kern w:val="0"/>
          <w:sz w:val="32"/>
          <w:szCs w:val="32"/>
          <w:highlight w:val="none"/>
          <w:lang w:eastAsia="zh-CN"/>
        </w:rPr>
        <w:t>统一在政府机关本级列报</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shd w:val="clear" w:color="auto" w:fill="FFFFFF"/>
          <w:lang w:eastAsia="zh-CN"/>
        </w:rPr>
        <w:t>我</w:t>
      </w:r>
      <w:r>
        <w:rPr>
          <w:rFonts w:ascii="方正仿宋_GBK" w:hAnsi="方正仿宋_GBK" w:eastAsia="方正仿宋_GBK" w:cs="方正仿宋_GBK"/>
          <w:sz w:val="32"/>
          <w:szCs w:val="32"/>
          <w:highlight w:val="none"/>
          <w:shd w:val="clear" w:color="auto" w:fill="FFFFFF"/>
        </w:rPr>
        <w:t>单位为2024年新设置预算单位，无法与上年同期数进行比较</w:t>
      </w:r>
      <w:r>
        <w:rPr>
          <w:rFonts w:hint="eastAsia" w:ascii="方正仿宋_GBK" w:hAnsi="方正仿宋_GBK" w:eastAsia="方正仿宋_GBK" w:cs="方正仿宋_GBK"/>
          <w:sz w:val="32"/>
          <w:szCs w:val="32"/>
          <w:highlight w:val="none"/>
          <w:shd w:val="clear" w:color="auto" w:fill="FFFFFF"/>
          <w:lang w:eastAsia="zh-CN"/>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公务接待费</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万元，主要用于</w:t>
      </w:r>
      <w:r>
        <w:rPr>
          <w:rFonts w:hint="eastAsia" w:ascii="方正仿宋_GBK" w:hAnsi="方正仿宋_GBK" w:eastAsia="方正仿宋_GBK" w:cs="方正仿宋_GBK"/>
          <w:color w:val="auto"/>
          <w:sz w:val="32"/>
          <w:szCs w:val="32"/>
          <w:highlight w:val="none"/>
          <w:shd w:val="clear" w:color="auto" w:fill="FFFFFF"/>
          <w:lang w:val="en-US" w:eastAsia="zh-CN"/>
        </w:rPr>
        <w:t>接待市级、县级领导来本单位检查。</w:t>
      </w:r>
      <w:r>
        <w:rPr>
          <w:rFonts w:ascii="方正仿宋_GBK" w:hAnsi="方正仿宋_GBK" w:eastAsia="方正仿宋_GBK" w:cs="方正仿宋_GBK"/>
          <w:color w:val="auto"/>
          <w:sz w:val="32"/>
          <w:szCs w:val="32"/>
          <w:highlight w:val="none"/>
          <w:shd w:val="clear" w:color="auto" w:fill="FFFFFF"/>
        </w:rPr>
        <w:t>费用支出较年初预算数无增减，主要原因是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xml:space="preserve">  </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度本部门因公出国（境）共计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个团组，</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人；公务用车购置</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辆，公务车保有量为</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辆；国内公务接待</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批次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人，其中：国内外事接待</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批次，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人；国（境）外公务接待</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批次，</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人。</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本部门人均接待费</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元，车均购置费</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万元，车均维护费</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本年度会议费支出</w:t>
      </w:r>
      <w:r>
        <w:rPr>
          <w:rFonts w:ascii="方正仿宋_GBK" w:hAnsi="方正仿宋_GBK" w:eastAsia="方正仿宋_GBK" w:cs="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本年度培训费支出</w:t>
      </w:r>
      <w:r>
        <w:rPr>
          <w:rFonts w:ascii="方正仿宋_GBK" w:hAnsi="方正仿宋_GBK" w:eastAsia="方正仿宋_GBK" w:cs="方正仿宋_GBK"/>
          <w:color w:val="auto"/>
          <w:sz w:val="32"/>
          <w:szCs w:val="32"/>
          <w:highlight w:val="none"/>
        </w:rPr>
        <w:t>0.02</w:t>
      </w:r>
      <w:r>
        <w:rPr>
          <w:rFonts w:ascii="方正仿宋_GBK" w:hAnsi="方正仿宋_GBK" w:eastAsia="方正仿宋_GBK" w:cs="方正仿宋_GBK"/>
          <w:color w:val="auto"/>
          <w:sz w:val="32"/>
          <w:szCs w:val="32"/>
          <w:highlight w:val="none"/>
          <w:shd w:val="clear" w:color="auto" w:fill="FFFFFF"/>
        </w:rPr>
        <w:t>万元，与2023年度相比，增加0.02万元，增长100.0%，主要原因是</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截至</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12月31日，本部门共有车辆</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辆，其中，副部（省）级及以上领导用车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辆、主要负责人用车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辆、机要通信用车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辆、应急保障用车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辆、执法执勤用车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辆，特种专业技术用车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辆，离退休干部用车</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辆。单价100万元（含）以上专用设备</w:t>
      </w:r>
      <w:r>
        <w:rPr>
          <w:rFonts w:ascii="方正仿宋_GBK" w:hAnsi="方正仿宋_GBK" w:eastAsia="方正仿宋_GBK" w:cs="方正仿宋_GBK"/>
          <w:color w:val="auto"/>
          <w:sz w:val="32"/>
          <w:szCs w:val="32"/>
          <w:highlight w:val="none"/>
        </w:rPr>
        <w:t>0</w:t>
      </w:r>
      <w:r>
        <w:rPr>
          <w:rFonts w:ascii="方正仿宋_GBK" w:hAnsi="方正仿宋_GBK" w:eastAsia="方正仿宋_GBK" w:cs="方正仿宋_GBK"/>
          <w:color w:val="auto"/>
          <w:sz w:val="32"/>
          <w:szCs w:val="32"/>
          <w:highlight w:val="none"/>
          <w:shd w:val="clear" w:color="auto" w:fill="FFFFFF"/>
        </w:rPr>
        <w:t>台（套）。</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度我单位未发生政府采购事项，无相关经费支出。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（一）单位自评情况</w:t>
      </w:r>
    </w:p>
    <w:p>
      <w:pPr>
        <w:pStyle w:val="16"/>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kern w:val="0"/>
          <w:sz w:val="32"/>
          <w:szCs w:val="32"/>
        </w:rPr>
        <w:t>根据预算绩效管理要求，本单位项目支出基本属于人员经费支出，不进行项目预算绩效管理。</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color w:val="auto"/>
          <w:kern w:val="0"/>
          <w:sz w:val="32"/>
          <w:szCs w:val="32"/>
          <w:highlight w:val="none"/>
          <w:shd w:val="clear" w:fill="FFFFFF"/>
        </w:rPr>
      </w:pPr>
      <w:r>
        <w:rPr>
          <w:rFonts w:hint="eastAsia" w:ascii="方正仿宋_GBK" w:hAnsi="方正仿宋_GBK" w:eastAsia="方正仿宋_GBK" w:cs="方正仿宋_GBK"/>
          <w:color w:val="auto"/>
          <w:kern w:val="0"/>
          <w:sz w:val="32"/>
          <w:szCs w:val="32"/>
          <w:highlight w:val="none"/>
          <w:shd w:val="clear" w:fill="FFFFFF"/>
        </w:rPr>
        <w:t>我</w:t>
      </w:r>
      <w:r>
        <w:rPr>
          <w:rFonts w:hint="eastAsia" w:ascii="方正仿宋_GBK" w:hAnsi="方正仿宋_GBK" w:eastAsia="方正仿宋_GBK" w:cs="方正仿宋_GBK"/>
          <w:color w:val="auto"/>
          <w:kern w:val="0"/>
          <w:sz w:val="32"/>
          <w:szCs w:val="32"/>
          <w:highlight w:val="none"/>
          <w:shd w:val="clear" w:fill="FFFFFF"/>
          <w:lang w:val="en-US" w:eastAsia="zh-CN"/>
        </w:rPr>
        <w:t>部门</w:t>
      </w:r>
      <w:r>
        <w:rPr>
          <w:rFonts w:hint="eastAsia" w:ascii="方正仿宋_GBK" w:hAnsi="方正仿宋_GBK" w:eastAsia="方正仿宋_GBK" w:cs="方正仿宋_GBK"/>
          <w:color w:val="auto"/>
          <w:kern w:val="0"/>
          <w:sz w:val="32"/>
          <w:szCs w:val="32"/>
          <w:highlight w:val="none"/>
          <w:shd w:val="clear" w:fill="FFFFFF"/>
        </w:rPr>
        <w:t>未组织开展绩效评价。</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default" w:ascii="方正楷体_GBK" w:hAnsi="方正楷体_GBK" w:eastAsia="方正楷体_GBK" w:cs="方正楷体_GBK"/>
          <w:b w:val="0"/>
          <w:bCs/>
          <w:sz w:val="32"/>
          <w:szCs w:val="32"/>
          <w:shd w:val="clear" w:color="auto" w:fill="FFFFFF"/>
          <w:lang w:val="en-US"/>
        </w:rPr>
      </w:pPr>
      <w:r>
        <w:rPr>
          <w:rStyle w:val="10"/>
          <w:rFonts w:hint="eastAsia" w:ascii="方正楷体_GBK" w:hAnsi="方正楷体_GBK" w:eastAsia="方正楷体_GBK" w:cs="方正楷体_GBK"/>
          <w:b w:val="0"/>
          <w:bCs/>
          <w:sz w:val="32"/>
          <w:szCs w:val="32"/>
          <w:shd w:val="clear" w:color="auto" w:fill="FFFFFF"/>
          <w:lang w:val="en-US" w:eastAsia="zh-CN"/>
        </w:rPr>
        <w:t xml:space="preserve">（三）财政绩效评价情况 </w:t>
      </w:r>
      <w:bookmarkStart w:id="0" w:name="_GoBack"/>
      <w:bookmarkEnd w:id="0"/>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highlight w:val="none"/>
          <w:shd w:val="clear" w:fill="FFFFFF"/>
          <w:lang w:val="en-US" w:eastAsia="zh-CN"/>
        </w:rPr>
      </w:pPr>
      <w:r>
        <w:rPr>
          <w:rFonts w:hint="eastAsia" w:ascii="方正仿宋_GBK" w:hAnsi="方正仿宋_GBK" w:eastAsia="方正仿宋_GBK" w:cs="方正仿宋_GBK"/>
          <w:color w:val="auto"/>
          <w:kern w:val="0"/>
          <w:sz w:val="32"/>
          <w:szCs w:val="32"/>
          <w:highlight w:val="none"/>
          <w:shd w:val="clear" w:fill="FFFFFF"/>
          <w:lang w:val="en-US" w:eastAsia="zh-CN"/>
        </w:rPr>
        <w:t>县财政局未委托第三方对我单位开展绩效评价。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 xml:space="preserve"> </w:t>
      </w:r>
      <w:r>
        <w:rPr>
          <w:rStyle w:val="10"/>
          <w:rFonts w:hint="eastAsia" w:ascii="方正黑体_GBK" w:hAnsi="方正黑体_GBK" w:eastAsia="方正黑体_GBK" w:cs="方正黑体_GBK"/>
          <w:b w:val="0"/>
          <w:bCs/>
          <w:sz w:val="32"/>
          <w:szCs w:val="32"/>
          <w:shd w:val="clear" w:color="auto" w:fill="FFFFFF"/>
          <w:lang w:val="en-US" w:eastAsia="zh-CN"/>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highlight w:val="none"/>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（二）事业收入：</w:t>
      </w:r>
      <w:r>
        <w:rPr>
          <w:rFonts w:hint="eastAsia" w:ascii="方正仿宋_GBK" w:hAnsi="方正仿宋_GBK" w:eastAsia="方正仿宋_GBK" w:cs="方正仿宋_GBK"/>
          <w:color w:val="auto"/>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highlight w:val="none"/>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（四）其他收入：</w:t>
      </w:r>
      <w:r>
        <w:rPr>
          <w:rFonts w:hint="eastAsia" w:ascii="方正仿宋_GBK" w:hAnsi="方正仿宋_GBK" w:eastAsia="方正仿宋_GBK" w:cs="方正仿宋_GBK"/>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（五）使用非财政拨款结余：</w:t>
      </w:r>
      <w:r>
        <w:rPr>
          <w:rFonts w:hint="eastAsia" w:ascii="方正仿宋_GBK" w:hAnsi="方正仿宋_GBK" w:eastAsia="方正仿宋_GBK" w:cs="方正仿宋_GBK"/>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highlight w:val="none"/>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highlight w:val="none"/>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（八）年末结转和结余：</w:t>
      </w:r>
      <w:r>
        <w:rPr>
          <w:rFonts w:hint="eastAsia" w:ascii="方正仿宋_GBK" w:hAnsi="方正仿宋_GBK" w:eastAsia="方正仿宋_GBK" w:cs="方正仿宋_GBK"/>
          <w:color w:val="auto"/>
          <w:kern w:val="0"/>
          <w:sz w:val="32"/>
          <w:szCs w:val="32"/>
          <w:highlight w:val="none"/>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（九）基本支出：</w:t>
      </w:r>
      <w:r>
        <w:rPr>
          <w:rFonts w:hint="eastAsia" w:ascii="方正仿宋_GBK" w:hAnsi="方正仿宋_GBK" w:eastAsia="方正仿宋_GBK" w:cs="方正仿宋_GBK"/>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highlight w:val="none"/>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highlight w:val="none"/>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（十三）机关运行经费：</w:t>
      </w:r>
      <w:r>
        <w:rPr>
          <w:rFonts w:hint="eastAsia" w:ascii="方正仿宋_GBK" w:hAnsi="方正仿宋_GBK" w:eastAsia="方正仿宋_GBK" w:cs="方正仿宋_GBK"/>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（十四）工资福利支出（支出经济分类科目类级）：</w:t>
      </w:r>
      <w:r>
        <w:rPr>
          <w:rFonts w:hint="eastAsia" w:ascii="方正仿宋_GBK" w:hAnsi="方正仿宋_GBK" w:eastAsia="方正仿宋_GBK" w:cs="方正仿宋_GBK"/>
          <w:color w:val="auto"/>
          <w:kern w:val="0"/>
          <w:sz w:val="32"/>
          <w:szCs w:val="32"/>
          <w:highlight w:val="none"/>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auto"/>
          <w:kern w:val="0"/>
          <w:sz w:val="32"/>
          <w:szCs w:val="32"/>
          <w:highlight w:val="none"/>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auto"/>
          <w:kern w:val="0"/>
          <w:sz w:val="32"/>
          <w:szCs w:val="32"/>
          <w:highlight w:val="none"/>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0"/>
          <w:rFonts w:hint="eastAsia" w:ascii="楷体" w:hAnsi="楷体" w:eastAsia="楷体" w:cs="楷体"/>
          <w:color w:val="auto"/>
          <w:sz w:val="32"/>
          <w:szCs w:val="32"/>
          <w:highlight w:val="none"/>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highlight w:val="none"/>
          <w:shd w:val="clear" w:fill="FFFFFF"/>
          <w:lang w:val="en-US" w:eastAsia="zh-CN"/>
        </w:rPr>
      </w:pPr>
      <w:r>
        <w:rPr>
          <w:rFonts w:hint="eastAsia" w:ascii="方正仿宋_GBK" w:hAnsi="方正仿宋_GBK" w:eastAsia="方正仿宋_GBK" w:cs="方正仿宋_GBK"/>
          <w:color w:val="auto"/>
          <w:kern w:val="0"/>
          <w:sz w:val="32"/>
          <w:szCs w:val="32"/>
          <w:highlight w:val="none"/>
          <w:shd w:val="clear" w:fill="FFFFFF"/>
        </w:rPr>
        <w:t>本单位决算公开信息反馈和联系方式：023-</w:t>
      </w:r>
      <w:r>
        <w:rPr>
          <w:rFonts w:hint="eastAsia" w:ascii="方正仿宋_GBK" w:hAnsi="方正仿宋_GBK" w:eastAsia="方正仿宋_GBK" w:cs="方正仿宋_GBK"/>
          <w:color w:val="auto"/>
          <w:kern w:val="0"/>
          <w:sz w:val="32"/>
          <w:szCs w:val="32"/>
          <w:highlight w:val="none"/>
          <w:shd w:val="clear" w:fill="FFFFFF"/>
          <w:lang w:val="en-US" w:eastAsia="zh-CN"/>
        </w:rPr>
        <w:t>55821012</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kern w:val="0"/>
          <w:sz w:val="32"/>
          <w:szCs w:val="32"/>
          <w:highlight w:val="none"/>
          <w:shd w:val="clear" w:fill="FFFFFF"/>
          <w:lang w:val="en-US" w:eastAsia="zh-CN"/>
        </w:r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highlight w:val="none"/>
              </w:rPr>
            </w:pPr>
            <w:r>
              <w:rPr>
                <w:rFonts w:cs="宋体"/>
                <w:b/>
                <w:color w:val="auto"/>
                <w:sz w:val="32"/>
                <w:szCs w:val="32"/>
                <w:highlight w:val="none"/>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auto"/>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01</w:t>
            </w:r>
            <w:r>
              <w:rPr>
                <w:rFonts w:cs="宋体"/>
                <w:color w:val="auto"/>
                <w:sz w:val="20"/>
                <w:szCs w:val="20"/>
                <w:highlight w:val="none"/>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auto"/>
                <w:sz w:val="22"/>
                <w:szCs w:val="22"/>
                <w:highlight w:val="none"/>
              </w:rPr>
            </w:pPr>
            <w:r>
              <w:rPr>
                <w:rFonts w:hint="eastAsia" w:cs="宋体"/>
                <w:color w:val="auto"/>
                <w:sz w:val="20"/>
                <w:szCs w:val="20"/>
                <w:highlight w:val="none"/>
                <w:lang w:eastAsia="zh-CN"/>
              </w:rPr>
              <w:t>部门</w:t>
            </w:r>
            <w:r>
              <w:rPr>
                <w:rFonts w:cs="宋体"/>
                <w:color w:val="auto"/>
                <w:sz w:val="20"/>
                <w:szCs w:val="20"/>
                <w:highlight w:val="none"/>
              </w:rPr>
              <w:t>：</w:t>
            </w:r>
            <w:r>
              <w:rPr>
                <w:color w:val="auto"/>
                <w:sz w:val="20"/>
                <w:highlight w:val="none"/>
                <w:u w:color="auto"/>
              </w:rPr>
              <w:t>路阳镇便民服务中心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80.50</w:t>
            </w: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24.51</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47.23</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4.12</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4.65</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highlight w:val="none"/>
              </w:rPr>
            </w:pPr>
            <w:r>
              <w:rPr>
                <w:rFonts w:cs="宋体"/>
                <w:b/>
                <w:bCs/>
                <w:color w:val="auto"/>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80.50</w:t>
            </w: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highlight w:val="none"/>
              </w:rPr>
            </w:pPr>
            <w:r>
              <w:rPr>
                <w:rFonts w:cs="宋体"/>
                <w:b/>
                <w:bCs/>
                <w:color w:val="auto"/>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80.50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80.50</w:t>
            </w:r>
            <w:r>
              <w:rPr>
                <w:rFonts w:ascii="Times New Roman" w:hAnsi="Times New Roman"/>
                <w:color w:val="auto"/>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80.50</w:t>
            </w:r>
            <w:r>
              <w:rPr>
                <w:rFonts w:ascii="Times New Roman" w:hAnsi="Times New Roman"/>
                <w:color w:val="auto"/>
                <w:sz w:val="20"/>
                <w:highlight w:val="none"/>
                <w:u w:color="auto"/>
              </w:rPr>
              <w:t xml:space="preserve"> </w:t>
            </w:r>
          </w:p>
        </w:tc>
      </w:tr>
    </w:tbl>
    <w:p>
      <w:pPr>
        <w:rPr>
          <w:rFonts w:hint="default" w:cs="宋体"/>
          <w:color w:val="auto"/>
          <w:sz w:val="21"/>
          <w:szCs w:val="21"/>
          <w:highlight w:val="none"/>
        </w:rPr>
      </w:pPr>
    </w:p>
    <w:p>
      <w:pPr>
        <w:spacing w:line="240" w:lineRule="exact"/>
        <w:rPr>
          <w:rFonts w:hint="default" w:cs="宋体"/>
          <w:color w:val="auto"/>
          <w:sz w:val="20"/>
          <w:szCs w:val="20"/>
          <w:highlight w:val="none"/>
        </w:rPr>
      </w:pPr>
      <w:r>
        <w:rPr>
          <w:rFonts w:cs="宋体"/>
          <w:color w:val="auto"/>
          <w:sz w:val="20"/>
          <w:szCs w:val="20"/>
          <w:highlight w:val="none"/>
        </w:rPr>
        <w:t>备注：1.本表反映部门本年度的总收支和年末结转结余情况。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highlight w:val="none"/>
              </w:rPr>
            </w:pPr>
            <w:r>
              <w:rPr>
                <w:rFonts w:hint="eastAsia" w:cs="宋体"/>
                <w:color w:val="auto"/>
                <w:sz w:val="20"/>
                <w:szCs w:val="20"/>
                <w:highlight w:val="none"/>
                <w:lang w:eastAsia="zh-CN"/>
              </w:rPr>
              <w:t>部门</w:t>
            </w:r>
            <w:r>
              <w:rPr>
                <w:rFonts w:cs="宋体"/>
                <w:color w:val="auto"/>
                <w:sz w:val="20"/>
                <w:szCs w:val="20"/>
                <w:highlight w:val="none"/>
              </w:rPr>
              <w:t>：</w:t>
            </w:r>
            <w:r>
              <w:rPr>
                <w:color w:val="auto"/>
                <w:sz w:val="20"/>
                <w:highlight w:val="none"/>
                <w:u w:color="auto"/>
              </w:rPr>
              <w:t>路阳镇便民服务中心</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02</w:t>
            </w:r>
            <w:r>
              <w:rPr>
                <w:rFonts w:cs="宋体"/>
                <w:color w:val="auto"/>
                <w:sz w:val="20"/>
                <w:szCs w:val="20"/>
                <w:highlight w:val="none"/>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80.50</w:t>
            </w:r>
            <w:r>
              <w:rPr>
                <w:rFonts w:ascii="Times New Roman" w:hAnsi="Times New Roman"/>
                <w:b/>
                <w:color w:val="auto"/>
                <w:sz w:val="20"/>
                <w:highlight w:val="none"/>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80.50</w:t>
            </w:r>
            <w:r>
              <w:rPr>
                <w:rFonts w:ascii="Times New Roman" w:hAnsi="Times New Roman"/>
                <w:b/>
                <w:color w:val="auto"/>
                <w:sz w:val="20"/>
                <w:highlight w:val="none"/>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24.51</w:t>
            </w:r>
            <w:r>
              <w:rPr>
                <w:rFonts w:ascii="Times New Roman" w:hAnsi="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24.51</w:t>
            </w:r>
            <w:r>
              <w:rPr>
                <w:rFonts w:ascii="Times New Roman" w:hAnsi="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24.51</w:t>
            </w:r>
            <w:r>
              <w:rPr>
                <w:rFonts w:ascii="Times New Roman" w:hAnsi="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24.51</w:t>
            </w:r>
            <w:r>
              <w:rPr>
                <w:rFonts w:ascii="Times New Roman" w:hAnsi="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2010350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24.51</w:t>
            </w:r>
            <w:r>
              <w:rPr>
                <w:rFonts w:ascii="Times New Roman" w:hAnsi="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24.51</w:t>
            </w:r>
            <w:r>
              <w:rPr>
                <w:rFonts w:ascii="Times New Roman" w:hAnsi="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47.23</w:t>
            </w:r>
            <w:r>
              <w:rPr>
                <w:rFonts w:ascii="Times New Roman" w:hAnsi="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47.23</w:t>
            </w:r>
            <w:r>
              <w:rPr>
                <w:rFonts w:ascii="Times New Roman" w:hAnsi="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21.55</w:t>
            </w:r>
            <w:r>
              <w:rPr>
                <w:rFonts w:ascii="Times New Roman" w:hAnsi="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21.55</w:t>
            </w:r>
            <w:r>
              <w:rPr>
                <w:rFonts w:ascii="Times New Roman" w:hAnsi="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2080109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社会保险经办机构</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21.55</w:t>
            </w:r>
            <w:r>
              <w:rPr>
                <w:rFonts w:ascii="Times New Roman" w:hAnsi="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21.55</w:t>
            </w:r>
            <w:r>
              <w:rPr>
                <w:rFonts w:ascii="Times New Roman" w:hAnsi="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13.64</w:t>
            </w:r>
            <w:r>
              <w:rPr>
                <w:rFonts w:ascii="Times New Roman" w:hAnsi="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13.64</w:t>
            </w:r>
            <w:r>
              <w:rPr>
                <w:rFonts w:ascii="Times New Roman" w:hAnsi="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7.42</w:t>
            </w:r>
            <w:r>
              <w:rPr>
                <w:rFonts w:ascii="Times New Roman" w:hAnsi="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7.42</w:t>
            </w:r>
            <w:r>
              <w:rPr>
                <w:rFonts w:ascii="Times New Roman" w:hAnsi="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3.71</w:t>
            </w:r>
            <w:r>
              <w:rPr>
                <w:rFonts w:ascii="Times New Roman" w:hAnsi="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3.71</w:t>
            </w:r>
            <w:r>
              <w:rPr>
                <w:rFonts w:ascii="Times New Roman" w:hAnsi="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2.50</w:t>
            </w:r>
            <w:r>
              <w:rPr>
                <w:rFonts w:ascii="Times New Roman" w:hAnsi="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2.50</w:t>
            </w:r>
            <w:r>
              <w:rPr>
                <w:rFonts w:ascii="Times New Roman" w:hAnsi="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20828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12.05</w:t>
            </w:r>
            <w:r>
              <w:rPr>
                <w:rFonts w:ascii="Times New Roman" w:hAnsi="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12.05</w:t>
            </w:r>
            <w:r>
              <w:rPr>
                <w:rFonts w:ascii="Times New Roman" w:hAnsi="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2082850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12.05</w:t>
            </w:r>
            <w:r>
              <w:rPr>
                <w:rFonts w:ascii="Times New Roman" w:hAnsi="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12.05</w:t>
            </w:r>
            <w:r>
              <w:rPr>
                <w:rFonts w:ascii="Times New Roman" w:hAnsi="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4.12</w:t>
            </w:r>
            <w:r>
              <w:rPr>
                <w:rFonts w:ascii="Times New Roman" w:hAnsi="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4.12</w:t>
            </w:r>
            <w:r>
              <w:rPr>
                <w:rFonts w:ascii="Times New Roman" w:hAnsi="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4.12</w:t>
            </w:r>
            <w:r>
              <w:rPr>
                <w:rFonts w:ascii="Times New Roman" w:hAnsi="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4.12</w:t>
            </w:r>
            <w:r>
              <w:rPr>
                <w:rFonts w:ascii="Times New Roman" w:hAnsi="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4.12</w:t>
            </w:r>
            <w:r>
              <w:rPr>
                <w:rFonts w:ascii="Times New Roman" w:hAnsi="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4.12</w:t>
            </w:r>
            <w:r>
              <w:rPr>
                <w:rFonts w:ascii="Times New Roman" w:hAnsi="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4.65</w:t>
            </w:r>
            <w:r>
              <w:rPr>
                <w:rFonts w:ascii="Times New Roman" w:hAnsi="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4.65</w:t>
            </w:r>
            <w:r>
              <w:rPr>
                <w:rFonts w:ascii="Times New Roman" w:hAnsi="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4.65</w:t>
            </w:r>
            <w:r>
              <w:rPr>
                <w:rFonts w:ascii="Times New Roman" w:hAnsi="Times New Roman"/>
                <w:b/>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4.65</w:t>
            </w:r>
            <w:r>
              <w:rPr>
                <w:rFonts w:ascii="Times New Roman" w:hAnsi="Times New Roman"/>
                <w:b/>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4.65</w:t>
            </w:r>
            <w:r>
              <w:rPr>
                <w:rFonts w:ascii="Times New Roman" w:hAnsi="Times New Roman"/>
                <w:color w:val="auto"/>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4.65</w:t>
            </w:r>
            <w:r>
              <w:rPr>
                <w:rFonts w:ascii="Times New Roman" w:hAnsi="Times New Roman"/>
                <w:color w:val="auto"/>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ind w:left="600" w:hanging="600" w:hangingChars="300"/>
        <w:rPr>
          <w:rFonts w:hint="default" w:cs="宋体"/>
          <w:color w:val="auto"/>
          <w:sz w:val="20"/>
          <w:szCs w:val="20"/>
          <w:highlight w:val="none"/>
        </w:rPr>
      </w:pPr>
      <w:r>
        <w:rPr>
          <w:rFonts w:cs="宋体"/>
          <w:color w:val="auto"/>
          <w:sz w:val="20"/>
          <w:szCs w:val="20"/>
          <w:highlight w:val="none"/>
        </w:rPr>
        <w:t>备注：1.本表反映部门本年度取得的各项收入情况。</w:t>
      </w:r>
      <w:r>
        <w:rPr>
          <w:rFonts w:cs="宋体"/>
          <w:color w:val="auto"/>
          <w:sz w:val="20"/>
          <w:szCs w:val="20"/>
          <w:highlight w:val="none"/>
        </w:rPr>
        <w:br w:type="textWrapping"/>
      </w:r>
      <w:r>
        <w:rPr>
          <w:rFonts w:cs="宋体"/>
          <w:color w:val="auto"/>
          <w:sz w:val="20"/>
          <w:szCs w:val="20"/>
          <w:highlight w:val="none"/>
        </w:rPr>
        <w:t>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pPr>
        <w:rPr>
          <w:rFonts w:hint="default" w:cs="宋体"/>
          <w:color w:val="auto"/>
          <w:sz w:val="20"/>
          <w:szCs w:val="20"/>
          <w:highlight w:val="none"/>
        </w:rPr>
      </w:pPr>
      <w:r>
        <w:rPr>
          <w:rFonts w:cs="宋体"/>
          <w:color w:val="auto"/>
          <w:sz w:val="20"/>
          <w:szCs w:val="20"/>
          <w:highlight w:val="none"/>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r>
              <w:rPr>
                <w:rFonts w:hint="eastAsia" w:cs="宋体"/>
                <w:color w:val="auto"/>
                <w:sz w:val="20"/>
                <w:szCs w:val="20"/>
                <w:highlight w:val="none"/>
                <w:lang w:eastAsia="zh-CN"/>
              </w:rPr>
              <w:t>部门</w:t>
            </w:r>
            <w:r>
              <w:rPr>
                <w:rFonts w:cs="宋体"/>
                <w:color w:val="auto"/>
                <w:sz w:val="20"/>
                <w:szCs w:val="20"/>
                <w:highlight w:val="none"/>
              </w:rPr>
              <w:t>：</w:t>
            </w:r>
            <w:r>
              <w:rPr>
                <w:color w:val="auto"/>
                <w:sz w:val="20"/>
                <w:highlight w:val="none"/>
                <w:u w:color="auto"/>
              </w:rPr>
              <w:t xml:space="preserve">路阳镇便民服务中心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03</w:t>
            </w:r>
            <w:r>
              <w:rPr>
                <w:rFonts w:cs="宋体"/>
                <w:color w:val="auto"/>
                <w:sz w:val="20"/>
                <w:szCs w:val="20"/>
                <w:highlight w:val="none"/>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80.50</w:t>
            </w:r>
            <w:r>
              <w:rPr>
                <w:rFonts w:ascii="Times New Roman" w:hAnsi="Times New Roman"/>
                <w:b/>
                <w:color w:val="auto"/>
                <w:sz w:val="20"/>
                <w:highlight w:val="none"/>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80.50</w:t>
            </w:r>
            <w:r>
              <w:rPr>
                <w:rFonts w:ascii="Times New Roman" w:hAnsi="Times New Roman"/>
                <w:b/>
                <w:color w:val="auto"/>
                <w:sz w:val="20"/>
                <w:highlight w:val="none"/>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24.51</w:t>
            </w:r>
            <w:r>
              <w:rPr>
                <w:rFonts w:ascii="Times New Roman" w:hAnsi="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24.51</w:t>
            </w:r>
            <w:r>
              <w:rPr>
                <w:rFonts w:ascii="Times New Roman" w:hAnsi="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24.51</w:t>
            </w:r>
            <w:r>
              <w:rPr>
                <w:rFonts w:ascii="Times New Roman" w:hAnsi="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24.51</w:t>
            </w:r>
            <w:r>
              <w:rPr>
                <w:rFonts w:ascii="Times New Roman" w:hAnsi="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2010350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24.51</w:t>
            </w:r>
            <w:r>
              <w:rPr>
                <w:rFonts w:ascii="Times New Roman" w:hAnsi="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24.51</w:t>
            </w:r>
            <w:r>
              <w:rPr>
                <w:rFonts w:ascii="Times New Roman" w:hAnsi="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47.23</w:t>
            </w:r>
            <w:r>
              <w:rPr>
                <w:rFonts w:ascii="Times New Roman" w:hAnsi="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47.23</w:t>
            </w:r>
            <w:r>
              <w:rPr>
                <w:rFonts w:ascii="Times New Roman" w:hAnsi="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21.55</w:t>
            </w:r>
            <w:r>
              <w:rPr>
                <w:rFonts w:ascii="Times New Roman" w:hAnsi="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21.55</w:t>
            </w:r>
            <w:r>
              <w:rPr>
                <w:rFonts w:ascii="Times New Roman" w:hAnsi="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2080109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社会保险经办机构</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21.55</w:t>
            </w:r>
            <w:r>
              <w:rPr>
                <w:rFonts w:ascii="Times New Roman" w:hAnsi="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21.55</w:t>
            </w:r>
            <w:r>
              <w:rPr>
                <w:rFonts w:ascii="Times New Roman" w:hAnsi="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13.64</w:t>
            </w:r>
            <w:r>
              <w:rPr>
                <w:rFonts w:ascii="Times New Roman" w:hAnsi="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13.64</w:t>
            </w:r>
            <w:r>
              <w:rPr>
                <w:rFonts w:ascii="Times New Roman" w:hAnsi="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7.42</w:t>
            </w:r>
            <w:r>
              <w:rPr>
                <w:rFonts w:ascii="Times New Roman" w:hAnsi="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7.42</w:t>
            </w:r>
            <w:r>
              <w:rPr>
                <w:rFonts w:ascii="Times New Roman" w:hAnsi="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3.71</w:t>
            </w:r>
            <w:r>
              <w:rPr>
                <w:rFonts w:ascii="Times New Roman" w:hAnsi="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3.71</w:t>
            </w:r>
            <w:r>
              <w:rPr>
                <w:rFonts w:ascii="Times New Roman" w:hAnsi="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2.50</w:t>
            </w:r>
            <w:r>
              <w:rPr>
                <w:rFonts w:ascii="Times New Roman" w:hAnsi="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2.50</w:t>
            </w:r>
            <w:r>
              <w:rPr>
                <w:rFonts w:ascii="Times New Roman" w:hAnsi="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20828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12.05</w:t>
            </w:r>
            <w:r>
              <w:rPr>
                <w:rFonts w:ascii="Times New Roman" w:hAnsi="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12.05</w:t>
            </w:r>
            <w:r>
              <w:rPr>
                <w:rFonts w:ascii="Times New Roman" w:hAnsi="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2082850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12.05</w:t>
            </w:r>
            <w:r>
              <w:rPr>
                <w:rFonts w:ascii="Times New Roman" w:hAnsi="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12.05</w:t>
            </w:r>
            <w:r>
              <w:rPr>
                <w:rFonts w:ascii="Times New Roman" w:hAnsi="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4.12</w:t>
            </w:r>
            <w:r>
              <w:rPr>
                <w:rFonts w:ascii="Times New Roman" w:hAnsi="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4.12</w:t>
            </w:r>
            <w:r>
              <w:rPr>
                <w:rFonts w:ascii="Times New Roman" w:hAnsi="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4.12</w:t>
            </w:r>
            <w:r>
              <w:rPr>
                <w:rFonts w:ascii="Times New Roman" w:hAnsi="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4.12</w:t>
            </w:r>
            <w:r>
              <w:rPr>
                <w:rFonts w:ascii="Times New Roman" w:hAnsi="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4.12</w:t>
            </w:r>
            <w:r>
              <w:rPr>
                <w:rFonts w:ascii="Times New Roman" w:hAnsi="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4.12</w:t>
            </w:r>
            <w:r>
              <w:rPr>
                <w:rFonts w:ascii="Times New Roman" w:hAnsi="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4.65</w:t>
            </w:r>
            <w:r>
              <w:rPr>
                <w:rFonts w:ascii="Times New Roman" w:hAnsi="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4.65</w:t>
            </w:r>
            <w:r>
              <w:rPr>
                <w:rFonts w:ascii="Times New Roman" w:hAnsi="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4.65</w:t>
            </w:r>
            <w:r>
              <w:rPr>
                <w:rFonts w:ascii="Times New Roman" w:hAnsi="Times New Roman"/>
                <w:b/>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4.65</w:t>
            </w:r>
            <w:r>
              <w:rPr>
                <w:rFonts w:ascii="Times New Roman" w:hAnsi="Times New Roman"/>
                <w:b/>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4.65</w:t>
            </w:r>
            <w:r>
              <w:rPr>
                <w:rFonts w:ascii="Times New Roman" w:hAnsi="Times New Roman"/>
                <w:color w:val="auto"/>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4.65</w:t>
            </w:r>
            <w:r>
              <w:rPr>
                <w:rFonts w:ascii="Times New Roman" w:hAnsi="Times New Roman"/>
                <w:color w:val="auto"/>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rPr>
          <w:rFonts w:hint="default" w:cs="宋体"/>
          <w:color w:val="auto"/>
          <w:sz w:val="20"/>
          <w:szCs w:val="20"/>
          <w:highlight w:val="none"/>
        </w:rPr>
      </w:pPr>
      <w:r>
        <w:rPr>
          <w:rFonts w:cs="宋体"/>
          <w:color w:val="auto"/>
          <w:sz w:val="20"/>
          <w:szCs w:val="20"/>
          <w:highlight w:val="none"/>
        </w:rPr>
        <w:t>备注：1.本表反映部门本年度各项支出情况。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pPr>
        <w:rPr>
          <w:rFonts w:hint="default" w:cs="宋体"/>
          <w:color w:val="auto"/>
          <w:sz w:val="21"/>
          <w:szCs w:val="21"/>
          <w:highlight w:val="none"/>
        </w:rPr>
      </w:pPr>
      <w:r>
        <w:rPr>
          <w:rFonts w:cs="宋体"/>
          <w:color w:val="auto"/>
          <w:sz w:val="21"/>
          <w:szCs w:val="21"/>
          <w:highlight w:val="none"/>
        </w:rPr>
        <w:br w:type="page"/>
      </w:r>
    </w:p>
    <w:p>
      <w:pPr>
        <w:rPr>
          <w:rFonts w:hint="default" w:cs="宋体"/>
          <w:color w:val="auto"/>
          <w:sz w:val="21"/>
          <w:szCs w:val="21"/>
          <w:highlight w:val="none"/>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highlight w:val="none"/>
              </w:rPr>
            </w:pPr>
            <w:r>
              <w:rPr>
                <w:rFonts w:cs="宋体"/>
                <w:b/>
                <w:color w:val="auto"/>
                <w:sz w:val="32"/>
                <w:szCs w:val="32"/>
                <w:highlight w:val="none"/>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highlight w:val="none"/>
              </w:rPr>
            </w:pPr>
            <w:r>
              <w:rPr>
                <w:rFonts w:hint="eastAsia" w:cs="宋体"/>
                <w:color w:val="auto"/>
                <w:sz w:val="20"/>
                <w:szCs w:val="20"/>
                <w:highlight w:val="none"/>
                <w:lang w:eastAsia="zh-CN"/>
              </w:rPr>
              <w:t>部门</w:t>
            </w:r>
            <w:r>
              <w:rPr>
                <w:rFonts w:cs="宋体"/>
                <w:color w:val="auto"/>
                <w:sz w:val="20"/>
                <w:szCs w:val="20"/>
                <w:highlight w:val="none"/>
              </w:rPr>
              <w:t>：</w:t>
            </w:r>
            <w:r>
              <w:rPr>
                <w:color w:val="auto"/>
                <w:sz w:val="20"/>
                <w:highlight w:val="none"/>
                <w:u w:color="auto"/>
              </w:rPr>
              <w:t>路阳镇便民服务中心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04</w:t>
            </w:r>
            <w:r>
              <w:rPr>
                <w:rFonts w:cs="宋体"/>
                <w:color w:val="auto"/>
                <w:sz w:val="20"/>
                <w:szCs w:val="20"/>
                <w:highlight w:val="none"/>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80.50</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24.51</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24.51</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47.23</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47.23</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4.12</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4.12</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4.65</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4.65</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highlight w:val="none"/>
              </w:rPr>
            </w:pPr>
            <w:r>
              <w:rPr>
                <w:rFonts w:cs="宋体"/>
                <w:b/>
                <w:bCs/>
                <w:color w:val="auto"/>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80.50</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highlight w:val="none"/>
              </w:rPr>
            </w:pPr>
            <w:r>
              <w:rPr>
                <w:rFonts w:cs="宋体"/>
                <w:b/>
                <w:bCs/>
                <w:color w:val="auto"/>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80.50</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80.50</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80.50</w:t>
            </w:r>
            <w:r>
              <w:rPr>
                <w:rFonts w:ascii="Times New Roman" w:hAnsi="Times New Roman"/>
                <w:color w:val="auto"/>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80.50</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80.50</w:t>
            </w:r>
            <w:r>
              <w:rPr>
                <w:rFonts w:ascii="Times New Roman" w:hAnsi="Times New Roman"/>
                <w:color w:val="auto"/>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bl>
    <w:p>
      <w:pPr>
        <w:spacing w:line="240" w:lineRule="exact"/>
        <w:rPr>
          <w:rFonts w:hint="default" w:cs="宋体"/>
          <w:color w:val="auto"/>
          <w:sz w:val="20"/>
          <w:szCs w:val="20"/>
          <w:highlight w:val="none"/>
        </w:rPr>
      </w:pPr>
      <w:r>
        <w:rPr>
          <w:rFonts w:cs="宋体"/>
          <w:color w:val="auto"/>
          <w:sz w:val="20"/>
          <w:szCs w:val="20"/>
          <w:highlight w:val="none"/>
        </w:rPr>
        <w:t>备注：1.本表反映部门本年度一般公共预算财政拨款、政府性基金预算财政拨款及国有资本经营预算财政拨款的总收支和年末结转结余情况。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r>
        <w:rPr>
          <w:rFonts w:cs="宋体"/>
          <w:color w:val="auto"/>
          <w:sz w:val="21"/>
          <w:szCs w:val="21"/>
          <w:highlight w:val="none"/>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highlight w:val="none"/>
              </w:rPr>
            </w:pPr>
            <w:r>
              <w:rPr>
                <w:rFonts w:hint="eastAsia" w:cs="宋体"/>
                <w:color w:val="auto"/>
                <w:sz w:val="20"/>
                <w:szCs w:val="20"/>
                <w:highlight w:val="none"/>
                <w:lang w:eastAsia="zh-CN"/>
              </w:rPr>
              <w:t>部门</w:t>
            </w:r>
            <w:r>
              <w:rPr>
                <w:rFonts w:cs="宋体"/>
                <w:color w:val="auto"/>
                <w:sz w:val="20"/>
                <w:szCs w:val="20"/>
                <w:highlight w:val="none"/>
              </w:rPr>
              <w:t>：</w:t>
            </w:r>
            <w:r>
              <w:rPr>
                <w:color w:val="auto"/>
                <w:sz w:val="20"/>
                <w:highlight w:val="none"/>
                <w:u w:color="auto"/>
              </w:rPr>
              <w:t>路阳镇便民服务中心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05</w:t>
            </w:r>
            <w:r>
              <w:rPr>
                <w:rFonts w:cs="宋体"/>
                <w:color w:val="auto"/>
                <w:sz w:val="20"/>
                <w:szCs w:val="20"/>
                <w:highlight w:val="none"/>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80.50</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80.50</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24.51</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24.51</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24.51</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24.51</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2010350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24.51</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24.51</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47.23</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47.23</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21.55</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21.55</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社会保险经办机构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21.55</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21.55</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13.64</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13.64</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7.42</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7.42</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3.71</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3.71</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2.50</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2.50</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20828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12.05</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12.05</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2082850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12.05</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12.05</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4.12</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4.12</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4.12</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4.12</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4.12</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4.12</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4.65</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4.65</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4.65</w:t>
            </w:r>
            <w:r>
              <w:rPr>
                <w:rFonts w:ascii="Times New Roman" w:hAnsi="Times New Roman"/>
                <w:b/>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4.65</w:t>
            </w:r>
            <w:r>
              <w:rPr>
                <w:rFonts w:ascii="Times New Roman" w:hAnsi="Times New Roman"/>
                <w:b/>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4.65</w:t>
            </w:r>
            <w:r>
              <w:rPr>
                <w:rFonts w:ascii="Times New Roman" w:hAnsi="Times New Roman"/>
                <w:color w:val="auto"/>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4.65</w:t>
            </w:r>
            <w:r>
              <w:rPr>
                <w:rFonts w:ascii="Times New Roman" w:hAnsi="Times New Roman"/>
                <w:color w:val="auto"/>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rPr>
          <w:rFonts w:hint="default" w:cs="宋体"/>
          <w:color w:val="auto"/>
          <w:sz w:val="21"/>
          <w:szCs w:val="21"/>
          <w:highlight w:val="none"/>
        </w:rPr>
      </w:pPr>
      <w:r>
        <w:rPr>
          <w:rFonts w:cs="宋体"/>
          <w:color w:val="auto"/>
          <w:sz w:val="20"/>
          <w:szCs w:val="20"/>
          <w:highlight w:val="none"/>
        </w:rPr>
        <w:t>备注：1.本表反映部门本年度一般公共预算财政拨款支出情况。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pPr>
        <w:ind w:firstLine="630" w:firstLineChars="300"/>
        <w:rPr>
          <w:rFonts w:hint="default" w:cs="宋体"/>
          <w:color w:val="auto"/>
          <w:sz w:val="21"/>
          <w:szCs w:val="21"/>
          <w:highlight w:val="none"/>
        </w:rPr>
      </w:pPr>
      <w:r>
        <w:rPr>
          <w:rFonts w:cs="宋体"/>
          <w:color w:val="auto"/>
          <w:sz w:val="21"/>
          <w:szCs w:val="21"/>
          <w:highlight w:val="none"/>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highlight w:val="none"/>
              </w:rPr>
            </w:pPr>
            <w:r>
              <w:rPr>
                <w:rFonts w:cs="宋体"/>
                <w:b/>
                <w:color w:val="auto"/>
                <w:sz w:val="32"/>
                <w:szCs w:val="32"/>
                <w:highlight w:val="none"/>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highlight w:val="none"/>
              </w:rPr>
            </w:pPr>
            <w:r>
              <w:rPr>
                <w:rFonts w:hint="eastAsia" w:cs="宋体"/>
                <w:color w:val="auto"/>
                <w:sz w:val="20"/>
                <w:szCs w:val="20"/>
                <w:highlight w:val="none"/>
                <w:lang w:eastAsia="zh-CN"/>
              </w:rPr>
              <w:t>部门</w:t>
            </w:r>
            <w:r>
              <w:rPr>
                <w:rFonts w:cs="宋体"/>
                <w:color w:val="auto"/>
                <w:sz w:val="20"/>
                <w:szCs w:val="20"/>
                <w:highlight w:val="none"/>
              </w:rPr>
              <w:t>：</w:t>
            </w:r>
            <w:r>
              <w:rPr>
                <w:color w:val="auto"/>
                <w:sz w:val="20"/>
                <w:highlight w:val="none"/>
                <w:u w:color="auto"/>
              </w:rPr>
              <w:t>路阳镇便民服务中心</w:t>
            </w: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06</w:t>
            </w:r>
            <w:r>
              <w:rPr>
                <w:rFonts w:cs="宋体"/>
                <w:color w:val="auto"/>
                <w:sz w:val="20"/>
                <w:szCs w:val="20"/>
                <w:highlight w:val="none"/>
              </w:rPr>
              <w:t>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76.41</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1.40</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17.43</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5.16</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34.01</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7.42</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3.71</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3.32</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0.10</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4.65</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0.60</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2.70</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0.02</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2.30</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0.40</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1.31</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highlight w:val="none"/>
              </w:rPr>
            </w:pPr>
            <w:r>
              <w:rPr>
                <w:rFonts w:cs="宋体"/>
                <w:color w:val="auto"/>
                <w:sz w:val="18"/>
                <w:szCs w:val="18"/>
                <w:highlight w:val="none"/>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0.06</w:t>
            </w: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79.11</w:t>
            </w:r>
            <w:r>
              <w:rPr>
                <w:rFonts w:ascii="Times New Roman" w:hAnsi="Times New Roman"/>
                <w:color w:val="auto"/>
                <w:sz w:val="18"/>
                <w:highlight w:val="none"/>
                <w:u w:color="auto"/>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1.40</w:t>
            </w:r>
            <w:r>
              <w:rPr>
                <w:rFonts w:ascii="Times New Roman" w:hAnsi="Times New Roman"/>
                <w:color w:val="auto"/>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highlight w:val="none"/>
        </w:rPr>
      </w:pPr>
      <w:r>
        <w:rPr>
          <w:rFonts w:cs="宋体"/>
          <w:color w:val="auto"/>
          <w:sz w:val="20"/>
          <w:szCs w:val="20"/>
          <w:highlight w:val="none"/>
        </w:rPr>
        <w:t>备注：1.本表反映部门本年度一般公共预算财政拨款基本支出明细情况。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r>
        <w:rPr>
          <w:rFonts w:cs="宋体"/>
          <w:color w:val="auto"/>
          <w:sz w:val="21"/>
          <w:szCs w:val="21"/>
          <w:highlight w:val="none"/>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highlight w:val="none"/>
              </w:rPr>
            </w:pPr>
            <w:r>
              <w:rPr>
                <w:rFonts w:hint="eastAsia" w:cs="宋体"/>
                <w:color w:val="auto"/>
                <w:sz w:val="20"/>
                <w:szCs w:val="20"/>
                <w:highlight w:val="none"/>
                <w:lang w:eastAsia="zh-CN"/>
              </w:rPr>
              <w:t>部门</w:t>
            </w:r>
            <w:r>
              <w:rPr>
                <w:rFonts w:cs="宋体"/>
                <w:color w:val="auto"/>
                <w:sz w:val="20"/>
                <w:szCs w:val="20"/>
                <w:highlight w:val="none"/>
              </w:rPr>
              <w:t>：</w:t>
            </w:r>
            <w:r>
              <w:rPr>
                <w:color w:val="auto"/>
                <w:sz w:val="20"/>
                <w:highlight w:val="none"/>
                <w:u w:color="auto"/>
              </w:rPr>
              <w:t>路阳镇便民服务中心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07</w:t>
            </w:r>
            <w:r>
              <w:rPr>
                <w:rFonts w:cs="宋体"/>
                <w:color w:val="auto"/>
                <w:sz w:val="20"/>
                <w:szCs w:val="20"/>
                <w:highlight w:val="none"/>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highlight w:val="none"/>
              </w:rPr>
            </w:pP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highlight w:val="none"/>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rPr>
          <w:rFonts w:hint="default" w:cs="宋体"/>
          <w:color w:val="auto"/>
          <w:sz w:val="21"/>
          <w:szCs w:val="21"/>
          <w:highlight w:val="none"/>
        </w:rPr>
      </w:pPr>
      <w:r>
        <w:rPr>
          <w:rFonts w:cs="宋体"/>
          <w:color w:val="auto"/>
          <w:sz w:val="20"/>
          <w:szCs w:val="20"/>
          <w:highlight w:val="none"/>
        </w:rPr>
        <w:t>备注：本表反映部门本年度政府性基金预算财政拨款收入支出及结转和结余情况。本部门无政府性基金收支，故本表无数据。</w:t>
      </w:r>
      <w:r>
        <w:rPr>
          <w:rFonts w:cs="宋体"/>
          <w:color w:val="auto"/>
          <w:sz w:val="20"/>
          <w:szCs w:val="20"/>
          <w:highlight w:val="none"/>
        </w:rPr>
        <w:br w:type="textWrapping"/>
      </w:r>
      <w:r>
        <w:rPr>
          <w:rFonts w:cs="宋体"/>
          <w:color w:val="auto"/>
          <w:sz w:val="20"/>
          <w:szCs w:val="20"/>
          <w:highlight w:val="none"/>
        </w:rPr>
        <w:br w:type="textWrapping"/>
      </w:r>
    </w:p>
    <w:p>
      <w:pPr>
        <w:rPr>
          <w:rFonts w:hint="default" w:cs="宋体"/>
          <w:color w:val="auto"/>
          <w:sz w:val="21"/>
          <w:szCs w:val="21"/>
          <w:highlight w:val="none"/>
        </w:rPr>
      </w:pPr>
      <w:r>
        <w:rPr>
          <w:rFonts w:cs="宋体"/>
          <w:color w:val="auto"/>
          <w:sz w:val="21"/>
          <w:szCs w:val="21"/>
          <w:highlight w:val="none"/>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highlight w:val="none"/>
              </w:rPr>
            </w:pPr>
            <w:r>
              <w:rPr>
                <w:rFonts w:hint="eastAsia" w:cs="宋体"/>
                <w:color w:val="auto"/>
                <w:sz w:val="20"/>
                <w:szCs w:val="20"/>
                <w:highlight w:val="none"/>
                <w:lang w:eastAsia="zh-CN"/>
              </w:rPr>
              <w:t>部门</w:t>
            </w:r>
            <w:r>
              <w:rPr>
                <w:rFonts w:cs="宋体"/>
                <w:color w:val="auto"/>
                <w:sz w:val="20"/>
                <w:szCs w:val="20"/>
                <w:highlight w:val="none"/>
              </w:rPr>
              <w:t>：</w:t>
            </w:r>
            <w:r>
              <w:rPr>
                <w:color w:val="auto"/>
                <w:sz w:val="20"/>
                <w:highlight w:val="none"/>
                <w:u w:color="auto"/>
              </w:rPr>
              <w:t>路阳镇便民服务中心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08</w:t>
            </w:r>
            <w:r>
              <w:rPr>
                <w:rFonts w:cs="宋体"/>
                <w:color w:val="auto"/>
                <w:sz w:val="20"/>
                <w:szCs w:val="20"/>
                <w:highlight w:val="none"/>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r>
    </w:tbl>
    <w:p>
      <w:pPr>
        <w:rPr>
          <w:rFonts w:hint="default" w:cs="宋体"/>
          <w:color w:val="auto"/>
          <w:sz w:val="21"/>
          <w:szCs w:val="21"/>
          <w:highlight w:val="none"/>
        </w:rPr>
      </w:pPr>
      <w:r>
        <w:rPr>
          <w:rFonts w:cs="宋体"/>
          <w:color w:val="auto"/>
          <w:sz w:val="20"/>
          <w:szCs w:val="20"/>
          <w:highlight w:val="none"/>
        </w:rPr>
        <w:t>备注：本表反映部门本年度国有资本经营预算财政拨款支出情况。本部门无国有资本经营收支，故本表无数据。</w:t>
      </w:r>
      <w:r>
        <w:rPr>
          <w:rFonts w:cs="宋体"/>
          <w:color w:val="auto"/>
          <w:sz w:val="20"/>
          <w:szCs w:val="20"/>
          <w:highlight w:val="none"/>
        </w:rPr>
        <w:br w:type="textWrapping"/>
      </w:r>
      <w:r>
        <w:rPr>
          <w:rFonts w:cs="宋体"/>
          <w:color w:val="auto"/>
          <w:sz w:val="20"/>
          <w:szCs w:val="20"/>
          <w:highlight w:val="none"/>
        </w:rPr>
        <w:br w:type="textWrapping"/>
      </w:r>
    </w:p>
    <w:p>
      <w:pPr>
        <w:rPr>
          <w:rFonts w:hint="default" w:cs="宋体"/>
          <w:color w:val="auto"/>
          <w:sz w:val="21"/>
          <w:szCs w:val="21"/>
          <w:highlight w:val="none"/>
        </w:rPr>
      </w:pPr>
      <w:r>
        <w:rPr>
          <w:rFonts w:hint="default" w:cs="宋体"/>
          <w:color w:val="auto"/>
          <w:sz w:val="21"/>
          <w:szCs w:val="21"/>
          <w:highlight w:val="none"/>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auto"/>
                <w:kern w:val="2"/>
                <w:sz w:val="32"/>
                <w:szCs w:val="32"/>
                <w:highlight w:val="none"/>
              </w:rPr>
            </w:pPr>
            <w:r>
              <w:rPr>
                <w:rFonts w:cs="宋体"/>
                <w:b/>
                <w:color w:val="auto"/>
                <w:kern w:val="2"/>
                <w:sz w:val="32"/>
                <w:szCs w:val="32"/>
                <w:highlight w:val="none"/>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auto"/>
                <w:kern w:val="2"/>
                <w:sz w:val="20"/>
                <w:szCs w:val="20"/>
                <w:highlight w:val="none"/>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auto"/>
                <w:kern w:val="2"/>
                <w:sz w:val="20"/>
                <w:szCs w:val="20"/>
                <w:highlight w:val="none"/>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highlight w:val="none"/>
              </w:rPr>
            </w:pPr>
          </w:p>
        </w:tc>
        <w:tc>
          <w:tcPr>
            <w:tcW w:w="3726" w:type="dxa"/>
            <w:shd w:val="clear" w:color="auto" w:fill="auto"/>
            <w:tcMar>
              <w:top w:w="15" w:type="dxa"/>
              <w:left w:w="15" w:type="dxa"/>
              <w:right w:w="15" w:type="dxa"/>
            </w:tcMar>
            <w:vAlign w:val="bottom"/>
          </w:tcPr>
          <w:p>
            <w:pPr>
              <w:spacing w:line="280" w:lineRule="exact"/>
              <w:rPr>
                <w:rFonts w:hint="default" w:cs="宋体"/>
                <w:color w:val="auto"/>
                <w:kern w:val="2"/>
                <w:sz w:val="20"/>
                <w:szCs w:val="20"/>
                <w:highlight w:val="none"/>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highlight w:val="none"/>
              </w:rPr>
            </w:pPr>
            <w:r>
              <w:rPr>
                <w:rFonts w:cs="宋体"/>
                <w:color w:val="auto"/>
                <w:kern w:val="2"/>
                <w:sz w:val="20"/>
                <w:szCs w:val="20"/>
                <w:highlight w:val="none"/>
              </w:rPr>
              <w:t>公开</w:t>
            </w:r>
            <w:r>
              <w:rPr>
                <w:rFonts w:hint="default" w:ascii="Times New Roman" w:hAnsi="Times New Roman"/>
                <w:color w:val="auto"/>
                <w:kern w:val="2"/>
                <w:sz w:val="20"/>
                <w:szCs w:val="20"/>
                <w:highlight w:val="none"/>
              </w:rPr>
              <w:t>09</w:t>
            </w:r>
            <w:r>
              <w:rPr>
                <w:rFonts w:cs="宋体"/>
                <w:color w:val="auto"/>
                <w:kern w:val="2"/>
                <w:sz w:val="20"/>
                <w:szCs w:val="20"/>
                <w:highlight w:val="none"/>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highlight w:val="none"/>
              </w:rPr>
            </w:pPr>
            <w:r>
              <w:rPr>
                <w:rFonts w:hint="eastAsia" w:cs="宋体"/>
                <w:color w:val="auto"/>
                <w:sz w:val="20"/>
                <w:szCs w:val="20"/>
                <w:highlight w:val="none"/>
                <w:lang w:eastAsia="zh-CN"/>
              </w:rPr>
              <w:t>部门</w:t>
            </w:r>
            <w:r>
              <w:rPr>
                <w:rFonts w:cs="宋体"/>
                <w:color w:val="auto"/>
                <w:kern w:val="2"/>
                <w:sz w:val="20"/>
                <w:szCs w:val="20"/>
                <w:highlight w:val="none"/>
              </w:rPr>
              <w:t>：</w:t>
            </w:r>
            <w:r>
              <w:rPr>
                <w:color w:val="auto"/>
                <w:sz w:val="20"/>
                <w:highlight w:val="none"/>
                <w:u w:color="auto"/>
              </w:rPr>
              <w:t>路阳镇便民服务中心</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highlight w:val="none"/>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highlight w:val="none"/>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highlight w:val="none"/>
              </w:rPr>
            </w:pPr>
            <w:r>
              <w:rPr>
                <w:rFonts w:cs="宋体"/>
                <w:color w:val="auto"/>
                <w:kern w:val="2"/>
                <w:sz w:val="20"/>
                <w:szCs w:val="20"/>
                <w:highlight w:val="none"/>
              </w:rPr>
              <w:t>单位：万元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highlight w:val="none"/>
              </w:rPr>
            </w:pPr>
            <w:r>
              <w:rPr>
                <w:rFonts w:cs="宋体"/>
                <w:b/>
                <w:color w:val="auto"/>
                <w:kern w:val="2"/>
                <w:sz w:val="16"/>
                <w:szCs w:val="16"/>
                <w:highlight w:val="none"/>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highlight w:val="none"/>
              </w:rPr>
            </w:pPr>
            <w:r>
              <w:rPr>
                <w:rFonts w:cs="宋体"/>
                <w:b/>
                <w:color w:val="auto"/>
                <w:kern w:val="2"/>
                <w:sz w:val="16"/>
                <w:szCs w:val="16"/>
                <w:highlight w:val="none"/>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highlight w:val="none"/>
              </w:rPr>
            </w:pPr>
            <w:r>
              <w:rPr>
                <w:rFonts w:cs="宋体"/>
                <w:b/>
                <w:color w:val="auto"/>
                <w:kern w:val="2"/>
                <w:sz w:val="16"/>
                <w:szCs w:val="16"/>
                <w:highlight w:val="none"/>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highlight w:val="none"/>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highlight w:val="none"/>
              </w:rPr>
            </w:pPr>
            <w:r>
              <w:rPr>
                <w:rFonts w:cs="宋体"/>
                <w:b/>
                <w:color w:val="auto"/>
                <w:kern w:val="2"/>
                <w:sz w:val="16"/>
                <w:szCs w:val="16"/>
                <w:highlight w:val="none"/>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0.02</w:t>
            </w: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highlight w:val="none"/>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highlight w:val="none"/>
              </w:rPr>
            </w:pPr>
            <w:r>
              <w:rPr>
                <w:rFonts w:cs="宋体"/>
                <w:b/>
                <w:bCs/>
                <w:color w:val="auto"/>
                <w:sz w:val="16"/>
                <w:szCs w:val="16"/>
                <w:highlight w:val="none"/>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highlight w:val="none"/>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highlight w:val="none"/>
              </w:rPr>
            </w:pPr>
          </w:p>
        </w:tc>
      </w:tr>
    </w:tbl>
    <w:p>
      <w:pPr>
        <w:rPr>
          <w:rFonts w:hint="default" w:cs="宋体"/>
          <w:color w:val="auto"/>
          <w:sz w:val="18"/>
          <w:szCs w:val="18"/>
          <w:highlight w:val="none"/>
        </w:rPr>
      </w:pPr>
      <w:r>
        <w:rPr>
          <w:rFonts w:cs="宋体"/>
          <w:color w:val="auto"/>
          <w:sz w:val="18"/>
          <w:szCs w:val="18"/>
          <w:highlight w:val="none"/>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highlight w:val="none"/>
        </w:rPr>
        <w:br w:type="textWrapping"/>
      </w:r>
      <w:r>
        <w:rPr>
          <w:rFonts w:cs="宋体"/>
          <w:color w:val="auto"/>
          <w:sz w:val="18"/>
          <w:szCs w:val="18"/>
          <w:highlight w:val="none"/>
        </w:rPr>
        <w:t xml:space="preserve">      2.本套报表金额单位转换时可能存在尾数误差。</w:t>
      </w:r>
      <w:r>
        <w:rPr>
          <w:rFonts w:cs="宋体"/>
          <w:color w:val="auto"/>
          <w:sz w:val="18"/>
          <w:szCs w:val="18"/>
          <w:highlight w:val="none"/>
        </w:rPr>
        <w:br w:type="textWrapping"/>
      </w:r>
      <w:r>
        <w:rPr>
          <w:rFonts w:cs="宋体"/>
          <w:color w:val="auto"/>
          <w:sz w:val="18"/>
          <w:szCs w:val="18"/>
          <w:highlight w:val="none"/>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zczNTEyMmM2YjBhM2I2N2NjNTVmNDk3MTI5Yjk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585E9C"/>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46503F"/>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5B02D9"/>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317EDF"/>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92669C"/>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5C7001"/>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C841A9"/>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387215"/>
    <w:rsid w:val="6D903FF5"/>
    <w:rsid w:val="6DA955B8"/>
    <w:rsid w:val="6DE346AB"/>
    <w:rsid w:val="6DE5391A"/>
    <w:rsid w:val="6DFE071E"/>
    <w:rsid w:val="6EFD1324"/>
    <w:rsid w:val="6F5A53AC"/>
    <w:rsid w:val="6FAC003D"/>
    <w:rsid w:val="6FE55E12"/>
    <w:rsid w:val="6FFB2E76"/>
    <w:rsid w:val="6FFF2BCE"/>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88051A"/>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8370</Words>
  <Characters>10679</Characters>
  <Lines>186</Lines>
  <Paragraphs>52</Paragraphs>
  <TotalTime>10</TotalTime>
  <ScaleCrop>false</ScaleCrop>
  <LinksUpToDate>false</LinksUpToDate>
  <CharactersWithSpaces>11740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Dell</cp:lastModifiedBy>
  <dcterms:modified xsi:type="dcterms:W3CDTF">2025-10-20T08:21:52Z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BB46EABDBB2749749395447164B066B3_12</vt:lpwstr>
  </property>
  <property fmtid="{D5CDD505-2E9C-101B-9397-08002B2CF9AE}" pid="4" name="KSOTemplateDocerSaveRecord">
    <vt:lpwstr>eyJoZGlkIjoiMjJhNmY1NjAyMzRiZjA1NjZjNzE2NTU4ZWEwNzc5YzYiLCJ1c2VySWQiOiIxMTUyNzU4ODIzIn0=</vt:lpwstr>
  </property>
</Properties>
</file>