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云阳县</w:t>
      </w:r>
      <w:r>
        <w:rPr>
          <w:rFonts w:hint="eastAsia" w:ascii="方正小标宋_GBK" w:hAnsi="方正小标宋_GBK" w:eastAsia="方正小标宋_GBK" w:cs="方正小标宋_GBK"/>
          <w:b w:val="0"/>
          <w:bCs w:val="0"/>
          <w:sz w:val="44"/>
          <w:szCs w:val="44"/>
          <w:lang w:val="en-US" w:eastAsia="zh-CN"/>
        </w:rPr>
        <w:t>宝坪镇人民政府（本级）</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2</w:t>
      </w:r>
      <w:r>
        <w:rPr>
          <w:rFonts w:hint="eastAsia" w:ascii="方正小标宋_GBK" w:hAnsi="方正小标宋_GBK" w:eastAsia="方正小标宋_GBK" w:cs="方正小标宋_GBK"/>
          <w:b w:val="0"/>
          <w:bCs w:val="0"/>
          <w:sz w:val="44"/>
          <w:szCs w:val="44"/>
        </w:rPr>
        <w:t>年度</w:t>
      </w:r>
      <w:r>
        <w:rPr>
          <w:rFonts w:hint="eastAsia" w:ascii="方正小标宋_GBK" w:hAnsi="方正小标宋_GBK" w:eastAsia="方正小标宋_GBK" w:cs="方正小标宋_GBK"/>
          <w:b w:val="0"/>
          <w:bCs w:val="0"/>
          <w:sz w:val="44"/>
          <w:szCs w:val="44"/>
          <w:lang w:val="en-US" w:eastAsia="zh-CN"/>
        </w:rPr>
        <w:t>县级部门决算公开说明</w:t>
      </w:r>
    </w:p>
    <w:p>
      <w:pPr>
        <w:pStyle w:val="2"/>
        <w:pageBreakBefore w:val="0"/>
        <w:widowControl/>
        <w:kinsoku/>
        <w:wordWrap/>
        <w:overflowPunct/>
        <w:topLinePunct w:val="0"/>
        <w:autoSpaceDE/>
        <w:autoSpaceDN/>
        <w:bidi w:val="0"/>
        <w:adjustRightInd/>
        <w:snapToGrid/>
        <w:spacing w:before="0" w:beforeLines="0" w:beforeAutospacing="0" w:after="0" w:afterLines="0" w:afterAutospacing="0" w:line="578"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 xml:space="preserve">  </w:t>
      </w:r>
    </w:p>
    <w:p>
      <w:pPr>
        <w:pStyle w:val="2"/>
        <w:pageBreakBefore w:val="0"/>
        <w:widowControl/>
        <w:kinsoku/>
        <w:wordWrap/>
        <w:overflowPunct/>
        <w:topLinePunct w:val="0"/>
        <w:autoSpaceDE/>
        <w:autoSpaceDN/>
        <w:bidi w:val="0"/>
        <w:adjustRightInd/>
        <w:snapToGrid/>
        <w:spacing w:before="0" w:beforeLines="0" w:beforeAutospacing="0" w:after="0" w:afterLines="0" w:afterAutospacing="0" w:line="578"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一、部门基本情况</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pPr>
      <w:r>
        <w:rPr>
          <w:rStyle w:val="10"/>
          <w:sz w:val="18"/>
          <w:szCs w:val="18"/>
        </w:rPr>
        <w:t> </w:t>
      </w:r>
      <w:r>
        <w:rPr>
          <w:rStyle w:val="13"/>
        </w:rPr>
        <w:t xml:space="preserve"> （一）职能职责</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lang w:val="en-US" w:eastAsia="zh-CN"/>
        </w:rPr>
      </w:pPr>
      <w:r>
        <w:rPr>
          <w:rFonts w:hint="eastAsia"/>
          <w:lang w:val="en-US" w:eastAsia="zh-CN"/>
        </w:rPr>
        <w:t>1.负责综合协调、文电、会务、机要、档案等机关日常运转工作。承担重要文稿起草、交办督办、信息、政务公开、电子政务等工作。</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lang w:val="en-US" w:eastAsia="zh-CN"/>
        </w:rPr>
      </w:pPr>
      <w:r>
        <w:rPr>
          <w:rFonts w:hint="eastAsia"/>
          <w:lang w:val="en-US" w:eastAsia="zh-CN"/>
        </w:rPr>
        <w:t>2.负责党的建设、纪检、宣传、统战、武装、机构编制、干部人事、民宗侨台、群团等职责。</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lang w:val="en-US" w:eastAsia="zh-CN"/>
        </w:rPr>
      </w:pPr>
      <w:r>
        <w:rPr>
          <w:rFonts w:hint="eastAsia"/>
          <w:lang w:val="en-US" w:eastAsia="zh-CN"/>
        </w:rPr>
        <w:t xml:space="preserve">3.负责乡镇人民代表大会、主席团履行法定职权职责的具体工作，组织人大代表视察、调研、评议等活动，收集、整理、交办代表建议等职责。  </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lang w:val="en-US" w:eastAsia="zh-CN"/>
        </w:rPr>
      </w:pPr>
      <w:r>
        <w:rPr>
          <w:rFonts w:hint="eastAsia"/>
          <w:lang w:val="en-US" w:eastAsia="zh-CN"/>
        </w:rPr>
        <w:t>4.负责经济发展规划、农村经营管理、经济社会统计等职责。</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lang w:val="en-US" w:eastAsia="zh-CN"/>
        </w:rPr>
      </w:pPr>
      <w:r>
        <w:rPr>
          <w:rFonts w:hint="eastAsia"/>
          <w:lang w:val="en-US" w:eastAsia="zh-CN"/>
        </w:rPr>
        <w:t>5.负责民政、教育、卫生、计生、老龄、文化、体育、社会救助、残疾人事业、劳动就业、社会保障、退役军人管理等职责。</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lang w:val="en-US" w:eastAsia="zh-CN"/>
        </w:rPr>
      </w:pPr>
      <w:r>
        <w:rPr>
          <w:rFonts w:hint="eastAsia"/>
          <w:lang w:val="en-US" w:eastAsia="zh-CN"/>
        </w:rPr>
        <w:t>6.负责信访、人民调解、社会治安综合治理、防范和处理邪教等职责。</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lang w:val="en-US" w:eastAsia="zh-CN"/>
        </w:rPr>
      </w:pPr>
      <w:r>
        <w:rPr>
          <w:rFonts w:hint="eastAsia"/>
          <w:lang w:val="en-US" w:eastAsia="zh-CN"/>
        </w:rPr>
        <w:t>7.负责村镇规划、村镇建设、市政公用、市容环卫、环境保护等职责。</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lang w:val="en-US" w:eastAsia="zh-CN"/>
        </w:rPr>
      </w:pPr>
      <w:r>
        <w:rPr>
          <w:rFonts w:hint="eastAsia"/>
          <w:lang w:val="en-US" w:eastAsia="zh-CN"/>
        </w:rPr>
        <w:t>8.负责财政收支、预决算、总会计、惠农资金兑付、财政资金监督检查、绩效管理、村级财务管理等职责。</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lang w:val="en-US" w:eastAsia="zh-CN"/>
        </w:rPr>
      </w:pPr>
      <w:r>
        <w:rPr>
          <w:rFonts w:hint="eastAsia"/>
          <w:lang w:val="en-US" w:eastAsia="zh-CN"/>
        </w:rPr>
        <w:t>9.负责安全生产宣传教育和综合监管，协助开展矿山、危险化学品、烟花爆竹等安全生产日常监管工作，食品药品监督管理，应急管理等职责。</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lang w:val="en-US" w:eastAsia="zh-CN"/>
        </w:rPr>
      </w:pPr>
      <w:r>
        <w:rPr>
          <w:rFonts w:hint="eastAsia"/>
          <w:lang w:val="en-US" w:eastAsia="zh-CN"/>
        </w:rPr>
        <w:t>10.集中行使依法授权或委托的行政执法权。具体集中行使依法授权或委托的农林水利、规划建设、环境保护、卫生计生、文化旅游、民政管理、道路交通等领域的行政执法权。</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pPr>
      <w:r>
        <w:rPr>
          <w:rStyle w:val="10"/>
          <w:sz w:val="18"/>
          <w:szCs w:val="18"/>
        </w:rPr>
        <w:t> </w:t>
      </w:r>
      <w:r>
        <w:rPr>
          <w:rStyle w:val="13"/>
        </w:rPr>
        <w:t xml:space="preserve"> （二）机构设置</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lang w:val="en-US" w:eastAsia="zh-CN"/>
        </w:rPr>
      </w:pPr>
      <w:r>
        <w:rPr>
          <w:rFonts w:hint="eastAsia"/>
          <w:lang w:val="en-US" w:eastAsia="zh-CN"/>
        </w:rPr>
        <w:t>云阳县宝坪镇人民政府内设机构10个。分别为：党政办公室、党群工作办公室、人民代表大会办公室、经济发展办公室、民政和社会事务办公室、平安建设办公室、规划建设管理环保办公室、财政办公室、应急管理办公室、综合行政执法办公室。下设5个直属事业单位，分别为宝坪镇农业服务中心，宝坪镇文化服务中心，宝坪镇劳动就业和社会保障服务所，宝坪镇退役军人服务站，宝坪镇综合行政执法大队。</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（三）单位构成</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default"/>
          <w:lang w:val="en-US" w:eastAsia="zh-CN"/>
        </w:rPr>
      </w:pPr>
      <w:r>
        <w:rPr>
          <w:rFonts w:hint="eastAsia"/>
          <w:lang w:val="en-US" w:eastAsia="zh-CN"/>
        </w:rPr>
        <w:t>云阳县宝坪镇人民政府（本级）。</w:t>
      </w:r>
    </w:p>
    <w:p>
      <w:pPr>
        <w:pStyle w:val="2"/>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left="0" w:leftChars="0" w:firstLine="640" w:firstLineChars="200"/>
        <w:textAlignment w:val="auto"/>
      </w:pPr>
      <w:r>
        <w:t>二、部门决算情况说明</w:t>
      </w:r>
    </w:p>
    <w:p>
      <w:pPr>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361" w:firstLineChars="200"/>
        <w:textAlignment w:val="auto"/>
        <w:rPr>
          <w:rStyle w:val="10"/>
          <w:sz w:val="18"/>
          <w:szCs w:val="18"/>
        </w:rPr>
      </w:pPr>
      <w:r>
        <w:rPr>
          <w:rStyle w:val="10"/>
          <w:sz w:val="18"/>
          <w:szCs w:val="18"/>
        </w:rPr>
        <w:t> </w:t>
      </w:r>
    </w:p>
    <w:p>
      <w:pPr>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仿宋_GB2312" w:hAnsi="仿宋" w:eastAsia="仿宋_GB2312"/>
          <w:sz w:val="32"/>
          <w:szCs w:val="32"/>
        </w:rPr>
      </w:pPr>
      <w:r>
        <w:rPr>
          <w:rStyle w:val="13"/>
        </w:rPr>
        <w:t xml:space="preserve"> </w:t>
      </w:r>
      <w:r>
        <w:rPr>
          <w:rFonts w:hint="eastAsia" w:ascii="方正楷体_GBK" w:hAnsi="宋体" w:eastAsia="方正楷体_GBK" w:cs="宋体"/>
          <w:kern w:val="0"/>
          <w:sz w:val="32"/>
          <w:szCs w:val="32"/>
        </w:rPr>
        <w:t>（一）收入支出决算总体情况说明</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default" w:ascii="宋体" w:hAnsi="宋体" w:cs="宋体"/>
          <w:lang w:val="en-US" w:eastAsia="zh-CN"/>
        </w:rPr>
      </w:pPr>
      <w:r>
        <w:rPr>
          <w:rFonts w:hint="eastAsia" w:ascii="宋体" w:hAnsi="宋体" w:cs="宋体"/>
          <w:lang w:val="en-US" w:eastAsia="zh-CN"/>
        </w:rPr>
        <w:t>1.总体情况。2022年度收入总计4051.73万元，支出总计4632.48万元。收入较年初预算数增加852.83万元，增长26.66%，支出较年初预算数增加509.4万元，增长12.35%，主要原因是年中追加相关预算，相应增加预算支出，且按照2022年决算列报口径，云阳县宝坪镇人民政府（本级）新增为决算单位，上年决算数为0.00万元。</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default" w:ascii="宋体" w:hAnsi="宋体" w:cs="宋体"/>
          <w:lang w:val="en-US" w:eastAsia="zh-CN"/>
        </w:rPr>
      </w:pPr>
      <w:r>
        <w:rPr>
          <w:rFonts w:hint="eastAsia" w:ascii="宋体" w:hAnsi="宋体" w:cs="宋体"/>
          <w:lang w:val="en-US" w:eastAsia="zh-CN"/>
        </w:rPr>
        <w:t>2.收入情况。2022年度收入合计4051.73万元，较年初预算数增加852.83万元，增长26.66%，主要原因是云阳县宝坪镇人民政府（本级）2022年新增为决算单位，上年决算数为0.00万元，年中根据实际情况追加相关预算。其中一般公共预算财政拨款收入3657.14万元，占90.26%，政府性基金预算财政拨款收入394.59万元，占9.74%。</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default" w:ascii="宋体" w:hAnsi="宋体" w:cs="宋体"/>
          <w:lang w:val="en-US" w:eastAsia="zh-CN"/>
        </w:rPr>
      </w:pPr>
      <w:r>
        <w:rPr>
          <w:rFonts w:hint="eastAsia" w:ascii="宋体" w:hAnsi="宋体" w:cs="宋体"/>
          <w:lang w:val="en-US" w:eastAsia="zh-CN"/>
        </w:rPr>
        <w:t>3.支出情况。2022年度支出合计4632.48万元，支出较年初预算数增加509.4万元，增长12.35%，主要原因是社会保障和就业支出、农林水支出增加，且云阳县宝坪镇人民政府（本级）2022年新增为决算单位，上年决算数为0.00万元。其中基本支出990.53万元，占21.38%，项目支出3641.95万元，占78.62%。</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4.结转结余情况。2022年度年末结转和结余106.45万元。本部门2022年度年末结转和结余106.45万元，较上年减少817.72万元，减少88.48%。主要原因是本年积极优化存量资金使用，优先使用结转结余资金，“去存量”，“化库存”，相关项目施工进度加快，项目资金拨付及时。</w:t>
      </w:r>
    </w:p>
    <w:p>
      <w:pPr>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（二）财政拨款收入支出决算总体情况说明</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2022年度财政拨款收、支总计8684.21万元。与年初预算数相比，收入较年初预算数增加852.83万元，增长26.66%，支出较年初预算数增加509.4万元，增长12.35%，主要原因是年中追加相关预算，相应增加预算支出，且按照2022年决算列报口径，云阳县宝坪镇人民政府（本级）新增为决算单位，上年决算数为0.00万元。</w:t>
      </w:r>
    </w:p>
    <w:p>
      <w:pPr>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仿宋_GB2312" w:hAnsi="仿宋" w:eastAsia="仿宋_GB2312"/>
          <w:sz w:val="32"/>
          <w:szCs w:val="32"/>
        </w:rPr>
      </w:pPr>
      <w:r>
        <w:rPr>
          <w:rFonts w:hint="eastAsia" w:ascii="方正楷体_GBK" w:hAnsi="宋体" w:eastAsia="方正楷体_GBK" w:cs="宋体"/>
          <w:kern w:val="0"/>
          <w:sz w:val="32"/>
          <w:szCs w:val="32"/>
        </w:rPr>
        <w:t>（三）一般公共预算财政拨款收入支出决算情况说明</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1.收入情况。2022年度一般公共预算财政拨款收入3657.14万元，较年初预算数增加2441.90万元，增加1215.24万元，增长33.23%。主要原因是年中追加了人员经费预算，相应收入增加，且2022年新增为决算单位，上年决算数为0.00万元。</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2.支出情况。2022年度一般公共预算财政拨款支出4181.46万元，上年决算支出数为0.00万元。其中基本支出990.53万元，占23.69%，项目支出3190.93万元，占76.31%。</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3.结转结余情况。</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2022年度年末结转和结余106.45万元。本部门2022年度年末结转和结余106.45万元，较上年减少817.72万元，减少88.48%。主要原因是本年积极优化存量资金使用，优先使用结转结余资金，“去存量”，“化库存”，相关项目施工进度加快，项目资金拨付及时。</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default" w:ascii="宋体" w:hAnsi="宋体" w:cs="宋体"/>
          <w:lang w:val="en-US" w:eastAsia="zh-CN"/>
        </w:rPr>
      </w:pPr>
      <w:r>
        <w:rPr>
          <w:rFonts w:hint="eastAsia" w:ascii="宋体" w:hAnsi="宋体" w:cs="宋体"/>
          <w:lang w:val="en-US" w:eastAsia="zh-CN"/>
        </w:rPr>
        <w:t>4.比较情况。本部门2022年度一般公共预算财政拨款支出主要用于以下几个方面： 4632.47万元</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default" w:ascii="宋体" w:hAnsi="宋体" w:cs="宋体"/>
          <w:lang w:val="en-US" w:eastAsia="zh-CN"/>
        </w:rPr>
      </w:pPr>
      <w:r>
        <w:rPr>
          <w:rFonts w:hint="eastAsia" w:ascii="宋体" w:hAnsi="宋体" w:cs="宋体"/>
          <w:lang w:val="en-US" w:eastAsia="zh-CN"/>
        </w:rPr>
        <w:t>（1）一般公共服务支出953.55万元，占20.58%，较年初预算数减少251.48万元，下降20.87%，主要原因是本单位厉行节约，压缩办公经费，相关公共服务支出减少。</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default" w:ascii="宋体" w:hAnsi="宋体" w:cs="宋体"/>
          <w:lang w:val="en-US" w:eastAsia="zh-CN"/>
        </w:rPr>
      </w:pPr>
      <w:r>
        <w:rPr>
          <w:rFonts w:hint="eastAsia" w:ascii="宋体" w:hAnsi="宋体" w:cs="宋体"/>
          <w:lang w:val="en-US" w:eastAsia="zh-CN"/>
        </w:rPr>
        <w:t>（2）社会保障与就业支出2166.53万元，占46.77%，较年初预算数增加649.92万元，增加42.85%，主要原因是保障本镇生活困难群众的基本生活水平年中追加预算，故相应支出增加。</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default" w:ascii="宋体" w:hAnsi="宋体" w:cs="宋体"/>
          <w:lang w:val="en-US" w:eastAsia="zh-CN"/>
        </w:rPr>
      </w:pPr>
      <w:r>
        <w:rPr>
          <w:rFonts w:hint="eastAsia" w:ascii="宋体" w:hAnsi="宋体" w:cs="宋体"/>
          <w:lang w:val="en-US" w:eastAsia="zh-CN"/>
        </w:rPr>
        <w:t>（3）卫生健康支出93.40万元，占2.02%，较年初预算数减少3.98万元，减少4.09%，主要原因是下半年疫情总体可控相关卫生支出减少，实际卫生健康支出减少。</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default" w:ascii="宋体" w:hAnsi="宋体" w:cs="宋体"/>
          <w:lang w:val="en-US" w:eastAsia="zh-CN"/>
        </w:rPr>
      </w:pPr>
      <w:r>
        <w:rPr>
          <w:rFonts w:hint="eastAsia" w:ascii="宋体" w:hAnsi="宋体" w:cs="宋体"/>
          <w:lang w:val="en-US" w:eastAsia="zh-CN"/>
        </w:rPr>
        <w:t>（5）农林水支出1144.3万元，占24.7%，较年初预算数增加74.92万元，增加7.01%，主要原因是保障城乡居民饮水农业安全，新增水利建设等项目支出增加。</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default" w:ascii="宋体" w:hAnsi="宋体" w:cs="宋体"/>
          <w:lang w:val="en-US" w:eastAsia="zh-CN"/>
        </w:rPr>
      </w:pPr>
      <w:r>
        <w:rPr>
          <w:rFonts w:hint="eastAsia" w:ascii="宋体" w:hAnsi="宋体" w:cs="宋体"/>
          <w:lang w:val="en-US" w:eastAsia="zh-CN"/>
        </w:rPr>
        <w:t>（6）住房保障支出37.66万元，占0.81%，较年初预算数增加2.67万元，增加7.09%，主要原因是年中人员增加，相应保障居民住房支出增加。</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方正楷体_GBK" w:hAnsi="宋体" w:eastAsia="方正楷体_GBK" w:cs="宋体"/>
          <w:kern w:val="0"/>
          <w:sz w:val="32"/>
          <w:szCs w:val="32"/>
        </w:rPr>
      </w:pPr>
      <w:r>
        <w:rPr>
          <w:rFonts w:hint="eastAsia" w:ascii="宋体" w:hAnsi="宋体" w:cs="宋体"/>
          <w:lang w:val="en-US" w:eastAsia="zh-CN"/>
        </w:rPr>
        <w:t>（7）其他支出5万元，较年初预算数无变化。</w:t>
      </w:r>
    </w:p>
    <w:p>
      <w:pPr>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楷体_GBK" w:hAnsi="宋体" w:eastAsia="方正楷体_GBK" w:cs="宋体"/>
          <w:kern w:val="0"/>
          <w:sz w:val="32"/>
          <w:szCs w:val="32"/>
        </w:rPr>
      </w:pPr>
    </w:p>
    <w:p>
      <w:pPr>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（四）一般公共预算财政拨款基本支出决算情况说明</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2022年度一般公共预算财政拨款基本支出990.53万元。其中人员经费807.37万元，用途主要包括工资性福利支出、商品和服务支出和对个人和家庭的补助。公用经费183.16万元，用途主要包括工会经费和福利费。</w:t>
      </w:r>
    </w:p>
    <w:p>
      <w:pPr>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仿宋_GB2312" w:hAnsi="仿宋" w:eastAsia="仿宋_GB2312"/>
          <w:sz w:val="32"/>
          <w:szCs w:val="32"/>
        </w:rPr>
      </w:pPr>
      <w:r>
        <w:rPr>
          <w:rFonts w:hint="eastAsia" w:ascii="方正楷体_GBK" w:hAnsi="宋体" w:eastAsia="方正楷体_GBK" w:cs="宋体"/>
          <w:kern w:val="0"/>
          <w:sz w:val="32"/>
          <w:szCs w:val="32"/>
        </w:rPr>
        <w:t>（五）政府性基金预算收支决算情况说明</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default" w:ascii="宋体" w:hAnsi="宋体" w:cs="宋体"/>
          <w:lang w:val="en-US" w:eastAsia="zh-CN"/>
        </w:rPr>
      </w:pPr>
      <w:r>
        <w:rPr>
          <w:rFonts w:hint="eastAsia" w:ascii="宋体" w:hAnsi="宋体" w:cs="宋体"/>
          <w:lang w:val="en-US" w:eastAsia="zh-CN"/>
        </w:rPr>
        <w:t>宝坪镇2022年政府性基金预算财政拨款收入394.59万元，2021年政府性基金预算财政拨款收入207.44万元，比上年增加187.15万元，同比增加90.22%，主要原因为国家重大水利工程建设基金安排的支出增加。宝坪镇2022年政府性基金预算财政拨款支出451.01万元，2021年政府性基金预算财政拨款支出1439.36万元，比上年减少988.35万元，同比减少68.67%，主要原因为本年度政府性基金项目收入减少，有些项目建设周期长，尚未完工，故相应支出减少。</w:t>
      </w:r>
    </w:p>
    <w:p>
      <w:pPr>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634"/>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（六）国有资本经营预算财政拨款支出决算情况说明</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2022年度国有资本经营预算财政拨款支出合计0.00万元。</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640" w:leftChars="200" w:firstLine="0" w:firstLineChars="0"/>
        <w:textAlignment w:val="auto"/>
        <w:rPr>
          <w:rStyle w:val="14"/>
        </w:rPr>
      </w:pPr>
      <w:r>
        <w:rPr>
          <w:rFonts w:hint="eastAsia"/>
          <w:lang w:val="en-US" w:eastAsia="zh-CN"/>
        </w:rPr>
        <w:t>本部门2022年度无国有资本经营预算财政拨款支出</w:t>
      </w:r>
      <w:r>
        <w:rPr>
          <w:rStyle w:val="14"/>
        </w:rPr>
        <w:t xml:space="preserve"> </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640" w:leftChars="200" w:firstLine="0" w:firstLineChars="0"/>
        <w:textAlignment w:val="auto"/>
        <w:rPr>
          <w:rStyle w:val="14"/>
        </w:rPr>
      </w:pPr>
      <w:r>
        <w:rPr>
          <w:rStyle w:val="14"/>
        </w:rPr>
        <w:t>三、“三公”经费情况说明</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Pr>
      </w:pPr>
      <w:r>
        <w:rPr>
          <w:rStyle w:val="10"/>
          <w:sz w:val="18"/>
          <w:szCs w:val="18"/>
        </w:rPr>
        <w:t> </w:t>
      </w:r>
      <w:r>
        <w:rPr>
          <w:rStyle w:val="13"/>
        </w:rPr>
        <w:t>（一）“三公”经费支出总体情况说明</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2022年度本部门“三公”经费支出共计5.38万元，较2021年“三公”经费支出减少3.72万元，减少40.88%，主要原因是认真贯彻落实中央八项规定精神和厉行节约要求，压缩“三公”经费支出，保持勤俭节约。</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78" w:lineRule="exact"/>
        <w:textAlignment w:val="auto"/>
        <w:rPr>
          <w:rFonts w:hint="eastAsia"/>
        </w:rPr>
      </w:pPr>
      <w:r>
        <w:rPr>
          <w:rFonts w:hint="eastAsia"/>
        </w:rPr>
        <w:t>（二）“三公”经费分项支出情况</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2022年度本部门因公出国（境）费用0.00万元，未安排单位人员出国出访。</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公务车购置费0.00万元，2022年未新购公务用车。</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公务车运行维护费3.32万元，主要用于机要文件交换、市内因公出行、财政业务检查等工作所需车辆的燃料费、维修费、过桥过路费、保险费等，费用支出较上年支出数减少0.14万元，主要原因是全单位厉行节约，公务用车保养得当，党政办严格落实公务用车使用登记制度，故公务用车运行维护费用降低。</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default" w:ascii="宋体" w:hAnsi="宋体" w:cs="宋体"/>
          <w:lang w:val="en-US" w:eastAsia="zh-CN"/>
        </w:rPr>
      </w:pPr>
      <w:r>
        <w:rPr>
          <w:rFonts w:hint="eastAsia" w:ascii="宋体" w:hAnsi="宋体" w:cs="宋体"/>
          <w:lang w:val="en-US" w:eastAsia="zh-CN"/>
        </w:rPr>
        <w:t>公务接待费2.06万元，主要用于双晒活动、公务接待等支出，费用支出较上年支出数减少3.58万元，主要原因是全单位贯彻落实中央八项规定、厉行节约，减少相应公务接待活动，压缩公务接待费用，故公务接待费用减少。</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78" w:lineRule="exact"/>
        <w:textAlignment w:val="auto"/>
        <w:rPr>
          <w:rFonts w:hint="eastAsia"/>
        </w:rPr>
      </w:pPr>
      <w:r>
        <w:rPr>
          <w:rFonts w:hint="eastAsia"/>
        </w:rPr>
        <w:t>（三）“三公”经费实物量情况</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2022年本部门因公出国（境）共计0个团组，0人；公务用车购置0辆，公务车保有量为2辆；国内公务接待36批次，386人，其中：国内外事接待0批次，0人；国（境）外公务接待0批次，0人。2022年本部门人均接待费146.14元，车均购置费0.00万元，车均维护费1.66万元。</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0"/>
          <w:sz w:val="18"/>
          <w:szCs w:val="18"/>
        </w:rPr>
      </w:pPr>
      <w:r>
        <w:rPr>
          <w:rStyle w:val="10"/>
          <w:sz w:val="18"/>
          <w:szCs w:val="18"/>
        </w:rPr>
        <w:t> </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pPr>
      <w:r>
        <w:rPr>
          <w:rStyle w:val="14"/>
        </w:rPr>
        <w:t xml:space="preserve"> 四、其他需要说明的事项</w:t>
      </w:r>
    </w:p>
    <w:p>
      <w:pPr>
        <w:pStyle w:val="3"/>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firstLine="640" w:firstLineChars="200"/>
        <w:textAlignment w:val="auto"/>
        <w:rPr>
          <w:rStyle w:val="10"/>
          <w:rFonts w:hint="default" w:ascii="方正楷体_GBK" w:hAnsi="方正楷体_GBK" w:eastAsia="方正楷体_GBK" w:cs="方正楷体_GBK"/>
          <w:b w:val="0"/>
          <w:bCs w:val="0"/>
          <w:sz w:val="32"/>
          <w:szCs w:val="32"/>
          <w:highlight w:val="none"/>
          <w:lang w:val="en-US" w:eastAsia="zh-CN" w:bidi="ar-SA"/>
        </w:rPr>
      </w:pPr>
      <w:r>
        <w:rPr>
          <w:rStyle w:val="10"/>
          <w:rFonts w:hint="eastAsia" w:ascii="方正楷体_GBK" w:hAnsi="方正楷体_GBK" w:eastAsia="方正楷体_GBK" w:cs="方正楷体_GBK"/>
          <w:b w:val="0"/>
          <w:bCs w:val="0"/>
          <w:sz w:val="32"/>
          <w:szCs w:val="32"/>
          <w:highlight w:val="none"/>
          <w:lang w:val="en-US" w:eastAsia="zh-CN" w:bidi="ar-SA"/>
        </w:rPr>
        <w:t>（一）财政拨款会议费和培训费情况说明</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default" w:ascii="宋体" w:hAnsi="宋体" w:cs="宋体"/>
          <w:lang w:val="en-US" w:eastAsia="zh-CN"/>
        </w:rPr>
      </w:pPr>
      <w:r>
        <w:rPr>
          <w:rFonts w:hint="eastAsia" w:ascii="宋体" w:hAnsi="宋体" w:cs="宋体"/>
          <w:lang w:val="en-US" w:eastAsia="zh-CN"/>
        </w:rPr>
        <w:t>因倡导厉行节约且财政拨款有限原因，财政未保障我单位会议费。2022年本部门培训费支出1.01万元，主要用于安排单位人员外出交流学习培训，提高业务综合能力支出。</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lang w:val="en-US" w:eastAsia="zh-CN" w:bidi="ar-SA"/>
        </w:rPr>
      </w:pPr>
      <w:r>
        <w:rPr>
          <w:rStyle w:val="10"/>
          <w:rFonts w:hint="eastAsia" w:ascii="方正楷体_GBK" w:hAnsi="方正楷体_GBK" w:eastAsia="方正楷体_GBK" w:cs="方正楷体_GBK"/>
          <w:b w:val="0"/>
          <w:bCs w:val="0"/>
          <w:sz w:val="32"/>
          <w:szCs w:val="32"/>
          <w:lang w:val="en-US" w:eastAsia="zh-CN" w:bidi="ar-SA"/>
        </w:rPr>
        <w:t>（二）机关运行经费支出情况说明</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default" w:ascii="宋体" w:hAnsi="宋体" w:cs="宋体"/>
          <w:lang w:val="en-US" w:eastAsia="zh-CN"/>
        </w:rPr>
      </w:pPr>
      <w:r>
        <w:rPr>
          <w:rFonts w:hint="eastAsia" w:ascii="宋体" w:hAnsi="宋体" w:cs="宋体"/>
          <w:lang w:val="en-US" w:eastAsia="zh-CN"/>
        </w:rPr>
        <w:t>2022年本部门机关运行经费支出183.16万元，主要用于维持机关日常办公产生的相关支出，如办公费、差旅费、会议费、培训费、印刷费、水费、电费等。机关运行经费较2021年减少29.77万元，主要原因是办公费、会议费、水费和维护（修）费减少，单位勤俭节约意识加强。</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本年度一般公共预算财政拨款会议费支出0万元。本年度一般公共预算财政拨款培训费支出1.01万元。</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78" w:lineRule="exact"/>
        <w:textAlignment w:val="auto"/>
        <w:rPr>
          <w:rStyle w:val="10"/>
          <w:rFonts w:hint="eastAsia" w:ascii="方正楷体_GBK" w:hAnsi="方正楷体_GBK" w:eastAsia="方正楷体_GBK" w:cs="方正楷体_GBK"/>
          <w:b w:val="0"/>
          <w:bCs w:val="0"/>
          <w:sz w:val="32"/>
          <w:szCs w:val="32"/>
          <w:lang w:val="en-US" w:eastAsia="zh-CN" w:bidi="ar-SA"/>
        </w:rPr>
      </w:pPr>
      <w:r>
        <w:rPr>
          <w:rStyle w:val="10"/>
          <w:rFonts w:hint="eastAsia" w:ascii="方正楷体_GBK" w:hAnsi="方正楷体_GBK" w:eastAsia="方正楷体_GBK" w:cs="方正楷体_GBK"/>
          <w:b w:val="0"/>
          <w:bCs w:val="0"/>
          <w:sz w:val="32"/>
          <w:szCs w:val="32"/>
          <w:lang w:val="en-US" w:eastAsia="zh-CN" w:bidi="ar-SA"/>
        </w:rPr>
        <w:t> （三）国有资产占用情况说明</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lang w:val="en-US" w:eastAsia="zh-CN"/>
        </w:rPr>
      </w:pPr>
      <w:r>
        <w:rPr>
          <w:rFonts w:hint="eastAsia" w:ascii="宋体" w:hAnsi="宋体" w:cs="宋体"/>
          <w:lang w:val="en-US" w:eastAsia="zh-CN"/>
        </w:rPr>
        <w:t>截至2022年12月31日，本部门共有车辆2辆，其中，部级领导干部用车0辆、一般公务用车2辆、一般执法执勤用车0辆、特种专业技术用车0辆、其他用车0辆。单价50万元以上通用设备0台（套），单价100万元以上专用设备0台（套）。</w:t>
      </w:r>
      <w:r>
        <w:rPr>
          <w:rFonts w:hint="eastAsia"/>
        </w:rPr>
        <w:t xml:space="preserve">  </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78" w:lineRule="exact"/>
        <w:textAlignment w:val="auto"/>
        <w:rPr>
          <w:rStyle w:val="10"/>
          <w:rFonts w:hint="eastAsia" w:ascii="方正楷体_GBK" w:hAnsi="方正楷体_GBK" w:eastAsia="方正楷体_GBK" w:cs="方正楷体_GBK"/>
          <w:b w:val="0"/>
          <w:bCs w:val="0"/>
          <w:sz w:val="32"/>
          <w:szCs w:val="32"/>
          <w:lang w:val="en-US" w:eastAsia="zh-CN" w:bidi="ar-SA"/>
        </w:rPr>
      </w:pPr>
      <w:r>
        <w:rPr>
          <w:rStyle w:val="10"/>
          <w:rFonts w:hint="eastAsia" w:ascii="方正楷体_GBK" w:hAnsi="方正楷体_GBK" w:eastAsia="方正楷体_GBK" w:cs="方正楷体_GBK"/>
          <w:b w:val="0"/>
          <w:bCs w:val="0"/>
          <w:sz w:val="32"/>
          <w:szCs w:val="32"/>
          <w:lang w:val="en-US" w:eastAsia="zh-CN" w:bidi="ar-SA"/>
        </w:rPr>
        <w:t>（四）政府采购支出情况说明</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2022年本部门政府采购支出总额345.68万元。其中：政府采购货物支出0万元、政府采购工程支出345.68万元、政府采购服务支出0万元。</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0"/>
          <w:rFonts w:hint="default" w:eastAsia="宋体"/>
          <w:sz w:val="18"/>
          <w:szCs w:val="18"/>
          <w:lang w:val="en-US" w:eastAsia="zh-CN"/>
        </w:rPr>
      </w:pPr>
      <w:r>
        <w:rPr>
          <w:rStyle w:val="10"/>
          <w:sz w:val="18"/>
          <w:szCs w:val="18"/>
        </w:rPr>
        <w:t> </w:t>
      </w:r>
      <w:r>
        <w:rPr>
          <w:rStyle w:val="14"/>
        </w:rPr>
        <w:t xml:space="preserve"> </w:t>
      </w:r>
      <w:r>
        <w:rPr>
          <w:rStyle w:val="14"/>
          <w:rFonts w:hint="eastAsia"/>
          <w:lang w:val="en-US" w:eastAsia="zh-CN"/>
        </w:rPr>
        <w:t>五、预算绩效管理情况说明</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78" w:lineRule="exact"/>
        <w:textAlignment w:val="auto"/>
      </w:pPr>
      <w:r>
        <w:t>（一）预算绩效管理工作开展情况</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根据预算绩效管理要求，我镇对151个项目开展了绩效自评，其中，已填报目标自评表形式开展自评151项，涉及资金6238.47万元，从评价情况来看，2022年，宝坪镇着力以提升财政资金绩效为主线，以绩效目标实现为导向，以财政支出绩效评价为手段，以评价结果应用为保障，建立完善预算绩效管理体系，积极推进预算绩效管理工作。牢固树立“讲绩效、重绩效、用绩效”“花钱必问效、无效必问责”的绩效管理理念，进一步增强支出责任和效率意识，全面加强预算管理，优化资源配置，提高财政资金使用绩效和科学精细化管理水平。</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（二）绩效自评结果</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宋体" w:hAnsi="宋体" w:cs="宋体"/>
          <w:lang w:val="en-US" w:eastAsia="zh-CN"/>
        </w:rPr>
      </w:pPr>
      <w:r>
        <w:rPr>
          <w:rFonts w:hint="eastAsia" w:ascii="宋体" w:hAnsi="宋体" w:cs="宋体"/>
          <w:lang w:val="en-US" w:eastAsia="zh-CN"/>
        </w:rPr>
        <w:t>1.绩效目标自评表　</w:t>
      </w:r>
    </w:p>
    <w:p>
      <w:pPr>
        <w:tabs>
          <w:tab w:val="left" w:pos="2203"/>
        </w:tabs>
        <w:bidi w:val="0"/>
        <w:ind w:left="0" w:leftChars="0" w:firstLine="0" w:firstLineChars="0"/>
        <w:jc w:val="left"/>
        <w:rPr>
          <w:rFonts w:hint="eastAsia"/>
          <w:lang w:val="en-US" w:eastAsia="zh-CN"/>
        </w:rPr>
        <w:sectPr>
          <w:footerReference r:id="rId5" w:type="default"/>
          <w:pgSz w:w="11907" w:h="16840"/>
          <w:pgMar w:top="2098" w:right="1531" w:bottom="1984" w:left="1531" w:header="851" w:footer="992" w:gutter="0"/>
          <w:pgNumType w:fmt="decimal"/>
          <w:cols w:space="425" w:num="1"/>
          <w:docGrid w:type="lines" w:linePitch="312" w:charSpace="0"/>
        </w:sectPr>
      </w:pPr>
    </w:p>
    <w:tbl>
      <w:tblPr>
        <w:tblStyle w:val="8"/>
        <w:tblpPr w:leftFromText="180" w:rightFromText="180" w:horzAnchor="margin" w:tblpXSpec="center" w:tblpY="-268"/>
        <w:tblW w:w="10780" w:type="dxa"/>
        <w:tblInd w:w="0" w:type="dxa"/>
        <w:tblLayout w:type="fixed"/>
        <w:tblCellMar>
          <w:top w:w="0" w:type="dxa"/>
          <w:left w:w="108" w:type="dxa"/>
          <w:bottom w:w="0" w:type="dxa"/>
          <w:right w:w="108" w:type="dxa"/>
        </w:tblCellMar>
      </w:tblPr>
      <w:tblGrid>
        <w:gridCol w:w="720"/>
        <w:gridCol w:w="1080"/>
        <w:gridCol w:w="1080"/>
        <w:gridCol w:w="740"/>
        <w:gridCol w:w="1080"/>
        <w:gridCol w:w="1080"/>
        <w:gridCol w:w="1080"/>
        <w:gridCol w:w="540"/>
        <w:gridCol w:w="380"/>
        <w:gridCol w:w="520"/>
        <w:gridCol w:w="320"/>
        <w:gridCol w:w="1080"/>
        <w:gridCol w:w="1080"/>
      </w:tblGrid>
      <w:tr>
        <w:tblPrEx>
          <w:tblCellMar>
            <w:top w:w="0" w:type="dxa"/>
            <w:left w:w="108" w:type="dxa"/>
            <w:bottom w:w="0" w:type="dxa"/>
            <w:right w:w="108" w:type="dxa"/>
          </w:tblCellMar>
        </w:tblPrEx>
        <w:trPr>
          <w:trHeight w:val="540" w:hRule="atLeast"/>
        </w:trPr>
        <w:tc>
          <w:tcPr>
            <w:tcW w:w="10780" w:type="dxa"/>
            <w:gridSpan w:val="13"/>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小标宋_GBK" w:hAnsi="宋体" w:eastAsia="方正小标宋_GBK" w:cs="宋体"/>
                <w:color w:val="000000"/>
                <w:kern w:val="0"/>
                <w:sz w:val="40"/>
                <w:szCs w:val="40"/>
                <w:highlight w:val="none"/>
              </w:rPr>
            </w:pPr>
            <w:r>
              <w:rPr>
                <w:rFonts w:hint="eastAsia" w:ascii="方正小标宋_GBK" w:hAnsi="宋体" w:eastAsia="方正小标宋_GBK" w:cs="宋体"/>
                <w:color w:val="000000"/>
                <w:kern w:val="0"/>
                <w:sz w:val="40"/>
                <w:szCs w:val="40"/>
                <w:highlight w:val="none"/>
              </w:rPr>
              <w:t>云阳县202</w:t>
            </w:r>
            <w:r>
              <w:rPr>
                <w:rFonts w:hint="eastAsia" w:ascii="方正小标宋_GBK" w:hAnsi="宋体" w:eastAsia="方正小标宋_GBK" w:cs="宋体"/>
                <w:color w:val="000000"/>
                <w:kern w:val="0"/>
                <w:sz w:val="40"/>
                <w:szCs w:val="40"/>
                <w:highlight w:val="none"/>
                <w:lang w:val="en-US" w:eastAsia="zh-CN"/>
              </w:rPr>
              <w:t>2</w:t>
            </w:r>
            <w:r>
              <w:rPr>
                <w:rFonts w:hint="eastAsia" w:ascii="方正小标宋_GBK" w:hAnsi="宋体" w:eastAsia="方正小标宋_GBK" w:cs="宋体"/>
                <w:color w:val="000000"/>
                <w:kern w:val="0"/>
                <w:sz w:val="40"/>
                <w:szCs w:val="40"/>
                <w:highlight w:val="none"/>
              </w:rPr>
              <w:t>年项目支出绩效自评明细表</w:t>
            </w:r>
          </w:p>
        </w:tc>
      </w:tr>
      <w:tr>
        <w:tblPrEx>
          <w:tblCellMar>
            <w:top w:w="0" w:type="dxa"/>
            <w:left w:w="108" w:type="dxa"/>
            <w:bottom w:w="0" w:type="dxa"/>
            <w:right w:w="108" w:type="dxa"/>
          </w:tblCellMar>
        </w:tblPrEx>
        <w:trPr>
          <w:trHeight w:val="270" w:hRule="atLeast"/>
        </w:trPr>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项目名称</w:t>
            </w:r>
          </w:p>
        </w:tc>
        <w:tc>
          <w:tcPr>
            <w:tcW w:w="8980"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hint="eastAsia" w:ascii="Times New Roman" w:hAnsi="Times New Roman" w:eastAsia="宋体" w:cs="Times New Roman"/>
                <w:color w:val="000000"/>
                <w:kern w:val="0"/>
                <w:sz w:val="22"/>
                <w:szCs w:val="22"/>
                <w:highlight w:val="none"/>
              </w:rPr>
              <w:t>调整下达2022年上级财政衔接推进乡村振兴补助（第一批）（统筹衔接）</w:t>
            </w:r>
          </w:p>
        </w:tc>
      </w:tr>
      <w:tr>
        <w:tblPrEx>
          <w:tblCellMar>
            <w:top w:w="0" w:type="dxa"/>
            <w:left w:w="108" w:type="dxa"/>
            <w:bottom w:w="0" w:type="dxa"/>
            <w:right w:w="108" w:type="dxa"/>
          </w:tblCellMar>
        </w:tblPrEx>
        <w:trPr>
          <w:trHeight w:val="270" w:hRule="atLeast"/>
        </w:trPr>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主管部门</w:t>
            </w:r>
          </w:p>
        </w:tc>
        <w:tc>
          <w:tcPr>
            <w:tcW w:w="398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hint="eastAsia" w:ascii="Times New Roman" w:hAnsi="Times New Roman" w:eastAsia="宋体" w:cs="Times New Roman"/>
                <w:color w:val="000000"/>
                <w:kern w:val="0"/>
                <w:sz w:val="22"/>
                <w:szCs w:val="22"/>
                <w:highlight w:val="none"/>
              </w:rPr>
              <w:t>914</w:t>
            </w:r>
            <w:r>
              <w:rPr>
                <w:rFonts w:hint="eastAsia" w:ascii="Times New Roman" w:hAnsi="Times New Roman" w:eastAsia="宋体" w:cs="Times New Roman"/>
                <w:color w:val="000000"/>
                <w:kern w:val="0"/>
                <w:sz w:val="22"/>
                <w:szCs w:val="22"/>
                <w:highlight w:val="none"/>
                <w:lang w:eastAsia="zh-CN"/>
              </w:rPr>
              <w:t>－</w:t>
            </w:r>
            <w:r>
              <w:rPr>
                <w:rFonts w:hint="eastAsia" w:ascii="Times New Roman" w:hAnsi="Times New Roman" w:eastAsia="宋体" w:cs="Times New Roman"/>
                <w:color w:val="000000"/>
                <w:kern w:val="0"/>
                <w:sz w:val="22"/>
                <w:szCs w:val="22"/>
                <w:highlight w:val="none"/>
              </w:rPr>
              <w:t>宝坪镇</w:t>
            </w:r>
            <w:r>
              <w:rPr>
                <w:rFonts w:ascii="Times New Roman" w:hAnsi="Times New Roman" w:eastAsia="宋体" w:cs="Times New Roman"/>
                <w:color w:val="000000"/>
                <w:kern w:val="0"/>
                <w:sz w:val="22"/>
                <w:szCs w:val="22"/>
                <w:highlight w:val="none"/>
              </w:rPr>
              <w:t>　</w:t>
            </w:r>
          </w:p>
        </w:tc>
        <w:tc>
          <w:tcPr>
            <w:tcW w:w="16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实施单位</w:t>
            </w:r>
          </w:p>
        </w:tc>
        <w:tc>
          <w:tcPr>
            <w:tcW w:w="338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hint="eastAsia" w:ascii="Times New Roman" w:hAnsi="Times New Roman" w:eastAsia="宋体" w:cs="Times New Roman"/>
                <w:color w:val="000000"/>
                <w:kern w:val="0"/>
                <w:sz w:val="22"/>
                <w:szCs w:val="22"/>
                <w:highlight w:val="none"/>
                <w:lang w:val="en-US" w:eastAsia="zh-CN"/>
              </w:rPr>
              <w:t>云阳县宝坪镇人民政府</w:t>
            </w:r>
            <w:r>
              <w:rPr>
                <w:rFonts w:ascii="Times New Roman" w:hAnsi="Times New Roman" w:eastAsia="宋体" w:cs="Times New Roman"/>
                <w:color w:val="000000"/>
                <w:kern w:val="0"/>
                <w:sz w:val="22"/>
                <w:szCs w:val="22"/>
                <w:highlight w:val="none"/>
              </w:rPr>
              <w:t>　</w:t>
            </w:r>
          </w:p>
        </w:tc>
      </w:tr>
      <w:tr>
        <w:tblPrEx>
          <w:tblCellMar>
            <w:top w:w="0" w:type="dxa"/>
            <w:left w:w="108" w:type="dxa"/>
            <w:bottom w:w="0" w:type="dxa"/>
            <w:right w:w="108" w:type="dxa"/>
          </w:tblCellMar>
        </w:tblPrEx>
        <w:trPr>
          <w:trHeight w:val="480" w:hRule="atLeast"/>
        </w:trPr>
        <w:tc>
          <w:tcPr>
            <w:tcW w:w="18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项目资金（万元）</w:t>
            </w:r>
          </w:p>
        </w:tc>
        <w:tc>
          <w:tcPr>
            <w:tcW w:w="18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年初预算数</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全年预算数</w:t>
            </w:r>
          </w:p>
        </w:tc>
        <w:tc>
          <w:tcPr>
            <w:tcW w:w="16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全年执行数</w:t>
            </w:r>
          </w:p>
        </w:tc>
        <w:tc>
          <w:tcPr>
            <w:tcW w:w="9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分值</w:t>
            </w:r>
          </w:p>
        </w:tc>
        <w:tc>
          <w:tcPr>
            <w:tcW w:w="14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预算执行率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得分</w:t>
            </w:r>
          </w:p>
        </w:tc>
      </w:tr>
      <w:tr>
        <w:tblPrEx>
          <w:tblCellMar>
            <w:top w:w="0" w:type="dxa"/>
            <w:left w:w="108" w:type="dxa"/>
            <w:bottom w:w="0" w:type="dxa"/>
            <w:right w:w="108" w:type="dxa"/>
          </w:tblCellMar>
        </w:tblPrEx>
        <w:trPr>
          <w:trHeight w:val="270" w:hRule="atLeast"/>
        </w:trPr>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8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both"/>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年度资金总额</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eastAsia="zh-CN"/>
              </w:rPr>
            </w:pPr>
            <w:r>
              <w:rPr>
                <w:rFonts w:hint="eastAsia" w:ascii="Times New Roman" w:hAnsi="Times New Roman" w:eastAsia="宋体" w:cs="Times New Roman"/>
                <w:color w:val="000000"/>
                <w:kern w:val="0"/>
                <w:sz w:val="22"/>
                <w:szCs w:val="22"/>
                <w:highlight w:val="none"/>
                <w:lang w:val="en-US" w:eastAsia="zh-CN"/>
              </w:rPr>
              <w:t>0</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eastAsia="zh-CN"/>
              </w:rPr>
            </w:pPr>
            <w:r>
              <w:rPr>
                <w:rFonts w:hint="eastAsia" w:ascii="Times New Roman" w:hAnsi="Times New Roman" w:eastAsia="宋体" w:cs="Times New Roman"/>
                <w:color w:val="000000"/>
                <w:kern w:val="0"/>
                <w:sz w:val="22"/>
                <w:szCs w:val="22"/>
                <w:highlight w:val="none"/>
                <w:lang w:val="en-US" w:eastAsia="zh-CN"/>
              </w:rPr>
              <w:t>241.34</w:t>
            </w:r>
          </w:p>
        </w:tc>
        <w:tc>
          <w:tcPr>
            <w:tcW w:w="16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eastAsia="zh-CN"/>
              </w:rPr>
            </w:pPr>
            <w:r>
              <w:rPr>
                <w:rFonts w:hint="eastAsia" w:ascii="Times New Roman" w:hAnsi="Times New Roman" w:eastAsia="宋体" w:cs="Times New Roman"/>
                <w:color w:val="000000"/>
                <w:kern w:val="0"/>
                <w:sz w:val="22"/>
                <w:szCs w:val="22"/>
                <w:highlight w:val="none"/>
                <w:lang w:val="en-US" w:eastAsia="zh-CN"/>
              </w:rPr>
              <w:t>100</w:t>
            </w:r>
          </w:p>
        </w:tc>
        <w:tc>
          <w:tcPr>
            <w:tcW w:w="9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10</w:t>
            </w:r>
          </w:p>
        </w:tc>
        <w:tc>
          <w:tcPr>
            <w:tcW w:w="14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rPr>
            </w:pPr>
            <w:r>
              <w:rPr>
                <w:rFonts w:hint="eastAsia" w:ascii="Times New Roman" w:hAnsi="Times New Roman" w:eastAsia="宋体" w:cs="Times New Roman"/>
                <w:color w:val="000000"/>
                <w:kern w:val="0"/>
                <w:sz w:val="22"/>
                <w:szCs w:val="22"/>
                <w:highlight w:val="none"/>
                <w:lang w:val="en-US" w:eastAsia="zh-CN"/>
              </w:rPr>
              <w:t>100</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eastAsia="zh-CN"/>
              </w:rPr>
            </w:pPr>
            <w:r>
              <w:rPr>
                <w:rFonts w:ascii="Times New Roman" w:hAnsi="Times New Roman" w:eastAsia="宋体" w:cs="Times New Roman"/>
                <w:color w:val="000000"/>
                <w:kern w:val="0"/>
                <w:sz w:val="22"/>
                <w:szCs w:val="22"/>
                <w:highlight w:val="none"/>
              </w:rPr>
              <w:t>　</w:t>
            </w:r>
            <w:r>
              <w:rPr>
                <w:rFonts w:hint="eastAsia" w:ascii="Times New Roman" w:hAnsi="Times New Roman" w:eastAsia="宋体" w:cs="Times New Roman"/>
                <w:color w:val="000000"/>
                <w:kern w:val="0"/>
                <w:sz w:val="22"/>
                <w:szCs w:val="22"/>
                <w:highlight w:val="none"/>
                <w:lang w:val="en-US" w:eastAsia="zh-CN"/>
              </w:rPr>
              <w:t>10</w:t>
            </w:r>
          </w:p>
        </w:tc>
      </w:tr>
      <w:tr>
        <w:tblPrEx>
          <w:tblCellMar>
            <w:top w:w="0" w:type="dxa"/>
            <w:left w:w="108" w:type="dxa"/>
            <w:bottom w:w="0" w:type="dxa"/>
            <w:right w:w="108" w:type="dxa"/>
          </w:tblCellMar>
        </w:tblPrEx>
        <w:trPr>
          <w:trHeight w:val="270" w:hRule="atLeast"/>
        </w:trPr>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8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其中：当年财政拨款</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hint="eastAsia" w:ascii="Times New Roman" w:hAnsi="Times New Roman" w:eastAsia="宋体" w:cs="Times New Roman"/>
                <w:color w:val="000000"/>
                <w:kern w:val="0"/>
                <w:sz w:val="22"/>
                <w:szCs w:val="22"/>
                <w:highlight w:val="none"/>
                <w:lang w:val="en-US" w:eastAsia="zh-CN"/>
              </w:rPr>
              <w:t>0</w:t>
            </w:r>
            <w:r>
              <w:rPr>
                <w:rFonts w:ascii="Times New Roman" w:hAnsi="Times New Roman" w:eastAsia="宋体" w:cs="Times New Roman"/>
                <w:color w:val="000000"/>
                <w:kern w:val="0"/>
                <w:sz w:val="22"/>
                <w:szCs w:val="22"/>
                <w:highlight w:val="none"/>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eastAsia="zh-CN"/>
              </w:rPr>
            </w:pPr>
            <w:r>
              <w:rPr>
                <w:rFonts w:hint="eastAsia" w:ascii="Times New Roman" w:hAnsi="Times New Roman" w:eastAsia="宋体" w:cs="Times New Roman"/>
                <w:color w:val="000000"/>
                <w:kern w:val="0"/>
                <w:sz w:val="22"/>
                <w:szCs w:val="22"/>
                <w:highlight w:val="none"/>
                <w:lang w:val="en-US" w:eastAsia="zh-CN"/>
              </w:rPr>
              <w:t>241.34</w:t>
            </w:r>
          </w:p>
        </w:tc>
        <w:tc>
          <w:tcPr>
            <w:tcW w:w="16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eastAsia="zh-CN"/>
              </w:rPr>
            </w:pPr>
            <w:r>
              <w:rPr>
                <w:rFonts w:hint="eastAsia" w:ascii="Times New Roman" w:hAnsi="Times New Roman" w:eastAsia="宋体" w:cs="Times New Roman"/>
                <w:color w:val="000000"/>
                <w:kern w:val="0"/>
                <w:sz w:val="22"/>
                <w:szCs w:val="22"/>
                <w:highlight w:val="none"/>
                <w:lang w:val="en-US" w:eastAsia="zh-CN"/>
              </w:rPr>
              <w:t>100</w:t>
            </w:r>
          </w:p>
        </w:tc>
        <w:tc>
          <w:tcPr>
            <w:tcW w:w="9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w:t>
            </w:r>
          </w:p>
        </w:tc>
        <w:tc>
          <w:tcPr>
            <w:tcW w:w="14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rPr>
            </w:pPr>
            <w:r>
              <w:rPr>
                <w:rFonts w:hint="eastAsia" w:ascii="Times New Roman" w:hAnsi="Times New Roman" w:eastAsia="宋体" w:cs="Times New Roman"/>
                <w:color w:val="000000"/>
                <w:kern w:val="0"/>
                <w:sz w:val="22"/>
                <w:szCs w:val="22"/>
                <w:highlight w:val="none"/>
                <w:lang w:val="en-US" w:eastAsia="zh-CN"/>
              </w:rPr>
              <w:t>100</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w:t>
            </w:r>
          </w:p>
        </w:tc>
      </w:tr>
      <w:tr>
        <w:tblPrEx>
          <w:tblCellMar>
            <w:top w:w="0" w:type="dxa"/>
            <w:left w:w="108" w:type="dxa"/>
            <w:bottom w:w="0" w:type="dxa"/>
            <w:right w:w="108" w:type="dxa"/>
          </w:tblCellMar>
        </w:tblPrEx>
        <w:trPr>
          <w:trHeight w:val="270" w:hRule="atLeast"/>
        </w:trPr>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8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 xml:space="preserve">     </w:t>
            </w:r>
            <w:r>
              <w:rPr>
                <w:rFonts w:hint="eastAsia" w:ascii="方正仿宋_GBK" w:hAnsi="Times New Roman" w:eastAsia="方正仿宋_GBK" w:cs="Times New Roman"/>
                <w:color w:val="000000"/>
                <w:kern w:val="0"/>
                <w:sz w:val="22"/>
                <w:szCs w:val="22"/>
                <w:highlight w:val="none"/>
              </w:rPr>
              <w:t>上年结转资金</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　</w:t>
            </w:r>
          </w:p>
        </w:tc>
        <w:tc>
          <w:tcPr>
            <w:tcW w:w="16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　</w:t>
            </w:r>
          </w:p>
        </w:tc>
        <w:tc>
          <w:tcPr>
            <w:tcW w:w="9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w:t>
            </w:r>
          </w:p>
        </w:tc>
        <w:tc>
          <w:tcPr>
            <w:tcW w:w="14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w:t>
            </w:r>
          </w:p>
        </w:tc>
      </w:tr>
      <w:tr>
        <w:tblPrEx>
          <w:tblCellMar>
            <w:top w:w="0" w:type="dxa"/>
            <w:left w:w="108" w:type="dxa"/>
            <w:bottom w:w="0" w:type="dxa"/>
            <w:right w:w="108" w:type="dxa"/>
          </w:tblCellMar>
        </w:tblPrEx>
        <w:trPr>
          <w:trHeight w:val="270" w:hRule="atLeast"/>
        </w:trPr>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8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 xml:space="preserve">  </w:t>
            </w:r>
            <w:r>
              <w:rPr>
                <w:rFonts w:hint="eastAsia" w:ascii="方正仿宋_GBK" w:hAnsi="Times New Roman" w:eastAsia="方正仿宋_GBK" w:cs="Times New Roman"/>
                <w:color w:val="000000"/>
                <w:kern w:val="0"/>
                <w:sz w:val="22"/>
                <w:szCs w:val="22"/>
                <w:highlight w:val="none"/>
              </w:rPr>
              <w:t>其他资金</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　</w:t>
            </w:r>
          </w:p>
        </w:tc>
        <w:tc>
          <w:tcPr>
            <w:tcW w:w="16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　</w:t>
            </w:r>
          </w:p>
        </w:tc>
        <w:tc>
          <w:tcPr>
            <w:tcW w:w="9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w:t>
            </w:r>
          </w:p>
        </w:tc>
        <w:tc>
          <w:tcPr>
            <w:tcW w:w="14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w:t>
            </w:r>
          </w:p>
        </w:tc>
      </w:tr>
      <w:tr>
        <w:tblPrEx>
          <w:tblCellMar>
            <w:top w:w="0" w:type="dxa"/>
            <w:left w:w="108" w:type="dxa"/>
            <w:bottom w:w="0" w:type="dxa"/>
            <w:right w:w="108" w:type="dxa"/>
          </w:tblCellMar>
        </w:tblPrEx>
        <w:trPr>
          <w:trHeight w:val="270" w:hRule="atLeast"/>
        </w:trPr>
        <w:tc>
          <w:tcPr>
            <w:tcW w:w="72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年度总         体目标</w:t>
            </w:r>
          </w:p>
        </w:tc>
        <w:tc>
          <w:tcPr>
            <w:tcW w:w="506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预期目标</w:t>
            </w:r>
          </w:p>
        </w:tc>
        <w:tc>
          <w:tcPr>
            <w:tcW w:w="5000"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实际完成情况</w:t>
            </w:r>
          </w:p>
        </w:tc>
      </w:tr>
      <w:tr>
        <w:tblPrEx>
          <w:tblCellMar>
            <w:top w:w="0" w:type="dxa"/>
            <w:left w:w="108" w:type="dxa"/>
            <w:bottom w:w="0" w:type="dxa"/>
            <w:right w:w="108" w:type="dxa"/>
          </w:tblCellMar>
        </w:tblPrEx>
        <w:trPr>
          <w:trHeight w:val="645"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506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目标1：种植中药材（前胡）80亩.</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hint="eastAsia"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目标2：新建加工厂房800平方米；</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hint="eastAsia"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目标3：购置安装日加工80吨智能化设备及配套设施1套；</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hint="eastAsia"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目标4：购置转运铲车1台。</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Times New Roman" w:hAnsi="Times New Roman" w:eastAsia="宋体" w:cs="Times New Roman"/>
                <w:color w:val="000000"/>
                <w:kern w:val="0"/>
                <w:sz w:val="22"/>
                <w:szCs w:val="22"/>
                <w:highlight w:val="none"/>
              </w:rPr>
            </w:pPr>
            <w:r>
              <w:rPr>
                <w:rFonts w:hint="eastAsia" w:ascii="方正仿宋_GBK" w:hAnsi="宋体" w:eastAsia="方正仿宋_GBK" w:cs="宋体"/>
                <w:color w:val="000000"/>
                <w:kern w:val="0"/>
                <w:sz w:val="22"/>
                <w:szCs w:val="22"/>
                <w:highlight w:val="none"/>
              </w:rPr>
              <w:t>目标5：管护花椒1年、管护柑橘1年　</w:t>
            </w:r>
          </w:p>
        </w:tc>
        <w:tc>
          <w:tcPr>
            <w:tcW w:w="5000"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hint="eastAsia" w:ascii="Times New Roman" w:hAnsi="Times New Roman" w:eastAsia="宋体" w:cs="Times New Roman"/>
                <w:color w:val="000000"/>
                <w:kern w:val="0"/>
                <w:sz w:val="22"/>
                <w:szCs w:val="22"/>
                <w:highlight w:val="none"/>
                <w:lang w:val="en-US" w:eastAsia="zh-CN"/>
              </w:rPr>
              <w:t>全部完成</w:t>
            </w:r>
            <w:r>
              <w:rPr>
                <w:rFonts w:ascii="Times New Roman" w:hAnsi="Times New Roman" w:eastAsia="宋体" w:cs="Times New Roman"/>
                <w:color w:val="000000"/>
                <w:kern w:val="0"/>
                <w:sz w:val="22"/>
                <w:szCs w:val="22"/>
                <w:highlight w:val="none"/>
              </w:rPr>
              <w:t>　</w:t>
            </w:r>
          </w:p>
        </w:tc>
      </w:tr>
      <w:tr>
        <w:tblPrEx>
          <w:tblCellMar>
            <w:top w:w="0" w:type="dxa"/>
            <w:left w:w="108" w:type="dxa"/>
            <w:bottom w:w="0" w:type="dxa"/>
            <w:right w:w="108" w:type="dxa"/>
          </w:tblCellMar>
        </w:tblPrEx>
        <w:trPr>
          <w:trHeight w:val="345" w:hRule="atLeast"/>
        </w:trPr>
        <w:tc>
          <w:tcPr>
            <w:tcW w:w="72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绩效指标</w:t>
            </w:r>
          </w:p>
        </w:tc>
        <w:tc>
          <w:tcPr>
            <w:tcW w:w="108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一级指标</w:t>
            </w:r>
          </w:p>
        </w:tc>
        <w:tc>
          <w:tcPr>
            <w:tcW w:w="108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二级指标</w:t>
            </w:r>
          </w:p>
        </w:tc>
        <w:tc>
          <w:tcPr>
            <w:tcW w:w="18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三级指标</w:t>
            </w:r>
          </w:p>
        </w:tc>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年度目标值</w:t>
            </w:r>
          </w:p>
        </w:tc>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实际完成值</w:t>
            </w:r>
          </w:p>
        </w:tc>
        <w:tc>
          <w:tcPr>
            <w:tcW w:w="9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分值</w:t>
            </w:r>
          </w:p>
        </w:tc>
        <w:tc>
          <w:tcPr>
            <w:tcW w:w="8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得分</w:t>
            </w:r>
          </w:p>
        </w:tc>
        <w:tc>
          <w:tcPr>
            <w:tcW w:w="21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偏差原因分析及改进措施</w:t>
            </w:r>
          </w:p>
        </w:tc>
      </w:tr>
      <w:tr>
        <w:tblPrEx>
          <w:tblCellMar>
            <w:top w:w="0" w:type="dxa"/>
            <w:left w:w="108" w:type="dxa"/>
            <w:bottom w:w="0" w:type="dxa"/>
            <w:right w:w="108" w:type="dxa"/>
          </w:tblCellMar>
        </w:tblPrEx>
        <w:trPr>
          <w:trHeight w:val="345"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8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9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8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r>
      <w:tr>
        <w:tblPrEx>
          <w:tblCellMar>
            <w:top w:w="0" w:type="dxa"/>
            <w:left w:w="108" w:type="dxa"/>
            <w:bottom w:w="0" w:type="dxa"/>
            <w:right w:w="108" w:type="dxa"/>
          </w:tblCellMar>
        </w:tblPrEx>
        <w:trPr>
          <w:trHeight w:val="345"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08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产出指标</w:t>
            </w:r>
          </w:p>
        </w:tc>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数量指标</w:t>
            </w:r>
          </w:p>
        </w:tc>
        <w:tc>
          <w:tcPr>
            <w:tcW w:w="18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hint="eastAsia" w:ascii="方正仿宋_GBK" w:hAnsi="宋体" w:eastAsia="方正仿宋_GBK" w:cs="宋体"/>
                <w:color w:val="000000"/>
                <w:kern w:val="0"/>
                <w:sz w:val="22"/>
                <w:szCs w:val="22"/>
                <w:highlight w:val="none"/>
                <w:lang w:eastAsia="zh-CN"/>
              </w:rPr>
            </w:pPr>
            <w:r>
              <w:rPr>
                <w:rFonts w:hint="eastAsia" w:ascii="方正仿宋_GBK" w:hAnsi="宋体" w:eastAsia="方正仿宋_GBK" w:cs="宋体"/>
                <w:color w:val="000000"/>
                <w:kern w:val="0"/>
                <w:sz w:val="22"/>
                <w:szCs w:val="22"/>
                <w:highlight w:val="none"/>
              </w:rPr>
              <w:t>管护面积</w:t>
            </w:r>
            <w:r>
              <w:rPr>
                <w:rFonts w:hint="eastAsia" w:ascii="方正仿宋_GBK" w:eastAsia="方正仿宋_GBK" w:cs="宋体"/>
                <w:color w:val="000000"/>
                <w:kern w:val="0"/>
                <w:sz w:val="22"/>
                <w:szCs w:val="22"/>
                <w:highlight w:val="none"/>
                <w:lang w:eastAsia="zh-CN"/>
              </w:rPr>
              <w:t>（≥</w:t>
            </w:r>
            <w:r>
              <w:rPr>
                <w:rFonts w:hint="eastAsia" w:ascii="方正仿宋_GBK" w:eastAsia="方正仿宋_GBK" w:cs="宋体"/>
                <w:color w:val="000000"/>
                <w:kern w:val="0"/>
                <w:sz w:val="22"/>
                <w:szCs w:val="22"/>
                <w:highlight w:val="none"/>
                <w:lang w:val="en-US" w:eastAsia="zh-CN"/>
              </w:rPr>
              <w:t>亩</w:t>
            </w:r>
            <w:r>
              <w:rPr>
                <w:rFonts w:hint="eastAsia" w:ascii="方正仿宋_GBK" w:eastAsia="方正仿宋_GBK" w:cs="宋体"/>
                <w:color w:val="000000"/>
                <w:kern w:val="0"/>
                <w:sz w:val="22"/>
                <w:szCs w:val="22"/>
                <w:highlight w:val="none"/>
                <w:lang w:eastAsia="zh-CN"/>
              </w:rPr>
              <w:t>）</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eastAsia="zh-CN"/>
              </w:rPr>
            </w:pPr>
            <w:r>
              <w:rPr>
                <w:rFonts w:hint="eastAsia" w:ascii="Times New Roman" w:hAnsi="Times New Roman" w:eastAsia="宋体" w:cs="Times New Roman"/>
                <w:color w:val="000000"/>
                <w:kern w:val="0"/>
                <w:sz w:val="22"/>
                <w:szCs w:val="22"/>
                <w:highlight w:val="none"/>
                <w:lang w:val="en-US" w:eastAsia="zh-CN"/>
              </w:rPr>
              <w:t>800</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hint="eastAsia" w:ascii="Times New Roman" w:hAnsi="Times New Roman" w:eastAsia="宋体" w:cs="Times New Roman"/>
                <w:color w:val="000000"/>
                <w:kern w:val="0"/>
                <w:sz w:val="22"/>
                <w:szCs w:val="22"/>
                <w:highlight w:val="none"/>
                <w:lang w:val="en-US" w:eastAsia="zh-CN"/>
              </w:rPr>
              <w:t>800</w:t>
            </w:r>
            <w:r>
              <w:rPr>
                <w:rFonts w:ascii="Times New Roman" w:hAnsi="Times New Roman" w:eastAsia="宋体" w:cs="Times New Roman"/>
                <w:color w:val="000000"/>
                <w:kern w:val="0"/>
                <w:sz w:val="22"/>
                <w:szCs w:val="22"/>
                <w:highlight w:val="none"/>
              </w:rPr>
              <w:t>　</w:t>
            </w:r>
          </w:p>
        </w:tc>
        <w:tc>
          <w:tcPr>
            <w:tcW w:w="9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rPr>
            </w:pPr>
            <w:r>
              <w:rPr>
                <w:rFonts w:hint="eastAsia" w:ascii="Times New Roman" w:hAnsi="Times New Roman" w:eastAsia="宋体" w:cs="Times New Roman"/>
                <w:color w:val="000000"/>
                <w:kern w:val="0"/>
                <w:sz w:val="22"/>
                <w:szCs w:val="22"/>
                <w:highlight w:val="none"/>
                <w:lang w:val="en-US" w:eastAsia="zh-CN"/>
              </w:rPr>
              <w:t>20</w:t>
            </w:r>
          </w:p>
        </w:tc>
        <w:tc>
          <w:tcPr>
            <w:tcW w:w="8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lang w:val="en-US" w:eastAsia="zh-CN" w:bidi="ar-SA"/>
              </w:rPr>
            </w:pPr>
            <w:r>
              <w:rPr>
                <w:rFonts w:hint="eastAsia" w:ascii="Times New Roman" w:hAnsi="Times New Roman" w:eastAsia="宋体" w:cs="Times New Roman"/>
                <w:color w:val="000000"/>
                <w:kern w:val="0"/>
                <w:sz w:val="22"/>
                <w:szCs w:val="22"/>
                <w:highlight w:val="none"/>
                <w:lang w:val="en-US" w:eastAsia="zh-CN"/>
              </w:rPr>
              <w:t>20</w:t>
            </w:r>
          </w:p>
        </w:tc>
        <w:tc>
          <w:tcPr>
            <w:tcW w:w="21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　</w:t>
            </w:r>
          </w:p>
        </w:tc>
      </w:tr>
      <w:tr>
        <w:tblPrEx>
          <w:tblCellMar>
            <w:top w:w="0" w:type="dxa"/>
            <w:left w:w="108" w:type="dxa"/>
            <w:bottom w:w="0" w:type="dxa"/>
            <w:right w:w="108" w:type="dxa"/>
          </w:tblCellMar>
        </w:tblPrEx>
        <w:trPr>
          <w:trHeight w:val="345"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8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hint="eastAsia" w:ascii="Times New Roman" w:hAnsi="Times New Roman" w:eastAsia="宋体" w:cs="Times New Roman"/>
                <w:color w:val="000000"/>
                <w:kern w:val="0"/>
                <w:sz w:val="22"/>
                <w:szCs w:val="22"/>
                <w:highlight w:val="none"/>
                <w:lang w:eastAsia="zh-CN"/>
              </w:rPr>
            </w:pPr>
            <w:r>
              <w:rPr>
                <w:rFonts w:hint="eastAsia" w:ascii="方正仿宋_GBK" w:hAnsi="宋体" w:eastAsia="方正仿宋_GBK" w:cs="宋体"/>
                <w:color w:val="000000"/>
                <w:kern w:val="0"/>
                <w:sz w:val="22"/>
                <w:szCs w:val="22"/>
                <w:highlight w:val="none"/>
              </w:rPr>
              <w:t>肥料农药物资</w:t>
            </w:r>
            <w:r>
              <w:rPr>
                <w:rFonts w:hint="eastAsia" w:ascii="方正仿宋_GBK" w:hAnsi="宋体" w:eastAsia="方正仿宋_GBK" w:cs="宋体"/>
                <w:color w:val="000000"/>
                <w:kern w:val="0"/>
                <w:sz w:val="22"/>
                <w:szCs w:val="22"/>
                <w:highlight w:val="none"/>
                <w:lang w:eastAsia="zh-CN"/>
              </w:rPr>
              <w:t>（≥</w:t>
            </w:r>
            <w:r>
              <w:rPr>
                <w:rFonts w:hint="eastAsia" w:ascii="方正仿宋_GBK" w:hAnsi="宋体" w:eastAsia="方正仿宋_GBK" w:cs="宋体"/>
                <w:color w:val="000000"/>
                <w:kern w:val="0"/>
                <w:sz w:val="22"/>
                <w:szCs w:val="22"/>
                <w:highlight w:val="none"/>
                <w:lang w:val="en-US" w:eastAsia="zh-CN"/>
              </w:rPr>
              <w:t>万元</w:t>
            </w:r>
            <w:r>
              <w:rPr>
                <w:rFonts w:hint="eastAsia" w:ascii="方正仿宋_GBK" w:hAnsi="宋体" w:eastAsia="方正仿宋_GBK" w:cs="宋体"/>
                <w:color w:val="000000"/>
                <w:kern w:val="0"/>
                <w:sz w:val="22"/>
                <w:szCs w:val="22"/>
                <w:highlight w:val="none"/>
                <w:lang w:eastAsia="zh-CN"/>
              </w:rPr>
              <w:t>）</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hint="eastAsia" w:ascii="Times New Roman" w:hAnsi="Times New Roman" w:eastAsia="宋体" w:cs="Times New Roman"/>
                <w:color w:val="000000"/>
                <w:kern w:val="0"/>
                <w:sz w:val="22"/>
                <w:szCs w:val="22"/>
                <w:highlight w:val="none"/>
                <w:lang w:val="en-US" w:eastAsia="zh-CN"/>
              </w:rPr>
              <w:t>10</w:t>
            </w:r>
            <w:r>
              <w:rPr>
                <w:rFonts w:ascii="Times New Roman" w:hAnsi="Times New Roman" w:eastAsia="宋体" w:cs="Times New Roman"/>
                <w:color w:val="000000"/>
                <w:kern w:val="0"/>
                <w:sz w:val="22"/>
                <w:szCs w:val="22"/>
                <w:highlight w:val="none"/>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eastAsia="zh-CN"/>
              </w:rPr>
            </w:pPr>
            <w:r>
              <w:rPr>
                <w:rFonts w:ascii="Times New Roman" w:hAnsi="Times New Roman" w:eastAsia="宋体" w:cs="Times New Roman"/>
                <w:color w:val="000000"/>
                <w:kern w:val="0"/>
                <w:sz w:val="22"/>
                <w:szCs w:val="22"/>
                <w:highlight w:val="none"/>
              </w:rPr>
              <w:t>　</w:t>
            </w:r>
            <w:r>
              <w:rPr>
                <w:rFonts w:hint="eastAsia" w:ascii="Times New Roman" w:hAnsi="Times New Roman" w:eastAsia="宋体" w:cs="Times New Roman"/>
                <w:color w:val="000000"/>
                <w:kern w:val="0"/>
                <w:sz w:val="22"/>
                <w:szCs w:val="22"/>
                <w:highlight w:val="none"/>
                <w:lang w:val="en-US" w:eastAsia="zh-CN"/>
              </w:rPr>
              <w:t>10</w:t>
            </w:r>
          </w:p>
        </w:tc>
        <w:tc>
          <w:tcPr>
            <w:tcW w:w="9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rPr>
            </w:pPr>
            <w:r>
              <w:rPr>
                <w:rFonts w:hint="eastAsia" w:ascii="Times New Roman" w:hAnsi="Times New Roman" w:eastAsia="宋体" w:cs="Times New Roman"/>
                <w:color w:val="000000"/>
                <w:kern w:val="0"/>
                <w:sz w:val="22"/>
                <w:szCs w:val="22"/>
                <w:highlight w:val="none"/>
                <w:lang w:val="en-US" w:eastAsia="zh-CN"/>
              </w:rPr>
              <w:t>20</w:t>
            </w:r>
          </w:p>
        </w:tc>
        <w:tc>
          <w:tcPr>
            <w:tcW w:w="8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lang w:val="en-US" w:eastAsia="zh-CN" w:bidi="ar-SA"/>
              </w:rPr>
            </w:pPr>
            <w:r>
              <w:rPr>
                <w:rFonts w:hint="eastAsia" w:ascii="Times New Roman" w:hAnsi="Times New Roman" w:eastAsia="宋体" w:cs="Times New Roman"/>
                <w:color w:val="000000"/>
                <w:kern w:val="0"/>
                <w:sz w:val="22"/>
                <w:szCs w:val="22"/>
                <w:highlight w:val="none"/>
                <w:lang w:val="en-US" w:eastAsia="zh-CN"/>
              </w:rPr>
              <w:t>20</w:t>
            </w:r>
          </w:p>
        </w:tc>
        <w:tc>
          <w:tcPr>
            <w:tcW w:w="21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　</w:t>
            </w:r>
          </w:p>
        </w:tc>
      </w:tr>
      <w:tr>
        <w:tblPrEx>
          <w:tblCellMar>
            <w:top w:w="0" w:type="dxa"/>
            <w:left w:w="108" w:type="dxa"/>
            <w:bottom w:w="0" w:type="dxa"/>
            <w:right w:w="108" w:type="dxa"/>
          </w:tblCellMar>
        </w:tblPrEx>
        <w:trPr>
          <w:trHeight w:val="345"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质量指标</w:t>
            </w:r>
          </w:p>
        </w:tc>
        <w:tc>
          <w:tcPr>
            <w:tcW w:w="18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hint="eastAsia" w:ascii="方正仿宋_GBK" w:hAnsi="宋体" w:eastAsia="方正仿宋_GBK" w:cs="宋体"/>
                <w:color w:val="000000"/>
                <w:kern w:val="0"/>
                <w:sz w:val="22"/>
                <w:szCs w:val="22"/>
                <w:highlight w:val="none"/>
                <w:lang w:eastAsia="zh-CN"/>
              </w:rPr>
            </w:pPr>
            <w:r>
              <w:rPr>
                <w:rFonts w:hint="eastAsia" w:ascii="方正仿宋_GBK" w:hAnsi="宋体" w:eastAsia="方正仿宋_GBK" w:cs="宋体"/>
                <w:color w:val="000000"/>
                <w:kern w:val="0"/>
                <w:sz w:val="22"/>
                <w:szCs w:val="22"/>
                <w:highlight w:val="none"/>
                <w:lang w:eastAsia="zh-CN"/>
              </w:rPr>
              <w:t>成活率</w:t>
            </w:r>
            <w:r>
              <w:rPr>
                <w:rFonts w:hint="eastAsia" w:ascii="方正仿宋_GBK" w:eastAsia="方正仿宋_GBK" w:cs="宋体"/>
                <w:color w:val="000000"/>
                <w:kern w:val="0"/>
                <w:sz w:val="22"/>
                <w:szCs w:val="22"/>
                <w:highlight w:val="none"/>
                <w:lang w:eastAsia="zh-CN"/>
              </w:rPr>
              <w:t>（≥</w:t>
            </w:r>
            <w:r>
              <w:rPr>
                <w:rFonts w:hint="eastAsia" w:ascii="方正仿宋_GBK" w:eastAsia="方正仿宋_GBK" w:cs="宋体"/>
                <w:color w:val="000000"/>
                <w:kern w:val="0"/>
                <w:sz w:val="22"/>
                <w:szCs w:val="22"/>
                <w:highlight w:val="none"/>
                <w:lang w:val="en-US" w:eastAsia="zh-CN"/>
              </w:rPr>
              <w:t>%</w:t>
            </w:r>
            <w:r>
              <w:rPr>
                <w:rFonts w:hint="eastAsia" w:ascii="方正仿宋_GBK" w:eastAsia="方正仿宋_GBK" w:cs="宋体"/>
                <w:color w:val="000000"/>
                <w:kern w:val="0"/>
                <w:sz w:val="22"/>
                <w:szCs w:val="22"/>
                <w:highlight w:val="none"/>
                <w:lang w:eastAsia="zh-CN"/>
              </w:rPr>
              <w:t>）</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rPr>
            </w:pPr>
            <w:r>
              <w:rPr>
                <w:rFonts w:hint="eastAsia" w:ascii="Times New Roman" w:hAnsi="Times New Roman" w:eastAsia="宋体" w:cs="Times New Roman"/>
                <w:color w:val="000000"/>
                <w:kern w:val="0"/>
                <w:sz w:val="22"/>
                <w:szCs w:val="22"/>
                <w:highlight w:val="none"/>
                <w:lang w:val="en-US" w:eastAsia="zh-CN"/>
              </w:rPr>
              <w:t>95</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eastAsia="zh-CN"/>
              </w:rPr>
            </w:pPr>
            <w:r>
              <w:rPr>
                <w:rFonts w:hint="eastAsia" w:ascii="Times New Roman" w:hAnsi="Times New Roman" w:eastAsia="宋体" w:cs="Times New Roman"/>
                <w:color w:val="000000"/>
                <w:kern w:val="0"/>
                <w:sz w:val="22"/>
                <w:szCs w:val="22"/>
                <w:highlight w:val="none"/>
                <w:lang w:val="en-US" w:eastAsia="zh-CN"/>
              </w:rPr>
              <w:t>95</w:t>
            </w:r>
          </w:p>
        </w:tc>
        <w:tc>
          <w:tcPr>
            <w:tcW w:w="9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eastAsia="zh-CN"/>
              </w:rPr>
            </w:pPr>
            <w:r>
              <w:rPr>
                <w:rFonts w:hint="eastAsia" w:ascii="Times New Roman" w:hAnsi="Times New Roman" w:eastAsia="宋体" w:cs="Times New Roman"/>
                <w:color w:val="000000"/>
                <w:kern w:val="0"/>
                <w:sz w:val="22"/>
                <w:szCs w:val="22"/>
                <w:highlight w:val="none"/>
                <w:lang w:val="en-US" w:eastAsia="zh-CN"/>
              </w:rPr>
              <w:t>20</w:t>
            </w:r>
          </w:p>
        </w:tc>
        <w:tc>
          <w:tcPr>
            <w:tcW w:w="8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eastAsia="zh-CN" w:bidi="ar-SA"/>
              </w:rPr>
            </w:pPr>
            <w:r>
              <w:rPr>
                <w:rFonts w:hint="eastAsia" w:ascii="Times New Roman" w:hAnsi="Times New Roman" w:eastAsia="宋体" w:cs="Times New Roman"/>
                <w:color w:val="000000"/>
                <w:kern w:val="0"/>
                <w:sz w:val="22"/>
                <w:szCs w:val="22"/>
                <w:highlight w:val="none"/>
                <w:lang w:val="en-US" w:eastAsia="zh-CN"/>
              </w:rPr>
              <w:t>20</w:t>
            </w:r>
          </w:p>
        </w:tc>
        <w:tc>
          <w:tcPr>
            <w:tcW w:w="21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　</w:t>
            </w:r>
          </w:p>
        </w:tc>
      </w:tr>
      <w:tr>
        <w:tblPrEx>
          <w:tblCellMar>
            <w:top w:w="0" w:type="dxa"/>
            <w:left w:w="108" w:type="dxa"/>
            <w:bottom w:w="0" w:type="dxa"/>
            <w:right w:w="108" w:type="dxa"/>
          </w:tblCellMar>
        </w:tblPrEx>
        <w:trPr>
          <w:trHeight w:val="345"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效益指标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经济效益</w:t>
            </w:r>
          </w:p>
        </w:tc>
        <w:tc>
          <w:tcPr>
            <w:tcW w:w="18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hint="default" w:ascii="方正仿宋_GBK" w:hAnsi="宋体" w:eastAsia="方正仿宋_GBK" w:cs="宋体"/>
                <w:color w:val="000000"/>
                <w:kern w:val="0"/>
                <w:sz w:val="22"/>
                <w:szCs w:val="22"/>
                <w:highlight w:val="none"/>
                <w:lang w:val="en-US" w:eastAsia="zh-CN"/>
              </w:rPr>
            </w:pPr>
            <w:r>
              <w:rPr>
                <w:rFonts w:hint="eastAsia" w:ascii="方正仿宋_GBK" w:hAnsi="宋体" w:eastAsia="方正仿宋_GBK" w:cs="宋体"/>
                <w:color w:val="000000"/>
                <w:kern w:val="0"/>
                <w:sz w:val="22"/>
                <w:szCs w:val="22"/>
                <w:highlight w:val="none"/>
              </w:rPr>
              <w:t>受益农户</w:t>
            </w:r>
            <w:r>
              <w:rPr>
                <w:rFonts w:hint="eastAsia" w:ascii="方正仿宋_GBK" w:eastAsia="方正仿宋_GBK" w:cs="宋体"/>
                <w:color w:val="000000"/>
                <w:kern w:val="0"/>
                <w:sz w:val="22"/>
                <w:szCs w:val="22"/>
                <w:highlight w:val="none"/>
                <w:lang w:eastAsia="zh-CN"/>
              </w:rPr>
              <w:t>（≥</w:t>
            </w:r>
            <w:r>
              <w:rPr>
                <w:rFonts w:hint="eastAsia" w:ascii="方正仿宋_GBK" w:eastAsia="方正仿宋_GBK" w:cs="宋体"/>
                <w:color w:val="000000"/>
                <w:kern w:val="0"/>
                <w:sz w:val="22"/>
                <w:szCs w:val="22"/>
                <w:highlight w:val="none"/>
                <w:lang w:val="en-US" w:eastAsia="zh-CN"/>
              </w:rPr>
              <w:t>户）</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hint="eastAsia" w:ascii="Times New Roman" w:hAnsi="Times New Roman" w:eastAsia="宋体" w:cs="Times New Roman"/>
                <w:color w:val="000000"/>
                <w:kern w:val="0"/>
                <w:sz w:val="22"/>
                <w:szCs w:val="22"/>
                <w:highlight w:val="none"/>
                <w:lang w:val="en-US" w:eastAsia="zh-CN"/>
              </w:rPr>
              <w:t>100</w:t>
            </w:r>
            <w:r>
              <w:rPr>
                <w:rFonts w:ascii="Times New Roman" w:hAnsi="Times New Roman" w:eastAsia="宋体" w:cs="Times New Roman"/>
                <w:color w:val="000000"/>
                <w:kern w:val="0"/>
                <w:sz w:val="22"/>
                <w:szCs w:val="22"/>
                <w:highlight w:val="none"/>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hint="eastAsia" w:ascii="Times New Roman" w:hAnsi="Times New Roman" w:eastAsia="宋体" w:cs="Times New Roman"/>
                <w:color w:val="000000"/>
                <w:kern w:val="0"/>
                <w:sz w:val="22"/>
                <w:szCs w:val="22"/>
                <w:highlight w:val="none"/>
                <w:lang w:val="en-US" w:eastAsia="zh-CN"/>
              </w:rPr>
              <w:t>100</w:t>
            </w:r>
            <w:r>
              <w:rPr>
                <w:rFonts w:ascii="Times New Roman" w:hAnsi="Times New Roman" w:eastAsia="宋体" w:cs="Times New Roman"/>
                <w:color w:val="000000"/>
                <w:kern w:val="0"/>
                <w:sz w:val="22"/>
                <w:szCs w:val="22"/>
                <w:highlight w:val="none"/>
              </w:rPr>
              <w:t>　</w:t>
            </w:r>
          </w:p>
        </w:tc>
        <w:tc>
          <w:tcPr>
            <w:tcW w:w="9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rPr>
            </w:pPr>
            <w:r>
              <w:rPr>
                <w:rFonts w:hint="eastAsia" w:ascii="Times New Roman" w:hAnsi="Times New Roman" w:eastAsia="宋体" w:cs="Times New Roman"/>
                <w:color w:val="000000"/>
                <w:kern w:val="0"/>
                <w:sz w:val="22"/>
                <w:szCs w:val="22"/>
                <w:highlight w:val="none"/>
                <w:lang w:val="en-US" w:eastAsia="zh-CN"/>
              </w:rPr>
              <w:t>20</w:t>
            </w:r>
          </w:p>
        </w:tc>
        <w:tc>
          <w:tcPr>
            <w:tcW w:w="8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000000"/>
                <w:kern w:val="0"/>
                <w:sz w:val="22"/>
                <w:szCs w:val="22"/>
                <w:highlight w:val="none"/>
                <w:lang w:val="en-US" w:eastAsia="zh-CN" w:bidi="ar-SA"/>
              </w:rPr>
            </w:pPr>
            <w:r>
              <w:rPr>
                <w:rFonts w:hint="eastAsia" w:ascii="Times New Roman" w:hAnsi="Times New Roman" w:eastAsia="宋体" w:cs="Times New Roman"/>
                <w:color w:val="000000"/>
                <w:kern w:val="0"/>
                <w:sz w:val="22"/>
                <w:szCs w:val="22"/>
                <w:highlight w:val="none"/>
                <w:lang w:val="en-US" w:eastAsia="zh-CN"/>
              </w:rPr>
              <w:t>20</w:t>
            </w:r>
          </w:p>
        </w:tc>
        <w:tc>
          <w:tcPr>
            <w:tcW w:w="21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　</w:t>
            </w:r>
          </w:p>
        </w:tc>
      </w:tr>
      <w:tr>
        <w:tblPrEx>
          <w:tblCellMar>
            <w:top w:w="0" w:type="dxa"/>
            <w:left w:w="108" w:type="dxa"/>
            <w:bottom w:w="0" w:type="dxa"/>
            <w:right w:w="108" w:type="dxa"/>
          </w:tblCellMar>
        </w:tblPrEx>
        <w:trPr>
          <w:trHeight w:val="345"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ascii="方正仿宋_GBK" w:hAnsi="宋体" w:eastAsia="方正仿宋_GBK" w:cs="宋体"/>
                <w:color w:val="000000"/>
                <w:kern w:val="0"/>
                <w:sz w:val="22"/>
                <w:szCs w:val="22"/>
                <w:highlight w:val="none"/>
              </w:rPr>
            </w:pPr>
          </w:p>
        </w:tc>
        <w:tc>
          <w:tcPr>
            <w:tcW w:w="1080"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满意度指标</w:t>
            </w:r>
          </w:p>
        </w:tc>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方正仿宋_GBK" w:hAnsi="宋体" w:eastAsia="方正仿宋_GBK" w:cs="宋体"/>
                <w:color w:val="000000"/>
                <w:kern w:val="0"/>
                <w:sz w:val="22"/>
                <w:szCs w:val="22"/>
                <w:highlight w:val="none"/>
              </w:rPr>
            </w:pPr>
            <w:r>
              <w:rPr>
                <w:rFonts w:hint="eastAsia" w:ascii="方正仿宋_GBK" w:hAnsi="宋体" w:eastAsia="方正仿宋_GBK" w:cs="宋体"/>
                <w:color w:val="000000"/>
                <w:kern w:val="0"/>
                <w:sz w:val="22"/>
                <w:szCs w:val="22"/>
                <w:highlight w:val="none"/>
              </w:rPr>
              <w:t>服务对象满意度指标</w:t>
            </w:r>
          </w:p>
        </w:tc>
        <w:tc>
          <w:tcPr>
            <w:tcW w:w="18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hint="eastAsia" w:ascii="方正仿宋_GBK" w:hAnsi="宋体" w:eastAsia="方正仿宋_GBK" w:cs="宋体"/>
                <w:color w:val="000000"/>
                <w:kern w:val="0"/>
                <w:sz w:val="22"/>
                <w:szCs w:val="22"/>
                <w:highlight w:val="none"/>
                <w:lang w:eastAsia="zh-CN"/>
              </w:rPr>
            </w:pPr>
            <w:r>
              <w:rPr>
                <w:rFonts w:hint="eastAsia" w:ascii="方正仿宋_GBK" w:hAnsi="宋体" w:eastAsia="方正仿宋_GBK" w:cs="宋体"/>
                <w:color w:val="000000"/>
                <w:kern w:val="0"/>
                <w:sz w:val="22"/>
                <w:szCs w:val="22"/>
                <w:highlight w:val="none"/>
              </w:rPr>
              <w:t>服务对象满意度</w:t>
            </w:r>
            <w:r>
              <w:rPr>
                <w:rFonts w:hint="eastAsia" w:ascii="方正仿宋_GBK" w:eastAsia="方正仿宋_GBK" w:cs="宋体"/>
                <w:color w:val="000000"/>
                <w:kern w:val="0"/>
                <w:sz w:val="22"/>
                <w:szCs w:val="22"/>
                <w:highlight w:val="none"/>
                <w:lang w:eastAsia="zh-CN"/>
              </w:rPr>
              <w:t>（≥</w:t>
            </w:r>
            <w:r>
              <w:rPr>
                <w:rFonts w:hint="eastAsia" w:ascii="方正仿宋_GBK" w:eastAsia="方正仿宋_GBK" w:cs="宋体"/>
                <w:color w:val="000000"/>
                <w:kern w:val="0"/>
                <w:sz w:val="22"/>
                <w:szCs w:val="22"/>
                <w:highlight w:val="none"/>
                <w:lang w:val="en-US" w:eastAsia="zh-CN"/>
              </w:rPr>
              <w:t>%</w:t>
            </w:r>
            <w:r>
              <w:rPr>
                <w:rFonts w:hint="eastAsia" w:ascii="方正仿宋_GBK" w:eastAsia="方正仿宋_GBK" w:cs="宋体"/>
                <w:color w:val="000000"/>
                <w:kern w:val="0"/>
                <w:sz w:val="22"/>
                <w:szCs w:val="22"/>
                <w:highlight w:val="none"/>
                <w:lang w:eastAsia="zh-CN"/>
              </w:rPr>
              <w:t>）</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hint="eastAsia" w:ascii="Times New Roman" w:hAnsi="Times New Roman" w:eastAsia="宋体" w:cs="Times New Roman"/>
                <w:color w:val="000000"/>
                <w:kern w:val="0"/>
                <w:sz w:val="22"/>
                <w:szCs w:val="22"/>
                <w:highlight w:val="none"/>
                <w:lang w:val="en-US" w:eastAsia="zh-CN"/>
              </w:rPr>
              <w:t>95</w:t>
            </w:r>
            <w:r>
              <w:rPr>
                <w:rFonts w:ascii="Times New Roman" w:hAnsi="Times New Roman" w:eastAsia="宋体" w:cs="Times New Roman"/>
                <w:color w:val="000000"/>
                <w:kern w:val="0"/>
                <w:sz w:val="22"/>
                <w:szCs w:val="22"/>
                <w:highlight w:val="none"/>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hint="eastAsia" w:ascii="Times New Roman" w:hAnsi="Times New Roman" w:eastAsia="宋体" w:cs="Times New Roman"/>
                <w:color w:val="000000"/>
                <w:kern w:val="0"/>
                <w:sz w:val="22"/>
                <w:szCs w:val="22"/>
                <w:highlight w:val="none"/>
                <w:lang w:val="en-US" w:eastAsia="zh-CN"/>
              </w:rPr>
              <w:t>95</w:t>
            </w:r>
            <w:r>
              <w:rPr>
                <w:rFonts w:ascii="Times New Roman" w:hAnsi="Times New Roman" w:eastAsia="宋体" w:cs="Times New Roman"/>
                <w:color w:val="000000"/>
                <w:kern w:val="0"/>
                <w:sz w:val="22"/>
                <w:szCs w:val="22"/>
                <w:highlight w:val="none"/>
              </w:rPr>
              <w:t>　</w:t>
            </w:r>
          </w:p>
        </w:tc>
        <w:tc>
          <w:tcPr>
            <w:tcW w:w="9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hint="eastAsia" w:ascii="Times New Roman" w:hAnsi="Times New Roman" w:eastAsia="宋体" w:cs="Times New Roman"/>
                <w:color w:val="000000"/>
                <w:kern w:val="0"/>
                <w:sz w:val="22"/>
                <w:szCs w:val="22"/>
                <w:highlight w:val="none"/>
                <w:lang w:val="en-US" w:eastAsia="zh-CN"/>
              </w:rPr>
              <w:t>20</w:t>
            </w:r>
            <w:r>
              <w:rPr>
                <w:rFonts w:ascii="Times New Roman" w:hAnsi="Times New Roman" w:eastAsia="宋体" w:cs="Times New Roman"/>
                <w:color w:val="000000"/>
                <w:kern w:val="0"/>
                <w:sz w:val="22"/>
                <w:szCs w:val="22"/>
                <w:highlight w:val="none"/>
              </w:rPr>
              <w:t>　</w:t>
            </w:r>
          </w:p>
        </w:tc>
        <w:tc>
          <w:tcPr>
            <w:tcW w:w="8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lang w:val="en-US" w:eastAsia="zh-CN" w:bidi="ar-SA"/>
              </w:rPr>
            </w:pPr>
            <w:r>
              <w:rPr>
                <w:rFonts w:hint="eastAsia" w:ascii="Times New Roman" w:hAnsi="Times New Roman" w:eastAsia="宋体" w:cs="Times New Roman"/>
                <w:color w:val="000000"/>
                <w:kern w:val="0"/>
                <w:sz w:val="22"/>
                <w:szCs w:val="22"/>
                <w:highlight w:val="none"/>
                <w:lang w:val="en-US" w:eastAsia="zh-CN"/>
              </w:rPr>
              <w:t>20</w:t>
            </w:r>
            <w:r>
              <w:rPr>
                <w:rFonts w:ascii="Times New Roman" w:hAnsi="Times New Roman" w:eastAsia="宋体" w:cs="Times New Roman"/>
                <w:color w:val="000000"/>
                <w:kern w:val="0"/>
                <w:sz w:val="22"/>
                <w:szCs w:val="22"/>
                <w:highlight w:val="none"/>
              </w:rPr>
              <w:t>　</w:t>
            </w:r>
          </w:p>
        </w:tc>
        <w:tc>
          <w:tcPr>
            <w:tcW w:w="21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000000"/>
                <w:kern w:val="0"/>
                <w:sz w:val="22"/>
                <w:szCs w:val="22"/>
                <w:highlight w:val="none"/>
              </w:rPr>
            </w:pPr>
            <w:r>
              <w:rPr>
                <w:rFonts w:ascii="Times New Roman" w:hAnsi="Times New Roman" w:eastAsia="宋体" w:cs="Times New Roman"/>
                <w:color w:val="000000"/>
                <w:kern w:val="0"/>
                <w:sz w:val="22"/>
                <w:szCs w:val="22"/>
                <w:highlight w:val="none"/>
              </w:rPr>
              <w:t>　</w:t>
            </w:r>
          </w:p>
        </w:tc>
      </w:tr>
      <w:tr>
        <w:tblPrEx>
          <w:tblCellMar>
            <w:top w:w="0" w:type="dxa"/>
            <w:left w:w="108" w:type="dxa"/>
            <w:bottom w:w="0" w:type="dxa"/>
            <w:right w:w="108" w:type="dxa"/>
          </w:tblCellMar>
        </w:tblPrEx>
        <w:trPr>
          <w:trHeight w:val="345" w:hRule="atLeast"/>
        </w:trPr>
        <w:tc>
          <w:tcPr>
            <w:tcW w:w="686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总分</w:t>
            </w:r>
          </w:p>
        </w:tc>
        <w:tc>
          <w:tcPr>
            <w:tcW w:w="9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c>
          <w:tcPr>
            <w:tcW w:w="8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宋体" w:hAnsi="宋体" w:eastAsia="宋体" w:cs="宋体"/>
                <w:color w:val="000000"/>
                <w:kern w:val="0"/>
                <w:sz w:val="22"/>
                <w:szCs w:val="22"/>
                <w:highlight w:val="none"/>
              </w:rPr>
            </w:pPr>
            <w:r>
              <w:rPr>
                <w:rFonts w:hint="eastAsia"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　</w:t>
            </w:r>
          </w:p>
        </w:tc>
        <w:tc>
          <w:tcPr>
            <w:tcW w:w="21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bl>
    <w:p>
      <w:pPr>
        <w:pStyle w:val="7"/>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lang w:val="en-US" w:eastAsia="zh-CN"/>
        </w:rPr>
      </w:pPr>
      <w:r>
        <w:rPr>
          <w:rFonts w:hint="eastAsia"/>
          <w:lang w:val="en-US" w:eastAsia="zh-CN"/>
        </w:rPr>
        <w:t>2.绩效自评报告或案例</w:t>
      </w:r>
    </w:p>
    <w:p>
      <w:pPr>
        <w:pStyle w:val="7"/>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lang w:eastAsia="zh-CN"/>
        </w:rPr>
      </w:pPr>
      <w:r>
        <w:rPr>
          <w:rFonts w:hint="eastAsia"/>
        </w:rPr>
        <w:t>调整下达2022年上级财政衔接推进乡村振兴补助（第一批）（统筹衔接）</w:t>
      </w:r>
      <w:r>
        <w:rPr>
          <w:rFonts w:hint="eastAsia"/>
          <w:lang w:val="en-US" w:eastAsia="zh-CN"/>
        </w:rPr>
        <w:t>项目</w:t>
      </w:r>
      <w:r>
        <w:rPr>
          <w:rFonts w:hint="eastAsia"/>
        </w:rPr>
        <w:t>：根据年初设定的绩效目标，项目总体完成情况：种植中药材（前胡）80亩.新建加工厂房800平方米；购置安装日加工80吨智能化设备及配套设施1套；购置转运铲车1台</w:t>
      </w:r>
      <w:r>
        <w:rPr>
          <w:rFonts w:hint="eastAsia"/>
          <w:lang w:eastAsia="zh-CN"/>
        </w:rPr>
        <w:t>；</w:t>
      </w:r>
      <w:r>
        <w:rPr>
          <w:rFonts w:hint="eastAsia"/>
        </w:rPr>
        <w:t>管护花椒1年、管护柑橘1年</w:t>
      </w:r>
      <w:r>
        <w:rPr>
          <w:rFonts w:hint="eastAsia"/>
          <w:lang w:eastAsia="zh-CN"/>
        </w:rPr>
        <w:t>。</w:t>
      </w:r>
    </w:p>
    <w:p>
      <w:pPr>
        <w:pStyle w:val="7"/>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lang w:val="en-US" w:eastAsia="zh-CN"/>
        </w:rPr>
      </w:pPr>
      <w:r>
        <w:rPr>
          <w:rFonts w:hint="eastAsia"/>
          <w:lang w:val="en-US" w:eastAsia="zh-CN"/>
        </w:rPr>
        <w:t>3.关于绩效自评结果的说明</w:t>
      </w:r>
    </w:p>
    <w:p>
      <w:pPr>
        <w:pageBreakBefore w:val="0"/>
        <w:widowControl/>
        <w:numPr>
          <w:ilvl w:val="0"/>
          <w:numId w:val="0"/>
        </w:numPr>
        <w:kinsoku/>
        <w:wordWrap/>
        <w:overflowPunct/>
        <w:topLinePunct w:val="0"/>
        <w:autoSpaceDE/>
        <w:autoSpaceDN/>
        <w:bidi w:val="0"/>
        <w:adjustRightInd/>
        <w:snapToGrid/>
        <w:spacing w:beforeAutospacing="0" w:afterAutospacing="0" w:line="578" w:lineRule="exact"/>
        <w:textAlignment w:val="auto"/>
      </w:pPr>
      <w:r>
        <w:rPr>
          <w:rFonts w:hint="eastAsia"/>
          <w:highlight w:val="none"/>
          <w:lang w:val="en-US" w:eastAsia="zh-CN"/>
        </w:rPr>
        <w:t xml:space="preserve">  我单位2022年度各项资金使用工作已基本完成，完成了年度绩效目标。所有项目的日常管理工作均按照相关管理制度执行，建立了工作有计划、实施有方案、日常有监督的管理机制，工作取得了较好的成绩，效能得到了提高。</w:t>
      </w:r>
      <w:r>
        <w:t xml:space="preserve"> </w:t>
      </w:r>
    </w:p>
    <w:p>
      <w:pPr>
        <w:pStyle w:val="2"/>
        <w:pageBreakBefore w:val="0"/>
        <w:widowControl/>
        <w:kinsoku/>
        <w:wordWrap/>
        <w:overflowPunct/>
        <w:topLinePunct w:val="0"/>
        <w:autoSpaceDE/>
        <w:autoSpaceDN/>
        <w:bidi w:val="0"/>
        <w:adjustRightInd/>
        <w:snapToGrid/>
        <w:spacing w:before="0" w:beforeLines="0" w:beforeAutospacing="0" w:after="0" w:afterLines="0" w:afterAutospacing="0" w:line="578" w:lineRule="exact"/>
        <w:textAlignment w:val="auto"/>
      </w:pPr>
      <w:r>
        <w:t>六、专业名词解释</w:t>
      </w:r>
    </w:p>
    <w:p>
      <w:pPr>
        <w:pageBreakBefore w:val="0"/>
        <w:widowControl/>
        <w:kinsoku/>
        <w:wordWrap/>
        <w:overflowPunct/>
        <w:topLinePunct w:val="0"/>
        <w:autoSpaceDE/>
        <w:autoSpaceDN/>
        <w:bidi w:val="0"/>
        <w:adjustRightInd/>
        <w:snapToGrid/>
        <w:spacing w:beforeAutospacing="0" w:afterAutospacing="0" w:line="578" w:lineRule="exact"/>
        <w:textAlignment w:val="auto"/>
      </w:pPr>
      <w:r>
        <w:t>以下为常见专业名词解释目录，仅供参考，部门应根据实际情况进行解释和增减。比如可将类级功能科目和经济科目细化解释到项级。若有删减注意调整段落序号</w:t>
      </w:r>
    </w:p>
    <w:p>
      <w:pPr>
        <w:pageBreakBefore w:val="0"/>
        <w:widowControl/>
        <w:kinsoku/>
        <w:wordWrap/>
        <w:overflowPunct/>
        <w:topLinePunct w:val="0"/>
        <w:autoSpaceDE/>
        <w:autoSpaceDN/>
        <w:bidi w:val="0"/>
        <w:adjustRightInd/>
        <w:snapToGrid/>
        <w:spacing w:beforeAutospacing="0" w:afterAutospacing="0" w:line="578" w:lineRule="exact"/>
        <w:textAlignment w:val="auto"/>
        <w:rPr>
          <w:rStyle w:val="13"/>
        </w:rPr>
      </w:pPr>
      <w:r>
        <w:rPr>
          <w:rStyle w:val="13"/>
        </w:rPr>
        <w:t>（一）财政拨款收入</w:t>
      </w:r>
    </w:p>
    <w:p>
      <w:pPr>
        <w:pageBreakBefore w:val="0"/>
        <w:widowControl/>
        <w:kinsoku/>
        <w:wordWrap/>
        <w:overflowPunct/>
        <w:topLinePunct w:val="0"/>
        <w:autoSpaceDE/>
        <w:autoSpaceDN/>
        <w:bidi w:val="0"/>
        <w:adjustRightInd/>
        <w:snapToGrid/>
        <w:spacing w:beforeAutospacing="0" w:afterAutospacing="0" w:line="578" w:lineRule="exact"/>
        <w:textAlignment w:val="auto"/>
        <w:rPr>
          <w:lang w:val="en-US" w:eastAsia="zh-CN"/>
        </w:rPr>
      </w:pPr>
      <w:r>
        <w:rPr>
          <w:lang w:val="en-US" w:eastAsia="zh-CN"/>
        </w:rPr>
        <w:t>指本年度从本级财政部门取得的财政拨款，包括一般公共预算财政拨款和政府性基金预算财政拨款。</w:t>
      </w:r>
    </w:p>
    <w:p>
      <w:pPr>
        <w:pageBreakBefore w:val="0"/>
        <w:widowControl/>
        <w:kinsoku/>
        <w:wordWrap/>
        <w:overflowPunct/>
        <w:topLinePunct w:val="0"/>
        <w:autoSpaceDE/>
        <w:autoSpaceDN/>
        <w:bidi w:val="0"/>
        <w:adjustRightInd/>
        <w:snapToGrid/>
        <w:spacing w:beforeAutospacing="0" w:afterAutospacing="0" w:line="578" w:lineRule="exact"/>
        <w:textAlignment w:val="auto"/>
        <w:rPr>
          <w:rStyle w:val="13"/>
          <w:rFonts w:ascii="Arial" w:hAnsi="Arial" w:cs="Times New Roman"/>
          <w:b w:val="0"/>
        </w:rPr>
      </w:pPr>
      <w:r>
        <w:rPr>
          <w:rStyle w:val="13"/>
          <w:rFonts w:ascii="Arial" w:hAnsi="Arial" w:cs="Times New Roman"/>
          <w:b w:val="0"/>
        </w:rPr>
        <w:t>（二）事业收入</w:t>
      </w:r>
    </w:p>
    <w:p>
      <w:pPr>
        <w:pageBreakBefore w:val="0"/>
        <w:widowControl/>
        <w:kinsoku/>
        <w:wordWrap/>
        <w:overflowPunct/>
        <w:topLinePunct w:val="0"/>
        <w:autoSpaceDE/>
        <w:autoSpaceDN/>
        <w:bidi w:val="0"/>
        <w:adjustRightInd/>
        <w:snapToGrid/>
        <w:spacing w:beforeAutospacing="0" w:afterAutospacing="0" w:line="578" w:lineRule="exact"/>
        <w:textAlignment w:val="auto"/>
        <w:rPr>
          <w:lang w:val="en-US" w:eastAsia="zh-CN"/>
        </w:rPr>
      </w:pPr>
      <w:r>
        <w:rPr>
          <w:lang w:val="en-US" w:eastAsia="zh-CN"/>
        </w:rPr>
        <w:t>指事业单位开展专业业务活动及其辅助活动取得的现金流入；事业单位收到的财政专户实际核拨的教育收费等资金在此反映。</w:t>
      </w:r>
    </w:p>
    <w:p>
      <w:pPr>
        <w:pageBreakBefore w:val="0"/>
        <w:widowControl/>
        <w:kinsoku/>
        <w:wordWrap/>
        <w:overflowPunct/>
        <w:topLinePunct w:val="0"/>
        <w:autoSpaceDE/>
        <w:autoSpaceDN/>
        <w:bidi w:val="0"/>
        <w:adjustRightInd/>
        <w:snapToGrid/>
        <w:spacing w:beforeAutospacing="0" w:afterAutospacing="0" w:line="578" w:lineRule="exact"/>
        <w:textAlignment w:val="auto"/>
        <w:rPr>
          <w:rStyle w:val="13"/>
          <w:rFonts w:ascii="Arial" w:hAnsi="Arial" w:cs="Times New Roman"/>
          <w:b w:val="0"/>
        </w:rPr>
      </w:pPr>
      <w:r>
        <w:rPr>
          <w:rStyle w:val="13"/>
          <w:rFonts w:ascii="Arial" w:hAnsi="Arial" w:cs="Times New Roman"/>
          <w:b w:val="0"/>
        </w:rPr>
        <w:t>（三）经营收入</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Fonts w:ascii="宋体" w:hAnsi="宋体" w:eastAsia="仿宋" w:cs="宋体"/>
          <w:sz w:val="32"/>
          <w:szCs w:val="24"/>
          <w:lang w:val="en-US" w:eastAsia="zh-CN" w:bidi="ar-SA"/>
        </w:rPr>
      </w:pPr>
      <w:r>
        <w:rPr>
          <w:rFonts w:ascii="宋体" w:hAnsi="宋体" w:eastAsia="仿宋" w:cs="宋体"/>
          <w:sz w:val="32"/>
          <w:szCs w:val="24"/>
          <w:lang w:val="en-US" w:eastAsia="zh-CN" w:bidi="ar-SA"/>
        </w:rPr>
        <w:t>指事业单位在专业业务活动及其辅助活动之外开展非独立核算经营活动取得的现金流入。</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Fonts w:ascii="Arial" w:hAnsi="Arial" w:cs="Times New Roman"/>
          <w:b w:val="0"/>
        </w:rPr>
      </w:pPr>
      <w:r>
        <w:rPr>
          <w:rStyle w:val="13"/>
          <w:rFonts w:ascii="Arial" w:hAnsi="Arial" w:cs="Times New Roman"/>
          <w:b w:val="0"/>
        </w:rPr>
        <w:t>（四）其他收入</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Fonts w:ascii="宋体" w:hAnsi="宋体" w:eastAsia="仿宋" w:cs="宋体"/>
          <w:sz w:val="32"/>
          <w:szCs w:val="24"/>
          <w:lang w:val="en-US" w:eastAsia="zh-CN" w:bidi="ar-SA"/>
        </w:rPr>
      </w:pPr>
      <w:r>
        <w:rPr>
          <w:rFonts w:ascii="宋体" w:hAnsi="宋体" w:eastAsia="仿宋" w:cs="宋体"/>
          <w:sz w:val="32"/>
          <w:szCs w:val="24"/>
          <w:lang w:val="en-US" w:eastAsia="zh-CN" w:bidi="ar-SA"/>
        </w:rPr>
        <w:t>指单位取得的除“财政拨款收入</w:t>
      </w:r>
      <w:r>
        <w:rPr>
          <w:rFonts w:hint="eastAsia" w:eastAsia="仿宋" w:cs="宋体"/>
          <w:sz w:val="32"/>
          <w:szCs w:val="24"/>
          <w:lang w:val="en-US" w:eastAsia="zh-CN" w:bidi="ar-SA"/>
        </w:rPr>
        <w:t>”“</w:t>
      </w:r>
      <w:r>
        <w:rPr>
          <w:rFonts w:ascii="宋体" w:hAnsi="宋体" w:eastAsia="仿宋" w:cs="宋体"/>
          <w:sz w:val="32"/>
          <w:szCs w:val="24"/>
          <w:lang w:val="en-US" w:eastAsia="zh-CN" w:bidi="ar-SA"/>
        </w:rPr>
        <w:t>事业收入</w:t>
      </w:r>
      <w:r>
        <w:rPr>
          <w:rFonts w:hint="eastAsia" w:eastAsia="仿宋" w:cs="宋体"/>
          <w:sz w:val="32"/>
          <w:szCs w:val="24"/>
          <w:lang w:val="en-US" w:eastAsia="zh-CN" w:bidi="ar-SA"/>
        </w:rPr>
        <w:t>”“</w:t>
      </w:r>
      <w:r>
        <w:rPr>
          <w:rFonts w:ascii="宋体" w:hAnsi="宋体" w:eastAsia="仿宋" w:cs="宋体"/>
          <w:sz w:val="32"/>
          <w:szCs w:val="24"/>
          <w:lang w:val="en-US" w:eastAsia="zh-CN" w:bidi="ar-SA"/>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Fonts w:ascii="Arial" w:hAnsi="Arial" w:cs="Times New Roman"/>
          <w:b w:val="0"/>
        </w:rPr>
      </w:pPr>
      <w:r>
        <w:rPr>
          <w:rStyle w:val="13"/>
          <w:rFonts w:ascii="Arial" w:hAnsi="Arial" w:cs="Times New Roman"/>
          <w:b w:val="0"/>
        </w:rPr>
        <w:t>（五）使用非财政拨款结余</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Fonts w:ascii="宋体" w:hAnsi="宋体" w:eastAsia="仿宋" w:cs="宋体"/>
          <w:sz w:val="32"/>
          <w:szCs w:val="24"/>
          <w:lang w:val="en-US" w:eastAsia="zh-CN" w:bidi="ar-SA"/>
        </w:rPr>
      </w:pPr>
      <w:r>
        <w:rPr>
          <w:rFonts w:ascii="宋体" w:hAnsi="宋体" w:eastAsia="仿宋" w:cs="宋体"/>
          <w:sz w:val="32"/>
          <w:szCs w:val="24"/>
          <w:lang w:val="en-US" w:eastAsia="zh-CN" w:bidi="ar-SA"/>
        </w:rPr>
        <w:t>指单位在当年的“财政拨款收入</w:t>
      </w:r>
      <w:r>
        <w:rPr>
          <w:rFonts w:hint="eastAsia" w:eastAsia="仿宋" w:cs="宋体"/>
          <w:sz w:val="32"/>
          <w:szCs w:val="24"/>
          <w:lang w:val="en-US" w:eastAsia="zh-CN" w:bidi="ar-SA"/>
        </w:rPr>
        <w:t>”“</w:t>
      </w:r>
      <w:r>
        <w:rPr>
          <w:rFonts w:ascii="宋体" w:hAnsi="宋体" w:eastAsia="仿宋" w:cs="宋体"/>
          <w:sz w:val="32"/>
          <w:szCs w:val="24"/>
          <w:lang w:val="en-US" w:eastAsia="zh-CN" w:bidi="ar-SA"/>
        </w:rPr>
        <w:t>事业收入</w:t>
      </w:r>
      <w:r>
        <w:rPr>
          <w:rFonts w:hint="eastAsia" w:eastAsia="仿宋" w:cs="宋体"/>
          <w:sz w:val="32"/>
          <w:szCs w:val="24"/>
          <w:lang w:val="en-US" w:eastAsia="zh-CN" w:bidi="ar-SA"/>
        </w:rPr>
        <w:t>”“</w:t>
      </w:r>
      <w:r>
        <w:rPr>
          <w:rFonts w:ascii="宋体" w:hAnsi="宋体" w:eastAsia="仿宋" w:cs="宋体"/>
          <w:sz w:val="32"/>
          <w:szCs w:val="24"/>
          <w:lang w:val="en-US" w:eastAsia="zh-CN" w:bidi="ar-SA"/>
        </w:rPr>
        <w:t>经营收入</w:t>
      </w:r>
      <w:r>
        <w:rPr>
          <w:rFonts w:hint="eastAsia" w:eastAsia="仿宋" w:cs="宋体"/>
          <w:sz w:val="32"/>
          <w:szCs w:val="24"/>
          <w:lang w:val="en-US" w:eastAsia="zh-CN" w:bidi="ar-SA"/>
        </w:rPr>
        <w:t>”“</w:t>
      </w:r>
      <w:r>
        <w:rPr>
          <w:rFonts w:ascii="宋体" w:hAnsi="宋体" w:eastAsia="仿宋" w:cs="宋体"/>
          <w:sz w:val="32"/>
          <w:szCs w:val="24"/>
          <w:lang w:val="en-US" w:eastAsia="zh-CN" w:bidi="ar-SA"/>
        </w:rPr>
        <w:t>其他收入”等不足以安排当年支出的情况下，使用以前年度积累的非财政拨款结余弥补本年度收支缺口的资金。</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Fonts w:ascii="Arial" w:hAnsi="Arial" w:cs="Times New Roman"/>
          <w:b w:val="0"/>
        </w:rPr>
      </w:pPr>
      <w:r>
        <w:rPr>
          <w:rStyle w:val="13"/>
          <w:rFonts w:ascii="Arial" w:hAnsi="Arial" w:cs="Times New Roman"/>
          <w:b w:val="0"/>
        </w:rPr>
        <w:t>（六）年初结转和结余</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0"/>
          <w:sz w:val="18"/>
          <w:szCs w:val="18"/>
        </w:rPr>
      </w:pPr>
      <w:r>
        <w:rPr>
          <w:rFonts w:ascii="宋体" w:hAnsi="宋体" w:eastAsia="仿宋" w:cs="宋体"/>
          <w:sz w:val="32"/>
          <w:szCs w:val="24"/>
          <w:lang w:val="en-US" w:eastAsia="zh-CN" w:bidi="ar-SA"/>
        </w:rPr>
        <w:t>指单位上年结转本年使用的基本支出结转、项目支出结转和结余、经营结余。</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Fonts w:ascii="Arial" w:hAnsi="Arial" w:cs="Times New Roman"/>
          <w:b/>
        </w:rPr>
      </w:pPr>
      <w:r>
        <w:rPr>
          <w:rStyle w:val="13"/>
          <w:rFonts w:ascii="Arial" w:hAnsi="Arial" w:cs="Times New Roman"/>
          <w:b w:val="0"/>
        </w:rPr>
        <w:t>（七）结余分配</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Fonts w:ascii="Arial" w:hAnsi="Arial" w:cs="Times New Roman"/>
          <w:b w:val="0"/>
        </w:rPr>
      </w:pPr>
      <w:r>
        <w:rPr>
          <w:rFonts w:ascii="宋体" w:hAnsi="宋体" w:eastAsia="仿宋" w:cs="宋体"/>
          <w:sz w:val="32"/>
          <w:szCs w:val="24"/>
          <w:lang w:val="en-US" w:eastAsia="zh-CN" w:bidi="ar-SA"/>
        </w:rPr>
        <w:t>指单位按照国家有关规定，缴纳所得税、提取专用基金、转入非财政拨款结余等当年结余的分配情况。</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Fonts w:ascii="Arial" w:hAnsi="Arial" w:cs="Times New Roman"/>
          <w:b w:val="0"/>
        </w:rPr>
      </w:pP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Fonts w:ascii="Arial" w:hAnsi="Arial" w:cs="Times New Roman"/>
          <w:b/>
        </w:rPr>
      </w:pPr>
      <w:r>
        <w:rPr>
          <w:rStyle w:val="13"/>
          <w:rFonts w:ascii="Arial" w:hAnsi="Arial" w:cs="Times New Roman"/>
          <w:b w:val="0"/>
        </w:rPr>
        <w:t>（八）年末结转和结余</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Fonts w:ascii="宋体" w:hAnsi="宋体" w:eastAsia="仿宋" w:cs="宋体"/>
          <w:sz w:val="32"/>
          <w:szCs w:val="24"/>
          <w:lang w:val="en-US" w:eastAsia="zh-CN" w:bidi="ar-SA"/>
        </w:rPr>
      </w:pPr>
      <w:r>
        <w:rPr>
          <w:rFonts w:ascii="宋体" w:hAnsi="宋体" w:eastAsia="仿宋" w:cs="宋体"/>
          <w:sz w:val="32"/>
          <w:szCs w:val="24"/>
          <w:lang w:val="en-US" w:eastAsia="zh-CN" w:bidi="ar-SA"/>
        </w:rPr>
        <w:t>指单位结转下年的基本支出结转、项目支出结转和结余、经营结余。</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Fonts w:ascii="Arial" w:hAnsi="Arial" w:cs="Times New Roman"/>
          <w:b/>
        </w:rPr>
      </w:pPr>
      <w:r>
        <w:rPr>
          <w:rStyle w:val="13"/>
          <w:rFonts w:ascii="Arial" w:hAnsi="Arial" w:cs="Times New Roman"/>
          <w:b w:val="0"/>
        </w:rPr>
        <w:t>（九）基本支出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Fonts w:ascii="宋体" w:hAnsi="宋体" w:eastAsia="仿宋" w:cs="宋体"/>
          <w:sz w:val="32"/>
          <w:szCs w:val="24"/>
          <w:lang w:val="en-US" w:eastAsia="zh-CN" w:bidi="ar-SA"/>
        </w:rPr>
      </w:pPr>
      <w:r>
        <w:rPr>
          <w:rFonts w:ascii="宋体" w:hAnsi="宋体" w:eastAsia="仿宋" w:cs="宋体"/>
          <w:sz w:val="32"/>
          <w:szCs w:val="24"/>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Fonts w:ascii="Arial" w:hAnsi="Arial" w:cs="Times New Roman"/>
          <w:b/>
        </w:rPr>
      </w:pPr>
      <w:r>
        <w:rPr>
          <w:rStyle w:val="10"/>
          <w:sz w:val="18"/>
          <w:szCs w:val="18"/>
        </w:rPr>
        <w:t xml:space="preserve">  </w:t>
      </w:r>
      <w:r>
        <w:rPr>
          <w:rStyle w:val="13"/>
          <w:rFonts w:ascii="Arial" w:hAnsi="Arial" w:cs="Times New Roman"/>
          <w:b w:val="0"/>
        </w:rPr>
        <w:t>（十）项目支出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Fonts w:ascii="宋体" w:hAnsi="宋体" w:eastAsia="仿宋" w:cs="宋体"/>
          <w:sz w:val="32"/>
          <w:szCs w:val="24"/>
          <w:lang w:val="en-US" w:eastAsia="zh-CN" w:bidi="ar-SA"/>
        </w:rPr>
      </w:pPr>
      <w:r>
        <w:rPr>
          <w:rFonts w:ascii="宋体" w:hAnsi="宋体" w:eastAsia="仿宋" w:cs="宋体"/>
          <w:sz w:val="32"/>
          <w:szCs w:val="24"/>
          <w:lang w:val="en-US" w:eastAsia="zh-CN" w:bidi="ar-SA"/>
        </w:rPr>
        <w:t>指在基本支出之外为完成特定行政任务和事业发展目标所发生的支出。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Fonts w:ascii="Arial" w:hAnsi="Arial" w:cs="Times New Roman"/>
          <w:b/>
        </w:rPr>
      </w:pPr>
      <w:r>
        <w:rPr>
          <w:rStyle w:val="10"/>
          <w:sz w:val="18"/>
          <w:szCs w:val="18"/>
        </w:rPr>
        <w:t> </w:t>
      </w:r>
      <w:r>
        <w:rPr>
          <w:rStyle w:val="13"/>
          <w:rFonts w:ascii="Arial" w:hAnsi="Arial" w:cs="Times New Roman"/>
          <w:b/>
        </w:rPr>
        <w:t xml:space="preserve"> </w:t>
      </w:r>
      <w:r>
        <w:rPr>
          <w:rStyle w:val="13"/>
          <w:rFonts w:ascii="Arial" w:hAnsi="Arial" w:cs="Times New Roman"/>
          <w:b w:val="0"/>
        </w:rPr>
        <w:t>（十一）经营支出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Fonts w:ascii="宋体" w:hAnsi="宋体" w:eastAsia="仿宋" w:cs="宋体"/>
          <w:sz w:val="32"/>
          <w:szCs w:val="24"/>
          <w:lang w:val="en-US" w:eastAsia="zh-CN" w:bidi="ar-SA"/>
        </w:rPr>
      </w:pPr>
      <w:r>
        <w:rPr>
          <w:rFonts w:ascii="宋体" w:hAnsi="宋体" w:eastAsia="仿宋" w:cs="宋体"/>
          <w:sz w:val="32"/>
          <w:szCs w:val="24"/>
          <w:lang w:val="en-US" w:eastAsia="zh-CN" w:bidi="ar-SA"/>
        </w:rPr>
        <w:t>指事业单位在专业业务活动及其辅助活动之外开展非独立核算经营活动发生的支出。</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78" w:lineRule="exact"/>
        <w:textAlignment w:val="auto"/>
      </w:pPr>
      <w:r>
        <w:t> （十二）“三公”经费</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Fonts w:ascii="宋体" w:hAnsi="宋体" w:eastAsia="仿宋" w:cs="宋体"/>
          <w:sz w:val="32"/>
          <w:szCs w:val="24"/>
          <w:lang w:val="en-US" w:eastAsia="zh-CN" w:bidi="ar-SA"/>
        </w:rPr>
      </w:pPr>
      <w:r>
        <w:rPr>
          <w:rFonts w:ascii="宋体" w:hAnsi="宋体" w:eastAsia="仿宋" w:cs="宋体"/>
          <w:sz w:val="32"/>
          <w:szCs w:val="24"/>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Fonts w:ascii="Arial" w:hAnsi="Arial" w:cs="Times New Roman"/>
          <w:b w:val="0"/>
        </w:rPr>
      </w:pPr>
      <w:r>
        <w:rPr>
          <w:rStyle w:val="13"/>
          <w:rFonts w:ascii="Arial" w:hAnsi="Arial" w:cs="Times New Roman"/>
          <w:b w:val="0"/>
        </w:rPr>
        <w:t>  （十三）机关运行经费</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Fonts w:ascii="宋体" w:hAnsi="宋体" w:eastAsia="仿宋" w:cs="宋体"/>
          <w:sz w:val="32"/>
          <w:szCs w:val="24"/>
          <w:lang w:val="en-US" w:eastAsia="zh-CN" w:bidi="ar-SA"/>
        </w:rPr>
      </w:pPr>
      <w:r>
        <w:rPr>
          <w:rFonts w:ascii="宋体" w:hAnsi="宋体" w:eastAsia="仿宋" w:cs="宋体"/>
          <w:sz w:val="32"/>
          <w:szCs w:val="24"/>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Fonts w:ascii="Arial" w:hAnsi="Arial" w:cs="Times New Roman"/>
          <w:b/>
        </w:rPr>
      </w:pPr>
      <w:r>
        <w:rPr>
          <w:rStyle w:val="13"/>
          <w:rFonts w:ascii="Arial" w:hAnsi="Arial" w:cs="Times New Roman"/>
          <w:b/>
        </w:rPr>
        <w:t xml:space="preserve">  </w:t>
      </w:r>
      <w:r>
        <w:rPr>
          <w:rStyle w:val="13"/>
          <w:rFonts w:ascii="Arial" w:hAnsi="Arial" w:cs="Times New Roman"/>
          <w:b w:val="0"/>
        </w:rPr>
        <w:t>（十四）工资福利支出（支出经济分类科目类级）</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Fonts w:ascii="宋体" w:hAnsi="宋体" w:eastAsia="仿宋" w:cs="宋体"/>
          <w:sz w:val="32"/>
          <w:szCs w:val="24"/>
          <w:lang w:val="en-US" w:eastAsia="zh-CN" w:bidi="ar-SA"/>
        </w:rPr>
      </w:pPr>
      <w:r>
        <w:rPr>
          <w:rFonts w:ascii="宋体" w:hAnsi="宋体" w:eastAsia="仿宋" w:cs="宋体"/>
          <w:sz w:val="32"/>
          <w:szCs w:val="24"/>
          <w:lang w:val="en-US" w:eastAsia="zh-CN" w:bidi="ar-SA"/>
        </w:rPr>
        <w:t>反映单位开支的在职职工和编制外长期聘用人员的各类劳动报酬，以及为上述人员缴纳的各项社会保险费等。</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Fonts w:ascii="Arial" w:hAnsi="Arial" w:cs="Times New Roman"/>
          <w:b w:val="0"/>
        </w:rPr>
      </w:pPr>
      <w:r>
        <w:rPr>
          <w:rStyle w:val="13"/>
          <w:rFonts w:ascii="Arial" w:hAnsi="Arial" w:cs="Times New Roman"/>
          <w:b w:val="0"/>
        </w:rPr>
        <w:t>  （十五）商品和服务支出（支出经济分类科目类级）</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Fonts w:ascii="宋体" w:hAnsi="宋体" w:eastAsia="仿宋" w:cs="宋体"/>
          <w:sz w:val="32"/>
          <w:szCs w:val="24"/>
          <w:lang w:val="en-US" w:eastAsia="zh-CN" w:bidi="ar-SA"/>
        </w:rPr>
      </w:pPr>
      <w:r>
        <w:rPr>
          <w:rFonts w:ascii="宋体" w:hAnsi="宋体" w:eastAsia="仿宋" w:cs="宋体"/>
          <w:sz w:val="32"/>
          <w:szCs w:val="24"/>
          <w:lang w:val="en-US" w:eastAsia="zh-CN" w:bidi="ar-SA"/>
        </w:rPr>
        <w:t>反映单位购买商品和服务的支出（不包括用于购置固定资产的支出、战略性和应急储备支出）。</w:t>
      </w:r>
      <w:bookmarkStart w:id="0" w:name="_GoBack"/>
      <w:bookmarkEnd w:id="0"/>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Fonts w:ascii="Arial" w:hAnsi="Arial" w:cs="Times New Roman"/>
          <w:b w:val="0"/>
        </w:rPr>
      </w:pPr>
      <w:r>
        <w:rPr>
          <w:rStyle w:val="13"/>
          <w:rFonts w:ascii="Arial" w:hAnsi="Arial" w:cs="Times New Roman"/>
          <w:b w:val="0"/>
        </w:rPr>
        <w:t>  （十六）对个人和家庭的补助（支出经济分类科目类级）</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Fonts w:ascii="Arial" w:hAnsi="Arial" w:cs="Times New Roman"/>
          <w:b/>
        </w:rPr>
      </w:pPr>
      <w:r>
        <w:rPr>
          <w:rFonts w:ascii="宋体" w:hAnsi="宋体" w:eastAsia="仿宋" w:cs="宋体"/>
          <w:sz w:val="32"/>
          <w:szCs w:val="24"/>
          <w:lang w:val="en-US" w:eastAsia="zh-CN" w:bidi="ar-SA"/>
        </w:rPr>
        <w:t>反映用于对个人和家庭的补助支出。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Style w:val="13"/>
          <w:rFonts w:ascii="Arial" w:hAnsi="Arial" w:cs="Times New Roman"/>
          <w:b/>
        </w:rPr>
      </w:pPr>
      <w:r>
        <w:rPr>
          <w:rStyle w:val="13"/>
          <w:rFonts w:ascii="Arial" w:hAnsi="Arial" w:cs="Times New Roman"/>
          <w:b w:val="0"/>
        </w:rPr>
        <w:t>（十七）其他资本性支出（支出经济分类科目类级）</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Fonts w:ascii="宋体" w:hAnsi="宋体" w:eastAsia="仿宋" w:cs="宋体"/>
          <w:sz w:val="32"/>
          <w:szCs w:val="24"/>
          <w:lang w:val="en-US" w:eastAsia="zh-CN" w:bidi="ar-SA"/>
        </w:rPr>
      </w:pPr>
      <w:r>
        <w:rPr>
          <w:rFonts w:ascii="宋体" w:hAnsi="宋体" w:eastAsia="仿宋" w:cs="宋体"/>
          <w:sz w:val="32"/>
          <w:szCs w:val="24"/>
          <w:lang w:val="en-US" w:eastAsia="zh-CN" w:bidi="ar-SA"/>
        </w:rPr>
        <w:t>反映非各级</w:t>
      </w:r>
      <w:r>
        <w:rPr>
          <w:rStyle w:val="13"/>
          <w:rFonts w:ascii="Arial" w:hAnsi="Arial" w:cs="Times New Roman"/>
          <w:b w:val="0"/>
          <w:lang w:val="en-US" w:eastAsia="zh-CN"/>
        </w:rPr>
        <w:t>发展</w:t>
      </w:r>
      <w:r>
        <w:rPr>
          <w:rFonts w:ascii="宋体" w:hAnsi="宋体" w:eastAsia="仿宋" w:cs="宋体"/>
          <w:sz w:val="32"/>
          <w:szCs w:val="24"/>
          <w:lang w:val="en-US" w:eastAsia="zh-CN" w:bidi="ar-SA"/>
        </w:rPr>
        <w:t>与改革部门集中安排的用于购置固定资产、战略性和应急性储备、土地和无形资产，以及构建基础设施、大型修缮和财政支持企业更新改造所发生的支出。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七、决算公开联系方式及信息反馈渠道</w:t>
      </w:r>
    </w:p>
    <w:p>
      <w:pPr>
        <w:pageBreakBefore w:val="0"/>
        <w:widowControl/>
        <w:kinsoku/>
        <w:wordWrap/>
        <w:overflowPunct/>
        <w:topLinePunct w:val="0"/>
        <w:autoSpaceDE/>
        <w:autoSpaceDN/>
        <w:bidi w:val="0"/>
        <w:adjustRightInd/>
        <w:snapToGrid/>
        <w:spacing w:beforeAutospacing="0" w:afterAutospacing="0" w:line="578" w:lineRule="exact"/>
        <w:textAlignment w:val="auto"/>
        <w:rPr>
          <w:rFonts w:hint="default"/>
          <w:lang w:val="en-US" w:eastAsia="zh-CN"/>
        </w:rPr>
      </w:pPr>
      <w:r>
        <w:rPr>
          <w:lang w:val="en-US" w:eastAsia="zh-CN"/>
        </w:rPr>
        <w:t>本单位决算公开信息反馈和联系方式：</w:t>
      </w:r>
      <w:r>
        <w:rPr>
          <w:rFonts w:hint="eastAsia"/>
          <w:lang w:val="en-US" w:eastAsia="zh-CN"/>
        </w:rPr>
        <w:t>023-55311008</w:t>
      </w:r>
    </w:p>
    <w:sectPr>
      <w:pgSz w:w="11907" w:h="16840"/>
      <w:pgMar w:top="2098"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kinsoku/>
                            <w:wordWrap/>
                            <w:overflowPunct/>
                            <w:topLinePunct w:val="0"/>
                            <w:bidi w:val="0"/>
                            <w:adjustRightInd/>
                            <w:snapToGrid w:val="0"/>
                            <w:ind w:left="320" w:leftChars="100" w:right="320" w:rightChars="100" w:firstLine="0" w:firstLineChars="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keepNext w:val="0"/>
                      <w:keepLines w:val="0"/>
                      <w:pageBreakBefore w:val="0"/>
                      <w:widowControl/>
                      <w:kinsoku/>
                      <w:wordWrap/>
                      <w:overflowPunct/>
                      <w:topLinePunct w:val="0"/>
                      <w:bidi w:val="0"/>
                      <w:adjustRightInd/>
                      <w:snapToGrid w:val="0"/>
                      <w:ind w:left="320" w:leftChars="100" w:right="320" w:rightChars="100" w:firstLine="0" w:firstLineChars="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ZGQwOGI4ZWM2NDA3Yjc1MjI5M2MyYmY1OTIxNDAifQ=="/>
  </w:docVars>
  <w:rsids>
    <w:rsidRoot w:val="00071E38"/>
    <w:rsid w:val="00071E38"/>
    <w:rsid w:val="00CF5500"/>
    <w:rsid w:val="02EB05EB"/>
    <w:rsid w:val="03786C4D"/>
    <w:rsid w:val="07CA4C73"/>
    <w:rsid w:val="07F25F78"/>
    <w:rsid w:val="08216783"/>
    <w:rsid w:val="08A96637"/>
    <w:rsid w:val="09644C54"/>
    <w:rsid w:val="09684744"/>
    <w:rsid w:val="0A2E10A2"/>
    <w:rsid w:val="0AB3379D"/>
    <w:rsid w:val="0AFD13B4"/>
    <w:rsid w:val="0B460AB5"/>
    <w:rsid w:val="0C322DE7"/>
    <w:rsid w:val="0C5C1C12"/>
    <w:rsid w:val="0DC45CC1"/>
    <w:rsid w:val="0EF645A0"/>
    <w:rsid w:val="0F0A004B"/>
    <w:rsid w:val="0F621C35"/>
    <w:rsid w:val="11500B11"/>
    <w:rsid w:val="129E4D32"/>
    <w:rsid w:val="13FA68E0"/>
    <w:rsid w:val="141B4722"/>
    <w:rsid w:val="143A241B"/>
    <w:rsid w:val="14551D69"/>
    <w:rsid w:val="147521FD"/>
    <w:rsid w:val="14B7657F"/>
    <w:rsid w:val="16797F90"/>
    <w:rsid w:val="17A6349E"/>
    <w:rsid w:val="184C3483"/>
    <w:rsid w:val="19706CFD"/>
    <w:rsid w:val="197113F3"/>
    <w:rsid w:val="1A172319"/>
    <w:rsid w:val="1A1D232C"/>
    <w:rsid w:val="1AF000F5"/>
    <w:rsid w:val="1D722E36"/>
    <w:rsid w:val="1D9E652E"/>
    <w:rsid w:val="1E1D33FD"/>
    <w:rsid w:val="1F8C62DE"/>
    <w:rsid w:val="1FDC6E9A"/>
    <w:rsid w:val="215C64E4"/>
    <w:rsid w:val="21CE36A2"/>
    <w:rsid w:val="244761C1"/>
    <w:rsid w:val="25207829"/>
    <w:rsid w:val="25B52667"/>
    <w:rsid w:val="2604714B"/>
    <w:rsid w:val="26600825"/>
    <w:rsid w:val="27862514"/>
    <w:rsid w:val="27A07406"/>
    <w:rsid w:val="2A2B114A"/>
    <w:rsid w:val="2BF832AE"/>
    <w:rsid w:val="2C6941AB"/>
    <w:rsid w:val="2D4F33A1"/>
    <w:rsid w:val="2E1A575D"/>
    <w:rsid w:val="2E9279E9"/>
    <w:rsid w:val="2F03610E"/>
    <w:rsid w:val="313A786B"/>
    <w:rsid w:val="31454BB2"/>
    <w:rsid w:val="31EF00AB"/>
    <w:rsid w:val="322F72FD"/>
    <w:rsid w:val="332A2381"/>
    <w:rsid w:val="33745910"/>
    <w:rsid w:val="3467738C"/>
    <w:rsid w:val="366A36E2"/>
    <w:rsid w:val="36F01751"/>
    <w:rsid w:val="3885411B"/>
    <w:rsid w:val="39253208"/>
    <w:rsid w:val="39484BDA"/>
    <w:rsid w:val="39A3157C"/>
    <w:rsid w:val="3A6D30B9"/>
    <w:rsid w:val="3B44392A"/>
    <w:rsid w:val="3B624050"/>
    <w:rsid w:val="3C0B2B89"/>
    <w:rsid w:val="3C2C7ADB"/>
    <w:rsid w:val="3D453E79"/>
    <w:rsid w:val="3F741D81"/>
    <w:rsid w:val="4018579F"/>
    <w:rsid w:val="40F938F8"/>
    <w:rsid w:val="41382C4E"/>
    <w:rsid w:val="43081BD1"/>
    <w:rsid w:val="44081DFE"/>
    <w:rsid w:val="44613C8E"/>
    <w:rsid w:val="44E87F0C"/>
    <w:rsid w:val="46823D26"/>
    <w:rsid w:val="46B5206F"/>
    <w:rsid w:val="475A0E14"/>
    <w:rsid w:val="491E6E76"/>
    <w:rsid w:val="496E6505"/>
    <w:rsid w:val="4A1C2405"/>
    <w:rsid w:val="4BBC5C4E"/>
    <w:rsid w:val="4C8C73CE"/>
    <w:rsid w:val="4D924EB8"/>
    <w:rsid w:val="4DAE5A6A"/>
    <w:rsid w:val="4EF13E61"/>
    <w:rsid w:val="50355FCF"/>
    <w:rsid w:val="51986815"/>
    <w:rsid w:val="526D1A50"/>
    <w:rsid w:val="56E123C8"/>
    <w:rsid w:val="56EF3045"/>
    <w:rsid w:val="58466FCB"/>
    <w:rsid w:val="5A24333C"/>
    <w:rsid w:val="5A664FF1"/>
    <w:rsid w:val="5A8A7FA1"/>
    <w:rsid w:val="5D282C1A"/>
    <w:rsid w:val="5E167440"/>
    <w:rsid w:val="5F23041B"/>
    <w:rsid w:val="5FB321AC"/>
    <w:rsid w:val="62214605"/>
    <w:rsid w:val="63086055"/>
    <w:rsid w:val="632048BD"/>
    <w:rsid w:val="64191A38"/>
    <w:rsid w:val="645E0594"/>
    <w:rsid w:val="6870599E"/>
    <w:rsid w:val="69362744"/>
    <w:rsid w:val="69A2602B"/>
    <w:rsid w:val="6A657D8C"/>
    <w:rsid w:val="6A6D6639"/>
    <w:rsid w:val="6B6C069F"/>
    <w:rsid w:val="6C345486"/>
    <w:rsid w:val="6D1C3CA6"/>
    <w:rsid w:val="6E250FD9"/>
    <w:rsid w:val="6FDB2297"/>
    <w:rsid w:val="71335486"/>
    <w:rsid w:val="71B16CAF"/>
    <w:rsid w:val="71D90A58"/>
    <w:rsid w:val="72247F25"/>
    <w:rsid w:val="72EB0A43"/>
    <w:rsid w:val="736C40C2"/>
    <w:rsid w:val="73D03795"/>
    <w:rsid w:val="74220495"/>
    <w:rsid w:val="74546174"/>
    <w:rsid w:val="76490E23"/>
    <w:rsid w:val="76816FC9"/>
    <w:rsid w:val="7722255A"/>
    <w:rsid w:val="77CD6969"/>
    <w:rsid w:val="7840713B"/>
    <w:rsid w:val="78654DF4"/>
    <w:rsid w:val="790F6B0E"/>
    <w:rsid w:val="791E6A30"/>
    <w:rsid w:val="7A3525A4"/>
    <w:rsid w:val="7B423EC2"/>
    <w:rsid w:val="7BDD2EF3"/>
    <w:rsid w:val="7CAF663E"/>
    <w:rsid w:val="7EE1483C"/>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8" w:lineRule="exact"/>
      <w:ind w:firstLine="720" w:firstLineChars="200"/>
    </w:pPr>
    <w:rPr>
      <w:rFonts w:ascii="宋体" w:hAnsi="宋体" w:eastAsia="方正仿宋_GBK" w:cs="宋体"/>
      <w:sz w:val="32"/>
      <w:szCs w:val="24"/>
      <w:lang w:val="en-US" w:eastAsia="zh-CN" w:bidi="ar-SA"/>
    </w:rPr>
  </w:style>
  <w:style w:type="paragraph" w:styleId="2">
    <w:name w:val="heading 1"/>
    <w:basedOn w:val="1"/>
    <w:next w:val="1"/>
    <w:link w:val="14"/>
    <w:qFormat/>
    <w:uiPriority w:val="9"/>
    <w:pPr>
      <w:keepNext/>
      <w:keepLines/>
      <w:spacing w:before="340" w:beforeLines="0" w:beforeAutospacing="0" w:after="330" w:afterLines="0" w:afterAutospacing="0" w:line="720" w:lineRule="exact"/>
      <w:outlineLvl w:val="0"/>
    </w:pPr>
    <w:rPr>
      <w:rFonts w:eastAsia="方正黑体_GBK"/>
      <w:kern w:val="44"/>
    </w:rPr>
  </w:style>
  <w:style w:type="paragraph" w:styleId="3">
    <w:name w:val="heading 2"/>
    <w:basedOn w:val="1"/>
    <w:next w:val="1"/>
    <w:link w:val="13"/>
    <w:unhideWhenUsed/>
    <w:qFormat/>
    <w:uiPriority w:val="9"/>
    <w:pPr>
      <w:keepNext/>
      <w:keepLines/>
      <w:spacing w:before="260" w:beforeLines="0" w:beforeAutospacing="0" w:after="260" w:afterLines="0" w:afterAutospacing="0" w:line="720" w:lineRule="exact"/>
      <w:outlineLvl w:val="1"/>
    </w:pPr>
    <w:rPr>
      <w:rFonts w:ascii="Arial" w:hAnsi="Arial" w:eastAsia="方正楷体_GBK"/>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semiHidden/>
    <w:unhideWhenUsed/>
    <w:qFormat/>
    <w:uiPriority w:val="99"/>
    <w:pPr>
      <w:tabs>
        <w:tab w:val="center" w:pos="4153"/>
        <w:tab w:val="right" w:pos="8306"/>
      </w:tabs>
      <w:snapToGrid w:val="0"/>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style>
  <w:style w:type="character" w:styleId="10">
    <w:name w:val="Strong"/>
    <w:basedOn w:val="9"/>
    <w:qFormat/>
    <w:uiPriority w:val="22"/>
    <w:rPr>
      <w:b/>
      <w:bCs/>
    </w:rPr>
  </w:style>
  <w:style w:type="character" w:customStyle="1" w:styleId="11">
    <w:name w:val="页眉 Char"/>
    <w:basedOn w:val="9"/>
    <w:link w:val="6"/>
    <w:semiHidden/>
    <w:qFormat/>
    <w:uiPriority w:val="99"/>
    <w:rPr>
      <w:rFonts w:ascii="宋体" w:hAnsi="宋体" w:eastAsia="宋体" w:cs="宋体"/>
      <w:sz w:val="18"/>
      <w:szCs w:val="18"/>
    </w:rPr>
  </w:style>
  <w:style w:type="character" w:customStyle="1" w:styleId="12">
    <w:name w:val="页脚 Char"/>
    <w:basedOn w:val="9"/>
    <w:link w:val="5"/>
    <w:semiHidden/>
    <w:qFormat/>
    <w:uiPriority w:val="99"/>
    <w:rPr>
      <w:rFonts w:ascii="宋体" w:hAnsi="宋体" w:eastAsia="宋体" w:cs="宋体"/>
      <w:sz w:val="18"/>
      <w:szCs w:val="18"/>
    </w:rPr>
  </w:style>
  <w:style w:type="character" w:customStyle="1" w:styleId="13">
    <w:name w:val="标题 2 Char"/>
    <w:link w:val="3"/>
    <w:qFormat/>
    <w:uiPriority w:val="0"/>
    <w:rPr>
      <w:rFonts w:ascii="Arial" w:hAnsi="Arial" w:eastAsia="方正楷体_GBK"/>
      <w:sz w:val="32"/>
    </w:rPr>
  </w:style>
  <w:style w:type="character" w:customStyle="1" w:styleId="14">
    <w:name w:val="标题 1 Char"/>
    <w:link w:val="2"/>
    <w:qFormat/>
    <w:uiPriority w:val="0"/>
    <w:rPr>
      <w:rFonts w:eastAsia="方正黑体_GBK"/>
      <w:kern w:val="44"/>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5976</Words>
  <Characters>6732</Characters>
  <Lines>16</Lines>
  <Paragraphs>19</Paragraphs>
  <TotalTime>33</TotalTime>
  <ScaleCrop>false</ScaleCrop>
  <LinksUpToDate>false</LinksUpToDate>
  <CharactersWithSpaces>6827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2022-10-23T18:11:00Z</dcterms:created>
  <dc:creator>郭雨璐</dc:creator>
  <cp:lastModifiedBy>幽</cp:lastModifiedBy>
  <cp:lastPrinted>2022-10-25T08:39:00Z</cp:lastPrinted>
  <dcterms:modified xsi:type="dcterms:W3CDTF">2023-11-08T12:11:35Z</dcterms:modified>
  <dc:title>公开报告模板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5CC4E54C780A4E049AEAAA69DF139BCB</vt:lpwstr>
  </property>
</Properties>
</file>