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云阳县</w:t>
      </w:r>
      <w:r>
        <w:rPr>
          <w:rFonts w:hint="eastAsia" w:ascii="方正小标宋_GBK" w:hAnsi="方正小标宋_GBK" w:eastAsia="方正小标宋_GBK" w:cs="方正小标宋_GBK"/>
          <w:b w:val="0"/>
          <w:bCs w:val="0"/>
          <w:sz w:val="44"/>
          <w:szCs w:val="44"/>
          <w:lang w:val="en-US" w:eastAsia="zh-CN"/>
        </w:rPr>
        <w:t>宝坪镇人民政府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年度部门决算情况说明</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0" w:firstLineChars="0"/>
        <w:textAlignment w:val="auto"/>
        <w:rPr>
          <w:rFonts w:hint="eastAsia"/>
          <w:lang w:val="en-US" w:eastAsia="zh-CN"/>
        </w:rPr>
      </w:pPr>
      <w:r>
        <w:rPr>
          <w:rFonts w:hint="eastAsia"/>
        </w:rPr>
        <w:t xml:space="preserve"> </w:t>
      </w:r>
      <w:r>
        <w:rPr>
          <w:rFonts w:hint="eastAsia"/>
          <w:lang w:val="en-US" w:eastAsia="zh-CN"/>
        </w:rPr>
        <w:t xml:space="preserve">  </w:t>
      </w:r>
      <w:bookmarkStart w:id="0" w:name="_GoBack"/>
      <w:bookmarkEnd w:id="0"/>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Fonts w:hint="eastAsia"/>
        </w:rPr>
      </w:pPr>
      <w:r>
        <w:rPr>
          <w:rFonts w:hint="eastAsia"/>
        </w:rPr>
        <w:t>一</w:t>
      </w:r>
      <w:r>
        <w:rPr>
          <w:rFonts w:hint="eastAsia" w:ascii="方正黑体_GBK" w:hAnsi="方正黑体_GBK" w:eastAsia="方正黑体_GBK" w:cs="方正黑体_GBK"/>
        </w:rPr>
        <w:t>、部门基本情况</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eastAsia" w:ascii="方正楷体_GBK" w:hAnsi="方正楷体_GBK" w:eastAsia="方正楷体_GBK" w:cs="方正楷体_GBK"/>
          <w:sz w:val="32"/>
          <w:szCs w:val="32"/>
        </w:rPr>
      </w:pPr>
      <w:r>
        <w:rPr>
          <w:rStyle w:val="13"/>
          <w:rFonts w:hint="eastAsia" w:ascii="方正楷体_GBK" w:hAnsi="方正楷体_GBK" w:eastAsia="方正楷体_GBK" w:cs="方正楷体_GBK"/>
          <w:sz w:val="32"/>
          <w:szCs w:val="32"/>
        </w:rPr>
        <w:t>（一）职能职责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1.负责综合协调、文电、会务、机要、档案等机关日常运转工作。承担重要文稿起草、交办督办、信息、政务公开、电子政务等工作。</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2.负责党的建设、纪检、宣传、统战、武装、机构编制、干部人事、民宗侨台、群团等职责。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3.负责乡镇人民代表大会、主席团履行法定职权职责的具体工作，组织人大代表视察、调研、评议等活动，收集、整理、交办代表建议等职责。  </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4.负责经济发展规划、农村经营管理、经济社会统计等职责。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5.负责民政、教育、卫生、计生、老龄、文化、体育、社会救助、残疾人事业、劳动就业、社会保障、退役军人管理等职责。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6.负责信访、人民调解、社会治安综合治理、防范和处理邪教等职责。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7.负责村镇规划、村镇建设、市政公用、市容环卫、环境保护等职责。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8.负责财政收支、预决算、总会计、惠农资金兑付、财政资金监督检查、绩效管理、村级财务管理等职责。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9.负责安全生产宣传教育和综合监管，协助开展矿山、危险化学品、烟花爆竹等安全生产日常监管工作，食品药品监督管理，应急管理等职责。</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10.集中行使依法授权或委托的行政执法权。具体集中行使依法授权或委托的农林水利、规划建设、环境保护、卫生计生、文化旅游、民政管理、道路交通等领域的行政执法权。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（二）机构设置</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lang w:val="en-US" w:eastAsia="zh-CN"/>
        </w:rPr>
      </w:pPr>
      <w:r>
        <w:rPr>
          <w:rFonts w:hint="eastAsia" w:ascii="方正仿宋_GBK" w:hAnsi="方正仿宋_GBK" w:eastAsia="方正仿宋_GBK" w:cs="方正仿宋_GBK"/>
          <w:lang w:val="en-US" w:eastAsia="zh-CN"/>
        </w:rPr>
        <w:t>云阳县宝坪镇人民政府内设机构10个。分别为：党政办公室、党群工作办公室、人民代表大会办公室、经济发展办公室、民政和社会事务办公室、平安建设办公室、规划建设管理环保办公室、财政办公室、应急管理办公室、综合行政执法办公室。下设5个直属事业单位，分别为宝坪镇农业服务中心，宝坪镇文化服务中心，宝坪镇劳动就业和社会保障服务所，宝坪镇退役军人服务站，宝坪镇综合行政执法大队。</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（三）单位构成</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从预算单位构成看，纳入本部门2022年度决算编制的二级预算单位主要包括宝坪镇人民政府（本级）、宝坪镇农业服务中心，宝坪镇文化服务中心，宝坪镇劳动就业和社会保障服务所，宝坪镇退役军人服务站，宝坪镇综合行政执法大队6个单位。</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二、部门决算情况说明</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（一）收入支出决算总体情况说明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总体情况。本部门2022年度收入总计4736.5万元，支出总计5392.27万元。与2021年决算数相比，收入减少325.88万元、减少6.43%，主要原因是2022年受疫情影响财政收入减少，单位厉行节约压缩人员开支，农业农村新建项目较上年减少，一般公共预算收入减少。支出减少523.39万元、减少8.85%，主要原因是本年财政压力较大，财政支出紧张，压缩单位运转经费人员经费，水利设施等项目周期长未完工故支出减少。</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收入情况。本部门2022年一般公共预算财政拨款4341.91万元，2021年一般公共预算财政拨款4854.94万元，比上年减少513.03万元，同比减少10.57%，主要原因为县内调出人员、退休人员增加，相应人员经费减少，预算项目数减少，单位厉行节约压缩人员开支。本部门2022年政府性基金预算财政拨款394.59万元，2021年政府性基金预算财政拨款207.44万元，比上年增加187.15万元，同比增加90.22%，主要原因为政府性基金项目数同比增加，主要为水利等政府性基金项目，相应收入增加。</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支出情况。本部门2022年度支出合计5392.27万元，较上年决算数减少523.39万元，减少8.85%。其中：基本支出1750.33万元，占32.46%；项目支出3641.94万元，占67.54%，支出减少主要有水利项目资金125.32万元，国有土地使用权出让收入安排的支出减少398.07万元。</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结转结余情况。本部门2022年度年末结转和结余106.45万元，较上年减少817.72万元，减少88.48%。主要原因是本年积极优化存量资金使用，优先使用结转结余资金，“去存量”，“化库存”，相关项目施工进度加快，项目资金拨付及时。</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（二）财政拨款收入支出决算总体情况说明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本部门2022年度收入总计4736.5万元，支出总计5392.27万元。与2021年决算数相比，收入减少325.88万元、减少6.43%，主要原因是2022年受疫情影响财政收入减少，单位厉行节约压缩人员开支，农业农村新建项目较上年减少，一般公共预算收入减少。支出减少523.39万元、减少8.85%，主要原因是本年财政压力较大，财政支出紧张，压缩单位运转经费人员经费，水利设施等项目周期长未完工故支出减少。</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（三）一般公共预算财政拨款收入支出决算情况说明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1.收入情况。宝坪镇2022年一般公共预算财政拨款收入4341.91万元，较上年决算数减少513.03万元，下降10.57%。主要原因是财政收入减少、县内调出人员增加，单位厉行节约、精简开支，相应人员经费减少。较年初预算数增加1227.87万元，增长39.43%。主要原因是委托评审业务费、机构相关运行追加预算等。此外，年初财政拨款结转结余924.17万元。    </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支出情况。本部门2022年度一般公共预算财政拨款支出合计4941.26万元，较上年决算数增加464.96万元，增加10.39%。主要原因是本年财政压力较大，财政支出紧张，压缩单位运转经费人员经费，水利设施等项目周期长未完工故支出减少。</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结转结余情况。本部门2022年度年末结转和结余106.45万元，较上年减少817.72万元，减少88.48%，主要原因是本年积极优化存量资金使用，优先使用结转结余资金，“去存量”，“化库存”，相关项目施工进度加快，项目资金拨付及时。</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4.比较情况。本部门2022年度一般公共预算财政拨款支出主要用于以下几个方面：</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（1）一般公共服务支出1094.02万元，占22.14%，较年初预算数减少225.88万元，下降17.11%，主要原因是政府厉行节约，相关公共服务支出减少。</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（2）公共安全支出7.1万元，占0.14%，较年初预算数增加3.36万元，主要原因是新冠疫情影响保证人民身体健康支出增加。</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（3）文化旅游体育与传媒支出66.81万元，占1.35%，较年初预算数减少8.93万元，减少11.79%，主要原因是全年厉行节约，压缩宣传文化开支。</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（4）社会保障与就业支出2242.49万元，占45.38%，较年初预算数增加654.43万元，增长29.18%，主要原因是保障本镇生活困难群众的基本生活水平年中追加预算。</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（5）卫生健康支出129.72万元，占2.63%，较年初预算数减少5.03万元，减少3.73%，主要原因是下半年疫情总体可控相关卫生支出减少。</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（6）城乡社区支出31.94万元，占0.65%，较年初预算数减少61.39万元，减少65.78%，主要原因是全年实际执行情况中城乡社区支出较小。</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（7）农林水支出1129.98万元，占22.87%，较年初预算数增加491.64万元，增加77.02%，主要原因是新增水利建设等项目支出增加。</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（8）住房保障支出72.39万元，占1.47%，较年初预算数增加4.16万元，增长6.09%，主要原因是保障居民住房支出增加。</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（9）灾害防治及应急管理支出25.35万元，占0.51%，较年初预算数增加0.15万元，增长0.29%，主要原因是本年度灾害防治及应急管理到位，总体增幅较小。</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（四）一般公共预算财政拨款基本支出决算情况说明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度一般公共财政拨款基本支出1750.33万元。其中：人员经费1482.54万元，较上年决算数增加104.18万元，增加7.56%，主要原因是本单位有人员调入，有新增用编人员，相应人员经费增加。人员经费用途主要包括工资福利支出1373.04万元，对个人和家庭的支出109.49万元，生活补助104.69万元。公用经费267.79万元，较上年决算数增加16.1万元，增加6.39%，主要原因是商品和服务费用支出，差旅费，其他交通费用增加。公用经费用途主要包括商品和服务支出266.3万元，差旅费30.44万元，其他交通费用27.34万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（五）政府性基金预算收支决算情况说明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lang w:val="en-US" w:eastAsia="zh-CN"/>
        </w:rPr>
        <w:t>宝坪镇2022年政府性基金预算财政拨款收入394.59万元，2021年政府性基金预算财政拨款收入207.44万元，比上年增加187.15万元，同比增加90.22%，主要原因为国家重大水利工程建设基金安排的支出增加。宝坪镇2022年政府性基金预算财政拨款支出451.01万元，2021年政府性基金预算财政拨款支出1439.36万元，比上年减少988.35万元，同比减少68.67%，主要原因为本年度政府性基金项目收入减少，有些项目建设周期长，尚未完工，故相应支出减少。</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（六）国有资本经营预算财政拨款支出决算情况说明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2022年度国有资本经营预算财政拨款支出合计0.00万元。</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本部门2022年度无国有资本经营预算财政拨款支出。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黑体_GBK" w:hAnsi="方正黑体_GBK" w:eastAsia="方正黑体_GBK" w:cs="方正黑体_GBK"/>
          <w:kern w:val="44"/>
          <w:sz w:val="32"/>
          <w:szCs w:val="24"/>
          <w:lang w:val="en-US" w:eastAsia="zh-CN" w:bidi="ar-SA"/>
        </w:rPr>
      </w:pPr>
      <w:r>
        <w:rPr>
          <w:rFonts w:hint="eastAsia" w:ascii="方正黑体_GBK" w:hAnsi="方正黑体_GBK" w:eastAsia="方正黑体_GBK" w:cs="方正黑体_GBK"/>
          <w:kern w:val="44"/>
          <w:sz w:val="32"/>
          <w:szCs w:val="24"/>
          <w:lang w:val="en-US" w:eastAsia="zh-CN" w:bidi="ar-SA"/>
        </w:rPr>
        <w:t xml:space="preserve"> 三、“三公”经费情况说明</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（一）“三公”经费支出总体情况说明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2022年度本部门“三公”经费支出共计5.38万元，较2021年“三公”经费支出减少3.72万元，减少40.88%，主要原因是认真贯彻落实中央八项规定精神和厉行节约要求，压缩“三公”经费支出，保持勤俭节约。</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（二）“三公”经费分项支出情况</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2022年度本部门因公出国（境）费用0.00万元，未安排单位人员出国出访。</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公务车购置费0.00万元，2022年未新购公务用车。</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务车运行维护费3.32万元，主要用于机要文件交换、市内因公出行、财政业务检查等工作所需车辆的燃料费、维修费、过桥过路费、保险费等，费用支出较上年支出数减少0.14万元，主要原因是全单位厉行节约，公务用车保养得当，党政办严格落实公务用车使用登记制度，故公务用车运行维护费用降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务接待费2.06万元，主要用于双晒活动、公务接待等支出，费用支出较上年支出数减少3.58万元，主要原因是全单位贯彻落实中央八项规定、厉行节约，减少相应公务接待活动，压缩公务接待费用，故公务接待费用减少。</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（三）“三公”经费实物量情况</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rPr>
      </w:pPr>
      <w:r>
        <w:rPr>
          <w:rFonts w:hint="eastAsia" w:ascii="方正仿宋_GBK" w:hAnsi="方正仿宋_GBK" w:eastAsia="方正仿宋_GBK" w:cs="方正仿宋_GBK"/>
          <w:lang w:val="en-US" w:eastAsia="zh-CN"/>
        </w:rPr>
        <w:t>2022年本部门因公出国（境）共计0个团组，0人；公务用车购置0辆，公务车保有量为2辆；国内公务接待36批次，386人，其中：国内外事接待0批次，0人；国（境）外公务接待0批次，0人。2022年本部门人均接待费146.14元，车均购置费0.00万元，车均维护费1.66万元</w:t>
      </w:r>
      <w:r>
        <w:rPr>
          <w:rFonts w:hint="eastAsia"/>
        </w:rPr>
        <w:t>。</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rPr>
      </w:pPr>
    </w:p>
    <w:p>
      <w:pPr>
        <w:pStyle w:val="7"/>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78" w:lineRule="exact"/>
        <w:ind w:leftChars="0" w:firstLine="640" w:firstLineChars="200"/>
        <w:textAlignment w:val="auto"/>
        <w:rPr>
          <w:rFonts w:hint="eastAsia" w:ascii="方正黑体_GBK" w:hAnsi="方正黑体_GBK" w:eastAsia="方正黑体_GBK" w:cs="方正黑体_GBK"/>
          <w:kern w:val="44"/>
          <w:sz w:val="32"/>
          <w:szCs w:val="24"/>
          <w:lang w:val="en-US" w:eastAsia="zh-CN" w:bidi="ar-SA"/>
        </w:rPr>
      </w:pPr>
      <w:r>
        <w:rPr>
          <w:rFonts w:hint="eastAsia" w:ascii="方正黑体_GBK" w:hAnsi="方正黑体_GBK" w:eastAsia="方正黑体_GBK" w:cs="方正黑体_GBK"/>
          <w:kern w:val="44"/>
          <w:sz w:val="32"/>
          <w:szCs w:val="24"/>
          <w:lang w:val="en-US" w:eastAsia="zh-CN" w:bidi="ar-SA"/>
        </w:rPr>
        <w:t>四、 其他需要说明的事项</w:t>
      </w:r>
    </w:p>
    <w:p>
      <w:pPr>
        <w:pStyle w:val="3"/>
        <w:pageBreakBefore w:val="0"/>
        <w:widowControl/>
        <w:numPr>
          <w:numId w:val="0"/>
        </w:numPr>
        <w:kinsoku/>
        <w:wordWrap/>
        <w:overflowPunct/>
        <w:topLinePunct w:val="0"/>
        <w:autoSpaceDE/>
        <w:autoSpaceDN/>
        <w:bidi w:val="0"/>
        <w:adjustRightInd/>
        <w:snapToGrid/>
        <w:spacing w:before="0" w:beforeLines="0" w:beforeAutospacing="0" w:after="0" w:afterLines="0" w:afterAutospacing="0" w:line="578" w:lineRule="exact"/>
        <w:ind w:leftChars="0" w:firstLine="640" w:firstLineChars="200"/>
        <w:textAlignment w:val="auto"/>
        <w:rPr>
          <w:rFonts w:hint="default"/>
          <w:highlight w:val="none"/>
          <w:lang w:val="en-US" w:eastAsia="zh-CN"/>
        </w:rPr>
      </w:pPr>
      <w:r>
        <w:rPr>
          <w:rStyle w:val="10"/>
          <w:rFonts w:hint="eastAsia" w:ascii="方正楷体_GBK" w:hAnsi="方正楷体_GBK" w:eastAsia="方正楷体_GBK" w:cs="方正楷体_GBK"/>
          <w:b w:val="0"/>
          <w:bCs w:val="0"/>
          <w:sz w:val="32"/>
          <w:szCs w:val="32"/>
          <w:highlight w:val="none"/>
          <w:lang w:val="en-US" w:eastAsia="zh-CN" w:bidi="ar-SA"/>
        </w:rPr>
        <w:t>（一）财政拨款会议费和培训费情况说明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因倡导厉行节约且财政拨款有限原因，财政未保障我单位会议费。2022年本部门培训费支出1.01万元，主要用于安排单位人员外出交流学习培训，提高业务综合能力支出。</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（二）机关运行经费支出情况说明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本部门机关运行经费支出183.16万元，主要用于维持机关日常办公产生的相关支出，如办公费、差旅费、会议费、培训费、印刷费、水费、电费等。机关运行经费较2021年减少29.77万元，主要原因是办公费、会议费、水费和维护（修）费减少，单位勤俭节约意识加强。</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本年度一般公共预算财政拨款会议费支出0万元。本年度一般公共预算财政拨款培训费支出1.01万元。</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（三）国有资产占用情况说明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截至2022年12月31日，本部门共有车辆2辆，其中，部级领导干部用车0辆、一般公务用车2辆、一般执法执勤用车0辆、特种专业技术用车0辆、其他用车0辆。单价50万元以上通用设备0台（套），单价100万元以上专用设备0台（套）。  </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（四）政府采购支出情况说明</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2022年本部门政府采购支出总额345.68万元。其中：政府采购货物支出0万元、政府采购工程支出345.68万元、政府采购服务支出0万元。</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方正黑体_GBK" w:hAnsi="方正黑体_GBK" w:eastAsia="方正黑体_GBK" w:cs="方正黑体_GBK"/>
          <w:kern w:val="44"/>
          <w:sz w:val="32"/>
          <w:szCs w:val="24"/>
          <w:lang w:val="en-US" w:eastAsia="zh-CN" w:bidi="ar-SA"/>
        </w:rPr>
      </w:pPr>
      <w:r>
        <w:rPr>
          <w:rFonts w:hint="eastAsia" w:ascii="方正黑体_GBK" w:hAnsi="方正黑体_GBK" w:eastAsia="方正黑体_GBK" w:cs="方正黑体_GBK"/>
          <w:kern w:val="44"/>
          <w:sz w:val="32"/>
          <w:szCs w:val="24"/>
          <w:lang w:val="en-US" w:eastAsia="zh-CN" w:bidi="ar-SA"/>
        </w:rPr>
        <w:t>五、预算绩效管理情况说明</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（一）预算绩效管理工作开展情况</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预算绩效管理要求，我镇对部门整体绩效和151个项目开展了绩效自评，其中，已填报目标自评表形式开展自评151项，涉及资金6238.47万元，从评价情况来看，2022年，宝坪镇着力以提升财政资金绩效为主线，以绩效目标实现为导向，以财政支出绩效评价为手段，以评价结果应用为保障，建立完善预算绩效管理体系，积极推进预算绩效管理工作。牢固树立“讲绩效、重绩效、用绩效”“花钱必问效、无效必问责”的绩效管理理念，进一步增强支出责任和效率意识，全面加强预算管理，优化资源配置，提高财政资金使用绩效和科学精细化管理水平。</w:t>
      </w:r>
    </w:p>
    <w:p>
      <w:pPr>
        <w:pStyle w:val="3"/>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Fonts w:hint="eastAsia" w:ascii="方正仿宋_GBK" w:hAnsi="方正仿宋_GBK" w:eastAsia="方正仿宋_GBK" w:cs="方正仿宋_GBK"/>
          <w:lang w:val="en-US" w:eastAsia="zh-CN"/>
        </w:rPr>
      </w:pPr>
      <w:r>
        <w:rPr>
          <w:rStyle w:val="10"/>
          <w:rFonts w:hint="eastAsia" w:ascii="方正楷体_GBK" w:hAnsi="方正楷体_GBK" w:eastAsia="方正楷体_GBK" w:cs="方正楷体_GBK"/>
          <w:b w:val="0"/>
          <w:bCs w:val="0"/>
          <w:sz w:val="32"/>
          <w:szCs w:val="32"/>
          <w:lang w:val="en-US" w:eastAsia="zh-CN" w:bidi="ar-SA"/>
        </w:rPr>
        <w:t>（二）绩效自评结果</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1.绩效目标自评表</w:t>
      </w:r>
    </w:p>
    <w:tbl>
      <w:tblPr>
        <w:tblStyle w:val="8"/>
        <w:tblpPr w:leftFromText="180" w:rightFromText="180" w:vertAnchor="text" w:horzAnchor="page" w:tblpX="1106" w:tblpY="753"/>
        <w:tblOverlap w:val="never"/>
        <w:tblW w:w="9437" w:type="dxa"/>
        <w:tblInd w:w="0" w:type="dxa"/>
        <w:tblLayout w:type="fixed"/>
        <w:tblCellMar>
          <w:top w:w="0" w:type="dxa"/>
          <w:left w:w="0" w:type="dxa"/>
          <w:bottom w:w="0" w:type="dxa"/>
          <w:right w:w="0" w:type="dxa"/>
        </w:tblCellMar>
      </w:tblPr>
      <w:tblGrid>
        <w:gridCol w:w="718"/>
        <w:gridCol w:w="718"/>
        <w:gridCol w:w="718"/>
        <w:gridCol w:w="488"/>
        <w:gridCol w:w="1216"/>
        <w:gridCol w:w="886"/>
        <w:gridCol w:w="716"/>
        <w:gridCol w:w="734"/>
        <w:gridCol w:w="683"/>
        <w:gridCol w:w="1633"/>
        <w:gridCol w:w="927"/>
      </w:tblGrid>
      <w:tr>
        <w:tblPrEx>
          <w:tblCellMar>
            <w:top w:w="0" w:type="dxa"/>
            <w:left w:w="0" w:type="dxa"/>
            <w:bottom w:w="0" w:type="dxa"/>
            <w:right w:w="0" w:type="dxa"/>
          </w:tblCellMar>
        </w:tblPrEx>
        <w:trPr>
          <w:trHeight w:val="528" w:hRule="atLeast"/>
        </w:trPr>
        <w:tc>
          <w:tcPr>
            <w:tcW w:w="8510" w:type="dxa"/>
            <w:gridSpan w:val="10"/>
            <w:tcBorders>
              <w:top w:val="nil"/>
              <w:left w:val="nil"/>
              <w:bottom w:val="nil"/>
              <w:right w:val="nil"/>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小标宋_GBK" w:hAnsi="方正小标宋_GBK" w:eastAsia="方正小标宋_GBK" w:cs="方正小标宋_GBK"/>
                <w:color w:val="000000"/>
                <w:kern w:val="0"/>
                <w:sz w:val="40"/>
                <w:szCs w:val="40"/>
                <w:highlight w:val="none"/>
                <w:lang w:val="en-US" w:eastAsia="zh-CN" w:bidi="ar"/>
              </w:rPr>
            </w:pPr>
            <w:r>
              <w:rPr>
                <w:rFonts w:hint="eastAsia" w:ascii="方正小标宋_GBK" w:hAnsi="方正小标宋_GBK" w:eastAsia="方正小标宋_GBK" w:cs="方正小标宋_GBK"/>
                <w:color w:val="000000"/>
                <w:kern w:val="0"/>
                <w:sz w:val="40"/>
                <w:szCs w:val="40"/>
                <w:highlight w:val="none"/>
                <w:lang w:val="en-US" w:eastAsia="zh-CN" w:bidi="ar"/>
              </w:rPr>
              <w:t xml:space="preserve">              </w:t>
            </w:r>
          </w:p>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小标宋_GBK" w:hAnsi="方正小标宋_GBK" w:eastAsia="方正小标宋_GBK" w:cs="方正小标宋_GBK"/>
                <w:color w:val="000000"/>
                <w:kern w:val="0"/>
                <w:sz w:val="40"/>
                <w:szCs w:val="40"/>
                <w:highlight w:val="none"/>
                <w:lang w:val="en-US" w:eastAsia="zh-CN" w:bidi="ar"/>
              </w:rPr>
            </w:pPr>
          </w:p>
          <w:p>
            <w:pPr>
              <w:pageBreakBefore w:val="0"/>
              <w:widowControl/>
              <w:kinsoku/>
              <w:wordWrap/>
              <w:overflowPunct/>
              <w:topLinePunct w:val="0"/>
              <w:autoSpaceDE/>
              <w:autoSpaceDN/>
              <w:bidi w:val="0"/>
              <w:adjustRightInd/>
              <w:snapToGrid/>
              <w:spacing w:beforeAutospacing="0" w:afterAutospacing="0" w:line="578" w:lineRule="exact"/>
              <w:ind w:left="0" w:firstLine="1200" w:firstLineChars="300"/>
              <w:jc w:val="both"/>
              <w:textAlignment w:val="center"/>
              <w:rPr>
                <w:rFonts w:ascii="方正小标宋_GBK" w:hAnsi="方正小标宋_GBK" w:eastAsia="方正小标宋_GBK" w:cs="方正小标宋_GBK"/>
                <w:color w:val="000000"/>
                <w:kern w:val="2"/>
                <w:sz w:val="40"/>
                <w:szCs w:val="40"/>
                <w:highlight w:val="none"/>
              </w:rPr>
            </w:pPr>
            <w:r>
              <w:rPr>
                <w:rFonts w:hint="eastAsia" w:ascii="方正小标宋_GBK" w:hAnsi="方正小标宋_GBK" w:eastAsia="方正小标宋_GBK" w:cs="方正小标宋_GBK"/>
                <w:color w:val="000000"/>
                <w:kern w:val="0"/>
                <w:sz w:val="40"/>
                <w:szCs w:val="40"/>
                <w:highlight w:val="none"/>
                <w:lang w:bidi="ar"/>
              </w:rPr>
              <w:t>云阳县202</w:t>
            </w:r>
            <w:r>
              <w:rPr>
                <w:rFonts w:hint="eastAsia" w:ascii="方正小标宋_GBK" w:hAnsi="方正小标宋_GBK" w:eastAsia="方正小标宋_GBK" w:cs="方正小标宋_GBK"/>
                <w:color w:val="000000"/>
                <w:kern w:val="0"/>
                <w:sz w:val="40"/>
                <w:szCs w:val="40"/>
                <w:highlight w:val="none"/>
                <w:lang w:val="en-US" w:eastAsia="zh-CN" w:bidi="ar"/>
              </w:rPr>
              <w:t>2</w:t>
            </w:r>
            <w:r>
              <w:rPr>
                <w:rFonts w:hint="eastAsia" w:ascii="方正小标宋_GBK" w:hAnsi="方正小标宋_GBK" w:eastAsia="方正小标宋_GBK" w:cs="方正小标宋_GBK"/>
                <w:color w:val="000000"/>
                <w:kern w:val="0"/>
                <w:sz w:val="40"/>
                <w:szCs w:val="40"/>
                <w:highlight w:val="none"/>
                <w:lang w:bidi="ar"/>
              </w:rPr>
              <w:t>年部门整体支出绩效自评表</w:t>
            </w:r>
          </w:p>
        </w:tc>
        <w:tc>
          <w:tcPr>
            <w:tcW w:w="927" w:type="dxa"/>
            <w:tcBorders>
              <w:top w:val="nil"/>
              <w:left w:val="nil"/>
              <w:bottom w:val="nil"/>
              <w:right w:val="nil"/>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小标宋_GBK" w:hAnsi="方正小标宋_GBK" w:eastAsia="方正小标宋_GBK" w:cs="方正小标宋_GBK"/>
                <w:color w:val="000000"/>
                <w:kern w:val="0"/>
                <w:sz w:val="40"/>
                <w:szCs w:val="40"/>
                <w:highlight w:val="none"/>
                <w:lang w:bidi="ar"/>
              </w:rPr>
            </w:pPr>
          </w:p>
        </w:tc>
      </w:tr>
      <w:tr>
        <w:tblPrEx>
          <w:tblCellMar>
            <w:top w:w="0" w:type="dxa"/>
            <w:left w:w="0" w:type="dxa"/>
            <w:bottom w:w="0" w:type="dxa"/>
            <w:right w:w="0" w:type="dxa"/>
          </w:tblCellMar>
        </w:tblPrEx>
        <w:trPr>
          <w:trHeight w:val="288" w:hRule="atLeast"/>
        </w:trPr>
        <w:tc>
          <w:tcPr>
            <w:tcW w:w="14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单位名称（盖章）</w:t>
            </w:r>
          </w:p>
        </w:tc>
        <w:tc>
          <w:tcPr>
            <w:tcW w:w="7074"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云阳县宝坪镇人民政府</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288" w:hRule="atLeast"/>
        </w:trPr>
        <w:tc>
          <w:tcPr>
            <w:tcW w:w="1436"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年度预算安排（万元）</w:t>
            </w:r>
          </w:p>
        </w:tc>
        <w:tc>
          <w:tcPr>
            <w:tcW w:w="12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12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年初预算数</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全年预算数</w:t>
            </w: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全年执行数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0"/>
                <w:sz w:val="18"/>
                <w:szCs w:val="18"/>
                <w:highlight w:val="none"/>
                <w:lang w:bidi="ar"/>
              </w:rPr>
            </w:pPr>
          </w:p>
        </w:tc>
      </w:tr>
      <w:tr>
        <w:tblPrEx>
          <w:tblCellMar>
            <w:top w:w="0" w:type="dxa"/>
            <w:left w:w="0" w:type="dxa"/>
            <w:bottom w:w="0" w:type="dxa"/>
            <w:right w:w="0" w:type="dxa"/>
          </w:tblCellMar>
        </w:tblPrEx>
        <w:trPr>
          <w:trHeight w:val="288" w:hRule="atLeast"/>
        </w:trPr>
        <w:tc>
          <w:tcPr>
            <w:tcW w:w="143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2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年度资金总额</w:t>
            </w:r>
          </w:p>
        </w:tc>
        <w:tc>
          <w:tcPr>
            <w:tcW w:w="12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2"/>
                <w:sz w:val="21"/>
                <w:szCs w:val="21"/>
                <w:highlight w:val="none"/>
              </w:rPr>
              <w:t>4831</w:t>
            </w:r>
            <w:r>
              <w:rPr>
                <w:rFonts w:hint="eastAsia" w:ascii="Times New Roman" w:hAnsi="Times New Roman" w:eastAsia="宋体" w:cs="Times New Roman"/>
                <w:color w:val="000000"/>
                <w:kern w:val="2"/>
                <w:sz w:val="21"/>
                <w:szCs w:val="21"/>
                <w:highlight w:val="none"/>
                <w:lang w:val="en-US" w:eastAsia="zh-CN"/>
              </w:rPr>
              <w:t>.</w:t>
            </w:r>
            <w:r>
              <w:rPr>
                <w:rFonts w:hint="eastAsia" w:ascii="Times New Roman" w:hAnsi="Times New Roman" w:eastAsia="宋体" w:cs="Times New Roman"/>
                <w:color w:val="000000"/>
                <w:kern w:val="2"/>
                <w:sz w:val="21"/>
                <w:szCs w:val="21"/>
                <w:highlight w:val="none"/>
              </w:rPr>
              <w:t>49</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2"/>
                <w:sz w:val="21"/>
                <w:szCs w:val="21"/>
                <w:highlight w:val="none"/>
              </w:rPr>
              <w:t>7720</w:t>
            </w:r>
            <w:r>
              <w:rPr>
                <w:rFonts w:hint="eastAsia" w:ascii="Times New Roman" w:hAnsi="Times New Roman" w:eastAsia="宋体" w:cs="Times New Roman"/>
                <w:color w:val="000000"/>
                <w:kern w:val="2"/>
                <w:sz w:val="21"/>
                <w:szCs w:val="21"/>
                <w:highlight w:val="none"/>
                <w:lang w:val="en-US" w:eastAsia="zh-CN"/>
              </w:rPr>
              <w:t>.</w:t>
            </w:r>
            <w:r>
              <w:rPr>
                <w:rFonts w:hint="eastAsia" w:ascii="Times New Roman" w:hAnsi="Times New Roman" w:eastAsia="宋体" w:cs="Times New Roman"/>
                <w:color w:val="000000"/>
                <w:kern w:val="2"/>
                <w:sz w:val="21"/>
                <w:szCs w:val="21"/>
                <w:highlight w:val="none"/>
              </w:rPr>
              <w:t>1</w:t>
            </w:r>
            <w:r>
              <w:rPr>
                <w:rFonts w:hint="eastAsia" w:ascii="Times New Roman" w:hAnsi="Times New Roman" w:eastAsia="宋体" w:cs="Times New Roman"/>
                <w:color w:val="000000"/>
                <w:kern w:val="2"/>
                <w:sz w:val="21"/>
                <w:szCs w:val="21"/>
                <w:highlight w:val="none"/>
                <w:lang w:val="en-US" w:eastAsia="zh-CN"/>
              </w:rPr>
              <w:t>5</w:t>
            </w: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2"/>
                <w:sz w:val="21"/>
                <w:szCs w:val="21"/>
                <w:highlight w:val="none"/>
              </w:rPr>
              <w:t>6238</w:t>
            </w:r>
            <w:r>
              <w:rPr>
                <w:rFonts w:hint="eastAsia" w:ascii="Times New Roman" w:hAnsi="Times New Roman" w:eastAsia="宋体" w:cs="Times New Roman"/>
                <w:color w:val="000000"/>
                <w:kern w:val="2"/>
                <w:sz w:val="21"/>
                <w:szCs w:val="21"/>
                <w:highlight w:val="none"/>
                <w:lang w:val="en-US" w:eastAsia="zh-CN"/>
              </w:rPr>
              <w:t>.</w:t>
            </w:r>
            <w:r>
              <w:rPr>
                <w:rFonts w:hint="eastAsia" w:ascii="Times New Roman" w:hAnsi="Times New Roman" w:eastAsia="宋体" w:cs="Times New Roman"/>
                <w:color w:val="000000"/>
                <w:kern w:val="2"/>
                <w:sz w:val="21"/>
                <w:szCs w:val="21"/>
                <w:highlight w:val="none"/>
              </w:rPr>
              <w:t>4</w:t>
            </w:r>
            <w:r>
              <w:rPr>
                <w:rFonts w:hint="eastAsia" w:ascii="Times New Roman" w:hAnsi="Times New Roman" w:eastAsia="宋体" w:cs="Times New Roman"/>
                <w:color w:val="000000"/>
                <w:kern w:val="2"/>
                <w:sz w:val="21"/>
                <w:szCs w:val="21"/>
                <w:highlight w:val="none"/>
                <w:lang w:val="en-US" w:eastAsia="zh-CN"/>
              </w:rPr>
              <w:t>7</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288" w:hRule="atLeast"/>
        </w:trPr>
        <w:tc>
          <w:tcPr>
            <w:tcW w:w="143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2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其中：基本支出</w:t>
            </w:r>
          </w:p>
        </w:tc>
        <w:tc>
          <w:tcPr>
            <w:tcW w:w="12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288" w:hRule="atLeast"/>
        </w:trPr>
        <w:tc>
          <w:tcPr>
            <w:tcW w:w="1436"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20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项目支出</w:t>
            </w:r>
          </w:p>
        </w:tc>
        <w:tc>
          <w:tcPr>
            <w:tcW w:w="12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288" w:hRule="atLeast"/>
        </w:trPr>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年度总         体目标</w:t>
            </w:r>
          </w:p>
        </w:tc>
        <w:tc>
          <w:tcPr>
            <w:tcW w:w="4026"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预期目标</w:t>
            </w: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实际完成情况</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0"/>
                <w:sz w:val="18"/>
                <w:szCs w:val="18"/>
                <w:highlight w:val="none"/>
                <w:lang w:bidi="ar"/>
              </w:rPr>
            </w:pPr>
          </w:p>
        </w:tc>
      </w:tr>
      <w:tr>
        <w:tblPrEx>
          <w:tblCellMar>
            <w:top w:w="0" w:type="dxa"/>
            <w:left w:w="0" w:type="dxa"/>
            <w:bottom w:w="0" w:type="dxa"/>
            <w:right w:w="0" w:type="dxa"/>
          </w:tblCellMar>
        </w:tblPrEx>
        <w:trPr>
          <w:trHeight w:val="88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4026"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方正仿宋_GBK" w:cs="Times New Roman"/>
                <w:color w:val="000000"/>
                <w:kern w:val="2"/>
                <w:sz w:val="21"/>
                <w:szCs w:val="21"/>
                <w:highlight w:val="none"/>
                <w:lang w:eastAsia="zh-CN"/>
              </w:rPr>
            </w:pPr>
            <w:r>
              <w:rPr>
                <w:rFonts w:hint="eastAsia" w:ascii="方正仿宋_GBK" w:hAnsi="方正仿宋_GBK" w:eastAsia="方正仿宋_GBK" w:cs="方正仿宋_GBK"/>
                <w:color w:val="000000"/>
                <w:kern w:val="0"/>
                <w:sz w:val="21"/>
                <w:szCs w:val="21"/>
                <w:highlight w:val="none"/>
                <w:lang w:bidi="ar"/>
              </w:rPr>
              <w:t>坚持稳中求进工作总基调统筹抓好稳增长、促改革、调结构、惠民生、防风险</w:t>
            </w:r>
            <w:r>
              <w:rPr>
                <w:rFonts w:hint="eastAsia" w:ascii="方正仿宋_GBK" w:hAnsi="方正仿宋_GBK" w:eastAsia="方正仿宋_GBK" w:cs="方正仿宋_GBK"/>
                <w:color w:val="000000"/>
                <w:kern w:val="0"/>
                <w:sz w:val="21"/>
                <w:szCs w:val="21"/>
                <w:highlight w:val="none"/>
                <w:lang w:eastAsia="zh-CN" w:bidi="ar"/>
              </w:rPr>
              <w:t>，</w:t>
            </w:r>
            <w:r>
              <w:rPr>
                <w:rFonts w:hint="eastAsia" w:ascii="方正仿宋_GBK" w:hAnsi="方正仿宋_GBK" w:eastAsia="方正仿宋_GBK" w:cs="方正仿宋_GBK"/>
                <w:color w:val="000000"/>
                <w:kern w:val="0"/>
                <w:sz w:val="21"/>
                <w:szCs w:val="21"/>
                <w:highlight w:val="none"/>
                <w:lang w:bidi="ar"/>
              </w:rPr>
              <w:t>奋力谱写宝坪高质量发展、高品质生活、高水平治理新篇章</w:t>
            </w:r>
            <w:r>
              <w:rPr>
                <w:rFonts w:hint="eastAsia" w:ascii="方正仿宋_GBK" w:hAnsi="方正仿宋_GBK" w:eastAsia="方正仿宋_GBK" w:cs="方正仿宋_GBK"/>
                <w:color w:val="000000"/>
                <w:kern w:val="0"/>
                <w:sz w:val="21"/>
                <w:szCs w:val="21"/>
                <w:highlight w:val="none"/>
                <w:lang w:eastAsia="zh-CN" w:bidi="ar"/>
              </w:rPr>
              <w:t>！</w:t>
            </w:r>
          </w:p>
        </w:tc>
        <w:tc>
          <w:tcPr>
            <w:tcW w:w="376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全部完成</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绩效指标</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一级指标</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二级指标</w:t>
            </w:r>
          </w:p>
        </w:tc>
        <w:tc>
          <w:tcPr>
            <w:tcW w:w="170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三级指标</w:t>
            </w:r>
          </w:p>
        </w:tc>
        <w:tc>
          <w:tcPr>
            <w:tcW w:w="88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年度目标值</w:t>
            </w:r>
          </w:p>
        </w:tc>
        <w:tc>
          <w:tcPr>
            <w:tcW w:w="7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实际完成值</w:t>
            </w: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分值</w:t>
            </w:r>
          </w:p>
        </w:tc>
        <w:tc>
          <w:tcPr>
            <w:tcW w:w="6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得分</w:t>
            </w:r>
          </w:p>
        </w:tc>
        <w:tc>
          <w:tcPr>
            <w:tcW w:w="16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偏差原因分析及改进措施</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0"/>
                <w:sz w:val="18"/>
                <w:szCs w:val="18"/>
                <w:highlight w:val="none"/>
                <w:lang w:bidi="ar"/>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6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产出指标</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数量指标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发展特色农业生产、加工企业</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≥家</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3</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3</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0"/>
                <w:sz w:val="21"/>
                <w:szCs w:val="21"/>
                <w:highlight w:val="none"/>
                <w:lang w:bidi="ar"/>
              </w:rPr>
              <w:t>日均收运垃圾</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≥吨</w:t>
            </w:r>
            <w:r>
              <w:rPr>
                <w:rFonts w:hint="eastAsia" w:ascii="Times New Roman" w:hAnsi="Times New Roman" w:eastAsia="宋体" w:cs="Times New Roman"/>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3</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3</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质量指标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日均污水处理</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立方米</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600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0"/>
                <w:sz w:val="21"/>
                <w:szCs w:val="21"/>
                <w:highlight w:val="none"/>
                <w:lang w:bidi="ar"/>
              </w:rPr>
              <w:t>贫困人口发生率</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时效指标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县委县政府决策重点事项按时完成率</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95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95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成本指标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default" w:ascii="方正仿宋_GBK" w:hAnsi="方正仿宋_GBK" w:eastAsia="方正仿宋_GBK" w:cs="方正仿宋_GBK"/>
                <w:color w:val="000000"/>
                <w:kern w:val="2"/>
                <w:sz w:val="21"/>
                <w:szCs w:val="21"/>
                <w:highlight w:val="none"/>
                <w:lang w:val="en-US" w:eastAsia="zh-CN"/>
              </w:rPr>
            </w:pPr>
            <w:r>
              <w:rPr>
                <w:rStyle w:val="15"/>
                <w:rFonts w:hint="default"/>
                <w:kern w:val="2"/>
                <w:sz w:val="21"/>
                <w:szCs w:val="21"/>
                <w:highlight w:val="none"/>
                <w:lang w:bidi="ar"/>
              </w:rPr>
              <w:t>公务车辆年均运行维修费用</w:t>
            </w:r>
            <w:r>
              <w:rPr>
                <w:rStyle w:val="15"/>
                <w:rFonts w:hint="eastAsia" w:eastAsia="方正仿宋_GBK"/>
                <w:kern w:val="2"/>
                <w:sz w:val="21"/>
                <w:szCs w:val="21"/>
                <w:highlight w:val="none"/>
                <w:lang w:val="en-US" w:eastAsia="zh-CN" w:bidi="ar"/>
              </w:rPr>
              <w:t>（≤万元/个）</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0"/>
                <w:sz w:val="21"/>
                <w:szCs w:val="21"/>
                <w:highlight w:val="none"/>
                <w:lang w:bidi="ar"/>
              </w:rPr>
              <w:t>机关食堂日均运行费用</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元</w:t>
            </w:r>
            <w:r>
              <w:rPr>
                <w:rFonts w:hint="eastAsia" w:ascii="Times New Roman" w:hAnsi="Times New Roman" w:eastAsia="宋体" w:cs="Times New Roman"/>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2000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2000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效益指标</w:t>
            </w: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经济效益指标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招商引资企业落地</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≥家</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Times New Roman" w:hAnsi="Times New Roman" w:eastAsia="宋体" w:cs="Times New Roman"/>
                <w:color w:val="000000"/>
                <w:kern w:val="2"/>
                <w:sz w:val="21"/>
                <w:szCs w:val="21"/>
                <w:highlight w:val="none"/>
                <w:lang w:eastAsia="zh-CN"/>
              </w:rPr>
            </w:pPr>
            <w:r>
              <w:rPr>
                <w:rFonts w:hint="eastAsia" w:ascii="Times New Roman" w:hAnsi="Times New Roman" w:eastAsia="宋体" w:cs="Times New Roman"/>
                <w:color w:val="000000"/>
                <w:kern w:val="0"/>
                <w:sz w:val="21"/>
                <w:szCs w:val="21"/>
                <w:highlight w:val="none"/>
                <w:lang w:bidi="ar"/>
              </w:rPr>
              <w:t>义务教育适龄儿童入学率</w:t>
            </w:r>
            <w:r>
              <w:rPr>
                <w:rFonts w:hint="eastAsia" w:ascii="Times New Roman" w:hAnsi="Times New Roman" w:eastAsia="宋体" w:cs="Times New Roman"/>
                <w:color w:val="000000"/>
                <w:kern w:val="0"/>
                <w:sz w:val="21"/>
                <w:szCs w:val="21"/>
                <w:highlight w:val="none"/>
                <w:lang w:eastAsia="zh-CN" w:bidi="ar"/>
              </w:rPr>
              <w:t>（</w:t>
            </w:r>
            <w:r>
              <w:rPr>
                <w:rFonts w:hint="eastAsia"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100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社会效益指标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贫困大学生资助</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≥人</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150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150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Fonts w:hint="eastAsia" w:ascii="方正仿宋_GBK" w:hAnsi="方正仿宋_GBK" w:eastAsia="方正仿宋_GBK" w:cs="方正仿宋_GBK"/>
                <w:color w:val="000000"/>
                <w:kern w:val="0"/>
                <w:sz w:val="21"/>
                <w:szCs w:val="21"/>
                <w:highlight w:val="none"/>
                <w:lang w:bidi="ar"/>
              </w:rPr>
              <w:t>困难人群救助</w:t>
            </w:r>
            <w:r>
              <w:rPr>
                <w:rFonts w:hint="eastAsia" w:ascii="方正仿宋_GBK" w:hAnsi="方正仿宋_GBK" w:eastAsia="方正仿宋_GBK" w:cs="方正仿宋_GBK"/>
                <w:color w:val="000000"/>
                <w:kern w:val="0"/>
                <w:sz w:val="21"/>
                <w:szCs w:val="21"/>
                <w:highlight w:val="none"/>
                <w:lang w:eastAsia="zh-CN" w:bidi="ar"/>
              </w:rPr>
              <w:t>（</w:t>
            </w:r>
            <w:r>
              <w:rPr>
                <w:rStyle w:val="15"/>
                <w:rFonts w:hint="eastAsia" w:eastAsia="方正仿宋_GBK"/>
                <w:kern w:val="2"/>
                <w:sz w:val="21"/>
                <w:szCs w:val="21"/>
                <w:highlight w:val="none"/>
                <w:lang w:val="en-US" w:eastAsia="zh-CN" w:bidi="ar"/>
              </w:rPr>
              <w:t>≥人</w:t>
            </w:r>
            <w:r>
              <w:rPr>
                <w:rFonts w:hint="eastAsia" w:ascii="方正仿宋_GBK" w:hAnsi="方正仿宋_GBK" w:eastAsia="方正仿宋_GBK" w:cs="方正仿宋_GBK"/>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600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生态效益指标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整治山坪塘</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≥个</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1</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2</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Fonts w:hint="eastAsia" w:ascii="方正仿宋_GBK" w:hAnsi="方正仿宋_GBK" w:eastAsia="方正仿宋_GBK" w:cs="方正仿宋_GBK"/>
                <w:color w:val="000000"/>
                <w:kern w:val="0"/>
                <w:sz w:val="21"/>
                <w:szCs w:val="21"/>
                <w:highlight w:val="none"/>
                <w:lang w:bidi="ar"/>
              </w:rPr>
              <w:t>修建灌溉沟渠</w:t>
            </w:r>
            <w:r>
              <w:rPr>
                <w:rFonts w:hint="eastAsia" w:ascii="方正仿宋_GBK" w:hAnsi="方正仿宋_GBK" w:eastAsia="方正仿宋_GBK" w:cs="方正仿宋_GBK"/>
                <w:color w:val="000000"/>
                <w:kern w:val="0"/>
                <w:sz w:val="21"/>
                <w:szCs w:val="21"/>
                <w:highlight w:val="none"/>
                <w:lang w:eastAsia="zh-CN" w:bidi="ar"/>
              </w:rPr>
              <w:t>（</w:t>
            </w:r>
            <w:r>
              <w:rPr>
                <w:rStyle w:val="15"/>
                <w:rFonts w:hint="eastAsia" w:eastAsia="方正仿宋_GBK"/>
                <w:kern w:val="2"/>
                <w:sz w:val="21"/>
                <w:szCs w:val="21"/>
                <w:highlight w:val="none"/>
                <w:lang w:val="en-US" w:eastAsia="zh-CN" w:bidi="ar"/>
              </w:rPr>
              <w:t>≥米</w:t>
            </w:r>
            <w:r>
              <w:rPr>
                <w:rFonts w:hint="eastAsia" w:ascii="方正仿宋_GBK" w:hAnsi="方正仿宋_GBK" w:eastAsia="方正仿宋_GBK" w:cs="方正仿宋_GBK"/>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1000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可持续影响指标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Style w:val="15"/>
                <w:rFonts w:hint="default"/>
                <w:kern w:val="2"/>
                <w:sz w:val="21"/>
                <w:szCs w:val="21"/>
                <w:highlight w:val="none"/>
                <w:lang w:bidi="ar"/>
              </w:rPr>
              <w:t>维持社会治安稳定</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好</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好</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10</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耕地和基本农田闲置率</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5</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Fonts w:hint="eastAsia" w:ascii="方正仿宋_GBK" w:hAnsi="方正仿宋_GBK" w:eastAsia="方正仿宋_GBK" w:cs="方正仿宋_GBK"/>
                <w:color w:val="000000"/>
                <w:kern w:val="0"/>
                <w:sz w:val="21"/>
                <w:szCs w:val="21"/>
                <w:highlight w:val="none"/>
                <w:lang w:bidi="ar"/>
              </w:rPr>
              <w:t>森林资源保护面积</w:t>
            </w:r>
            <w:r>
              <w:rPr>
                <w:rFonts w:hint="eastAsia" w:ascii="方正仿宋_GBK" w:hAnsi="方正仿宋_GBK" w:eastAsia="方正仿宋_GBK" w:cs="方正仿宋_GBK"/>
                <w:color w:val="000000"/>
                <w:kern w:val="0"/>
                <w:sz w:val="21"/>
                <w:szCs w:val="21"/>
                <w:highlight w:val="none"/>
                <w:lang w:eastAsia="zh-CN" w:bidi="ar"/>
              </w:rPr>
              <w:t>（</w:t>
            </w:r>
            <w:r>
              <w:rPr>
                <w:rStyle w:val="15"/>
                <w:rFonts w:hint="eastAsia" w:eastAsia="方正仿宋_GBK"/>
                <w:kern w:val="2"/>
                <w:sz w:val="21"/>
                <w:szCs w:val="21"/>
                <w:highlight w:val="none"/>
                <w:lang w:val="en-US" w:eastAsia="zh-CN" w:bidi="ar"/>
              </w:rPr>
              <w:t>≥亩</w:t>
            </w:r>
            <w:r>
              <w:rPr>
                <w:rFonts w:hint="eastAsia" w:ascii="方正仿宋_GBK" w:hAnsi="方正仿宋_GBK" w:eastAsia="方正仿宋_GBK" w:cs="方正仿宋_GBK"/>
                <w:color w:val="000000"/>
                <w:kern w:val="0"/>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60000</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60000</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仿宋_GBK" w:hAnsi="方正仿宋_GBK" w:eastAsia="方正仿宋_GBK" w:cs="方正仿宋_GBK"/>
                <w:color w:val="000000"/>
                <w:kern w:val="2"/>
                <w:sz w:val="21"/>
                <w:szCs w:val="21"/>
                <w:highlight w:val="none"/>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满意度指标</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rPr>
            </w:pPr>
            <w:r>
              <w:rPr>
                <w:rFonts w:hint="eastAsia" w:ascii="方正仿宋_GBK" w:hAnsi="方正仿宋_GBK" w:eastAsia="方正仿宋_GBK" w:cs="方正仿宋_GBK"/>
                <w:color w:val="000000"/>
                <w:kern w:val="0"/>
                <w:sz w:val="21"/>
                <w:szCs w:val="21"/>
                <w:highlight w:val="none"/>
                <w:lang w:bidi="ar"/>
              </w:rPr>
              <w:t>服务对象满意度指标</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方正仿宋_GBK" w:hAnsi="方正仿宋_GBK" w:eastAsia="方正仿宋_GBK" w:cs="方正仿宋_GBK"/>
                <w:color w:val="000000"/>
                <w:kern w:val="2"/>
                <w:sz w:val="21"/>
                <w:szCs w:val="21"/>
                <w:highlight w:val="none"/>
                <w:lang w:eastAsia="zh-CN"/>
              </w:rPr>
            </w:pPr>
            <w:r>
              <w:rPr>
                <w:rStyle w:val="15"/>
                <w:rFonts w:hint="default"/>
                <w:kern w:val="2"/>
                <w:sz w:val="21"/>
                <w:szCs w:val="21"/>
                <w:highlight w:val="none"/>
                <w:lang w:bidi="ar"/>
              </w:rPr>
              <w:t>辖区群众对政府工作的满意度</w:t>
            </w:r>
            <w:r>
              <w:rPr>
                <w:rStyle w:val="15"/>
                <w:rFonts w:hint="eastAsia" w:eastAsia="方正仿宋_GBK"/>
                <w:kern w:val="2"/>
                <w:sz w:val="21"/>
                <w:szCs w:val="21"/>
                <w:highlight w:val="none"/>
                <w:lang w:eastAsia="zh-CN" w:bidi="ar"/>
              </w:rPr>
              <w:t>（</w:t>
            </w:r>
            <w:r>
              <w:rPr>
                <w:rStyle w:val="15"/>
                <w:rFonts w:hint="eastAsia" w:eastAsia="方正仿宋_GBK"/>
                <w:kern w:val="2"/>
                <w:sz w:val="21"/>
                <w:szCs w:val="21"/>
                <w:highlight w:val="none"/>
                <w:lang w:val="en-US" w:eastAsia="zh-CN" w:bidi="ar"/>
              </w:rPr>
              <w:t>≥%</w:t>
            </w:r>
            <w:r>
              <w:rPr>
                <w:rStyle w:val="15"/>
                <w:rFonts w:hint="eastAsia" w:eastAsia="方正仿宋_GBK"/>
                <w:kern w:val="2"/>
                <w:sz w:val="21"/>
                <w:szCs w:val="21"/>
                <w:highlight w:val="none"/>
                <w:lang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方正仿宋_GBK" w:hAnsi="方正仿宋_GBK" w:eastAsia="方正仿宋_GBK" w:cs="方正仿宋_GBK"/>
                <w:color w:val="000000"/>
                <w:kern w:val="2"/>
                <w:sz w:val="21"/>
                <w:szCs w:val="21"/>
                <w:highlight w:val="none"/>
                <w:lang w:val="en-US" w:eastAsia="zh-CN"/>
              </w:rPr>
            </w:pPr>
            <w:r>
              <w:rPr>
                <w:rFonts w:hint="eastAsia" w:ascii="方正仿宋_GBK" w:hAnsi="方正仿宋_GBK" w:eastAsia="方正仿宋_GBK" w:cs="方正仿宋_GBK"/>
                <w:color w:val="000000"/>
                <w:kern w:val="2"/>
                <w:sz w:val="21"/>
                <w:szCs w:val="21"/>
                <w:highlight w:val="none"/>
                <w:lang w:val="en-US" w:eastAsia="zh-CN"/>
              </w:rPr>
              <w:t>95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95</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2"/>
                <w:sz w:val="21"/>
                <w:szCs w:val="21"/>
                <w:highlight w:val="none"/>
                <w:lang w:val="en-US" w:eastAsia="zh-CN"/>
              </w:rPr>
            </w:pPr>
            <w:r>
              <w:rPr>
                <w:rFonts w:hint="eastAsia" w:ascii="Times New Roman" w:hAnsi="Times New Roman" w:eastAsia="宋体" w:cs="Times New Roman"/>
                <w:color w:val="000000"/>
                <w:kern w:val="2"/>
                <w:sz w:val="21"/>
                <w:szCs w:val="21"/>
                <w:highlight w:val="none"/>
                <w:lang w:val="en-US" w:eastAsia="zh-CN"/>
              </w:rPr>
              <w:t>7</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2"/>
                <w:sz w:val="18"/>
                <w:szCs w:val="18"/>
                <w:highlight w:val="none"/>
              </w:rPr>
            </w:pPr>
          </w:p>
        </w:tc>
      </w:tr>
      <w:tr>
        <w:tblPrEx>
          <w:tblCellMar>
            <w:top w:w="0" w:type="dxa"/>
            <w:left w:w="0" w:type="dxa"/>
            <w:bottom w:w="0" w:type="dxa"/>
            <w:right w:w="0" w:type="dxa"/>
          </w:tblCellMar>
        </w:tblPrEx>
        <w:trPr>
          <w:trHeight w:val="345" w:hRule="atLeast"/>
        </w:trPr>
        <w:tc>
          <w:tcPr>
            <w:tcW w:w="5460"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0"/>
                <w:sz w:val="21"/>
                <w:szCs w:val="21"/>
                <w:highlight w:val="none"/>
                <w:lang w:bidi="ar"/>
              </w:rPr>
              <w:t>总分</w:t>
            </w:r>
          </w:p>
        </w:tc>
        <w:tc>
          <w:tcPr>
            <w:tcW w:w="7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textAlignment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0"/>
                <w:sz w:val="21"/>
                <w:szCs w:val="21"/>
                <w:highlight w:val="none"/>
                <w:lang w:bidi="ar"/>
              </w:rPr>
              <w:t>100</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宋体" w:hAnsi="宋体" w:eastAsia="宋体" w:cs="宋体"/>
                <w:color w:val="000000"/>
                <w:kern w:val="2"/>
                <w:sz w:val="21"/>
                <w:szCs w:val="21"/>
                <w:highlight w:val="none"/>
                <w:lang w:val="en-US" w:eastAsia="zh-CN"/>
              </w:rPr>
            </w:pPr>
            <w:r>
              <w:rPr>
                <w:rFonts w:hint="eastAsia" w:eastAsia="宋体" w:cs="宋体"/>
                <w:color w:val="000000"/>
                <w:kern w:val="2"/>
                <w:sz w:val="21"/>
                <w:szCs w:val="21"/>
                <w:highlight w:val="none"/>
                <w:lang w:val="en-US" w:eastAsia="zh-CN"/>
              </w:rPr>
              <w:t>100</w:t>
            </w:r>
          </w:p>
        </w:tc>
        <w:tc>
          <w:tcPr>
            <w:tcW w:w="1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宋体" w:hAnsi="宋体" w:eastAsia="宋体" w:cs="宋体"/>
                <w:color w:val="000000"/>
                <w:kern w:val="2"/>
                <w:sz w:val="21"/>
                <w:szCs w:val="21"/>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val="0"/>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宋体" w:hAnsi="宋体" w:eastAsia="宋体" w:cs="宋体"/>
                <w:color w:val="000000"/>
                <w:kern w:val="2"/>
                <w:sz w:val="18"/>
                <w:szCs w:val="18"/>
                <w:highlight w:val="none"/>
              </w:rPr>
            </w:pPr>
          </w:p>
        </w:tc>
      </w:tr>
    </w:tbl>
    <w:p>
      <w:pPr>
        <w:pageBreakBefore w:val="0"/>
        <w:widowControl/>
        <w:kinsoku/>
        <w:wordWrap/>
        <w:overflowPunct/>
        <w:topLinePunct w:val="0"/>
        <w:autoSpaceDE/>
        <w:autoSpaceDN/>
        <w:bidi w:val="0"/>
        <w:adjustRightInd/>
        <w:snapToGrid/>
        <w:spacing w:beforeAutospacing="0" w:afterAutospacing="0" w:line="578" w:lineRule="exact"/>
        <w:ind w:left="0" w:leftChars="0" w:firstLine="0" w:firstLineChars="0"/>
        <w:jc w:val="center"/>
        <w:textAlignment w:val="auto"/>
        <w:sectPr>
          <w:footerReference r:id="rId5" w:type="default"/>
          <w:pgSz w:w="11907" w:h="16840"/>
          <w:pgMar w:top="2098" w:right="1531" w:bottom="1984" w:left="1531" w:header="851" w:footer="1474" w:gutter="0"/>
          <w:pgNumType w:fmt="decimal"/>
          <w:cols w:space="425" w:num="1"/>
          <w:docGrid w:type="lines" w:linePitch="312" w:charSpace="0"/>
        </w:sectPr>
      </w:pPr>
    </w:p>
    <w:tbl>
      <w:tblPr>
        <w:tblStyle w:val="8"/>
        <w:tblpPr w:leftFromText="180" w:rightFromText="180" w:horzAnchor="margin" w:tblpXSpec="center" w:tblpY="-268"/>
        <w:tblW w:w="10370" w:type="dxa"/>
        <w:tblInd w:w="139" w:type="dxa"/>
        <w:tblLayout w:type="fixed"/>
        <w:tblCellMar>
          <w:top w:w="0" w:type="dxa"/>
          <w:left w:w="108" w:type="dxa"/>
          <w:bottom w:w="0" w:type="dxa"/>
          <w:right w:w="108" w:type="dxa"/>
        </w:tblCellMar>
      </w:tblPr>
      <w:tblGrid>
        <w:gridCol w:w="581"/>
        <w:gridCol w:w="1080"/>
        <w:gridCol w:w="1080"/>
        <w:gridCol w:w="740"/>
        <w:gridCol w:w="1137"/>
        <w:gridCol w:w="416"/>
        <w:gridCol w:w="867"/>
        <w:gridCol w:w="1283"/>
        <w:gridCol w:w="77"/>
        <w:gridCol w:w="900"/>
        <w:gridCol w:w="140"/>
        <w:gridCol w:w="800"/>
        <w:gridCol w:w="460"/>
        <w:gridCol w:w="809"/>
      </w:tblGrid>
      <w:tr>
        <w:tblPrEx>
          <w:tblCellMar>
            <w:top w:w="0" w:type="dxa"/>
            <w:left w:w="108" w:type="dxa"/>
            <w:bottom w:w="0" w:type="dxa"/>
            <w:right w:w="108" w:type="dxa"/>
          </w:tblCellMar>
        </w:tblPrEx>
        <w:trPr>
          <w:trHeight w:val="540" w:hRule="atLeast"/>
        </w:trPr>
        <w:tc>
          <w:tcPr>
            <w:tcW w:w="10370" w:type="dxa"/>
            <w:gridSpan w:val="14"/>
            <w:tcBorders>
              <w:top w:val="nil"/>
              <w:left w:val="nil"/>
              <w:bottom w:val="nil"/>
              <w:right w:val="nil"/>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小标宋_GBK" w:hAnsi="宋体" w:eastAsia="方正小标宋_GBK" w:cs="宋体"/>
                <w:color w:val="000000"/>
                <w:kern w:val="0"/>
                <w:sz w:val="40"/>
                <w:szCs w:val="40"/>
                <w:highlight w:val="none"/>
              </w:rPr>
            </w:pPr>
          </w:p>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小标宋_GBK" w:hAnsi="宋体" w:eastAsia="方正小标宋_GBK" w:cs="宋体"/>
                <w:color w:val="000000"/>
                <w:kern w:val="0"/>
                <w:sz w:val="40"/>
                <w:szCs w:val="40"/>
                <w:highlight w:val="none"/>
              </w:rPr>
            </w:pPr>
            <w:r>
              <w:rPr>
                <w:rFonts w:hint="eastAsia" w:ascii="方正小标宋_GBK" w:hAnsi="宋体" w:eastAsia="方正小标宋_GBK" w:cs="宋体"/>
                <w:color w:val="000000"/>
                <w:kern w:val="0"/>
                <w:sz w:val="40"/>
                <w:szCs w:val="40"/>
                <w:highlight w:val="none"/>
              </w:rPr>
              <w:t>云阳县202</w:t>
            </w:r>
            <w:r>
              <w:rPr>
                <w:rFonts w:hint="eastAsia" w:ascii="方正小标宋_GBK" w:hAnsi="宋体" w:eastAsia="方正小标宋_GBK" w:cs="宋体"/>
                <w:color w:val="000000"/>
                <w:kern w:val="0"/>
                <w:sz w:val="40"/>
                <w:szCs w:val="40"/>
                <w:highlight w:val="none"/>
                <w:lang w:val="en-US" w:eastAsia="zh-CN"/>
              </w:rPr>
              <w:t>2</w:t>
            </w:r>
            <w:r>
              <w:rPr>
                <w:rFonts w:hint="eastAsia" w:ascii="方正小标宋_GBK" w:hAnsi="宋体" w:eastAsia="方正小标宋_GBK" w:cs="宋体"/>
                <w:color w:val="000000"/>
                <w:kern w:val="0"/>
                <w:sz w:val="40"/>
                <w:szCs w:val="40"/>
                <w:highlight w:val="none"/>
              </w:rPr>
              <w:t>年项目支出绩效自评明细表</w:t>
            </w:r>
          </w:p>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方正小标宋_GBK" w:hAnsi="宋体" w:eastAsia="方正小标宋_GBK" w:cs="宋体"/>
                <w:color w:val="000000"/>
                <w:kern w:val="0"/>
                <w:sz w:val="40"/>
                <w:szCs w:val="40"/>
                <w:highlight w:val="none"/>
              </w:rPr>
            </w:pPr>
          </w:p>
        </w:tc>
      </w:tr>
      <w:tr>
        <w:tblPrEx>
          <w:tblCellMar>
            <w:top w:w="0" w:type="dxa"/>
            <w:left w:w="108" w:type="dxa"/>
            <w:bottom w:w="0" w:type="dxa"/>
            <w:right w:w="108" w:type="dxa"/>
          </w:tblCellMar>
        </w:tblPrEx>
        <w:trPr>
          <w:trHeight w:val="270" w:hRule="atLeast"/>
        </w:trPr>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项目名称</w:t>
            </w:r>
          </w:p>
        </w:tc>
        <w:tc>
          <w:tcPr>
            <w:tcW w:w="8709" w:type="dxa"/>
            <w:gridSpan w:val="1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云阳县2022年水库移民后期扶持基金（资金）</w:t>
            </w:r>
            <w:r>
              <w:rPr>
                <w:rFonts w:hint="eastAsia" w:ascii="Times New Roman" w:hAnsi="Times New Roman" w:eastAsia="宋体" w:cs="Times New Roman"/>
                <w:color w:val="000000"/>
                <w:kern w:val="0"/>
                <w:sz w:val="20"/>
                <w:szCs w:val="20"/>
                <w:highlight w:val="none"/>
                <w:lang w:eastAsia="zh-CN"/>
              </w:rPr>
              <w:t>－</w:t>
            </w:r>
            <w:r>
              <w:rPr>
                <w:rFonts w:hint="eastAsia" w:ascii="Times New Roman" w:hAnsi="Times New Roman" w:eastAsia="宋体" w:cs="Times New Roman"/>
                <w:color w:val="000000"/>
                <w:kern w:val="0"/>
                <w:sz w:val="20"/>
                <w:szCs w:val="20"/>
                <w:highlight w:val="none"/>
              </w:rPr>
              <w:t>云阳县宝坪镇桂坪村小型水厂项目</w:t>
            </w: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270" w:hRule="atLeast"/>
        </w:trPr>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主管部门</w:t>
            </w:r>
          </w:p>
        </w:tc>
        <w:tc>
          <w:tcPr>
            <w:tcW w:w="4240" w:type="dxa"/>
            <w:gridSpan w:val="5"/>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914</w:t>
            </w:r>
            <w:r>
              <w:rPr>
                <w:rFonts w:hint="eastAsia" w:ascii="Times New Roman" w:hAnsi="Times New Roman" w:eastAsia="宋体" w:cs="Times New Roman"/>
                <w:color w:val="000000"/>
                <w:kern w:val="0"/>
                <w:sz w:val="20"/>
                <w:szCs w:val="20"/>
                <w:highlight w:val="none"/>
                <w:lang w:eastAsia="zh-CN"/>
              </w:rPr>
              <w:t>－</w:t>
            </w:r>
            <w:r>
              <w:rPr>
                <w:rFonts w:hint="eastAsia" w:ascii="Times New Roman" w:hAnsi="Times New Roman" w:eastAsia="宋体" w:cs="Times New Roman"/>
                <w:color w:val="000000"/>
                <w:kern w:val="0"/>
                <w:sz w:val="20"/>
                <w:szCs w:val="20"/>
                <w:highlight w:val="none"/>
              </w:rPr>
              <w:t>宝坪镇</w:t>
            </w:r>
            <w:r>
              <w:rPr>
                <w:rFonts w:ascii="Times New Roman" w:hAnsi="Times New Roman" w:eastAsia="宋体" w:cs="Times New Roman"/>
                <w:color w:val="000000"/>
                <w:kern w:val="0"/>
                <w:sz w:val="20"/>
                <w:szCs w:val="20"/>
                <w:highlight w:val="none"/>
              </w:rPr>
              <w:t>　</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实施单位</w:t>
            </w:r>
          </w:p>
        </w:tc>
        <w:tc>
          <w:tcPr>
            <w:tcW w:w="3109" w:type="dxa"/>
            <w:gridSpan w:val="5"/>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云阳县宝坪镇人民政府</w:t>
            </w: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480" w:hRule="atLeast"/>
        </w:trPr>
        <w:tc>
          <w:tcPr>
            <w:tcW w:w="16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项目资金（万元）</w:t>
            </w:r>
          </w:p>
        </w:tc>
        <w:tc>
          <w:tcPr>
            <w:tcW w:w="182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1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年初预算数</w:t>
            </w:r>
          </w:p>
        </w:tc>
        <w:tc>
          <w:tcPr>
            <w:tcW w:w="1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全年预算数</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全年执行数</w:t>
            </w:r>
          </w:p>
        </w:tc>
        <w:tc>
          <w:tcPr>
            <w:tcW w:w="9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分值</w:t>
            </w:r>
          </w:p>
        </w:tc>
        <w:tc>
          <w:tcPr>
            <w:tcW w:w="14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预算执行率</w:t>
            </w:r>
          </w:p>
        </w:tc>
        <w:tc>
          <w:tcPr>
            <w:tcW w:w="80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得分</w:t>
            </w:r>
          </w:p>
        </w:tc>
      </w:tr>
      <w:tr>
        <w:tblPrEx>
          <w:tblCellMar>
            <w:top w:w="0" w:type="dxa"/>
            <w:left w:w="108" w:type="dxa"/>
            <w:bottom w:w="0" w:type="dxa"/>
            <w:right w:w="108" w:type="dxa"/>
          </w:tblCellMar>
        </w:tblPrEx>
        <w:trPr>
          <w:trHeight w:val="270" w:hRule="atLeast"/>
        </w:trPr>
        <w:tc>
          <w:tcPr>
            <w:tcW w:w="16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both"/>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年度资金总额</w:t>
            </w:r>
          </w:p>
        </w:tc>
        <w:tc>
          <w:tcPr>
            <w:tcW w:w="11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w:t>
            </w:r>
          </w:p>
        </w:tc>
        <w:tc>
          <w:tcPr>
            <w:tcW w:w="1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eastAsia="宋体" w:cs="Times New Roman"/>
                <w:color w:val="000000"/>
                <w:kern w:val="0"/>
                <w:sz w:val="20"/>
                <w:szCs w:val="20"/>
                <w:highlight w:val="none"/>
              </w:rPr>
              <w:t>99</w:t>
            </w:r>
            <w:r>
              <w:rPr>
                <w:rFonts w:hint="eastAsia" w:ascii="Times New Roman" w:hAnsi="Times New Roman" w:eastAsia="宋体" w:cs="Times New Roman"/>
                <w:color w:val="000000"/>
                <w:kern w:val="0"/>
                <w:sz w:val="20"/>
                <w:szCs w:val="20"/>
                <w:highlight w:val="none"/>
                <w:lang w:val="en-US" w:eastAsia="zh-CN"/>
              </w:rPr>
              <w:t>.</w:t>
            </w:r>
            <w:r>
              <w:rPr>
                <w:rFonts w:hint="eastAsia" w:ascii="Times New Roman" w:hAnsi="Times New Roman" w:eastAsia="宋体" w:cs="Times New Roman"/>
                <w:color w:val="000000"/>
                <w:kern w:val="0"/>
                <w:sz w:val="20"/>
                <w:szCs w:val="20"/>
                <w:highlight w:val="none"/>
              </w:rPr>
              <w:t>9</w:t>
            </w:r>
            <w:r>
              <w:rPr>
                <w:rFonts w:hint="eastAsia" w:ascii="Times New Roman" w:hAnsi="Times New Roman" w:eastAsia="宋体" w:cs="Times New Roman"/>
                <w:color w:val="000000"/>
                <w:kern w:val="0"/>
                <w:sz w:val="20"/>
                <w:szCs w:val="20"/>
                <w:highlight w:val="none"/>
                <w:lang w:val="en-US" w:eastAsia="zh-CN"/>
              </w:rPr>
              <w:t>6</w:t>
            </w:r>
          </w:p>
        </w:tc>
        <w:tc>
          <w:tcPr>
            <w:tcW w:w="9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w:t>
            </w:r>
          </w:p>
        </w:tc>
        <w:tc>
          <w:tcPr>
            <w:tcW w:w="14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99.96</w:t>
            </w:r>
            <w:r>
              <w:rPr>
                <w:rFonts w:ascii="Times New Roman" w:hAnsi="Times New Roman" w:eastAsia="宋体" w:cs="Times New Roman"/>
                <w:color w:val="000000"/>
                <w:kern w:val="0"/>
                <w:sz w:val="20"/>
                <w:szCs w:val="20"/>
                <w:highlight w:val="none"/>
              </w:rPr>
              <w:t>　</w:t>
            </w:r>
          </w:p>
        </w:tc>
        <w:tc>
          <w:tcPr>
            <w:tcW w:w="80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w:t>
            </w:r>
          </w:p>
        </w:tc>
      </w:tr>
      <w:tr>
        <w:tblPrEx>
          <w:tblCellMar>
            <w:top w:w="0" w:type="dxa"/>
            <w:left w:w="108" w:type="dxa"/>
            <w:bottom w:w="0" w:type="dxa"/>
            <w:right w:w="108" w:type="dxa"/>
          </w:tblCellMar>
        </w:tblPrEx>
        <w:trPr>
          <w:trHeight w:val="270" w:hRule="atLeast"/>
        </w:trPr>
        <w:tc>
          <w:tcPr>
            <w:tcW w:w="16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其中：当年财政拨款</w:t>
            </w:r>
          </w:p>
        </w:tc>
        <w:tc>
          <w:tcPr>
            <w:tcW w:w="11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99.96</w:t>
            </w:r>
          </w:p>
        </w:tc>
        <w:tc>
          <w:tcPr>
            <w:tcW w:w="9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c>
          <w:tcPr>
            <w:tcW w:w="14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99.96</w:t>
            </w:r>
            <w:r>
              <w:rPr>
                <w:rFonts w:ascii="Times New Roman" w:hAnsi="Times New Roman" w:eastAsia="宋体" w:cs="Times New Roman"/>
                <w:color w:val="000000"/>
                <w:kern w:val="0"/>
                <w:sz w:val="20"/>
                <w:szCs w:val="20"/>
                <w:highlight w:val="none"/>
              </w:rPr>
              <w:t>　</w:t>
            </w:r>
          </w:p>
        </w:tc>
        <w:tc>
          <w:tcPr>
            <w:tcW w:w="80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r>
      <w:tr>
        <w:tblPrEx>
          <w:tblCellMar>
            <w:top w:w="0" w:type="dxa"/>
            <w:left w:w="108" w:type="dxa"/>
            <w:bottom w:w="0" w:type="dxa"/>
            <w:right w:w="108" w:type="dxa"/>
          </w:tblCellMar>
        </w:tblPrEx>
        <w:trPr>
          <w:trHeight w:val="270" w:hRule="atLeast"/>
        </w:trPr>
        <w:tc>
          <w:tcPr>
            <w:tcW w:w="16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      </w:t>
            </w:r>
            <w:r>
              <w:rPr>
                <w:rFonts w:hint="eastAsia" w:ascii="方正仿宋_GBK" w:hAnsi="Times New Roman" w:eastAsia="方正仿宋_GBK" w:cs="Times New Roman"/>
                <w:color w:val="000000"/>
                <w:kern w:val="0"/>
                <w:sz w:val="20"/>
                <w:szCs w:val="20"/>
                <w:highlight w:val="none"/>
              </w:rPr>
              <w:t>上年结转资金</w:t>
            </w:r>
          </w:p>
        </w:tc>
        <w:tc>
          <w:tcPr>
            <w:tcW w:w="11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9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c>
          <w:tcPr>
            <w:tcW w:w="14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80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r>
      <w:tr>
        <w:tblPrEx>
          <w:tblCellMar>
            <w:top w:w="0" w:type="dxa"/>
            <w:left w:w="108" w:type="dxa"/>
            <w:bottom w:w="0" w:type="dxa"/>
            <w:right w:w="108" w:type="dxa"/>
          </w:tblCellMar>
        </w:tblPrEx>
        <w:trPr>
          <w:trHeight w:val="270" w:hRule="atLeast"/>
        </w:trPr>
        <w:tc>
          <w:tcPr>
            <w:tcW w:w="16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82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  </w:t>
            </w:r>
            <w:r>
              <w:rPr>
                <w:rFonts w:hint="eastAsia" w:ascii="方正仿宋_GBK" w:hAnsi="Times New Roman" w:eastAsia="方正仿宋_GBK" w:cs="Times New Roman"/>
                <w:color w:val="000000"/>
                <w:kern w:val="0"/>
                <w:sz w:val="20"/>
                <w:szCs w:val="20"/>
                <w:highlight w:val="none"/>
              </w:rPr>
              <w:t>其他资金</w:t>
            </w:r>
          </w:p>
        </w:tc>
        <w:tc>
          <w:tcPr>
            <w:tcW w:w="113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8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3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9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c>
          <w:tcPr>
            <w:tcW w:w="140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80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年度总         体目标</w:t>
            </w:r>
          </w:p>
        </w:tc>
        <w:tc>
          <w:tcPr>
            <w:tcW w:w="5320" w:type="dxa"/>
            <w:gridSpan w:val="6"/>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预期目标</w:t>
            </w:r>
          </w:p>
        </w:tc>
        <w:tc>
          <w:tcPr>
            <w:tcW w:w="4469"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实际完成情况</w:t>
            </w:r>
          </w:p>
        </w:tc>
      </w:tr>
      <w:tr>
        <w:tblPrEx>
          <w:tblCellMar>
            <w:top w:w="0" w:type="dxa"/>
            <w:left w:w="108" w:type="dxa"/>
            <w:bottom w:w="0" w:type="dxa"/>
            <w:right w:w="108" w:type="dxa"/>
          </w:tblCellMar>
        </w:tblPrEx>
        <w:trPr>
          <w:trHeight w:val="6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5320" w:type="dxa"/>
            <w:gridSpan w:val="6"/>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Times New Roman" w:hAnsi="Times New Roman" w:eastAsia="宋体" w:cs="Times New Roman"/>
                <w:color w:val="000000"/>
                <w:kern w:val="0"/>
                <w:sz w:val="20"/>
                <w:szCs w:val="20"/>
                <w:highlight w:val="none"/>
              </w:rPr>
            </w:pPr>
            <w:r>
              <w:rPr>
                <w:rFonts w:hint="eastAsia" w:ascii="方正仿宋_GBK" w:hAnsi="宋体" w:eastAsia="方正仿宋_GBK" w:cs="宋体"/>
                <w:color w:val="000000"/>
                <w:kern w:val="0"/>
                <w:sz w:val="20"/>
                <w:szCs w:val="20"/>
                <w:highlight w:val="none"/>
              </w:rPr>
              <w:t>1.新建公路长152.332m，宽4.0m；水源地改造1处；新建集中供水（200立方/天）超滤水厂1座；安装dn90PE管1800m，dn50PE管8700m，dn32PE管4200m，dn25PE管2000m，dn20PE管12690m等。2.解决群众饮水安全1000人，直接</w:t>
            </w:r>
            <w:r>
              <w:rPr>
                <w:rFonts w:hint="eastAsia" w:ascii="方正仿宋_GBK" w:eastAsia="方正仿宋_GBK" w:cs="宋体"/>
                <w:color w:val="000000"/>
                <w:kern w:val="0"/>
                <w:sz w:val="20"/>
                <w:szCs w:val="20"/>
                <w:highlight w:val="none"/>
                <w:lang w:eastAsia="zh-CN"/>
              </w:rPr>
              <w:t>受益</w:t>
            </w:r>
            <w:r>
              <w:rPr>
                <w:rFonts w:hint="eastAsia" w:ascii="方正仿宋_GBK" w:hAnsi="宋体" w:eastAsia="方正仿宋_GBK" w:cs="宋体"/>
                <w:color w:val="000000"/>
                <w:kern w:val="0"/>
                <w:sz w:val="20"/>
                <w:szCs w:val="20"/>
                <w:highlight w:val="none"/>
              </w:rPr>
              <w:t>移民4人；3.项目群众满意度80%。　</w:t>
            </w:r>
          </w:p>
        </w:tc>
        <w:tc>
          <w:tcPr>
            <w:tcW w:w="4469"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全部完成</w:t>
            </w: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绩效指标</w:t>
            </w: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一级指标</w:t>
            </w: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二级指标</w:t>
            </w:r>
          </w:p>
        </w:tc>
        <w:tc>
          <w:tcPr>
            <w:tcW w:w="229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三级指标</w:t>
            </w:r>
          </w:p>
        </w:tc>
        <w:tc>
          <w:tcPr>
            <w:tcW w:w="867"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年度目标值</w:t>
            </w:r>
          </w:p>
        </w:tc>
        <w:tc>
          <w:tcPr>
            <w:tcW w:w="1283"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实际完成值</w:t>
            </w:r>
          </w:p>
        </w:tc>
        <w:tc>
          <w:tcPr>
            <w:tcW w:w="111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分值</w:t>
            </w: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得分</w:t>
            </w:r>
          </w:p>
        </w:tc>
        <w:tc>
          <w:tcPr>
            <w:tcW w:w="126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偏差原因分析及改进措施</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229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86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11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2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产出指标</w:t>
            </w:r>
          </w:p>
        </w:tc>
        <w:tc>
          <w:tcPr>
            <w:tcW w:w="1080"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数量指标</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hAnsi="宋体" w:eastAsia="方正仿宋_GBK" w:cs="宋体"/>
                <w:color w:val="000000"/>
                <w:kern w:val="0"/>
                <w:sz w:val="20"/>
                <w:szCs w:val="20"/>
                <w:highlight w:val="none"/>
              </w:rPr>
              <w:t>管网</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米</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29390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29390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5</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5</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eastAsia="宋体" w:cs="Times New Roman"/>
                <w:color w:val="000000"/>
                <w:kern w:val="0"/>
                <w:sz w:val="20"/>
                <w:szCs w:val="20"/>
                <w:highlight w:val="none"/>
              </w:rPr>
              <w:t>水源地改造</w:t>
            </w:r>
            <w:r>
              <w:rPr>
                <w:rFonts w:hint="eastAsia" w:ascii="Times New Roman" w:hAnsi="Times New Roman" w:eastAsia="宋体" w:cs="Times New Roman"/>
                <w:color w:val="000000"/>
                <w:kern w:val="0"/>
                <w:sz w:val="20"/>
                <w:szCs w:val="20"/>
                <w:highlight w:val="none"/>
                <w:lang w:eastAsia="zh-CN"/>
              </w:rPr>
              <w:t>（</w:t>
            </w:r>
            <w:r>
              <w:rPr>
                <w:rFonts w:hint="eastAsia" w:ascii="Times New Roman" w:hAnsi="Times New Roman" w:eastAsia="宋体" w:cs="Times New Roman"/>
                <w:color w:val="000000"/>
                <w:kern w:val="0"/>
                <w:sz w:val="20"/>
                <w:szCs w:val="20"/>
                <w:highlight w:val="none"/>
                <w:lang w:val="en-US" w:eastAsia="zh-CN"/>
              </w:rPr>
              <w:t>=处</w:t>
            </w:r>
            <w:r>
              <w:rPr>
                <w:rFonts w:hint="eastAsia" w:ascii="Times New Roman" w:hAnsi="Times New Roman" w:eastAsia="宋体" w:cs="Times New Roman"/>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Times New Roman" w:hAnsi="Times New Roman" w:eastAsia="宋体" w:cs="Times New Roman"/>
                <w:color w:val="000000"/>
                <w:kern w:val="0"/>
                <w:sz w:val="20"/>
                <w:szCs w:val="20"/>
                <w:highlight w:val="none"/>
              </w:rPr>
            </w:pPr>
            <w:r>
              <w:rPr>
                <w:rFonts w:hint="eastAsia" w:ascii="方正仿宋_GBK" w:hAnsi="宋体" w:eastAsia="方正仿宋_GBK" w:cs="宋体"/>
                <w:color w:val="000000"/>
                <w:kern w:val="0"/>
                <w:sz w:val="20"/>
                <w:szCs w:val="20"/>
                <w:highlight w:val="none"/>
              </w:rPr>
              <w:t>新建公路</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米</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rPr>
            </w:pPr>
            <w:r>
              <w:rPr>
                <w:rFonts w:hint="eastAsia" w:ascii="Times New Roman" w:hAnsi="Times New Roman" w:eastAsia="宋体" w:cs="Times New Roman"/>
                <w:color w:val="000000"/>
                <w:kern w:val="0"/>
                <w:sz w:val="20"/>
                <w:szCs w:val="20"/>
                <w:highlight w:val="none"/>
              </w:rPr>
              <w:t>152.332</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152.332</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rPr>
            </w:pPr>
            <w:r>
              <w:rPr>
                <w:rFonts w:hint="eastAsia" w:ascii="Times New Roman" w:hAnsi="Times New Roman" w:eastAsia="宋体" w:cs="Times New Roman"/>
                <w:color w:val="000000"/>
                <w:kern w:val="0"/>
                <w:sz w:val="20"/>
                <w:szCs w:val="20"/>
                <w:highlight w:val="none"/>
                <w:lang w:val="en-US" w:eastAsia="zh-CN"/>
              </w:rPr>
              <w:t>5</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5</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质量指标</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hAnsi="宋体" w:eastAsia="方正仿宋_GBK" w:cs="宋体"/>
                <w:color w:val="000000"/>
                <w:kern w:val="0"/>
                <w:sz w:val="20"/>
                <w:szCs w:val="20"/>
                <w:highlight w:val="none"/>
                <w:lang w:eastAsia="zh-CN"/>
              </w:rPr>
              <w:t>工程质量合格率</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eastAsia="宋体" w:cs="Times New Roman"/>
                <w:color w:val="000000"/>
                <w:kern w:val="0"/>
                <w:sz w:val="20"/>
                <w:szCs w:val="20"/>
                <w:highlight w:val="none"/>
                <w:lang w:val="en-US" w:eastAsia="zh-CN"/>
              </w:rPr>
              <w:t>100</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bidi="ar-SA"/>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7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项目验收通过率</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bidi="ar-SA"/>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时效指标</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项目按时开工率</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5</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5</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rPr>
              <w:t>项目按时验收率</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5</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bidi="ar-SA"/>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5</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效益指标</w:t>
            </w:r>
          </w:p>
        </w:tc>
        <w:tc>
          <w:tcPr>
            <w:tcW w:w="10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经济效益</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hAnsi="宋体" w:eastAsia="方正仿宋_GBK" w:cs="宋体"/>
                <w:color w:val="000000"/>
                <w:kern w:val="0"/>
                <w:sz w:val="20"/>
                <w:szCs w:val="20"/>
                <w:highlight w:val="none"/>
              </w:rPr>
              <w:t>项目支出控制在批复的预算范围内的项目比例</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rPr>
            </w:pPr>
            <w:r>
              <w:rPr>
                <w:rFonts w:hint="eastAsia" w:ascii="Times New Roman" w:hAnsi="Times New Roman" w:eastAsia="宋体" w:cs="Times New Roman"/>
                <w:color w:val="000000"/>
                <w:kern w:val="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社会效益</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eastAsia="方正仿宋_GBK" w:cs="宋体"/>
                <w:color w:val="000000"/>
                <w:kern w:val="0"/>
                <w:sz w:val="20"/>
                <w:szCs w:val="20"/>
                <w:highlight w:val="none"/>
                <w:lang w:val="en-US" w:eastAsia="zh-CN"/>
              </w:rPr>
              <w:t>受</w:t>
            </w:r>
            <w:r>
              <w:rPr>
                <w:rFonts w:hint="eastAsia" w:ascii="方正仿宋_GBK" w:hAnsi="宋体" w:eastAsia="方正仿宋_GBK" w:cs="宋体"/>
                <w:color w:val="000000"/>
                <w:kern w:val="0"/>
                <w:sz w:val="20"/>
                <w:szCs w:val="20"/>
                <w:highlight w:val="none"/>
              </w:rPr>
              <w:t>益移民人数</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人</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4</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4</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rPr>
            </w:pPr>
            <w:r>
              <w:rPr>
                <w:rFonts w:hint="eastAsia" w:ascii="Times New Roman" w:hAnsi="Times New Roman" w:eastAsia="宋体" w:cs="Times New Roman"/>
                <w:color w:val="000000"/>
                <w:kern w:val="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eastAsia="宋体" w:cs="Times New Roman"/>
                <w:color w:val="000000"/>
                <w:kern w:val="0"/>
                <w:sz w:val="20"/>
                <w:szCs w:val="20"/>
                <w:highlight w:val="none"/>
              </w:rPr>
              <w:t>解决群众饮水安全</w:t>
            </w:r>
            <w:r>
              <w:rPr>
                <w:rFonts w:hint="eastAsia" w:ascii="Times New Roman" w:hAnsi="Times New Roman" w:eastAsia="宋体" w:cs="Times New Roman"/>
                <w:color w:val="000000"/>
                <w:kern w:val="0"/>
                <w:sz w:val="20"/>
                <w:szCs w:val="20"/>
                <w:highlight w:val="none"/>
                <w:lang w:eastAsia="zh-CN"/>
              </w:rPr>
              <w:t>（</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人</w:t>
            </w:r>
            <w:r>
              <w:rPr>
                <w:rFonts w:hint="eastAsia" w:ascii="Times New Roman" w:hAnsi="Times New Roman" w:eastAsia="宋体" w:cs="Times New Roman"/>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1000</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r>
              <w:rPr>
                <w:rFonts w:hint="eastAsia" w:ascii="Times New Roman" w:hAnsi="Times New Roman" w:eastAsia="宋体" w:cs="Times New Roman"/>
                <w:color w:val="000000"/>
                <w:kern w:val="0"/>
                <w:sz w:val="20"/>
                <w:szCs w:val="20"/>
                <w:highlight w:val="none"/>
                <w:lang w:val="en-US" w:eastAsia="zh-CN"/>
              </w:rPr>
              <w:t>1000</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可持续影响指标</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hAnsi="宋体" w:eastAsia="方正仿宋_GBK" w:cs="宋体"/>
                <w:color w:val="000000"/>
                <w:kern w:val="0"/>
                <w:sz w:val="20"/>
                <w:szCs w:val="20"/>
                <w:highlight w:val="none"/>
              </w:rPr>
              <w:t>交办的信访事项及时处理率</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100</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58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ascii="方正仿宋_GBK" w:hAnsi="宋体" w:eastAsia="方正仿宋_GBK" w:cs="宋体"/>
                <w:color w:val="000000"/>
                <w:kern w:val="0"/>
                <w:sz w:val="20"/>
                <w:szCs w:val="20"/>
                <w:highlight w:val="none"/>
              </w:rPr>
            </w:pPr>
          </w:p>
        </w:tc>
        <w:tc>
          <w:tcPr>
            <w:tcW w:w="1080"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满意度指标</w:t>
            </w:r>
          </w:p>
        </w:tc>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方正仿宋_GBK" w:hAnsi="宋体" w:eastAsia="方正仿宋_GBK" w:cs="宋体"/>
                <w:color w:val="000000"/>
                <w:kern w:val="0"/>
                <w:sz w:val="20"/>
                <w:szCs w:val="20"/>
                <w:highlight w:val="none"/>
              </w:rPr>
            </w:pPr>
            <w:r>
              <w:rPr>
                <w:rFonts w:hint="eastAsia" w:ascii="方正仿宋_GBK" w:hAnsi="宋体" w:eastAsia="方正仿宋_GBK" w:cs="宋体"/>
                <w:color w:val="000000"/>
                <w:kern w:val="0"/>
                <w:sz w:val="20"/>
                <w:szCs w:val="20"/>
                <w:highlight w:val="none"/>
              </w:rPr>
              <w:t>服务对象满意度指标</w:t>
            </w:r>
          </w:p>
        </w:tc>
        <w:tc>
          <w:tcPr>
            <w:tcW w:w="229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left"/>
              <w:rPr>
                <w:rFonts w:hint="eastAsia" w:ascii="方正仿宋_GBK" w:hAnsi="宋体" w:eastAsia="方正仿宋_GBK" w:cs="宋体"/>
                <w:color w:val="000000"/>
                <w:kern w:val="0"/>
                <w:sz w:val="20"/>
                <w:szCs w:val="20"/>
                <w:highlight w:val="none"/>
                <w:lang w:eastAsia="zh-CN"/>
              </w:rPr>
            </w:pPr>
            <w:r>
              <w:rPr>
                <w:rFonts w:hint="eastAsia" w:ascii="方正仿宋_GBK" w:hAnsi="宋体" w:eastAsia="方正仿宋_GBK" w:cs="宋体"/>
                <w:color w:val="000000"/>
                <w:kern w:val="0"/>
                <w:sz w:val="20"/>
                <w:szCs w:val="20"/>
                <w:highlight w:val="none"/>
              </w:rPr>
              <w:t>移民对后期扶持政策实施满意度</w:t>
            </w:r>
            <w:r>
              <w:rPr>
                <w:rFonts w:hint="eastAsia" w:ascii="方正仿宋_GBK" w:eastAsia="方正仿宋_GBK" w:cs="宋体"/>
                <w:color w:val="000000"/>
                <w:kern w:val="0"/>
                <w:sz w:val="20"/>
                <w:szCs w:val="20"/>
                <w:highlight w:val="none"/>
                <w:lang w:eastAsia="zh-CN"/>
              </w:rPr>
              <w:t>（≥</w:t>
            </w:r>
            <w:r>
              <w:rPr>
                <w:rFonts w:hint="eastAsia" w:ascii="方正仿宋_GBK" w:eastAsia="方正仿宋_GBK" w:cs="宋体"/>
                <w:color w:val="000000"/>
                <w:kern w:val="0"/>
                <w:sz w:val="20"/>
                <w:szCs w:val="20"/>
                <w:highlight w:val="none"/>
                <w:lang w:val="en-US" w:eastAsia="zh-CN"/>
              </w:rPr>
              <w:t>%</w:t>
            </w:r>
            <w:r>
              <w:rPr>
                <w:rFonts w:hint="eastAsia" w:ascii="方正仿宋_GBK" w:eastAsia="方正仿宋_GBK" w:cs="宋体"/>
                <w:color w:val="000000"/>
                <w:kern w:val="0"/>
                <w:sz w:val="20"/>
                <w:szCs w:val="20"/>
                <w:highlight w:val="none"/>
                <w:lang w:eastAsia="zh-CN"/>
              </w:rPr>
              <w:t>）</w:t>
            </w:r>
          </w:p>
        </w:tc>
        <w:tc>
          <w:tcPr>
            <w:tcW w:w="86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95</w:t>
            </w:r>
            <w:r>
              <w:rPr>
                <w:rFonts w:ascii="Times New Roman" w:hAnsi="Times New Roman" w:eastAsia="宋体" w:cs="Times New Roman"/>
                <w:color w:val="000000"/>
                <w:kern w:val="0"/>
                <w:sz w:val="20"/>
                <w:szCs w:val="20"/>
                <w:highlight w:val="none"/>
              </w:rPr>
              <w:t>　</w:t>
            </w:r>
          </w:p>
        </w:tc>
        <w:tc>
          <w:tcPr>
            <w:tcW w:w="12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95</w:t>
            </w:r>
            <w:r>
              <w:rPr>
                <w:rFonts w:ascii="Times New Roman" w:hAnsi="Times New Roman" w:eastAsia="宋体" w:cs="Times New Roman"/>
                <w:color w:val="000000"/>
                <w:kern w:val="0"/>
                <w:sz w:val="20"/>
                <w:szCs w:val="20"/>
                <w:highlight w:val="none"/>
              </w:rPr>
              <w:t>　</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lang w:val="en-US" w:eastAsia="zh-CN" w:bidi="ar-SA"/>
              </w:rPr>
            </w:pPr>
            <w:r>
              <w:rPr>
                <w:rFonts w:hint="eastAsia" w:ascii="Times New Roman" w:hAnsi="Times New Roman" w:eastAsia="宋体" w:cs="Times New Roman"/>
                <w:color w:val="000000"/>
                <w:kern w:val="0"/>
                <w:sz w:val="20"/>
                <w:szCs w:val="20"/>
                <w:highlight w:val="none"/>
                <w:lang w:val="en-US" w:eastAsia="zh-CN"/>
              </w:rPr>
              <w:t>10</w:t>
            </w:r>
            <w:r>
              <w:rPr>
                <w:rFonts w:ascii="Times New Roman" w:hAnsi="Times New Roman" w:eastAsia="宋体" w:cs="Times New Roman"/>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r>
      <w:tr>
        <w:tblPrEx>
          <w:tblCellMar>
            <w:top w:w="0" w:type="dxa"/>
            <w:left w:w="108" w:type="dxa"/>
            <w:bottom w:w="0" w:type="dxa"/>
            <w:right w:w="108" w:type="dxa"/>
          </w:tblCellMar>
        </w:tblPrEx>
        <w:trPr>
          <w:trHeight w:val="345" w:hRule="atLeast"/>
        </w:trPr>
        <w:tc>
          <w:tcPr>
            <w:tcW w:w="7184"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总分</w:t>
            </w:r>
          </w:p>
        </w:tc>
        <w:tc>
          <w:tcPr>
            <w:tcW w:w="1117"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100</w:t>
            </w:r>
          </w:p>
        </w:tc>
        <w:tc>
          <w:tcPr>
            <w:tcW w:w="8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宋体" w:hAnsi="宋体" w:eastAsia="宋体" w:cs="宋体"/>
                <w:color w:val="000000"/>
                <w:kern w:val="0"/>
                <w:sz w:val="20"/>
                <w:szCs w:val="20"/>
                <w:highlight w:val="none"/>
              </w:rPr>
            </w:pPr>
            <w:r>
              <w:rPr>
                <w:rFonts w:hint="eastAsia" w:eastAsia="宋体" w:cs="宋体"/>
                <w:color w:val="000000"/>
                <w:kern w:val="0"/>
                <w:sz w:val="20"/>
                <w:szCs w:val="20"/>
                <w:highlight w:val="none"/>
                <w:lang w:val="en-US" w:eastAsia="zh-CN"/>
              </w:rPr>
              <w:t>100</w:t>
            </w:r>
            <w:r>
              <w:rPr>
                <w:rFonts w:hint="eastAsia" w:ascii="宋体" w:hAnsi="宋体" w:eastAsia="宋体" w:cs="宋体"/>
                <w:color w:val="000000"/>
                <w:kern w:val="0"/>
                <w:sz w:val="20"/>
                <w:szCs w:val="20"/>
                <w:highlight w:val="none"/>
              </w:rPr>
              <w:t>　</w:t>
            </w:r>
          </w:p>
        </w:tc>
        <w:tc>
          <w:tcPr>
            <w:tcW w:w="1269"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beforeAutospacing="0" w:afterAutospacing="0" w:line="578" w:lineRule="exact"/>
              <w:ind w:left="0" w:firstLine="0" w:firstLineChars="0"/>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w:t>
            </w:r>
          </w:p>
        </w:tc>
      </w:tr>
    </w:tbl>
    <w:p>
      <w:pPr>
        <w:pageBreakBefore w:val="0"/>
        <w:widowControl/>
        <w:kinsoku/>
        <w:wordWrap/>
        <w:overflowPunct/>
        <w:topLinePunct w:val="0"/>
        <w:autoSpaceDE/>
        <w:autoSpaceDN/>
        <w:bidi w:val="0"/>
        <w:adjustRightInd/>
        <w:snapToGrid/>
        <w:spacing w:beforeAutospacing="0" w:afterAutospacing="0" w:line="578" w:lineRule="exact"/>
        <w:ind w:left="0" w:leftChars="0" w:firstLine="0" w:firstLineChars="0"/>
        <w:textAlignment w:val="auto"/>
        <w:rPr>
          <w:rFonts w:hint="eastAsia"/>
          <w:lang w:val="en-US" w:eastAsia="zh-CN"/>
        </w:rPr>
      </w:pPr>
    </w:p>
    <w:p>
      <w:pPr>
        <w:pStyle w:val="7"/>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firstLine="0" w:firstLineChars="0"/>
        <w:rPr>
          <w:rFonts w:hint="eastAsia"/>
          <w:sz w:val="18"/>
          <w:szCs w:val="18"/>
        </w:rPr>
        <w:sectPr>
          <w:pgSz w:w="11907" w:h="16840"/>
          <w:pgMar w:top="1440" w:right="1800" w:bottom="1440" w:left="1800" w:header="851" w:footer="992" w:gutter="0"/>
          <w:pgNumType w:fmt="decimal"/>
          <w:cols w:space="425" w:num="1"/>
          <w:docGrid w:type="lines" w:linePitch="312" w:charSpace="0"/>
        </w:sectPr>
      </w:pPr>
    </w:p>
    <w:p>
      <w:pPr>
        <w:pageBreakBefore w:val="0"/>
        <w:widowControl/>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2.绩效自评报告或案例</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云阳县2022年水库移民后期扶持基金（资金）－云阳县宝坪镇桂坪村小型水厂项目根据年初设定的绩效目标，项目总体完成情况：在桂坪村新建了小型水厂，促进桂坪村农业基础设施的完善与发展，提升了人民群众的满意度与幸福感。项目全年预算数为100万元，执行数为99.96万元，完成预算的99.96%。主要产出和效果：一是资金下达执行率大于等于95%；二是项目验收合格率等于100%；三是使用人员满意度大于等于95%。</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3.关于绩效自评结果的说明</w:t>
      </w:r>
    </w:p>
    <w:p>
      <w:pPr>
        <w:pageBreakBefore w:val="0"/>
        <w:widowControl/>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我单位2022年度各项资金使用工作已基本完成，完成了年度绩效目标。所有项目的日常管理工作均按照相关管理制度执行，建立了工作有计划、实施有方案、日常有监督的管理机制，工作取得了较好的成绩，效能得到了提高。</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六、专业名词解释</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（一）财政拨款收入</w:t>
      </w:r>
    </w:p>
    <w:p>
      <w:pPr>
        <w:pageBreakBefore w:val="0"/>
        <w:widowControl/>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指本年度从本级财政部门取得的财政拨款，包括一般公共预算财政拨款和政府性基金预算财政拨款。</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（二）事业收入</w:t>
      </w:r>
    </w:p>
    <w:p>
      <w:pPr>
        <w:pageBreakBefore w:val="0"/>
        <w:widowControl/>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指事业单位开展专业业务活动及其辅助活动取得的现金流入；事业单位收到的财政专户实际核拨的教育收费等资金在此反映。</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（三）经营收入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指事业单位在专业业务活动及其辅助活动之外开展非独立核算经营活动取得的现金流入。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（四）其他收入</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（五）使用非财政拨款结余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（六）年初结转和结余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指单位上年结转本年使用的基本支出结转、项目支出结转和结余、经营结余。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Fonts w:hint="eastAsia" w:ascii="方正仿宋_GBK" w:hAnsi="方正仿宋_GBK" w:eastAsia="方正仿宋_GBK" w:cs="方正仿宋_GBK"/>
          <w:sz w:val="32"/>
          <w:szCs w:val="24"/>
          <w:lang w:val="en-US" w:eastAsia="zh-CN" w:bidi="ar-SA"/>
        </w:rPr>
        <w:t>（七）</w:t>
      </w:r>
      <w:r>
        <w:rPr>
          <w:rStyle w:val="10"/>
          <w:rFonts w:hint="eastAsia" w:ascii="方正楷体_GBK" w:hAnsi="方正楷体_GBK" w:eastAsia="方正楷体_GBK" w:cs="方正楷体_GBK"/>
          <w:b w:val="0"/>
          <w:bCs w:val="0"/>
          <w:sz w:val="32"/>
          <w:szCs w:val="32"/>
        </w:rPr>
        <w:t>结余分配</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指单位按照国家有关规定，缴纳所得税、提取专用基金、转入非财政拨款结余等当年结余的分配情况。</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（八）年末结转和结余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指单位结转下年的基本支出结转、项目支出结转和结余、经营结余。</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（九）基本支出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3"/>
          <w:rFonts w:ascii="Arial" w:hAnsi="Arial" w:cs="Times New Roman"/>
          <w:b/>
        </w:rPr>
      </w:pPr>
      <w:r>
        <w:rPr>
          <w:rStyle w:val="10"/>
          <w:rFonts w:hint="eastAsia" w:ascii="方正楷体_GBK" w:hAnsi="方正楷体_GBK" w:eastAsia="方正楷体_GBK" w:cs="方正楷体_GBK"/>
          <w:b w:val="0"/>
          <w:bCs w:val="0"/>
          <w:sz w:val="32"/>
          <w:szCs w:val="32"/>
        </w:rPr>
        <w:t>（十）项目支出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指在基本支出之外为完成特定行政任务和事业发展目标所发生的支出。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（十一）经营支出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指事业单位在专业业务活动及其辅助活动之外开展非独立核算经营活动发生的支出。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lang w:val="en-US" w:eastAsia="zh-CN" w:bidi="ar-SA"/>
        </w:rPr>
      </w:pPr>
      <w:r>
        <w:rPr>
          <w:rStyle w:val="10"/>
          <w:rFonts w:hint="eastAsia" w:ascii="方正楷体_GBK" w:hAnsi="方正楷体_GBK" w:eastAsia="方正楷体_GBK" w:cs="方正楷体_GBK"/>
          <w:b w:val="0"/>
          <w:bCs w:val="0"/>
          <w:sz w:val="32"/>
          <w:szCs w:val="32"/>
          <w:lang w:val="en-US" w:eastAsia="zh-CN" w:bidi="ar-SA"/>
        </w:rPr>
        <w:t>（十二）“三公”经费</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（十三）机关运行经费</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3"/>
          <w:rFonts w:ascii="Arial" w:hAnsi="Arial" w:cs="Times New Roman"/>
          <w:b/>
        </w:rPr>
      </w:pPr>
      <w:r>
        <w:rPr>
          <w:rStyle w:val="10"/>
          <w:rFonts w:hint="eastAsia" w:ascii="方正楷体_GBK" w:hAnsi="方正楷体_GBK" w:eastAsia="方正楷体_GBK" w:cs="方正楷体_GBK"/>
          <w:b w:val="0"/>
          <w:bCs w:val="0"/>
          <w:sz w:val="32"/>
          <w:szCs w:val="32"/>
        </w:rPr>
        <w:t>（十四）工资福利支出（支出经济分类科目类级）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反映单位开支的在职职工和编制外长期聘用人员的各类劳动报酬，以及为上述人员缴纳的各项社会保险费等</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（十五）商品和服务支出（支出经济分类科目类级）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反映单位购买商品和服务的支出（不包括用于购置固定资产的支出、战略性和应急储备支出）。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（十六）对个人和家庭的补助（支出经济分类科目类级）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反映用于对个人和家庭的补助支出。</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Style w:val="10"/>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rPr>
        <w:t>（十七）其他资本性支出（支出经济分类科目类级）</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textAlignment w:val="auto"/>
        <w:rPr>
          <w:rFonts w:hint="eastAsia" w:ascii="方正仿宋_GBK" w:hAnsi="方正仿宋_GBK" w:eastAsia="方正仿宋_GBK" w:cs="方正仿宋_GBK"/>
          <w:sz w:val="32"/>
          <w:szCs w:val="24"/>
          <w:lang w:val="en-US" w:eastAsia="zh-CN" w:bidi="ar-SA"/>
        </w:rPr>
      </w:pPr>
      <w:r>
        <w:rPr>
          <w:rFonts w:hint="eastAsia" w:ascii="方正仿宋_GBK" w:hAnsi="方正仿宋_GBK" w:eastAsia="方正仿宋_GBK" w:cs="方正仿宋_GBK"/>
          <w:sz w:val="32"/>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left="0" w:leftChars="0" w:firstLine="640" w:firstLineChars="200"/>
        <w:textAlignment w:val="auto"/>
      </w:pPr>
      <w:r>
        <w:t>七、决算公开联系方式及信息反馈渠道</w:t>
      </w:r>
    </w:p>
    <w:p>
      <w:pPr>
        <w:pageBreakBefore w:val="0"/>
        <w:widowControl/>
        <w:kinsoku/>
        <w:wordWrap/>
        <w:overflowPunct/>
        <w:topLinePunct w:val="0"/>
        <w:autoSpaceDE/>
        <w:autoSpaceDN/>
        <w:bidi w:val="0"/>
        <w:adjustRightInd/>
        <w:snapToGrid/>
        <w:spacing w:beforeAutospacing="0" w:afterAutospacing="0" w:line="578" w:lineRule="exact"/>
        <w:ind w:left="0" w:firstLine="640" w:firstLineChars="200"/>
        <w:textAlignment w:val="auto"/>
        <w:rPr>
          <w:rFonts w:hint="default"/>
          <w:lang w:val="en-US" w:eastAsia="zh-CN"/>
        </w:rPr>
      </w:pPr>
      <w:r>
        <w:rPr>
          <w:lang w:val="en-US" w:eastAsia="zh-CN"/>
        </w:rPr>
        <w:t>本单位决算公开信息反馈和联系方式：</w:t>
      </w:r>
      <w:r>
        <w:rPr>
          <w:rFonts w:hint="eastAsia"/>
          <w:lang w:val="en-US" w:eastAsia="zh-CN"/>
        </w:rPr>
        <w:t>023-55311008</w:t>
      </w:r>
    </w:p>
    <w:sectPr>
      <w:pgSz w:w="11907" w:h="16840"/>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wordWrap/>
                            <w:overflowPunct/>
                            <w:topLinePunct w:val="0"/>
                            <w:bidi w:val="0"/>
                            <w:adjustRightInd/>
                            <w:snapToGrid w:val="0"/>
                            <w:ind w:left="320" w:leftChars="100"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keepNext w:val="0"/>
                      <w:keepLines w:val="0"/>
                      <w:pageBreakBefore w:val="0"/>
                      <w:widowControl/>
                      <w:kinsoku/>
                      <w:wordWrap/>
                      <w:overflowPunct/>
                      <w:topLinePunct w:val="0"/>
                      <w:bidi w:val="0"/>
                      <w:adjustRightInd/>
                      <w:snapToGrid w:val="0"/>
                      <w:ind w:left="320" w:leftChars="100"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ZGQwOGI4ZWM2NDA3Yjc1MjI5M2MyYmY1OTIxNDAifQ=="/>
  </w:docVars>
  <w:rsids>
    <w:rsidRoot w:val="00071E38"/>
    <w:rsid w:val="00071E38"/>
    <w:rsid w:val="00221B82"/>
    <w:rsid w:val="005F25FF"/>
    <w:rsid w:val="00CF5500"/>
    <w:rsid w:val="016F45ED"/>
    <w:rsid w:val="02EB05EB"/>
    <w:rsid w:val="03104B3C"/>
    <w:rsid w:val="03786C4D"/>
    <w:rsid w:val="03D270B5"/>
    <w:rsid w:val="03F31506"/>
    <w:rsid w:val="07CA4C73"/>
    <w:rsid w:val="08216783"/>
    <w:rsid w:val="082C4FE6"/>
    <w:rsid w:val="08A96637"/>
    <w:rsid w:val="09532A47"/>
    <w:rsid w:val="09644C54"/>
    <w:rsid w:val="09684744"/>
    <w:rsid w:val="0A2E10A2"/>
    <w:rsid w:val="0A913826"/>
    <w:rsid w:val="0AFD13B4"/>
    <w:rsid w:val="0B460AB5"/>
    <w:rsid w:val="0C322DE7"/>
    <w:rsid w:val="0C3A21F2"/>
    <w:rsid w:val="0C5C1C12"/>
    <w:rsid w:val="0DC45CC1"/>
    <w:rsid w:val="0EF645A0"/>
    <w:rsid w:val="0F0A004B"/>
    <w:rsid w:val="0F621C35"/>
    <w:rsid w:val="11AE2F10"/>
    <w:rsid w:val="129E4D32"/>
    <w:rsid w:val="12E83077"/>
    <w:rsid w:val="13FA68E0"/>
    <w:rsid w:val="142E0338"/>
    <w:rsid w:val="1441006B"/>
    <w:rsid w:val="14551D69"/>
    <w:rsid w:val="147521FD"/>
    <w:rsid w:val="14B7657F"/>
    <w:rsid w:val="15082937"/>
    <w:rsid w:val="15582869"/>
    <w:rsid w:val="159202A9"/>
    <w:rsid w:val="15F31839"/>
    <w:rsid w:val="16797F90"/>
    <w:rsid w:val="16A82624"/>
    <w:rsid w:val="17084E70"/>
    <w:rsid w:val="175541A5"/>
    <w:rsid w:val="17A6349E"/>
    <w:rsid w:val="180A5720"/>
    <w:rsid w:val="18117D55"/>
    <w:rsid w:val="184C3483"/>
    <w:rsid w:val="1A172319"/>
    <w:rsid w:val="1A1D232C"/>
    <w:rsid w:val="1AD27C6F"/>
    <w:rsid w:val="1AF000F5"/>
    <w:rsid w:val="1BFC4E3E"/>
    <w:rsid w:val="1C8651B5"/>
    <w:rsid w:val="1C924719"/>
    <w:rsid w:val="1D722E36"/>
    <w:rsid w:val="1D9E652E"/>
    <w:rsid w:val="1E892D3B"/>
    <w:rsid w:val="1F8C62DE"/>
    <w:rsid w:val="1FB5190D"/>
    <w:rsid w:val="208A2D9A"/>
    <w:rsid w:val="209D487B"/>
    <w:rsid w:val="215C64E4"/>
    <w:rsid w:val="21CE36A2"/>
    <w:rsid w:val="244761C1"/>
    <w:rsid w:val="25207829"/>
    <w:rsid w:val="2604714B"/>
    <w:rsid w:val="27A07406"/>
    <w:rsid w:val="28D252DE"/>
    <w:rsid w:val="296F6FD1"/>
    <w:rsid w:val="2A6B7798"/>
    <w:rsid w:val="2B8F74B6"/>
    <w:rsid w:val="2BC929C8"/>
    <w:rsid w:val="2BF832AE"/>
    <w:rsid w:val="2C6941AB"/>
    <w:rsid w:val="2E1A575D"/>
    <w:rsid w:val="2E3031D3"/>
    <w:rsid w:val="2E9279E9"/>
    <w:rsid w:val="2F6824F8"/>
    <w:rsid w:val="313A786B"/>
    <w:rsid w:val="31454BB2"/>
    <w:rsid w:val="31EF00AB"/>
    <w:rsid w:val="323E39E4"/>
    <w:rsid w:val="323F13E2"/>
    <w:rsid w:val="32D14858"/>
    <w:rsid w:val="332A2381"/>
    <w:rsid w:val="33C02691"/>
    <w:rsid w:val="33C7275C"/>
    <w:rsid w:val="34494E10"/>
    <w:rsid w:val="3467738C"/>
    <w:rsid w:val="34784F8C"/>
    <w:rsid w:val="34D4418C"/>
    <w:rsid w:val="36AE1139"/>
    <w:rsid w:val="3885411B"/>
    <w:rsid w:val="38F06E9C"/>
    <w:rsid w:val="39253208"/>
    <w:rsid w:val="3942025E"/>
    <w:rsid w:val="398048E2"/>
    <w:rsid w:val="399A1714"/>
    <w:rsid w:val="3A6D30B9"/>
    <w:rsid w:val="3AF61300"/>
    <w:rsid w:val="3B44392A"/>
    <w:rsid w:val="3B8A012D"/>
    <w:rsid w:val="3C0B2B89"/>
    <w:rsid w:val="3C125CC6"/>
    <w:rsid w:val="3C2C7ADB"/>
    <w:rsid w:val="3C724E02"/>
    <w:rsid w:val="3CA31014"/>
    <w:rsid w:val="3CF54EC8"/>
    <w:rsid w:val="3D3639CB"/>
    <w:rsid w:val="3D453E79"/>
    <w:rsid w:val="3DDA0A65"/>
    <w:rsid w:val="3EF45B57"/>
    <w:rsid w:val="3F741D81"/>
    <w:rsid w:val="3FED4BA5"/>
    <w:rsid w:val="4018579F"/>
    <w:rsid w:val="418F1B67"/>
    <w:rsid w:val="41A43864"/>
    <w:rsid w:val="4303280C"/>
    <w:rsid w:val="43081BD1"/>
    <w:rsid w:val="43370708"/>
    <w:rsid w:val="43C04259"/>
    <w:rsid w:val="44081DFE"/>
    <w:rsid w:val="44613C8E"/>
    <w:rsid w:val="44E87F0C"/>
    <w:rsid w:val="45C85647"/>
    <w:rsid w:val="46823D26"/>
    <w:rsid w:val="46B5206F"/>
    <w:rsid w:val="475A0E14"/>
    <w:rsid w:val="491A265E"/>
    <w:rsid w:val="496E6505"/>
    <w:rsid w:val="4A1C2405"/>
    <w:rsid w:val="4AE7656F"/>
    <w:rsid w:val="4B4C78BD"/>
    <w:rsid w:val="4BD42F98"/>
    <w:rsid w:val="4C8C73CE"/>
    <w:rsid w:val="4CB86415"/>
    <w:rsid w:val="4FD07F1A"/>
    <w:rsid w:val="50355FCF"/>
    <w:rsid w:val="51986815"/>
    <w:rsid w:val="51FA74D0"/>
    <w:rsid w:val="526D1A50"/>
    <w:rsid w:val="52DB0B9F"/>
    <w:rsid w:val="53113046"/>
    <w:rsid w:val="53236DF9"/>
    <w:rsid w:val="551D4652"/>
    <w:rsid w:val="56EF3045"/>
    <w:rsid w:val="591B0262"/>
    <w:rsid w:val="5A1530F9"/>
    <w:rsid w:val="5A8A7FA1"/>
    <w:rsid w:val="5B6D2AC1"/>
    <w:rsid w:val="5CA73DB1"/>
    <w:rsid w:val="5D043B86"/>
    <w:rsid w:val="5D1551BE"/>
    <w:rsid w:val="5DE92DE3"/>
    <w:rsid w:val="5E017C8A"/>
    <w:rsid w:val="5E0314BA"/>
    <w:rsid w:val="5E167440"/>
    <w:rsid w:val="5F23041B"/>
    <w:rsid w:val="5FB321AC"/>
    <w:rsid w:val="60B44CEE"/>
    <w:rsid w:val="61581B1D"/>
    <w:rsid w:val="62214605"/>
    <w:rsid w:val="6359661E"/>
    <w:rsid w:val="63972DD1"/>
    <w:rsid w:val="64191A38"/>
    <w:rsid w:val="645E0594"/>
    <w:rsid w:val="64F47DAF"/>
    <w:rsid w:val="653528A1"/>
    <w:rsid w:val="665E1984"/>
    <w:rsid w:val="67177D85"/>
    <w:rsid w:val="67C021CA"/>
    <w:rsid w:val="67DA7730"/>
    <w:rsid w:val="683A3D2B"/>
    <w:rsid w:val="6870599E"/>
    <w:rsid w:val="69540E1C"/>
    <w:rsid w:val="69635503"/>
    <w:rsid w:val="69A2602B"/>
    <w:rsid w:val="6A415844"/>
    <w:rsid w:val="6A657D8C"/>
    <w:rsid w:val="6B6C069F"/>
    <w:rsid w:val="6C345486"/>
    <w:rsid w:val="6D1C3CA6"/>
    <w:rsid w:val="6DBE0E47"/>
    <w:rsid w:val="6E250FD9"/>
    <w:rsid w:val="6EF2783F"/>
    <w:rsid w:val="6FCB3847"/>
    <w:rsid w:val="70D57A33"/>
    <w:rsid w:val="71335486"/>
    <w:rsid w:val="71B16CAF"/>
    <w:rsid w:val="71D90A58"/>
    <w:rsid w:val="72247F25"/>
    <w:rsid w:val="7231619E"/>
    <w:rsid w:val="72EB0A43"/>
    <w:rsid w:val="72F35B4A"/>
    <w:rsid w:val="74220495"/>
    <w:rsid w:val="742904F2"/>
    <w:rsid w:val="74546174"/>
    <w:rsid w:val="752777E3"/>
    <w:rsid w:val="76490E23"/>
    <w:rsid w:val="76816FC9"/>
    <w:rsid w:val="76EC4277"/>
    <w:rsid w:val="7722255A"/>
    <w:rsid w:val="787E1A12"/>
    <w:rsid w:val="791E6A30"/>
    <w:rsid w:val="7A17211E"/>
    <w:rsid w:val="7A3525A4"/>
    <w:rsid w:val="7B423EC2"/>
    <w:rsid w:val="7B985D96"/>
    <w:rsid w:val="7BD04C7A"/>
    <w:rsid w:val="7BDD2EF3"/>
    <w:rsid w:val="7C95557C"/>
    <w:rsid w:val="7CAF663E"/>
    <w:rsid w:val="7CBC0D5A"/>
    <w:rsid w:val="7D0E5A5A"/>
    <w:rsid w:val="7D5C0959"/>
    <w:rsid w:val="7DE176F1"/>
    <w:rsid w:val="7E1C5B3F"/>
    <w:rsid w:val="7FDF548C"/>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exact"/>
      <w:ind w:firstLine="720" w:firstLineChars="200"/>
    </w:pPr>
    <w:rPr>
      <w:rFonts w:ascii="宋体" w:hAnsi="宋体" w:eastAsia="仿宋" w:cs="宋体"/>
      <w:sz w:val="32"/>
      <w:szCs w:val="24"/>
      <w:lang w:val="en-US" w:eastAsia="zh-CN" w:bidi="ar-SA"/>
    </w:rPr>
  </w:style>
  <w:style w:type="paragraph" w:styleId="2">
    <w:name w:val="heading 1"/>
    <w:basedOn w:val="1"/>
    <w:next w:val="1"/>
    <w:link w:val="14"/>
    <w:qFormat/>
    <w:uiPriority w:val="9"/>
    <w:pPr>
      <w:keepNext/>
      <w:keepLines/>
      <w:spacing w:before="340" w:beforeLines="0" w:beforeAutospacing="0" w:after="330" w:afterLines="0" w:afterAutospacing="0" w:line="720" w:lineRule="exact"/>
      <w:outlineLvl w:val="0"/>
    </w:pPr>
    <w:rPr>
      <w:rFonts w:eastAsia="黑体"/>
      <w:kern w:val="44"/>
    </w:rPr>
  </w:style>
  <w:style w:type="paragraph" w:styleId="3">
    <w:name w:val="heading 2"/>
    <w:basedOn w:val="1"/>
    <w:next w:val="1"/>
    <w:link w:val="13"/>
    <w:unhideWhenUsed/>
    <w:qFormat/>
    <w:uiPriority w:val="9"/>
    <w:pPr>
      <w:keepNext/>
      <w:keepLines/>
      <w:spacing w:before="260" w:beforeLines="0" w:beforeAutospacing="0" w:after="260" w:afterLines="0" w:afterAutospacing="0" w:line="720" w:lineRule="exact"/>
      <w:outlineLvl w:val="1"/>
    </w:pPr>
    <w:rPr>
      <w:rFonts w:ascii="Arial" w:hAnsi="Arial" w:eastAsia="楷体"/>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Strong"/>
    <w:basedOn w:val="9"/>
    <w:qFormat/>
    <w:uiPriority w:val="22"/>
    <w:rPr>
      <w:b/>
      <w:bCs/>
    </w:rPr>
  </w:style>
  <w:style w:type="character" w:customStyle="1" w:styleId="11">
    <w:name w:val="页眉 Char"/>
    <w:basedOn w:val="9"/>
    <w:link w:val="6"/>
    <w:semiHidden/>
    <w:qFormat/>
    <w:uiPriority w:val="99"/>
    <w:rPr>
      <w:rFonts w:ascii="宋体" w:hAnsi="宋体" w:eastAsia="宋体" w:cs="宋体"/>
      <w:sz w:val="18"/>
      <w:szCs w:val="18"/>
    </w:rPr>
  </w:style>
  <w:style w:type="character" w:customStyle="1" w:styleId="12">
    <w:name w:val="页脚 Char"/>
    <w:basedOn w:val="9"/>
    <w:link w:val="5"/>
    <w:semiHidden/>
    <w:qFormat/>
    <w:uiPriority w:val="99"/>
    <w:rPr>
      <w:rFonts w:ascii="宋体" w:hAnsi="宋体" w:eastAsia="宋体" w:cs="宋体"/>
      <w:sz w:val="18"/>
      <w:szCs w:val="18"/>
    </w:rPr>
  </w:style>
  <w:style w:type="character" w:customStyle="1" w:styleId="13">
    <w:name w:val="标题 2 Char"/>
    <w:link w:val="3"/>
    <w:qFormat/>
    <w:uiPriority w:val="0"/>
    <w:rPr>
      <w:rFonts w:ascii="Arial" w:hAnsi="Arial" w:eastAsia="楷体"/>
      <w:sz w:val="32"/>
    </w:rPr>
  </w:style>
  <w:style w:type="character" w:customStyle="1" w:styleId="14">
    <w:name w:val="标题 1 Char"/>
    <w:link w:val="2"/>
    <w:qFormat/>
    <w:uiPriority w:val="0"/>
    <w:rPr>
      <w:rFonts w:eastAsia="黑体"/>
      <w:kern w:val="44"/>
      <w:sz w:val="32"/>
    </w:rPr>
  </w:style>
  <w:style w:type="character" w:customStyle="1" w:styleId="15">
    <w:name w:val="font31"/>
    <w:basedOn w:val="9"/>
    <w:qFormat/>
    <w:uiPriority w:val="0"/>
    <w:rPr>
      <w:rFonts w:hint="eastAsia" w:ascii="方正仿宋_GBK" w:hAnsi="方正仿宋_GBK" w:eastAsia="方正仿宋_GBK" w:cs="方正仿宋_GBK"/>
      <w:color w:val="000000"/>
      <w:sz w:val="18"/>
      <w:szCs w:val="18"/>
      <w:u w:val="none"/>
    </w:rPr>
  </w:style>
  <w:style w:type="character" w:customStyle="1" w:styleId="16">
    <w:name w:val="font2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5976</Words>
  <Characters>6732</Characters>
  <Lines>16</Lines>
  <Paragraphs>19</Paragraphs>
  <TotalTime>22</TotalTime>
  <ScaleCrop>false</ScaleCrop>
  <LinksUpToDate>false</LinksUpToDate>
  <CharactersWithSpaces>6827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2022-10-23T18:11:00Z</dcterms:created>
  <dc:creator>郭雨璐</dc:creator>
  <cp:lastModifiedBy>幽</cp:lastModifiedBy>
  <cp:lastPrinted>2023-10-20T02:39:00Z</cp:lastPrinted>
  <dcterms:modified xsi:type="dcterms:W3CDTF">2023-11-08T12:13:27Z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5CC4E54C780A4E049AEAAA69DF139BCB</vt:lpwstr>
  </property>
</Properties>
</file>