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kinsoku/>
        <w:wordWrap/>
        <w:overflowPunct/>
        <w:topLinePunct w:val="0"/>
        <w:autoSpaceDN/>
        <w:bidi w:val="0"/>
        <w:adjustRightInd/>
        <w:spacing w:before="0" w:beforeAutospacing="0" w:after="0" w:afterAutospacing="0" w:line="578" w:lineRule="exact"/>
        <w:jc w:val="center"/>
        <w:textAlignment w:val="auto"/>
        <w:rPr>
          <w:rFonts w:hint="default" w:ascii="Times New Roman" w:hAnsi="Times New Roman" w:eastAsia="方正小标宋_GBK" w:cs="方正小标宋_GBK"/>
          <w:sz w:val="44"/>
          <w:szCs w:val="44"/>
        </w:rPr>
      </w:pPr>
      <w:r>
        <w:rPr>
          <w:rFonts w:ascii="Times New Roman" w:hAnsi="Times New Roman" w:eastAsia="方正小标宋_GBK" w:cs="方正小标宋_GBK"/>
          <w:sz w:val="44"/>
          <w:szCs w:val="44"/>
        </w:rPr>
        <w:t>重庆市云阳县蔈草镇人民政府（本级）</w:t>
      </w:r>
    </w:p>
    <w:p>
      <w:pPr>
        <w:pStyle w:val="7"/>
        <w:keepNext w:val="0"/>
        <w:keepLines w:val="0"/>
        <w:pageBreakBefore w:val="0"/>
        <w:kinsoku/>
        <w:wordWrap/>
        <w:overflowPunct/>
        <w:topLinePunct w:val="0"/>
        <w:autoSpaceDN/>
        <w:bidi w:val="0"/>
        <w:adjustRightInd/>
        <w:spacing w:before="0" w:beforeAutospacing="0" w:after="0" w:afterAutospacing="0" w:line="578" w:lineRule="exact"/>
        <w:jc w:val="center"/>
        <w:textAlignment w:val="auto"/>
        <w:rPr>
          <w:rFonts w:ascii="Times New Roman" w:hAnsi="Times New Roman"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Times New Roman" w:hAnsi="Times New Roman" w:eastAsia="方正小标宋_GBK" w:cs="方正小标宋_GBK"/>
          <w:sz w:val="44"/>
          <w:szCs w:val="44"/>
          <w:shd w:val="clear" w:color="auto" w:fill="FFFFFF"/>
        </w:rPr>
        <w:t>年度决算公开说明</w:t>
      </w:r>
    </w:p>
    <w:p>
      <w:pPr>
        <w:pStyle w:val="7"/>
        <w:keepNext w:val="0"/>
        <w:keepLines w:val="0"/>
        <w:pageBreakBefore w:val="0"/>
        <w:kinsoku/>
        <w:wordWrap/>
        <w:overflowPunct/>
        <w:topLinePunct w:val="0"/>
        <w:autoSpaceDN/>
        <w:bidi w:val="0"/>
        <w:adjustRightInd/>
        <w:spacing w:before="0" w:beforeAutospacing="0" w:after="0" w:afterAutospacing="0" w:line="578" w:lineRule="exact"/>
        <w:jc w:val="center"/>
        <w:textAlignment w:val="auto"/>
        <w:rPr>
          <w:rFonts w:hint="default" w:ascii="Times New Roman" w:hAnsi="Times New Roman" w:eastAsia="方正小标宋_GBK" w:cs="方正小标宋_GBK"/>
          <w:sz w:val="44"/>
          <w:szCs w:val="44"/>
          <w:shd w:val="clear" w:color="auto" w:fill="FFFFFF"/>
        </w:rPr>
      </w:pPr>
    </w:p>
    <w:p>
      <w:pPr>
        <w:pStyle w:val="7"/>
        <w:keepNext w:val="0"/>
        <w:keepLines w:val="0"/>
        <w:pageBreakBefore w:val="0"/>
        <w:shd w:val="clear" w:color="auto" w:fill="FFFFFF"/>
        <w:kinsoku/>
        <w:wordWrap/>
        <w:overflowPunct/>
        <w:topLinePunct w:val="0"/>
        <w:autoSpaceDN/>
        <w:bidi w:val="0"/>
        <w:adjustRightInd/>
        <w:spacing w:before="0" w:beforeAutospacing="0" w:after="0" w:afterAutospacing="0" w:line="578" w:lineRule="exact"/>
        <w:ind w:firstLine="640" w:firstLineChars="200"/>
        <w:textAlignment w:val="auto"/>
        <w:rPr>
          <w:rFonts w:hint="eastAsia" w:ascii="方正黑体_GBK" w:hAnsi="方正黑体_GBK" w:eastAsia="方正黑体_GBK" w:cs="方正黑体_GBK"/>
          <w:b w:val="0"/>
          <w:bCs w:val="0"/>
          <w:kern w:val="2"/>
          <w:sz w:val="32"/>
          <w:szCs w:val="22"/>
          <w:lang w:val="en-US" w:eastAsia="zh-CN" w:bidi="ar-SA"/>
        </w:rPr>
      </w:pPr>
      <w:r>
        <w:rPr>
          <w:rFonts w:hint="eastAsia" w:ascii="方正黑体_GBK" w:hAnsi="方正黑体_GBK" w:eastAsia="方正黑体_GBK" w:cs="方正黑体_GBK"/>
          <w:b w:val="0"/>
          <w:bCs w:val="0"/>
          <w:kern w:val="2"/>
          <w:sz w:val="32"/>
          <w:szCs w:val="22"/>
          <w:lang w:val="en-US" w:eastAsia="zh-CN" w:bidi="ar-SA"/>
        </w:rPr>
        <w:t>一、单位基本情况</w:t>
      </w:r>
    </w:p>
    <w:p>
      <w:pPr>
        <w:pStyle w:val="7"/>
        <w:keepNext w:val="0"/>
        <w:keepLines w:val="0"/>
        <w:pageBreakBefore w:val="0"/>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default"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（一）职能职责</w:t>
      </w:r>
    </w:p>
    <w:p>
      <w:pPr>
        <w:keepNext w:val="0"/>
        <w:keepLines w:val="0"/>
        <w:pageBreakBefore w:val="0"/>
        <w:widowControl w:val="0"/>
        <w:kinsoku/>
        <w:wordWrap/>
        <w:overflowPunct/>
        <w:topLinePunct w:val="0"/>
        <w:autoSpaceDN/>
        <w:bidi w:val="0"/>
        <w:adjustRightInd/>
        <w:spacing w:beforeAutospacing="0" w:afterAutospacing="0" w:line="578" w:lineRule="exact"/>
        <w:ind w:firstLine="640" w:firstLineChars="200"/>
        <w:textAlignment w:val="auto"/>
        <w:rPr>
          <w:rFonts w:hint="default" w:ascii="Times New Roman" w:hAnsi="Times New Roman" w:eastAsia="方正仿宋_GBK" w:cs="方正仿宋_GBK"/>
          <w:bCs/>
          <w:sz w:val="32"/>
          <w:szCs w:val="32"/>
        </w:rPr>
      </w:pPr>
      <w:r>
        <w:rPr>
          <w:rFonts w:ascii="Times New Roman" w:hAnsi="Times New Roman" w:eastAsia="方正仿宋_GBK" w:cs="方正仿宋_GBK"/>
          <w:bCs/>
          <w:sz w:val="32"/>
          <w:szCs w:val="32"/>
        </w:rPr>
        <w:t>1.组织贯彻执行国家财政、税收的法律、法规、政策，拟定全镇财政、国有资产管理、财务、会计方面的管理制度并组织实施，拟订和执行财政分配政策和财政管理体制，拟定财政发展战略和中长期规划，指导全镇财政工作。</w:t>
      </w:r>
    </w:p>
    <w:p>
      <w:pPr>
        <w:keepNext w:val="0"/>
        <w:keepLines w:val="0"/>
        <w:pageBreakBefore w:val="0"/>
        <w:widowControl w:val="0"/>
        <w:kinsoku/>
        <w:wordWrap/>
        <w:overflowPunct/>
        <w:topLinePunct w:val="0"/>
        <w:autoSpaceDN/>
        <w:bidi w:val="0"/>
        <w:adjustRightInd/>
        <w:spacing w:beforeAutospacing="0" w:afterAutospacing="0" w:line="578" w:lineRule="exact"/>
        <w:ind w:firstLine="640" w:firstLineChars="200"/>
        <w:textAlignment w:val="auto"/>
        <w:rPr>
          <w:rFonts w:hint="default" w:ascii="Times New Roman" w:hAnsi="Times New Roman" w:eastAsia="方正仿宋_GBK" w:cs="方正仿宋_GBK"/>
          <w:bCs/>
          <w:sz w:val="32"/>
          <w:szCs w:val="32"/>
        </w:rPr>
      </w:pPr>
      <w:r>
        <w:rPr>
          <w:rFonts w:ascii="Times New Roman" w:hAnsi="Times New Roman" w:eastAsia="方正仿宋_GBK" w:cs="方正仿宋_GBK"/>
          <w:bCs/>
          <w:sz w:val="32"/>
          <w:szCs w:val="32"/>
        </w:rPr>
        <w:t>2.管理全镇财政收支，依据《预算法》编制年度财政预算草案和决算，组织执行年度财政预算，管理行政事业性收费、政府性基金（附加）、社会保障资金等，负责财政综合平衡。</w:t>
      </w:r>
    </w:p>
    <w:p>
      <w:pPr>
        <w:keepNext w:val="0"/>
        <w:keepLines w:val="0"/>
        <w:pageBreakBefore w:val="0"/>
        <w:widowControl w:val="0"/>
        <w:kinsoku/>
        <w:wordWrap/>
        <w:overflowPunct/>
        <w:topLinePunct w:val="0"/>
        <w:autoSpaceDN/>
        <w:bidi w:val="0"/>
        <w:adjustRightInd/>
        <w:spacing w:beforeAutospacing="0" w:afterAutospacing="0" w:line="578" w:lineRule="exact"/>
        <w:ind w:firstLine="640" w:firstLineChars="200"/>
        <w:textAlignment w:val="auto"/>
        <w:rPr>
          <w:rFonts w:hint="default" w:ascii="Times New Roman" w:hAnsi="Times New Roman" w:eastAsia="方正仿宋_GBK" w:cs="方正仿宋_GBK"/>
          <w:bCs/>
          <w:sz w:val="32"/>
          <w:szCs w:val="32"/>
        </w:rPr>
      </w:pPr>
      <w:r>
        <w:rPr>
          <w:rFonts w:ascii="Times New Roman" w:hAnsi="Times New Roman" w:eastAsia="方正仿宋_GBK" w:cs="方正仿宋_GBK"/>
          <w:bCs/>
          <w:sz w:val="32"/>
          <w:szCs w:val="32"/>
        </w:rPr>
        <w:t>3.负责全镇罚没财物及政府非税收入的组织和管理工作。管理财政票据。</w:t>
      </w:r>
    </w:p>
    <w:p>
      <w:pPr>
        <w:keepNext w:val="0"/>
        <w:keepLines w:val="0"/>
        <w:pageBreakBefore w:val="0"/>
        <w:widowControl w:val="0"/>
        <w:kinsoku/>
        <w:wordWrap/>
        <w:overflowPunct/>
        <w:topLinePunct w:val="0"/>
        <w:autoSpaceDN/>
        <w:bidi w:val="0"/>
        <w:adjustRightInd/>
        <w:spacing w:beforeAutospacing="0" w:afterAutospacing="0" w:line="578" w:lineRule="exact"/>
        <w:ind w:firstLine="640" w:firstLineChars="200"/>
        <w:textAlignment w:val="auto"/>
        <w:rPr>
          <w:rFonts w:hint="default" w:ascii="Times New Roman" w:hAnsi="Times New Roman" w:eastAsia="方正仿宋_GBK" w:cs="方正仿宋_GBK"/>
          <w:bCs/>
          <w:sz w:val="32"/>
          <w:szCs w:val="32"/>
        </w:rPr>
      </w:pPr>
      <w:r>
        <w:rPr>
          <w:rFonts w:ascii="Times New Roman" w:hAnsi="Times New Roman" w:eastAsia="方正仿宋_GBK" w:cs="方正仿宋_GBK"/>
          <w:bCs/>
          <w:sz w:val="32"/>
          <w:szCs w:val="32"/>
        </w:rPr>
        <w:t>4.组织执行国库管理制度、国库集中收付制度，指导和监督国库业务开展。拟定和执行政府采购管理制度，负责政府采购监督管理工作。</w:t>
      </w:r>
    </w:p>
    <w:p>
      <w:pPr>
        <w:keepNext w:val="0"/>
        <w:keepLines w:val="0"/>
        <w:pageBreakBefore w:val="0"/>
        <w:widowControl w:val="0"/>
        <w:kinsoku/>
        <w:wordWrap/>
        <w:overflowPunct/>
        <w:topLinePunct w:val="0"/>
        <w:autoSpaceDN/>
        <w:bidi w:val="0"/>
        <w:adjustRightInd/>
        <w:spacing w:beforeAutospacing="0" w:afterAutospacing="0" w:line="578" w:lineRule="exact"/>
        <w:ind w:firstLine="640" w:firstLineChars="200"/>
        <w:textAlignment w:val="auto"/>
        <w:rPr>
          <w:rFonts w:hint="default" w:ascii="Times New Roman" w:hAnsi="Times New Roman" w:eastAsia="方正仿宋_GBK" w:cs="方正仿宋_GBK"/>
          <w:bCs/>
          <w:sz w:val="32"/>
          <w:szCs w:val="32"/>
        </w:rPr>
      </w:pPr>
      <w:r>
        <w:rPr>
          <w:rFonts w:ascii="Times New Roman" w:hAnsi="Times New Roman" w:eastAsia="方正仿宋_GBK" w:cs="方正仿宋_GBK"/>
          <w:bCs/>
          <w:sz w:val="32"/>
          <w:szCs w:val="32"/>
        </w:rPr>
        <w:t>5.负责国有资产的管理；组织实施国有资产的清产核资、权属界定、产权登记；负责资产评估项目的合规性审核；负责公共资源的统计、分析。</w:t>
      </w:r>
    </w:p>
    <w:p>
      <w:pPr>
        <w:keepNext w:val="0"/>
        <w:keepLines w:val="0"/>
        <w:pageBreakBefore w:val="0"/>
        <w:widowControl w:val="0"/>
        <w:kinsoku/>
        <w:wordWrap/>
        <w:overflowPunct/>
        <w:topLinePunct w:val="0"/>
        <w:autoSpaceDN/>
        <w:bidi w:val="0"/>
        <w:adjustRightInd/>
        <w:spacing w:beforeAutospacing="0" w:afterAutospacing="0" w:line="578" w:lineRule="exact"/>
        <w:ind w:firstLine="640" w:firstLineChars="200"/>
        <w:textAlignment w:val="auto"/>
        <w:rPr>
          <w:rFonts w:hint="default" w:ascii="Times New Roman" w:hAnsi="Times New Roman" w:eastAsia="方正仿宋_GBK" w:cs="方正仿宋_GBK"/>
          <w:bCs/>
          <w:sz w:val="32"/>
          <w:szCs w:val="32"/>
        </w:rPr>
      </w:pPr>
      <w:r>
        <w:rPr>
          <w:rFonts w:ascii="Times New Roman" w:hAnsi="Times New Roman" w:eastAsia="方正仿宋_GBK" w:cs="方正仿宋_GBK"/>
          <w:bCs/>
          <w:sz w:val="32"/>
          <w:szCs w:val="32"/>
        </w:rPr>
        <w:t>6.管理全镇财政公共支出和财政承担的经济发展支出，分配、管理各种有偿、无偿使用的财政专项资金。</w:t>
      </w:r>
    </w:p>
    <w:p>
      <w:pPr>
        <w:keepNext w:val="0"/>
        <w:keepLines w:val="0"/>
        <w:pageBreakBefore w:val="0"/>
        <w:widowControl w:val="0"/>
        <w:kinsoku/>
        <w:wordWrap/>
        <w:overflowPunct/>
        <w:topLinePunct w:val="0"/>
        <w:autoSpaceDN/>
        <w:bidi w:val="0"/>
        <w:adjustRightInd/>
        <w:spacing w:beforeAutospacing="0" w:afterAutospacing="0" w:line="578" w:lineRule="exact"/>
        <w:ind w:firstLine="640" w:firstLineChars="200"/>
        <w:textAlignment w:val="auto"/>
        <w:rPr>
          <w:rFonts w:hint="default" w:ascii="Times New Roman" w:hAnsi="Times New Roman" w:eastAsia="方正仿宋_GBK" w:cs="方正仿宋_GBK"/>
          <w:bCs/>
          <w:sz w:val="32"/>
          <w:szCs w:val="32"/>
        </w:rPr>
      </w:pPr>
      <w:r>
        <w:rPr>
          <w:rFonts w:ascii="Times New Roman" w:hAnsi="Times New Roman" w:eastAsia="方正仿宋_GBK" w:cs="方正仿宋_GBK"/>
          <w:bCs/>
          <w:sz w:val="32"/>
          <w:szCs w:val="32"/>
        </w:rPr>
        <w:t>7.组织执行《会计法》等法律法规及分行业会计制度，管理全镇会计工作。</w:t>
      </w:r>
    </w:p>
    <w:p>
      <w:pPr>
        <w:keepNext w:val="0"/>
        <w:keepLines w:val="0"/>
        <w:pageBreakBefore w:val="0"/>
        <w:widowControl w:val="0"/>
        <w:kinsoku/>
        <w:wordWrap/>
        <w:overflowPunct/>
        <w:topLinePunct w:val="0"/>
        <w:autoSpaceDN/>
        <w:bidi w:val="0"/>
        <w:adjustRightInd/>
        <w:spacing w:beforeAutospacing="0" w:afterAutospacing="0" w:line="578" w:lineRule="exact"/>
        <w:ind w:firstLine="640" w:firstLineChars="200"/>
        <w:textAlignment w:val="auto"/>
        <w:rPr>
          <w:rFonts w:hint="default" w:ascii="Times New Roman" w:hAnsi="Times New Roman" w:eastAsia="方正仿宋_GBK" w:cs="方正仿宋_GBK"/>
          <w:bCs/>
          <w:sz w:val="32"/>
          <w:szCs w:val="32"/>
        </w:rPr>
      </w:pPr>
      <w:r>
        <w:rPr>
          <w:rFonts w:ascii="Times New Roman" w:hAnsi="Times New Roman" w:eastAsia="方正仿宋_GBK" w:cs="方正仿宋_GBK"/>
          <w:bCs/>
          <w:sz w:val="32"/>
          <w:szCs w:val="32"/>
        </w:rPr>
        <w:t>8.组织执行《企业财务通则》和分行业财务制度，执行国家与企业的分配政策。</w:t>
      </w:r>
    </w:p>
    <w:p>
      <w:pPr>
        <w:keepNext w:val="0"/>
        <w:keepLines w:val="0"/>
        <w:pageBreakBefore w:val="0"/>
        <w:widowControl w:val="0"/>
        <w:kinsoku/>
        <w:wordWrap/>
        <w:overflowPunct/>
        <w:topLinePunct w:val="0"/>
        <w:autoSpaceDN/>
        <w:bidi w:val="0"/>
        <w:adjustRightInd/>
        <w:spacing w:beforeAutospacing="0" w:afterAutospacing="0" w:line="578" w:lineRule="exact"/>
        <w:ind w:firstLine="640" w:firstLineChars="200"/>
        <w:textAlignment w:val="auto"/>
        <w:rPr>
          <w:rFonts w:hint="default" w:ascii="Times New Roman" w:hAnsi="Times New Roman" w:eastAsia="方正仿宋_GBK" w:cs="方正仿宋_GBK"/>
          <w:bCs/>
          <w:sz w:val="32"/>
          <w:szCs w:val="32"/>
        </w:rPr>
      </w:pPr>
      <w:r>
        <w:rPr>
          <w:rFonts w:ascii="Times New Roman" w:hAnsi="Times New Roman" w:eastAsia="方正仿宋_GBK" w:cs="方正仿宋_GBK"/>
          <w:bCs/>
          <w:sz w:val="32"/>
          <w:szCs w:val="32"/>
        </w:rPr>
        <w:t>9.拟订和执行政府债务管理的制度和管理办法；管理政府债务；负责外国政府贷款、世行贷款等的监管，负责政府投融资管理，负责彩票发行的监管工作。</w:t>
      </w:r>
    </w:p>
    <w:p>
      <w:pPr>
        <w:keepNext w:val="0"/>
        <w:keepLines w:val="0"/>
        <w:pageBreakBefore w:val="0"/>
        <w:widowControl w:val="0"/>
        <w:kinsoku/>
        <w:wordWrap/>
        <w:overflowPunct/>
        <w:topLinePunct w:val="0"/>
        <w:autoSpaceDN/>
        <w:bidi w:val="0"/>
        <w:adjustRightInd/>
        <w:spacing w:beforeAutospacing="0" w:afterAutospacing="0" w:line="578" w:lineRule="exact"/>
        <w:ind w:firstLine="640" w:firstLineChars="200"/>
        <w:textAlignment w:val="auto"/>
        <w:rPr>
          <w:rFonts w:hint="default" w:ascii="Times New Roman" w:hAnsi="Times New Roman" w:eastAsia="方正仿宋_GBK" w:cs="方正仿宋_GBK"/>
          <w:bCs/>
          <w:sz w:val="32"/>
          <w:szCs w:val="32"/>
        </w:rPr>
      </w:pPr>
      <w:r>
        <w:rPr>
          <w:rFonts w:ascii="Times New Roman" w:hAnsi="Times New Roman" w:eastAsia="方正仿宋_GBK" w:cs="方正仿宋_GBK"/>
          <w:bCs/>
          <w:sz w:val="32"/>
          <w:szCs w:val="32"/>
        </w:rPr>
        <w:t>10.监督财税方针政策、法律法规的执行情况，检查财政收支管理中的重大问题，查处违反财经法纪的行为。</w:t>
      </w:r>
    </w:p>
    <w:p>
      <w:pPr>
        <w:pStyle w:val="7"/>
        <w:keepNext w:val="0"/>
        <w:keepLines w:val="0"/>
        <w:pageBreakBefore w:val="0"/>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default" w:ascii="Times New Roman" w:hAnsi="Times New Roman" w:eastAsia="方正仿宋_GBK" w:cs="方正仿宋_GBK"/>
          <w:bCs/>
          <w:sz w:val="32"/>
          <w:szCs w:val="32"/>
        </w:rPr>
      </w:pPr>
      <w:r>
        <w:rPr>
          <w:rFonts w:ascii="Times New Roman" w:hAnsi="Times New Roman" w:eastAsia="方正仿宋_GBK" w:cs="方正仿宋_GBK"/>
          <w:bCs/>
          <w:sz w:val="32"/>
          <w:szCs w:val="32"/>
        </w:rPr>
        <w:t>11.承办镇党委、镇政府和上级财政单位交办的事项。</w:t>
      </w:r>
    </w:p>
    <w:p>
      <w:pPr>
        <w:pStyle w:val="7"/>
        <w:keepNext w:val="0"/>
        <w:keepLines w:val="0"/>
        <w:pageBreakBefore w:val="0"/>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default"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（二）机构设置</w:t>
      </w:r>
    </w:p>
    <w:p>
      <w:pPr>
        <w:keepNext w:val="0"/>
        <w:keepLines w:val="0"/>
        <w:pageBreakBefore w:val="0"/>
        <w:widowControl w:val="0"/>
        <w:kinsoku/>
        <w:wordWrap/>
        <w:overflowPunct/>
        <w:topLinePunct w:val="0"/>
        <w:autoSpaceDN/>
        <w:bidi w:val="0"/>
        <w:adjustRightInd/>
        <w:spacing w:beforeAutospacing="0" w:afterAutospacing="0" w:line="578" w:lineRule="exact"/>
        <w:ind w:firstLine="640" w:firstLineChars="200"/>
        <w:textAlignment w:val="auto"/>
        <w:rPr>
          <w:rFonts w:hint="default" w:ascii="Times New Roman" w:hAnsi="Times New Roman" w:eastAsia="方正仿宋_GBK" w:cs="方正仿宋_GBK"/>
          <w:color w:val="FF0000"/>
          <w:sz w:val="32"/>
          <w:szCs w:val="32"/>
          <w:highlight w:val="yellow"/>
          <w:shd w:val="clear" w:color="auto" w:fill="FFFFFF"/>
        </w:rPr>
      </w:pPr>
      <w:r>
        <w:rPr>
          <w:rFonts w:ascii="Times New Roman" w:hAnsi="Times New Roman" w:eastAsia="方正仿宋_GBK" w:cs="方正仿宋_GBK"/>
          <w:bCs/>
          <w:sz w:val="32"/>
          <w:szCs w:val="32"/>
        </w:rPr>
        <w:t>云阳县蔈草镇人民政府为县政府组成单位，</w:t>
      </w:r>
      <w:r>
        <w:rPr>
          <w:rFonts w:ascii="Times New Roman" w:hAnsi="Times New Roman" w:eastAsia="方正仿宋_GBK"/>
          <w:sz w:val="32"/>
          <w:szCs w:val="32"/>
        </w:rPr>
        <w:t>本单位共5个内设机构，分别是基层治理综合指挥室、党的建设办公室、经济发展办公室、民生服务办公室、平安法治办公室。</w:t>
      </w:r>
    </w:p>
    <w:p>
      <w:pPr>
        <w:pStyle w:val="7"/>
        <w:keepNext w:val="0"/>
        <w:keepLines w:val="0"/>
        <w:pageBreakBefore w:val="0"/>
        <w:shd w:val="clear" w:color="auto" w:fill="FFFFFF"/>
        <w:kinsoku/>
        <w:wordWrap/>
        <w:overflowPunct/>
        <w:topLinePunct w:val="0"/>
        <w:autoSpaceDN/>
        <w:bidi w:val="0"/>
        <w:adjustRightInd/>
        <w:spacing w:before="0" w:beforeAutospacing="0" w:after="0" w:afterAutospacing="0" w:line="578" w:lineRule="exact"/>
        <w:ind w:firstLine="640" w:firstLineChars="200"/>
        <w:textAlignment w:val="auto"/>
        <w:rPr>
          <w:rFonts w:hint="default" w:ascii="方正黑体_GBK" w:hAnsi="方正黑体_GBK" w:eastAsia="方正黑体_GBK" w:cs="方正黑体_GBK"/>
          <w:b w:val="0"/>
          <w:bCs w:val="0"/>
          <w:kern w:val="2"/>
          <w:sz w:val="32"/>
          <w:szCs w:val="22"/>
          <w:lang w:val="en-US" w:eastAsia="zh-CN" w:bidi="ar-SA"/>
        </w:rPr>
      </w:pPr>
      <w:r>
        <w:rPr>
          <w:rFonts w:hint="eastAsia" w:ascii="方正黑体_GBK" w:hAnsi="方正黑体_GBK" w:eastAsia="方正黑体_GBK" w:cs="方正黑体_GBK"/>
          <w:b w:val="0"/>
          <w:bCs w:val="0"/>
          <w:kern w:val="2"/>
          <w:sz w:val="32"/>
          <w:szCs w:val="22"/>
          <w:lang w:val="en-US" w:eastAsia="zh-CN" w:bidi="ar-SA"/>
        </w:rPr>
        <w:t>二、单位决算收支情况说明</w:t>
      </w:r>
    </w:p>
    <w:p>
      <w:pPr>
        <w:pStyle w:val="13"/>
        <w:keepNext w:val="0"/>
        <w:keepLines w:val="0"/>
        <w:pageBreakBefore w:val="0"/>
        <w:kinsoku/>
        <w:wordWrap/>
        <w:overflowPunct/>
        <w:topLinePunct w:val="0"/>
        <w:autoSpaceDE w:val="0"/>
        <w:autoSpaceDN/>
        <w:bidi w:val="0"/>
        <w:adjustRightInd/>
        <w:spacing w:beforeAutospacing="0" w:afterAutospacing="0" w:line="578" w:lineRule="exact"/>
        <w:ind w:firstLine="643"/>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（一）收入支出决算总体情况说明</w:t>
      </w:r>
    </w:p>
    <w:p>
      <w:pPr>
        <w:pStyle w:val="7"/>
        <w:keepNext w:val="0"/>
        <w:keepLines w:val="0"/>
        <w:pageBreakBefore w:val="0"/>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default" w:ascii="Times New Roman" w:hAnsi="Times New Roman" w:eastAsia="方正仿宋_GBK" w:cs="方正仿宋_GBK"/>
          <w:sz w:val="32"/>
          <w:szCs w:val="32"/>
        </w:rPr>
      </w:pPr>
      <w:r>
        <w:rPr>
          <w:rFonts w:hint="eastAsia" w:ascii="Times New Roman" w:hAnsi="Times New Roman" w:eastAsia="方正仿宋_GBK" w:cs="方正仿宋_GBK"/>
          <w:sz w:val="32"/>
          <w:szCs w:val="32"/>
          <w:shd w:val="clear" w:color="auto" w:fill="FFFFFF"/>
          <w:lang w:val="en-US" w:eastAsia="zh-CN"/>
        </w:rPr>
        <w:t>1.</w:t>
      </w:r>
      <w:r>
        <w:rPr>
          <w:rFonts w:hint="eastAsia" w:ascii="Times New Roman" w:hAnsi="Times New Roman" w:eastAsia="方正仿宋_GBK" w:cs="方正仿宋_GBK"/>
          <w:b w:val="0"/>
          <w:bCs w:val="0"/>
          <w:kern w:val="2"/>
          <w:sz w:val="32"/>
          <w:szCs w:val="22"/>
          <w:lang w:val="en-US" w:eastAsia="zh-CN" w:bidi="ar-SA"/>
        </w:rPr>
        <w:t>总体情况</w:t>
      </w:r>
      <w:r>
        <w:rPr>
          <w:rStyle w:val="11"/>
          <w:rFonts w:ascii="Times New Roman" w:hAnsi="Times New Roman"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2024年度收入总计2500.81万元，支出总计</w:t>
      </w:r>
      <w:r>
        <w:rPr>
          <w:rFonts w:ascii="Times New Roman" w:hAnsi="Times New Roman" w:eastAsia="方正仿宋_GBK" w:cs="方正仿宋_GBK"/>
          <w:sz w:val="32"/>
          <w:szCs w:val="32"/>
        </w:rPr>
        <w:t>2500.81</w:t>
      </w:r>
      <w:r>
        <w:rPr>
          <w:rFonts w:ascii="Times New Roman" w:hAnsi="Times New Roman" w:eastAsia="方正仿宋_GBK" w:cs="方正仿宋_GBK"/>
          <w:sz w:val="32"/>
          <w:szCs w:val="32"/>
          <w:shd w:val="clear" w:color="auto" w:fill="FFFFFF"/>
        </w:rPr>
        <w:t>万元。2024年度收入与2023年度相比，增加183.07万元，增长7.9%，主要原因是</w:t>
      </w:r>
      <w:r>
        <w:rPr>
          <w:rFonts w:ascii="Times New Roman" w:hAnsi="Times New Roman" w:eastAsia="方正仿宋_GBK"/>
          <w:sz w:val="32"/>
          <w:szCs w:val="32"/>
        </w:rPr>
        <w:t>2024年度民生资金调标，职工工资及社会保障缴费基数上调，政府性基金项目增加，农林水项目及乡镇自编项目资金实现支付。2024年度支出</w:t>
      </w:r>
      <w:r>
        <w:rPr>
          <w:rFonts w:ascii="Times New Roman" w:hAnsi="Times New Roman" w:eastAsia="方正仿宋_GBK" w:cs="方正仿宋_GBK"/>
          <w:sz w:val="32"/>
          <w:szCs w:val="32"/>
          <w:shd w:val="clear" w:color="auto" w:fill="FFFFFF"/>
        </w:rPr>
        <w:t>与2023年度相比，增加182.87万元，增长7.9%，主要原因是</w:t>
      </w:r>
      <w:r>
        <w:rPr>
          <w:rFonts w:ascii="Times New Roman" w:hAnsi="Times New Roman" w:eastAsia="方正仿宋_GBK"/>
          <w:sz w:val="32"/>
          <w:szCs w:val="32"/>
        </w:rPr>
        <w:t>2024年度民生资金调标，职工工资及社会保障缴费基数上调，政府性基金项目增加，农林水项目及乡镇自编项目资金实现支付。</w:t>
      </w:r>
    </w:p>
    <w:p>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sz w:val="32"/>
          <w:szCs w:val="32"/>
          <w:shd w:val="clear" w:color="auto" w:fill="FFFFFF"/>
        </w:rPr>
      </w:pPr>
      <w:r>
        <w:rPr>
          <w:rStyle w:val="11"/>
          <w:rFonts w:ascii="Times New Roman" w:hAnsi="Times New Roman" w:eastAsia="方正仿宋_GBK" w:cs="方正仿宋_GBK"/>
          <w:b w:val="0"/>
          <w:bCs/>
          <w:sz w:val="32"/>
          <w:szCs w:val="32"/>
          <w:shd w:val="clear" w:color="auto" w:fill="FFFFFF"/>
        </w:rPr>
        <w:t>2</w:t>
      </w:r>
      <w:r>
        <w:rPr>
          <w:rStyle w:val="11"/>
          <w:rFonts w:ascii="Times New Roman" w:hAnsi="Times New Roman"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收入情况</w:t>
      </w:r>
      <w:r>
        <w:rPr>
          <w:rStyle w:val="11"/>
          <w:rFonts w:ascii="Times New Roman" w:hAnsi="Times New Roman"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2024年度收入合计2500.81万元，与2023年度相比，增加183.07万元，增长7.9%，主要原因是</w:t>
      </w:r>
      <w:r>
        <w:rPr>
          <w:rFonts w:ascii="Times New Roman" w:hAnsi="Times New Roman" w:eastAsia="方正仿宋_GBK"/>
          <w:sz w:val="32"/>
          <w:szCs w:val="32"/>
        </w:rPr>
        <w:t>2024年度民生资金调标，职工工资及社会保障缴费基数上调，政府性基金项目增加，农林水项目及乡镇自编项目资金实现支付。</w:t>
      </w:r>
      <w:r>
        <w:rPr>
          <w:rFonts w:ascii="Times New Roman" w:hAnsi="Times New Roman" w:eastAsia="方正仿宋_GBK" w:cs="方正仿宋_GBK"/>
          <w:sz w:val="32"/>
          <w:szCs w:val="32"/>
          <w:shd w:val="clear" w:color="auto" w:fill="FFFFFF"/>
        </w:rPr>
        <w:t>其中：财政拨款收入</w:t>
      </w:r>
      <w:r>
        <w:rPr>
          <w:rFonts w:ascii="Times New Roman" w:hAnsi="Times New Roman" w:eastAsia="方正仿宋_GBK" w:cs="方正仿宋_GBK"/>
          <w:sz w:val="32"/>
          <w:szCs w:val="32"/>
        </w:rPr>
        <w:t>2500.81</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100.00</w:t>
      </w:r>
      <w:r>
        <w:rPr>
          <w:rFonts w:ascii="Times New Roman" w:hAnsi="Times New Roman" w:eastAsia="方正仿宋_GBK" w:cs="方正仿宋_GBK"/>
          <w:sz w:val="32"/>
          <w:szCs w:val="32"/>
          <w:shd w:val="clear" w:color="auto" w:fill="FFFFFF"/>
        </w:rPr>
        <w:t>%；事业收入</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万元，占0.00%；经营收入</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万元，占0.00%；其他收入</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万元，占0.00%。此外，使用非财政拨款结余和专用结余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万元，年初结转和结余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ascii="Times New Roman" w:hAnsi="Times New Roman" w:eastAsia="方正仿宋_GBK" w:cs="方正仿宋_GBK"/>
          <w:sz w:val="32"/>
          <w:szCs w:val="32"/>
          <w:shd w:val="clear" w:color="auto" w:fill="FFFFFF"/>
        </w:rPr>
      </w:pPr>
      <w:r>
        <w:rPr>
          <w:rStyle w:val="11"/>
          <w:rFonts w:ascii="Times New Roman" w:hAnsi="Times New Roman" w:eastAsia="方正仿宋_GBK" w:cs="方正仿宋_GBK"/>
          <w:b w:val="0"/>
          <w:bCs/>
          <w:sz w:val="32"/>
          <w:szCs w:val="32"/>
          <w:shd w:val="clear" w:color="auto" w:fill="FFFFFF"/>
        </w:rPr>
        <w:t>3.</w:t>
      </w:r>
      <w:r>
        <w:rPr>
          <w:rFonts w:ascii="Times New Roman" w:hAnsi="Times New Roman" w:eastAsia="方正仿宋_GBK" w:cs="方正仿宋_GBK"/>
          <w:b w:val="0"/>
          <w:bCs/>
          <w:sz w:val="32"/>
          <w:szCs w:val="32"/>
          <w:shd w:val="clear" w:color="auto" w:fill="FFFFFF"/>
        </w:rPr>
        <w:t>支出情况</w:t>
      </w:r>
      <w:r>
        <w:rPr>
          <w:rStyle w:val="11"/>
          <w:rFonts w:ascii="Times New Roman" w:hAnsi="Times New Roman"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2024年度支出合计</w:t>
      </w:r>
      <w:r>
        <w:rPr>
          <w:rFonts w:ascii="Times New Roman" w:hAnsi="Times New Roman" w:eastAsia="方正仿宋_GBK" w:cs="方正仿宋_GBK"/>
          <w:sz w:val="32"/>
          <w:szCs w:val="32"/>
        </w:rPr>
        <w:t>2500.81</w:t>
      </w:r>
      <w:r>
        <w:rPr>
          <w:rFonts w:ascii="Times New Roman" w:hAnsi="Times New Roman" w:eastAsia="方正仿宋_GBK" w:cs="方正仿宋_GBK"/>
          <w:sz w:val="32"/>
          <w:szCs w:val="32"/>
          <w:shd w:val="clear" w:color="auto" w:fill="FFFFFF"/>
        </w:rPr>
        <w:t>万元，与2023年度相比，增加182.87万元，增长7.9%，主要原因是</w:t>
      </w:r>
      <w:r>
        <w:rPr>
          <w:rFonts w:ascii="Times New Roman" w:hAnsi="Times New Roman" w:eastAsia="方正仿宋_GBK"/>
          <w:sz w:val="32"/>
          <w:szCs w:val="32"/>
        </w:rPr>
        <w:t>2024年度民生资金调标，职工工资及社会保障缴费基数上调，政府性基金项目增加，农林水项目及乡镇自编项目资金实现支付。</w:t>
      </w:r>
      <w:r>
        <w:rPr>
          <w:rFonts w:ascii="Times New Roman" w:hAnsi="Times New Roman" w:eastAsia="方正仿宋_GBK" w:cs="方正仿宋_GBK"/>
          <w:sz w:val="32"/>
          <w:szCs w:val="32"/>
          <w:shd w:val="clear" w:color="auto" w:fill="FFFFFF"/>
        </w:rPr>
        <w:t>其中：基本支出</w:t>
      </w:r>
      <w:r>
        <w:rPr>
          <w:rFonts w:ascii="Times New Roman" w:hAnsi="Times New Roman" w:eastAsia="方正仿宋_GBK" w:cs="方正仿宋_GBK"/>
          <w:sz w:val="32"/>
          <w:szCs w:val="32"/>
        </w:rPr>
        <w:t>697.04</w:t>
      </w:r>
      <w:r>
        <w:rPr>
          <w:rFonts w:ascii="Times New Roman" w:hAnsi="Times New Roman" w:eastAsia="方正仿宋_GBK" w:cs="方正仿宋_GBK"/>
          <w:sz w:val="32"/>
          <w:szCs w:val="32"/>
          <w:shd w:val="clear" w:color="auto" w:fill="FFFFFF"/>
        </w:rPr>
        <w:t>万元，占27.87%；项目支出</w:t>
      </w:r>
      <w:r>
        <w:rPr>
          <w:rFonts w:ascii="Times New Roman" w:hAnsi="Times New Roman" w:eastAsia="方正仿宋_GBK" w:cs="方正仿宋_GBK"/>
          <w:sz w:val="32"/>
          <w:szCs w:val="32"/>
        </w:rPr>
        <w:t>1803.78</w:t>
      </w:r>
      <w:r>
        <w:rPr>
          <w:rFonts w:ascii="Times New Roman" w:hAnsi="Times New Roman" w:eastAsia="方正仿宋_GBK" w:cs="方正仿宋_GBK"/>
          <w:sz w:val="32"/>
          <w:szCs w:val="32"/>
          <w:shd w:val="clear" w:color="auto" w:fill="FFFFFF"/>
        </w:rPr>
        <w:t>万元，占72.13%；经营支出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万元，占0.00%。此外，结余分配</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4.结转结余情况。2024年度年末结转和结余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万元，与2023年度相比，无增减，主要原因是省级以下财政不再实行权责发生制列支。</w:t>
      </w:r>
    </w:p>
    <w:p>
      <w:pPr>
        <w:pStyle w:val="13"/>
        <w:keepNext w:val="0"/>
        <w:keepLines w:val="0"/>
        <w:pageBreakBefore w:val="0"/>
        <w:widowControl w:val="0"/>
        <w:kinsoku/>
        <w:wordWrap/>
        <w:overflowPunct/>
        <w:topLinePunct w:val="0"/>
        <w:autoSpaceDE w:val="0"/>
        <w:autoSpaceDN/>
        <w:bidi w:val="0"/>
        <w:adjustRightInd/>
        <w:spacing w:beforeAutospacing="0" w:afterAutospacing="0" w:line="578" w:lineRule="exact"/>
        <w:ind w:firstLine="643"/>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（二）财政拨款收入支出决算总体情况说明</w:t>
      </w:r>
    </w:p>
    <w:p>
      <w:pPr>
        <w:pStyle w:val="7"/>
        <w:keepNext w:val="0"/>
        <w:keepLines w:val="0"/>
        <w:pageBreakBefore w:val="0"/>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2024年度财政拨款收、支总计2500.81万元。2024年度财政拨款收入与2023年度相比，增加183.07万元，增长7.9%，主要原因是</w:t>
      </w:r>
      <w:r>
        <w:rPr>
          <w:rFonts w:ascii="Times New Roman" w:hAnsi="Times New Roman" w:eastAsia="方正仿宋_GBK"/>
          <w:sz w:val="32"/>
          <w:szCs w:val="32"/>
        </w:rPr>
        <w:t>2024年度民生资金调标，职工工资及社会保障缴费基数上调，政府性基金项目增加，农林水项目及乡镇自编项目资金实现支付。2024年度</w:t>
      </w:r>
      <w:r>
        <w:rPr>
          <w:rFonts w:ascii="Times New Roman" w:hAnsi="Times New Roman" w:eastAsia="方正仿宋_GBK" w:cs="方正仿宋_GBK"/>
          <w:sz w:val="32"/>
          <w:szCs w:val="32"/>
          <w:shd w:val="clear" w:color="auto" w:fill="FFFFFF"/>
        </w:rPr>
        <w:t>财政拨款</w:t>
      </w:r>
      <w:r>
        <w:rPr>
          <w:rFonts w:ascii="Times New Roman" w:hAnsi="Times New Roman" w:eastAsia="方正仿宋_GBK"/>
          <w:sz w:val="32"/>
          <w:szCs w:val="32"/>
        </w:rPr>
        <w:t>支出</w:t>
      </w:r>
      <w:r>
        <w:rPr>
          <w:rFonts w:ascii="Times New Roman" w:hAnsi="Times New Roman" w:eastAsia="方正仿宋_GBK" w:cs="方正仿宋_GBK"/>
          <w:sz w:val="32"/>
          <w:szCs w:val="32"/>
          <w:shd w:val="clear" w:color="auto" w:fill="FFFFFF"/>
        </w:rPr>
        <w:t>与2023年度相比，增加182.87万元，增长7.9%，主要原因是</w:t>
      </w:r>
      <w:r>
        <w:rPr>
          <w:rFonts w:ascii="Times New Roman" w:hAnsi="Times New Roman" w:eastAsia="方正仿宋_GBK"/>
          <w:sz w:val="32"/>
          <w:szCs w:val="32"/>
        </w:rPr>
        <w:t>2024年度民生资金调标，职工工资及社会保障缴费基数上调，政府性基金项目增加，农林水项目及乡镇自编项目资金实现支付。</w:t>
      </w:r>
    </w:p>
    <w:p>
      <w:pPr>
        <w:pStyle w:val="13"/>
        <w:keepNext w:val="0"/>
        <w:keepLines w:val="0"/>
        <w:pageBreakBefore w:val="0"/>
        <w:kinsoku/>
        <w:wordWrap/>
        <w:overflowPunct/>
        <w:topLinePunct w:val="0"/>
        <w:autoSpaceDE w:val="0"/>
        <w:autoSpaceDN/>
        <w:bidi w:val="0"/>
        <w:adjustRightInd/>
        <w:spacing w:beforeAutospacing="0" w:afterAutospacing="0" w:line="578" w:lineRule="exact"/>
        <w:ind w:firstLine="643"/>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（三）一般公共预算财政拨款收入支出决算情况说明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sz w:val="32"/>
          <w:szCs w:val="32"/>
        </w:rPr>
      </w:pPr>
      <w:r>
        <w:rPr>
          <w:rStyle w:val="11"/>
          <w:rFonts w:ascii="Times New Roman" w:hAnsi="Times New Roman" w:eastAsia="方正仿宋_GBK" w:cs="方正仿宋_GBK"/>
          <w:b w:val="0"/>
          <w:bCs/>
          <w:sz w:val="32"/>
          <w:szCs w:val="32"/>
          <w:shd w:val="clear" w:color="auto" w:fill="FFFFFF"/>
        </w:rPr>
        <w:t>1.收入情况</w:t>
      </w:r>
      <w:r>
        <w:rPr>
          <w:rStyle w:val="11"/>
          <w:rFonts w:ascii="Times New Roman" w:hAnsi="Times New Roman"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2024年度一般公共预算财政拨款收入</w:t>
      </w:r>
      <w:r>
        <w:rPr>
          <w:rFonts w:ascii="Times New Roman" w:hAnsi="Times New Roman" w:eastAsia="方正仿宋_GBK" w:cs="方正仿宋_GBK"/>
          <w:sz w:val="32"/>
          <w:szCs w:val="32"/>
        </w:rPr>
        <w:t>2445.02</w:t>
      </w:r>
      <w:r>
        <w:rPr>
          <w:rFonts w:ascii="Times New Roman" w:hAnsi="Times New Roman" w:eastAsia="方正仿宋_GBK" w:cs="方正仿宋_GBK"/>
          <w:sz w:val="32"/>
          <w:szCs w:val="32"/>
          <w:shd w:val="clear" w:color="auto" w:fill="FFFFFF"/>
        </w:rPr>
        <w:t>万元，与2023年度相比，增加166.51万元，增长7.3%。主要原因是</w:t>
      </w:r>
      <w:r>
        <w:rPr>
          <w:rFonts w:ascii="Times New Roman" w:hAnsi="Times New Roman" w:eastAsia="方正仿宋_GBK"/>
          <w:sz w:val="32"/>
          <w:szCs w:val="32"/>
        </w:rPr>
        <w:t>2024年度民生资金调标，职工工资及社会保障缴费基数上调，农林水项目及乡镇自编项目资金实现支付。</w:t>
      </w:r>
      <w:r>
        <w:rPr>
          <w:rFonts w:ascii="Times New Roman" w:hAnsi="Times New Roman" w:eastAsia="方正仿宋_GBK" w:cs="方正仿宋_GBK"/>
          <w:sz w:val="32"/>
          <w:szCs w:val="32"/>
          <w:shd w:val="clear" w:color="auto" w:fill="FFFFFF"/>
        </w:rPr>
        <w:t>较年初预算数增加619.80万元，增长34.0%。主要原因是</w:t>
      </w:r>
      <w:r>
        <w:rPr>
          <w:rFonts w:ascii="Times New Roman" w:hAnsi="Times New Roman" w:eastAsia="方正仿宋_GBK"/>
          <w:sz w:val="32"/>
          <w:szCs w:val="32"/>
        </w:rPr>
        <w:t>2024年度民生资金调标，职工工资及社会保障缴费基数上调，乡镇财政收入增加，追加农林水等项目资金。</w:t>
      </w:r>
      <w:r>
        <w:rPr>
          <w:rFonts w:ascii="Times New Roman" w:hAnsi="Times New Roman" w:eastAsia="方正仿宋_GBK" w:cs="方正仿宋_GBK"/>
          <w:sz w:val="32"/>
          <w:szCs w:val="32"/>
          <w:shd w:val="clear" w:color="auto" w:fill="FFFFFF"/>
        </w:rPr>
        <w:t>此外，年初财政拨款结转和结余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w:t>
      </w:r>
    </w:p>
    <w:p>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sz w:val="32"/>
          <w:szCs w:val="32"/>
        </w:rPr>
      </w:pPr>
      <w:r>
        <w:rPr>
          <w:rStyle w:val="11"/>
          <w:rFonts w:hint="default" w:ascii="Times New Roman" w:hAnsi="Times New Roman" w:eastAsia="方正仿宋_GBK" w:cs="Times New Roman"/>
          <w:b w:val="0"/>
          <w:bCs/>
          <w:sz w:val="32"/>
          <w:szCs w:val="32"/>
          <w:shd w:val="clear" w:color="auto" w:fill="FFFFFF"/>
        </w:rPr>
        <w:t>2</w:t>
      </w:r>
      <w:r>
        <w:rPr>
          <w:rStyle w:val="11"/>
          <w:rFonts w:hint="eastAsia" w:ascii="Times New Roman" w:hAnsi="Times New Roman" w:eastAsia="方正仿宋_GBK" w:cs="方正仿宋_GBK"/>
          <w:b w:val="0"/>
          <w:bCs/>
          <w:sz w:val="32"/>
          <w:szCs w:val="32"/>
          <w:shd w:val="clear" w:color="auto" w:fill="FFFFFF"/>
        </w:rPr>
        <w:t>.支出情况</w:t>
      </w:r>
      <w:r>
        <w:rPr>
          <w:rStyle w:val="11"/>
          <w:rFonts w:ascii="Times New Roman" w:hAnsi="Times New Roman"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2024年度一般公共预算财政拨款支出</w:t>
      </w:r>
      <w:r>
        <w:rPr>
          <w:rFonts w:ascii="Times New Roman" w:hAnsi="Times New Roman" w:eastAsia="方正仿宋_GBK" w:cs="方正仿宋_GBK"/>
          <w:sz w:val="32"/>
          <w:szCs w:val="32"/>
        </w:rPr>
        <w:t>2445.02</w:t>
      </w:r>
      <w:r>
        <w:rPr>
          <w:rFonts w:ascii="Times New Roman" w:hAnsi="Times New Roman" w:eastAsia="方正仿宋_GBK" w:cs="方正仿宋_GBK"/>
          <w:sz w:val="32"/>
          <w:szCs w:val="32"/>
          <w:shd w:val="clear" w:color="auto" w:fill="FFFFFF"/>
        </w:rPr>
        <w:t>万元，与2023年度相比，增加166.30万元，增长7.3%。主要原因是</w:t>
      </w:r>
      <w:r>
        <w:rPr>
          <w:rFonts w:ascii="Times New Roman" w:hAnsi="Times New Roman" w:eastAsia="方正仿宋_GBK"/>
          <w:sz w:val="32"/>
          <w:szCs w:val="32"/>
        </w:rPr>
        <w:t>2024年度民生资金调标，职工工资及社会保障缴费基数上调，乡镇自编项目资金部分实现支付。</w:t>
      </w:r>
      <w:r>
        <w:rPr>
          <w:rFonts w:ascii="Times New Roman" w:hAnsi="Times New Roman" w:eastAsia="方正仿宋_GBK" w:cs="方正仿宋_GBK"/>
          <w:sz w:val="32"/>
          <w:szCs w:val="32"/>
          <w:shd w:val="clear" w:color="auto" w:fill="FFFFFF"/>
        </w:rPr>
        <w:t>较年初预算数增加619.80万元，增长34.0%。主要原因是</w:t>
      </w:r>
      <w:r>
        <w:rPr>
          <w:rFonts w:ascii="Times New Roman" w:hAnsi="Times New Roman" w:eastAsia="方正仿宋_GBK"/>
          <w:sz w:val="32"/>
          <w:szCs w:val="32"/>
        </w:rPr>
        <w:t>2024年度民生资金调标，职工工资及社会保障缴费基数上调，乡镇财政收入增加，追加农林水等项目资金。</w:t>
      </w:r>
    </w:p>
    <w:p>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sz w:val="32"/>
          <w:szCs w:val="32"/>
        </w:rPr>
      </w:pPr>
      <w:r>
        <w:rPr>
          <w:rStyle w:val="11"/>
          <w:rFonts w:ascii="Times New Roman" w:hAnsi="Times New Roman" w:eastAsia="方正仿宋_GBK" w:cs="方正仿宋_GBK"/>
          <w:b w:val="0"/>
          <w:bCs/>
          <w:sz w:val="32"/>
          <w:szCs w:val="32"/>
          <w:shd w:val="clear" w:color="auto" w:fill="FFFFFF"/>
        </w:rPr>
        <w:t>3.</w:t>
      </w:r>
      <w:r>
        <w:rPr>
          <w:rStyle w:val="11"/>
          <w:rFonts w:hint="eastAsia" w:ascii="Times New Roman" w:hAnsi="Times New Roman" w:eastAsia="方正仿宋_GBK" w:cs="方正仿宋_GBK"/>
          <w:b w:val="0"/>
          <w:bCs/>
          <w:sz w:val="32"/>
          <w:szCs w:val="32"/>
          <w:shd w:val="clear" w:color="auto" w:fill="FFFFFF"/>
        </w:rPr>
        <w:t>结转结余情况</w:t>
      </w:r>
      <w:r>
        <w:rPr>
          <w:rStyle w:val="11"/>
          <w:rFonts w:ascii="Times New Roman" w:hAnsi="Times New Roman"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2024年度年末一般公共预算财政拨款结转和结余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万元，与2023年度相比，无增减，主要原因是省级以下财政不再实行权责发生制列支。</w:t>
      </w:r>
    </w:p>
    <w:p>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color w:val="FF0000"/>
          <w:sz w:val="32"/>
          <w:szCs w:val="32"/>
          <w:highlight w:val="cyan"/>
          <w:shd w:val="clear" w:color="auto" w:fill="FFFFFF"/>
        </w:rPr>
      </w:pPr>
      <w:r>
        <w:rPr>
          <w:rStyle w:val="11"/>
          <w:rFonts w:ascii="Times New Roman" w:hAnsi="Times New Roman" w:eastAsia="方正仿宋_GBK" w:cs="方正仿宋_GBK"/>
          <w:b w:val="0"/>
          <w:bCs/>
          <w:sz w:val="32"/>
          <w:szCs w:val="32"/>
          <w:shd w:val="clear" w:color="auto" w:fill="FFFFFF"/>
        </w:rPr>
        <w:t>4.</w:t>
      </w:r>
      <w:r>
        <w:rPr>
          <w:rStyle w:val="11"/>
          <w:rFonts w:hint="eastAsia" w:ascii="Times New Roman" w:hAnsi="Times New Roman" w:eastAsia="方正仿宋_GBK" w:cs="方正仿宋_GBK"/>
          <w:b w:val="0"/>
          <w:bCs/>
          <w:sz w:val="32"/>
          <w:szCs w:val="32"/>
          <w:shd w:val="clear" w:color="auto" w:fill="FFFFFF"/>
        </w:rPr>
        <w:t>比较情况</w:t>
      </w:r>
      <w:r>
        <w:rPr>
          <w:rStyle w:val="11"/>
          <w:rFonts w:ascii="Times New Roman" w:hAnsi="Times New Roman"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本单位2024年度一般公共预算财政拨款支出主要用于以下几个方面：</w:t>
      </w:r>
    </w:p>
    <w:p>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（1）一般公共服务支出</w:t>
      </w:r>
      <w:r>
        <w:rPr>
          <w:rFonts w:ascii="Times New Roman" w:hAnsi="Times New Roman" w:eastAsia="方正仿宋_GBK" w:cs="方正仿宋_GBK"/>
          <w:sz w:val="32"/>
          <w:szCs w:val="32"/>
        </w:rPr>
        <w:t>591.23</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24.18</w:t>
      </w:r>
      <w:r>
        <w:rPr>
          <w:rFonts w:ascii="Times New Roman" w:hAnsi="Times New Roman" w:eastAsia="方正仿宋_GBK" w:cs="方正仿宋_GBK"/>
          <w:sz w:val="32"/>
          <w:szCs w:val="32"/>
          <w:shd w:val="clear" w:color="auto" w:fill="FFFFFF"/>
        </w:rPr>
        <w:t>%，较年初预算数减少24.69万元，下降4.0%，主要原因是2024年度我单位退休2人，调出2人。</w:t>
      </w:r>
    </w:p>
    <w:p>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（2）公共安全支出</w:t>
      </w:r>
      <w:r>
        <w:rPr>
          <w:rFonts w:ascii="Times New Roman" w:hAnsi="Times New Roman" w:eastAsia="方正仿宋_GBK" w:cs="方正仿宋_GBK"/>
          <w:sz w:val="32"/>
          <w:szCs w:val="32"/>
        </w:rPr>
        <w:t>1.70</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0.07</w:t>
      </w:r>
      <w:r>
        <w:rPr>
          <w:rFonts w:ascii="Times New Roman" w:hAnsi="Times New Roman" w:eastAsia="方正仿宋_GBK" w:cs="方正仿宋_GBK"/>
          <w:sz w:val="32"/>
          <w:szCs w:val="32"/>
          <w:shd w:val="clear" w:color="auto" w:fill="FFFFFF"/>
        </w:rPr>
        <w:t>%，较年初预算数减少0.85万元，下降33.3%，主要原因是年底该项目资金未实现支付。</w:t>
      </w:r>
    </w:p>
    <w:p>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（3）文化旅游体育与传媒支出</w:t>
      </w:r>
      <w:r>
        <w:rPr>
          <w:rFonts w:ascii="Times New Roman" w:hAnsi="Times New Roman" w:eastAsia="方正仿宋_GBK" w:cs="方正仿宋_GBK"/>
          <w:sz w:val="32"/>
          <w:szCs w:val="32"/>
        </w:rPr>
        <w:t>7.78</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0.32</w:t>
      </w:r>
      <w:r>
        <w:rPr>
          <w:rFonts w:ascii="Times New Roman" w:hAnsi="Times New Roman" w:eastAsia="方正仿宋_GBK" w:cs="方正仿宋_GBK"/>
          <w:sz w:val="32"/>
          <w:szCs w:val="32"/>
          <w:shd w:val="clear" w:color="auto" w:fill="FFFFFF"/>
        </w:rPr>
        <w:t>%，较年初预算数无增减，主要原因是2024年文化活动经费只有三馆一中心资金，资金实现安全支付。</w:t>
      </w:r>
    </w:p>
    <w:p>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（4）社会保障与就业支出</w:t>
      </w:r>
      <w:r>
        <w:rPr>
          <w:rFonts w:ascii="Times New Roman" w:hAnsi="Times New Roman" w:eastAsia="方正仿宋_GBK" w:cs="方正仿宋_GBK"/>
          <w:sz w:val="32"/>
          <w:szCs w:val="32"/>
        </w:rPr>
        <w:t>1001.04</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40.94</w:t>
      </w:r>
      <w:r>
        <w:rPr>
          <w:rFonts w:ascii="Times New Roman" w:hAnsi="Times New Roman" w:eastAsia="方正仿宋_GBK" w:cs="方正仿宋_GBK"/>
          <w:sz w:val="32"/>
          <w:szCs w:val="32"/>
          <w:shd w:val="clear" w:color="auto" w:fill="FFFFFF"/>
        </w:rPr>
        <w:t>%，较年初预算数增加287.23万元，增长40.2%，主要原因是民政优抚低保资金追加预算，工资调标后社保缴费基数上调，社区干部工资及社保调标。</w:t>
      </w:r>
    </w:p>
    <w:p>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（5）卫生健康支出</w:t>
      </w:r>
      <w:r>
        <w:rPr>
          <w:rFonts w:ascii="Times New Roman" w:hAnsi="Times New Roman" w:eastAsia="方正仿宋_GBK" w:cs="方正仿宋_GBK"/>
          <w:sz w:val="32"/>
          <w:szCs w:val="32"/>
        </w:rPr>
        <w:t>32.03</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1.31</w:t>
      </w:r>
      <w:r>
        <w:rPr>
          <w:rFonts w:ascii="Times New Roman" w:hAnsi="Times New Roman" w:eastAsia="方正仿宋_GBK" w:cs="方正仿宋_GBK"/>
          <w:sz w:val="32"/>
          <w:szCs w:val="32"/>
          <w:shd w:val="clear" w:color="auto" w:fill="FFFFFF"/>
        </w:rPr>
        <w:t>%，较年初预算数减少4.55万元，下降12.4%，主要原因是2024年度退休2人，调出2人，人员经费减少。</w:t>
      </w:r>
    </w:p>
    <w:p>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（6）节能环保支出</w:t>
      </w:r>
      <w:r>
        <w:rPr>
          <w:rFonts w:ascii="Times New Roman" w:hAnsi="Times New Roman" w:eastAsia="方正仿宋_GBK" w:cs="方正仿宋_GBK"/>
          <w:sz w:val="32"/>
          <w:szCs w:val="32"/>
        </w:rPr>
        <w:t>195.30</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7.99</w:t>
      </w:r>
      <w:r>
        <w:rPr>
          <w:rFonts w:ascii="Times New Roman" w:hAnsi="Times New Roman" w:eastAsia="方正仿宋_GBK" w:cs="方正仿宋_GBK"/>
          <w:sz w:val="32"/>
          <w:szCs w:val="32"/>
          <w:shd w:val="clear" w:color="auto" w:fill="FFFFFF"/>
        </w:rPr>
        <w:t>%，较年初预算数增加60.30万元，增长44.7%，主要原因是2024年度追加水体污染防治和林业生态保护资金预算。</w:t>
      </w:r>
    </w:p>
    <w:p>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（7）城乡社区支出</w:t>
      </w:r>
      <w:r>
        <w:rPr>
          <w:rFonts w:ascii="Times New Roman" w:hAnsi="Times New Roman" w:eastAsia="方正仿宋_GBK" w:cs="方正仿宋_GBK"/>
          <w:sz w:val="32"/>
          <w:szCs w:val="32"/>
        </w:rPr>
        <w:t>20.80</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0.85</w:t>
      </w:r>
      <w:r>
        <w:rPr>
          <w:rFonts w:ascii="Times New Roman" w:hAnsi="Times New Roman" w:eastAsia="方正仿宋_GBK" w:cs="方正仿宋_GBK"/>
          <w:sz w:val="32"/>
          <w:szCs w:val="32"/>
          <w:shd w:val="clear" w:color="auto" w:fill="FFFFFF"/>
        </w:rPr>
        <w:t>%，较年初预算数增加10.00万元，增长92.6%，主要原因是2024年度将上年度人居环境整治资金支付。</w:t>
      </w:r>
    </w:p>
    <w:p>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color w:val="FF0000"/>
          <w:sz w:val="32"/>
          <w:szCs w:val="32"/>
          <w:shd w:val="clear" w:color="auto" w:fill="FFFFFF"/>
        </w:rPr>
      </w:pPr>
      <w:r>
        <w:rPr>
          <w:rFonts w:ascii="Times New Roman" w:hAnsi="Times New Roman" w:eastAsia="方正仿宋_GBK" w:cs="方正仿宋_GBK"/>
          <w:sz w:val="32"/>
          <w:szCs w:val="32"/>
          <w:shd w:val="clear" w:color="auto" w:fill="FFFFFF"/>
        </w:rPr>
        <w:t>（8）农林水支出</w:t>
      </w:r>
      <w:r>
        <w:rPr>
          <w:rFonts w:ascii="Times New Roman" w:hAnsi="Times New Roman" w:eastAsia="方正仿宋_GBK" w:cs="方正仿宋_GBK"/>
          <w:sz w:val="32"/>
          <w:szCs w:val="32"/>
        </w:rPr>
        <w:t>394.96</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16.15</w:t>
      </w:r>
      <w:r>
        <w:rPr>
          <w:rFonts w:ascii="Times New Roman" w:hAnsi="Times New Roman" w:eastAsia="方正仿宋_GBK" w:cs="方正仿宋_GBK"/>
          <w:sz w:val="32"/>
          <w:szCs w:val="32"/>
          <w:shd w:val="clear" w:color="auto" w:fill="FFFFFF"/>
        </w:rPr>
        <w:t>%，较年初预算数增加147.82万元，增长59.8%，主要原因是2024年度追加农林水项目资金，村干部工资及社保缴费基数调标。</w:t>
      </w:r>
    </w:p>
    <w:p>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color w:val="FF0000"/>
          <w:sz w:val="32"/>
          <w:szCs w:val="32"/>
          <w:shd w:val="clear" w:color="auto" w:fill="FFFFFF"/>
        </w:rPr>
      </w:pPr>
      <w:r>
        <w:rPr>
          <w:rFonts w:ascii="Times New Roman" w:hAnsi="Times New Roman" w:eastAsia="方正仿宋_GBK" w:cs="方正仿宋_GBK"/>
          <w:sz w:val="32"/>
          <w:szCs w:val="32"/>
          <w:shd w:val="clear" w:color="auto" w:fill="FFFFFF"/>
        </w:rPr>
        <w:t>（9）交通运输支出</w:t>
      </w:r>
      <w:r>
        <w:rPr>
          <w:rFonts w:ascii="Times New Roman" w:hAnsi="Times New Roman" w:eastAsia="方正仿宋_GBK" w:cs="方正仿宋_GBK"/>
          <w:sz w:val="32"/>
          <w:szCs w:val="32"/>
        </w:rPr>
        <w:t>117.68</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4.81</w:t>
      </w:r>
      <w:r>
        <w:rPr>
          <w:rFonts w:ascii="Times New Roman" w:hAnsi="Times New Roman" w:eastAsia="方正仿宋_GBK" w:cs="方正仿宋_GBK"/>
          <w:sz w:val="32"/>
          <w:szCs w:val="32"/>
          <w:shd w:val="clear" w:color="auto" w:fill="FFFFFF"/>
        </w:rPr>
        <w:t>%，较年初预算数增加117.68万元，增长100.0%，主要原因是公路项目在上年未验收拨付，2024年度验收拨付农村公路建设资金。</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78" w:lineRule="exact"/>
        <w:ind w:firstLine="640" w:firstLineChars="200"/>
        <w:textAlignment w:val="auto"/>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（10）</w:t>
      </w:r>
      <w:r>
        <w:rPr>
          <w:rFonts w:ascii="Times New Roman" w:hAnsi="Times New Roman" w:eastAsia="方正仿宋_GBK" w:cs="方正仿宋_GBK"/>
          <w:sz w:val="32"/>
          <w:szCs w:val="32"/>
        </w:rPr>
        <w:t>自然资源海洋气象等支出22.75</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0.93</w:t>
      </w:r>
      <w:r>
        <w:rPr>
          <w:rFonts w:ascii="Times New Roman" w:hAnsi="Times New Roman" w:eastAsia="方正仿宋_GBK" w:cs="方正仿宋_GBK"/>
          <w:sz w:val="32"/>
          <w:szCs w:val="32"/>
          <w:shd w:val="clear" w:color="auto" w:fill="FFFFFF"/>
        </w:rPr>
        <w:t>%，较年初预算数增加15.93万元，增长233.6%，主要原因是2024年度验收拨付农村耕地流出恢复补足资金。</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firstLine="640" w:firstLineChars="200"/>
        <w:textAlignment w:val="auto"/>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（11）</w:t>
      </w:r>
      <w:r>
        <w:rPr>
          <w:rFonts w:ascii="Times New Roman" w:hAnsi="Times New Roman" w:eastAsia="方正仿宋_GBK" w:cs="方正仿宋_GBK"/>
          <w:sz w:val="32"/>
          <w:szCs w:val="32"/>
        </w:rPr>
        <w:t>住房保障支出43.21</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1.77</w:t>
      </w:r>
      <w:r>
        <w:rPr>
          <w:rFonts w:ascii="Times New Roman" w:hAnsi="Times New Roman" w:eastAsia="方正仿宋_GBK" w:cs="方正仿宋_GBK"/>
          <w:sz w:val="32"/>
          <w:szCs w:val="32"/>
          <w:shd w:val="clear" w:color="auto" w:fill="FFFFFF"/>
        </w:rPr>
        <w:t>%，较年初预算数增加4.61万元，增长11.9%，主要原因是工资调标，住房公积金清算追加资金。</w:t>
      </w:r>
    </w:p>
    <w:p>
      <w:pPr>
        <w:keepNext w:val="0"/>
        <w:keepLines w:val="0"/>
        <w:pageBreakBefore w:val="0"/>
        <w:kinsoku/>
        <w:wordWrap/>
        <w:overflowPunct/>
        <w:topLinePunct w:val="0"/>
        <w:autoSpaceDN/>
        <w:bidi w:val="0"/>
        <w:adjustRightInd/>
        <w:spacing w:beforeAutospacing="0" w:afterAutospacing="0" w:line="578" w:lineRule="exact"/>
        <w:ind w:firstLine="640" w:firstLineChars="200"/>
        <w:textAlignment w:val="auto"/>
        <w:rPr>
          <w:rFonts w:hint="default" w:ascii="Times New Roman" w:hAnsi="Times New Roman" w:eastAsia="方正仿宋_GBK" w:cs="方正仿宋_GBK"/>
          <w:color w:val="FF0000"/>
          <w:sz w:val="32"/>
          <w:szCs w:val="32"/>
          <w:shd w:val="clear" w:color="auto" w:fill="FFFFFF"/>
        </w:rPr>
      </w:pPr>
      <w:r>
        <w:rPr>
          <w:rFonts w:ascii="Times New Roman" w:hAnsi="Times New Roman" w:eastAsia="方正仿宋_GBK" w:cs="方正仿宋_GBK"/>
          <w:sz w:val="32"/>
          <w:szCs w:val="32"/>
          <w:shd w:val="clear" w:color="auto" w:fill="FFFFFF"/>
        </w:rPr>
        <w:t>（12）</w:t>
      </w:r>
      <w:r>
        <w:rPr>
          <w:rFonts w:ascii="Times New Roman" w:hAnsi="Times New Roman" w:eastAsia="方正仿宋_GBK" w:cs="方正仿宋_GBK"/>
          <w:sz w:val="32"/>
          <w:szCs w:val="32"/>
        </w:rPr>
        <w:t>灾害防治及应急管理支出16.55</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0.68</w:t>
      </w:r>
      <w:r>
        <w:rPr>
          <w:rFonts w:ascii="Times New Roman" w:hAnsi="Times New Roman" w:eastAsia="方正仿宋_GBK" w:cs="方正仿宋_GBK"/>
          <w:sz w:val="32"/>
          <w:szCs w:val="32"/>
          <w:shd w:val="clear" w:color="auto" w:fill="FFFFFF"/>
        </w:rPr>
        <w:t>%，较年初预算数增加13.35万元，增长417.2%，主要原因是2024年度新增冬春救助、自然灾害等救助资金。</w:t>
      </w:r>
    </w:p>
    <w:p>
      <w:pPr>
        <w:pStyle w:val="13"/>
        <w:keepNext w:val="0"/>
        <w:keepLines w:val="0"/>
        <w:pageBreakBefore w:val="0"/>
        <w:kinsoku/>
        <w:wordWrap/>
        <w:overflowPunct/>
        <w:topLinePunct w:val="0"/>
        <w:autoSpaceDE w:val="0"/>
        <w:autoSpaceDN/>
        <w:bidi w:val="0"/>
        <w:adjustRightInd/>
        <w:spacing w:beforeAutospacing="0" w:afterAutospacing="0" w:line="578" w:lineRule="exact"/>
        <w:ind w:firstLine="643"/>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（四）一般公共预算财政拨款基本支出决算情况说明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2024年度一般公共财政拨款基本支出</w:t>
      </w:r>
      <w:r>
        <w:rPr>
          <w:rFonts w:ascii="Times New Roman" w:hAnsi="Times New Roman" w:eastAsia="方正仿宋_GBK" w:cs="方正仿宋_GBK"/>
          <w:sz w:val="32"/>
          <w:szCs w:val="32"/>
        </w:rPr>
        <w:t>697.04</w:t>
      </w:r>
      <w:r>
        <w:rPr>
          <w:rFonts w:ascii="Times New Roman" w:hAnsi="Times New Roman" w:eastAsia="方正仿宋_GBK" w:cs="方正仿宋_GBK"/>
          <w:sz w:val="32"/>
          <w:szCs w:val="32"/>
          <w:shd w:val="clear" w:color="auto" w:fill="FFFFFF"/>
        </w:rPr>
        <w:t>万元。其中：人员经费</w:t>
      </w:r>
      <w:r>
        <w:rPr>
          <w:rFonts w:ascii="Times New Roman" w:hAnsi="Times New Roman" w:eastAsia="方正仿宋_GBK" w:cs="方正仿宋_GBK"/>
          <w:sz w:val="32"/>
          <w:szCs w:val="32"/>
        </w:rPr>
        <w:t>508.17</w:t>
      </w:r>
      <w:r>
        <w:rPr>
          <w:rFonts w:ascii="Times New Roman" w:hAnsi="Times New Roman" w:eastAsia="方正仿宋_GBK" w:cs="方正仿宋_GBK"/>
          <w:sz w:val="32"/>
          <w:szCs w:val="32"/>
          <w:shd w:val="clear" w:color="auto" w:fill="FFFFFF"/>
        </w:rPr>
        <w:t>万元，与2023年度相比，增加10.99万元，增长2.2%，主要原因是工资调标，社保缴费基数上调，人员经费增加。人员经费用途主要包括</w:t>
      </w:r>
      <w:r>
        <w:rPr>
          <w:rFonts w:ascii="Times New Roman" w:hAnsi="Times New Roman" w:eastAsia="方正仿宋_GBK" w:cs="方正仿宋_GBK"/>
          <w:sz w:val="32"/>
        </w:rPr>
        <w:t>职工统发工资、职工考核、社会保险缴费及住房公积金等。</w:t>
      </w:r>
      <w:r>
        <w:rPr>
          <w:rFonts w:ascii="Times New Roman" w:hAnsi="Times New Roman" w:eastAsia="方正仿宋_GBK" w:cs="方正仿宋_GBK"/>
          <w:sz w:val="32"/>
          <w:szCs w:val="32"/>
          <w:shd w:val="clear" w:color="auto" w:fill="FFFFFF"/>
        </w:rPr>
        <w:t>公用经费</w:t>
      </w:r>
      <w:r>
        <w:rPr>
          <w:rFonts w:ascii="Times New Roman" w:hAnsi="Times New Roman" w:eastAsia="方正仿宋_GBK" w:cs="方正仿宋_GBK"/>
          <w:sz w:val="32"/>
          <w:szCs w:val="32"/>
        </w:rPr>
        <w:t>188.87</w:t>
      </w:r>
      <w:r>
        <w:rPr>
          <w:rFonts w:ascii="Times New Roman" w:hAnsi="Times New Roman" w:eastAsia="方正仿宋_GBK" w:cs="方正仿宋_GBK"/>
          <w:sz w:val="32"/>
          <w:szCs w:val="32"/>
          <w:shd w:val="clear" w:color="auto" w:fill="FFFFFF"/>
        </w:rPr>
        <w:t>万元，与2023年度相比，增加2.92万元，增长1.6%，主要原因是上年度未实现支付的部分公用经费在本年度支付。公用经费用途主要包括</w:t>
      </w:r>
      <w:r>
        <w:rPr>
          <w:rFonts w:ascii="Times New Roman" w:hAnsi="Times New Roman" w:eastAsia="方正仿宋_GBK" w:cs="方正仿宋_GBK"/>
          <w:sz w:val="32"/>
          <w:szCs w:val="32"/>
        </w:rPr>
        <w:t>办公费、差旅费、咨询费、水电费、维修（护）费、劳务费、广告费等。</w:t>
      </w:r>
    </w:p>
    <w:p>
      <w:pPr>
        <w:pStyle w:val="13"/>
        <w:keepNext w:val="0"/>
        <w:keepLines w:val="0"/>
        <w:pageBreakBefore w:val="0"/>
        <w:kinsoku/>
        <w:wordWrap/>
        <w:overflowPunct/>
        <w:topLinePunct w:val="0"/>
        <w:autoSpaceDE w:val="0"/>
        <w:autoSpaceDN/>
        <w:bidi w:val="0"/>
        <w:adjustRightInd/>
        <w:spacing w:beforeAutospacing="0" w:afterAutospacing="0" w:line="578" w:lineRule="exact"/>
        <w:ind w:firstLine="643"/>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（五）政府性基金预算收支决算情况说明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2024年度政府性基金预算财政拨款年初结转结余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万元，年末结转结余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万元。本年收入</w:t>
      </w:r>
      <w:r>
        <w:rPr>
          <w:rFonts w:ascii="Times New Roman" w:hAnsi="Times New Roman" w:eastAsia="方正仿宋_GBK" w:cs="方正仿宋_GBK"/>
          <w:sz w:val="32"/>
          <w:szCs w:val="32"/>
        </w:rPr>
        <w:t>55.79</w:t>
      </w:r>
      <w:r>
        <w:rPr>
          <w:rFonts w:ascii="Times New Roman" w:hAnsi="Times New Roman" w:eastAsia="方正仿宋_GBK" w:cs="方正仿宋_GBK"/>
          <w:sz w:val="32"/>
          <w:szCs w:val="32"/>
          <w:shd w:val="clear" w:color="auto" w:fill="FFFFFF"/>
        </w:rPr>
        <w:t>万元，与2023年度相比，增加16.57万元，增长42.3%，主要原因是2024年度追加彩票公益金项目支出。本年支出</w:t>
      </w:r>
      <w:r>
        <w:rPr>
          <w:rFonts w:ascii="Times New Roman" w:hAnsi="Times New Roman" w:eastAsia="方正仿宋_GBK" w:cs="方正仿宋_GBK"/>
          <w:sz w:val="32"/>
          <w:szCs w:val="32"/>
        </w:rPr>
        <w:t>55.79</w:t>
      </w:r>
      <w:r>
        <w:rPr>
          <w:rFonts w:ascii="Times New Roman" w:hAnsi="Times New Roman" w:eastAsia="方正仿宋_GBK" w:cs="方正仿宋_GBK"/>
          <w:sz w:val="32"/>
          <w:szCs w:val="32"/>
          <w:shd w:val="clear" w:color="auto" w:fill="FFFFFF"/>
        </w:rPr>
        <w:t>万元，与2023年度相比，增加16.57万元，增长42.3%，主要原因是2024年度追加彩票公益金项目支出。</w:t>
      </w:r>
    </w:p>
    <w:p>
      <w:pPr>
        <w:pStyle w:val="13"/>
        <w:keepNext w:val="0"/>
        <w:keepLines w:val="0"/>
        <w:pageBreakBefore w:val="0"/>
        <w:kinsoku/>
        <w:wordWrap/>
        <w:overflowPunct/>
        <w:topLinePunct w:val="0"/>
        <w:autoSpaceDE w:val="0"/>
        <w:autoSpaceDN/>
        <w:bidi w:val="0"/>
        <w:adjustRightInd/>
        <w:spacing w:beforeAutospacing="0" w:afterAutospacing="0" w:line="578" w:lineRule="exact"/>
        <w:ind w:firstLine="643"/>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（六）国有资本经营预算财政拨款支出决算情况说明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本单位2024年度无国有资本经营预算财政拨款支出。</w:t>
      </w:r>
    </w:p>
    <w:p>
      <w:pPr>
        <w:pStyle w:val="7"/>
        <w:keepNext w:val="0"/>
        <w:keepLines w:val="0"/>
        <w:pageBreakBefore w:val="0"/>
        <w:shd w:val="clear" w:color="auto" w:fill="FFFFFF"/>
        <w:kinsoku/>
        <w:wordWrap/>
        <w:overflowPunct/>
        <w:topLinePunct w:val="0"/>
        <w:autoSpaceDN/>
        <w:bidi w:val="0"/>
        <w:adjustRightInd/>
        <w:spacing w:before="0" w:beforeAutospacing="0" w:after="0" w:afterAutospacing="0" w:line="578" w:lineRule="exact"/>
        <w:ind w:firstLine="640" w:firstLineChars="200"/>
        <w:textAlignment w:val="auto"/>
        <w:rPr>
          <w:rFonts w:hint="eastAsia" w:ascii="方正黑体_GBK" w:hAnsi="方正黑体_GBK" w:eastAsia="方正黑体_GBK" w:cs="方正黑体_GBK"/>
          <w:b w:val="0"/>
          <w:bCs w:val="0"/>
          <w:kern w:val="2"/>
          <w:sz w:val="32"/>
          <w:szCs w:val="22"/>
          <w:lang w:val="en-US" w:eastAsia="zh-CN" w:bidi="ar-SA"/>
        </w:rPr>
      </w:pPr>
      <w:r>
        <w:rPr>
          <w:rFonts w:hint="eastAsia" w:ascii="方正黑体_GBK" w:hAnsi="方正黑体_GBK" w:eastAsia="方正黑体_GBK" w:cs="方正黑体_GBK"/>
          <w:b w:val="0"/>
          <w:bCs w:val="0"/>
          <w:kern w:val="2"/>
          <w:sz w:val="32"/>
          <w:szCs w:val="22"/>
          <w:lang w:val="en-US" w:eastAsia="zh-CN" w:bidi="ar-SA"/>
        </w:rPr>
        <w:t>三、财政拨款“三公”经费情况说明</w:t>
      </w:r>
    </w:p>
    <w:p>
      <w:pPr>
        <w:pStyle w:val="13"/>
        <w:keepNext w:val="0"/>
        <w:keepLines w:val="0"/>
        <w:pageBreakBefore w:val="0"/>
        <w:kinsoku/>
        <w:wordWrap/>
        <w:overflowPunct/>
        <w:topLinePunct w:val="0"/>
        <w:autoSpaceDE w:val="0"/>
        <w:autoSpaceDN/>
        <w:bidi w:val="0"/>
        <w:adjustRightInd/>
        <w:spacing w:beforeAutospacing="0" w:afterAutospacing="0" w:line="578" w:lineRule="exact"/>
        <w:ind w:firstLine="643"/>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（一）“三公”经费支出总体情况说明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2024年度“三公”经费支出共计</w:t>
      </w:r>
      <w:r>
        <w:rPr>
          <w:rFonts w:ascii="Times New Roman" w:hAnsi="Times New Roman" w:eastAsia="方正仿宋_GBK" w:cs="方正仿宋_GBK"/>
          <w:sz w:val="32"/>
          <w:szCs w:val="32"/>
        </w:rPr>
        <w:t>6.33</w:t>
      </w:r>
      <w:r>
        <w:rPr>
          <w:rFonts w:ascii="Times New Roman" w:hAnsi="Times New Roman" w:eastAsia="方正仿宋_GBK" w:cs="方正仿宋_GBK"/>
          <w:sz w:val="32"/>
          <w:szCs w:val="32"/>
          <w:shd w:val="clear" w:color="auto" w:fill="FFFFFF"/>
        </w:rPr>
        <w:t>万元，较年初预算数减少3.73万元，下降37.1%，主要原因是机关厉行节约，压减了</w:t>
      </w:r>
      <w:bookmarkStart w:id="0" w:name="_GoBack"/>
      <w:bookmarkEnd w:id="0"/>
      <w:r>
        <w:rPr>
          <w:rFonts w:hint="eastAsia" w:ascii="Times New Roman" w:hAnsi="Times New Roman" w:eastAsia="方正仿宋_GBK" w:cs="方正仿宋_GBK"/>
          <w:sz w:val="32"/>
          <w:szCs w:val="32"/>
          <w:shd w:val="clear" w:color="auto" w:fill="FFFFFF"/>
          <w:lang w:eastAsia="zh-CN"/>
        </w:rPr>
        <w:t>“三公”经费</w:t>
      </w:r>
      <w:r>
        <w:rPr>
          <w:rFonts w:ascii="Times New Roman" w:hAnsi="Times New Roman" w:eastAsia="方正仿宋_GBK" w:cs="方正仿宋_GBK"/>
          <w:sz w:val="32"/>
          <w:szCs w:val="32"/>
          <w:shd w:val="clear" w:color="auto" w:fill="FFFFFF"/>
        </w:rPr>
        <w:t>支出。较上年支出数增加4.92万元，增长348.9%，主要原因是2024年度公车维修费及保险费增加，公务接待次数增多，公务接待费增加。</w:t>
      </w:r>
    </w:p>
    <w:p>
      <w:pPr>
        <w:pStyle w:val="13"/>
        <w:keepNext w:val="0"/>
        <w:keepLines w:val="0"/>
        <w:pageBreakBefore w:val="0"/>
        <w:kinsoku/>
        <w:wordWrap/>
        <w:overflowPunct/>
        <w:topLinePunct w:val="0"/>
        <w:autoSpaceDE w:val="0"/>
        <w:autoSpaceDN/>
        <w:bidi w:val="0"/>
        <w:adjustRightInd/>
        <w:spacing w:beforeAutospacing="0" w:afterAutospacing="0" w:line="578" w:lineRule="exact"/>
        <w:ind w:firstLine="643"/>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（二）“三公”经费分项支出情况</w:t>
      </w:r>
    </w:p>
    <w:p>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2024年度本单位因公出国（境）费用</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万元，费用支出较年初预算数无增减，较上年支出数无增减，主要原因是2024年度本单位没有发生因公出国（境）费用。</w:t>
      </w:r>
    </w:p>
    <w:p>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公务车购置费</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万元，费用支出较年初预算数无增减，较上年支出数无增减，主要原因是2024年度未购置公务用车。</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公务车运行维护费</w:t>
      </w:r>
      <w:r>
        <w:rPr>
          <w:rFonts w:ascii="Times New Roman" w:hAnsi="Times New Roman" w:eastAsia="方正仿宋_GBK" w:cs="方正仿宋_GBK"/>
          <w:sz w:val="32"/>
          <w:szCs w:val="32"/>
        </w:rPr>
        <w:t>2.59</w:t>
      </w:r>
      <w:r>
        <w:rPr>
          <w:rFonts w:ascii="Times New Roman" w:hAnsi="Times New Roman" w:eastAsia="方正仿宋_GBK" w:cs="方正仿宋_GBK"/>
          <w:sz w:val="32"/>
          <w:szCs w:val="32"/>
          <w:shd w:val="clear" w:color="auto" w:fill="FFFFFF"/>
        </w:rPr>
        <w:t>万元，主要用于公务车保险费、油费及日常维修维护费。费用支出较年初预算数减少4.11万元，下降61.3%，主要原因是厉行节约，压减公务车运行维护费。较上年支出数增加2.11万元，增长439.6%，主要原因是2024年度公车维修费及保险费增加。</w:t>
      </w:r>
    </w:p>
    <w:p>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公务接待费</w:t>
      </w:r>
      <w:r>
        <w:rPr>
          <w:rFonts w:ascii="Times New Roman" w:hAnsi="Times New Roman" w:eastAsia="方正仿宋_GBK" w:cs="方正仿宋_GBK"/>
          <w:sz w:val="32"/>
          <w:szCs w:val="32"/>
        </w:rPr>
        <w:t>3.74</w:t>
      </w:r>
      <w:r>
        <w:rPr>
          <w:rFonts w:ascii="Times New Roman" w:hAnsi="Times New Roman" w:eastAsia="方正仿宋_GBK" w:cs="方正仿宋_GBK"/>
          <w:sz w:val="32"/>
          <w:szCs w:val="32"/>
          <w:shd w:val="clear" w:color="auto" w:fill="FFFFFF"/>
        </w:rPr>
        <w:t>万元，主要用于接待上级单位来我单位调研、考察、检查等支出。费用支出较年初预算数增加0.37万元，增长11.0%，主要原因是上年未实现支付的部分公务接待费在本年支付。较上年支出数增加2.81万元，增长302.2%，主要原因是上年未实现支付的部分公务接待费在本年支付。</w:t>
      </w:r>
    </w:p>
    <w:p>
      <w:pPr>
        <w:pStyle w:val="13"/>
        <w:keepNext w:val="0"/>
        <w:keepLines w:val="0"/>
        <w:pageBreakBefore w:val="0"/>
        <w:kinsoku/>
        <w:wordWrap/>
        <w:overflowPunct/>
        <w:topLinePunct w:val="0"/>
        <w:autoSpaceDE w:val="0"/>
        <w:autoSpaceDN/>
        <w:bidi w:val="0"/>
        <w:adjustRightInd/>
        <w:spacing w:beforeAutospacing="0" w:afterAutospacing="0" w:line="578" w:lineRule="exact"/>
        <w:ind w:firstLine="643"/>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（三）“三公”经费实物量情况</w:t>
      </w:r>
    </w:p>
    <w:p>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2024年度本单位因公出国（境）共计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个团组，</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人；公务用车购置</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辆，公务车保有量为</w:t>
      </w:r>
      <w:r>
        <w:rPr>
          <w:rFonts w:ascii="Times New Roman" w:hAnsi="Times New Roman" w:eastAsia="方正仿宋_GBK" w:cs="方正仿宋_GBK"/>
          <w:sz w:val="32"/>
          <w:szCs w:val="32"/>
        </w:rPr>
        <w:t>2</w:t>
      </w:r>
      <w:r>
        <w:rPr>
          <w:rFonts w:ascii="Times New Roman" w:hAnsi="Times New Roman" w:eastAsia="方正仿宋_GBK" w:cs="方正仿宋_GBK"/>
          <w:sz w:val="32"/>
          <w:szCs w:val="32"/>
          <w:shd w:val="clear" w:color="auto" w:fill="FFFFFF"/>
        </w:rPr>
        <w:t>辆；国内公务接待</w:t>
      </w:r>
      <w:r>
        <w:rPr>
          <w:rFonts w:ascii="Times New Roman" w:hAnsi="Times New Roman" w:eastAsia="方正仿宋_GBK" w:cs="方正仿宋_GBK"/>
          <w:sz w:val="32"/>
          <w:szCs w:val="32"/>
        </w:rPr>
        <w:t>125</w:t>
      </w:r>
      <w:r>
        <w:rPr>
          <w:rFonts w:ascii="Times New Roman" w:hAnsi="Times New Roman" w:eastAsia="方正仿宋_GBK" w:cs="方正仿宋_GBK"/>
          <w:sz w:val="32"/>
          <w:szCs w:val="32"/>
          <w:shd w:val="clear" w:color="auto" w:fill="FFFFFF"/>
        </w:rPr>
        <w:t>批次</w:t>
      </w:r>
      <w:r>
        <w:rPr>
          <w:rFonts w:ascii="Times New Roman" w:hAnsi="Times New Roman" w:eastAsia="方正仿宋_GBK" w:cs="方正仿宋_GBK"/>
          <w:sz w:val="32"/>
          <w:szCs w:val="32"/>
        </w:rPr>
        <w:t>747</w:t>
      </w:r>
      <w:r>
        <w:rPr>
          <w:rFonts w:ascii="Times New Roman" w:hAnsi="Times New Roman" w:eastAsia="方正仿宋_GBK" w:cs="方正仿宋_GBK"/>
          <w:sz w:val="32"/>
          <w:szCs w:val="32"/>
          <w:shd w:val="clear" w:color="auto" w:fill="FFFFFF"/>
        </w:rPr>
        <w:t>人，其中：国内外事接待</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批次，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人；国（境）外公务接待</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批次，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人。2024年本单位人均接待费</w:t>
      </w:r>
      <w:r>
        <w:rPr>
          <w:rFonts w:ascii="Times New Roman" w:hAnsi="Times New Roman" w:eastAsia="方正仿宋_GBK" w:cs="方正仿宋_GBK"/>
          <w:sz w:val="32"/>
          <w:szCs w:val="32"/>
        </w:rPr>
        <w:t>50.05</w:t>
      </w:r>
      <w:r>
        <w:rPr>
          <w:rFonts w:ascii="Times New Roman" w:hAnsi="Times New Roman" w:eastAsia="方正仿宋_GBK" w:cs="方正仿宋_GBK"/>
          <w:sz w:val="32"/>
          <w:szCs w:val="32"/>
          <w:shd w:val="clear" w:color="auto" w:fill="FFFFFF"/>
        </w:rPr>
        <w:t>元，车均购置费</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万元，车均维护费</w:t>
      </w:r>
      <w:r>
        <w:rPr>
          <w:rFonts w:ascii="Times New Roman" w:hAnsi="Times New Roman" w:eastAsia="方正仿宋_GBK" w:cs="方正仿宋_GBK"/>
          <w:sz w:val="32"/>
          <w:szCs w:val="32"/>
        </w:rPr>
        <w:t>1.30</w:t>
      </w:r>
      <w:r>
        <w:rPr>
          <w:rFonts w:ascii="Times New Roman" w:hAnsi="Times New Roman" w:eastAsia="方正仿宋_GBK" w:cs="方正仿宋_GBK"/>
          <w:sz w:val="32"/>
          <w:szCs w:val="32"/>
          <w:shd w:val="clear" w:color="auto" w:fill="FFFFFF"/>
        </w:rPr>
        <w:t>万元。</w:t>
      </w:r>
    </w:p>
    <w:p>
      <w:pPr>
        <w:pStyle w:val="7"/>
        <w:keepNext w:val="0"/>
        <w:keepLines w:val="0"/>
        <w:pageBreakBefore w:val="0"/>
        <w:shd w:val="clear" w:color="auto" w:fill="FFFFFF"/>
        <w:kinsoku/>
        <w:wordWrap/>
        <w:overflowPunct/>
        <w:topLinePunct w:val="0"/>
        <w:autoSpaceDN/>
        <w:bidi w:val="0"/>
        <w:adjustRightInd/>
        <w:spacing w:before="0" w:beforeAutospacing="0" w:after="0" w:afterAutospacing="0" w:line="578" w:lineRule="exact"/>
        <w:ind w:firstLine="640" w:firstLineChars="200"/>
        <w:textAlignment w:val="auto"/>
        <w:rPr>
          <w:rFonts w:hint="eastAsia" w:ascii="方正黑体_GBK" w:hAnsi="方正黑体_GBK" w:eastAsia="方正黑体_GBK" w:cs="方正黑体_GBK"/>
          <w:b w:val="0"/>
          <w:bCs w:val="0"/>
          <w:kern w:val="2"/>
          <w:sz w:val="32"/>
          <w:szCs w:val="22"/>
          <w:lang w:val="en-US" w:eastAsia="zh-CN" w:bidi="ar-SA"/>
        </w:rPr>
      </w:pPr>
      <w:r>
        <w:rPr>
          <w:rFonts w:hint="eastAsia" w:ascii="方正黑体_GBK" w:hAnsi="方正黑体_GBK" w:eastAsia="方正黑体_GBK" w:cs="方正黑体_GBK"/>
          <w:b w:val="0"/>
          <w:bCs w:val="0"/>
          <w:kern w:val="2"/>
          <w:sz w:val="32"/>
          <w:szCs w:val="22"/>
          <w:lang w:val="en-US" w:eastAsia="zh-CN" w:bidi="ar-SA"/>
        </w:rPr>
        <w:t>四、其他需要说明的事项</w:t>
      </w:r>
    </w:p>
    <w:p>
      <w:pPr>
        <w:pStyle w:val="13"/>
        <w:keepNext w:val="0"/>
        <w:keepLines w:val="0"/>
        <w:pageBreakBefore w:val="0"/>
        <w:kinsoku/>
        <w:wordWrap/>
        <w:overflowPunct/>
        <w:topLinePunct w:val="0"/>
        <w:autoSpaceDE w:val="0"/>
        <w:autoSpaceDN/>
        <w:bidi w:val="0"/>
        <w:adjustRightInd/>
        <w:spacing w:beforeAutospacing="0" w:afterAutospacing="0" w:line="578" w:lineRule="exact"/>
        <w:ind w:firstLine="643"/>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（一）财政拨款会议费和培训费情况说明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本年度会议费支出</w:t>
      </w:r>
      <w:r>
        <w:rPr>
          <w:rFonts w:ascii="Times New Roman" w:hAnsi="Times New Roman" w:eastAsia="方正仿宋_GBK" w:cs="方正仿宋_GBK"/>
          <w:sz w:val="32"/>
          <w:szCs w:val="32"/>
        </w:rPr>
        <w:t>0.80</w:t>
      </w:r>
      <w:r>
        <w:rPr>
          <w:rFonts w:ascii="Times New Roman" w:hAnsi="Times New Roman" w:eastAsia="方正仿宋_GBK" w:cs="方正仿宋_GBK"/>
          <w:sz w:val="32"/>
          <w:szCs w:val="32"/>
          <w:shd w:val="clear" w:color="auto" w:fill="FFFFFF"/>
        </w:rPr>
        <w:t>万元，与2023年度相比，减少2.47万元，下降75.5%，主要原因是本年度会议次数减少，会议费减少。本年度培训费支出</w:t>
      </w:r>
      <w:r>
        <w:rPr>
          <w:rFonts w:ascii="Times New Roman" w:hAnsi="Times New Roman" w:eastAsia="方正仿宋_GBK" w:cs="方正仿宋_GBK"/>
          <w:sz w:val="32"/>
          <w:szCs w:val="32"/>
        </w:rPr>
        <w:t>1.45</w:t>
      </w:r>
      <w:r>
        <w:rPr>
          <w:rFonts w:ascii="Times New Roman" w:hAnsi="Times New Roman" w:eastAsia="方正仿宋_GBK" w:cs="方正仿宋_GBK"/>
          <w:sz w:val="32"/>
          <w:szCs w:val="32"/>
          <w:shd w:val="clear" w:color="auto" w:fill="FFFFFF"/>
        </w:rPr>
        <w:t>万元，与2023年度相比，无增减，主要原因是本年度未增加职工培训次数。</w:t>
      </w:r>
    </w:p>
    <w:p>
      <w:pPr>
        <w:pStyle w:val="13"/>
        <w:keepNext w:val="0"/>
        <w:keepLines w:val="0"/>
        <w:pageBreakBefore w:val="0"/>
        <w:kinsoku/>
        <w:wordWrap/>
        <w:overflowPunct/>
        <w:topLinePunct w:val="0"/>
        <w:autoSpaceDE w:val="0"/>
        <w:autoSpaceDN/>
        <w:bidi w:val="0"/>
        <w:adjustRightInd/>
        <w:spacing w:beforeAutospacing="0" w:afterAutospacing="0" w:line="578" w:lineRule="exact"/>
        <w:ind w:firstLine="643"/>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（二）机关运行经费情况说明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2024年度本单位机关运行经费支出</w:t>
      </w:r>
      <w:r>
        <w:rPr>
          <w:rFonts w:ascii="Times New Roman" w:hAnsi="Times New Roman" w:eastAsia="方正仿宋_GBK" w:cs="方正仿宋_GBK"/>
          <w:sz w:val="32"/>
          <w:szCs w:val="32"/>
        </w:rPr>
        <w:t>188.87</w:t>
      </w:r>
      <w:r>
        <w:rPr>
          <w:rFonts w:ascii="Times New Roman" w:hAnsi="Times New Roman" w:eastAsia="方正仿宋_GBK" w:cs="方正仿宋_GBK"/>
          <w:sz w:val="32"/>
          <w:szCs w:val="32"/>
          <w:shd w:val="clear" w:color="auto" w:fill="FFFFFF"/>
        </w:rPr>
        <w:t>万元，机关运行经费主要用于开支机关</w:t>
      </w:r>
      <w:r>
        <w:rPr>
          <w:rFonts w:ascii="Times New Roman" w:hAnsi="Times New Roman" w:eastAsia="方正仿宋_GBK" w:cs="方正仿宋_GBK"/>
          <w:sz w:val="32"/>
          <w:szCs w:val="32"/>
        </w:rPr>
        <w:t>办公费、差旅费、咨询费、水电费、维修（护）费、劳务费、广告费等</w:t>
      </w:r>
      <w:r>
        <w:rPr>
          <w:rFonts w:ascii="Times New Roman" w:hAnsi="Times New Roman" w:eastAsia="方正仿宋_GBK" w:cs="方正仿宋_GBK"/>
          <w:sz w:val="32"/>
          <w:szCs w:val="32"/>
          <w:shd w:val="clear" w:color="auto" w:fill="FFFFFF"/>
        </w:rPr>
        <w:t>必要支出。机关运行经费较上年支出数增加2.92万元，增长1.6%，主要原因是上年度未实现支付的部分公用经费在本年度支付。</w:t>
      </w:r>
    </w:p>
    <w:p>
      <w:pPr>
        <w:pStyle w:val="13"/>
        <w:keepNext w:val="0"/>
        <w:keepLines w:val="0"/>
        <w:pageBreakBefore w:val="0"/>
        <w:kinsoku/>
        <w:wordWrap/>
        <w:overflowPunct/>
        <w:topLinePunct w:val="0"/>
        <w:autoSpaceDE w:val="0"/>
        <w:autoSpaceDN/>
        <w:bidi w:val="0"/>
        <w:adjustRightInd/>
        <w:spacing w:beforeAutospacing="0" w:afterAutospacing="0" w:line="578" w:lineRule="exact"/>
        <w:ind w:firstLine="643"/>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（三）国有资产占用情况说明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截至2024年12月31日，本单位共有车辆</w:t>
      </w:r>
      <w:r>
        <w:rPr>
          <w:rFonts w:ascii="Times New Roman" w:hAnsi="Times New Roman" w:eastAsia="方正仿宋_GBK" w:cs="方正仿宋_GBK"/>
          <w:sz w:val="32"/>
          <w:szCs w:val="32"/>
        </w:rPr>
        <w:t>2</w:t>
      </w:r>
      <w:r>
        <w:rPr>
          <w:rFonts w:ascii="Times New Roman" w:hAnsi="Times New Roman" w:eastAsia="方正仿宋_GBK" w:cs="方正仿宋_GBK"/>
          <w:sz w:val="32"/>
          <w:szCs w:val="32"/>
          <w:shd w:val="clear" w:color="auto" w:fill="FFFFFF"/>
        </w:rPr>
        <w:t>辆，其中，副部（省）级及以上领导用车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辆、主要负责人用车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辆、机要通信用车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辆、应急保障用车</w:t>
      </w:r>
      <w:r>
        <w:rPr>
          <w:rFonts w:ascii="Times New Roman" w:hAnsi="Times New Roman" w:eastAsia="方正仿宋_GBK" w:cs="方正仿宋_GBK"/>
          <w:sz w:val="32"/>
          <w:szCs w:val="32"/>
        </w:rPr>
        <w:t>2</w:t>
      </w:r>
      <w:r>
        <w:rPr>
          <w:rFonts w:ascii="Times New Roman" w:hAnsi="Times New Roman" w:eastAsia="方正仿宋_GBK" w:cs="方正仿宋_GBK"/>
          <w:sz w:val="32"/>
          <w:szCs w:val="32"/>
          <w:shd w:val="clear" w:color="auto" w:fill="FFFFFF"/>
        </w:rPr>
        <w:t>辆、执法执勤用车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辆，特种专业技术用车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辆，离退休干部用车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辆。单价100万元（含）以上专用设备</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台（套）。</w:t>
      </w:r>
    </w:p>
    <w:p>
      <w:pPr>
        <w:pStyle w:val="13"/>
        <w:keepNext w:val="0"/>
        <w:keepLines w:val="0"/>
        <w:pageBreakBefore w:val="0"/>
        <w:kinsoku/>
        <w:wordWrap/>
        <w:overflowPunct/>
        <w:topLinePunct w:val="0"/>
        <w:autoSpaceDE w:val="0"/>
        <w:autoSpaceDN/>
        <w:bidi w:val="0"/>
        <w:adjustRightInd/>
        <w:spacing w:beforeAutospacing="0" w:afterAutospacing="0" w:line="578" w:lineRule="exact"/>
        <w:ind w:firstLine="643"/>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（四）政府采购支出情况说明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2024年度本单位政府采购支出总额</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万元，其中：政府采购货物支出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万元、政府采购工程支出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万元、政府采购服务支出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万元。授予中小企业合同金额</w:t>
      </w:r>
      <w:r>
        <w:rPr>
          <w:rFonts w:ascii="Times New Roman" w:hAnsi="Times New Roman" w:eastAsia="方正仿宋_GBK" w:cs="方正仿宋_GBK"/>
          <w:sz w:val="32"/>
          <w:szCs w:val="32"/>
        </w:rPr>
        <w:t>0.00万</w:t>
      </w:r>
      <w:r>
        <w:rPr>
          <w:rFonts w:ascii="Times New Roman" w:hAnsi="Times New Roman" w:eastAsia="方正仿宋_GBK" w:cs="方正仿宋_GBK"/>
          <w:sz w:val="32"/>
          <w:szCs w:val="32"/>
          <w:shd w:val="clear" w:color="auto" w:fill="FFFFFF"/>
        </w:rPr>
        <w:t>元，占政府采购支出总额的</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%，其中：授予小微企业合同金额</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万元，占政府采购支出总额的</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%。2024年度我单位未发生政府采购事项，无相关经费支出。</w:t>
      </w:r>
    </w:p>
    <w:p>
      <w:pPr>
        <w:pStyle w:val="7"/>
        <w:keepNext w:val="0"/>
        <w:keepLines w:val="0"/>
        <w:pageBreakBefore w:val="0"/>
        <w:shd w:val="clear" w:color="auto" w:fill="FFFFFF"/>
        <w:kinsoku/>
        <w:wordWrap/>
        <w:overflowPunct/>
        <w:topLinePunct w:val="0"/>
        <w:autoSpaceDN/>
        <w:bidi w:val="0"/>
        <w:adjustRightInd/>
        <w:spacing w:before="0" w:beforeAutospacing="0" w:after="0" w:afterAutospacing="0" w:line="578" w:lineRule="exact"/>
        <w:ind w:firstLine="640" w:firstLineChars="200"/>
        <w:textAlignment w:val="auto"/>
        <w:rPr>
          <w:rFonts w:hint="eastAsia" w:ascii="方正黑体_GBK" w:hAnsi="方正黑体_GBK" w:eastAsia="方正黑体_GBK" w:cs="方正黑体_GBK"/>
          <w:b w:val="0"/>
          <w:bCs w:val="0"/>
          <w:kern w:val="2"/>
          <w:sz w:val="32"/>
          <w:szCs w:val="22"/>
          <w:lang w:val="en-US" w:eastAsia="zh-CN" w:bidi="ar-SA"/>
        </w:rPr>
      </w:pPr>
      <w:r>
        <w:rPr>
          <w:rFonts w:hint="eastAsia" w:ascii="方正黑体_GBK" w:hAnsi="方正黑体_GBK" w:eastAsia="方正黑体_GBK" w:cs="方正黑体_GBK"/>
          <w:b w:val="0"/>
          <w:bCs w:val="0"/>
          <w:kern w:val="2"/>
          <w:sz w:val="32"/>
          <w:szCs w:val="22"/>
          <w:lang w:val="en-US" w:eastAsia="zh-CN" w:bidi="ar-SA"/>
        </w:rPr>
        <w:t>五、</w:t>
      </w:r>
      <w:r>
        <w:rPr>
          <w:rFonts w:hint="default" w:ascii="方正黑体_GBK" w:hAnsi="方正黑体_GBK" w:eastAsia="方正黑体_GBK" w:cs="方正黑体_GBK"/>
          <w:b w:val="0"/>
          <w:bCs w:val="0"/>
          <w:kern w:val="2"/>
          <w:sz w:val="32"/>
          <w:szCs w:val="22"/>
          <w:lang w:val="en-US" w:eastAsia="zh-CN" w:bidi="ar-SA"/>
        </w:rPr>
        <w:t>2024</w:t>
      </w:r>
      <w:r>
        <w:rPr>
          <w:rFonts w:hint="eastAsia" w:ascii="方正黑体_GBK" w:hAnsi="方正黑体_GBK" w:eastAsia="方正黑体_GBK" w:cs="方正黑体_GBK"/>
          <w:b w:val="0"/>
          <w:bCs w:val="0"/>
          <w:kern w:val="2"/>
          <w:sz w:val="32"/>
          <w:szCs w:val="22"/>
          <w:lang w:val="en-US" w:eastAsia="zh-CN" w:bidi="ar-SA"/>
        </w:rPr>
        <w:t>年度预算绩效管理情况说明</w:t>
      </w:r>
    </w:p>
    <w:p>
      <w:pPr>
        <w:pStyle w:val="14"/>
        <w:keepNext w:val="0"/>
        <w:keepLines w:val="0"/>
        <w:pageBreakBefore w:val="0"/>
        <w:kinsoku/>
        <w:wordWrap/>
        <w:overflowPunct/>
        <w:topLinePunct w:val="0"/>
        <w:autoSpaceDE w:val="0"/>
        <w:autoSpaceDN/>
        <w:bidi w:val="0"/>
        <w:adjustRightInd/>
        <w:spacing w:before="0" w:beforeAutospacing="0" w:after="0" w:afterAutospacing="0" w:line="578" w:lineRule="exact"/>
        <w:ind w:firstLine="640" w:firstLineChars="200"/>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（一）单位自评情况</w:t>
      </w:r>
    </w:p>
    <w:p>
      <w:pPr>
        <w:pStyle w:val="14"/>
        <w:keepNext w:val="0"/>
        <w:keepLines w:val="0"/>
        <w:pageBreakBefore w:val="0"/>
        <w:kinsoku/>
        <w:wordWrap/>
        <w:overflowPunct/>
        <w:topLinePunct w:val="0"/>
        <w:autoSpaceDE w:val="0"/>
        <w:autoSpaceDN/>
        <w:bidi w:val="0"/>
        <w:adjustRightInd/>
        <w:spacing w:before="0" w:beforeAutospacing="0" w:after="0" w:afterAutospacing="0" w:line="578" w:lineRule="exact"/>
        <w:ind w:firstLine="640" w:firstLineChars="200"/>
        <w:textAlignment w:val="auto"/>
        <w:rPr>
          <w:rFonts w:hint="eastAsia" w:ascii="Times New Roman" w:hAnsi="Times New Roman" w:eastAsia="方正仿宋_GBK" w:cs="方正仿宋_GBK"/>
          <w:sz w:val="32"/>
          <w:szCs w:val="32"/>
          <w:shd w:val="clear" w:color="auto" w:fill="FFFFFF"/>
        </w:rPr>
        <w:sectPr>
          <w:headerReference r:id="rId3" w:type="default"/>
          <w:footerReference r:id="rId4" w:type="default"/>
          <w:pgSz w:w="11850" w:h="16783"/>
          <w:pgMar w:top="2098" w:right="1531" w:bottom="1984" w:left="1531" w:header="850" w:footer="1474" w:gutter="0"/>
          <w:pgNumType w:fmt="decimal"/>
          <w:cols w:space="720" w:num="1"/>
          <w:docGrid w:type="lines" w:linePitch="326" w:charSpace="0"/>
        </w:sectPr>
      </w:pPr>
      <w:r>
        <w:rPr>
          <w:rFonts w:hint="eastAsia" w:ascii="Times New Roman" w:hAnsi="Times New Roman" w:eastAsia="方正仿宋_GBK" w:cs="方正仿宋_GBK"/>
          <w:sz w:val="32"/>
          <w:szCs w:val="32"/>
          <w:shd w:val="clear" w:color="auto" w:fill="FFFFFF"/>
        </w:rPr>
        <w:t>根据预算绩效管理要求，我单位对111个二级项目开展了绩效自评，涉及财政拨款项目支出资金1803.78万元。</w:t>
      </w:r>
    </w:p>
    <w:tbl>
      <w:tblPr>
        <w:tblStyle w:val="8"/>
        <w:tblW w:w="15508" w:type="dxa"/>
        <w:tblInd w:w="0" w:type="dxa"/>
        <w:tblLayout w:type="fixed"/>
        <w:tblCellMar>
          <w:top w:w="0" w:type="dxa"/>
          <w:left w:w="108" w:type="dxa"/>
          <w:bottom w:w="0" w:type="dxa"/>
          <w:right w:w="108" w:type="dxa"/>
        </w:tblCellMar>
      </w:tblPr>
      <w:tblGrid>
        <w:gridCol w:w="2221"/>
        <w:gridCol w:w="1789"/>
        <w:gridCol w:w="1782"/>
        <w:gridCol w:w="1487"/>
        <w:gridCol w:w="1124"/>
        <w:gridCol w:w="1305"/>
        <w:gridCol w:w="1397"/>
        <w:gridCol w:w="1030"/>
        <w:gridCol w:w="943"/>
        <w:gridCol w:w="1306"/>
        <w:gridCol w:w="1124"/>
      </w:tblGrid>
      <w:tr>
        <w:tblPrEx>
          <w:tblCellMar>
            <w:top w:w="0" w:type="dxa"/>
            <w:left w:w="108" w:type="dxa"/>
            <w:bottom w:w="0" w:type="dxa"/>
            <w:right w:w="108" w:type="dxa"/>
          </w:tblCellMar>
        </w:tblPrEx>
        <w:trPr>
          <w:trHeight w:val="800" w:hRule="atLeast"/>
        </w:trPr>
        <w:tc>
          <w:tcPr>
            <w:tcW w:w="1550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eastAsia="微软雅黑" w:cs="微软雅黑"/>
                <w:b/>
                <w:bCs/>
                <w:color w:val="000000"/>
                <w:sz w:val="40"/>
                <w:szCs w:val="40"/>
              </w:rPr>
            </w:pPr>
            <w:r>
              <w:rPr>
                <w:rFonts w:hint="eastAsia" w:ascii="Times New Roman" w:hAnsi="Times New Roman" w:eastAsia="方正小标宋_GBK" w:cs="方正小标宋_GBK"/>
                <w:b w:val="0"/>
                <w:bCs w:val="0"/>
                <w:color w:val="000000"/>
                <w:sz w:val="40"/>
                <w:szCs w:val="40"/>
              </w:rPr>
              <w:t>2024年度二级项目绩效自评表</w:t>
            </w:r>
          </w:p>
        </w:tc>
      </w:tr>
      <w:tr>
        <w:tblPrEx>
          <w:tblCellMar>
            <w:top w:w="0" w:type="dxa"/>
            <w:left w:w="108" w:type="dxa"/>
            <w:bottom w:w="0" w:type="dxa"/>
            <w:right w:w="108" w:type="dxa"/>
          </w:tblCellMar>
        </w:tblPrEx>
        <w:trPr>
          <w:trHeight w:val="500" w:hRule="atLeast"/>
        </w:trPr>
        <w:tc>
          <w:tcPr>
            <w:tcW w:w="1550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default" w:ascii="Times New Roman" w:hAnsi="Times New Roman" w:cs="宋体"/>
                <w:b/>
                <w:bCs/>
                <w:color w:val="DA3232"/>
                <w:sz w:val="22"/>
                <w:szCs w:val="22"/>
              </w:rPr>
            </w:pPr>
          </w:p>
        </w:tc>
      </w:tr>
      <w:tr>
        <w:tblPrEx>
          <w:tblCellMar>
            <w:top w:w="0" w:type="dxa"/>
            <w:left w:w="108" w:type="dxa"/>
            <w:bottom w:w="0" w:type="dxa"/>
            <w:right w:w="108" w:type="dxa"/>
          </w:tblCellMar>
        </w:tblPrEx>
        <w:trPr>
          <w:trHeight w:val="500" w:hRule="atLeast"/>
        </w:trPr>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Times New Roman" w:hAnsi="Times New Roman" w:eastAsia="方正仿宋_GBK" w:cs="方正仿宋_GBK"/>
                <w:b w:val="0"/>
                <w:bCs w:val="0"/>
                <w:color w:val="000000"/>
                <w:sz w:val="22"/>
                <w:szCs w:val="22"/>
              </w:rPr>
            </w:pPr>
            <w:r>
              <w:rPr>
                <w:rFonts w:hint="eastAsia" w:ascii="Times New Roman" w:hAnsi="Times New Roman" w:eastAsia="方正仿宋_GBK" w:cs="方正仿宋_GBK"/>
                <w:b w:val="0"/>
                <w:bCs w:val="0"/>
                <w:color w:val="000000"/>
                <w:sz w:val="22"/>
                <w:szCs w:val="22"/>
              </w:rPr>
              <w:t>项目名称：</w:t>
            </w:r>
          </w:p>
        </w:tc>
        <w:tc>
          <w:tcPr>
            <w:tcW w:w="357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Times New Roman" w:hAnsi="Times New Roman" w:eastAsia="方正仿宋_GBK" w:cs="方正仿宋_GBK"/>
                <w:b w:val="0"/>
                <w:bCs w:val="0"/>
                <w:color w:val="000000"/>
                <w:sz w:val="22"/>
                <w:szCs w:val="22"/>
              </w:rPr>
            </w:pPr>
            <w:r>
              <w:rPr>
                <w:rFonts w:hint="eastAsia" w:ascii="Times New Roman" w:hAnsi="Times New Roman" w:eastAsia="方正仿宋_GBK" w:cs="方正仿宋_GBK"/>
                <w:b w:val="0"/>
                <w:bCs w:val="0"/>
                <w:color w:val="000000"/>
                <w:sz w:val="22"/>
                <w:szCs w:val="22"/>
              </w:rPr>
              <w:t>2023年中央自然灾害救灾资金（地灾）</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Times New Roman" w:hAnsi="Times New Roman" w:eastAsia="方正仿宋_GBK" w:cs="方正仿宋_GBK"/>
                <w:b w:val="0"/>
                <w:bCs w:val="0"/>
                <w:color w:val="000000"/>
                <w:sz w:val="22"/>
                <w:szCs w:val="22"/>
              </w:rPr>
            </w:pPr>
            <w:r>
              <w:rPr>
                <w:rFonts w:hint="eastAsia" w:ascii="Times New Roman" w:hAnsi="Times New Roman" w:eastAsia="方正仿宋_GBK" w:cs="方正仿宋_GBK"/>
                <w:b w:val="0"/>
                <w:bCs w:val="0"/>
                <w:color w:val="000000"/>
                <w:sz w:val="22"/>
                <w:szCs w:val="22"/>
              </w:rPr>
              <w:t>项目编码</w:t>
            </w:r>
            <w:r>
              <w:rPr>
                <w:rFonts w:hint="eastAsia" w:ascii="Times New Roman" w:hAnsi="Times New Roman" w:eastAsia="方正仿宋_GBK" w:cs="方正仿宋_GBK"/>
                <w:b w:val="0"/>
                <w:bCs w:val="0"/>
                <w:color w:val="auto"/>
                <w:sz w:val="22"/>
                <w:szCs w:val="22"/>
              </w:rPr>
              <w:t>状态：业务审核已审</w:t>
            </w:r>
            <w:r>
              <w:rPr>
                <w:rFonts w:hint="eastAsia" w:ascii="Times New Roman" w:hAnsi="Times New Roman" w:eastAsia="方正仿宋_GBK" w:cs="方正仿宋_GBK"/>
                <w:b w:val="0"/>
                <w:bCs w:val="0"/>
                <w:color w:val="000000"/>
                <w:sz w:val="22"/>
                <w:szCs w:val="22"/>
              </w:rPr>
              <w:t>：</w:t>
            </w:r>
          </w:p>
        </w:tc>
        <w:tc>
          <w:tcPr>
            <w:tcW w:w="24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Times New Roman" w:hAnsi="Times New Roman" w:eastAsia="方正仿宋_GBK" w:cs="方正仿宋_GBK"/>
                <w:b w:val="0"/>
                <w:bCs w:val="0"/>
                <w:color w:val="000000"/>
                <w:sz w:val="22"/>
                <w:szCs w:val="22"/>
              </w:rPr>
            </w:pPr>
            <w:r>
              <w:rPr>
                <w:rFonts w:hint="eastAsia" w:ascii="Times New Roman" w:hAnsi="Times New Roman" w:eastAsia="方正仿宋_GBK" w:cs="方正仿宋_GBK"/>
                <w:b w:val="0"/>
                <w:bCs w:val="0"/>
                <w:color w:val="000000"/>
                <w:sz w:val="22"/>
                <w:szCs w:val="22"/>
              </w:rPr>
              <w:t>50023524T000004478130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Times New Roman" w:hAnsi="Times New Roman" w:eastAsia="方正仿宋_GBK" w:cs="方正仿宋_GBK"/>
                <w:b w:val="0"/>
                <w:bCs w:val="0"/>
                <w:color w:val="000000"/>
                <w:sz w:val="22"/>
                <w:szCs w:val="22"/>
              </w:rPr>
            </w:pPr>
            <w:r>
              <w:rPr>
                <w:rFonts w:hint="eastAsia" w:ascii="Times New Roman" w:hAnsi="Times New Roman" w:eastAsia="方正仿宋_GBK" w:cs="方正仿宋_GBK"/>
                <w:b w:val="0"/>
                <w:bCs w:val="0"/>
                <w:color w:val="000000"/>
                <w:sz w:val="22"/>
                <w:szCs w:val="22"/>
              </w:rPr>
              <w:t>自评总分：</w:t>
            </w:r>
          </w:p>
        </w:tc>
        <w:tc>
          <w:tcPr>
            <w:tcW w:w="19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Times New Roman" w:hAnsi="Times New Roman" w:eastAsia="方正仿宋_GBK" w:cs="方正仿宋_GBK"/>
                <w:b w:val="0"/>
                <w:bCs w:val="0"/>
                <w:color w:val="000000"/>
                <w:sz w:val="22"/>
                <w:szCs w:val="22"/>
              </w:rPr>
            </w:pPr>
            <w:r>
              <w:rPr>
                <w:rFonts w:hint="eastAsia" w:ascii="Times New Roman" w:hAnsi="Times New Roman" w:eastAsia="方正仿宋_GBK" w:cs="方正仿宋_GBK"/>
                <w:b w:val="0"/>
                <w:bCs w:val="0"/>
                <w:color w:val="000000"/>
                <w:sz w:val="22"/>
                <w:szCs w:val="22"/>
              </w:rPr>
              <w:t>100.00</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方正仿宋_GBK" w:cs="方正仿宋_GBK"/>
                <w:b w:val="0"/>
                <w:bCs w:val="0"/>
                <w:color w:val="000000"/>
                <w:sz w:val="22"/>
                <w:szCs w:val="22"/>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方正仿宋_GBK" w:cs="方正仿宋_GBK"/>
                <w:b w:val="0"/>
                <w:bCs w:val="0"/>
                <w:color w:val="000000"/>
                <w:sz w:val="22"/>
                <w:szCs w:val="22"/>
              </w:rPr>
            </w:pPr>
          </w:p>
        </w:tc>
      </w:tr>
      <w:tr>
        <w:tblPrEx>
          <w:tblCellMar>
            <w:top w:w="0" w:type="dxa"/>
            <w:left w:w="108" w:type="dxa"/>
            <w:bottom w:w="0" w:type="dxa"/>
            <w:right w:w="108" w:type="dxa"/>
          </w:tblCellMar>
        </w:tblPrEx>
        <w:trPr>
          <w:trHeight w:val="500" w:hRule="atLeast"/>
        </w:trPr>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Times New Roman" w:hAnsi="Times New Roman" w:eastAsia="方正仿宋_GBK" w:cs="方正仿宋_GBK"/>
                <w:b w:val="0"/>
                <w:bCs w:val="0"/>
                <w:color w:val="000000"/>
                <w:sz w:val="22"/>
                <w:szCs w:val="22"/>
              </w:rPr>
            </w:pPr>
            <w:r>
              <w:rPr>
                <w:rFonts w:hint="eastAsia" w:ascii="Times New Roman" w:hAnsi="Times New Roman" w:eastAsia="方正仿宋_GBK" w:cs="方正仿宋_GBK"/>
                <w:b w:val="0"/>
                <w:bCs w:val="0"/>
                <w:color w:val="000000"/>
                <w:sz w:val="22"/>
                <w:szCs w:val="22"/>
              </w:rPr>
              <w:t>项目主管部门：</w:t>
            </w:r>
          </w:p>
        </w:tc>
        <w:tc>
          <w:tcPr>
            <w:tcW w:w="357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Times New Roman" w:hAnsi="Times New Roman" w:eastAsia="方正仿宋_GBK" w:cs="方正仿宋_GBK"/>
                <w:b w:val="0"/>
                <w:bCs w:val="0"/>
                <w:color w:val="000000"/>
                <w:sz w:val="22"/>
                <w:szCs w:val="22"/>
              </w:rPr>
            </w:pPr>
            <w:r>
              <w:rPr>
                <w:rFonts w:hint="eastAsia" w:ascii="Times New Roman" w:hAnsi="Times New Roman" w:eastAsia="方正仿宋_GBK" w:cs="方正仿宋_GBK"/>
                <w:b w:val="0"/>
                <w:bCs w:val="0"/>
                <w:color w:val="000000"/>
                <w:sz w:val="22"/>
                <w:szCs w:val="22"/>
              </w:rPr>
              <w:t>916-蔈草镇</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Times New Roman" w:hAnsi="Times New Roman" w:eastAsia="方正仿宋_GBK" w:cs="方正仿宋_GBK"/>
                <w:b w:val="0"/>
                <w:bCs w:val="0"/>
                <w:color w:val="000000"/>
                <w:sz w:val="22"/>
                <w:szCs w:val="22"/>
              </w:rPr>
            </w:pPr>
            <w:r>
              <w:rPr>
                <w:rFonts w:hint="eastAsia" w:ascii="Times New Roman" w:hAnsi="Times New Roman" w:eastAsia="方正仿宋_GBK" w:cs="方正仿宋_GBK"/>
                <w:b w:val="0"/>
                <w:bCs w:val="0"/>
                <w:color w:val="000000"/>
                <w:sz w:val="22"/>
                <w:szCs w:val="22"/>
              </w:rPr>
              <w:t>财政归口处室：</w:t>
            </w:r>
          </w:p>
        </w:tc>
        <w:tc>
          <w:tcPr>
            <w:tcW w:w="24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Times New Roman" w:hAnsi="Times New Roman" w:eastAsia="方正仿宋_GBK" w:cs="方正仿宋_GBK"/>
                <w:b w:val="0"/>
                <w:bCs w:val="0"/>
                <w:color w:val="000000"/>
                <w:sz w:val="22"/>
                <w:szCs w:val="22"/>
              </w:rPr>
            </w:pPr>
            <w:r>
              <w:rPr>
                <w:rFonts w:hint="eastAsia" w:ascii="Times New Roman" w:hAnsi="Times New Roman" w:eastAsia="方正仿宋_GBK" w:cs="方正仿宋_GBK"/>
                <w:b w:val="0"/>
                <w:bCs w:val="0"/>
                <w:color w:val="000000"/>
                <w:sz w:val="22"/>
                <w:szCs w:val="22"/>
              </w:rPr>
              <w:t>001-预算科</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Times New Roman" w:hAnsi="Times New Roman" w:eastAsia="方正仿宋_GBK" w:cs="方正仿宋_GBK"/>
                <w:b w:val="0"/>
                <w:bCs w:val="0"/>
                <w:color w:val="000000"/>
                <w:sz w:val="22"/>
                <w:szCs w:val="22"/>
              </w:rPr>
            </w:pPr>
            <w:r>
              <w:rPr>
                <w:rFonts w:hint="eastAsia" w:ascii="Times New Roman" w:hAnsi="Times New Roman" w:eastAsia="方正仿宋_GBK" w:cs="方正仿宋_GBK"/>
                <w:b w:val="0"/>
                <w:bCs w:val="0"/>
                <w:color w:val="000000"/>
                <w:sz w:val="22"/>
                <w:szCs w:val="22"/>
              </w:rPr>
              <w:t>部门联系人：</w:t>
            </w:r>
          </w:p>
        </w:tc>
        <w:tc>
          <w:tcPr>
            <w:tcW w:w="19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Times New Roman" w:hAnsi="Times New Roman" w:eastAsia="方正仿宋_GBK" w:cs="方正仿宋_GBK"/>
                <w:b w:val="0"/>
                <w:bCs w:val="0"/>
                <w:color w:val="000000"/>
                <w:sz w:val="22"/>
                <w:szCs w:val="22"/>
              </w:rPr>
            </w:pPr>
            <w:r>
              <w:rPr>
                <w:rFonts w:hint="eastAsia" w:ascii="Times New Roman" w:hAnsi="Times New Roman" w:eastAsia="方正仿宋_GBK" w:cs="方正仿宋_GBK"/>
                <w:b w:val="0"/>
                <w:bCs w:val="0"/>
                <w:color w:val="000000"/>
                <w:sz w:val="22"/>
                <w:szCs w:val="22"/>
              </w:rPr>
              <w:t>邓高凤</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Times New Roman" w:hAnsi="Times New Roman" w:eastAsia="方正仿宋_GBK" w:cs="方正仿宋_GBK"/>
                <w:b w:val="0"/>
                <w:bCs w:val="0"/>
                <w:color w:val="000000"/>
                <w:sz w:val="22"/>
                <w:szCs w:val="22"/>
              </w:rPr>
            </w:pPr>
            <w:r>
              <w:rPr>
                <w:rFonts w:hint="eastAsia" w:ascii="Times New Roman" w:hAnsi="Times New Roman" w:eastAsia="方正仿宋_GBK" w:cs="方正仿宋_GBK"/>
                <w:b w:val="0"/>
                <w:bCs w:val="0"/>
                <w:color w:val="000000"/>
                <w:sz w:val="22"/>
                <w:szCs w:val="22"/>
              </w:rPr>
              <w:t>联系电话：</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仿宋_GBK" w:cs="方正仿宋_GBK"/>
                <w:b w:val="0"/>
                <w:bCs w:val="0"/>
                <w:color w:val="000000"/>
                <w:sz w:val="22"/>
                <w:szCs w:val="22"/>
              </w:rPr>
            </w:pPr>
            <w:r>
              <w:rPr>
                <w:rFonts w:hint="eastAsia" w:ascii="Times New Roman" w:hAnsi="Times New Roman" w:eastAsia="方正仿宋_GBK" w:cs="方正仿宋_GBK"/>
                <w:b w:val="0"/>
                <w:bCs w:val="0"/>
                <w:color w:val="000000"/>
                <w:sz w:val="22"/>
                <w:szCs w:val="22"/>
              </w:rPr>
              <w:t>55328010</w:t>
            </w:r>
          </w:p>
        </w:tc>
      </w:tr>
      <w:tr>
        <w:tblPrEx>
          <w:tblCellMar>
            <w:top w:w="0" w:type="dxa"/>
            <w:left w:w="108" w:type="dxa"/>
            <w:bottom w:w="0" w:type="dxa"/>
            <w:right w:w="108" w:type="dxa"/>
          </w:tblCellMar>
        </w:tblPrEx>
        <w:trPr>
          <w:trHeight w:val="600" w:hRule="atLeast"/>
        </w:trPr>
        <w:tc>
          <w:tcPr>
            <w:tcW w:w="1550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Times New Roman" w:hAnsi="Times New Roman" w:eastAsia="方正仿宋_GBK" w:cs="方正仿宋_GBK"/>
                <w:b w:val="0"/>
                <w:bCs w:val="0"/>
                <w:color w:val="808080"/>
                <w:sz w:val="28"/>
                <w:szCs w:val="28"/>
              </w:rPr>
            </w:pPr>
            <w:r>
              <w:rPr>
                <w:rFonts w:hint="eastAsia" w:ascii="Times New Roman" w:hAnsi="Times New Roman" w:eastAsia="方正仿宋_GBK" w:cs="方正仿宋_GBK"/>
                <w:b w:val="0"/>
                <w:bCs w:val="0"/>
                <w:color w:val="auto"/>
                <w:sz w:val="28"/>
                <w:szCs w:val="28"/>
              </w:rPr>
              <w:t>资金情况</w:t>
            </w:r>
          </w:p>
        </w:tc>
      </w:tr>
      <w:tr>
        <w:tblPrEx>
          <w:tblCellMar>
            <w:top w:w="0" w:type="dxa"/>
            <w:left w:w="108" w:type="dxa"/>
            <w:bottom w:w="0" w:type="dxa"/>
            <w:right w:w="108" w:type="dxa"/>
          </w:tblCellMar>
        </w:tblPrEx>
        <w:trPr>
          <w:trHeight w:val="500" w:hRule="atLeast"/>
        </w:trPr>
        <w:tc>
          <w:tcPr>
            <w:tcW w:w="40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方正仿宋_GBK" w:cs="方正仿宋_GBK"/>
                <w:b w:val="0"/>
                <w:bCs w:val="0"/>
                <w:color w:val="000000"/>
                <w:sz w:val="22"/>
                <w:szCs w:val="22"/>
              </w:rPr>
            </w:pPr>
          </w:p>
        </w:tc>
        <w:tc>
          <w:tcPr>
            <w:tcW w:w="32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Times New Roman" w:hAnsi="Times New Roman" w:eastAsia="方正仿宋_GBK" w:cs="方正仿宋_GBK"/>
                <w:b w:val="0"/>
                <w:bCs w:val="0"/>
                <w:color w:val="000000"/>
                <w:sz w:val="22"/>
                <w:szCs w:val="22"/>
              </w:rPr>
            </w:pPr>
            <w:r>
              <w:rPr>
                <w:rFonts w:hint="eastAsia" w:ascii="Times New Roman" w:hAnsi="Times New Roman" w:eastAsia="方正仿宋_GBK" w:cs="方正仿宋_GBK"/>
                <w:b w:val="0"/>
                <w:bCs w:val="0"/>
                <w:color w:val="000000"/>
                <w:sz w:val="22"/>
                <w:szCs w:val="22"/>
              </w:rPr>
              <w:t>年初预算数</w:t>
            </w:r>
          </w:p>
        </w:tc>
        <w:tc>
          <w:tcPr>
            <w:tcW w:w="24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Times New Roman" w:hAnsi="Times New Roman" w:eastAsia="方正仿宋_GBK" w:cs="方正仿宋_GBK"/>
                <w:b w:val="0"/>
                <w:bCs w:val="0"/>
                <w:color w:val="000000"/>
                <w:sz w:val="22"/>
                <w:szCs w:val="22"/>
              </w:rPr>
            </w:pPr>
            <w:r>
              <w:rPr>
                <w:rFonts w:hint="eastAsia" w:ascii="Times New Roman" w:hAnsi="Times New Roman" w:eastAsia="方正仿宋_GBK" w:cs="方正仿宋_GBK"/>
                <w:b w:val="0"/>
                <w:bCs w:val="0"/>
                <w:color w:val="000000"/>
                <w:sz w:val="22"/>
                <w:szCs w:val="22"/>
              </w:rPr>
              <w:t>全年（调整）预算数</w:t>
            </w:r>
          </w:p>
        </w:tc>
        <w:tc>
          <w:tcPr>
            <w:tcW w:w="24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Times New Roman" w:hAnsi="Times New Roman" w:eastAsia="方正仿宋_GBK" w:cs="方正仿宋_GBK"/>
                <w:b w:val="0"/>
                <w:bCs w:val="0"/>
                <w:color w:val="000000"/>
                <w:sz w:val="22"/>
                <w:szCs w:val="22"/>
              </w:rPr>
            </w:pPr>
            <w:r>
              <w:rPr>
                <w:rFonts w:hint="eastAsia" w:ascii="Times New Roman" w:hAnsi="Times New Roman" w:eastAsia="方正仿宋_GBK" w:cs="方正仿宋_GBK"/>
                <w:b w:val="0"/>
                <w:bCs w:val="0"/>
                <w:color w:val="000000"/>
                <w:sz w:val="22"/>
                <w:szCs w:val="22"/>
              </w:rPr>
              <w:t>全年执行数</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Times New Roman" w:hAnsi="Times New Roman" w:eastAsia="方正仿宋_GBK" w:cs="方正仿宋_GBK"/>
                <w:b w:val="0"/>
                <w:bCs w:val="0"/>
                <w:color w:val="000000"/>
                <w:sz w:val="22"/>
                <w:szCs w:val="22"/>
              </w:rPr>
            </w:pPr>
            <w:r>
              <w:rPr>
                <w:rFonts w:hint="eastAsia" w:ascii="Times New Roman" w:hAnsi="Times New Roman" w:eastAsia="方正仿宋_GBK" w:cs="方正仿宋_GBK"/>
                <w:b w:val="0"/>
                <w:bCs w:val="0"/>
                <w:color w:val="000000"/>
                <w:sz w:val="22"/>
                <w:szCs w:val="22"/>
              </w:rPr>
              <w:t>执行率</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Times New Roman" w:hAnsi="Times New Roman" w:eastAsia="方正仿宋_GBK" w:cs="方正仿宋_GBK"/>
                <w:b w:val="0"/>
                <w:bCs w:val="0"/>
                <w:color w:val="000000"/>
                <w:sz w:val="22"/>
                <w:szCs w:val="22"/>
              </w:rPr>
            </w:pPr>
            <w:r>
              <w:rPr>
                <w:rFonts w:hint="eastAsia" w:ascii="Times New Roman" w:hAnsi="Times New Roman" w:eastAsia="方正仿宋_GBK" w:cs="方正仿宋_GBK"/>
                <w:b w:val="0"/>
                <w:bCs w:val="0"/>
                <w:color w:val="000000"/>
                <w:sz w:val="22"/>
                <w:szCs w:val="22"/>
              </w:rPr>
              <w:t>执行率权重</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Times New Roman" w:hAnsi="Times New Roman" w:eastAsia="方正仿宋_GBK" w:cs="方正仿宋_GBK"/>
                <w:b w:val="0"/>
                <w:bCs w:val="0"/>
                <w:color w:val="000000"/>
                <w:sz w:val="22"/>
                <w:szCs w:val="22"/>
              </w:rPr>
            </w:pPr>
            <w:r>
              <w:rPr>
                <w:rFonts w:hint="eastAsia" w:ascii="Times New Roman" w:hAnsi="Times New Roman" w:eastAsia="方正仿宋_GBK" w:cs="方正仿宋_GBK"/>
                <w:b w:val="0"/>
                <w:bCs w:val="0"/>
                <w:color w:val="000000"/>
                <w:sz w:val="22"/>
                <w:szCs w:val="22"/>
              </w:rPr>
              <w:t>执行率得分</w:t>
            </w:r>
          </w:p>
        </w:tc>
      </w:tr>
      <w:tr>
        <w:tblPrEx>
          <w:tblCellMar>
            <w:top w:w="0" w:type="dxa"/>
            <w:left w:w="108" w:type="dxa"/>
            <w:bottom w:w="0" w:type="dxa"/>
            <w:right w:w="108" w:type="dxa"/>
          </w:tblCellMar>
        </w:tblPrEx>
        <w:trPr>
          <w:trHeight w:val="500" w:hRule="atLeast"/>
        </w:trPr>
        <w:tc>
          <w:tcPr>
            <w:tcW w:w="4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方正仿宋_GBK" w:cs="方正仿宋_GBK"/>
                <w:b w:val="0"/>
                <w:bCs w:val="0"/>
                <w:color w:val="000000"/>
                <w:sz w:val="22"/>
                <w:szCs w:val="22"/>
              </w:rPr>
            </w:pPr>
            <w:r>
              <w:rPr>
                <w:rFonts w:hint="eastAsia" w:ascii="Times New Roman" w:hAnsi="Times New Roman" w:eastAsia="方正仿宋_GBK" w:cs="方正仿宋_GBK"/>
                <w:b w:val="0"/>
                <w:bCs w:val="0"/>
                <w:color w:val="000000"/>
                <w:sz w:val="22"/>
                <w:szCs w:val="22"/>
              </w:rPr>
              <w:t>年度总金额</w:t>
            </w:r>
          </w:p>
        </w:tc>
        <w:tc>
          <w:tcPr>
            <w:tcW w:w="32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Times New Roman" w:hAnsi="Times New Roman" w:eastAsia="方正仿宋_GBK" w:cs="方正仿宋_GBK"/>
                <w:b w:val="0"/>
                <w:bCs w:val="0"/>
                <w:color w:val="000000"/>
                <w:sz w:val="22"/>
                <w:szCs w:val="22"/>
              </w:rPr>
            </w:pPr>
            <w:r>
              <w:rPr>
                <w:rFonts w:hint="eastAsia" w:ascii="Times New Roman" w:hAnsi="Times New Roman" w:eastAsia="方正仿宋_GBK" w:cs="方正仿宋_GBK"/>
                <w:b w:val="0"/>
                <w:bCs w:val="0"/>
                <w:color w:val="000000"/>
                <w:sz w:val="22"/>
                <w:szCs w:val="22"/>
              </w:rPr>
              <w:t>0.00</w:t>
            </w:r>
          </w:p>
        </w:tc>
        <w:tc>
          <w:tcPr>
            <w:tcW w:w="24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Times New Roman" w:hAnsi="Times New Roman" w:eastAsia="方正仿宋_GBK" w:cs="方正仿宋_GBK"/>
                <w:b w:val="0"/>
                <w:bCs w:val="0"/>
                <w:color w:val="000000"/>
                <w:sz w:val="22"/>
                <w:szCs w:val="22"/>
              </w:rPr>
            </w:pPr>
            <w:r>
              <w:rPr>
                <w:rFonts w:hint="eastAsia" w:ascii="Times New Roman" w:hAnsi="Times New Roman" w:eastAsia="方正仿宋_GBK" w:cs="方正仿宋_GBK"/>
                <w:b w:val="0"/>
                <w:bCs w:val="0"/>
                <w:color w:val="000000"/>
                <w:sz w:val="22"/>
                <w:szCs w:val="22"/>
              </w:rPr>
              <w:t>30,000.00</w:t>
            </w:r>
          </w:p>
        </w:tc>
        <w:tc>
          <w:tcPr>
            <w:tcW w:w="24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Times New Roman" w:hAnsi="Times New Roman" w:eastAsia="方正仿宋_GBK" w:cs="方正仿宋_GBK"/>
                <w:b w:val="0"/>
                <w:bCs w:val="0"/>
                <w:color w:val="000000"/>
                <w:sz w:val="22"/>
                <w:szCs w:val="22"/>
              </w:rPr>
            </w:pPr>
            <w:r>
              <w:rPr>
                <w:rFonts w:hint="eastAsia" w:ascii="Times New Roman" w:hAnsi="Times New Roman" w:eastAsia="方正仿宋_GBK" w:cs="方正仿宋_GBK"/>
                <w:b w:val="0"/>
                <w:bCs w:val="0"/>
                <w:color w:val="000000"/>
                <w:sz w:val="22"/>
                <w:szCs w:val="22"/>
              </w:rPr>
              <w:t>30,000.00</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方正仿宋_GBK" w:cs="方正仿宋_GBK"/>
                <w:b w:val="0"/>
                <w:bCs w:val="0"/>
                <w:color w:val="000000"/>
                <w:sz w:val="22"/>
                <w:szCs w:val="22"/>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方正仿宋_GBK" w:cs="方正仿宋_GBK"/>
                <w:b w:val="0"/>
                <w:bCs w:val="0"/>
                <w:color w:val="000000"/>
                <w:sz w:val="22"/>
                <w:szCs w:val="22"/>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方正仿宋_GBK" w:cs="方正仿宋_GBK"/>
                <w:b w:val="0"/>
                <w:bCs w:val="0"/>
                <w:color w:val="000000"/>
                <w:sz w:val="22"/>
                <w:szCs w:val="22"/>
              </w:rPr>
            </w:pPr>
          </w:p>
        </w:tc>
      </w:tr>
      <w:tr>
        <w:tblPrEx>
          <w:tblCellMar>
            <w:top w:w="0" w:type="dxa"/>
            <w:left w:w="108" w:type="dxa"/>
            <w:bottom w:w="0" w:type="dxa"/>
            <w:right w:w="108" w:type="dxa"/>
          </w:tblCellMar>
        </w:tblPrEx>
        <w:trPr>
          <w:trHeight w:val="500" w:hRule="atLeast"/>
        </w:trPr>
        <w:tc>
          <w:tcPr>
            <w:tcW w:w="4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方正仿宋_GBK" w:cs="方正仿宋_GBK"/>
                <w:b w:val="0"/>
                <w:bCs w:val="0"/>
                <w:color w:val="000000"/>
                <w:sz w:val="22"/>
                <w:szCs w:val="22"/>
              </w:rPr>
            </w:pPr>
            <w:r>
              <w:rPr>
                <w:rFonts w:hint="eastAsia" w:ascii="Times New Roman" w:hAnsi="Times New Roman" w:eastAsia="方正仿宋_GBK" w:cs="方正仿宋_GBK"/>
                <w:b w:val="0"/>
                <w:bCs w:val="0"/>
                <w:color w:val="000000"/>
                <w:sz w:val="22"/>
                <w:szCs w:val="22"/>
              </w:rPr>
              <w:t>其中：财政拨款</w:t>
            </w:r>
          </w:p>
        </w:tc>
        <w:tc>
          <w:tcPr>
            <w:tcW w:w="32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Times New Roman" w:hAnsi="Times New Roman" w:eastAsia="方正仿宋_GBK" w:cs="方正仿宋_GBK"/>
                <w:b w:val="0"/>
                <w:bCs w:val="0"/>
                <w:color w:val="000000"/>
                <w:sz w:val="22"/>
                <w:szCs w:val="22"/>
              </w:rPr>
            </w:pPr>
            <w:r>
              <w:rPr>
                <w:rFonts w:hint="eastAsia" w:ascii="Times New Roman" w:hAnsi="Times New Roman" w:eastAsia="方正仿宋_GBK" w:cs="方正仿宋_GBK"/>
                <w:b w:val="0"/>
                <w:bCs w:val="0"/>
                <w:color w:val="000000"/>
                <w:sz w:val="22"/>
                <w:szCs w:val="22"/>
              </w:rPr>
              <w:t>0.00</w:t>
            </w:r>
          </w:p>
        </w:tc>
        <w:tc>
          <w:tcPr>
            <w:tcW w:w="24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Times New Roman" w:hAnsi="Times New Roman" w:eastAsia="方正仿宋_GBK" w:cs="方正仿宋_GBK"/>
                <w:b w:val="0"/>
                <w:bCs w:val="0"/>
                <w:color w:val="000000"/>
                <w:sz w:val="22"/>
                <w:szCs w:val="22"/>
              </w:rPr>
            </w:pPr>
            <w:r>
              <w:rPr>
                <w:rFonts w:hint="eastAsia" w:ascii="Times New Roman" w:hAnsi="Times New Roman" w:eastAsia="方正仿宋_GBK" w:cs="方正仿宋_GBK"/>
                <w:b w:val="0"/>
                <w:bCs w:val="0"/>
                <w:color w:val="000000"/>
                <w:sz w:val="22"/>
                <w:szCs w:val="22"/>
              </w:rPr>
              <w:t>30,000.00</w:t>
            </w:r>
          </w:p>
        </w:tc>
        <w:tc>
          <w:tcPr>
            <w:tcW w:w="24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Times New Roman" w:hAnsi="Times New Roman" w:eastAsia="方正仿宋_GBK" w:cs="方正仿宋_GBK"/>
                <w:b w:val="0"/>
                <w:bCs w:val="0"/>
                <w:color w:val="000000"/>
                <w:sz w:val="22"/>
                <w:szCs w:val="22"/>
              </w:rPr>
            </w:pPr>
            <w:r>
              <w:rPr>
                <w:rFonts w:hint="eastAsia" w:ascii="Times New Roman" w:hAnsi="Times New Roman" w:eastAsia="方正仿宋_GBK" w:cs="方正仿宋_GBK"/>
                <w:b w:val="0"/>
                <w:bCs w:val="0"/>
                <w:color w:val="000000"/>
                <w:sz w:val="22"/>
                <w:szCs w:val="22"/>
              </w:rPr>
              <w:t>30,000.00</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Times New Roman" w:hAnsi="Times New Roman" w:eastAsia="方正仿宋_GBK" w:cs="方正仿宋_GBK"/>
                <w:b w:val="0"/>
                <w:bCs w:val="0"/>
                <w:color w:val="000000"/>
                <w:sz w:val="22"/>
                <w:szCs w:val="22"/>
              </w:rPr>
            </w:pPr>
            <w:r>
              <w:rPr>
                <w:rFonts w:hint="eastAsia" w:ascii="Times New Roman" w:hAnsi="Times New Roman" w:eastAsia="方正仿宋_GBK" w:cs="方正仿宋_GBK"/>
                <w:b w:val="0"/>
                <w:bCs w:val="0"/>
                <w:color w:val="000000"/>
                <w:sz w:val="22"/>
                <w:szCs w:val="22"/>
              </w:rPr>
              <w:t>100</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Times New Roman" w:hAnsi="Times New Roman" w:eastAsia="方正仿宋_GBK" w:cs="方正仿宋_GBK"/>
                <w:b w:val="0"/>
                <w:bCs w:val="0"/>
                <w:color w:val="000000"/>
                <w:sz w:val="22"/>
                <w:szCs w:val="22"/>
              </w:rPr>
            </w:pPr>
            <w:r>
              <w:rPr>
                <w:rFonts w:hint="eastAsia" w:ascii="Times New Roman" w:hAnsi="Times New Roman" w:eastAsia="方正仿宋_GBK" w:cs="方正仿宋_GBK"/>
                <w:b w:val="0"/>
                <w:bCs w:val="0"/>
                <w:color w:val="000000"/>
                <w:sz w:val="22"/>
                <w:szCs w:val="22"/>
              </w:rPr>
              <w:t>10.00</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Times New Roman" w:hAnsi="Times New Roman" w:eastAsia="方正仿宋_GBK" w:cs="方正仿宋_GBK"/>
                <w:b w:val="0"/>
                <w:bCs w:val="0"/>
                <w:color w:val="000000"/>
                <w:sz w:val="22"/>
                <w:szCs w:val="22"/>
              </w:rPr>
            </w:pPr>
            <w:r>
              <w:rPr>
                <w:rFonts w:hint="eastAsia" w:ascii="Times New Roman" w:hAnsi="Times New Roman" w:eastAsia="方正仿宋_GBK" w:cs="方正仿宋_GBK"/>
                <w:b w:val="0"/>
                <w:bCs w:val="0"/>
                <w:color w:val="000000"/>
                <w:sz w:val="22"/>
                <w:szCs w:val="22"/>
              </w:rPr>
              <w:t>10.00</w:t>
            </w:r>
          </w:p>
        </w:tc>
      </w:tr>
      <w:tr>
        <w:tblPrEx>
          <w:tblCellMar>
            <w:top w:w="0" w:type="dxa"/>
            <w:left w:w="108" w:type="dxa"/>
            <w:bottom w:w="0" w:type="dxa"/>
            <w:right w:w="108" w:type="dxa"/>
          </w:tblCellMar>
        </w:tblPrEx>
        <w:trPr>
          <w:trHeight w:val="500" w:hRule="atLeast"/>
        </w:trPr>
        <w:tc>
          <w:tcPr>
            <w:tcW w:w="4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方正仿宋_GBK" w:cs="方正仿宋_GBK"/>
                <w:b w:val="0"/>
                <w:bCs w:val="0"/>
                <w:color w:val="000000"/>
                <w:sz w:val="22"/>
                <w:szCs w:val="22"/>
              </w:rPr>
            </w:pPr>
            <w:r>
              <w:rPr>
                <w:rFonts w:hint="eastAsia" w:ascii="Times New Roman" w:hAnsi="Times New Roman" w:eastAsia="方正仿宋_GBK" w:cs="方正仿宋_GBK"/>
                <w:b w:val="0"/>
                <w:bCs w:val="0"/>
                <w:color w:val="000000"/>
                <w:sz w:val="22"/>
                <w:szCs w:val="22"/>
              </w:rPr>
              <w:t>一般公共预算</w:t>
            </w:r>
          </w:p>
        </w:tc>
        <w:tc>
          <w:tcPr>
            <w:tcW w:w="32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Times New Roman" w:hAnsi="Times New Roman" w:eastAsia="方正仿宋_GBK" w:cs="方正仿宋_GBK"/>
                <w:b w:val="0"/>
                <w:bCs w:val="0"/>
                <w:color w:val="000000"/>
                <w:sz w:val="22"/>
                <w:szCs w:val="22"/>
              </w:rPr>
            </w:pPr>
            <w:r>
              <w:rPr>
                <w:rFonts w:hint="eastAsia" w:ascii="Times New Roman" w:hAnsi="Times New Roman" w:eastAsia="方正仿宋_GBK" w:cs="方正仿宋_GBK"/>
                <w:b w:val="0"/>
                <w:bCs w:val="0"/>
                <w:color w:val="000000"/>
                <w:sz w:val="22"/>
                <w:szCs w:val="22"/>
              </w:rPr>
              <w:t>0.00</w:t>
            </w:r>
          </w:p>
        </w:tc>
        <w:tc>
          <w:tcPr>
            <w:tcW w:w="24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Times New Roman" w:hAnsi="Times New Roman" w:eastAsia="方正仿宋_GBK" w:cs="方正仿宋_GBK"/>
                <w:b w:val="0"/>
                <w:bCs w:val="0"/>
                <w:color w:val="000000"/>
                <w:sz w:val="22"/>
                <w:szCs w:val="22"/>
              </w:rPr>
            </w:pPr>
            <w:r>
              <w:rPr>
                <w:rFonts w:hint="eastAsia" w:ascii="Times New Roman" w:hAnsi="Times New Roman" w:eastAsia="方正仿宋_GBK" w:cs="方正仿宋_GBK"/>
                <w:b w:val="0"/>
                <w:bCs w:val="0"/>
                <w:color w:val="000000"/>
                <w:sz w:val="22"/>
                <w:szCs w:val="22"/>
              </w:rPr>
              <w:t>30,000.00</w:t>
            </w:r>
          </w:p>
        </w:tc>
        <w:tc>
          <w:tcPr>
            <w:tcW w:w="24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Times New Roman" w:hAnsi="Times New Roman" w:eastAsia="方正仿宋_GBK" w:cs="方正仿宋_GBK"/>
                <w:b w:val="0"/>
                <w:bCs w:val="0"/>
                <w:color w:val="000000"/>
                <w:sz w:val="22"/>
                <w:szCs w:val="22"/>
              </w:rPr>
            </w:pPr>
            <w:r>
              <w:rPr>
                <w:rFonts w:hint="eastAsia" w:ascii="Times New Roman" w:hAnsi="Times New Roman" w:eastAsia="方正仿宋_GBK" w:cs="方正仿宋_GBK"/>
                <w:b w:val="0"/>
                <w:bCs w:val="0"/>
                <w:color w:val="000000"/>
                <w:sz w:val="22"/>
                <w:szCs w:val="22"/>
              </w:rPr>
              <w:t>30,000.00</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Times New Roman" w:hAnsi="Times New Roman" w:eastAsia="方正仿宋_GBK" w:cs="方正仿宋_GBK"/>
                <w:b w:val="0"/>
                <w:bCs w:val="0"/>
                <w:color w:val="000000"/>
                <w:sz w:val="22"/>
                <w:szCs w:val="22"/>
              </w:rPr>
            </w:pPr>
            <w:r>
              <w:rPr>
                <w:rFonts w:hint="eastAsia" w:ascii="Times New Roman" w:hAnsi="Times New Roman" w:eastAsia="方正仿宋_GBK" w:cs="方正仿宋_GBK"/>
                <w:b w:val="0"/>
                <w:bCs w:val="0"/>
                <w:color w:val="000000"/>
                <w:sz w:val="22"/>
                <w:szCs w:val="22"/>
              </w:rPr>
              <w:t>100</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方正仿宋_GBK" w:cs="方正仿宋_GBK"/>
                <w:b w:val="0"/>
                <w:bCs w:val="0"/>
                <w:color w:val="000000"/>
                <w:sz w:val="22"/>
                <w:szCs w:val="22"/>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方正仿宋_GBK" w:cs="方正仿宋_GBK"/>
                <w:b w:val="0"/>
                <w:bCs w:val="0"/>
                <w:color w:val="000000"/>
                <w:sz w:val="22"/>
                <w:szCs w:val="22"/>
              </w:rPr>
            </w:pPr>
          </w:p>
        </w:tc>
      </w:tr>
      <w:tr>
        <w:tblPrEx>
          <w:tblCellMar>
            <w:top w:w="0" w:type="dxa"/>
            <w:left w:w="108" w:type="dxa"/>
            <w:bottom w:w="0" w:type="dxa"/>
            <w:right w:w="108" w:type="dxa"/>
          </w:tblCellMar>
        </w:tblPrEx>
        <w:trPr>
          <w:trHeight w:val="600" w:hRule="atLeast"/>
        </w:trPr>
        <w:tc>
          <w:tcPr>
            <w:tcW w:w="1550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Times New Roman" w:hAnsi="Times New Roman" w:eastAsia="方正仿宋_GBK" w:cs="方正仿宋_GBK"/>
                <w:b w:val="0"/>
                <w:bCs w:val="0"/>
                <w:color w:val="808080"/>
                <w:sz w:val="28"/>
                <w:szCs w:val="28"/>
              </w:rPr>
            </w:pPr>
            <w:r>
              <w:rPr>
                <w:rFonts w:hint="eastAsia" w:ascii="Times New Roman" w:hAnsi="Times New Roman" w:eastAsia="方正仿宋_GBK" w:cs="方正仿宋_GBK"/>
                <w:b w:val="0"/>
                <w:bCs w:val="0"/>
                <w:color w:val="auto"/>
                <w:sz w:val="28"/>
                <w:szCs w:val="28"/>
              </w:rPr>
              <w:t>绩效目标</w:t>
            </w:r>
          </w:p>
        </w:tc>
      </w:tr>
      <w:tr>
        <w:tblPrEx>
          <w:tblCellMar>
            <w:top w:w="0" w:type="dxa"/>
            <w:left w:w="108" w:type="dxa"/>
            <w:bottom w:w="0" w:type="dxa"/>
            <w:right w:w="108" w:type="dxa"/>
          </w:tblCellMar>
        </w:tblPrEx>
        <w:trPr>
          <w:trHeight w:val="500" w:hRule="atLeast"/>
        </w:trPr>
        <w:tc>
          <w:tcPr>
            <w:tcW w:w="727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Times New Roman" w:hAnsi="Times New Roman" w:eastAsia="方正仿宋_GBK" w:cs="方正仿宋_GBK"/>
                <w:b w:val="0"/>
                <w:bCs w:val="0"/>
                <w:color w:val="000000"/>
                <w:sz w:val="22"/>
                <w:szCs w:val="22"/>
              </w:rPr>
            </w:pPr>
            <w:r>
              <w:rPr>
                <w:rFonts w:hint="eastAsia" w:ascii="Times New Roman" w:hAnsi="Times New Roman" w:eastAsia="方正仿宋_GBK" w:cs="方正仿宋_GBK"/>
                <w:b w:val="0"/>
                <w:bCs w:val="0"/>
                <w:color w:val="000000"/>
                <w:sz w:val="22"/>
                <w:szCs w:val="22"/>
              </w:rPr>
              <w:t>年初绩效目标</w:t>
            </w:r>
          </w:p>
        </w:tc>
        <w:tc>
          <w:tcPr>
            <w:tcW w:w="485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Times New Roman" w:hAnsi="Times New Roman" w:eastAsia="方正仿宋_GBK" w:cs="方正仿宋_GBK"/>
                <w:b w:val="0"/>
                <w:bCs w:val="0"/>
                <w:color w:val="000000"/>
                <w:sz w:val="22"/>
                <w:szCs w:val="22"/>
              </w:rPr>
            </w:pPr>
            <w:r>
              <w:rPr>
                <w:rFonts w:hint="eastAsia" w:ascii="Times New Roman" w:hAnsi="Times New Roman" w:eastAsia="方正仿宋_GBK" w:cs="方正仿宋_GBK"/>
                <w:b w:val="0"/>
                <w:bCs w:val="0"/>
                <w:color w:val="000000"/>
                <w:sz w:val="22"/>
                <w:szCs w:val="22"/>
              </w:rPr>
              <w:t>全年（调整）绩效目标</w:t>
            </w:r>
          </w:p>
        </w:tc>
        <w:tc>
          <w:tcPr>
            <w:tcW w:w="337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Times New Roman" w:hAnsi="Times New Roman" w:eastAsia="方正仿宋_GBK" w:cs="方正仿宋_GBK"/>
                <w:b w:val="0"/>
                <w:bCs w:val="0"/>
                <w:color w:val="000000"/>
                <w:sz w:val="22"/>
                <w:szCs w:val="22"/>
              </w:rPr>
            </w:pPr>
            <w:r>
              <w:rPr>
                <w:rFonts w:hint="eastAsia" w:ascii="Times New Roman" w:hAnsi="Times New Roman" w:eastAsia="方正仿宋_GBK" w:cs="方正仿宋_GBK"/>
                <w:b w:val="0"/>
                <w:bCs w:val="0"/>
                <w:color w:val="000000"/>
                <w:sz w:val="22"/>
                <w:szCs w:val="22"/>
              </w:rPr>
              <w:t>全年目标实际完成情况</w:t>
            </w:r>
          </w:p>
        </w:tc>
      </w:tr>
      <w:tr>
        <w:tblPrEx>
          <w:tblCellMar>
            <w:top w:w="0" w:type="dxa"/>
            <w:left w:w="108" w:type="dxa"/>
            <w:bottom w:w="0" w:type="dxa"/>
            <w:right w:w="108" w:type="dxa"/>
          </w:tblCellMar>
        </w:tblPrEx>
        <w:trPr>
          <w:trHeight w:val="1600" w:hRule="atLeast"/>
        </w:trPr>
        <w:tc>
          <w:tcPr>
            <w:tcW w:w="7279" w:type="dxa"/>
            <w:gridSpan w:val="4"/>
            <w:tcBorders>
              <w:top w:val="single" w:color="000000" w:sz="4" w:space="0"/>
              <w:left w:val="single" w:color="000000" w:sz="4" w:space="0"/>
              <w:bottom w:val="single" w:color="000000" w:sz="4" w:space="0"/>
              <w:right w:val="single" w:color="000000" w:sz="4" w:space="0"/>
            </w:tcBorders>
            <w:shd w:val="clear" w:color="auto" w:fill="auto"/>
          </w:tcPr>
          <w:p>
            <w:pPr>
              <w:jc w:val="center"/>
              <w:textAlignment w:val="top"/>
              <w:rPr>
                <w:rFonts w:hint="eastAsia" w:ascii="Times New Roman" w:hAnsi="Times New Roman" w:eastAsia="方正仿宋_GBK" w:cs="方正仿宋_GBK"/>
                <w:b w:val="0"/>
                <w:bCs w:val="0"/>
                <w:color w:val="000000"/>
                <w:sz w:val="22"/>
                <w:szCs w:val="22"/>
              </w:rPr>
            </w:pPr>
            <w:r>
              <w:rPr>
                <w:rFonts w:hint="eastAsia" w:ascii="Times New Roman" w:hAnsi="Times New Roman" w:eastAsia="方正仿宋_GBK" w:cs="方正仿宋_GBK"/>
                <w:b w:val="0"/>
                <w:bCs w:val="0"/>
                <w:color w:val="000000"/>
                <w:sz w:val="22"/>
                <w:szCs w:val="22"/>
              </w:rPr>
              <w:t>专项用于地质灾害应急抢险救援等工作。</w:t>
            </w:r>
          </w:p>
        </w:tc>
        <w:tc>
          <w:tcPr>
            <w:tcW w:w="4856" w:type="dxa"/>
            <w:gridSpan w:val="4"/>
            <w:tcBorders>
              <w:top w:val="single" w:color="000000" w:sz="4" w:space="0"/>
              <w:left w:val="single" w:color="000000" w:sz="4" w:space="0"/>
              <w:bottom w:val="single" w:color="000000" w:sz="4" w:space="0"/>
              <w:right w:val="single" w:color="000000" w:sz="4" w:space="0"/>
            </w:tcBorders>
            <w:shd w:val="clear" w:color="auto" w:fill="auto"/>
          </w:tcPr>
          <w:p>
            <w:pPr>
              <w:jc w:val="center"/>
              <w:textAlignment w:val="top"/>
              <w:rPr>
                <w:rFonts w:hint="eastAsia" w:ascii="Times New Roman" w:hAnsi="Times New Roman" w:eastAsia="方正仿宋_GBK" w:cs="方正仿宋_GBK"/>
                <w:b w:val="0"/>
                <w:bCs w:val="0"/>
                <w:color w:val="000000"/>
                <w:sz w:val="22"/>
                <w:szCs w:val="22"/>
              </w:rPr>
            </w:pPr>
            <w:r>
              <w:rPr>
                <w:rFonts w:hint="eastAsia" w:ascii="Times New Roman" w:hAnsi="Times New Roman" w:eastAsia="方正仿宋_GBK" w:cs="方正仿宋_GBK"/>
                <w:b w:val="0"/>
                <w:bCs w:val="0"/>
                <w:color w:val="000000"/>
                <w:sz w:val="22"/>
                <w:szCs w:val="22"/>
              </w:rPr>
              <w:t>专项用于地质灾害应急抢险救援等工作。</w:t>
            </w:r>
          </w:p>
        </w:tc>
        <w:tc>
          <w:tcPr>
            <w:tcW w:w="3373" w:type="dxa"/>
            <w:gridSpan w:val="3"/>
            <w:tcBorders>
              <w:top w:val="single" w:color="000000" w:sz="4" w:space="0"/>
              <w:left w:val="single" w:color="000000" w:sz="4" w:space="0"/>
              <w:bottom w:val="single" w:color="000000" w:sz="4" w:space="0"/>
              <w:right w:val="single" w:color="000000" w:sz="4" w:space="0"/>
            </w:tcBorders>
            <w:shd w:val="clear" w:color="auto" w:fill="auto"/>
          </w:tcPr>
          <w:p>
            <w:pPr>
              <w:jc w:val="center"/>
              <w:textAlignment w:val="top"/>
              <w:rPr>
                <w:rFonts w:hint="eastAsia" w:ascii="Times New Roman" w:hAnsi="Times New Roman" w:eastAsia="方正仿宋_GBK" w:cs="方正仿宋_GBK"/>
                <w:b w:val="0"/>
                <w:bCs w:val="0"/>
                <w:color w:val="000000"/>
                <w:sz w:val="22"/>
                <w:szCs w:val="22"/>
              </w:rPr>
            </w:pPr>
            <w:r>
              <w:rPr>
                <w:rFonts w:hint="eastAsia" w:ascii="Times New Roman" w:hAnsi="Times New Roman" w:eastAsia="方正仿宋_GBK" w:cs="方正仿宋_GBK"/>
                <w:b w:val="0"/>
                <w:bCs w:val="0"/>
                <w:color w:val="000000"/>
                <w:sz w:val="22"/>
                <w:szCs w:val="22"/>
              </w:rPr>
              <w:t>专项用于地质灾害应急抢险救援等工作。</w:t>
            </w:r>
          </w:p>
        </w:tc>
      </w:tr>
      <w:tr>
        <w:tblPrEx>
          <w:tblCellMar>
            <w:top w:w="0" w:type="dxa"/>
            <w:left w:w="108" w:type="dxa"/>
            <w:bottom w:w="0" w:type="dxa"/>
            <w:right w:w="108" w:type="dxa"/>
          </w:tblCellMar>
        </w:tblPrEx>
        <w:trPr>
          <w:trHeight w:val="600" w:hRule="atLeast"/>
        </w:trPr>
        <w:tc>
          <w:tcPr>
            <w:tcW w:w="1550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Times New Roman" w:hAnsi="Times New Roman" w:eastAsia="方正仿宋_GBK" w:cs="方正仿宋_GBK"/>
                <w:b w:val="0"/>
                <w:bCs w:val="0"/>
                <w:color w:val="808080"/>
                <w:sz w:val="28"/>
                <w:szCs w:val="28"/>
              </w:rPr>
            </w:pPr>
            <w:r>
              <w:rPr>
                <w:rFonts w:hint="eastAsia" w:ascii="Times New Roman" w:hAnsi="Times New Roman" w:eastAsia="方正仿宋_GBK" w:cs="方正仿宋_GBK"/>
                <w:b w:val="0"/>
                <w:bCs w:val="0"/>
                <w:color w:val="auto"/>
                <w:sz w:val="28"/>
                <w:szCs w:val="28"/>
              </w:rPr>
              <w:t>绩效指标</w:t>
            </w:r>
          </w:p>
        </w:tc>
      </w:tr>
      <w:tr>
        <w:tblPrEx>
          <w:tblCellMar>
            <w:top w:w="0" w:type="dxa"/>
            <w:left w:w="108" w:type="dxa"/>
            <w:bottom w:w="0" w:type="dxa"/>
            <w:right w:w="108" w:type="dxa"/>
          </w:tblCellMar>
        </w:tblPrEx>
        <w:trPr>
          <w:trHeight w:val="500" w:hRule="atLeast"/>
        </w:trPr>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Times New Roman" w:hAnsi="Times New Roman" w:eastAsia="方正仿宋_GBK" w:cs="方正仿宋_GBK"/>
                <w:b w:val="0"/>
                <w:bCs w:val="0"/>
                <w:color w:val="000000"/>
                <w:sz w:val="22"/>
                <w:szCs w:val="22"/>
              </w:rPr>
            </w:pPr>
            <w:r>
              <w:rPr>
                <w:rFonts w:hint="eastAsia" w:ascii="Times New Roman" w:hAnsi="Times New Roman" w:eastAsia="方正仿宋_GBK" w:cs="方正仿宋_GBK"/>
                <w:b w:val="0"/>
                <w:bCs w:val="0"/>
                <w:color w:val="000000"/>
                <w:sz w:val="22"/>
                <w:szCs w:val="22"/>
              </w:rPr>
              <w:t>指标名称</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Times New Roman" w:hAnsi="Times New Roman" w:eastAsia="方正仿宋_GBK" w:cs="方正仿宋_GBK"/>
                <w:b w:val="0"/>
                <w:bCs w:val="0"/>
                <w:color w:val="000000"/>
                <w:sz w:val="22"/>
                <w:szCs w:val="22"/>
              </w:rPr>
            </w:pPr>
            <w:r>
              <w:rPr>
                <w:rFonts w:hint="eastAsia" w:ascii="Times New Roman" w:hAnsi="Times New Roman" w:eastAsia="方正仿宋_GBK" w:cs="方正仿宋_GBK"/>
                <w:b w:val="0"/>
                <w:bCs w:val="0"/>
                <w:color w:val="000000"/>
                <w:sz w:val="22"/>
                <w:szCs w:val="22"/>
              </w:rPr>
              <w:t>计量单位</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Times New Roman" w:hAnsi="Times New Roman" w:eastAsia="方正仿宋_GBK" w:cs="方正仿宋_GBK"/>
                <w:b w:val="0"/>
                <w:bCs w:val="0"/>
                <w:color w:val="000000"/>
                <w:sz w:val="22"/>
                <w:szCs w:val="22"/>
              </w:rPr>
            </w:pPr>
            <w:r>
              <w:rPr>
                <w:rFonts w:hint="eastAsia" w:ascii="Times New Roman" w:hAnsi="Times New Roman" w:eastAsia="方正仿宋_GBK" w:cs="方正仿宋_GBK"/>
                <w:b w:val="0"/>
                <w:bCs w:val="0"/>
                <w:color w:val="000000"/>
                <w:sz w:val="22"/>
                <w:szCs w:val="22"/>
              </w:rPr>
              <w:t>指标性质</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Times New Roman" w:hAnsi="Times New Roman" w:eastAsia="方正仿宋_GBK" w:cs="方正仿宋_GBK"/>
                <w:b w:val="0"/>
                <w:bCs w:val="0"/>
                <w:color w:val="000000"/>
                <w:sz w:val="22"/>
                <w:szCs w:val="22"/>
              </w:rPr>
            </w:pPr>
            <w:r>
              <w:rPr>
                <w:rFonts w:hint="eastAsia" w:ascii="Times New Roman" w:hAnsi="Times New Roman" w:eastAsia="方正仿宋_GBK" w:cs="方正仿宋_GBK"/>
                <w:b w:val="0"/>
                <w:bCs w:val="0"/>
                <w:color w:val="000000"/>
                <w:sz w:val="22"/>
                <w:szCs w:val="22"/>
              </w:rPr>
              <w:t>指标值</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Times New Roman" w:hAnsi="Times New Roman" w:eastAsia="方正仿宋_GBK" w:cs="方正仿宋_GBK"/>
                <w:b w:val="0"/>
                <w:bCs w:val="0"/>
                <w:color w:val="000000"/>
                <w:sz w:val="22"/>
                <w:szCs w:val="22"/>
              </w:rPr>
            </w:pPr>
            <w:r>
              <w:rPr>
                <w:rFonts w:hint="eastAsia" w:ascii="Times New Roman" w:hAnsi="Times New Roman" w:eastAsia="方正仿宋_GBK" w:cs="方正仿宋_GBK"/>
                <w:b w:val="0"/>
                <w:bCs w:val="0"/>
                <w:color w:val="000000"/>
                <w:sz w:val="22"/>
                <w:szCs w:val="22"/>
              </w:rPr>
              <w:t>全年完成值</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Times New Roman" w:hAnsi="Times New Roman" w:eastAsia="方正仿宋_GBK" w:cs="方正仿宋_GBK"/>
                <w:b w:val="0"/>
                <w:bCs w:val="0"/>
                <w:color w:val="000000"/>
                <w:sz w:val="22"/>
                <w:szCs w:val="22"/>
              </w:rPr>
            </w:pPr>
            <w:r>
              <w:rPr>
                <w:rFonts w:hint="eastAsia" w:ascii="Times New Roman" w:hAnsi="Times New Roman" w:eastAsia="方正仿宋_GBK" w:cs="方正仿宋_GBK"/>
                <w:b w:val="0"/>
                <w:bCs w:val="0"/>
                <w:color w:val="000000"/>
                <w:sz w:val="22"/>
                <w:szCs w:val="22"/>
              </w:rPr>
              <w:t>偏离度（%）</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Times New Roman" w:hAnsi="Times New Roman" w:eastAsia="方正仿宋_GBK" w:cs="方正仿宋_GBK"/>
                <w:b w:val="0"/>
                <w:bCs w:val="0"/>
                <w:color w:val="000000"/>
                <w:sz w:val="22"/>
                <w:szCs w:val="22"/>
              </w:rPr>
            </w:pPr>
            <w:r>
              <w:rPr>
                <w:rFonts w:hint="eastAsia" w:ascii="Times New Roman" w:hAnsi="Times New Roman" w:eastAsia="方正仿宋_GBK" w:cs="方正仿宋_GBK"/>
                <w:b w:val="0"/>
                <w:bCs w:val="0"/>
                <w:color w:val="000000"/>
                <w:sz w:val="22"/>
                <w:szCs w:val="22"/>
              </w:rPr>
              <w:t>得分系数（%）</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Times New Roman" w:hAnsi="Times New Roman" w:eastAsia="方正仿宋_GBK" w:cs="方正仿宋_GBK"/>
                <w:b w:val="0"/>
                <w:bCs w:val="0"/>
                <w:color w:val="000000"/>
                <w:sz w:val="22"/>
                <w:szCs w:val="22"/>
              </w:rPr>
            </w:pPr>
            <w:r>
              <w:rPr>
                <w:rFonts w:hint="eastAsia" w:ascii="Times New Roman" w:hAnsi="Times New Roman" w:eastAsia="方正仿宋_GBK" w:cs="方正仿宋_GBK"/>
                <w:b w:val="0"/>
                <w:bCs w:val="0"/>
                <w:color w:val="000000"/>
                <w:sz w:val="22"/>
                <w:szCs w:val="22"/>
              </w:rPr>
              <w:t>指标权重</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Times New Roman" w:hAnsi="Times New Roman" w:eastAsia="方正仿宋_GBK" w:cs="方正仿宋_GBK"/>
                <w:b w:val="0"/>
                <w:bCs w:val="0"/>
                <w:color w:val="000000"/>
                <w:sz w:val="22"/>
                <w:szCs w:val="22"/>
              </w:rPr>
            </w:pPr>
            <w:r>
              <w:rPr>
                <w:rFonts w:hint="eastAsia" w:ascii="Times New Roman" w:hAnsi="Times New Roman" w:eastAsia="方正仿宋_GBK" w:cs="方正仿宋_GBK"/>
                <w:b w:val="0"/>
                <w:bCs w:val="0"/>
                <w:color w:val="000000"/>
                <w:sz w:val="22"/>
                <w:szCs w:val="22"/>
              </w:rPr>
              <w:t>指标得分</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Times New Roman" w:hAnsi="Times New Roman" w:eastAsia="方正仿宋_GBK" w:cs="方正仿宋_GBK"/>
                <w:b w:val="0"/>
                <w:bCs w:val="0"/>
                <w:color w:val="000000"/>
                <w:sz w:val="22"/>
                <w:szCs w:val="22"/>
              </w:rPr>
            </w:pPr>
            <w:r>
              <w:rPr>
                <w:rFonts w:hint="eastAsia" w:ascii="Times New Roman" w:hAnsi="Times New Roman" w:eastAsia="方正仿宋_GBK" w:cs="方正仿宋_GBK"/>
                <w:b w:val="0"/>
                <w:bCs w:val="0"/>
                <w:color w:val="000000"/>
                <w:sz w:val="22"/>
                <w:szCs w:val="22"/>
              </w:rPr>
              <w:t>是否核心指标</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Times New Roman" w:hAnsi="Times New Roman" w:eastAsia="方正仿宋_GBK" w:cs="方正仿宋_GBK"/>
                <w:b w:val="0"/>
                <w:bCs w:val="0"/>
                <w:color w:val="000000"/>
                <w:sz w:val="22"/>
                <w:szCs w:val="22"/>
              </w:rPr>
            </w:pPr>
            <w:r>
              <w:rPr>
                <w:rFonts w:hint="eastAsia" w:ascii="Times New Roman" w:hAnsi="Times New Roman" w:eastAsia="方正仿宋_GBK" w:cs="方正仿宋_GBK"/>
                <w:b w:val="0"/>
                <w:bCs w:val="0"/>
                <w:color w:val="000000"/>
                <w:sz w:val="22"/>
                <w:szCs w:val="22"/>
              </w:rPr>
              <w:t>说明</w:t>
            </w:r>
          </w:p>
        </w:tc>
      </w:tr>
      <w:tr>
        <w:tblPrEx>
          <w:tblCellMar>
            <w:top w:w="0" w:type="dxa"/>
            <w:left w:w="108" w:type="dxa"/>
            <w:bottom w:w="0" w:type="dxa"/>
            <w:right w:w="108" w:type="dxa"/>
          </w:tblCellMar>
        </w:tblPrEx>
        <w:trPr>
          <w:trHeight w:val="500" w:hRule="atLeast"/>
        </w:trPr>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sz w:val="22"/>
                <w:szCs w:val="22"/>
              </w:rPr>
              <w:t>安全转移群众人数</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sz w:val="22"/>
                <w:szCs w:val="22"/>
              </w:rPr>
              <w:t>人</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sz w:val="22"/>
                <w:szCs w:val="22"/>
              </w:rPr>
              <w:t>≥</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sz w:val="22"/>
                <w:szCs w:val="22"/>
              </w:rPr>
              <w:t>5</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sz w:val="22"/>
                <w:szCs w:val="22"/>
              </w:rPr>
              <w:t>5</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sz w:val="22"/>
                <w:szCs w:val="22"/>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sz w:val="22"/>
                <w:szCs w:val="22"/>
              </w:rPr>
              <w:t>100</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sz w:val="22"/>
                <w:szCs w:val="22"/>
              </w:rPr>
              <w:t>20</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sz w:val="22"/>
                <w:szCs w:val="22"/>
              </w:rPr>
              <w:t>20</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sz w:val="22"/>
                <w:szCs w:val="22"/>
              </w:rPr>
              <w:t>否</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方正仿宋_GBK" w:cs="方正仿宋_GBK"/>
                <w:color w:val="000000"/>
                <w:sz w:val="22"/>
                <w:szCs w:val="22"/>
              </w:rPr>
            </w:pPr>
          </w:p>
        </w:tc>
      </w:tr>
      <w:tr>
        <w:tblPrEx>
          <w:tblCellMar>
            <w:top w:w="0" w:type="dxa"/>
            <w:left w:w="108" w:type="dxa"/>
            <w:bottom w:w="0" w:type="dxa"/>
            <w:right w:w="108" w:type="dxa"/>
          </w:tblCellMar>
        </w:tblPrEx>
        <w:trPr>
          <w:trHeight w:val="500" w:hRule="atLeast"/>
        </w:trPr>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sz w:val="22"/>
                <w:szCs w:val="22"/>
              </w:rPr>
              <w:t>地质灾害补助人数</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sz w:val="22"/>
                <w:szCs w:val="22"/>
              </w:rPr>
              <w:t>人</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sz w:val="22"/>
                <w:szCs w:val="22"/>
              </w:rPr>
              <w:t>≥</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sz w:val="22"/>
                <w:szCs w:val="22"/>
              </w:rPr>
              <w:t>5</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sz w:val="22"/>
                <w:szCs w:val="22"/>
              </w:rPr>
              <w:t>5</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sz w:val="22"/>
                <w:szCs w:val="22"/>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sz w:val="22"/>
                <w:szCs w:val="22"/>
              </w:rPr>
              <w:t>100</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sz w:val="22"/>
                <w:szCs w:val="22"/>
              </w:rPr>
              <w:t>20</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sz w:val="22"/>
                <w:szCs w:val="22"/>
              </w:rPr>
              <w:t>20</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sz w:val="22"/>
                <w:szCs w:val="22"/>
              </w:rPr>
              <w:t>是</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方正仿宋_GBK" w:cs="方正仿宋_GBK"/>
                <w:color w:val="000000"/>
                <w:sz w:val="22"/>
                <w:szCs w:val="22"/>
              </w:rPr>
            </w:pPr>
          </w:p>
        </w:tc>
      </w:tr>
      <w:tr>
        <w:tblPrEx>
          <w:tblCellMar>
            <w:top w:w="0" w:type="dxa"/>
            <w:left w:w="108" w:type="dxa"/>
            <w:bottom w:w="0" w:type="dxa"/>
            <w:right w:w="108" w:type="dxa"/>
          </w:tblCellMar>
        </w:tblPrEx>
        <w:trPr>
          <w:trHeight w:val="500" w:hRule="atLeast"/>
        </w:trPr>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sz w:val="22"/>
                <w:szCs w:val="22"/>
              </w:rPr>
              <w:t>资金按规定发放率</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sz w:val="22"/>
                <w:szCs w:val="22"/>
              </w:rPr>
              <w:t>%</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sz w:val="22"/>
                <w:szCs w:val="22"/>
              </w:rPr>
              <w:t>＝</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sz w:val="22"/>
                <w:szCs w:val="22"/>
              </w:rPr>
              <w:t>100</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sz w:val="22"/>
                <w:szCs w:val="22"/>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sz w:val="22"/>
                <w:szCs w:val="22"/>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sz w:val="22"/>
                <w:szCs w:val="22"/>
              </w:rPr>
              <w:t>100</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sz w:val="22"/>
                <w:szCs w:val="22"/>
              </w:rPr>
              <w:t>20</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sz w:val="22"/>
                <w:szCs w:val="22"/>
              </w:rPr>
              <w:t>20</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sz w:val="22"/>
                <w:szCs w:val="22"/>
              </w:rPr>
              <w:t>否</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方正仿宋_GBK" w:cs="方正仿宋_GBK"/>
                <w:color w:val="000000"/>
                <w:sz w:val="22"/>
                <w:szCs w:val="22"/>
              </w:rPr>
            </w:pPr>
          </w:p>
        </w:tc>
      </w:tr>
      <w:tr>
        <w:tblPrEx>
          <w:tblCellMar>
            <w:top w:w="0" w:type="dxa"/>
            <w:left w:w="108" w:type="dxa"/>
            <w:bottom w:w="0" w:type="dxa"/>
            <w:right w:w="108" w:type="dxa"/>
          </w:tblCellMar>
        </w:tblPrEx>
        <w:trPr>
          <w:trHeight w:val="500" w:hRule="atLeast"/>
        </w:trPr>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sz w:val="22"/>
                <w:szCs w:val="22"/>
              </w:rPr>
              <w:t>改善群众生产生活安全</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sz w:val="22"/>
                <w:szCs w:val="22"/>
              </w:rPr>
              <w:t>%</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sz w:val="22"/>
                <w:szCs w:val="22"/>
              </w:rPr>
              <w:t>定性</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sz w:val="22"/>
                <w:szCs w:val="22"/>
              </w:rPr>
              <w:t>有效改善</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sz w:val="22"/>
                <w:szCs w:val="22"/>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sz w:val="22"/>
                <w:szCs w:val="22"/>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sz w:val="22"/>
                <w:szCs w:val="22"/>
              </w:rPr>
              <w:t>100</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sz w:val="22"/>
                <w:szCs w:val="22"/>
              </w:rPr>
              <w:t>20</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sz w:val="22"/>
                <w:szCs w:val="22"/>
              </w:rPr>
              <w:t>20</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sz w:val="22"/>
                <w:szCs w:val="22"/>
              </w:rPr>
              <w:t>否</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方正仿宋_GBK" w:cs="方正仿宋_GBK"/>
                <w:color w:val="000000"/>
                <w:sz w:val="22"/>
                <w:szCs w:val="22"/>
              </w:rPr>
            </w:pPr>
          </w:p>
        </w:tc>
      </w:tr>
      <w:tr>
        <w:tblPrEx>
          <w:tblCellMar>
            <w:top w:w="0" w:type="dxa"/>
            <w:left w:w="108" w:type="dxa"/>
            <w:bottom w:w="0" w:type="dxa"/>
            <w:right w:w="108" w:type="dxa"/>
          </w:tblCellMar>
        </w:tblPrEx>
        <w:trPr>
          <w:trHeight w:val="500" w:hRule="atLeast"/>
        </w:trPr>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sz w:val="22"/>
                <w:szCs w:val="22"/>
              </w:rPr>
              <w:t>群众满意度</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sz w:val="22"/>
                <w:szCs w:val="22"/>
              </w:rPr>
              <w:t>%</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sz w:val="22"/>
                <w:szCs w:val="22"/>
              </w:rPr>
              <w:t>≥</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sz w:val="22"/>
                <w:szCs w:val="22"/>
              </w:rPr>
              <w:t>90</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sz w:val="22"/>
                <w:szCs w:val="22"/>
              </w:rPr>
              <w:t>90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sz w:val="22"/>
                <w:szCs w:val="22"/>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sz w:val="22"/>
                <w:szCs w:val="22"/>
              </w:rPr>
              <w:t>100</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sz w:val="22"/>
                <w:szCs w:val="22"/>
              </w:rPr>
              <w:t>10</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sz w:val="22"/>
                <w:szCs w:val="22"/>
              </w:rPr>
              <w:t>10</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sz w:val="22"/>
                <w:szCs w:val="22"/>
              </w:rPr>
              <w:t>否</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方正仿宋_GBK" w:cs="方正仿宋_GBK"/>
                <w:color w:val="000000"/>
                <w:sz w:val="22"/>
                <w:szCs w:val="22"/>
              </w:rPr>
            </w:pPr>
          </w:p>
        </w:tc>
      </w:tr>
    </w:tbl>
    <w:p>
      <w:pPr>
        <w:pStyle w:val="14"/>
        <w:autoSpaceDE w:val="0"/>
        <w:spacing w:before="0" w:beforeAutospacing="0" w:after="0" w:afterAutospacing="0" w:line="596" w:lineRule="exact"/>
        <w:ind w:firstLine="640" w:firstLineChars="200"/>
        <w:rPr>
          <w:rFonts w:hint="eastAsia" w:ascii="方正仿宋_GBK" w:hAnsi="方正仿宋_GBK" w:eastAsia="方正仿宋_GBK" w:cs="方正仿宋_GBK"/>
          <w:sz w:val="32"/>
          <w:szCs w:val="32"/>
          <w:shd w:val="clear" w:color="auto" w:fill="FFFFFF"/>
        </w:rPr>
        <w:sectPr>
          <w:pgSz w:w="16783" w:h="11850" w:orient="landscape"/>
          <w:pgMar w:top="567" w:right="454" w:bottom="567" w:left="1037" w:header="0" w:footer="283" w:gutter="0"/>
          <w:pgNumType w:fmt="decimal"/>
          <w:cols w:space="720" w:num="1"/>
          <w:docGrid w:type="lines" w:linePitch="326" w:charSpace="0"/>
        </w:sectPr>
      </w:pPr>
    </w:p>
    <w:p>
      <w:pPr>
        <w:pStyle w:val="14"/>
        <w:autoSpaceDE w:val="0"/>
        <w:spacing w:before="0" w:beforeAutospacing="0" w:after="0" w:afterAutospacing="0" w:line="596" w:lineRule="exact"/>
        <w:ind w:firstLine="640" w:firstLineChars="200"/>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（二）部门绩效评价情况</w:t>
      </w:r>
    </w:p>
    <w:p>
      <w:pPr>
        <w:pStyle w:val="16"/>
        <w:autoSpaceDE w:val="0"/>
        <w:ind w:firstLine="960" w:firstLineChars="300"/>
        <w:rPr>
          <w:rFonts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rPr>
        <w:t>我单位未组织开展部门绩效评价。</w:t>
      </w:r>
    </w:p>
    <w:p>
      <w:pPr>
        <w:pStyle w:val="18"/>
        <w:autoSpaceDE w:val="0"/>
        <w:spacing w:line="596" w:lineRule="exact"/>
        <w:ind w:firstLine="643"/>
        <w:rPr>
          <w:rFonts w:hint="default"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（三）财政绩效评价情况</w:t>
      </w:r>
    </w:p>
    <w:p>
      <w:pPr>
        <w:pStyle w:val="16"/>
        <w:autoSpaceDE w:val="0"/>
        <w:ind w:firstLine="640"/>
        <w:rPr>
          <w:rFonts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rPr>
        <w:t>县财政局未委托第三方对我单位开展绩效评价。</w:t>
      </w:r>
    </w:p>
    <w:p>
      <w:pPr>
        <w:pStyle w:val="14"/>
        <w:autoSpaceDE w:val="0"/>
        <w:spacing w:before="0" w:beforeAutospacing="0" w:after="0" w:afterAutospacing="0" w:line="596" w:lineRule="exact"/>
        <w:ind w:firstLine="640" w:firstLineChars="200"/>
        <w:rPr>
          <w:rFonts w:hint="eastAsia" w:ascii="方正黑体_GBK" w:hAnsi="方正黑体_GBK" w:eastAsia="方正黑体_GBK" w:cs="方正黑体_GBK"/>
          <w:b w:val="0"/>
          <w:bCs w:val="0"/>
          <w:kern w:val="2"/>
          <w:sz w:val="32"/>
          <w:szCs w:val="22"/>
          <w:lang w:val="en-US" w:eastAsia="zh-CN" w:bidi="ar-SA"/>
        </w:rPr>
      </w:pPr>
      <w:r>
        <w:rPr>
          <w:rFonts w:hint="eastAsia" w:ascii="方正黑体_GBK" w:hAnsi="方正黑体_GBK" w:eastAsia="方正黑体_GBK" w:cs="方正黑体_GBK"/>
          <w:b w:val="0"/>
          <w:bCs w:val="0"/>
          <w:kern w:val="2"/>
          <w:sz w:val="32"/>
          <w:szCs w:val="22"/>
          <w:lang w:val="en-US" w:eastAsia="zh-CN" w:bidi="ar-SA"/>
        </w:rPr>
        <w:t>六、专业名词解释</w:t>
      </w:r>
    </w:p>
    <w:p>
      <w:pPr>
        <w:pStyle w:val="14"/>
        <w:spacing w:before="0" w:beforeAutospacing="0" w:after="0" w:afterAutospacing="0" w:line="596"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楷体_GBK" w:cs="方正楷体_GBK"/>
          <w:b w:val="0"/>
          <w:bCs w:val="0"/>
          <w:kern w:val="2"/>
          <w:sz w:val="32"/>
          <w:szCs w:val="32"/>
          <w:lang w:val="en-US" w:eastAsia="zh-CN" w:bidi="ar-SA"/>
        </w:rPr>
        <w:t>（一）财政拨款收入：</w:t>
      </w:r>
      <w:r>
        <w:rPr>
          <w:rFonts w:hint="eastAsia" w:ascii="Times New Roman" w:hAnsi="Times New Roman" w:eastAsia="方正仿宋_GBK" w:cs="方正仿宋_GBK"/>
          <w:sz w:val="32"/>
          <w:szCs w:val="32"/>
          <w:shd w:val="clear" w:color="auto" w:fill="FFFFFF"/>
        </w:rPr>
        <w:t>指本年度从本级财政部门取得的财政拨款，包括一般公共预算财政拨款和政府性基金预算财政拨款。</w:t>
      </w:r>
    </w:p>
    <w:p>
      <w:pPr>
        <w:pStyle w:val="14"/>
        <w:spacing w:before="0" w:beforeAutospacing="0" w:after="0" w:afterAutospacing="0" w:line="596"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楷体_GBK" w:cs="方正楷体_GBK"/>
          <w:b w:val="0"/>
          <w:bCs w:val="0"/>
          <w:kern w:val="2"/>
          <w:sz w:val="32"/>
          <w:szCs w:val="32"/>
          <w:lang w:val="en-US" w:eastAsia="zh-CN" w:bidi="ar-SA"/>
        </w:rPr>
        <w:t>（二）事业收入：</w:t>
      </w:r>
      <w:r>
        <w:rPr>
          <w:rFonts w:hint="eastAsia" w:ascii="Times New Roman" w:hAnsi="Times New Roman"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14"/>
        <w:spacing w:before="0" w:beforeAutospacing="0" w:after="0" w:afterAutospacing="0" w:line="596"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楷体_GBK" w:cs="方正楷体_GBK"/>
          <w:b w:val="0"/>
          <w:bCs w:val="0"/>
          <w:kern w:val="2"/>
          <w:sz w:val="32"/>
          <w:szCs w:val="32"/>
          <w:lang w:val="en-US" w:eastAsia="zh-CN" w:bidi="ar-SA"/>
        </w:rPr>
        <w:t>（三）经营收入：</w:t>
      </w:r>
      <w:r>
        <w:rPr>
          <w:rFonts w:hint="eastAsia" w:ascii="Times New Roman" w:hAnsi="Times New Roman" w:eastAsia="方正仿宋_GBK" w:cs="方正仿宋_GBK"/>
          <w:sz w:val="32"/>
          <w:szCs w:val="32"/>
          <w:shd w:val="clear" w:color="auto" w:fill="FFFFFF"/>
        </w:rPr>
        <w:t>指事业单位在专业业务活动及其辅助活动之外开展非独立核算经营活动取得的现金流入。</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楷体_GBK" w:cs="方正楷体_GBK"/>
          <w:b w:val="0"/>
          <w:bCs w:val="0"/>
          <w:kern w:val="2"/>
          <w:sz w:val="32"/>
          <w:szCs w:val="32"/>
          <w:lang w:val="en-US" w:eastAsia="zh-CN" w:bidi="ar-SA"/>
        </w:rPr>
        <w:t>（四）其他收入：</w:t>
      </w:r>
      <w:r>
        <w:rPr>
          <w:rFonts w:hint="eastAsia" w:ascii="Times New Roman" w:hAnsi="Times New Roman"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楷体_GBK" w:cs="方正楷体_GBK"/>
          <w:b w:val="0"/>
          <w:bCs w:val="0"/>
          <w:kern w:val="2"/>
          <w:sz w:val="32"/>
          <w:szCs w:val="32"/>
          <w:lang w:val="en-US" w:eastAsia="zh-CN" w:bidi="ar-SA"/>
        </w:rPr>
        <w:t>（五）使用非财政拨款结余：</w:t>
      </w:r>
      <w:r>
        <w:rPr>
          <w:rFonts w:hint="eastAsia" w:ascii="Times New Roman" w:hAnsi="Times New Roman"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4"/>
        <w:spacing w:before="0" w:beforeAutospacing="0" w:after="0" w:afterAutospacing="0" w:line="596"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楷体_GBK" w:cs="方正楷体_GBK"/>
          <w:b w:val="0"/>
          <w:bCs w:val="0"/>
          <w:kern w:val="2"/>
          <w:sz w:val="32"/>
          <w:szCs w:val="32"/>
          <w:lang w:val="en-US" w:eastAsia="zh-CN" w:bidi="ar-SA"/>
        </w:rPr>
        <w:t>（六）年初结转和结余：</w:t>
      </w:r>
      <w:r>
        <w:rPr>
          <w:rFonts w:hint="eastAsia" w:ascii="Times New Roman" w:hAnsi="Times New Roman" w:eastAsia="方正仿宋_GBK" w:cs="方正仿宋_GBK"/>
          <w:sz w:val="32"/>
          <w:szCs w:val="32"/>
          <w:shd w:val="clear" w:color="auto" w:fill="FFFFFF"/>
        </w:rPr>
        <w:t>指单位上年结转本年使用的基本支出结转、项目支出结转和结余、经营结余。</w:t>
      </w:r>
    </w:p>
    <w:p>
      <w:pPr>
        <w:pStyle w:val="14"/>
        <w:spacing w:before="0" w:beforeAutospacing="0" w:after="0" w:afterAutospacing="0" w:line="596"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楷体_GBK" w:cs="方正楷体_GBK"/>
          <w:b w:val="0"/>
          <w:bCs w:val="0"/>
          <w:kern w:val="2"/>
          <w:sz w:val="32"/>
          <w:szCs w:val="32"/>
          <w:lang w:val="en-US" w:eastAsia="zh-CN" w:bidi="ar-SA"/>
        </w:rPr>
        <w:t>（七）结余分配：</w:t>
      </w:r>
      <w:r>
        <w:rPr>
          <w:rFonts w:hint="eastAsia" w:ascii="Times New Roman" w:hAnsi="Times New Roman" w:eastAsia="方正仿宋_GBK" w:cs="方正仿宋_GBK"/>
          <w:sz w:val="32"/>
          <w:szCs w:val="32"/>
          <w:shd w:val="clear" w:color="auto" w:fill="FFFFFF"/>
        </w:rPr>
        <w:t>指单位按照国家有关规定，缴纳所得税、提取专用基金、转入非财政拨款结余等当年结余的分配情况。</w:t>
      </w:r>
    </w:p>
    <w:p>
      <w:pPr>
        <w:pStyle w:val="14"/>
        <w:spacing w:before="0" w:beforeAutospacing="0" w:after="0" w:afterAutospacing="0" w:line="596"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楷体_GBK" w:cs="方正楷体_GBK"/>
          <w:b w:val="0"/>
          <w:bCs w:val="0"/>
          <w:kern w:val="2"/>
          <w:sz w:val="32"/>
          <w:szCs w:val="32"/>
          <w:lang w:val="en-US" w:eastAsia="zh-CN" w:bidi="ar-SA"/>
        </w:rPr>
        <w:t>（八）年末结转和结余：</w:t>
      </w:r>
      <w:r>
        <w:rPr>
          <w:rFonts w:hint="eastAsia" w:ascii="Times New Roman" w:hAnsi="Times New Roman" w:eastAsia="方正仿宋_GBK" w:cs="方正仿宋_GBK"/>
          <w:sz w:val="32"/>
          <w:szCs w:val="32"/>
          <w:shd w:val="clear" w:color="auto" w:fill="FFFFFF"/>
        </w:rPr>
        <w:t>指单位结转下年的基本支出结转、项目支出结转和结余、经营结余。</w:t>
      </w:r>
    </w:p>
    <w:p>
      <w:pPr>
        <w:pStyle w:val="14"/>
        <w:spacing w:before="0" w:beforeAutospacing="0" w:after="0" w:afterAutospacing="0" w:line="596"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楷体_GBK" w:cs="方正楷体_GBK"/>
          <w:b w:val="0"/>
          <w:bCs w:val="0"/>
          <w:kern w:val="2"/>
          <w:sz w:val="32"/>
          <w:szCs w:val="32"/>
          <w:lang w:val="en-US" w:eastAsia="zh-CN" w:bidi="ar-SA"/>
        </w:rPr>
        <w:t>（九）基本支出：</w:t>
      </w:r>
      <w:r>
        <w:rPr>
          <w:rFonts w:hint="eastAsia" w:ascii="Times New Roman" w:hAnsi="Times New Roman"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4"/>
        <w:spacing w:before="0" w:beforeAutospacing="0" w:after="0" w:afterAutospacing="0" w:line="596"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楷体_GBK" w:cs="方正楷体_GBK"/>
          <w:b w:val="0"/>
          <w:bCs w:val="0"/>
          <w:kern w:val="2"/>
          <w:sz w:val="32"/>
          <w:szCs w:val="32"/>
          <w:lang w:val="en-US" w:eastAsia="zh-CN" w:bidi="ar-SA"/>
        </w:rPr>
        <w:t>（十）项目支出：</w:t>
      </w:r>
      <w:r>
        <w:rPr>
          <w:rFonts w:hint="eastAsia" w:ascii="Times New Roman" w:hAnsi="Times New Roman" w:eastAsia="方正仿宋_GBK" w:cs="方正仿宋_GBK"/>
          <w:sz w:val="32"/>
          <w:szCs w:val="32"/>
          <w:shd w:val="clear" w:color="auto" w:fill="FFFFFF"/>
        </w:rPr>
        <w:t>指在基本支出之外为完成特定行政任务和事业发展目标所发生的支出。</w:t>
      </w:r>
    </w:p>
    <w:p>
      <w:pPr>
        <w:pStyle w:val="14"/>
        <w:spacing w:before="0" w:beforeAutospacing="0" w:after="0" w:afterAutospacing="0" w:line="596"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楷体_GBK" w:cs="方正楷体_GBK"/>
          <w:b w:val="0"/>
          <w:bCs w:val="0"/>
          <w:kern w:val="2"/>
          <w:sz w:val="32"/>
          <w:szCs w:val="32"/>
          <w:lang w:val="en-US" w:eastAsia="zh-CN" w:bidi="ar-SA"/>
        </w:rPr>
        <w:t>（十一）经营支出：</w:t>
      </w:r>
      <w:r>
        <w:rPr>
          <w:rFonts w:hint="eastAsia" w:ascii="Times New Roman" w:hAnsi="Times New Roman" w:eastAsia="方正仿宋_GBK" w:cs="方正仿宋_GBK"/>
          <w:sz w:val="32"/>
          <w:szCs w:val="32"/>
          <w:shd w:val="clear" w:color="auto" w:fill="FFFFFF"/>
        </w:rPr>
        <w:t>指事业单位在专业业务活动及其辅助活动之外开展非独立核算经营活动发生的支出。</w:t>
      </w:r>
    </w:p>
    <w:p>
      <w:pPr>
        <w:pStyle w:val="14"/>
        <w:spacing w:before="0" w:beforeAutospacing="0" w:after="0" w:afterAutospacing="0" w:line="596"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楷体_GBK" w:cs="方正楷体_GBK"/>
          <w:b w:val="0"/>
          <w:bCs w:val="0"/>
          <w:kern w:val="2"/>
          <w:sz w:val="32"/>
          <w:szCs w:val="32"/>
          <w:lang w:val="en-US" w:eastAsia="zh-CN" w:bidi="ar-SA"/>
        </w:rPr>
        <w:t>（十二）“三公”经费：</w:t>
      </w:r>
      <w:r>
        <w:rPr>
          <w:rFonts w:hint="eastAsia" w:ascii="Times New Roman" w:hAnsi="Times New Roman"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4"/>
        <w:spacing w:before="0" w:beforeAutospacing="0" w:after="0" w:afterAutospacing="0" w:line="596"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楷体_GBK" w:cs="方正楷体_GBK"/>
          <w:b w:val="0"/>
          <w:bCs w:val="0"/>
          <w:kern w:val="2"/>
          <w:sz w:val="32"/>
          <w:szCs w:val="32"/>
          <w:lang w:val="en-US" w:eastAsia="zh-CN" w:bidi="ar-SA"/>
        </w:rPr>
        <w:t>（十三）机关运行经费：</w:t>
      </w:r>
      <w:r>
        <w:rPr>
          <w:rFonts w:hint="eastAsia" w:ascii="Times New Roman" w:hAnsi="Times New Roman"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4"/>
        <w:spacing w:before="0" w:beforeAutospacing="0" w:after="0" w:afterAutospacing="0" w:line="596"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楷体_GBK" w:cs="方正楷体_GBK"/>
          <w:b w:val="0"/>
          <w:bCs w:val="0"/>
          <w:kern w:val="2"/>
          <w:sz w:val="32"/>
          <w:szCs w:val="32"/>
          <w:lang w:val="en-US" w:eastAsia="zh-CN" w:bidi="ar-SA"/>
        </w:rPr>
        <w:t>（十四）工资福利支出（支出经济分类科目类级）：</w:t>
      </w:r>
      <w:r>
        <w:rPr>
          <w:rFonts w:hint="eastAsia" w:ascii="Times New Roman" w:hAnsi="Times New Roman"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14"/>
        <w:spacing w:before="0" w:beforeAutospacing="0" w:after="0" w:afterAutospacing="0" w:line="596"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楷体_GBK" w:cs="方正楷体_GBK"/>
          <w:b w:val="0"/>
          <w:bCs w:val="0"/>
          <w:kern w:val="2"/>
          <w:sz w:val="32"/>
          <w:szCs w:val="32"/>
          <w:lang w:val="en-US" w:eastAsia="zh-CN" w:bidi="ar-SA"/>
        </w:rPr>
        <w:t>（十五）商品和服务支出（支出经济分类科目类级）：</w:t>
      </w:r>
      <w:r>
        <w:rPr>
          <w:rFonts w:hint="eastAsia" w:ascii="Times New Roman" w:hAnsi="Times New Roman" w:eastAsia="方正仿宋_GBK" w:cs="方正仿宋_GBK"/>
          <w:sz w:val="32"/>
          <w:szCs w:val="32"/>
          <w:shd w:val="clear" w:color="auto" w:fill="FFFFFF"/>
        </w:rPr>
        <w:t>反映单位购买商品和服务的支出（不包括用于购置固定资产的支出、战略性和应急储备支出）。</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楷体_GBK" w:cs="方正楷体_GBK"/>
          <w:b w:val="0"/>
          <w:bCs w:val="0"/>
          <w:kern w:val="2"/>
          <w:sz w:val="32"/>
          <w:szCs w:val="32"/>
          <w:lang w:val="en-US" w:eastAsia="zh-CN" w:bidi="ar-SA"/>
        </w:rPr>
        <w:t>（十六）对个人和家庭的补助（支出经济分类科目类级）：</w:t>
      </w:r>
      <w:r>
        <w:rPr>
          <w:rFonts w:hint="eastAsia" w:ascii="Times New Roman" w:hAnsi="Times New Roman" w:eastAsia="方正仿宋_GBK" w:cs="方正仿宋_GBK"/>
          <w:sz w:val="32"/>
          <w:szCs w:val="32"/>
          <w:shd w:val="clear" w:color="auto" w:fill="FFFFFF"/>
        </w:rPr>
        <w:t>反映用于对个人和家庭的补助支出。</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楷体_GBK" w:cs="方正楷体_GBK"/>
          <w:b w:val="0"/>
          <w:bCs w:val="0"/>
          <w:kern w:val="2"/>
          <w:sz w:val="32"/>
          <w:szCs w:val="32"/>
          <w:lang w:val="en-US" w:eastAsia="zh-CN" w:bidi="ar-SA"/>
        </w:rPr>
        <w:t>（十七）其他资本性支出（支出经济分类科目类级）：</w:t>
      </w:r>
      <w:r>
        <w:rPr>
          <w:rFonts w:hint="eastAsia" w:ascii="Times New Roman" w:hAnsi="Times New Roman"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4"/>
        <w:spacing w:before="0" w:beforeAutospacing="0" w:after="0" w:afterAutospacing="0" w:line="596" w:lineRule="exact"/>
        <w:ind w:firstLine="640" w:firstLineChars="200"/>
        <w:jc w:val="both"/>
        <w:rPr>
          <w:rFonts w:hint="eastAsia" w:ascii="方正黑体_GBK" w:hAnsi="方正黑体_GBK" w:eastAsia="方正黑体_GBK" w:cs="方正黑体_GBK"/>
          <w:b w:val="0"/>
          <w:bCs w:val="0"/>
          <w:kern w:val="2"/>
          <w:sz w:val="32"/>
          <w:szCs w:val="22"/>
          <w:lang w:val="en-US" w:eastAsia="zh-CN" w:bidi="ar-SA"/>
        </w:rPr>
      </w:pPr>
      <w:r>
        <w:rPr>
          <w:rFonts w:hint="eastAsia" w:ascii="方正黑体_GBK" w:hAnsi="方正黑体_GBK" w:eastAsia="方正黑体_GBK" w:cs="方正黑体_GBK"/>
          <w:b w:val="0"/>
          <w:bCs w:val="0"/>
          <w:kern w:val="2"/>
          <w:sz w:val="32"/>
          <w:szCs w:val="22"/>
          <w:lang w:val="en-US" w:eastAsia="zh-CN" w:bidi="ar-SA"/>
        </w:rPr>
        <w:t>七、决算公开联系方式及信息反馈渠道</w:t>
      </w:r>
    </w:p>
    <w:p>
      <w:pPr>
        <w:pStyle w:val="14"/>
        <w:spacing w:before="0" w:beforeAutospacing="0" w:after="0" w:afterAutospacing="0" w:line="596" w:lineRule="exact"/>
        <w:ind w:firstLine="640" w:firstLineChars="200"/>
        <w:rPr>
          <w:rFonts w:hint="eastAsia" w:ascii="Times New Roman" w:hAnsi="Times New Roman" w:eastAsia="方正仿宋_GBK" w:cs="方正仿宋_GBK"/>
          <w:sz w:val="32"/>
          <w:szCs w:val="32"/>
          <w:shd w:val="clear" w:color="auto" w:fill="FFFFFF"/>
          <w:lang w:eastAsia="zh-CN"/>
        </w:rPr>
        <w:sectPr>
          <w:pgSz w:w="11850" w:h="16783"/>
          <w:pgMar w:top="2098" w:right="1531" w:bottom="1984" w:left="1531" w:header="850" w:footer="1474" w:gutter="0"/>
          <w:pgNumType w:fmt="decimal"/>
          <w:cols w:space="720" w:num="1"/>
          <w:docGrid w:type="lines" w:linePitch="326" w:charSpace="0"/>
        </w:sectPr>
      </w:pPr>
      <w:r>
        <w:rPr>
          <w:rFonts w:hint="eastAsia" w:ascii="Times New Roman" w:hAnsi="Times New Roman" w:eastAsia="方正仿宋_GBK" w:cs="方正仿宋_GBK"/>
          <w:sz w:val="32"/>
          <w:szCs w:val="32"/>
          <w:shd w:val="clear" w:color="auto" w:fill="FFFFFF"/>
        </w:rPr>
        <w:t>本单位决算公开信息反馈和联系方式：周川洁  023-55328010</w:t>
      </w:r>
      <w:r>
        <w:rPr>
          <w:rFonts w:hint="eastAsia" w:ascii="Times New Roman" w:hAnsi="Times New Roman" w:eastAsia="方正仿宋_GBK" w:cs="方正仿宋_GBK"/>
          <w:sz w:val="32"/>
          <w:szCs w:val="32"/>
          <w:shd w:val="clear" w:color="auto" w:fill="FFFFFF"/>
          <w:lang w:eastAsia="zh-CN"/>
        </w:rPr>
        <w:t>。</w:t>
      </w:r>
    </w:p>
    <w:tbl>
      <w:tblPr>
        <w:tblStyle w:val="8"/>
        <w:tblpPr w:leftFromText="180" w:rightFromText="180" w:vertAnchor="text" w:horzAnchor="page" w:tblpX="1058" w:tblpY="22"/>
        <w:tblOverlap w:val="never"/>
        <w:tblW w:w="15312" w:type="dxa"/>
        <w:tblInd w:w="0" w:type="dxa"/>
        <w:tblLayout w:type="fixed"/>
        <w:tblCellMar>
          <w:top w:w="0" w:type="dxa"/>
          <w:left w:w="0" w:type="dxa"/>
          <w:bottom w:w="0" w:type="dxa"/>
          <w:right w:w="0" w:type="dxa"/>
        </w:tblCellMar>
      </w:tblPr>
      <w:tblGrid>
        <w:gridCol w:w="4294"/>
        <w:gridCol w:w="3558"/>
        <w:gridCol w:w="4044"/>
        <w:gridCol w:w="3416"/>
      </w:tblGrid>
      <w:tr>
        <w:tblPrEx>
          <w:tblCellMar>
            <w:top w:w="0" w:type="dxa"/>
            <w:left w:w="0" w:type="dxa"/>
            <w:bottom w:w="0" w:type="dxa"/>
            <w:right w:w="0" w:type="dxa"/>
          </w:tblCellMar>
        </w:tblPrEx>
        <w:trPr>
          <w:trHeight w:val="232" w:hRule="atLeast"/>
        </w:trPr>
        <w:tc>
          <w:tcPr>
            <w:tcW w:w="15312"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val="0"/>
                <w:bCs/>
                <w:color w:val="000000"/>
                <w:sz w:val="32"/>
                <w:szCs w:val="32"/>
              </w:rPr>
            </w:pPr>
            <w:r>
              <w:rPr>
                <w:rFonts w:hint="eastAsia" w:ascii="方正小标宋_GBK" w:hAnsi="方正小标宋_GBK" w:eastAsia="方正小标宋_GBK" w:cs="方正小标宋_GBK"/>
                <w:b w:val="0"/>
                <w:bCs/>
                <w:color w:val="000000"/>
                <w:sz w:val="30"/>
                <w:szCs w:val="30"/>
              </w:rPr>
              <w:t>收入支出决算总表</w:t>
            </w:r>
          </w:p>
        </w:tc>
      </w:tr>
      <w:tr>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341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公开01表</w:t>
            </w:r>
          </w:p>
        </w:tc>
      </w:tr>
      <w:tr>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2"/>
                <w:szCs w:val="22"/>
              </w:rPr>
            </w:pPr>
            <w:r>
              <w:rPr>
                <w:rFonts w:hint="eastAsia" w:ascii="Times New Roman" w:hAnsi="Times New Roman" w:eastAsia="方正仿宋_GBK" w:cs="方正仿宋_GBK"/>
                <w:b w:val="0"/>
                <w:bCs/>
                <w:sz w:val="20"/>
                <w:szCs w:val="20"/>
              </w:rPr>
              <w:t>单位：</w:t>
            </w:r>
            <w:r>
              <w:rPr>
                <w:rFonts w:hint="eastAsia" w:ascii="Times New Roman" w:hAnsi="Times New Roman" w:eastAsia="方正仿宋_GBK" w:cs="方正仿宋_GBK"/>
                <w:b w:val="0"/>
                <w:bCs/>
                <w:sz w:val="20"/>
              </w:rPr>
              <w:t>蔈草镇政府机关</w:t>
            </w:r>
          </w:p>
        </w:tc>
        <w:tc>
          <w:tcPr>
            <w:tcW w:w="4044"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2"/>
                <w:szCs w:val="22"/>
              </w:rPr>
            </w:pPr>
          </w:p>
        </w:tc>
        <w:tc>
          <w:tcPr>
            <w:tcW w:w="341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单位：</w:t>
            </w:r>
            <w:r>
              <w:rPr>
                <w:rFonts w:hint="eastAsia" w:ascii="Times New Roman" w:hAnsi="Times New Roman" w:eastAsia="方正仿宋_GBK" w:cs="方正仿宋_GBK"/>
                <w:b w:val="0"/>
                <w:bCs/>
                <w:sz w:val="20"/>
                <w:szCs w:val="20"/>
              </w:rPr>
              <w:t>万元</w:t>
            </w:r>
          </w:p>
        </w:tc>
      </w:tr>
      <w:tr>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收入</w:t>
            </w:r>
          </w:p>
        </w:tc>
        <w:tc>
          <w:tcPr>
            <w:tcW w:w="7460"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支出</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功能分类科目</w:t>
            </w:r>
          </w:p>
        </w:tc>
        <w:tc>
          <w:tcPr>
            <w:tcW w:w="34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决算数</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2,445.02</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一、一般公共服务支出</w:t>
            </w:r>
          </w:p>
        </w:tc>
        <w:tc>
          <w:tcPr>
            <w:tcW w:w="34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591.23</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55.79</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二、外交支出</w:t>
            </w:r>
          </w:p>
        </w:tc>
        <w:tc>
          <w:tcPr>
            <w:tcW w:w="34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三、国防支出</w:t>
            </w:r>
          </w:p>
        </w:tc>
        <w:tc>
          <w:tcPr>
            <w:tcW w:w="34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四、公共安全支出</w:t>
            </w:r>
          </w:p>
        </w:tc>
        <w:tc>
          <w:tcPr>
            <w:tcW w:w="34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1.70</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五、教育支出</w:t>
            </w:r>
          </w:p>
        </w:tc>
        <w:tc>
          <w:tcPr>
            <w:tcW w:w="34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六、科学技术支出</w:t>
            </w:r>
          </w:p>
        </w:tc>
        <w:tc>
          <w:tcPr>
            <w:tcW w:w="34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七、文化旅游体育与传媒支出</w:t>
            </w:r>
          </w:p>
        </w:tc>
        <w:tc>
          <w:tcPr>
            <w:tcW w:w="34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7.78</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八、社会保障和就业支出</w:t>
            </w:r>
          </w:p>
        </w:tc>
        <w:tc>
          <w:tcPr>
            <w:tcW w:w="34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1,001.04</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九、卫生健康支出</w:t>
            </w:r>
          </w:p>
        </w:tc>
        <w:tc>
          <w:tcPr>
            <w:tcW w:w="34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32.03</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十、节能环保支出</w:t>
            </w:r>
          </w:p>
        </w:tc>
        <w:tc>
          <w:tcPr>
            <w:tcW w:w="34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195.30</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十一、城乡社区支出</w:t>
            </w:r>
          </w:p>
        </w:tc>
        <w:tc>
          <w:tcPr>
            <w:tcW w:w="34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53.86</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十二、农林水支出</w:t>
            </w:r>
          </w:p>
        </w:tc>
        <w:tc>
          <w:tcPr>
            <w:tcW w:w="34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397.16</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十三、交通运输支出</w:t>
            </w:r>
          </w:p>
        </w:tc>
        <w:tc>
          <w:tcPr>
            <w:tcW w:w="34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117.68</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十四、资源勘探工业信息等支出</w:t>
            </w:r>
          </w:p>
        </w:tc>
        <w:tc>
          <w:tcPr>
            <w:tcW w:w="34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十五、商业服务业等支出</w:t>
            </w:r>
          </w:p>
        </w:tc>
        <w:tc>
          <w:tcPr>
            <w:tcW w:w="34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十六、金融支出</w:t>
            </w:r>
          </w:p>
        </w:tc>
        <w:tc>
          <w:tcPr>
            <w:tcW w:w="34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十七、援助其他地区支出</w:t>
            </w:r>
          </w:p>
        </w:tc>
        <w:tc>
          <w:tcPr>
            <w:tcW w:w="34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十八、自然资源海洋气象等支出</w:t>
            </w:r>
          </w:p>
        </w:tc>
        <w:tc>
          <w:tcPr>
            <w:tcW w:w="34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22.75</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十九、住房保障支出</w:t>
            </w:r>
          </w:p>
        </w:tc>
        <w:tc>
          <w:tcPr>
            <w:tcW w:w="34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43.21</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二十、粮油物资储备支出</w:t>
            </w:r>
          </w:p>
        </w:tc>
        <w:tc>
          <w:tcPr>
            <w:tcW w:w="34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二十一、国有资本经营预算支出</w:t>
            </w:r>
          </w:p>
        </w:tc>
        <w:tc>
          <w:tcPr>
            <w:tcW w:w="34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二十二、灾害防治及应急管理支出</w:t>
            </w:r>
          </w:p>
        </w:tc>
        <w:tc>
          <w:tcPr>
            <w:tcW w:w="34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16.55</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二十三、其他支出</w:t>
            </w:r>
          </w:p>
        </w:tc>
        <w:tc>
          <w:tcPr>
            <w:tcW w:w="34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20.53</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二十四、债务还本支出</w:t>
            </w:r>
          </w:p>
        </w:tc>
        <w:tc>
          <w:tcPr>
            <w:tcW w:w="34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二十五、债务付息支出</w:t>
            </w:r>
          </w:p>
        </w:tc>
        <w:tc>
          <w:tcPr>
            <w:tcW w:w="34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二十六、抗疫特别国债安排的支出</w:t>
            </w:r>
          </w:p>
        </w:tc>
        <w:tc>
          <w:tcPr>
            <w:tcW w:w="34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2,500.81</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本年支出合计</w:t>
            </w:r>
          </w:p>
        </w:tc>
        <w:tc>
          <w:tcPr>
            <w:tcW w:w="34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2,500.81</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结余分配</w:t>
            </w:r>
          </w:p>
        </w:tc>
        <w:tc>
          <w:tcPr>
            <w:tcW w:w="34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年末结转和结余</w:t>
            </w:r>
          </w:p>
        </w:tc>
        <w:tc>
          <w:tcPr>
            <w:tcW w:w="3416"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2,500.81</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总计</w:t>
            </w:r>
          </w:p>
        </w:tc>
        <w:tc>
          <w:tcPr>
            <w:tcW w:w="3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2,500.81</w:t>
            </w:r>
          </w:p>
        </w:tc>
      </w:tr>
    </w:tbl>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sz w:val="21"/>
          <w:szCs w:val="21"/>
        </w:rPr>
      </w:pPr>
    </w:p>
    <w:p>
      <w:pPr>
        <w:keepNext w:val="0"/>
        <w:keepLines w:val="0"/>
        <w:pageBreakBefore w:val="0"/>
        <w:widowControl/>
        <w:kinsoku/>
        <w:wordWrap/>
        <w:overflowPunct/>
        <w:topLinePunct w:val="0"/>
        <w:autoSpaceDE/>
        <w:autoSpaceDN/>
        <w:bidi w:val="0"/>
        <w:adjustRightInd/>
        <w:snapToGrid/>
        <w:spacing w:line="240" w:lineRule="auto"/>
        <w:jc w:val="left"/>
        <w:rPr>
          <w:rFonts w:hint="eastAsia" w:ascii="Times New Roman" w:hAnsi="Times New Roman" w:eastAsia="方正仿宋_GBK" w:cs="方正仿宋_GBK"/>
          <w:sz w:val="20"/>
          <w:szCs w:val="20"/>
        </w:rPr>
      </w:pPr>
      <w:r>
        <w:rPr>
          <w:rFonts w:hint="eastAsia" w:ascii="Times New Roman" w:hAnsi="Times New Roman" w:eastAsia="方正仿宋_GBK" w:cs="方正仿宋_GBK"/>
          <w:sz w:val="20"/>
          <w:szCs w:val="20"/>
        </w:rPr>
        <w:t>备注：1.本表反映单位本年度的总收支和年末结转结余情况。</w:t>
      </w:r>
      <w:r>
        <w:rPr>
          <w:rFonts w:hint="eastAsia" w:ascii="Times New Roman" w:hAnsi="Times New Roman" w:eastAsia="方正仿宋_GBK" w:cs="方正仿宋_GBK"/>
          <w:sz w:val="20"/>
          <w:szCs w:val="20"/>
        </w:rPr>
        <w:br w:type="textWrapping"/>
      </w:r>
      <w:r>
        <w:rPr>
          <w:rFonts w:hint="eastAsia" w:ascii="Times New Roman" w:hAnsi="Times New Roman" w:eastAsia="方正仿宋_GBK" w:cs="方正仿宋_GBK"/>
          <w:sz w:val="20"/>
          <w:szCs w:val="20"/>
        </w:rPr>
        <w:t xml:space="preserve">      2.本套报表金额单位转换时可能存在尾数误差。</w:t>
      </w:r>
      <w:r>
        <w:rPr>
          <w:rFonts w:hint="eastAsia" w:ascii="Times New Roman" w:hAnsi="Times New Roman" w:eastAsia="方正仿宋_GBK" w:cs="方正仿宋_GBK"/>
          <w:sz w:val="20"/>
          <w:szCs w:val="20"/>
        </w:rPr>
        <w:br w:type="textWrapping"/>
      </w:r>
    </w:p>
    <w:p>
      <w:pPr>
        <w:rPr>
          <w:rFonts w:hint="eastAsia" w:ascii="Times New Roman" w:hAnsi="Times New Roman" w:eastAsia="方正仿宋_GBK" w:cs="方正仿宋_GBK"/>
          <w:sz w:val="20"/>
          <w:szCs w:val="20"/>
        </w:rPr>
      </w:pPr>
      <w:r>
        <w:rPr>
          <w:rFonts w:hint="eastAsia" w:ascii="Times New Roman" w:hAnsi="Times New Roman" w:eastAsia="方正仿宋_GBK" w:cs="方正仿宋_GBK"/>
          <w:sz w:val="20"/>
          <w:szCs w:val="20"/>
        </w:rPr>
        <w:br w:type="page"/>
      </w:r>
    </w:p>
    <w:tbl>
      <w:tblPr>
        <w:tblStyle w:val="8"/>
        <w:tblW w:w="15320"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139"/>
      </w:tblGrid>
      <w:tr>
        <w:tblPrEx>
          <w:tblCellMar>
            <w:top w:w="0" w:type="dxa"/>
            <w:left w:w="0" w:type="dxa"/>
            <w:bottom w:w="0" w:type="dxa"/>
            <w:right w:w="0" w:type="dxa"/>
          </w:tblCellMar>
        </w:tblPrEx>
        <w:trPr>
          <w:trHeight w:val="641" w:hRule="atLeast"/>
        </w:trPr>
        <w:tc>
          <w:tcPr>
            <w:tcW w:w="15320" w:type="dxa"/>
            <w:gridSpan w:val="10"/>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color w:val="000000"/>
                <w:sz w:val="32"/>
                <w:szCs w:val="32"/>
              </w:rPr>
            </w:pPr>
            <w:r>
              <w:rPr>
                <w:rFonts w:hint="eastAsia" w:ascii="方正小标宋_GBK" w:hAnsi="方正小标宋_GBK" w:eastAsia="方正小标宋_GBK" w:cs="方正小标宋_GBK"/>
                <w:b w:val="0"/>
                <w:bCs/>
                <w:color w:val="000000"/>
                <w:sz w:val="32"/>
                <w:szCs w:val="32"/>
              </w:rPr>
              <w:t>收入决算表</w:t>
            </w:r>
          </w:p>
        </w:tc>
      </w:tr>
      <w:tr>
        <w:tblPrEx>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sz w:val="20"/>
                <w:szCs w:val="20"/>
              </w:rPr>
              <w:t>单位：</w:t>
            </w:r>
            <w:r>
              <w:rPr>
                <w:rFonts w:hint="eastAsia" w:ascii="Times New Roman" w:hAnsi="Times New Roman" w:eastAsia="方正仿宋_GBK" w:cs="方正仿宋_GBK"/>
                <w:b w:val="0"/>
                <w:bCs/>
                <w:sz w:val="20"/>
              </w:rPr>
              <w:t>蔈草镇政府机关</w:t>
            </w:r>
          </w:p>
        </w:tc>
        <w:tc>
          <w:tcPr>
            <w:tcW w:w="145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13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公开02表</w:t>
            </w:r>
          </w:p>
        </w:tc>
      </w:tr>
      <w:tr>
        <w:tblPrEx>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45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13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单位：</w:t>
            </w:r>
            <w:r>
              <w:rPr>
                <w:rFonts w:hint="eastAsia" w:ascii="Times New Roman" w:hAnsi="Times New Roman" w:eastAsia="方正仿宋_GBK" w:cs="方正仿宋_GBK"/>
                <w:b w:val="0"/>
                <w:bCs/>
                <w:sz w:val="20"/>
                <w:szCs w:val="20"/>
              </w:rPr>
              <w:t>万元</w:t>
            </w:r>
          </w:p>
        </w:tc>
      </w:tr>
      <w:tr>
        <w:tblPrEx>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附属单位上缴收入</w:t>
            </w:r>
          </w:p>
        </w:tc>
        <w:tc>
          <w:tcPr>
            <w:tcW w:w="11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其他收入</w:t>
            </w:r>
          </w:p>
        </w:tc>
      </w:tr>
      <w:tr>
        <w:tblPrEx>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功能分类科目编码</w:t>
            </w:r>
          </w:p>
        </w:tc>
        <w:tc>
          <w:tcPr>
            <w:tcW w:w="2919"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合计</w:t>
            </w:r>
          </w:p>
        </w:tc>
        <w:tc>
          <w:tcPr>
            <w:tcW w:w="15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2,500.81</w:t>
            </w:r>
          </w:p>
        </w:tc>
        <w:tc>
          <w:tcPr>
            <w:tcW w:w="14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2,500.81</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一般公共服务支出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591.23</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591.23</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20101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人大事务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1.57</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1.57</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2010108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代表工作</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1.57</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1.57</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20103</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政府办公厅（室）及相关机构事务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559.26</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559.26</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2010301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行政运行</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516.23</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516.23</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2010399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其他政府办公厅（室）及相关机构事务支出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43.03</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43.03</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20113</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商贸事务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3.45</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3.45</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2011308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招商引资</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3.45</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3.45</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20132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组织事务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19.76</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19.76</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2013299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其他组织事务支出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19.76</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19.76</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20140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信访事务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7.19</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7.19</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2014004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信访业务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7.19</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7.19</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公共安全支出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1.70</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1.70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20402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公安</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1.70</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1.70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2040221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特别业务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1.70</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1.70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207</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文化旅游体育与传媒支出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7.78</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7.78</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20701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文化和旅游</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7.78</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7.78</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2070199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其他文化和旅游支出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7.78</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7.78</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1,001.04</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1,001.04</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民政管理事务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87.75</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87.75</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2080208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基层政权建设和社区治理</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87.75</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87.75</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109.67</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109.67</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2080505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50.29</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50.29</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2080506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39.76</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39.76</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2080599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其他行政事业单位养老支出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19.62</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19.62</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抚恤</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5.00</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5.00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2080899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其他优抚支出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5.00</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5.00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20810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社会福利</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41.46</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41.46</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2081001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儿童福利</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9.14</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9.14</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2081002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老年福利</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26.66</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26.66</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2081006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养老服务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5.66</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5.66</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20811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残疾人事业</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31.65</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31.65</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2081107</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残疾人生活和护理补贴</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29.51</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29.51</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2081199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其他残疾人事业支出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2.14</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2.14</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20819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最低生活保障</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465.04</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465.04</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2081901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城市最低生活保障金支出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11.46</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11.46</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2081902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农村最低生活保障金支出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453.59</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453.59</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20820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临时救助</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18.25</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18.25</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2082001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临时救助支出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18.25</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18.25</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20821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特困人员救助供养</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206.14</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206.14</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2082102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农村特困人员救助供养支出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206.14</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206.14</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20825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其他生活救助</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36.08</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36.08</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2082502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其他农村生活救助</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36.08</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36.08</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32.03</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32.03</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21004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公共卫生</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1.25</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1.25</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2100410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突发公共卫生事件应急处置</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1.25</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1.25</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21011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30.78</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30.78</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2101101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行政单位医疗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30.78</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30.78</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节能环保支出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195.30</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195.30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21103</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污染防治</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7.77</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7.77</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2110302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水体</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7.77</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7.77</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21104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自然生态保护</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187.53</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187.53</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2110401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生态保护</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75.77</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75.77</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2110402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农村环境保护</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111.76</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111.76</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城乡社区支出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53.86</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53.86</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21205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城乡社区环境卫生</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20.80</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2120501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城乡社区环境卫生</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20.80</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21208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国有土地使用权出让收入安排的支出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16.50</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16.50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2120899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其他国有土地使用权出让收入安排的支出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16.50</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16.50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21213</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城市基础设施配套费安排的支出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7.34</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7.34</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2121399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其他城市基础设施配套费安排的支出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7.34</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7.34</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21214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污水处理费安排的支出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9.22</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9.22</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2121401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污水处理设施建设和运营</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8.52</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8.52</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2121499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其他污水处理费安排的支出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0.70</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0.70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213</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农林水支出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397.16</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397.16</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21301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农业农村</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15.14</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15.14</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2130106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科技转化与推广服务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12.79</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12.79</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2130124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农村合作经济</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2.35</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2.35</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21302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林业和草原</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14.37</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14.37</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2130234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林业草原防灾减灾</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14.37</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14.37</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21305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巩固脱贫攻坚成果衔接乡村振兴</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172.01</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172.01</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2130504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农村基础设施建设</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53.06</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53.06</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2130505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生产发展</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118.95</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118.95</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21307</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农村综合改革</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193.44</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193.44</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2130705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对村民委员会和村党支部的补助</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176.40</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176.40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2130799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其他农村综合改革支出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17.04</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17.04</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21369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国家重大水利工程建设基金安排的支出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2.20</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2136902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三峡后续工作</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2.20</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交通运输支出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117.68</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117.68</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21401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公路水路运输</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117.68</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117.68</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2140104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公路建设</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117.68</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117.68</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自然资源海洋气象等支出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22.75</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22.75</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22001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自然资源事务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22.75</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22.75</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2200199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其他自然资源事务支出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22.75</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22.75</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住房保障支出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43.21</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43.21</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22101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保障性安居工程支出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2.85</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2.85</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2210105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农村危房改造</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2.85</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2.85</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住房改革支出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40.36</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40.36</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2210201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40.36</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40.36</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灾害防治及应急管理支出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16.55</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16.55</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22401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应急管理事务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6.65</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6.65</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2240199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其他应急管理支出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6.65</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6.65</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22402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消防救援事务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6.90</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6.90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2240299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其他消防救援事务支出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6.90</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6.90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22406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自然灾害防治</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3.00</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2240601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地质灾害防治</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3.00</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其他支出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20.53</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20.53</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22960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彩票公益金安排的支出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20.53</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20.53</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2296002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用于社会福利的彩票公益金支出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20.53</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20.53</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bl>
    <w:p>
      <w:pPr>
        <w:keepNext w:val="0"/>
        <w:keepLines w:val="0"/>
        <w:pageBreakBefore w:val="0"/>
        <w:widowControl/>
        <w:kinsoku/>
        <w:wordWrap/>
        <w:overflowPunct/>
        <w:topLinePunct w:val="0"/>
        <w:autoSpaceDE/>
        <w:autoSpaceDN/>
        <w:bidi w:val="0"/>
        <w:adjustRightInd/>
        <w:snapToGrid/>
        <w:spacing w:line="240" w:lineRule="auto"/>
        <w:ind w:left="600" w:hanging="600" w:hangingChars="300"/>
        <w:jc w:val="left"/>
        <w:rPr>
          <w:rFonts w:hint="eastAsia" w:ascii="Times New Roman" w:hAnsi="Times New Roman" w:eastAsia="方正仿宋_GBK" w:cs="方正仿宋_GBK"/>
          <w:sz w:val="20"/>
          <w:szCs w:val="20"/>
        </w:rPr>
      </w:pPr>
      <w:r>
        <w:rPr>
          <w:rFonts w:hint="eastAsia" w:ascii="Times New Roman" w:hAnsi="Times New Roman" w:eastAsia="方正仿宋_GBK" w:cs="方正仿宋_GBK"/>
          <w:b w:val="0"/>
          <w:bCs/>
          <w:sz w:val="20"/>
          <w:szCs w:val="20"/>
        </w:rPr>
        <w:t>备注：1.本表反映单位本年度取得的各项收入情况。</w:t>
      </w:r>
      <w:r>
        <w:rPr>
          <w:rFonts w:hint="eastAsia" w:ascii="Times New Roman" w:hAnsi="Times New Roman" w:eastAsia="方正仿宋_GBK" w:cs="方正仿宋_GBK"/>
          <w:b w:val="0"/>
          <w:bCs/>
          <w:sz w:val="20"/>
          <w:szCs w:val="20"/>
        </w:rPr>
        <w:br w:type="textWrapping"/>
      </w:r>
      <w:r>
        <w:rPr>
          <w:rFonts w:hint="eastAsia" w:ascii="Times New Roman" w:hAnsi="Times New Roman" w:eastAsia="方正仿宋_GBK" w:cs="方正仿宋_GBK"/>
          <w:b w:val="0"/>
          <w:bCs/>
          <w:sz w:val="20"/>
          <w:szCs w:val="20"/>
        </w:rPr>
        <w:t>2.本套报表金额单位转换时可能存在尾数误差。</w:t>
      </w:r>
      <w:r>
        <w:rPr>
          <w:rFonts w:hint="eastAsia" w:ascii="Times New Roman" w:hAnsi="Times New Roman" w:eastAsia="方正仿宋_GBK" w:cs="方正仿宋_GBK"/>
          <w:sz w:val="20"/>
          <w:szCs w:val="20"/>
        </w:rPr>
        <w:br w:type="textWrapping"/>
      </w:r>
      <w:r>
        <w:rPr>
          <w:rFonts w:hint="eastAsia" w:ascii="Times New Roman" w:hAnsi="Times New Roman" w:eastAsia="方正仿宋_GBK" w:cs="方正仿宋_GBK"/>
          <w:sz w:val="20"/>
          <w:szCs w:val="20"/>
        </w:rPr>
        <w:br w:type="textWrapping"/>
      </w:r>
    </w:p>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sz w:val="20"/>
          <w:szCs w:val="20"/>
        </w:rPr>
      </w:pPr>
      <w:r>
        <w:rPr>
          <w:rFonts w:hint="eastAsia" w:ascii="Times New Roman" w:hAnsi="Times New Roman" w:eastAsia="方正仿宋_GBK" w:cs="方正仿宋_GBK"/>
          <w:sz w:val="20"/>
          <w:szCs w:val="20"/>
        </w:rPr>
        <w:br w:type="page"/>
      </w:r>
    </w:p>
    <w:tbl>
      <w:tblPr>
        <w:tblStyle w:val="8"/>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color w:val="000000"/>
                <w:sz w:val="32"/>
                <w:szCs w:val="32"/>
              </w:rPr>
            </w:pPr>
            <w:r>
              <w:rPr>
                <w:rFonts w:hint="eastAsia" w:ascii="方正小标宋_GBK" w:hAnsi="方正小标宋_GBK" w:eastAsia="方正小标宋_GBK" w:cs="方正小标宋_GBK"/>
                <w:b/>
                <w:color w:val="000000"/>
                <w:sz w:val="32"/>
                <w:szCs w:val="32"/>
              </w:rPr>
              <w:t>支出决算表</w:t>
            </w:r>
          </w:p>
        </w:tc>
      </w:tr>
      <w:tr>
        <w:tblPrEx>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sz w:val="20"/>
                <w:szCs w:val="20"/>
              </w:rPr>
              <w:t>单位</w:t>
            </w:r>
            <w:r>
              <w:rPr>
                <w:rFonts w:hint="eastAsia" w:ascii="Times New Roman" w:hAnsi="Times New Roman" w:eastAsia="方正仿宋_GBK" w:cs="方正仿宋_GBK"/>
                <w:color w:val="000000"/>
                <w:sz w:val="20"/>
                <w:szCs w:val="20"/>
              </w:rPr>
              <w:t>：</w:t>
            </w:r>
            <w:r>
              <w:rPr>
                <w:rFonts w:hint="eastAsia" w:ascii="Times New Roman" w:hAnsi="Times New Roman" w:eastAsia="方正仿宋_GBK" w:cs="方正仿宋_GBK"/>
                <w:color w:val="000000"/>
                <w:sz w:val="20"/>
              </w:rPr>
              <w:t>蔈草镇政府机关</w:t>
            </w:r>
          </w:p>
        </w:tc>
        <w:tc>
          <w:tcPr>
            <w:tcW w:w="1765"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公开03表</w:t>
            </w:r>
          </w:p>
        </w:tc>
      </w:tr>
      <w:tr>
        <w:tblPrEx>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单位：</w:t>
            </w:r>
            <w:r>
              <w:rPr>
                <w:rFonts w:hint="eastAsia" w:ascii="Times New Roman" w:hAnsi="Times New Roman" w:eastAsia="方正仿宋_GBK" w:cs="方正仿宋_GBK"/>
                <w:sz w:val="20"/>
                <w:szCs w:val="20"/>
              </w:rPr>
              <w:t>万元</w:t>
            </w:r>
          </w:p>
        </w:tc>
      </w:tr>
      <w:tr>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对附属单位补助支出</w:t>
            </w:r>
          </w:p>
        </w:tc>
      </w:tr>
      <w:tr>
        <w:tblPrEx>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功能分类科目编码</w:t>
            </w:r>
          </w:p>
        </w:tc>
        <w:tc>
          <w:tcPr>
            <w:tcW w:w="360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合计</w:t>
            </w:r>
          </w:p>
        </w:tc>
        <w:tc>
          <w:tcPr>
            <w:tcW w:w="1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2,500.81</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697.04</w:t>
            </w:r>
          </w:p>
        </w:tc>
        <w:tc>
          <w:tcPr>
            <w:tcW w:w="16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1,803.78</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一般公共服务支出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591.23</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516.23</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75.00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20101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人大事务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1.57</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1.57</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2010108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代表工作</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1.57</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1.57</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20103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政府办公厅（室）及相关机构事务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559.26</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516.23</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43.03</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2010301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行政运行</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516.23</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516.23</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2010399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其他政府办公厅（室）及相关机构事务支出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43.03</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43.03</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20113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商贸事务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3.45</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3.45</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2011308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招商引资</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3.45</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3.45</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20132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组织事务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19.76</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19.76</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2013299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其他组织事务支出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19.76</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19.76</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20140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信访事务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7.19</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7.19</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2014004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信访业务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7.19</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7.19</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公共安全支出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1.70</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1.70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20402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公安</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1.70</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1.70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2040221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特别业务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1.70</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1.70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207</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文化旅游体育与传媒支出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7.78</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7.78</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20701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文化和旅游</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7.78</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7.78</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2070199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其他文化和旅游支出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7.78</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7.78</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1,001.04</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109.67</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891.37</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民政管理事务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87.75</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87.75</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2080208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基层政权建设和社区治理</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87.75</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87.75</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109.67</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109.67</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2080505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50.29</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50.29</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2080506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39.76</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39.76</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2080599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其他行政事业单位养老支出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19.62</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19.62</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抚恤</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5.00</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5.00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2080899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其他优抚支出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5.00</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5.00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20810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社会福利</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41.46</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41.46</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2081001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儿童福利</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9.14</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9.14</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2081002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老年福利</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26.66</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26.66</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2081006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养老服务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5.66</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5.66</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20811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残疾人事业</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31.65</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31.65</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2081107</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残疾人生活和护理补贴</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29.51</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29.51</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2081199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其他残疾人事业支出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2.14</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2.14</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20819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最低生活保障</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465.04</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465.04</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2081901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城市最低生活保障金支出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11.46</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11.46</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2081902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农村最低生活保障金支出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453.59</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453.59</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20820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临时救助</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18.25</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18.25</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2082001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临时救助支出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18.25</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18.25</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20821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特困人员救助供养</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206.14</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206.14</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2082102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农村特困人员救助供养支出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206.14</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206.14</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20825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其他生活救助</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36.08</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36.08</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2082502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其他农村生活救助</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36.08</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36.08</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32.03</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30.78</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1.25</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21004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公共卫生</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1.25</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1.25</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2100410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突发公共卫生事件应急处置</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1.25</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1.25</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21011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30.78</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30.78</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2101101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行政单位医疗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30.78</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30.78</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节能环保支出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195.30</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195.30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21103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污染防治</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7.77</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7.77</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2110302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水体</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7.77</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7.77</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21104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自然生态保护</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187.53</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187.53</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2110401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生态保护</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75.77</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75.77</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2110402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农村环境保护</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111.76</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111.76</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城乡社区支出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53.86</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53.86</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21205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城乡社区环境卫生</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20.80</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2120501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城乡社区环境卫生</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20.80</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21208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国有土地使用权出让收入安排的支出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16.50</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16.50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2120899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其他国有土地使用权出让收入安排的支出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16.50</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16.50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21213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城市基础设施配套费安排的支出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7.34</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7.34</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2121399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其他城市基础设施配套费安排的支出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7.34</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7.34</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21214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污水处理费安排的支出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9.22</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9.22</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2121401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污水处理设施建设和运营</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8.52</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8.52</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2121499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其他污水处理费安排的支出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0.70</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0.70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农林水支出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397.16</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397.16</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21301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农业农村</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15.14</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15.14</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2130106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科技转化与推广服务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12.79</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12.79</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2130124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农村合作经济</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2.35</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2.35</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21302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林业和草原</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14.37</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14.37</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2130234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林业草原防灾减灾</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14.37</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14.37</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21305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巩固脱贫攻坚成果衔接乡村振兴</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172.01</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172.01</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2130504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农村基础设施建设</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53.06</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53.06</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2130505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生产发展</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118.95</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118.95</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21307</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农村综合改革</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193.44</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193.44</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2130705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对村民委员会和村党支部的补助</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176.40</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176.40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2130799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其他农村综合改革支出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17.04</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17.04</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21369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国家重大水利工程建设基金安排的支出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2.20</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2136902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三峡后续工作</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2.20</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交通运输支出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117.68</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117.68</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21401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公路水路运输</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117.68</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117.68</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2140104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公路建设</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117.68</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117.68</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自然资源海洋气象等支出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22.75</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22.75</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22001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自然资源事务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22.75</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22.75</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2200199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其他自然资源事务支出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22.75</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22.75</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43.21</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40.36</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2.85</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22101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保障性安居工程支出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2.85</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2.85</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2210105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农村危房改造</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2.85</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2.85</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40.36</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40.36</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2210201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40.36</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40.36</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灾害防治及应急管理支出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16.55</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16.55</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22401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应急管理事务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6.65</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6.65</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2240199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其他应急管理支出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6.65</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6.65</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22402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消防救援事务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6.90</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6.90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2240299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其他消防救援事务支出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6.90</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6.90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22406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自然灾害防治</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3.00</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3.00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2240601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地质灾害防治</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3.00</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3.00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其他支出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20.53</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20.53</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22960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彩票公益金安排的支出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20.53</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20.53</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2296002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用于社会福利的彩票公益金支出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20.53</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20.53</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bl>
    <w:p>
      <w:pPr>
        <w:keepNext w:val="0"/>
        <w:keepLines w:val="0"/>
        <w:pageBreakBefore w:val="0"/>
        <w:widowControl/>
        <w:kinsoku/>
        <w:wordWrap/>
        <w:overflowPunct/>
        <w:topLinePunct w:val="0"/>
        <w:autoSpaceDE/>
        <w:autoSpaceDN/>
        <w:bidi w:val="0"/>
        <w:adjustRightInd/>
        <w:snapToGrid/>
        <w:spacing w:line="240" w:lineRule="auto"/>
        <w:jc w:val="left"/>
        <w:rPr>
          <w:rFonts w:hint="eastAsia" w:ascii="Times New Roman" w:hAnsi="Times New Roman" w:eastAsia="方正仿宋_GBK" w:cs="方正仿宋_GBK"/>
          <w:sz w:val="20"/>
          <w:szCs w:val="20"/>
        </w:rPr>
      </w:pPr>
      <w:r>
        <w:rPr>
          <w:rFonts w:hint="eastAsia" w:ascii="Times New Roman" w:hAnsi="Times New Roman" w:eastAsia="方正仿宋_GBK" w:cs="方正仿宋_GBK"/>
          <w:b w:val="0"/>
          <w:bCs/>
          <w:sz w:val="20"/>
          <w:szCs w:val="20"/>
        </w:rPr>
        <w:t>备注：1.本表反映单位本年度各项支出情况。</w:t>
      </w:r>
      <w:r>
        <w:rPr>
          <w:rFonts w:hint="eastAsia" w:ascii="Times New Roman" w:hAnsi="Times New Roman" w:eastAsia="方正仿宋_GBK" w:cs="方正仿宋_GBK"/>
          <w:b w:val="0"/>
          <w:bCs/>
          <w:sz w:val="20"/>
          <w:szCs w:val="20"/>
        </w:rPr>
        <w:br w:type="textWrapping"/>
      </w:r>
      <w:r>
        <w:rPr>
          <w:rFonts w:hint="eastAsia" w:ascii="Times New Roman" w:hAnsi="Times New Roman" w:eastAsia="方正仿宋_GBK" w:cs="方正仿宋_GBK"/>
          <w:b w:val="0"/>
          <w:bCs/>
          <w:sz w:val="20"/>
          <w:szCs w:val="20"/>
        </w:rPr>
        <w:t xml:space="preserve">      2.本套报表金额单位转换时可能存在尾数误差。</w:t>
      </w:r>
      <w:r>
        <w:rPr>
          <w:rFonts w:hint="eastAsia" w:ascii="Times New Roman" w:hAnsi="Times New Roman" w:eastAsia="方正仿宋_GBK" w:cs="方正仿宋_GBK"/>
          <w:sz w:val="20"/>
          <w:szCs w:val="20"/>
        </w:rPr>
        <w:br w:type="textWrapping"/>
      </w:r>
      <w:r>
        <w:rPr>
          <w:rFonts w:hint="eastAsia" w:ascii="Times New Roman" w:hAnsi="Times New Roman" w:eastAsia="方正仿宋_GBK" w:cs="方正仿宋_GBK"/>
          <w:sz w:val="20"/>
          <w:szCs w:val="20"/>
        </w:rPr>
        <w:br w:type="textWrapping"/>
      </w:r>
    </w:p>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br w:type="page"/>
      </w:r>
    </w:p>
    <w:tbl>
      <w:tblPr>
        <w:tblStyle w:val="8"/>
        <w:tblW w:w="15320" w:type="dxa"/>
        <w:tblInd w:w="0" w:type="dxa"/>
        <w:tblLayout w:type="fixed"/>
        <w:tblCellMar>
          <w:top w:w="0" w:type="dxa"/>
          <w:left w:w="0" w:type="dxa"/>
          <w:bottom w:w="0" w:type="dxa"/>
          <w:right w:w="0" w:type="dxa"/>
        </w:tblCellMar>
      </w:tblPr>
      <w:tblGrid>
        <w:gridCol w:w="2967"/>
        <w:gridCol w:w="1521"/>
        <w:gridCol w:w="3179"/>
        <w:gridCol w:w="1694"/>
        <w:gridCol w:w="1694"/>
        <w:gridCol w:w="1694"/>
        <w:gridCol w:w="2571"/>
      </w:tblGrid>
      <w:tr>
        <w:tblPrEx>
          <w:tblCellMar>
            <w:top w:w="0" w:type="dxa"/>
            <w:left w:w="0" w:type="dxa"/>
            <w:bottom w:w="0" w:type="dxa"/>
            <w:right w:w="0" w:type="dxa"/>
          </w:tblCellMar>
        </w:tblPrEx>
        <w:trPr>
          <w:trHeight w:val="90" w:hRule="atLeast"/>
        </w:trPr>
        <w:tc>
          <w:tcPr>
            <w:tcW w:w="15320" w:type="dxa"/>
            <w:gridSpan w:val="7"/>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color w:val="000000"/>
                <w:sz w:val="32"/>
                <w:szCs w:val="32"/>
              </w:rPr>
            </w:pPr>
            <w:r>
              <w:rPr>
                <w:rFonts w:hint="eastAsia" w:ascii="方正小标宋_GBK" w:hAnsi="方正小标宋_GBK" w:eastAsia="方正小标宋_GBK" w:cs="方正小标宋_GBK"/>
                <w:b w:val="0"/>
                <w:bCs/>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sz w:val="20"/>
                <w:szCs w:val="20"/>
              </w:rPr>
              <w:t>单位</w:t>
            </w:r>
            <w:r>
              <w:rPr>
                <w:rFonts w:hint="eastAsia" w:ascii="Times New Roman" w:hAnsi="Times New Roman" w:eastAsia="方正仿宋_GBK" w:cs="方正仿宋_GBK"/>
                <w:b w:val="0"/>
                <w:bCs/>
                <w:color w:val="000000"/>
                <w:sz w:val="20"/>
                <w:szCs w:val="20"/>
              </w:rPr>
              <w:t>：</w:t>
            </w:r>
            <w:r>
              <w:rPr>
                <w:rFonts w:hint="eastAsia" w:ascii="Times New Roman" w:hAnsi="Times New Roman" w:eastAsia="方正仿宋_GBK" w:cs="方正仿宋_GBK"/>
                <w:b w:val="0"/>
                <w:bCs/>
                <w:color w:val="000000"/>
                <w:sz w:val="20"/>
              </w:rPr>
              <w:t>蔈草镇政府机关</w:t>
            </w:r>
          </w:p>
        </w:tc>
        <w:tc>
          <w:tcPr>
            <w:tcW w:w="1694"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257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公开04表</w:t>
            </w:r>
          </w:p>
        </w:tc>
      </w:tr>
      <w:tr>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257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单位：</w:t>
            </w:r>
            <w:r>
              <w:rPr>
                <w:rFonts w:hint="eastAsia" w:ascii="Times New Roman" w:hAnsi="Times New Roman" w:eastAsia="方正仿宋_GBK" w:cs="方正仿宋_GBK"/>
                <w:b w:val="0"/>
                <w:bCs/>
                <w:sz w:val="20"/>
                <w:szCs w:val="20"/>
              </w:rPr>
              <w:t>万元</w:t>
            </w:r>
          </w:p>
        </w:tc>
      </w:tr>
      <w:tr>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收     入</w:t>
            </w:r>
          </w:p>
        </w:tc>
        <w:tc>
          <w:tcPr>
            <w:tcW w:w="1083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支     出</w:t>
            </w:r>
          </w:p>
        </w:tc>
      </w:tr>
      <w:tr>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功能分类科目</w:t>
            </w:r>
          </w:p>
        </w:tc>
        <w:tc>
          <w:tcPr>
            <w:tcW w:w="7653"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决算数</w:t>
            </w:r>
          </w:p>
        </w:tc>
      </w:tr>
      <w:tr>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政府性基金预算财政拨款</w:t>
            </w:r>
          </w:p>
        </w:tc>
        <w:tc>
          <w:tcPr>
            <w:tcW w:w="2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2,445.02</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591.23</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591.23</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55.79</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1.70</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1.70</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7.78</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7.78</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1,001.04</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1,001.04</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32.03</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32.03</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195.30</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195.30</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53.86</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20.80</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33.06</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397.16</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394.96</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2.20</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117.68</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117.68</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22.75</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22.75</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43.21</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43.21</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16.55</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16.55</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20.53</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20.53</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2,500.81</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2,500.81</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2,445.02</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55.79</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2,500.81</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2,500.81</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2,445.02</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55.79</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bl>
    <w:p>
      <w:pPr>
        <w:keepNext w:val="0"/>
        <w:keepLines w:val="0"/>
        <w:pageBreakBefore w:val="0"/>
        <w:widowControl/>
        <w:kinsoku/>
        <w:wordWrap/>
        <w:overflowPunct/>
        <w:topLinePunct w:val="0"/>
        <w:autoSpaceDE/>
        <w:autoSpaceDN/>
        <w:bidi w:val="0"/>
        <w:adjustRightInd/>
        <w:snapToGrid/>
        <w:spacing w:line="240" w:lineRule="auto"/>
        <w:jc w:val="left"/>
        <w:rPr>
          <w:rFonts w:hint="eastAsia" w:ascii="Times New Roman" w:hAnsi="Times New Roman" w:eastAsia="方正仿宋_GBK" w:cs="方正仿宋_GBK"/>
          <w:b w:val="0"/>
          <w:bCs/>
          <w:sz w:val="20"/>
          <w:szCs w:val="20"/>
        </w:rPr>
      </w:pPr>
      <w:r>
        <w:rPr>
          <w:rFonts w:hint="eastAsia" w:ascii="Times New Roman" w:hAnsi="Times New Roman" w:eastAsia="方正仿宋_GBK" w:cs="方正仿宋_GBK"/>
          <w:b w:val="0"/>
          <w:bCs/>
          <w:sz w:val="20"/>
          <w:szCs w:val="20"/>
        </w:rPr>
        <w:t>备注：1.本表反映单位本年度一般公共预算财政拨款、政府性基金预算财政拨款及国有资本经营预算财政拨款的总收支和年末结转结余情况。</w:t>
      </w:r>
      <w:r>
        <w:rPr>
          <w:rFonts w:hint="eastAsia" w:ascii="Times New Roman" w:hAnsi="Times New Roman" w:eastAsia="方正仿宋_GBK" w:cs="方正仿宋_GBK"/>
          <w:b w:val="0"/>
          <w:bCs/>
          <w:sz w:val="20"/>
          <w:szCs w:val="20"/>
        </w:rPr>
        <w:br w:type="textWrapping"/>
      </w:r>
      <w:r>
        <w:rPr>
          <w:rFonts w:hint="eastAsia" w:ascii="Times New Roman" w:hAnsi="Times New Roman" w:eastAsia="方正仿宋_GBK" w:cs="方正仿宋_GBK"/>
          <w:b w:val="0"/>
          <w:bCs/>
          <w:sz w:val="20"/>
          <w:szCs w:val="20"/>
        </w:rPr>
        <w:t xml:space="preserve">      2.本套报表金额单位转换时可能存在尾数误差。</w:t>
      </w:r>
      <w:r>
        <w:rPr>
          <w:rFonts w:hint="eastAsia" w:ascii="Times New Roman" w:hAnsi="Times New Roman" w:eastAsia="方正仿宋_GBK" w:cs="方正仿宋_GBK"/>
          <w:b w:val="0"/>
          <w:bCs/>
          <w:sz w:val="20"/>
          <w:szCs w:val="20"/>
        </w:rPr>
        <w:br w:type="textWrapping"/>
      </w:r>
      <w:r>
        <w:rPr>
          <w:rFonts w:hint="eastAsia" w:ascii="Times New Roman" w:hAnsi="Times New Roman" w:eastAsia="方正仿宋_GBK" w:cs="方正仿宋_GBK"/>
          <w:b w:val="0"/>
          <w:bCs/>
          <w:sz w:val="20"/>
          <w:szCs w:val="20"/>
        </w:rPr>
        <w:br w:type="textWrapping"/>
      </w:r>
      <w:r>
        <w:rPr>
          <w:rFonts w:hint="eastAsia" w:ascii="Times New Roman" w:hAnsi="Times New Roman" w:eastAsia="方正仿宋_GBK" w:cs="方正仿宋_GBK"/>
          <w:b w:val="0"/>
          <w:bCs/>
          <w:sz w:val="21"/>
          <w:szCs w:val="21"/>
        </w:rPr>
        <w:br w:type="page"/>
      </w:r>
    </w:p>
    <w:tbl>
      <w:tblPr>
        <w:tblStyle w:val="8"/>
        <w:tblW w:w="15322" w:type="dxa"/>
        <w:tblInd w:w="0" w:type="dxa"/>
        <w:tblLayout w:type="fixed"/>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color w:val="000000"/>
                <w:sz w:val="32"/>
                <w:szCs w:val="32"/>
              </w:rPr>
            </w:pPr>
            <w:r>
              <w:rPr>
                <w:rFonts w:hint="eastAsia" w:ascii="方正小标宋_GBK" w:hAnsi="方正小标宋_GBK" w:eastAsia="方正小标宋_GBK" w:cs="方正小标宋_GBK"/>
                <w:b w:val="0"/>
                <w:bCs/>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sz w:val="20"/>
                <w:szCs w:val="20"/>
              </w:rPr>
              <w:t>单位</w:t>
            </w:r>
            <w:r>
              <w:rPr>
                <w:rFonts w:hint="eastAsia" w:ascii="Times New Roman" w:hAnsi="Times New Roman" w:eastAsia="方正仿宋_GBK" w:cs="方正仿宋_GBK"/>
                <w:b w:val="0"/>
                <w:bCs/>
                <w:color w:val="000000"/>
                <w:sz w:val="20"/>
                <w:szCs w:val="20"/>
              </w:rPr>
              <w:t>：</w:t>
            </w:r>
            <w:r>
              <w:rPr>
                <w:rFonts w:hint="eastAsia" w:ascii="Times New Roman" w:hAnsi="Times New Roman" w:eastAsia="方正仿宋_GBK" w:cs="方正仿宋_GBK"/>
                <w:b w:val="0"/>
                <w:bCs/>
                <w:color w:val="000000"/>
                <w:sz w:val="20"/>
              </w:rPr>
              <w:t>蔈草镇政府机关</w:t>
            </w:r>
          </w:p>
        </w:tc>
        <w:tc>
          <w:tcPr>
            <w:tcW w:w="329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公开05表</w:t>
            </w:r>
          </w:p>
        </w:tc>
      </w:tr>
      <w:tr>
        <w:tblPrEx>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单位：</w:t>
            </w:r>
            <w:r>
              <w:rPr>
                <w:rFonts w:hint="eastAsia" w:ascii="Times New Roman" w:hAnsi="Times New Roman" w:eastAsia="方正仿宋_GBK" w:cs="方正仿宋_GBK"/>
                <w:b w:val="0"/>
                <w:bCs/>
                <w:sz w:val="20"/>
                <w:szCs w:val="20"/>
              </w:rPr>
              <w:t>万元</w:t>
            </w:r>
          </w:p>
        </w:tc>
      </w:tr>
      <w:tr>
        <w:tblPrEx>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本年支出</w:t>
            </w:r>
          </w:p>
        </w:tc>
      </w:tr>
      <w:tr>
        <w:tblPrEx>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项目支出</w:t>
            </w:r>
          </w:p>
        </w:tc>
      </w:tr>
      <w:tr>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2,445.02</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697.04</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1,747.98</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591.23</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516.23</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75.00</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20101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人大事务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1.57</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1.57</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2010108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代表工作</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1.57</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1.57</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20103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政府办公厅（室）及相关机构事务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559.26</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516.23</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43.03</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2010301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516.23</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516.23</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2010399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其他政府办公厅（室）及相关机构事务支出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43.03</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43.03</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20113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商贸事务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3.45</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3.45</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2011308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招商引资</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3.45</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3.45</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20132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组织事务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19.76</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19.76</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2013299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其他组织事务支出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19.76</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19.76</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20140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信访事务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7.19</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7.19</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2014004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信访业务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7.19</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7.19</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公共安全支出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1.70</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1.70</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20402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公安</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1.70</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1.70</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2040221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特别业务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1.70</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1.70</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文化旅游体育与传媒支出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7.78</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7.78</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20701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文化和旅游</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7.78</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7.78</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2070199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其他文化和旅游支出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7.78</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7.78</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1,001.04</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109.67</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891.37</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民政管理事务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87.75</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87.75</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2080208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基层政权建设和社区治理</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87.75</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87.75</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109.67</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109.67</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50.29</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50.29</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39.76</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39.76</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19.62</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19.62</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抚恤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5.00</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5.00</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2080899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其他优抚支出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5.00</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5.00</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社会福利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41.46</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41.46</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2081001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儿童福利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9.14</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9.14</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2081002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老年福利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26.66</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26.66</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2081006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养老服务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5.66</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5.66</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残疾人事业</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31.65</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31.65</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2081107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残疾人生活和护理补贴</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29.51</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29.51</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2081199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其他残疾人事业支出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2.14</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2.14</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20819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最低生活保障</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465.04</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465.04</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2081901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城市最低生活保障金支出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11.46</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11.46</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2081902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农村最低生活保障金支出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453.59</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453.59</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20820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临时救助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18.25</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18.25</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2082001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临时救助支出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18.25</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18.25</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特困人员救助供养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206.14</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206.14</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农村特困人员救助供养支出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206.14</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206.14</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20825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其他生活救助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36.08</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36.08</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2082502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其他农村生活救助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36.08</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36.08</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32.03</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30.78</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1.25</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21004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公共卫生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1.25</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1.25</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2100410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突发公共卫生事件应急处置</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1.25</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1.25</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30.78</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30.78</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2101101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30.78</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30.78</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节能环保支出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195.30</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195.30</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21103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污染防治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7.77</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7.77</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2110302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水体</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7.77</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7.77</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21104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自然生态保护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187.53</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187.53</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2110401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生态保护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75.77</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75.77</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2110402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农村环境保护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111.76</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111.76</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城乡社区支出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20.80</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20.80</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21205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城乡社区环境卫生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20.80</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20.80</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2120501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城乡社区环境卫生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20.80</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20.80</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394.96</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394.96</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21301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农业农村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15.14</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15.14</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2130106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科技转化与推广服务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12.79</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12.79</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2130124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农村合作经济</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2.35</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2.35</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21302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林业和草原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14.37</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14.37</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2130234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林业草原防灾减灾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14.37</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14.37</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21305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巩固脱贫攻坚成果衔接乡村振兴</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172.01</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172.01</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2130504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农村基础设施建设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53.06</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53.06</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2130505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生产发展</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118.95</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118.95</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21307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农村综合改革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193.44</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193.44</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2130705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对村民委员会和村党支部的补助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176.40</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176.40</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2130799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其他农村综合改革支出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17.04</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17.04</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交通运输支出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117.68</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117.68</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21401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公路水路运输</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117.68</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117.68</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2140104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公路建设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117.68</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117.68</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自然资源海洋气象等支出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22.75</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22.75</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22001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自然资源事务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22.75</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22.75</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2200199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其他自然资源事务支出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22.75</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22.75</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43.21</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40.36</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2.85</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22101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保障性安居工程支出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2.85</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2.85</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2210105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农村危房改造</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2.85</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2.85</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40.36</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40.36</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40.36</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40.36</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灾害防治及应急管理支出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16.55</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16.55</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22401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应急管理事务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6.65</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6.65</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2240199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其他应急管理支出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6.65</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6.65</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22402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消防救援事务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6.90</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6.90</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2240299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其他消防救援事务支出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6.90</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6.90</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22406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自然灾害防治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3.00</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3.00</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2240601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地质灾害防治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3.00</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3.00</w:t>
            </w:r>
          </w:p>
        </w:tc>
      </w:tr>
    </w:tbl>
    <w:p>
      <w:pPr>
        <w:keepNext w:val="0"/>
        <w:keepLines w:val="0"/>
        <w:pageBreakBefore w:val="0"/>
        <w:widowControl/>
        <w:kinsoku/>
        <w:wordWrap/>
        <w:overflowPunct/>
        <w:topLinePunct w:val="0"/>
        <w:autoSpaceDE/>
        <w:autoSpaceDN/>
        <w:bidi w:val="0"/>
        <w:adjustRightInd/>
        <w:snapToGrid/>
        <w:spacing w:line="240" w:lineRule="auto"/>
        <w:jc w:val="left"/>
        <w:rPr>
          <w:rFonts w:hint="eastAsia" w:ascii="Times New Roman" w:hAnsi="Times New Roman" w:eastAsia="方正仿宋_GBK" w:cs="方正仿宋_GBK"/>
          <w:b w:val="0"/>
          <w:bCs/>
          <w:sz w:val="21"/>
          <w:szCs w:val="21"/>
        </w:rPr>
      </w:pPr>
      <w:r>
        <w:rPr>
          <w:rFonts w:hint="eastAsia" w:ascii="Times New Roman" w:hAnsi="Times New Roman" w:eastAsia="方正仿宋_GBK" w:cs="方正仿宋_GBK"/>
          <w:b w:val="0"/>
          <w:bCs/>
          <w:sz w:val="20"/>
          <w:szCs w:val="20"/>
        </w:rPr>
        <w:t>备注：1.本表反映单位本年度一般公共预算财政拨款支出情况。</w:t>
      </w:r>
      <w:r>
        <w:rPr>
          <w:rFonts w:hint="eastAsia" w:ascii="Times New Roman" w:hAnsi="Times New Roman" w:eastAsia="方正仿宋_GBK" w:cs="方正仿宋_GBK"/>
          <w:b w:val="0"/>
          <w:bCs/>
          <w:sz w:val="20"/>
          <w:szCs w:val="20"/>
        </w:rPr>
        <w:br w:type="textWrapping"/>
      </w:r>
      <w:r>
        <w:rPr>
          <w:rFonts w:hint="eastAsia" w:ascii="Times New Roman" w:hAnsi="Times New Roman" w:eastAsia="方正仿宋_GBK" w:cs="方正仿宋_GBK"/>
          <w:b w:val="0"/>
          <w:bCs/>
          <w:sz w:val="20"/>
          <w:szCs w:val="20"/>
        </w:rPr>
        <w:t xml:space="preserve">      2.本套报表金额单位转换时可能存在尾数误差。</w:t>
      </w:r>
      <w:r>
        <w:rPr>
          <w:rFonts w:hint="eastAsia" w:ascii="Times New Roman" w:hAnsi="Times New Roman" w:eastAsia="方正仿宋_GBK" w:cs="方正仿宋_GBK"/>
          <w:b w:val="0"/>
          <w:bCs/>
          <w:sz w:val="20"/>
          <w:szCs w:val="20"/>
        </w:rPr>
        <w:br w:type="textWrapping"/>
      </w:r>
      <w:r>
        <w:rPr>
          <w:rFonts w:hint="eastAsia" w:ascii="Times New Roman" w:hAnsi="Times New Roman" w:eastAsia="方正仿宋_GBK" w:cs="方正仿宋_GBK"/>
          <w:b w:val="0"/>
          <w:bCs/>
          <w:sz w:val="20"/>
          <w:szCs w:val="20"/>
        </w:rPr>
        <w:br w:type="textWrapping"/>
      </w:r>
    </w:p>
    <w:p>
      <w:pPr>
        <w:keepNext w:val="0"/>
        <w:keepLines w:val="0"/>
        <w:pageBreakBefore w:val="0"/>
        <w:widowControl/>
        <w:kinsoku/>
        <w:wordWrap/>
        <w:overflowPunct/>
        <w:topLinePunct w:val="0"/>
        <w:autoSpaceDE/>
        <w:autoSpaceDN/>
        <w:bidi w:val="0"/>
        <w:adjustRightInd/>
        <w:snapToGrid/>
        <w:spacing w:line="240" w:lineRule="auto"/>
        <w:ind w:firstLine="630" w:firstLineChars="300"/>
        <w:jc w:val="center"/>
        <w:rPr>
          <w:rFonts w:hint="eastAsia" w:ascii="Times New Roman" w:hAnsi="Times New Roman" w:eastAsia="方正仿宋_GBK" w:cs="方正仿宋_GBK"/>
          <w:b w:val="0"/>
          <w:bCs/>
          <w:sz w:val="21"/>
          <w:szCs w:val="21"/>
        </w:rPr>
      </w:pPr>
      <w:r>
        <w:rPr>
          <w:rFonts w:hint="eastAsia" w:ascii="Times New Roman" w:hAnsi="Times New Roman" w:eastAsia="方正仿宋_GBK" w:cs="方正仿宋_GBK"/>
          <w:b w:val="0"/>
          <w:bCs/>
          <w:sz w:val="21"/>
          <w:szCs w:val="21"/>
        </w:rPr>
        <w:br w:type="page"/>
      </w:r>
    </w:p>
    <w:tbl>
      <w:tblPr>
        <w:tblStyle w:val="8"/>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color w:val="000000"/>
                <w:sz w:val="32"/>
                <w:szCs w:val="32"/>
              </w:rPr>
            </w:pPr>
            <w:r>
              <w:rPr>
                <w:rFonts w:hint="eastAsia" w:ascii="方正小标宋_GBK" w:hAnsi="方正小标宋_GBK" w:eastAsia="方正小标宋_GBK" w:cs="方正小标宋_GBK"/>
                <w:b w:val="0"/>
                <w:bCs/>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sz w:val="20"/>
                <w:szCs w:val="20"/>
              </w:rPr>
              <w:t>单位</w:t>
            </w:r>
            <w:r>
              <w:rPr>
                <w:rFonts w:hint="eastAsia" w:ascii="Times New Roman" w:hAnsi="Times New Roman" w:eastAsia="方正仿宋_GBK" w:cs="方正仿宋_GBK"/>
                <w:b w:val="0"/>
                <w:bCs/>
                <w:color w:val="000000"/>
                <w:sz w:val="20"/>
                <w:szCs w:val="20"/>
              </w:rPr>
              <w:t>：</w:t>
            </w:r>
            <w:r>
              <w:rPr>
                <w:rFonts w:hint="eastAsia" w:ascii="Times New Roman" w:hAnsi="Times New Roman" w:eastAsia="方正仿宋_GBK" w:cs="方正仿宋_GBK"/>
                <w:b w:val="0"/>
                <w:bCs/>
                <w:color w:val="000000"/>
                <w:sz w:val="20"/>
              </w:rPr>
              <w:t>蔈草镇政府机关</w:t>
            </w:r>
          </w:p>
        </w:tc>
        <w:tc>
          <w:tcPr>
            <w:tcW w:w="141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公开06表</w:t>
            </w:r>
          </w:p>
        </w:tc>
      </w:tr>
      <w:tr>
        <w:tblPrEx>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41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单位：</w:t>
            </w:r>
            <w:r>
              <w:rPr>
                <w:rFonts w:hint="eastAsia" w:ascii="Times New Roman" w:hAnsi="Times New Roman" w:eastAsia="方正仿宋_GBK" w:cs="方正仿宋_GBK"/>
                <w:b w:val="0"/>
                <w:bCs/>
                <w:sz w:val="20"/>
                <w:szCs w:val="20"/>
              </w:rPr>
              <w:t>万元</w:t>
            </w:r>
          </w:p>
        </w:tc>
      </w:tr>
      <w:tr>
        <w:tblPrEx>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公用经费</w:t>
            </w:r>
          </w:p>
        </w:tc>
      </w:tr>
      <w:tr>
        <w:tblPrEx>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金额</w:t>
            </w:r>
          </w:p>
        </w:tc>
      </w:tr>
      <w:tr>
        <w:tblPrEx>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486.56</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186.67</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2.20</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98.91</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27.26</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85.83</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2.20</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139.87</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1.90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50.29</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19.73</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39.76</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13.30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27.26</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0.76</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21.52</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40.36</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3.52</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3.39</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21.60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0.80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1.45</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3.74</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20.00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14.20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1.60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2.14</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180" w:firstLineChars="100"/>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9.00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2.59</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19.96</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45.70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508.17</w:t>
            </w:r>
          </w:p>
        </w:tc>
        <w:tc>
          <w:tcPr>
            <w:tcW w:w="865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公用经费合计</w:t>
            </w:r>
          </w:p>
        </w:tc>
        <w:tc>
          <w:tcPr>
            <w:tcW w:w="14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188.87</w:t>
            </w:r>
          </w:p>
        </w:tc>
      </w:tr>
    </w:tbl>
    <w:p>
      <w:pPr>
        <w:keepNext w:val="0"/>
        <w:keepLines w:val="0"/>
        <w:pageBreakBefore w:val="0"/>
        <w:widowControl/>
        <w:kinsoku/>
        <w:wordWrap/>
        <w:overflowPunct/>
        <w:topLinePunct w:val="0"/>
        <w:autoSpaceDE/>
        <w:autoSpaceDN/>
        <w:bidi w:val="0"/>
        <w:adjustRightInd/>
        <w:snapToGrid/>
        <w:spacing w:line="240" w:lineRule="auto"/>
        <w:jc w:val="left"/>
        <w:rPr>
          <w:rFonts w:hint="eastAsia" w:ascii="Times New Roman" w:hAnsi="Times New Roman" w:eastAsia="方正仿宋_GBK" w:cs="方正仿宋_GBK"/>
          <w:b w:val="0"/>
          <w:bCs/>
          <w:sz w:val="20"/>
          <w:szCs w:val="20"/>
        </w:rPr>
      </w:pPr>
      <w:r>
        <w:rPr>
          <w:rFonts w:hint="eastAsia" w:ascii="Times New Roman" w:hAnsi="Times New Roman" w:eastAsia="方正仿宋_GBK" w:cs="方正仿宋_GBK"/>
          <w:b w:val="0"/>
          <w:bCs/>
          <w:sz w:val="20"/>
          <w:szCs w:val="20"/>
        </w:rPr>
        <w:t>备注：1.本表反映单位本年度一般公共预算财政拨款基本支出明细情况。</w:t>
      </w:r>
      <w:r>
        <w:rPr>
          <w:rFonts w:hint="eastAsia" w:ascii="Times New Roman" w:hAnsi="Times New Roman" w:eastAsia="方正仿宋_GBK" w:cs="方正仿宋_GBK"/>
          <w:b w:val="0"/>
          <w:bCs/>
          <w:sz w:val="20"/>
          <w:szCs w:val="20"/>
        </w:rPr>
        <w:br w:type="textWrapping"/>
      </w:r>
      <w:r>
        <w:rPr>
          <w:rFonts w:hint="eastAsia" w:ascii="Times New Roman" w:hAnsi="Times New Roman" w:eastAsia="方正仿宋_GBK" w:cs="方正仿宋_GBK"/>
          <w:b w:val="0"/>
          <w:bCs/>
          <w:sz w:val="20"/>
          <w:szCs w:val="20"/>
        </w:rPr>
        <w:t xml:space="preserve">      2.本套报表金额单位转换时可能存在尾数误差。</w:t>
      </w:r>
      <w:r>
        <w:rPr>
          <w:rFonts w:hint="eastAsia" w:ascii="Times New Roman" w:hAnsi="Times New Roman" w:eastAsia="方正仿宋_GBK" w:cs="方正仿宋_GBK"/>
          <w:b w:val="0"/>
          <w:bCs/>
          <w:sz w:val="20"/>
          <w:szCs w:val="20"/>
        </w:rPr>
        <w:br w:type="textWrapping"/>
      </w:r>
      <w:r>
        <w:rPr>
          <w:rFonts w:hint="eastAsia" w:ascii="Times New Roman" w:hAnsi="Times New Roman" w:eastAsia="方正仿宋_GBK" w:cs="方正仿宋_GBK"/>
          <w:b w:val="0"/>
          <w:bCs/>
          <w:sz w:val="20"/>
          <w:szCs w:val="20"/>
        </w:rPr>
        <w:br w:type="textWrapping"/>
      </w:r>
      <w:r>
        <w:rPr>
          <w:rFonts w:hint="eastAsia" w:ascii="Times New Roman" w:hAnsi="Times New Roman" w:eastAsia="方正仿宋_GBK" w:cs="方正仿宋_GBK"/>
          <w:b w:val="0"/>
          <w:bCs/>
          <w:sz w:val="21"/>
          <w:szCs w:val="21"/>
        </w:rPr>
        <w:br w:type="page"/>
      </w:r>
    </w:p>
    <w:tbl>
      <w:tblPr>
        <w:tblStyle w:val="8"/>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color w:val="000000"/>
                <w:sz w:val="32"/>
                <w:szCs w:val="32"/>
              </w:rPr>
            </w:pPr>
            <w:r>
              <w:rPr>
                <w:rFonts w:hint="eastAsia" w:ascii="方正小标宋_GBK" w:hAnsi="方正小标宋_GBK" w:eastAsia="方正小标宋_GBK" w:cs="方正小标宋_GBK"/>
                <w:b w:val="0"/>
                <w:bCs/>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sz w:val="20"/>
                <w:szCs w:val="20"/>
              </w:rPr>
              <w:t>单位</w:t>
            </w:r>
            <w:r>
              <w:rPr>
                <w:rFonts w:hint="eastAsia" w:ascii="Times New Roman" w:hAnsi="Times New Roman" w:eastAsia="方正仿宋_GBK" w:cs="方正仿宋_GBK"/>
                <w:b w:val="0"/>
                <w:bCs/>
                <w:color w:val="000000"/>
                <w:sz w:val="20"/>
                <w:szCs w:val="20"/>
              </w:rPr>
              <w:t>：</w:t>
            </w:r>
            <w:r>
              <w:rPr>
                <w:rFonts w:hint="eastAsia" w:ascii="Times New Roman" w:hAnsi="Times New Roman" w:eastAsia="方正仿宋_GBK" w:cs="方正仿宋_GBK"/>
                <w:b w:val="0"/>
                <w:bCs/>
                <w:color w:val="000000"/>
                <w:sz w:val="20"/>
              </w:rPr>
              <w:t>蔈草镇政府机关</w:t>
            </w:r>
          </w:p>
        </w:tc>
        <w:tc>
          <w:tcPr>
            <w:tcW w:w="170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公开07表</w:t>
            </w:r>
          </w:p>
        </w:tc>
      </w:tr>
      <w:tr>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单位：</w:t>
            </w:r>
            <w:r>
              <w:rPr>
                <w:rFonts w:hint="eastAsia" w:ascii="Times New Roman" w:hAnsi="Times New Roman" w:eastAsia="方正仿宋_GBK" w:cs="方正仿宋_GBK"/>
                <w:b w:val="0"/>
                <w:bCs/>
                <w:sz w:val="20"/>
                <w:szCs w:val="20"/>
              </w:rPr>
              <w:t>万元</w:t>
            </w:r>
          </w:p>
        </w:tc>
      </w:tr>
      <w:tr>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年末结转和结余</w:t>
            </w:r>
          </w:p>
        </w:tc>
      </w:tr>
      <w:tr>
        <w:tblPrEx>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55.79</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55.79</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55.79</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212</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城乡社区支出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33.06</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33.06</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33.06</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21208</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国有土地使用权出让收入安排的支出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16.50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16.50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16.50</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2120899</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其他国有土地使用权出让收入安排的支出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16.50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16.50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16.50</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21213</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城市基础设施配套费安排的支出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7.34</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7.34</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7.34</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2121399</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其他城市基础设施配套费安排的支出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7.34</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7.34</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7.34</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21214</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污水处理费安排的支出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9.22</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9.22</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9.22</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2121401</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污水处理设施建设和运营</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8.52</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8.52</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8.52</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2121499</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其他污水处理费安排的支出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0.70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0.70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0.70</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213</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农林水支出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2.20</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21369</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国家重大水利工程建设基金安排的支出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2.20</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2136902</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三峡后续工作</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2.20</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229</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其他支出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20.53</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20.53</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20.53</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22960</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彩票公益金安排的支出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20.53</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20.53</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20.53</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2296002</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用于社会福利的彩票公益金支出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20.53</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20.53</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20.53</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bl>
    <w:p>
      <w:pPr>
        <w:keepNext w:val="0"/>
        <w:keepLines w:val="0"/>
        <w:pageBreakBefore w:val="0"/>
        <w:widowControl/>
        <w:kinsoku/>
        <w:wordWrap/>
        <w:overflowPunct/>
        <w:topLinePunct w:val="0"/>
        <w:autoSpaceDE/>
        <w:autoSpaceDN/>
        <w:bidi w:val="0"/>
        <w:adjustRightInd/>
        <w:snapToGrid/>
        <w:spacing w:line="240" w:lineRule="auto"/>
        <w:jc w:val="left"/>
        <w:rPr>
          <w:rFonts w:hint="eastAsia" w:ascii="Times New Roman" w:hAnsi="Times New Roman" w:eastAsia="方正仿宋_GBK" w:cs="方正仿宋_GBK"/>
          <w:b w:val="0"/>
          <w:bCs/>
          <w:sz w:val="21"/>
          <w:szCs w:val="21"/>
        </w:rPr>
      </w:pPr>
      <w:r>
        <w:rPr>
          <w:rFonts w:hint="eastAsia" w:ascii="Times New Roman" w:hAnsi="Times New Roman" w:eastAsia="方正仿宋_GBK" w:cs="方正仿宋_GBK"/>
          <w:b w:val="0"/>
          <w:bCs/>
          <w:sz w:val="20"/>
          <w:szCs w:val="20"/>
        </w:rPr>
        <w:t>备注：1.本表反映单位本年度政府性基金预算财政拨款收入支出及结转和结余情况。</w:t>
      </w:r>
      <w:r>
        <w:rPr>
          <w:rFonts w:hint="eastAsia" w:ascii="Times New Roman" w:hAnsi="Times New Roman" w:eastAsia="方正仿宋_GBK" w:cs="方正仿宋_GBK"/>
          <w:b w:val="0"/>
          <w:bCs/>
          <w:sz w:val="20"/>
          <w:szCs w:val="20"/>
        </w:rPr>
        <w:br w:type="textWrapping"/>
      </w:r>
      <w:r>
        <w:rPr>
          <w:rFonts w:hint="eastAsia" w:ascii="Times New Roman" w:hAnsi="Times New Roman" w:eastAsia="方正仿宋_GBK" w:cs="方正仿宋_GBK"/>
          <w:b w:val="0"/>
          <w:bCs/>
          <w:sz w:val="20"/>
          <w:szCs w:val="20"/>
        </w:rPr>
        <w:t xml:space="preserve">      2.本套报表金额单位转换时可能存在尾数误差。</w:t>
      </w:r>
      <w:r>
        <w:rPr>
          <w:rFonts w:hint="eastAsia" w:ascii="Times New Roman" w:hAnsi="Times New Roman" w:eastAsia="方正仿宋_GBK" w:cs="方正仿宋_GBK"/>
          <w:b w:val="0"/>
          <w:bCs/>
          <w:sz w:val="20"/>
          <w:szCs w:val="20"/>
        </w:rPr>
        <w:br w:type="textWrapping"/>
      </w:r>
      <w:r>
        <w:rPr>
          <w:rFonts w:hint="eastAsia" w:ascii="Times New Roman" w:hAnsi="Times New Roman" w:eastAsia="方正仿宋_GBK" w:cs="方正仿宋_GBK"/>
          <w:b w:val="0"/>
          <w:bCs/>
          <w:sz w:val="20"/>
          <w:szCs w:val="20"/>
        </w:rPr>
        <w:br w:type="textWrapping"/>
      </w:r>
    </w:p>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sz w:val="21"/>
          <w:szCs w:val="21"/>
        </w:rPr>
      </w:pPr>
      <w:r>
        <w:rPr>
          <w:rFonts w:hint="eastAsia" w:ascii="Times New Roman" w:hAnsi="Times New Roman" w:eastAsia="方正仿宋_GBK" w:cs="方正仿宋_GBK"/>
          <w:b w:val="0"/>
          <w:bCs/>
          <w:sz w:val="21"/>
          <w:szCs w:val="21"/>
        </w:rPr>
        <w:br w:type="page"/>
      </w:r>
    </w:p>
    <w:tbl>
      <w:tblPr>
        <w:tblStyle w:val="8"/>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color w:val="000000"/>
                <w:sz w:val="32"/>
                <w:szCs w:val="32"/>
              </w:rPr>
            </w:pPr>
            <w:r>
              <w:rPr>
                <w:rFonts w:hint="eastAsia" w:ascii="方正小标宋_GBK" w:hAnsi="方正小标宋_GBK" w:eastAsia="方正小标宋_GBK" w:cs="方正小标宋_GBK"/>
                <w:b w:val="0"/>
                <w:bCs/>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sz w:val="20"/>
                <w:szCs w:val="20"/>
              </w:rPr>
              <w:t>单位</w:t>
            </w:r>
            <w:r>
              <w:rPr>
                <w:rFonts w:hint="eastAsia" w:ascii="Times New Roman" w:hAnsi="Times New Roman" w:eastAsia="方正仿宋_GBK" w:cs="方正仿宋_GBK"/>
                <w:b w:val="0"/>
                <w:bCs/>
                <w:color w:val="000000"/>
                <w:sz w:val="20"/>
                <w:szCs w:val="20"/>
              </w:rPr>
              <w:t>：</w:t>
            </w:r>
            <w:r>
              <w:rPr>
                <w:rFonts w:hint="eastAsia" w:ascii="Times New Roman" w:hAnsi="Times New Roman" w:eastAsia="方正仿宋_GBK" w:cs="方正仿宋_GBK"/>
                <w:b w:val="0"/>
                <w:bCs/>
                <w:color w:val="000000"/>
                <w:sz w:val="20"/>
              </w:rPr>
              <w:t>蔈草镇政府机关</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公开08表</w:t>
            </w:r>
          </w:p>
        </w:tc>
      </w:tr>
      <w:tr>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单位：</w:t>
            </w:r>
            <w:r>
              <w:rPr>
                <w:rFonts w:hint="eastAsia" w:ascii="Times New Roman" w:hAnsi="Times New Roman" w:eastAsia="方正仿宋_GBK" w:cs="方正仿宋_GBK"/>
                <w:b w:val="0"/>
                <w:bCs/>
                <w:sz w:val="20"/>
                <w:szCs w:val="20"/>
              </w:rPr>
              <w:t>万元</w:t>
            </w:r>
          </w:p>
        </w:tc>
      </w:tr>
      <w:tr>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本年支出</w:t>
            </w:r>
          </w:p>
        </w:tc>
      </w:tr>
      <w:tr>
        <w:tblPrEx>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项目支出</w:t>
            </w:r>
          </w:p>
        </w:tc>
      </w:tr>
      <w:tr>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bl>
    <w:p>
      <w:pPr>
        <w:keepNext w:val="0"/>
        <w:keepLines w:val="0"/>
        <w:pageBreakBefore w:val="0"/>
        <w:widowControl/>
        <w:kinsoku/>
        <w:wordWrap/>
        <w:overflowPunct/>
        <w:topLinePunct w:val="0"/>
        <w:autoSpaceDE/>
        <w:autoSpaceDN/>
        <w:bidi w:val="0"/>
        <w:adjustRightInd/>
        <w:snapToGrid/>
        <w:spacing w:line="240" w:lineRule="auto"/>
        <w:jc w:val="left"/>
        <w:rPr>
          <w:rFonts w:hint="eastAsia" w:ascii="Times New Roman" w:hAnsi="Times New Roman" w:eastAsia="方正仿宋_GBK" w:cs="方正仿宋_GBK"/>
          <w:b w:val="0"/>
          <w:bCs/>
          <w:sz w:val="21"/>
          <w:szCs w:val="21"/>
        </w:rPr>
      </w:pPr>
      <w:r>
        <w:rPr>
          <w:rFonts w:hint="eastAsia" w:ascii="Times New Roman" w:hAnsi="Times New Roman" w:eastAsia="方正仿宋_GBK" w:cs="方正仿宋_GBK"/>
          <w:b w:val="0"/>
          <w:bCs/>
          <w:sz w:val="20"/>
          <w:szCs w:val="20"/>
        </w:rPr>
        <w:t>备注：本表反映单位本年度国有资本经营预算财政拨款支出情况。本单位无国有资本经营收支，故本表无数据。</w:t>
      </w:r>
      <w:r>
        <w:rPr>
          <w:rFonts w:hint="eastAsia" w:ascii="Times New Roman" w:hAnsi="Times New Roman" w:eastAsia="方正仿宋_GBK" w:cs="方正仿宋_GBK"/>
          <w:b w:val="0"/>
          <w:bCs/>
          <w:sz w:val="20"/>
          <w:szCs w:val="20"/>
        </w:rPr>
        <w:br w:type="textWrapping"/>
      </w:r>
      <w:r>
        <w:rPr>
          <w:rFonts w:hint="eastAsia" w:ascii="Times New Roman" w:hAnsi="Times New Roman" w:eastAsia="方正仿宋_GBK" w:cs="方正仿宋_GBK"/>
          <w:b w:val="0"/>
          <w:bCs/>
          <w:sz w:val="20"/>
          <w:szCs w:val="20"/>
        </w:rPr>
        <w:br w:type="textWrapping"/>
      </w:r>
    </w:p>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sz w:val="21"/>
          <w:szCs w:val="21"/>
        </w:rPr>
      </w:pPr>
      <w:r>
        <w:rPr>
          <w:rFonts w:hint="eastAsia" w:ascii="Times New Roman" w:hAnsi="Times New Roman" w:eastAsia="方正仿宋_GBK" w:cs="方正仿宋_GBK"/>
          <w:b w:val="0"/>
          <w:bCs/>
          <w:sz w:val="21"/>
          <w:szCs w:val="21"/>
        </w:rPr>
        <w:br w:type="page"/>
      </w:r>
    </w:p>
    <w:tbl>
      <w:tblPr>
        <w:tblStyle w:val="8"/>
        <w:tblW w:w="15320" w:type="dxa"/>
        <w:tblInd w:w="0" w:type="dxa"/>
        <w:tblLayout w:type="fixed"/>
        <w:tblCellMar>
          <w:top w:w="0" w:type="dxa"/>
          <w:left w:w="170" w:type="dxa"/>
          <w:bottom w:w="0" w:type="dxa"/>
          <w:right w:w="170" w:type="dxa"/>
        </w:tblCellMar>
      </w:tblPr>
      <w:tblGrid>
        <w:gridCol w:w="3179"/>
        <w:gridCol w:w="2416"/>
        <w:gridCol w:w="2375"/>
        <w:gridCol w:w="3674"/>
        <w:gridCol w:w="3676"/>
      </w:tblGrid>
      <w:tr>
        <w:tblPrEx>
          <w:tblCellMar>
            <w:top w:w="0" w:type="dxa"/>
            <w:left w:w="170" w:type="dxa"/>
            <w:bottom w:w="0" w:type="dxa"/>
            <w:right w:w="170" w:type="dxa"/>
          </w:tblCellMar>
        </w:tblPrEx>
        <w:trPr>
          <w:trHeight w:val="343" w:hRule="atLeast"/>
        </w:trPr>
        <w:tc>
          <w:tcPr>
            <w:tcW w:w="15320" w:type="dxa"/>
            <w:gridSpan w:val="5"/>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color w:val="000000"/>
                <w:kern w:val="2"/>
                <w:sz w:val="32"/>
                <w:szCs w:val="32"/>
              </w:rPr>
            </w:pPr>
            <w:r>
              <w:rPr>
                <w:rFonts w:hint="eastAsia" w:ascii="方正小标宋_GBK" w:hAnsi="方正小标宋_GBK" w:eastAsia="方正小标宋_GBK" w:cs="方正小标宋_GBK"/>
                <w:b w:val="0"/>
                <w:bCs/>
                <w:color w:val="000000"/>
                <w:sz w:val="32"/>
                <w:szCs w:val="32"/>
              </w:rPr>
              <w:t>机构运行信息表</w:t>
            </w:r>
          </w:p>
        </w:tc>
      </w:tr>
      <w:tr>
        <w:tblPrEx>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kern w:val="2"/>
                <w:sz w:val="20"/>
                <w:szCs w:val="20"/>
              </w:rPr>
            </w:pPr>
          </w:p>
        </w:tc>
        <w:tc>
          <w:tcPr>
            <w:tcW w:w="2416" w:type="dxa"/>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kern w:val="2"/>
                <w:sz w:val="20"/>
                <w:szCs w:val="20"/>
              </w:rPr>
            </w:pPr>
          </w:p>
        </w:tc>
        <w:tc>
          <w:tcPr>
            <w:tcW w:w="2375" w:type="dxa"/>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kern w:val="2"/>
                <w:sz w:val="20"/>
                <w:szCs w:val="20"/>
              </w:rPr>
            </w:pPr>
          </w:p>
        </w:tc>
        <w:tc>
          <w:tcPr>
            <w:tcW w:w="3674" w:type="dxa"/>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kern w:val="2"/>
                <w:sz w:val="20"/>
                <w:szCs w:val="20"/>
              </w:rPr>
            </w:pPr>
          </w:p>
        </w:tc>
        <w:tc>
          <w:tcPr>
            <w:tcW w:w="3676" w:type="dxa"/>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color w:val="000000"/>
                <w:kern w:val="2"/>
                <w:sz w:val="20"/>
                <w:szCs w:val="20"/>
              </w:rPr>
            </w:pPr>
            <w:r>
              <w:rPr>
                <w:rFonts w:hint="eastAsia" w:ascii="Times New Roman" w:hAnsi="Times New Roman" w:eastAsia="方正仿宋_GBK" w:cs="方正仿宋_GBK"/>
                <w:b w:val="0"/>
                <w:bCs/>
                <w:color w:val="000000"/>
                <w:kern w:val="2"/>
                <w:sz w:val="20"/>
                <w:szCs w:val="20"/>
              </w:rPr>
              <w:t>公开09表</w:t>
            </w:r>
          </w:p>
        </w:tc>
      </w:tr>
      <w:tr>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kern w:val="2"/>
                <w:sz w:val="20"/>
                <w:szCs w:val="20"/>
              </w:rPr>
            </w:pPr>
            <w:r>
              <w:rPr>
                <w:rFonts w:hint="eastAsia" w:ascii="Times New Roman" w:hAnsi="Times New Roman" w:eastAsia="方正仿宋_GBK" w:cs="方正仿宋_GBK"/>
                <w:b w:val="0"/>
                <w:bCs/>
                <w:kern w:val="2"/>
                <w:sz w:val="20"/>
                <w:szCs w:val="20"/>
              </w:rPr>
              <w:t>单位</w:t>
            </w:r>
            <w:r>
              <w:rPr>
                <w:rFonts w:hint="eastAsia" w:ascii="Times New Roman" w:hAnsi="Times New Roman" w:eastAsia="方正仿宋_GBK" w:cs="方正仿宋_GBK"/>
                <w:b w:val="0"/>
                <w:bCs/>
                <w:color w:val="000000"/>
                <w:kern w:val="2"/>
                <w:sz w:val="20"/>
                <w:szCs w:val="20"/>
              </w:rPr>
              <w:t>：</w:t>
            </w:r>
            <w:r>
              <w:rPr>
                <w:rFonts w:hint="eastAsia" w:ascii="Times New Roman" w:hAnsi="Times New Roman" w:eastAsia="方正仿宋_GBK" w:cs="方正仿宋_GBK"/>
                <w:b w:val="0"/>
                <w:bCs/>
                <w:color w:val="000000"/>
                <w:sz w:val="20"/>
              </w:rPr>
              <w:t>蔈草镇政府机关</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kern w:val="2"/>
                <w:sz w:val="20"/>
                <w:szCs w:val="20"/>
              </w:rPr>
            </w:pPr>
          </w:p>
        </w:tc>
        <w:tc>
          <w:tcPr>
            <w:tcW w:w="3676" w:type="dxa"/>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color w:val="000000"/>
                <w:kern w:val="2"/>
                <w:sz w:val="20"/>
                <w:szCs w:val="20"/>
              </w:rPr>
            </w:pPr>
            <w:r>
              <w:rPr>
                <w:rFonts w:hint="eastAsia" w:ascii="Times New Roman" w:hAnsi="Times New Roman" w:eastAsia="方正仿宋_GBK" w:cs="方正仿宋_GBK"/>
                <w:b w:val="0"/>
                <w:bCs/>
                <w:color w:val="000000"/>
                <w:kern w:val="2"/>
                <w:sz w:val="20"/>
                <w:szCs w:val="20"/>
              </w:rPr>
              <w:t>单位：</w:t>
            </w:r>
            <w:r>
              <w:rPr>
                <w:rFonts w:hint="eastAsia" w:ascii="Times New Roman" w:hAnsi="Times New Roman" w:eastAsia="方正仿宋_GBK" w:cs="方正仿宋_GBK"/>
                <w:b w:val="0"/>
                <w:bCs/>
                <w:kern w:val="2"/>
                <w:sz w:val="20"/>
                <w:szCs w:val="20"/>
              </w:rPr>
              <w:t>万元</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项  目</w:t>
            </w:r>
          </w:p>
        </w:tc>
        <w:tc>
          <w:tcPr>
            <w:tcW w:w="36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决算数</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8"/>
                <w:szCs w:val="18"/>
              </w:rPr>
            </w:pPr>
            <w:r>
              <w:rPr>
                <w:rFonts w:hint="eastAsia" w:ascii="Times New Roman" w:hAnsi="Times New Roman" w:eastAsia="方正仿宋_GBK" w:cs="方正仿宋_GBK"/>
                <w:b w:val="0"/>
                <w:bCs/>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8"/>
                <w:szCs w:val="18"/>
              </w:rPr>
            </w:pPr>
            <w:r>
              <w:rPr>
                <w:rFonts w:hint="eastAsia" w:ascii="Times New Roman" w:hAnsi="Times New Roman" w:eastAsia="方正仿宋_GBK" w:cs="方正仿宋_GBK"/>
                <w:b w:val="0"/>
                <w:bCs/>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五、机关运行经费</w:t>
            </w:r>
          </w:p>
        </w:tc>
        <w:tc>
          <w:tcPr>
            <w:tcW w:w="36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188.87</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kern w:val="2"/>
                <w:sz w:val="18"/>
                <w:szCs w:val="18"/>
              </w:rPr>
            </w:pPr>
            <w:r>
              <w:rPr>
                <w:rFonts w:hint="eastAsia" w:ascii="Times New Roman" w:hAnsi="Times New Roman" w:eastAsia="方正仿宋_GBK" w:cs="方正仿宋_GBK"/>
                <w:b w:val="0"/>
                <w:bCs/>
                <w:color w:val="000000"/>
                <w:kern w:val="2"/>
                <w:sz w:val="18"/>
                <w:szCs w:val="18"/>
              </w:rPr>
              <w:t>6.33</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kern w:val="2"/>
                <w:sz w:val="18"/>
                <w:szCs w:val="18"/>
              </w:rPr>
            </w:pPr>
            <w:r>
              <w:rPr>
                <w:rFonts w:hint="eastAsia" w:ascii="Times New Roman" w:hAnsi="Times New Roman" w:eastAsia="方正仿宋_GBK" w:cs="方正仿宋_GBK"/>
                <w:b w:val="0"/>
                <w:bCs/>
                <w:color w:val="000000"/>
                <w:kern w:val="2"/>
                <w:sz w:val="18"/>
                <w:szCs w:val="18"/>
              </w:rPr>
              <w:t>6.33</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（一）行政单位</w:t>
            </w:r>
          </w:p>
        </w:tc>
        <w:tc>
          <w:tcPr>
            <w:tcW w:w="36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188.87</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kern w:val="2"/>
                <w:sz w:val="18"/>
                <w:szCs w:val="18"/>
              </w:rPr>
            </w:pP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kern w:val="2"/>
                <w:sz w:val="18"/>
                <w:szCs w:val="18"/>
              </w:rPr>
            </w:pP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（二）参照公务员法管理事业单位</w:t>
            </w:r>
          </w:p>
        </w:tc>
        <w:tc>
          <w:tcPr>
            <w:tcW w:w="36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sz w:val="18"/>
                <w:szCs w:val="18"/>
              </w:rPr>
            </w:pP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kern w:val="2"/>
                <w:sz w:val="18"/>
                <w:szCs w:val="18"/>
              </w:rPr>
            </w:pPr>
            <w:r>
              <w:rPr>
                <w:rFonts w:hint="eastAsia" w:ascii="Times New Roman" w:hAnsi="Times New Roman" w:eastAsia="方正仿宋_GBK" w:cs="方正仿宋_GBK"/>
                <w:b w:val="0"/>
                <w:bCs/>
                <w:color w:val="000000"/>
                <w:kern w:val="2"/>
                <w:sz w:val="18"/>
                <w:szCs w:val="18"/>
              </w:rPr>
              <w:t>2.59</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kern w:val="2"/>
                <w:sz w:val="18"/>
                <w:szCs w:val="18"/>
              </w:rPr>
            </w:pPr>
            <w:r>
              <w:rPr>
                <w:rFonts w:hint="eastAsia" w:ascii="Times New Roman" w:hAnsi="Times New Roman" w:eastAsia="方正仿宋_GBK" w:cs="方正仿宋_GBK"/>
                <w:b w:val="0"/>
                <w:bCs/>
                <w:color w:val="000000"/>
                <w:kern w:val="2"/>
                <w:sz w:val="18"/>
                <w:szCs w:val="18"/>
              </w:rPr>
              <w:t>2.59</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六、资产信息</w:t>
            </w:r>
          </w:p>
        </w:tc>
        <w:tc>
          <w:tcPr>
            <w:tcW w:w="36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kern w:val="2"/>
                <w:sz w:val="18"/>
                <w:szCs w:val="18"/>
              </w:rPr>
            </w:pP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kern w:val="2"/>
                <w:sz w:val="18"/>
                <w:szCs w:val="18"/>
              </w:rPr>
            </w:pP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（一）车辆数合计（辆）</w:t>
            </w:r>
          </w:p>
        </w:tc>
        <w:tc>
          <w:tcPr>
            <w:tcW w:w="36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2</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kern w:val="2"/>
                <w:sz w:val="18"/>
                <w:szCs w:val="18"/>
              </w:rPr>
            </w:pPr>
            <w:r>
              <w:rPr>
                <w:rFonts w:hint="eastAsia" w:ascii="Times New Roman" w:hAnsi="Times New Roman" w:eastAsia="方正仿宋_GBK" w:cs="方正仿宋_GBK"/>
                <w:b w:val="0"/>
                <w:bCs/>
                <w:color w:val="000000"/>
                <w:kern w:val="2"/>
                <w:sz w:val="18"/>
                <w:szCs w:val="18"/>
              </w:rPr>
              <w:t>2.59</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kern w:val="2"/>
                <w:sz w:val="18"/>
                <w:szCs w:val="18"/>
              </w:rPr>
            </w:pPr>
            <w:r>
              <w:rPr>
                <w:rFonts w:hint="eastAsia" w:ascii="Times New Roman" w:hAnsi="Times New Roman" w:eastAsia="方正仿宋_GBK" w:cs="方正仿宋_GBK"/>
                <w:b w:val="0"/>
                <w:bCs/>
                <w:color w:val="000000"/>
                <w:kern w:val="2"/>
                <w:sz w:val="18"/>
                <w:szCs w:val="18"/>
              </w:rPr>
              <w:t>2.59</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1．副部（省）级及以上领导用车</w:t>
            </w:r>
          </w:p>
        </w:tc>
        <w:tc>
          <w:tcPr>
            <w:tcW w:w="36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sz w:val="18"/>
                <w:szCs w:val="18"/>
              </w:rPr>
            </w:pP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kern w:val="2"/>
                <w:sz w:val="18"/>
                <w:szCs w:val="18"/>
              </w:rPr>
            </w:pPr>
            <w:r>
              <w:rPr>
                <w:rFonts w:hint="eastAsia" w:ascii="Times New Roman" w:hAnsi="Times New Roman" w:eastAsia="方正仿宋_GBK" w:cs="方正仿宋_GBK"/>
                <w:b w:val="0"/>
                <w:bCs/>
                <w:color w:val="000000"/>
                <w:kern w:val="2"/>
                <w:sz w:val="18"/>
                <w:szCs w:val="18"/>
              </w:rPr>
              <w:t>3.74</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kern w:val="2"/>
                <w:sz w:val="18"/>
                <w:szCs w:val="18"/>
              </w:rPr>
            </w:pPr>
            <w:r>
              <w:rPr>
                <w:rFonts w:hint="eastAsia" w:ascii="Times New Roman" w:hAnsi="Times New Roman" w:eastAsia="方正仿宋_GBK" w:cs="方正仿宋_GBK"/>
                <w:b w:val="0"/>
                <w:bCs/>
                <w:color w:val="000000"/>
                <w:kern w:val="2"/>
                <w:sz w:val="18"/>
                <w:szCs w:val="18"/>
              </w:rPr>
              <w:t>3.74</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2．主要领导干部用车</w:t>
            </w:r>
          </w:p>
        </w:tc>
        <w:tc>
          <w:tcPr>
            <w:tcW w:w="36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sz w:val="18"/>
                <w:szCs w:val="18"/>
              </w:rPr>
            </w:pP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8"/>
                <w:szCs w:val="18"/>
              </w:rPr>
            </w:pPr>
            <w:r>
              <w:rPr>
                <w:rFonts w:hint="eastAsia" w:ascii="Times New Roman" w:hAnsi="Times New Roman" w:eastAsia="方正仿宋_GBK" w:cs="方正仿宋_GBK"/>
                <w:b w:val="0"/>
                <w:bCs/>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kern w:val="2"/>
                <w:sz w:val="18"/>
                <w:szCs w:val="18"/>
              </w:rPr>
            </w:pPr>
            <w:r>
              <w:rPr>
                <w:rFonts w:hint="eastAsia" w:ascii="Times New Roman" w:hAnsi="Times New Roman" w:eastAsia="方正仿宋_GBK" w:cs="方正仿宋_GBK"/>
                <w:b w:val="0"/>
                <w:bCs/>
                <w:color w:val="000000"/>
                <w:kern w:val="2"/>
                <w:sz w:val="18"/>
                <w:szCs w:val="18"/>
              </w:rPr>
              <w:t>3.74</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3．机要通信用车</w:t>
            </w:r>
          </w:p>
        </w:tc>
        <w:tc>
          <w:tcPr>
            <w:tcW w:w="36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sz w:val="18"/>
                <w:szCs w:val="18"/>
              </w:rPr>
            </w:pP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8"/>
                <w:szCs w:val="18"/>
              </w:rPr>
            </w:pPr>
            <w:r>
              <w:rPr>
                <w:rFonts w:hint="eastAsia" w:ascii="Times New Roman" w:hAnsi="Times New Roman" w:eastAsia="方正仿宋_GBK" w:cs="方正仿宋_GBK"/>
                <w:b w:val="0"/>
                <w:bCs/>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kern w:val="2"/>
                <w:sz w:val="18"/>
                <w:szCs w:val="18"/>
              </w:rPr>
            </w:pP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4．应急保障用车</w:t>
            </w:r>
          </w:p>
        </w:tc>
        <w:tc>
          <w:tcPr>
            <w:tcW w:w="36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2</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8"/>
                <w:szCs w:val="18"/>
              </w:rPr>
            </w:pPr>
            <w:r>
              <w:rPr>
                <w:rFonts w:hint="eastAsia" w:ascii="Times New Roman" w:hAnsi="Times New Roman" w:eastAsia="方正仿宋_GBK" w:cs="方正仿宋_GBK"/>
                <w:b w:val="0"/>
                <w:bCs/>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kern w:val="2"/>
                <w:sz w:val="18"/>
                <w:szCs w:val="18"/>
              </w:rPr>
            </w:pP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5．执法执勤用车</w:t>
            </w:r>
          </w:p>
        </w:tc>
        <w:tc>
          <w:tcPr>
            <w:tcW w:w="36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sz w:val="18"/>
                <w:szCs w:val="18"/>
              </w:rPr>
            </w:pP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8"/>
                <w:szCs w:val="18"/>
              </w:rPr>
            </w:pPr>
            <w:r>
              <w:rPr>
                <w:rFonts w:hint="eastAsia" w:ascii="Times New Roman" w:hAnsi="Times New Roman" w:eastAsia="方正仿宋_GBK" w:cs="方正仿宋_GBK"/>
                <w:b w:val="0"/>
                <w:bCs/>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center"/>
              <w:rPr>
                <w:rFonts w:hint="eastAsia" w:ascii="Times New Roman" w:hAnsi="Times New Roman" w:eastAsia="方正仿宋_GBK" w:cs="方正仿宋_GBK"/>
                <w:b w:val="0"/>
                <w:bCs/>
                <w:color w:val="000000"/>
                <w:kern w:val="2"/>
                <w:sz w:val="18"/>
                <w:szCs w:val="18"/>
              </w:rPr>
            </w:pPr>
            <w:r>
              <w:rPr>
                <w:rFonts w:hint="eastAsia" w:ascii="Times New Roman" w:hAnsi="Times New Roman" w:eastAsia="方正仿宋_GBK" w:cs="方正仿宋_GBK"/>
                <w:b w:val="0"/>
                <w:bCs/>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6．特种专业技术用车</w:t>
            </w:r>
          </w:p>
        </w:tc>
        <w:tc>
          <w:tcPr>
            <w:tcW w:w="36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sz w:val="18"/>
                <w:szCs w:val="18"/>
              </w:rPr>
            </w:pP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8"/>
                <w:szCs w:val="18"/>
              </w:rPr>
            </w:pPr>
            <w:r>
              <w:rPr>
                <w:rFonts w:hint="eastAsia" w:ascii="Times New Roman" w:hAnsi="Times New Roman" w:eastAsia="方正仿宋_GBK" w:cs="方正仿宋_GBK"/>
                <w:b w:val="0"/>
                <w:bCs/>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kern w:val="2"/>
                <w:sz w:val="18"/>
                <w:szCs w:val="18"/>
              </w:rPr>
            </w:pP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7．离退休干部用车</w:t>
            </w:r>
          </w:p>
        </w:tc>
        <w:tc>
          <w:tcPr>
            <w:tcW w:w="36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sz w:val="18"/>
                <w:szCs w:val="18"/>
              </w:rPr>
            </w:pP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8"/>
                <w:szCs w:val="18"/>
              </w:rPr>
            </w:pPr>
            <w:r>
              <w:rPr>
                <w:rFonts w:hint="eastAsia" w:ascii="Times New Roman" w:hAnsi="Times New Roman" w:eastAsia="方正仿宋_GBK" w:cs="方正仿宋_GBK"/>
                <w:b w:val="0"/>
                <w:bCs/>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kern w:val="2"/>
                <w:sz w:val="18"/>
                <w:szCs w:val="18"/>
              </w:rPr>
            </w:pP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8．其他用车</w:t>
            </w:r>
          </w:p>
        </w:tc>
        <w:tc>
          <w:tcPr>
            <w:tcW w:w="36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sz w:val="18"/>
                <w:szCs w:val="18"/>
              </w:rPr>
            </w:pP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8"/>
                <w:szCs w:val="18"/>
              </w:rPr>
            </w:pPr>
            <w:r>
              <w:rPr>
                <w:rFonts w:hint="eastAsia" w:ascii="Times New Roman" w:hAnsi="Times New Roman" w:eastAsia="方正仿宋_GBK" w:cs="方正仿宋_GBK"/>
                <w:b w:val="0"/>
                <w:bCs/>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kern w:val="2"/>
                <w:sz w:val="18"/>
                <w:szCs w:val="18"/>
              </w:rPr>
            </w:pP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（二）单价100万元（含）以上设备（不含车辆）</w:t>
            </w:r>
          </w:p>
        </w:tc>
        <w:tc>
          <w:tcPr>
            <w:tcW w:w="36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sz w:val="18"/>
                <w:szCs w:val="18"/>
              </w:rPr>
            </w:pP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8"/>
                <w:szCs w:val="18"/>
              </w:rPr>
            </w:pPr>
            <w:r>
              <w:rPr>
                <w:rFonts w:hint="eastAsia" w:ascii="Times New Roman" w:hAnsi="Times New Roman" w:eastAsia="方正仿宋_GBK" w:cs="方正仿宋_GBK"/>
                <w:b w:val="0"/>
                <w:bCs/>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kern w:val="2"/>
                <w:sz w:val="18"/>
                <w:szCs w:val="18"/>
              </w:rPr>
            </w:pPr>
            <w:r>
              <w:rPr>
                <w:rFonts w:hint="eastAsia" w:ascii="Times New Roman" w:hAnsi="Times New Roman" w:eastAsia="方正仿宋_GBK" w:cs="方正仿宋_GBK"/>
                <w:b w:val="0"/>
                <w:bCs/>
                <w:color w:val="000000"/>
                <w:kern w:val="2"/>
                <w:sz w:val="18"/>
                <w:szCs w:val="18"/>
              </w:rPr>
              <w:t>2</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七、政府采购支出信息</w:t>
            </w:r>
          </w:p>
        </w:tc>
        <w:tc>
          <w:tcPr>
            <w:tcW w:w="36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8"/>
                <w:szCs w:val="18"/>
              </w:rPr>
            </w:pPr>
            <w:r>
              <w:rPr>
                <w:rFonts w:hint="eastAsia" w:ascii="Times New Roman" w:hAnsi="Times New Roman" w:eastAsia="方正仿宋_GBK" w:cs="方正仿宋_GBK"/>
                <w:b w:val="0"/>
                <w:bCs/>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kern w:val="2"/>
                <w:sz w:val="18"/>
                <w:szCs w:val="18"/>
              </w:rPr>
            </w:pPr>
            <w:r>
              <w:rPr>
                <w:rFonts w:hint="eastAsia" w:ascii="Times New Roman" w:hAnsi="Times New Roman" w:eastAsia="方正仿宋_GBK" w:cs="方正仿宋_GBK"/>
                <w:b w:val="0"/>
                <w:bCs/>
                <w:color w:val="000000"/>
                <w:kern w:val="2"/>
                <w:sz w:val="18"/>
                <w:szCs w:val="18"/>
              </w:rPr>
              <w:t>125</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（一）政府采购支出合计</w:t>
            </w:r>
          </w:p>
        </w:tc>
        <w:tc>
          <w:tcPr>
            <w:tcW w:w="36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sz w:val="18"/>
                <w:szCs w:val="18"/>
              </w:rPr>
            </w:pP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8"/>
                <w:szCs w:val="18"/>
              </w:rPr>
            </w:pPr>
            <w:r>
              <w:rPr>
                <w:rFonts w:hint="eastAsia" w:ascii="Times New Roman" w:hAnsi="Times New Roman" w:eastAsia="方正仿宋_GBK" w:cs="方正仿宋_GBK"/>
                <w:b w:val="0"/>
                <w:bCs/>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kern w:val="2"/>
                <w:sz w:val="18"/>
                <w:szCs w:val="18"/>
              </w:rPr>
            </w:pP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1．政府采购货物支出</w:t>
            </w:r>
          </w:p>
        </w:tc>
        <w:tc>
          <w:tcPr>
            <w:tcW w:w="36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sz w:val="18"/>
                <w:szCs w:val="18"/>
              </w:rPr>
            </w:pP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8"/>
                <w:szCs w:val="18"/>
              </w:rPr>
            </w:pPr>
            <w:r>
              <w:rPr>
                <w:rFonts w:hint="eastAsia" w:ascii="Times New Roman" w:hAnsi="Times New Roman" w:eastAsia="方正仿宋_GBK" w:cs="方正仿宋_GBK"/>
                <w:b w:val="0"/>
                <w:bCs/>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kern w:val="2"/>
                <w:sz w:val="18"/>
                <w:szCs w:val="18"/>
              </w:rPr>
            </w:pPr>
            <w:r>
              <w:rPr>
                <w:rFonts w:hint="eastAsia" w:ascii="Times New Roman" w:hAnsi="Times New Roman" w:eastAsia="方正仿宋_GBK" w:cs="方正仿宋_GBK"/>
                <w:b w:val="0"/>
                <w:bCs/>
                <w:color w:val="000000"/>
                <w:kern w:val="2"/>
                <w:sz w:val="18"/>
                <w:szCs w:val="18"/>
              </w:rPr>
              <w:t>747</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2．政府采购工程支出</w:t>
            </w:r>
          </w:p>
        </w:tc>
        <w:tc>
          <w:tcPr>
            <w:tcW w:w="36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sz w:val="18"/>
                <w:szCs w:val="18"/>
              </w:rPr>
            </w:pP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8"/>
                <w:szCs w:val="18"/>
              </w:rPr>
            </w:pPr>
            <w:r>
              <w:rPr>
                <w:rFonts w:hint="eastAsia" w:ascii="Times New Roman" w:hAnsi="Times New Roman" w:eastAsia="方正仿宋_GBK" w:cs="方正仿宋_GBK"/>
                <w:b w:val="0"/>
                <w:bCs/>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kern w:val="2"/>
                <w:sz w:val="18"/>
                <w:szCs w:val="18"/>
              </w:rPr>
            </w:pP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3．政府采购服务支出</w:t>
            </w:r>
          </w:p>
        </w:tc>
        <w:tc>
          <w:tcPr>
            <w:tcW w:w="36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sz w:val="18"/>
                <w:szCs w:val="18"/>
              </w:rPr>
            </w:pP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8"/>
                <w:szCs w:val="18"/>
              </w:rPr>
            </w:pPr>
            <w:r>
              <w:rPr>
                <w:rFonts w:hint="eastAsia" w:ascii="Times New Roman" w:hAnsi="Times New Roman" w:eastAsia="方正仿宋_GBK" w:cs="方正仿宋_GBK"/>
                <w:b w:val="0"/>
                <w:bCs/>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kern w:val="2"/>
                <w:sz w:val="18"/>
                <w:szCs w:val="18"/>
              </w:rPr>
            </w:pP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（二）政府采购授予中小企业合同金额</w:t>
            </w:r>
          </w:p>
        </w:tc>
        <w:tc>
          <w:tcPr>
            <w:tcW w:w="36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sz w:val="18"/>
                <w:szCs w:val="18"/>
              </w:rPr>
            </w:pP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8"/>
                <w:szCs w:val="18"/>
              </w:rPr>
            </w:pPr>
            <w:r>
              <w:rPr>
                <w:rFonts w:hint="eastAsia" w:ascii="Times New Roman" w:hAnsi="Times New Roman" w:eastAsia="方正仿宋_GBK" w:cs="方正仿宋_GBK"/>
                <w:b w:val="0"/>
                <w:bCs/>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kern w:val="2"/>
                <w:sz w:val="18"/>
                <w:szCs w:val="18"/>
              </w:rPr>
            </w:pP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其中：授予小微企业合同金额</w:t>
            </w:r>
          </w:p>
        </w:tc>
        <w:tc>
          <w:tcPr>
            <w:tcW w:w="36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sz w:val="18"/>
                <w:szCs w:val="18"/>
              </w:rPr>
            </w:pPr>
          </w:p>
        </w:tc>
      </w:tr>
      <w:tr>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8"/>
                <w:szCs w:val="18"/>
              </w:rPr>
            </w:pPr>
            <w:r>
              <w:rPr>
                <w:rFonts w:hint="eastAsia" w:ascii="Times New Roman" w:hAnsi="Times New Roman" w:eastAsia="方正仿宋_GBK" w:cs="方正仿宋_GBK"/>
                <w:b w:val="0"/>
                <w:bCs/>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kern w:val="2"/>
                <w:sz w:val="18"/>
                <w:szCs w:val="18"/>
              </w:rPr>
            </w:pPr>
            <w:r>
              <w:rPr>
                <w:rFonts w:hint="eastAsia" w:ascii="Times New Roman" w:hAnsi="Times New Roman" w:eastAsia="方正仿宋_GBK" w:cs="方正仿宋_GBK"/>
                <w:b w:val="0"/>
                <w:bCs/>
                <w:color w:val="000000"/>
                <w:kern w:val="2"/>
                <w:sz w:val="18"/>
                <w:szCs w:val="18"/>
              </w:rPr>
              <w:t>0.80</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kern w:val="2"/>
                <w:sz w:val="16"/>
                <w:szCs w:val="16"/>
              </w:rPr>
            </w:pPr>
          </w:p>
        </w:tc>
        <w:tc>
          <w:tcPr>
            <w:tcW w:w="36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kern w:val="2"/>
                <w:sz w:val="16"/>
                <w:szCs w:val="16"/>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8"/>
                <w:szCs w:val="18"/>
              </w:rPr>
            </w:pPr>
            <w:r>
              <w:rPr>
                <w:rFonts w:hint="eastAsia" w:ascii="Times New Roman" w:hAnsi="Times New Roman" w:eastAsia="方正仿宋_GBK" w:cs="方正仿宋_GBK"/>
                <w:b w:val="0"/>
                <w:bCs/>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kern w:val="2"/>
                <w:sz w:val="18"/>
                <w:szCs w:val="18"/>
              </w:rPr>
            </w:pPr>
            <w:r>
              <w:rPr>
                <w:rFonts w:hint="eastAsia" w:ascii="Times New Roman" w:hAnsi="Times New Roman" w:eastAsia="方正仿宋_GBK" w:cs="方正仿宋_GBK"/>
                <w:b w:val="0"/>
                <w:bCs/>
                <w:color w:val="000000"/>
                <w:kern w:val="2"/>
                <w:sz w:val="18"/>
                <w:szCs w:val="18"/>
              </w:rPr>
              <w:t>1.45</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kern w:val="2"/>
                <w:sz w:val="16"/>
                <w:szCs w:val="16"/>
              </w:rPr>
            </w:pPr>
          </w:p>
        </w:tc>
        <w:tc>
          <w:tcPr>
            <w:tcW w:w="36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kern w:val="2"/>
                <w:sz w:val="16"/>
                <w:szCs w:val="16"/>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6"/>
                <w:szCs w:val="16"/>
              </w:rPr>
            </w:pPr>
            <w:r>
              <w:rPr>
                <w:rFonts w:hint="eastAsia" w:ascii="Times New Roman" w:hAnsi="Times New Roman" w:eastAsia="方正仿宋_GBK" w:cs="方正仿宋_GBK"/>
                <w:b w:val="0"/>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22.16</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6"/>
                <w:szCs w:val="16"/>
              </w:rPr>
            </w:pPr>
          </w:p>
        </w:tc>
        <w:tc>
          <w:tcPr>
            <w:tcW w:w="36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6"/>
                <w:szCs w:val="16"/>
              </w:rPr>
            </w:pPr>
          </w:p>
        </w:tc>
      </w:tr>
    </w:tbl>
    <w:p>
      <w:pPr>
        <w:keepNext w:val="0"/>
        <w:keepLines w:val="0"/>
        <w:pageBreakBefore w:val="0"/>
        <w:widowControl/>
        <w:kinsoku/>
        <w:wordWrap/>
        <w:overflowPunct/>
        <w:topLinePunct w:val="0"/>
        <w:autoSpaceDE/>
        <w:autoSpaceDN/>
        <w:bidi w:val="0"/>
        <w:adjustRightInd/>
        <w:snapToGrid/>
        <w:spacing w:line="240" w:lineRule="auto"/>
        <w:jc w:val="left"/>
        <w:textAlignment w:val="bottom"/>
        <w:rPr>
          <w:rFonts w:hint="eastAsia" w:ascii="Times New Roman" w:hAnsi="Times New Roman" w:eastAsia="方正仿宋_GBK" w:cs="方正仿宋_GBK"/>
          <w:sz w:val="18"/>
          <w:szCs w:val="18"/>
        </w:rPr>
      </w:pPr>
      <w:r>
        <w:rPr>
          <w:rFonts w:hint="eastAsia" w:ascii="Times New Roman" w:hAnsi="Times New Roman" w:eastAsia="方正仿宋_GBK" w:cs="方正仿宋_GBK"/>
          <w:b w:val="0"/>
          <w:bCs/>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hint="eastAsia" w:ascii="Times New Roman" w:hAnsi="Times New Roman" w:eastAsia="方正仿宋_GBK" w:cs="方正仿宋_GBK"/>
          <w:b w:val="0"/>
          <w:bCs/>
          <w:sz w:val="18"/>
          <w:szCs w:val="18"/>
        </w:rPr>
        <w:br w:type="textWrapping"/>
      </w:r>
      <w:r>
        <w:rPr>
          <w:rFonts w:hint="eastAsia" w:ascii="Times New Roman" w:hAnsi="Times New Roman" w:eastAsia="方正仿宋_GBK" w:cs="方正仿宋_GBK"/>
          <w:b w:val="0"/>
          <w:bCs/>
          <w:sz w:val="18"/>
          <w:szCs w:val="18"/>
        </w:rPr>
        <w:t xml:space="preserve">      2.本套报表金额单位转换时可能存在尾数误差。</w:t>
      </w:r>
      <w:r>
        <w:rPr>
          <w:rFonts w:hint="eastAsia" w:ascii="Times New Roman" w:hAnsi="Times New Roman" w:eastAsia="方正仿宋_GBK" w:cs="方正仿宋_GBK"/>
          <w:sz w:val="18"/>
          <w:szCs w:val="18"/>
        </w:rPr>
        <w:br w:type="textWrapping"/>
      </w:r>
      <w:r>
        <w:rPr>
          <w:rFonts w:hint="eastAsia" w:ascii="Times New Roman" w:hAnsi="Times New Roman" w:eastAsia="方正仿宋_GBK" w:cs="方正仿宋_GBK"/>
          <w:sz w:val="18"/>
          <w:szCs w:val="18"/>
        </w:rPr>
        <w:br w:type="textWrapping"/>
      </w:r>
    </w:p>
    <w:sectPr>
      <w:pgSz w:w="16783" w:h="11850" w:orient="landscape"/>
      <w:pgMar w:top="567" w:right="454" w:bottom="567" w:left="1037" w:header="0" w:footer="283" w:gutter="0"/>
      <w:pgNumType w:fmt="decimal"/>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rPr>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v:path/>
          <v:fill on="f" focussize="0,0"/>
          <v:stroke on="f" weight="0.5pt"/>
          <v:imagedata o:title=""/>
          <o:lock v:ext="edit" aspectratio="f"/>
          <v:textbox inset="0mm,0mm,0mm,0mm" style="mso-fit-shape-to-text:t;">
            <w:txbxContent>
              <w:p>
                <w:pPr>
                  <w:pStyle w:val="4"/>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- 1 -</w:t>
                </w:r>
                <w:r>
                  <w:rPr>
                    <w:rFonts w:hint="default"/>
                    <w:sz w:val="28"/>
                    <w:szCs w:val="28"/>
                  </w:rPr>
                  <w:fldChar w:fldCharType="end"/>
                </w:r>
                <w:r>
                  <w:rPr>
                    <w:rFonts w:hint="default"/>
                    <w:sz w:val="28"/>
                    <w:szCs w:val="28"/>
                  </w:rP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4"/>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HorizontalSpacing w:val="120"/>
  <w:drawingGridVerticalSpacing w:val="163"/>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jRiYmFkZjU3ZWZjZDY5NmU5MDlkMGRjZTY2MTQ4NTgifQ=="/>
  </w:docVars>
  <w:rsids>
    <w:rsidRoot w:val="00B03CCD"/>
    <w:rsid w:val="000239C6"/>
    <w:rsid w:val="001D3BB7"/>
    <w:rsid w:val="002330C4"/>
    <w:rsid w:val="002B254B"/>
    <w:rsid w:val="0034050A"/>
    <w:rsid w:val="0044504F"/>
    <w:rsid w:val="00466C9B"/>
    <w:rsid w:val="00486CFC"/>
    <w:rsid w:val="00491DDD"/>
    <w:rsid w:val="00550ABE"/>
    <w:rsid w:val="00623A85"/>
    <w:rsid w:val="00770383"/>
    <w:rsid w:val="007819D4"/>
    <w:rsid w:val="007B419D"/>
    <w:rsid w:val="007B7C4B"/>
    <w:rsid w:val="007D3D39"/>
    <w:rsid w:val="008A51CD"/>
    <w:rsid w:val="009744F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743B5"/>
    <w:rsid w:val="00DD0539"/>
    <w:rsid w:val="00E07662"/>
    <w:rsid w:val="00E368E9"/>
    <w:rsid w:val="00EE1E33"/>
    <w:rsid w:val="00F73F90"/>
    <w:rsid w:val="00FB4B3B"/>
    <w:rsid w:val="01474EBF"/>
    <w:rsid w:val="018770DA"/>
    <w:rsid w:val="01F3521E"/>
    <w:rsid w:val="03B87EA0"/>
    <w:rsid w:val="03E3214F"/>
    <w:rsid w:val="044C50BA"/>
    <w:rsid w:val="05485881"/>
    <w:rsid w:val="05BC6D49"/>
    <w:rsid w:val="06194FF1"/>
    <w:rsid w:val="06A2550B"/>
    <w:rsid w:val="06F80EE2"/>
    <w:rsid w:val="07001CCA"/>
    <w:rsid w:val="075678DB"/>
    <w:rsid w:val="077B465F"/>
    <w:rsid w:val="079D7CC7"/>
    <w:rsid w:val="08051BCA"/>
    <w:rsid w:val="081E6D6D"/>
    <w:rsid w:val="086C12F4"/>
    <w:rsid w:val="08705944"/>
    <w:rsid w:val="08BA052C"/>
    <w:rsid w:val="08DB07BA"/>
    <w:rsid w:val="094B3FAC"/>
    <w:rsid w:val="0969353F"/>
    <w:rsid w:val="098305D0"/>
    <w:rsid w:val="09B1218B"/>
    <w:rsid w:val="09F9539C"/>
    <w:rsid w:val="0A3317EA"/>
    <w:rsid w:val="0A5C4B69"/>
    <w:rsid w:val="0A86124A"/>
    <w:rsid w:val="0AB54CC0"/>
    <w:rsid w:val="0B9335CE"/>
    <w:rsid w:val="0BF2311A"/>
    <w:rsid w:val="0C2D57D1"/>
    <w:rsid w:val="0C7927C4"/>
    <w:rsid w:val="0C9B098C"/>
    <w:rsid w:val="0D020A0B"/>
    <w:rsid w:val="0D4F0558"/>
    <w:rsid w:val="0D673E11"/>
    <w:rsid w:val="0DD56176"/>
    <w:rsid w:val="0DDA54E4"/>
    <w:rsid w:val="0E3A5F83"/>
    <w:rsid w:val="0F836721"/>
    <w:rsid w:val="0FA25D96"/>
    <w:rsid w:val="0FED5CD5"/>
    <w:rsid w:val="107B59E5"/>
    <w:rsid w:val="10EC0126"/>
    <w:rsid w:val="10F70B9A"/>
    <w:rsid w:val="111445C7"/>
    <w:rsid w:val="114278C6"/>
    <w:rsid w:val="1158083A"/>
    <w:rsid w:val="11643A4B"/>
    <w:rsid w:val="118B7221"/>
    <w:rsid w:val="11ED0F98"/>
    <w:rsid w:val="11F03528"/>
    <w:rsid w:val="126637EB"/>
    <w:rsid w:val="12C921C4"/>
    <w:rsid w:val="12CC7AF2"/>
    <w:rsid w:val="12FB350A"/>
    <w:rsid w:val="13871C70"/>
    <w:rsid w:val="13A71CB4"/>
    <w:rsid w:val="13AF1D43"/>
    <w:rsid w:val="13C744B2"/>
    <w:rsid w:val="13CE1647"/>
    <w:rsid w:val="13FD55AB"/>
    <w:rsid w:val="14200702"/>
    <w:rsid w:val="14370EA1"/>
    <w:rsid w:val="143B6AD4"/>
    <w:rsid w:val="15791A87"/>
    <w:rsid w:val="163A6CEE"/>
    <w:rsid w:val="16BA5EB3"/>
    <w:rsid w:val="173708E3"/>
    <w:rsid w:val="17C374FC"/>
    <w:rsid w:val="17E1613D"/>
    <w:rsid w:val="182E4AB6"/>
    <w:rsid w:val="18300B23"/>
    <w:rsid w:val="183103F7"/>
    <w:rsid w:val="18433D91"/>
    <w:rsid w:val="189079DC"/>
    <w:rsid w:val="189B0D0B"/>
    <w:rsid w:val="18B43F7C"/>
    <w:rsid w:val="191C433B"/>
    <w:rsid w:val="194A1770"/>
    <w:rsid w:val="19B906A4"/>
    <w:rsid w:val="1A644AB4"/>
    <w:rsid w:val="1A7F369B"/>
    <w:rsid w:val="1B6F15B6"/>
    <w:rsid w:val="1BAA2EDC"/>
    <w:rsid w:val="1C1918CE"/>
    <w:rsid w:val="1CA55E64"/>
    <w:rsid w:val="1D014A01"/>
    <w:rsid w:val="1D022362"/>
    <w:rsid w:val="1D1B04B0"/>
    <w:rsid w:val="1DA52501"/>
    <w:rsid w:val="1DBD6767"/>
    <w:rsid w:val="1DC52125"/>
    <w:rsid w:val="1DD26311"/>
    <w:rsid w:val="1E374ACB"/>
    <w:rsid w:val="1EC27FFB"/>
    <w:rsid w:val="1ECF0A66"/>
    <w:rsid w:val="1EF67CA4"/>
    <w:rsid w:val="1EFF2FFD"/>
    <w:rsid w:val="1F020D3A"/>
    <w:rsid w:val="1F2C5189"/>
    <w:rsid w:val="1F4B0B02"/>
    <w:rsid w:val="1F811C64"/>
    <w:rsid w:val="1FBB35CD"/>
    <w:rsid w:val="1FCD26AF"/>
    <w:rsid w:val="20642787"/>
    <w:rsid w:val="20C0056A"/>
    <w:rsid w:val="21556F04"/>
    <w:rsid w:val="21EE1107"/>
    <w:rsid w:val="22403BD3"/>
    <w:rsid w:val="22AD3177"/>
    <w:rsid w:val="235417B6"/>
    <w:rsid w:val="2358717F"/>
    <w:rsid w:val="23694EE9"/>
    <w:rsid w:val="24B92327"/>
    <w:rsid w:val="24C14514"/>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E5B7B24"/>
    <w:rsid w:val="2E660223"/>
    <w:rsid w:val="2F566C69"/>
    <w:rsid w:val="2FCA4B37"/>
    <w:rsid w:val="2FE029D7"/>
    <w:rsid w:val="2FF06E00"/>
    <w:rsid w:val="30586FEC"/>
    <w:rsid w:val="30BE67FD"/>
    <w:rsid w:val="315076E8"/>
    <w:rsid w:val="315F0B22"/>
    <w:rsid w:val="31A15828"/>
    <w:rsid w:val="31D84415"/>
    <w:rsid w:val="32285F6F"/>
    <w:rsid w:val="325A028B"/>
    <w:rsid w:val="32770556"/>
    <w:rsid w:val="329C0913"/>
    <w:rsid w:val="32AA0460"/>
    <w:rsid w:val="3337290D"/>
    <w:rsid w:val="33E31118"/>
    <w:rsid w:val="33EF7674"/>
    <w:rsid w:val="342D7BC6"/>
    <w:rsid w:val="350C13E6"/>
    <w:rsid w:val="352930DB"/>
    <w:rsid w:val="35573069"/>
    <w:rsid w:val="355F6038"/>
    <w:rsid w:val="358C217E"/>
    <w:rsid w:val="35C67F79"/>
    <w:rsid w:val="36C9128A"/>
    <w:rsid w:val="37841E99"/>
    <w:rsid w:val="37BF1123"/>
    <w:rsid w:val="383C3F15"/>
    <w:rsid w:val="387E68E3"/>
    <w:rsid w:val="38BE4696"/>
    <w:rsid w:val="3939115E"/>
    <w:rsid w:val="39B82A39"/>
    <w:rsid w:val="39C42CA8"/>
    <w:rsid w:val="39DC4FD6"/>
    <w:rsid w:val="39F03D7A"/>
    <w:rsid w:val="39F33306"/>
    <w:rsid w:val="3A2C1C67"/>
    <w:rsid w:val="3A671886"/>
    <w:rsid w:val="3A6A77C9"/>
    <w:rsid w:val="3ADD7F09"/>
    <w:rsid w:val="3B1705E5"/>
    <w:rsid w:val="3B18334B"/>
    <w:rsid w:val="3B36794F"/>
    <w:rsid w:val="3B6F6EE0"/>
    <w:rsid w:val="3BDC4AFB"/>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0C6ED8"/>
    <w:rsid w:val="40760DD1"/>
    <w:rsid w:val="40BD5482"/>
    <w:rsid w:val="411B6CE5"/>
    <w:rsid w:val="412070D7"/>
    <w:rsid w:val="41314E40"/>
    <w:rsid w:val="41322966"/>
    <w:rsid w:val="41E0734B"/>
    <w:rsid w:val="42340B46"/>
    <w:rsid w:val="426C1EA8"/>
    <w:rsid w:val="42736402"/>
    <w:rsid w:val="42E86A87"/>
    <w:rsid w:val="43307B09"/>
    <w:rsid w:val="439A3EB9"/>
    <w:rsid w:val="43BB152F"/>
    <w:rsid w:val="44C37687"/>
    <w:rsid w:val="45CB699A"/>
    <w:rsid w:val="46423C66"/>
    <w:rsid w:val="465B470D"/>
    <w:rsid w:val="469D6AD4"/>
    <w:rsid w:val="46FF32EA"/>
    <w:rsid w:val="471E6C84"/>
    <w:rsid w:val="4748792B"/>
    <w:rsid w:val="475D719D"/>
    <w:rsid w:val="47674801"/>
    <w:rsid w:val="47A44D3E"/>
    <w:rsid w:val="48225EF7"/>
    <w:rsid w:val="488F422B"/>
    <w:rsid w:val="48D82045"/>
    <w:rsid w:val="48E36915"/>
    <w:rsid w:val="48EB6572"/>
    <w:rsid w:val="49262DB0"/>
    <w:rsid w:val="495C4A24"/>
    <w:rsid w:val="497135DF"/>
    <w:rsid w:val="4A1B668D"/>
    <w:rsid w:val="4A263DF2"/>
    <w:rsid w:val="4A2F278B"/>
    <w:rsid w:val="4A6F6675"/>
    <w:rsid w:val="4B135857"/>
    <w:rsid w:val="4B6A2071"/>
    <w:rsid w:val="4B7951CB"/>
    <w:rsid w:val="4B7C315C"/>
    <w:rsid w:val="4D1F53CA"/>
    <w:rsid w:val="4DAC4ACA"/>
    <w:rsid w:val="4DBE01D2"/>
    <w:rsid w:val="4EFD467F"/>
    <w:rsid w:val="4F0C6BA3"/>
    <w:rsid w:val="4F186D58"/>
    <w:rsid w:val="504B6EAA"/>
    <w:rsid w:val="50F06B6E"/>
    <w:rsid w:val="51A27694"/>
    <w:rsid w:val="51D21804"/>
    <w:rsid w:val="51DE7EB5"/>
    <w:rsid w:val="520F7D32"/>
    <w:rsid w:val="52234D33"/>
    <w:rsid w:val="522F6E0C"/>
    <w:rsid w:val="52463BA1"/>
    <w:rsid w:val="52646216"/>
    <w:rsid w:val="528B1ED6"/>
    <w:rsid w:val="52AF0D84"/>
    <w:rsid w:val="52F163D4"/>
    <w:rsid w:val="53156910"/>
    <w:rsid w:val="531A2DB4"/>
    <w:rsid w:val="53C0244D"/>
    <w:rsid w:val="53DD4D4E"/>
    <w:rsid w:val="53E578CE"/>
    <w:rsid w:val="53F21C3B"/>
    <w:rsid w:val="541330F0"/>
    <w:rsid w:val="54272666"/>
    <w:rsid w:val="543B029D"/>
    <w:rsid w:val="54861779"/>
    <w:rsid w:val="54971006"/>
    <w:rsid w:val="54E93D09"/>
    <w:rsid w:val="55084A4C"/>
    <w:rsid w:val="552256E1"/>
    <w:rsid w:val="554E5773"/>
    <w:rsid w:val="555829E0"/>
    <w:rsid w:val="555A3CBC"/>
    <w:rsid w:val="5582012B"/>
    <w:rsid w:val="558E4E05"/>
    <w:rsid w:val="55BE2E85"/>
    <w:rsid w:val="56530F5D"/>
    <w:rsid w:val="567700D3"/>
    <w:rsid w:val="56FF7E9E"/>
    <w:rsid w:val="578867FC"/>
    <w:rsid w:val="57961A49"/>
    <w:rsid w:val="57EE3633"/>
    <w:rsid w:val="5842572D"/>
    <w:rsid w:val="59A57D21"/>
    <w:rsid w:val="59C52ED1"/>
    <w:rsid w:val="5A3B59D6"/>
    <w:rsid w:val="5ACD56B4"/>
    <w:rsid w:val="5AD134D8"/>
    <w:rsid w:val="5B501F0F"/>
    <w:rsid w:val="5B6D0D13"/>
    <w:rsid w:val="5BD14DFE"/>
    <w:rsid w:val="5BF41F67"/>
    <w:rsid w:val="5C263CE4"/>
    <w:rsid w:val="5C5D2777"/>
    <w:rsid w:val="5CA02A22"/>
    <w:rsid w:val="5CF66BF3"/>
    <w:rsid w:val="5D290C69"/>
    <w:rsid w:val="5DA80C2C"/>
    <w:rsid w:val="5EAA7B88"/>
    <w:rsid w:val="5F13397F"/>
    <w:rsid w:val="5F2D4A41"/>
    <w:rsid w:val="5F592854"/>
    <w:rsid w:val="60494F5F"/>
    <w:rsid w:val="605B3830"/>
    <w:rsid w:val="60C74F6C"/>
    <w:rsid w:val="61015958"/>
    <w:rsid w:val="61025A59"/>
    <w:rsid w:val="613D5BBC"/>
    <w:rsid w:val="61536C39"/>
    <w:rsid w:val="61F41846"/>
    <w:rsid w:val="622A5268"/>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233F42"/>
    <w:rsid w:val="676B218A"/>
    <w:rsid w:val="67924660"/>
    <w:rsid w:val="68407834"/>
    <w:rsid w:val="68724988"/>
    <w:rsid w:val="687D7008"/>
    <w:rsid w:val="6883293E"/>
    <w:rsid w:val="688412AD"/>
    <w:rsid w:val="68EB1B71"/>
    <w:rsid w:val="696C0310"/>
    <w:rsid w:val="6A027C40"/>
    <w:rsid w:val="6A6C7940"/>
    <w:rsid w:val="6A6D6639"/>
    <w:rsid w:val="6A9F1565"/>
    <w:rsid w:val="6AAD2300"/>
    <w:rsid w:val="6B474EF5"/>
    <w:rsid w:val="6BC938E5"/>
    <w:rsid w:val="6C0A5AC5"/>
    <w:rsid w:val="6C560CAE"/>
    <w:rsid w:val="6C576495"/>
    <w:rsid w:val="6D903FF5"/>
    <w:rsid w:val="6DA955B8"/>
    <w:rsid w:val="6DE346AB"/>
    <w:rsid w:val="6DE5391A"/>
    <w:rsid w:val="6DEE183F"/>
    <w:rsid w:val="6EA6582D"/>
    <w:rsid w:val="6EFD1324"/>
    <w:rsid w:val="6F0926A9"/>
    <w:rsid w:val="6F5953DE"/>
    <w:rsid w:val="6F5A53AC"/>
    <w:rsid w:val="6FAC003D"/>
    <w:rsid w:val="6FD926BF"/>
    <w:rsid w:val="6FE55E12"/>
    <w:rsid w:val="6FFB2E76"/>
    <w:rsid w:val="708F6F7F"/>
    <w:rsid w:val="70BF74C3"/>
    <w:rsid w:val="70D94BD3"/>
    <w:rsid w:val="71574775"/>
    <w:rsid w:val="71C34D91"/>
    <w:rsid w:val="72DB435C"/>
    <w:rsid w:val="72E2613A"/>
    <w:rsid w:val="72F771F4"/>
    <w:rsid w:val="73934AD2"/>
    <w:rsid w:val="73C82B32"/>
    <w:rsid w:val="750837F0"/>
    <w:rsid w:val="754758CF"/>
    <w:rsid w:val="75595ECD"/>
    <w:rsid w:val="75CD61DE"/>
    <w:rsid w:val="764F62AB"/>
    <w:rsid w:val="765C45EC"/>
    <w:rsid w:val="768A7619"/>
    <w:rsid w:val="76BD23AB"/>
    <w:rsid w:val="772E1EBA"/>
    <w:rsid w:val="781926BC"/>
    <w:rsid w:val="787E0B50"/>
    <w:rsid w:val="789C633C"/>
    <w:rsid w:val="792B7DEB"/>
    <w:rsid w:val="796D60A4"/>
    <w:rsid w:val="79A031D5"/>
    <w:rsid w:val="79B47FDF"/>
    <w:rsid w:val="79E569A9"/>
    <w:rsid w:val="7A1525F7"/>
    <w:rsid w:val="7A344A7E"/>
    <w:rsid w:val="7A711160"/>
    <w:rsid w:val="7B420052"/>
    <w:rsid w:val="7BD06A28"/>
    <w:rsid w:val="7C3A7C0B"/>
    <w:rsid w:val="7C5248E4"/>
    <w:rsid w:val="7C566698"/>
    <w:rsid w:val="7C5866A3"/>
    <w:rsid w:val="7D7406BB"/>
    <w:rsid w:val="7DE94331"/>
    <w:rsid w:val="7E376C2A"/>
    <w:rsid w:val="7E462FD2"/>
    <w:rsid w:val="7E861620"/>
    <w:rsid w:val="7F446A19"/>
    <w:rsid w:val="7F7452B9"/>
    <w:rsid w:val="DE9B2FD4"/>
    <w:rsid w:val="FC8F97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style>
  <w:style w:type="paragraph" w:styleId="3">
    <w:name w:val="Balloon Text"/>
    <w:basedOn w:val="1"/>
    <w:link w:val="17"/>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qFormat/>
    <w:uiPriority w:val="0"/>
    <w:rPr>
      <w:b/>
    </w:rPr>
  </w:style>
  <w:style w:type="character" w:styleId="12">
    <w:name w:val="annotation reference"/>
    <w:basedOn w:val="10"/>
    <w:qFormat/>
    <w:uiPriority w:val="0"/>
    <w:rPr>
      <w:sz w:val="21"/>
      <w:szCs w:val="21"/>
    </w:rPr>
  </w:style>
  <w:style w:type="paragraph" w:customStyle="1" w:styleId="13">
    <w:name w:val="列出段落1"/>
    <w:basedOn w:val="1"/>
    <w:qFormat/>
    <w:uiPriority w:val="99"/>
    <w:pPr>
      <w:ind w:firstLine="420" w:firstLineChars="200"/>
    </w:pPr>
    <w:rPr>
      <w:rFonts w:hint="default"/>
    </w:rPr>
  </w:style>
  <w:style w:type="paragraph" w:customStyle="1" w:styleId="14">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basedOn w:val="10"/>
    <w:qFormat/>
    <w:uiPriority w:val="0"/>
    <w:rPr>
      <w:rFonts w:hint="default" w:ascii="Wingdings" w:hAnsi="Wingdings" w:cs="Wingdings"/>
      <w:b/>
      <w:bCs/>
    </w:rPr>
  </w:style>
  <w:style w:type="paragraph" w:customStyle="1" w:styleId="16">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7">
    <w:name w:val="批注框文本 Char"/>
    <w:basedOn w:val="10"/>
    <w:link w:val="3"/>
    <w:qFormat/>
    <w:uiPriority w:val="0"/>
    <w:rPr>
      <w:rFonts w:ascii="宋体" w:hAnsi="宋体"/>
      <w:sz w:val="18"/>
      <w:szCs w:val="18"/>
    </w:rPr>
  </w:style>
  <w:style w:type="paragraph" w:customStyle="1" w:styleId="18">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40</Pages>
  <Words>7241</Words>
  <Characters>9021</Characters>
  <Lines>195</Lines>
  <Paragraphs>54</Paragraphs>
  <TotalTime>42</TotalTime>
  <ScaleCrop>false</ScaleCrop>
  <LinksUpToDate>false</LinksUpToDate>
  <CharactersWithSpaces>9034</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2024-07-11T18:00:00Z</dcterms:created>
  <dc:creator>Administrator</dc:creator>
  <cp:lastModifiedBy>蔈草镇管理员</cp:lastModifiedBy>
  <cp:lastPrinted>2025-10-17T00:27:00Z</cp:lastPrinted>
  <dcterms:modified xsi:type="dcterms:W3CDTF">2026-01-07T11:15:03Z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BB46EABDBB2749749395447164B066B3_12</vt:lpwstr>
  </property>
  <property fmtid="{D5CDD505-2E9C-101B-9397-08002B2CF9AE}" pid="4" name="KSOTemplateDocerSaveRecord">
    <vt:lpwstr>eyJoZGlkIjoiNjZiZGNlY2NhZjk2MDI1YzQyMWZkNWVmYjFiNmYwNjAiLCJ1c2VySWQiOiI0NTE3MzE5NzIifQ==</vt:lpwstr>
  </property>
</Properties>
</file>