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重庆市云阳县蔈草镇便民服务中心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一、单位基本情况</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（一）职能职责</w:t>
      </w:r>
    </w:p>
    <w:p>
      <w:pPr>
        <w:keepNext w:val="0"/>
        <w:keepLines w:val="0"/>
        <w:pageBreakBefore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kern w:val="21"/>
          <w:sz w:val="32"/>
          <w:szCs w:val="32"/>
        </w:rPr>
        <w:t>为人民群众提供全方位的服务</w:t>
      </w:r>
      <w:r>
        <w:rPr>
          <w:rFonts w:hint="default" w:ascii="Times New Roman" w:hAnsi="Times New Roman" w:eastAsia="方正仿宋_GBK" w:cs="Times New Roman"/>
          <w:b w:val="0"/>
          <w:bCs/>
          <w:sz w:val="32"/>
          <w:szCs w:val="32"/>
          <w:lang w:val="zh-CN"/>
        </w:rPr>
        <w:t>。</w:t>
      </w:r>
      <w:r>
        <w:rPr>
          <w:rFonts w:hint="default" w:ascii="Times New Roman" w:hAnsi="Times New Roman" w:eastAsia="方正仿宋_GBK" w:cs="Times New Roman"/>
          <w:b w:val="0"/>
          <w:bCs/>
          <w:sz w:val="32"/>
          <w:szCs w:val="40"/>
        </w:rPr>
        <w:t>主要职责是</w:t>
      </w:r>
      <w:r>
        <w:rPr>
          <w:rFonts w:hint="default" w:ascii="Times New Roman" w:hAnsi="Times New Roman" w:eastAsia="方正仿宋_GBK" w:cs="Times New Roman"/>
          <w:b w:val="0"/>
          <w:bCs/>
          <w:sz w:val="32"/>
          <w:szCs w:val="40"/>
          <w:lang w:eastAsia="zh-CN"/>
        </w:rPr>
        <w:t>：</w:t>
      </w:r>
      <w:r>
        <w:rPr>
          <w:rFonts w:hint="default" w:ascii="Times New Roman" w:hAnsi="Times New Roman" w:eastAsia="方正仿宋_GBK" w:cs="Times New Roman"/>
          <w:b w:val="0"/>
          <w:bCs/>
          <w:kern w:val="21"/>
          <w:sz w:val="32"/>
          <w:szCs w:val="32"/>
        </w:rPr>
        <w:t>承担便民服务中心窗口和平台运行。</w:t>
      </w:r>
      <w:r>
        <w:rPr>
          <w:rFonts w:hint="default" w:ascii="Times New Roman" w:hAnsi="Times New Roman" w:eastAsia="方正仿宋_GBK" w:cs="Times New Roman"/>
          <w:b w:val="0"/>
          <w:bCs/>
          <w:sz w:val="32"/>
          <w:szCs w:val="32"/>
          <w:lang w:val="zh-CN"/>
        </w:rPr>
        <w:t>负责</w:t>
      </w:r>
      <w:r>
        <w:rPr>
          <w:rFonts w:hint="default" w:ascii="Times New Roman" w:hAnsi="Times New Roman" w:eastAsia="方正仿宋_GBK" w:cs="Times New Roman"/>
          <w:b w:val="0"/>
          <w:bCs/>
          <w:sz w:val="32"/>
          <w:szCs w:val="32"/>
        </w:rPr>
        <w:t>就业、再就业以及农村富余劳动力转移的事务性工作；负责社会保险、最低生活保障、优抚救济等社会保障工作；</w:t>
      </w:r>
      <w:r>
        <w:rPr>
          <w:rFonts w:hint="default" w:ascii="Times New Roman" w:hAnsi="Times New Roman" w:eastAsia="方正仿宋_GBK" w:cs="Times New Roman"/>
          <w:b w:val="0"/>
          <w:bCs/>
          <w:sz w:val="32"/>
          <w:szCs w:val="32"/>
          <w:lang w:val="zh-CN"/>
        </w:rPr>
        <w:t>宣传劳动就业和社会保障方面的法律法规和政策，做好政策的咨询解释</w:t>
      </w:r>
      <w:r>
        <w:rPr>
          <w:rFonts w:hint="default" w:ascii="Times New Roman" w:hAnsi="Times New Roman" w:eastAsia="方正仿宋_GBK" w:cs="Times New Roman"/>
          <w:b w:val="0"/>
          <w:bCs/>
          <w:sz w:val="32"/>
          <w:szCs w:val="32"/>
        </w:rPr>
        <w:t>工作。负责做好退役军人服务管理的具体事务。</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Times New Roman" w:hAnsi="Times New Roman" w:eastAsia="方正仿宋_GBK" w:cs="方正仿宋_GBK"/>
          <w:b w:val="0"/>
          <w:bCs/>
          <w:sz w:val="32"/>
          <w:szCs w:val="32"/>
          <w:highlight w:val="none"/>
          <w:lang w:val="zh-CN"/>
        </w:rPr>
      </w:pPr>
      <w:r>
        <w:rPr>
          <w:rFonts w:hint="eastAsia" w:ascii="Times New Roman" w:hAnsi="Times New Roman" w:eastAsia="方正仿宋_GBK" w:cs="方正仿宋_GBK"/>
          <w:b w:val="0"/>
          <w:bCs/>
          <w:sz w:val="32"/>
          <w:szCs w:val="32"/>
          <w:highlight w:val="none"/>
          <w:lang w:val="zh-CN"/>
        </w:rPr>
        <w:t>本单位为云阳县蔈草镇人民政府下属</w:t>
      </w:r>
      <w:r>
        <w:rPr>
          <w:rFonts w:hint="eastAsia" w:ascii="Times New Roman" w:hAnsi="Times New Roman" w:eastAsia="方正仿宋_GBK" w:cs="方正仿宋_GBK"/>
          <w:b w:val="0"/>
          <w:bCs/>
          <w:sz w:val="32"/>
          <w:szCs w:val="32"/>
          <w:highlight w:val="none"/>
          <w:lang w:val="en-US" w:eastAsia="zh-CN"/>
        </w:rPr>
        <w:t>事业</w:t>
      </w:r>
      <w:r>
        <w:rPr>
          <w:rFonts w:hint="eastAsia" w:ascii="Times New Roman" w:hAnsi="Times New Roman" w:eastAsia="方正仿宋_GBK" w:cs="方正仿宋_GBK"/>
          <w:b w:val="0"/>
          <w:bCs/>
          <w:sz w:val="32"/>
          <w:szCs w:val="32"/>
          <w:highlight w:val="none"/>
          <w:lang w:val="zh-CN"/>
        </w:rPr>
        <w:t>单位，无独立的机构设置。</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二、单位决算收支情况说明</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（一）收入支出决算总体情况说明</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 w:val="0"/>
          <w:bCs/>
          <w:sz w:val="32"/>
          <w:szCs w:val="32"/>
        </w:rPr>
      </w:pPr>
      <w:r>
        <w:rPr>
          <w:rStyle w:val="10"/>
          <w:rFonts w:ascii="Times New Roman" w:hAnsi="Times New Roman" w:eastAsia="方正仿宋_GBK" w:cs="方正仿宋_GBK"/>
          <w:b w:val="0"/>
          <w:bCs/>
          <w:sz w:val="32"/>
          <w:szCs w:val="32"/>
          <w:shd w:val="clear" w:color="auto" w:fill="FFFFFF"/>
        </w:rPr>
        <w:t>1.总体情况。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度收入总计71.35万元，支出总计</w:t>
      </w:r>
      <w:r>
        <w:rPr>
          <w:rFonts w:ascii="Times New Roman" w:hAnsi="Times New Roman" w:eastAsia="方正仿宋_GBK" w:cs="方正仿宋_GBK"/>
          <w:b w:val="0"/>
          <w:bCs/>
          <w:sz w:val="32"/>
          <w:szCs w:val="32"/>
        </w:rPr>
        <w:t>71.35</w:t>
      </w:r>
      <w:r>
        <w:rPr>
          <w:rFonts w:ascii="Times New Roman" w:hAnsi="Times New Roman" w:eastAsia="方正仿宋_GBK" w:cs="方正仿宋_GBK"/>
          <w:b w:val="0"/>
          <w:bCs/>
          <w:sz w:val="32"/>
          <w:szCs w:val="32"/>
          <w:shd w:val="clear" w:color="auto" w:fill="FFFFFF"/>
        </w:rPr>
        <w:t>万元。收、支与2023年度相比，增加71.35万元，增长100.0%，主要原因是我单位为2024年新设置预算单位，无法与上年同期数进行比较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10"/>
          <w:rFonts w:ascii="Times New Roman" w:hAnsi="Times New Roman" w:eastAsia="方正仿宋_GBK" w:cs="方正仿宋_GBK"/>
          <w:b w:val="0"/>
          <w:bCs/>
          <w:sz w:val="32"/>
          <w:szCs w:val="32"/>
          <w:shd w:val="clear" w:color="auto" w:fill="FFFFFF"/>
        </w:rPr>
        <w:t>2.收入情况。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度收入合计71.35万元，与2023年度相比，增加71.35万元，增长100.0%，主要原因是我单位为2024年新设置预算单位，无法与上年同期数进行比较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其中：财政拨款收入</w:t>
      </w:r>
      <w:r>
        <w:rPr>
          <w:rFonts w:ascii="Times New Roman" w:hAnsi="Times New Roman" w:eastAsia="方正仿宋_GBK" w:cs="方正仿宋_GBK"/>
          <w:b w:val="0"/>
          <w:bCs/>
          <w:sz w:val="32"/>
          <w:szCs w:val="32"/>
        </w:rPr>
        <w:t>71.35</w:t>
      </w:r>
      <w:r>
        <w:rPr>
          <w:rFonts w:ascii="Times New Roman" w:hAnsi="Times New Roman" w:eastAsia="方正仿宋_GBK" w:cs="方正仿宋_GBK"/>
          <w:b w:val="0"/>
          <w:bCs/>
          <w:sz w:val="32"/>
          <w:szCs w:val="32"/>
          <w:shd w:val="clear" w:color="auto" w:fill="FFFFFF"/>
        </w:rPr>
        <w:t>万元，占</w:t>
      </w:r>
      <w:r>
        <w:rPr>
          <w:rFonts w:ascii="Times New Roman" w:hAnsi="Times New Roman" w:eastAsia="方正仿宋_GBK" w:cs="方正仿宋_GBK"/>
          <w:b w:val="0"/>
          <w:bCs/>
          <w:sz w:val="32"/>
          <w:szCs w:val="32"/>
        </w:rPr>
        <w:t>100.00</w:t>
      </w:r>
      <w:r>
        <w:rPr>
          <w:rFonts w:ascii="Times New Roman" w:hAnsi="Times New Roman" w:eastAsia="方正仿宋_GBK" w:cs="方正仿宋_GBK"/>
          <w:b w:val="0"/>
          <w:bCs/>
          <w:sz w:val="32"/>
          <w:szCs w:val="32"/>
          <w:shd w:val="clear" w:color="auto" w:fill="FFFFFF"/>
        </w:rPr>
        <w:t>%；事业收入</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万元，占0.00%；经营收入</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万元，占0.00%；其他收入</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万元，占0.00%。此外，使用非财政拨款结余和专用结余</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万元，年初结转和结余</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Style w:val="10"/>
          <w:rFonts w:ascii="Times New Roman" w:hAnsi="Times New Roman" w:eastAsia="方正仿宋_GBK" w:cs="方正仿宋_GBK"/>
          <w:b w:val="0"/>
          <w:bCs/>
          <w:sz w:val="32"/>
          <w:szCs w:val="32"/>
          <w:shd w:val="clear" w:color="auto" w:fill="FFFFFF"/>
        </w:rPr>
        <w:t>3.支出情况。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度支出合计</w:t>
      </w:r>
      <w:r>
        <w:rPr>
          <w:rFonts w:ascii="Times New Roman" w:hAnsi="Times New Roman" w:eastAsia="方正仿宋_GBK" w:cs="方正仿宋_GBK"/>
          <w:b w:val="0"/>
          <w:bCs/>
          <w:sz w:val="32"/>
          <w:szCs w:val="32"/>
        </w:rPr>
        <w:t>71.35</w:t>
      </w:r>
      <w:r>
        <w:rPr>
          <w:rFonts w:ascii="Times New Roman" w:hAnsi="Times New Roman" w:eastAsia="方正仿宋_GBK" w:cs="方正仿宋_GBK"/>
          <w:b w:val="0"/>
          <w:bCs/>
          <w:sz w:val="32"/>
          <w:szCs w:val="32"/>
          <w:shd w:val="clear" w:color="auto" w:fill="FFFFFF"/>
        </w:rPr>
        <w:t>万元，与2023年度相比，增加71.35万元，增长100.0%，主要原因是我单位为2024年新设置预算单位，无法与上年同期数进行比较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其中：基本支出</w:t>
      </w:r>
      <w:r>
        <w:rPr>
          <w:rFonts w:ascii="Times New Roman" w:hAnsi="Times New Roman" w:eastAsia="方正仿宋_GBK" w:cs="方正仿宋_GBK"/>
          <w:b w:val="0"/>
          <w:bCs/>
          <w:sz w:val="32"/>
          <w:szCs w:val="32"/>
        </w:rPr>
        <w:t>71.35</w:t>
      </w:r>
      <w:r>
        <w:rPr>
          <w:rFonts w:ascii="Times New Roman" w:hAnsi="Times New Roman" w:eastAsia="方正仿宋_GBK" w:cs="方正仿宋_GBK"/>
          <w:b w:val="0"/>
          <w:bCs/>
          <w:sz w:val="32"/>
          <w:szCs w:val="32"/>
          <w:shd w:val="clear" w:color="auto" w:fill="FFFFFF"/>
        </w:rPr>
        <w:t>万元，占100.00%；项目支出</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万元，占0.00%；经营支出</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万元，占0.00%。此外，结余分配</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Style w:val="10"/>
          <w:rFonts w:ascii="Times New Roman" w:hAnsi="Times New Roman" w:eastAsia="方正仿宋_GBK" w:cs="方正仿宋_GBK"/>
          <w:b w:val="0"/>
          <w:bCs/>
          <w:sz w:val="32"/>
          <w:szCs w:val="32"/>
          <w:shd w:val="clear" w:color="auto" w:fill="FFFFFF"/>
        </w:rPr>
        <w:t>4.结转结余情况。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度年末结转和结余</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万元，与2023年度相比，无增减，主要原因是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度财政拨款收、支总计71.35万元。与202</w:t>
      </w:r>
      <w:r>
        <w:rPr>
          <w:rFonts w:hint="eastAsia" w:ascii="Times New Roman" w:hAnsi="Times New Roman" w:eastAsia="方正仿宋_GBK" w:cs="方正仿宋_GBK"/>
          <w:b w:val="0"/>
          <w:bCs/>
          <w:sz w:val="32"/>
          <w:szCs w:val="32"/>
          <w:shd w:val="clear" w:color="auto" w:fill="FFFFFF"/>
          <w:lang w:val="en-US" w:eastAsia="zh-CN"/>
        </w:rPr>
        <w:t>3</w:t>
      </w:r>
      <w:r>
        <w:rPr>
          <w:rFonts w:ascii="Times New Roman" w:hAnsi="Times New Roman" w:eastAsia="方正仿宋_GBK" w:cs="方正仿宋_GBK"/>
          <w:b w:val="0"/>
          <w:bCs/>
          <w:sz w:val="32"/>
          <w:szCs w:val="32"/>
          <w:shd w:val="clear" w:color="auto" w:fill="FFFFFF"/>
        </w:rPr>
        <w:t>年相比，财政拨款收、支总计各增加71.35万元，增长100.0%。主要原因是我单位为2024年新设置预算单位，无法与上年同期数进行比较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Style w:val="10"/>
          <w:rFonts w:ascii="Times New Roman" w:hAnsi="Times New Roman" w:eastAsia="方正仿宋_GBK" w:cs="方正仿宋_GBK"/>
          <w:b w:val="0"/>
          <w:bCs/>
          <w:sz w:val="32"/>
          <w:szCs w:val="32"/>
          <w:shd w:val="clear" w:color="auto" w:fill="FFFFFF"/>
        </w:rPr>
        <w:t>1.收入情况。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度一般公共预算财政拨款收入</w:t>
      </w:r>
      <w:r>
        <w:rPr>
          <w:rFonts w:ascii="Times New Roman" w:hAnsi="Times New Roman" w:eastAsia="方正仿宋_GBK" w:cs="方正仿宋_GBK"/>
          <w:b w:val="0"/>
          <w:bCs/>
          <w:sz w:val="32"/>
          <w:szCs w:val="32"/>
        </w:rPr>
        <w:t>71.35</w:t>
      </w:r>
      <w:r>
        <w:rPr>
          <w:rFonts w:ascii="Times New Roman" w:hAnsi="Times New Roman" w:eastAsia="方正仿宋_GBK" w:cs="方正仿宋_GBK"/>
          <w:b w:val="0"/>
          <w:bCs/>
          <w:sz w:val="32"/>
          <w:szCs w:val="32"/>
          <w:shd w:val="clear" w:color="auto" w:fill="FFFFFF"/>
        </w:rPr>
        <w:t>万元，与2023年度相比，增加71.35万元，增长100.0%。主要原因是我单位为2024年新设置预算单位，无法与上年同期数进行比较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较年初预算数减少25.14万元，下降26.1%。主要原因是</w:t>
      </w:r>
      <w:r>
        <w:rPr>
          <w:rFonts w:hint="eastAsia" w:ascii="Times New Roman" w:hAnsi="Times New Roman" w:eastAsia="方正仿宋_GBK" w:cs="方正仿宋_GBK"/>
          <w:b w:val="0"/>
          <w:bCs/>
          <w:sz w:val="32"/>
          <w:szCs w:val="32"/>
          <w:shd w:val="clear" w:color="auto" w:fill="FFFFFF"/>
          <w:lang w:val="en-US" w:eastAsia="zh-CN"/>
        </w:rPr>
        <w:t>2024年机构改革，我单位由劳动就业和社会保障所和退役军人服务站转入，根据</w:t>
      </w:r>
      <w:r>
        <w:rPr>
          <w:rFonts w:hint="eastAsia" w:ascii="Times New Roman" w:hAnsi="Times New Roman" w:eastAsia="方正仿宋_GBK" w:cs="Times New Roman"/>
          <w:b w:val="0"/>
          <w:bCs/>
          <w:sz w:val="32"/>
          <w:szCs w:val="32"/>
        </w:rPr>
        <w:t>云阳财预【2024】79号</w:t>
      </w:r>
      <w:r>
        <w:rPr>
          <w:rFonts w:hint="eastAsia" w:ascii="Times New Roman" w:hAnsi="Times New Roman" w:eastAsia="方正仿宋_GBK" w:cs="Times New Roman"/>
          <w:b w:val="0"/>
          <w:bCs/>
          <w:sz w:val="32"/>
          <w:szCs w:val="32"/>
          <w:lang w:val="en-US" w:eastAsia="zh-CN"/>
        </w:rPr>
        <w:t>文件调整预算。</w:t>
      </w:r>
      <w:r>
        <w:rPr>
          <w:rFonts w:ascii="Times New Roman" w:hAnsi="Times New Roman" w:eastAsia="方正仿宋_GBK" w:cs="方正仿宋_GBK"/>
          <w:b w:val="0"/>
          <w:bCs/>
          <w:sz w:val="32"/>
          <w:szCs w:val="32"/>
          <w:shd w:val="clear" w:color="auto" w:fill="FFFFFF"/>
        </w:rPr>
        <w:t>此外，年初财政拨款结转和结余</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Style w:val="10"/>
          <w:rFonts w:ascii="Times New Roman" w:hAnsi="Times New Roman" w:eastAsia="方正仿宋_GBK" w:cs="方正仿宋_GBK"/>
          <w:b w:val="0"/>
          <w:bCs/>
          <w:sz w:val="32"/>
          <w:szCs w:val="32"/>
          <w:shd w:val="clear" w:color="auto" w:fill="FFFFFF"/>
        </w:rPr>
        <w:t>2.支出情况。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度一般公共预算财政拨款支出</w:t>
      </w:r>
      <w:r>
        <w:rPr>
          <w:rFonts w:ascii="Times New Roman" w:hAnsi="Times New Roman" w:eastAsia="方正仿宋_GBK" w:cs="方正仿宋_GBK"/>
          <w:b w:val="0"/>
          <w:bCs/>
          <w:sz w:val="32"/>
          <w:szCs w:val="32"/>
        </w:rPr>
        <w:t>71.35</w:t>
      </w:r>
      <w:r>
        <w:rPr>
          <w:rFonts w:ascii="Times New Roman" w:hAnsi="Times New Roman" w:eastAsia="方正仿宋_GBK" w:cs="方正仿宋_GBK"/>
          <w:b w:val="0"/>
          <w:bCs/>
          <w:sz w:val="32"/>
          <w:szCs w:val="32"/>
          <w:shd w:val="clear" w:color="auto" w:fill="FFFFFF"/>
        </w:rPr>
        <w:t>万元，与2023年度相比，增加71.35万元，增长100.0%。主要原因是我单位为2024年新设置预算单位，无法与上年同期数进行比较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较年初预算数减少25.14万元，下降26.1%。主要原因是</w:t>
      </w:r>
      <w:r>
        <w:rPr>
          <w:rFonts w:hint="eastAsia" w:ascii="Times New Roman" w:hAnsi="Times New Roman" w:eastAsia="方正仿宋_GBK" w:cs="方正仿宋_GBK"/>
          <w:b w:val="0"/>
          <w:bCs/>
          <w:sz w:val="32"/>
          <w:szCs w:val="32"/>
          <w:shd w:val="clear" w:color="auto" w:fill="FFFFFF"/>
          <w:lang w:val="en-US" w:eastAsia="zh-CN"/>
        </w:rPr>
        <w:t>2024年机构改革，我单位由劳动就业和社会保障所和退役军人服务站转入，根据</w:t>
      </w:r>
      <w:r>
        <w:rPr>
          <w:rFonts w:hint="eastAsia" w:ascii="Times New Roman" w:hAnsi="Times New Roman" w:eastAsia="方正仿宋_GBK" w:cs="Times New Roman"/>
          <w:b w:val="0"/>
          <w:bCs/>
          <w:sz w:val="32"/>
          <w:szCs w:val="32"/>
        </w:rPr>
        <w:t>云阳财预【2024】79号</w:t>
      </w:r>
      <w:r>
        <w:rPr>
          <w:rFonts w:hint="eastAsia" w:ascii="Times New Roman" w:hAnsi="Times New Roman" w:eastAsia="方正仿宋_GBK" w:cs="Times New Roman"/>
          <w:b w:val="0"/>
          <w:bCs/>
          <w:sz w:val="32"/>
          <w:szCs w:val="32"/>
          <w:lang w:val="en-US" w:eastAsia="zh-CN"/>
        </w:rPr>
        <w:t>文件调整预算。</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Style w:val="10"/>
          <w:rFonts w:ascii="Times New Roman" w:hAnsi="Times New Roman" w:eastAsia="方正仿宋_GBK" w:cs="方正仿宋_GBK"/>
          <w:b w:val="0"/>
          <w:bCs/>
          <w:sz w:val="32"/>
          <w:szCs w:val="32"/>
          <w:shd w:val="clear" w:color="auto" w:fill="FFFFFF"/>
        </w:rPr>
        <w:t>3.结转结余情况。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度年末一般公共预算财政拨款结转和结余</w:t>
      </w:r>
      <w:r>
        <w:rPr>
          <w:rFonts w:ascii="Times New Roman" w:hAnsi="Times New Roman" w:eastAsia="方正仿宋_GBK" w:cs="方正仿宋_GBK"/>
          <w:b w:val="0"/>
          <w:bCs/>
          <w:sz w:val="32"/>
          <w:szCs w:val="32"/>
        </w:rPr>
        <w:t>0.00</w:t>
      </w:r>
      <w:r>
        <w:rPr>
          <w:rFonts w:ascii="Times New Roman" w:hAnsi="Times New Roman" w:eastAsia="方正仿宋_GBK" w:cs="方正仿宋_GBK"/>
          <w:b w:val="0"/>
          <w:bCs/>
          <w:sz w:val="32"/>
          <w:szCs w:val="32"/>
          <w:shd w:val="clear" w:color="auto" w:fill="FFFFFF"/>
        </w:rPr>
        <w:t>万元，与2023年度相比，无增减，主要原因是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color w:val="FF0000"/>
          <w:sz w:val="32"/>
          <w:szCs w:val="32"/>
          <w:highlight w:val="cyan"/>
          <w:shd w:val="clear" w:color="auto" w:fill="FFFFFF"/>
        </w:rPr>
      </w:pPr>
      <w:r>
        <w:rPr>
          <w:rStyle w:val="10"/>
          <w:rFonts w:ascii="Times New Roman" w:hAnsi="Times New Roman" w:eastAsia="方正仿宋_GBK" w:cs="方正仿宋_GBK"/>
          <w:b w:val="0"/>
          <w:bCs/>
          <w:sz w:val="32"/>
          <w:szCs w:val="32"/>
          <w:shd w:val="clear" w:color="auto" w:fill="FFFFFF"/>
        </w:rPr>
        <w:t>4.比较情况。</w:t>
      </w:r>
      <w:r>
        <w:rPr>
          <w:rFonts w:ascii="Times New Roman" w:hAnsi="Times New Roman" w:eastAsia="方正仿宋_GBK" w:cs="方正仿宋_GBK"/>
          <w:b w:val="0"/>
          <w:bCs/>
          <w:sz w:val="32"/>
          <w:szCs w:val="32"/>
          <w:shd w:val="clear" w:color="auto" w:fill="FFFFFF"/>
        </w:rPr>
        <w:t>本单位</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度一般公共预算财政拨款支出主要用于以下几个方面：</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lang w:eastAsia="zh-CN"/>
        </w:rPr>
      </w:pPr>
      <w:r>
        <w:rPr>
          <w:rFonts w:ascii="Times New Roman" w:hAnsi="Times New Roman" w:eastAsia="方正仿宋_GBK" w:cs="方正仿宋_GBK"/>
          <w:b w:val="0"/>
          <w:bCs/>
          <w:sz w:val="32"/>
          <w:szCs w:val="32"/>
          <w:shd w:val="clear" w:color="auto" w:fill="FFFFFF"/>
        </w:rPr>
        <w:t>（1）一般公共服务支出</w:t>
      </w:r>
      <w:r>
        <w:rPr>
          <w:rFonts w:ascii="Times New Roman" w:hAnsi="Times New Roman" w:eastAsia="方正仿宋_GBK" w:cs="方正仿宋_GBK"/>
          <w:b w:val="0"/>
          <w:bCs/>
          <w:sz w:val="32"/>
          <w:szCs w:val="32"/>
        </w:rPr>
        <w:t>18.14</w:t>
      </w:r>
      <w:r>
        <w:rPr>
          <w:rFonts w:ascii="Times New Roman" w:hAnsi="Times New Roman" w:eastAsia="方正仿宋_GBK" w:cs="方正仿宋_GBK"/>
          <w:b w:val="0"/>
          <w:bCs/>
          <w:sz w:val="32"/>
          <w:szCs w:val="32"/>
          <w:shd w:val="clear" w:color="auto" w:fill="FFFFFF"/>
        </w:rPr>
        <w:t>万元，占</w:t>
      </w:r>
      <w:r>
        <w:rPr>
          <w:rFonts w:ascii="Times New Roman" w:hAnsi="Times New Roman" w:eastAsia="方正仿宋_GBK" w:cs="方正仿宋_GBK"/>
          <w:b w:val="0"/>
          <w:bCs/>
          <w:sz w:val="32"/>
          <w:szCs w:val="32"/>
        </w:rPr>
        <w:t>25.42</w:t>
      </w:r>
      <w:r>
        <w:rPr>
          <w:rFonts w:ascii="Times New Roman" w:hAnsi="Times New Roman" w:eastAsia="方正仿宋_GBK" w:cs="方正仿宋_GBK"/>
          <w:b w:val="0"/>
          <w:bCs/>
          <w:sz w:val="32"/>
          <w:szCs w:val="32"/>
          <w:shd w:val="clear" w:color="auto" w:fill="FFFFFF"/>
        </w:rPr>
        <w:t>%，较年初预算数增加18.14万元，增长100.0%，主要原因是我单位为2024年新设置预算单位，无法与上年同期数进行比较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sz w:val="32"/>
          <w:szCs w:val="32"/>
          <w:lang w:val="en-US" w:eastAsia="zh-CN"/>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cs="方正仿宋_GBK"/>
          <w:b w:val="0"/>
          <w:bCs/>
          <w:sz w:val="32"/>
          <w:szCs w:val="32"/>
          <w:shd w:val="clear" w:color="auto" w:fill="FFFFFF"/>
          <w:lang w:val="en-US" w:eastAsia="zh-CN"/>
        </w:rPr>
        <w:t>2</w:t>
      </w:r>
      <w:r>
        <w:rPr>
          <w:rFonts w:ascii="Times New Roman" w:hAnsi="Times New Roman" w:eastAsia="方正仿宋_GBK" w:cs="方正仿宋_GBK"/>
          <w:b w:val="0"/>
          <w:bCs/>
          <w:sz w:val="32"/>
          <w:szCs w:val="32"/>
          <w:shd w:val="clear" w:color="auto" w:fill="FFFFFF"/>
        </w:rPr>
        <w:t>）社会保障与就业支出</w:t>
      </w:r>
      <w:r>
        <w:rPr>
          <w:rFonts w:ascii="Times New Roman" w:hAnsi="Times New Roman" w:eastAsia="方正仿宋_GBK" w:cs="方正仿宋_GBK"/>
          <w:b w:val="0"/>
          <w:bCs/>
          <w:sz w:val="32"/>
          <w:szCs w:val="32"/>
        </w:rPr>
        <w:t>45.26</w:t>
      </w:r>
      <w:r>
        <w:rPr>
          <w:rFonts w:ascii="Times New Roman" w:hAnsi="Times New Roman" w:eastAsia="方正仿宋_GBK" w:cs="方正仿宋_GBK"/>
          <w:b w:val="0"/>
          <w:bCs/>
          <w:sz w:val="32"/>
          <w:szCs w:val="32"/>
          <w:shd w:val="clear" w:color="auto" w:fill="FFFFFF"/>
        </w:rPr>
        <w:t>万元，占</w:t>
      </w:r>
      <w:r>
        <w:rPr>
          <w:rFonts w:ascii="Times New Roman" w:hAnsi="Times New Roman" w:eastAsia="方正仿宋_GBK" w:cs="方正仿宋_GBK"/>
          <w:b w:val="0"/>
          <w:bCs/>
          <w:sz w:val="32"/>
          <w:szCs w:val="32"/>
        </w:rPr>
        <w:t>63.43</w:t>
      </w:r>
      <w:r>
        <w:rPr>
          <w:rFonts w:ascii="Times New Roman" w:hAnsi="Times New Roman" w:eastAsia="方正仿宋_GBK" w:cs="方正仿宋_GBK"/>
          <w:b w:val="0"/>
          <w:bCs/>
          <w:sz w:val="32"/>
          <w:szCs w:val="32"/>
          <w:shd w:val="clear" w:color="auto" w:fill="FFFFFF"/>
        </w:rPr>
        <w:t>%，较年初预算数减少41.23万元，下降47.7%，主要原因是</w:t>
      </w:r>
      <w:r>
        <w:rPr>
          <w:rFonts w:hint="eastAsia" w:ascii="Times New Roman" w:hAnsi="Times New Roman" w:eastAsia="方正仿宋_GBK" w:cs="方正仿宋_GBK"/>
          <w:b w:val="0"/>
          <w:bCs/>
          <w:sz w:val="32"/>
          <w:szCs w:val="32"/>
          <w:shd w:val="clear" w:color="auto" w:fill="FFFFFF"/>
          <w:lang w:val="en-US" w:eastAsia="zh-CN"/>
        </w:rPr>
        <w:t>2024年机构改革，我单位由劳动就业和社会保障所和退役军人服务站转入，根据</w:t>
      </w:r>
      <w:r>
        <w:rPr>
          <w:rFonts w:hint="eastAsia" w:ascii="Times New Roman" w:hAnsi="Times New Roman" w:eastAsia="方正仿宋_GBK" w:cs="Times New Roman"/>
          <w:b w:val="0"/>
          <w:bCs/>
          <w:sz w:val="32"/>
          <w:szCs w:val="32"/>
        </w:rPr>
        <w:t>云阳财预【2024】79号</w:t>
      </w:r>
      <w:r>
        <w:rPr>
          <w:rFonts w:hint="eastAsia" w:ascii="Times New Roman" w:hAnsi="Times New Roman" w:eastAsia="方正仿宋_GBK" w:cs="Times New Roman"/>
          <w:b w:val="0"/>
          <w:bCs/>
          <w:sz w:val="32"/>
          <w:szCs w:val="32"/>
          <w:lang w:val="en-US" w:eastAsia="zh-CN"/>
        </w:rPr>
        <w:t>文件调整预算，支出功能分类变更。</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cs="方正仿宋_GBK"/>
          <w:b w:val="0"/>
          <w:bCs/>
          <w:sz w:val="32"/>
          <w:szCs w:val="32"/>
          <w:shd w:val="clear" w:color="auto" w:fill="FFFFFF"/>
          <w:lang w:val="en-US" w:eastAsia="zh-CN"/>
        </w:rPr>
        <w:t>3</w:t>
      </w:r>
      <w:r>
        <w:rPr>
          <w:rFonts w:ascii="Times New Roman" w:hAnsi="Times New Roman" w:eastAsia="方正仿宋_GBK" w:cs="方正仿宋_GBK"/>
          <w:b w:val="0"/>
          <w:bCs/>
          <w:sz w:val="32"/>
          <w:szCs w:val="32"/>
          <w:shd w:val="clear" w:color="auto" w:fill="FFFFFF"/>
        </w:rPr>
        <w:t>）卫生健康支出</w:t>
      </w:r>
      <w:r>
        <w:rPr>
          <w:rFonts w:ascii="Times New Roman" w:hAnsi="Times New Roman" w:eastAsia="方正仿宋_GBK" w:cs="方正仿宋_GBK"/>
          <w:b w:val="0"/>
          <w:bCs/>
          <w:sz w:val="32"/>
          <w:szCs w:val="32"/>
        </w:rPr>
        <w:t>3.39</w:t>
      </w:r>
      <w:r>
        <w:rPr>
          <w:rFonts w:ascii="Times New Roman" w:hAnsi="Times New Roman" w:eastAsia="方正仿宋_GBK" w:cs="方正仿宋_GBK"/>
          <w:b w:val="0"/>
          <w:bCs/>
          <w:sz w:val="32"/>
          <w:szCs w:val="32"/>
          <w:shd w:val="clear" w:color="auto" w:fill="FFFFFF"/>
        </w:rPr>
        <w:t>万元，占</w:t>
      </w:r>
      <w:r>
        <w:rPr>
          <w:rFonts w:ascii="Times New Roman" w:hAnsi="Times New Roman" w:eastAsia="方正仿宋_GBK" w:cs="方正仿宋_GBK"/>
          <w:b w:val="0"/>
          <w:bCs/>
          <w:sz w:val="32"/>
          <w:szCs w:val="32"/>
        </w:rPr>
        <w:t>4.75</w:t>
      </w:r>
      <w:r>
        <w:rPr>
          <w:rFonts w:ascii="Times New Roman" w:hAnsi="Times New Roman" w:eastAsia="方正仿宋_GBK" w:cs="方正仿宋_GBK"/>
          <w:b w:val="0"/>
          <w:bCs/>
          <w:sz w:val="32"/>
          <w:szCs w:val="32"/>
          <w:shd w:val="clear" w:color="auto" w:fill="FFFFFF"/>
        </w:rPr>
        <w:t>%，较年初预算数减少1.68万元，下降33.1%，主要原因是</w:t>
      </w:r>
      <w:r>
        <w:rPr>
          <w:rFonts w:hint="eastAsia" w:ascii="Times New Roman" w:hAnsi="Times New Roman" w:eastAsia="方正仿宋_GBK" w:cs="方正仿宋_GBK"/>
          <w:b w:val="0"/>
          <w:bCs/>
          <w:sz w:val="32"/>
          <w:szCs w:val="32"/>
          <w:shd w:val="clear" w:color="auto" w:fill="FFFFFF"/>
          <w:lang w:val="en-US" w:eastAsia="zh-CN"/>
        </w:rPr>
        <w:t>2024年机构改革，我单位由劳动就业和社会保障所和退役军人服务站转入，根据</w:t>
      </w:r>
      <w:r>
        <w:rPr>
          <w:rFonts w:hint="eastAsia" w:ascii="Times New Roman" w:hAnsi="Times New Roman" w:eastAsia="方正仿宋_GBK" w:cs="Times New Roman"/>
          <w:b w:val="0"/>
          <w:bCs/>
          <w:sz w:val="32"/>
          <w:szCs w:val="32"/>
        </w:rPr>
        <w:t>云阳财预【2024】79号</w:t>
      </w:r>
      <w:r>
        <w:rPr>
          <w:rFonts w:hint="eastAsia" w:ascii="Times New Roman" w:hAnsi="Times New Roman" w:eastAsia="方正仿宋_GBK" w:cs="Times New Roman"/>
          <w:b w:val="0"/>
          <w:bCs/>
          <w:sz w:val="32"/>
          <w:szCs w:val="32"/>
          <w:lang w:val="en-US" w:eastAsia="zh-CN"/>
        </w:rPr>
        <w:t>文件调整预算。</w:t>
      </w:r>
    </w:p>
    <w:p>
      <w:pPr>
        <w:keepNext w:val="0"/>
        <w:keepLines w:val="0"/>
        <w:pageBreakBefore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 w:val="0"/>
          <w:bCs/>
          <w:color w:val="FF0000"/>
          <w:sz w:val="32"/>
          <w:szCs w:val="32"/>
          <w:shd w:val="clear" w:color="auto" w:fill="FFFFFF"/>
        </w:rPr>
      </w:pPr>
      <w:r>
        <w:rPr>
          <w:rFonts w:ascii="Times New Roman" w:hAnsi="Times New Roman" w:eastAsia="方正仿宋_GBK" w:cs="方正仿宋_GBK"/>
          <w:b w:val="0"/>
          <w:bCs/>
          <w:sz w:val="32"/>
          <w:szCs w:val="32"/>
          <w:shd w:val="clear" w:color="auto" w:fill="FFFFFF"/>
        </w:rPr>
        <w:t>（</w:t>
      </w:r>
      <w:r>
        <w:rPr>
          <w:rFonts w:hint="eastAsia" w:ascii="Times New Roman" w:hAnsi="Times New Roman" w:eastAsia="方正仿宋_GBK" w:cs="方正仿宋_GBK"/>
          <w:b w:val="0"/>
          <w:bCs/>
          <w:sz w:val="32"/>
          <w:szCs w:val="32"/>
          <w:shd w:val="clear" w:color="auto" w:fill="FFFFFF"/>
          <w:lang w:val="en-US" w:eastAsia="zh-CN"/>
        </w:rPr>
        <w:t>4</w:t>
      </w:r>
      <w:r>
        <w:rPr>
          <w:rFonts w:ascii="Times New Roman" w:hAnsi="Times New Roman" w:eastAsia="方正仿宋_GBK" w:cs="方正仿宋_GBK"/>
          <w:b w:val="0"/>
          <w:bCs/>
          <w:sz w:val="32"/>
          <w:szCs w:val="32"/>
          <w:shd w:val="clear" w:color="auto" w:fill="FFFFFF"/>
        </w:rPr>
        <w:t>）</w:t>
      </w:r>
      <w:r>
        <w:rPr>
          <w:rFonts w:ascii="Times New Roman" w:hAnsi="Times New Roman" w:eastAsia="方正仿宋_GBK" w:cs="方正仿宋_GBK"/>
          <w:b w:val="0"/>
          <w:bCs/>
          <w:sz w:val="32"/>
          <w:szCs w:val="32"/>
        </w:rPr>
        <w:t>住房保障支出4.57</w:t>
      </w:r>
      <w:r>
        <w:rPr>
          <w:rFonts w:ascii="Times New Roman" w:hAnsi="Times New Roman" w:eastAsia="方正仿宋_GBK" w:cs="方正仿宋_GBK"/>
          <w:b w:val="0"/>
          <w:bCs/>
          <w:sz w:val="32"/>
          <w:szCs w:val="32"/>
          <w:shd w:val="clear" w:color="auto" w:fill="FFFFFF"/>
        </w:rPr>
        <w:t>万元，占</w:t>
      </w:r>
      <w:r>
        <w:rPr>
          <w:rFonts w:ascii="Times New Roman" w:hAnsi="Times New Roman" w:eastAsia="方正仿宋_GBK" w:cs="方正仿宋_GBK"/>
          <w:b w:val="0"/>
          <w:bCs/>
          <w:sz w:val="32"/>
          <w:szCs w:val="32"/>
        </w:rPr>
        <w:t>6.40</w:t>
      </w:r>
      <w:r>
        <w:rPr>
          <w:rFonts w:ascii="Times New Roman" w:hAnsi="Times New Roman" w:eastAsia="方正仿宋_GBK" w:cs="方正仿宋_GBK"/>
          <w:b w:val="0"/>
          <w:bCs/>
          <w:sz w:val="32"/>
          <w:szCs w:val="32"/>
          <w:shd w:val="clear" w:color="auto" w:fill="FFFFFF"/>
        </w:rPr>
        <w:t>%，较年初预算数减少0.36万元，下降7.3%，主要原因是</w:t>
      </w:r>
      <w:r>
        <w:rPr>
          <w:rFonts w:hint="eastAsia" w:ascii="Times New Roman" w:hAnsi="Times New Roman" w:eastAsia="方正仿宋_GBK" w:cs="方正仿宋_GBK"/>
          <w:b w:val="0"/>
          <w:bCs/>
          <w:sz w:val="32"/>
          <w:szCs w:val="32"/>
          <w:shd w:val="clear" w:color="auto" w:fill="FFFFFF"/>
          <w:lang w:val="en-US" w:eastAsia="zh-CN"/>
        </w:rPr>
        <w:t>2024年机构改革，我单位由劳动就业和社会保障所和退役军人服务站转入，根据</w:t>
      </w:r>
      <w:r>
        <w:rPr>
          <w:rFonts w:hint="eastAsia" w:ascii="Times New Roman" w:hAnsi="Times New Roman" w:eastAsia="方正仿宋_GBK" w:cs="Times New Roman"/>
          <w:b w:val="0"/>
          <w:bCs/>
          <w:sz w:val="32"/>
          <w:szCs w:val="32"/>
        </w:rPr>
        <w:t>云阳财预【2024】79号</w:t>
      </w:r>
      <w:r>
        <w:rPr>
          <w:rFonts w:hint="eastAsia" w:ascii="Times New Roman" w:hAnsi="Times New Roman" w:eastAsia="方正仿宋_GBK" w:cs="Times New Roman"/>
          <w:b w:val="0"/>
          <w:bCs/>
          <w:sz w:val="32"/>
          <w:szCs w:val="32"/>
          <w:lang w:val="en-US" w:eastAsia="zh-CN"/>
        </w:rPr>
        <w:t>文件调整预算。</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度一般公共财政拨款基本支出</w:t>
      </w:r>
      <w:r>
        <w:rPr>
          <w:rFonts w:ascii="Times New Roman" w:hAnsi="Times New Roman" w:eastAsia="方正仿宋_GBK" w:cs="方正仿宋_GBK"/>
          <w:b w:val="0"/>
          <w:bCs/>
          <w:sz w:val="32"/>
          <w:szCs w:val="32"/>
        </w:rPr>
        <w:t>71.35</w:t>
      </w:r>
      <w:r>
        <w:rPr>
          <w:rFonts w:ascii="Times New Roman" w:hAnsi="Times New Roman" w:eastAsia="方正仿宋_GBK" w:cs="方正仿宋_GBK"/>
          <w:b w:val="0"/>
          <w:bCs/>
          <w:sz w:val="32"/>
          <w:szCs w:val="32"/>
          <w:shd w:val="clear" w:color="auto" w:fill="FFFFFF"/>
        </w:rPr>
        <w:t>万元。其中：人员经费</w:t>
      </w:r>
      <w:r>
        <w:rPr>
          <w:rFonts w:ascii="Times New Roman" w:hAnsi="Times New Roman" w:eastAsia="方正仿宋_GBK" w:cs="方正仿宋_GBK"/>
          <w:b w:val="0"/>
          <w:bCs/>
          <w:sz w:val="32"/>
          <w:szCs w:val="32"/>
        </w:rPr>
        <w:t>69.35</w:t>
      </w:r>
      <w:r>
        <w:rPr>
          <w:rFonts w:ascii="Times New Roman" w:hAnsi="Times New Roman" w:eastAsia="方正仿宋_GBK" w:cs="方正仿宋_GBK"/>
          <w:b w:val="0"/>
          <w:bCs/>
          <w:sz w:val="32"/>
          <w:szCs w:val="32"/>
          <w:shd w:val="clear" w:color="auto" w:fill="FFFFFF"/>
        </w:rPr>
        <w:t>万元，与2023年度相比，增加69.35万元，增长100.0%，主要原因是我单位为2024年新设置预算单位，无法与上年同期数进行比较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人员经费用途主要包括</w:t>
      </w:r>
      <w:r>
        <w:rPr>
          <w:rFonts w:hint="eastAsia" w:ascii="Times New Roman" w:hAnsi="Times New Roman" w:eastAsia="方正仿宋_GBK" w:cs="方正仿宋_GBK"/>
          <w:b w:val="0"/>
          <w:bCs/>
          <w:sz w:val="32"/>
          <w:highlight w:val="none"/>
          <w:shd w:val="clear" w:color="auto" w:fill="auto"/>
          <w:lang w:val="en-US" w:eastAsia="zh-CN"/>
        </w:rPr>
        <w:t>职工统发工资、职工考核、社会保险缴费及住房公积金等。</w:t>
      </w:r>
      <w:r>
        <w:rPr>
          <w:rFonts w:ascii="Times New Roman" w:hAnsi="Times New Roman" w:eastAsia="方正仿宋_GBK" w:cs="方正仿宋_GBK"/>
          <w:b w:val="0"/>
          <w:bCs/>
          <w:sz w:val="32"/>
          <w:szCs w:val="32"/>
          <w:shd w:val="clear" w:color="auto" w:fill="FFFFFF"/>
        </w:rPr>
        <w:t>公用经费</w:t>
      </w:r>
      <w:r>
        <w:rPr>
          <w:rFonts w:ascii="Times New Roman" w:hAnsi="Times New Roman" w:eastAsia="方正仿宋_GBK" w:cs="方正仿宋_GBK"/>
          <w:b w:val="0"/>
          <w:bCs/>
          <w:sz w:val="32"/>
          <w:szCs w:val="32"/>
        </w:rPr>
        <w:t>2.00</w:t>
      </w:r>
      <w:r>
        <w:rPr>
          <w:rFonts w:ascii="Times New Roman" w:hAnsi="Times New Roman" w:eastAsia="方正仿宋_GBK" w:cs="方正仿宋_GBK"/>
          <w:b w:val="0"/>
          <w:bCs/>
          <w:sz w:val="32"/>
          <w:szCs w:val="32"/>
          <w:shd w:val="clear" w:color="auto" w:fill="FFFFFF"/>
        </w:rPr>
        <w:t>万元，与2023年度相比，增加2.00万元，增长100.0%，主要原因是我单位为2024年新设置预算单位，无法与上年同期数进行比较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r>
        <w:rPr>
          <w:rFonts w:ascii="Times New Roman" w:hAnsi="Times New Roman" w:eastAsia="方正仿宋_GBK" w:cs="方正仿宋_GBK"/>
          <w:b w:val="0"/>
          <w:bCs/>
          <w:sz w:val="32"/>
          <w:szCs w:val="32"/>
          <w:shd w:val="clear" w:color="auto" w:fill="FFFFFF"/>
        </w:rPr>
        <w:t>公用经费用途主要包括</w:t>
      </w:r>
      <w:r>
        <w:rPr>
          <w:rFonts w:hint="eastAsia" w:ascii="Times New Roman" w:hAnsi="Times New Roman" w:eastAsia="方正仿宋_GBK" w:cs="方正仿宋_GBK"/>
          <w:b w:val="0"/>
          <w:bCs/>
          <w:sz w:val="32"/>
          <w:szCs w:val="32"/>
          <w:shd w:val="clear" w:color="auto" w:fill="FFFFFF"/>
          <w:lang w:val="en-US" w:eastAsia="zh-CN"/>
        </w:rPr>
        <w:t>职工培训费、福利费、工会经费。</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Fonts w:ascii="Times New Roman" w:hAnsi="Times New Roman" w:eastAsia="方正仿宋_GBK" w:cs="方正仿宋_GBK"/>
          <w:b w:val="0"/>
          <w:bCs/>
          <w:sz w:val="32"/>
          <w:szCs w:val="32"/>
          <w:shd w:val="clear" w:color="auto" w:fill="FFFFFF"/>
        </w:rPr>
        <w:t>本单位</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度无政府性基金预算财政拨款收支。</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Fonts w:ascii="Times New Roman" w:hAnsi="Times New Roman" w:eastAsia="方正仿宋_GBK" w:cs="方正仿宋_GBK"/>
          <w:b w:val="0"/>
          <w:bCs/>
          <w:sz w:val="32"/>
          <w:szCs w:val="32"/>
          <w:shd w:val="clear" w:color="auto" w:fill="FFFFFF"/>
        </w:rPr>
        <w:t>本单位</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度无国有资本经营预算财政拨款支出。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三、财政拨款“三公”经费情况说明</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度“三公”经费支出共计</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万元，较年初预算数无增减，</w:t>
      </w:r>
      <w:r>
        <w:rPr>
          <w:rFonts w:ascii="Times New Roman" w:hAnsi="Times New Roman" w:eastAsia="方正仿宋_GBK" w:cs="方正仿宋_GBK"/>
          <w:b w:val="0"/>
          <w:bCs/>
          <w:sz w:val="32"/>
          <w:szCs w:val="32"/>
          <w:shd w:val="clear" w:color="auto" w:fill="FFFFFF"/>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w:t>
      </w:r>
      <w:r>
        <w:rPr>
          <w:rFonts w:hint="eastAsia" w:ascii="Times New Roman" w:hAnsi="Times New Roman" w:eastAsia="方正仿宋_GBK" w:cs="方正仿宋_GBK"/>
          <w:b w:val="0"/>
          <w:bCs w:val="0"/>
          <w:sz w:val="32"/>
          <w:szCs w:val="32"/>
          <w:shd w:val="clear" w:color="auto" w:fill="FFFFFF"/>
          <w:lang w:val="en-US" w:eastAsia="zh-CN"/>
        </w:rPr>
        <w:t>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2024年</w:t>
      </w:r>
      <w:r>
        <w:rPr>
          <w:rFonts w:ascii="Times New Roman" w:hAnsi="Times New Roman" w:eastAsia="方正仿宋_GBK" w:cs="方正仿宋_GBK"/>
          <w:b w:val="0"/>
          <w:bCs w:val="0"/>
          <w:sz w:val="32"/>
          <w:szCs w:val="32"/>
          <w:shd w:val="clear" w:color="auto" w:fill="FFFFFF"/>
        </w:rPr>
        <w:t>度本单位因公出国（境）费用</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lang w:val="en-US" w:eastAsia="zh-CN"/>
        </w:rPr>
      </w:pPr>
      <w:r>
        <w:rPr>
          <w:rFonts w:ascii="Times New Roman" w:hAnsi="Times New Roman" w:eastAsia="方正仿宋_GBK" w:cs="方正仿宋_GBK"/>
          <w:b w:val="0"/>
          <w:bCs w:val="0"/>
          <w:sz w:val="32"/>
          <w:szCs w:val="32"/>
          <w:shd w:val="clear" w:color="auto" w:fill="FFFFFF"/>
        </w:rPr>
        <w:t>公务车购置费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val="0"/>
          <w:sz w:val="32"/>
          <w:szCs w:val="32"/>
        </w:rPr>
      </w:pPr>
      <w:r>
        <w:rPr>
          <w:rFonts w:ascii="Times New Roman" w:hAnsi="Times New Roman" w:eastAsia="方正仿宋_GBK" w:cs="方正仿宋_GBK"/>
          <w:b w:val="0"/>
          <w:bCs w:val="0"/>
          <w:sz w:val="32"/>
          <w:szCs w:val="32"/>
          <w:shd w:val="clear" w:color="auto" w:fill="FFFFFF"/>
        </w:rPr>
        <w:t>公务车运行维护费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仿宋_GBK" w:cs="方正仿宋_GBK"/>
          <w:b w:val="0"/>
          <w:bCs/>
          <w:sz w:val="32"/>
          <w:szCs w:val="32"/>
          <w:shd w:val="clear" w:color="auto" w:fill="FFFFFF"/>
          <w:lang w:val="en-US" w:eastAsia="zh-CN"/>
        </w:rPr>
      </w:pPr>
      <w:r>
        <w:rPr>
          <w:rFonts w:ascii="Times New Roman" w:hAnsi="Times New Roman" w:eastAsia="方正仿宋_GBK" w:cs="方正仿宋_GBK"/>
          <w:b w:val="0"/>
          <w:bCs w:val="0"/>
          <w:sz w:val="32"/>
          <w:szCs w:val="32"/>
          <w:shd w:val="clear" w:color="auto" w:fill="FFFFFF"/>
        </w:rPr>
        <w:t>公务接待费</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万元，费用支出较年初预算数无增减，</w:t>
      </w:r>
      <w:r>
        <w:rPr>
          <w:rFonts w:hint="eastAsia" w:ascii="Times New Roman" w:hAnsi="Times New Roman" w:eastAsia="方正仿宋_GBK" w:cs="方正仿宋_GBK"/>
          <w:b w:val="0"/>
          <w:bCs w:val="0"/>
          <w:sz w:val="32"/>
          <w:szCs w:val="32"/>
          <w:shd w:val="clear" w:color="auto" w:fill="FFFFFF"/>
          <w:lang w:val="en-US" w:eastAsia="zh-CN"/>
        </w:rPr>
        <w:t>主要原因是</w:t>
      </w:r>
      <w:r>
        <w:rPr>
          <w:rFonts w:hint="eastAsia" w:ascii="Times New Roman" w:hAnsi="Times New Roman" w:eastAsia="方正仿宋_GBK" w:cs="方正仿宋_GBK"/>
          <w:b w:val="0"/>
          <w:bCs/>
          <w:sz w:val="32"/>
          <w:szCs w:val="32"/>
          <w:shd w:val="clear" w:color="auto" w:fill="FFFFFF"/>
          <w:lang w:val="en-US" w:eastAsia="zh-CN"/>
        </w:rPr>
        <w:t>按照部门决算列报口径，统一在政府机关本级列报</w:t>
      </w:r>
      <w:r>
        <w:rPr>
          <w:rFonts w:hint="eastAsia" w:ascii="Times New Roman" w:hAnsi="Times New Roman" w:eastAsia="方正仿宋_GBK" w:cs="方正仿宋_GBK"/>
          <w:b w:val="0"/>
          <w:bCs/>
          <w:sz w:val="32"/>
          <w:szCs w:val="32"/>
          <w:highlight w:val="none"/>
          <w:lang w:val="en-US" w:eastAsia="zh-CN"/>
        </w:rPr>
        <w:t>。</w:t>
      </w:r>
      <w:r>
        <w:rPr>
          <w:rFonts w:ascii="Times New Roman" w:hAnsi="Times New Roman" w:eastAsia="方正仿宋_GBK" w:cs="方正仿宋_GBK"/>
          <w:b w:val="0"/>
          <w:bCs w:val="0"/>
          <w:sz w:val="32"/>
          <w:szCs w:val="32"/>
          <w:shd w:val="clear" w:color="auto" w:fill="FFFFFF"/>
        </w:rPr>
        <w:t>较上年支出数无增减，主要原因是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度本单位因公出国（境）共计</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个团组，</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人；公务用车购置</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辆，公务车保有量为</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辆；国内公务接待</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批次</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人，其中：国内外事接待</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批次，</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人；国（境）外公务接待</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批次，</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人。</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本单位人均接待费</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元，车均购置费</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万元，车均维护费</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万元。</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0.00</w:t>
      </w:r>
      <w:r>
        <w:rPr>
          <w:rFonts w:ascii="Times New Roman" w:hAnsi="Times New Roman" w:eastAsia="方正仿宋_GBK" w:cs="方正仿宋_GBK"/>
          <w:b w:val="0"/>
          <w:bCs w:val="0"/>
          <w:sz w:val="32"/>
          <w:szCs w:val="32"/>
          <w:shd w:val="clear" w:color="auto" w:fill="FFFFFF"/>
        </w:rPr>
        <w:t>万元，与2023年度相比，无增减，主要原因是</w:t>
      </w:r>
      <w:r>
        <w:rPr>
          <w:rFonts w:hint="eastAsia" w:ascii="Times New Roman" w:hAnsi="Times New Roman" w:eastAsia="方正仿宋_GBK" w:cs="方正仿宋_GBK"/>
          <w:b w:val="0"/>
          <w:bCs w:val="0"/>
          <w:sz w:val="32"/>
          <w:szCs w:val="32"/>
          <w:shd w:val="clear" w:color="auto" w:fill="FFFFFF"/>
          <w:lang w:val="en-US" w:eastAsia="zh-CN"/>
        </w:rPr>
        <w:t>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val="en-US" w:eastAsia="zh-CN"/>
        </w:rPr>
        <w:t>。</w:t>
      </w:r>
      <w:r>
        <w:rPr>
          <w:rFonts w:ascii="Times New Roman" w:hAnsi="Times New Roman" w:eastAsia="方正仿宋_GBK" w:cs="方正仿宋_GBK"/>
          <w:b w:val="0"/>
          <w:bCs/>
          <w:sz w:val="32"/>
          <w:szCs w:val="32"/>
          <w:shd w:val="clear" w:color="auto" w:fill="FFFFFF"/>
        </w:rPr>
        <w:t>本年度培训费支出</w:t>
      </w:r>
      <w:r>
        <w:rPr>
          <w:rFonts w:ascii="Times New Roman" w:hAnsi="Times New Roman" w:eastAsia="方正仿宋_GBK" w:cs="方正仿宋_GBK"/>
          <w:b w:val="0"/>
          <w:bCs/>
          <w:sz w:val="32"/>
          <w:szCs w:val="32"/>
        </w:rPr>
        <w:t>0.19</w:t>
      </w:r>
      <w:r>
        <w:rPr>
          <w:rFonts w:ascii="Times New Roman" w:hAnsi="Times New Roman" w:eastAsia="方正仿宋_GBK" w:cs="方正仿宋_GBK"/>
          <w:b w:val="0"/>
          <w:bCs/>
          <w:sz w:val="32"/>
          <w:szCs w:val="32"/>
          <w:shd w:val="clear" w:color="auto" w:fill="FFFFFF"/>
        </w:rPr>
        <w:t>万元，与2023年度相比，增加0.19万元，增长100.0%，主要原因是我单位为2024年新设置预算单位，无法与上年同期数进行比较</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widowControl w:val="0"/>
        <w:shd w:val="clear" w:color="auto" w:fill="FFFFFF"/>
        <w:kinsoku/>
        <w:wordWrap/>
        <w:overflowPunct/>
        <w:topLinePunct w:val="0"/>
        <w:autoSpaceDE/>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（二）机关运行经费情况说明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eastAsia" w:ascii="Times New Roman" w:hAnsi="Times New Roman" w:eastAsia="方正仿宋_GBK" w:cs="方正仿宋_GBK"/>
          <w:b w:val="0"/>
          <w:bCs/>
          <w:sz w:val="32"/>
          <w:szCs w:val="32"/>
          <w:shd w:val="clear" w:color="auto" w:fill="FFFFFF"/>
          <w:lang w:eastAsia="zh-CN"/>
        </w:rPr>
      </w:pPr>
      <w:r>
        <w:rPr>
          <w:rFonts w:hint="default" w:ascii="Times New Roman" w:hAnsi="Times New Roman" w:eastAsia="方正仿宋_GBK" w:cs="方正仿宋_GBK"/>
          <w:b w:val="0"/>
          <w:bCs/>
          <w:sz w:val="32"/>
          <w:szCs w:val="32"/>
          <w:shd w:val="clear" w:color="auto" w:fill="FFFFFF"/>
        </w:rPr>
        <w:t>2024年度本单位机关运行经费支出0.00万元，机关运行经费较上年支出数无增减，主要原因是</w:t>
      </w:r>
      <w:r>
        <w:rPr>
          <w:rFonts w:ascii="Times New Roman" w:hAnsi="Times New Roman" w:eastAsia="方正仿宋_GBK" w:cs="方正仿宋_GBK"/>
          <w:b w:val="0"/>
          <w:bCs w:val="0"/>
          <w:sz w:val="32"/>
          <w:szCs w:val="32"/>
          <w:shd w:val="clear" w:color="auto" w:fill="FFFFFF"/>
        </w:rPr>
        <w:t>我单位为2024年新设置预算单位，无法与上年同期数进行比较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rPr>
      </w:pPr>
      <w:r>
        <w:rPr>
          <w:rFonts w:ascii="Times New Roman" w:hAnsi="Times New Roman" w:eastAsia="方正仿宋_GBK" w:cs="方正仿宋_GBK"/>
          <w:b w:val="0"/>
          <w:bCs/>
          <w:sz w:val="32"/>
          <w:szCs w:val="32"/>
          <w:shd w:val="clear" w:color="auto" w:fill="FFFFFF"/>
        </w:rPr>
        <w:t>截至</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12月31日，本单位共有车辆</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辆，其中，副部（省）级及以上领导用车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辆、主要负责人用车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辆、机要通信用车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辆、应急保障用车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辆、执法执勤用车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辆，特种专业技术用车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辆，离退休干部用车</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辆。单价100万元（含）以上专用设备</w:t>
      </w:r>
      <w:r>
        <w:rPr>
          <w:rFonts w:ascii="Times New Roman" w:hAnsi="Times New Roman" w:eastAsia="方正仿宋_GBK" w:cs="方正仿宋_GBK"/>
          <w:b w:val="0"/>
          <w:bCs/>
          <w:sz w:val="32"/>
          <w:szCs w:val="32"/>
        </w:rPr>
        <w:t>0</w:t>
      </w:r>
      <w:r>
        <w:rPr>
          <w:rFonts w:ascii="Times New Roman" w:hAnsi="Times New Roman" w:eastAsia="方正仿宋_GBK" w:cs="方正仿宋_GBK"/>
          <w:b w:val="0"/>
          <w:bCs/>
          <w:sz w:val="32"/>
          <w:szCs w:val="32"/>
          <w:shd w:val="clear" w:color="auto" w:fill="FFFFFF"/>
        </w:rPr>
        <w:t>台（套）。</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b w:val="0"/>
          <w:bCs/>
          <w:sz w:val="32"/>
          <w:szCs w:val="32"/>
          <w:shd w:val="clear" w:color="auto" w:fill="FFFFFF"/>
        </w:rPr>
      </w:pP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度我单位未发生政府采购事项，无相关经费支出。</w:t>
      </w:r>
    </w:p>
    <w:p>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五、2024年度预算绩效管理情况说明</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afterAutospacing="0" w:line="578" w:lineRule="exact"/>
        <w:ind w:firstLine="640" w:firstLineChars="200"/>
        <w:textAlignment w:val="auto"/>
        <w:rPr>
          <w:rFonts w:hint="default" w:ascii="Times New Roman" w:hAnsi="Times New Roman" w:eastAsia="方正仿宋_GBK" w:cs="方正仿宋_GBK"/>
          <w:b w:val="0"/>
          <w:bCs/>
          <w:sz w:val="32"/>
          <w:szCs w:val="32"/>
          <w:highlight w:val="yellow"/>
          <w:shd w:val="clear" w:color="auto" w:fill="FFFFFF"/>
          <w:lang w:val="en-US" w:eastAsia="zh-CN"/>
        </w:rPr>
      </w:pPr>
      <w:r>
        <w:rPr>
          <w:rFonts w:hint="eastAsia" w:ascii="Times New Roman" w:hAnsi="Times New Roman" w:eastAsia="方正仿宋_GBK" w:cs="方正仿宋_GBK"/>
          <w:b w:val="0"/>
          <w:bCs w:val="0"/>
          <w:sz w:val="32"/>
          <w:szCs w:val="32"/>
          <w:shd w:val="clear" w:color="auto" w:fill="FFFFFF"/>
          <w:lang w:val="en-US" w:eastAsia="zh-CN" w:bidi="ar-SA"/>
        </w:rPr>
        <w:t>根据预算绩效管理要求，我单位经费支出属于人员经费，无项目经费支出，不进行项目预算绩效管理。</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（二）部门绩效评价情况</w:t>
      </w:r>
    </w:p>
    <w:p>
      <w:pPr>
        <w:pStyle w:val="14"/>
        <w:keepNext w:val="0"/>
        <w:keepLines w:val="0"/>
        <w:pageBreakBefore w:val="0"/>
        <w:kinsoku/>
        <w:wordWrap/>
        <w:overflowPunct/>
        <w:topLinePunct w:val="0"/>
        <w:autoSpaceDE w:val="0"/>
        <w:autoSpaceDN/>
        <w:bidi w:val="0"/>
        <w:adjustRightInd/>
        <w:spacing w:beforeAutospacing="0" w:afterAutospacing="0" w:line="578" w:lineRule="exact"/>
        <w:textAlignment w:val="auto"/>
        <w:rPr>
          <w:rFonts w:hint="eastAsia"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rPr>
        <w:t>我单位</w:t>
      </w:r>
      <w:r>
        <w:rPr>
          <w:rFonts w:hint="eastAsia" w:ascii="Times New Roman" w:hAnsi="Times New Roman" w:eastAsia="方正仿宋_GBK" w:cs="方正仿宋_GBK"/>
          <w:b w:val="0"/>
          <w:bCs/>
          <w:sz w:val="32"/>
          <w:szCs w:val="32"/>
          <w:shd w:val="clear" w:color="auto" w:fill="FFFFFF"/>
          <w:lang w:val="en-US" w:eastAsia="zh-CN"/>
        </w:rPr>
        <w:t>未组织</w:t>
      </w:r>
      <w:r>
        <w:rPr>
          <w:rFonts w:hint="eastAsia" w:ascii="Times New Roman" w:hAnsi="Times New Roman" w:eastAsia="方正仿宋_GBK" w:cs="方正仿宋_GBK"/>
          <w:b w:val="0"/>
          <w:bCs/>
          <w:sz w:val="32"/>
          <w:szCs w:val="32"/>
          <w:shd w:val="clear" w:color="auto" w:fill="FFFFFF"/>
        </w:rPr>
        <w:t>开展绩效评价</w:t>
      </w:r>
      <w:r>
        <w:rPr>
          <w:rFonts w:hint="eastAsia" w:ascii="Times New Roman" w:hAnsi="Times New Roman" w:eastAsia="方正仿宋_GBK" w:cs="方正仿宋_GBK"/>
          <w:b w:val="0"/>
          <w:bCs/>
          <w:sz w:val="32"/>
          <w:szCs w:val="32"/>
          <w:shd w:val="clear" w:color="auto" w:fill="FFFFFF"/>
          <w:lang w:eastAsia="zh-CN"/>
        </w:rPr>
        <w:t>。</w:t>
      </w:r>
    </w:p>
    <w:p>
      <w:pPr>
        <w:pStyle w:val="6"/>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（三）财政绩效评价情况</w:t>
      </w:r>
    </w:p>
    <w:p>
      <w:pPr>
        <w:pStyle w:val="14"/>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Times New Roman" w:hAnsi="Times New Roman" w:eastAsia="方正仿宋_GBK" w:cs="方正仿宋_GBK"/>
          <w:b w:val="0"/>
          <w:bCs/>
          <w:sz w:val="32"/>
          <w:szCs w:val="32"/>
          <w:shd w:val="clear" w:color="auto" w:fill="FFFFFF"/>
          <w:lang w:eastAsia="zh-CN"/>
        </w:rPr>
      </w:pPr>
      <w:r>
        <w:rPr>
          <w:rFonts w:hint="eastAsia" w:ascii="Times New Roman" w:hAnsi="Times New Roman" w:eastAsia="方正仿宋_GBK" w:cs="方正仿宋_GBK"/>
          <w:b w:val="0"/>
          <w:bCs/>
          <w:sz w:val="32"/>
          <w:szCs w:val="32"/>
          <w:shd w:val="clear" w:color="auto" w:fill="FFFFFF"/>
          <w:lang w:val="en-US" w:eastAsia="zh-CN"/>
        </w:rPr>
        <w:t>县</w:t>
      </w:r>
      <w:r>
        <w:rPr>
          <w:rFonts w:hint="eastAsia" w:ascii="Times New Roman" w:hAnsi="Times New Roman" w:eastAsia="方正仿宋_GBK" w:cs="方正仿宋_GBK"/>
          <w:b w:val="0"/>
          <w:bCs/>
          <w:sz w:val="32"/>
          <w:szCs w:val="32"/>
          <w:shd w:val="clear" w:color="auto" w:fill="FFFFFF"/>
        </w:rPr>
        <w:t>财政局未委托第三方对我单位开展绩效评价</w:t>
      </w:r>
      <w:r>
        <w:rPr>
          <w:rFonts w:hint="eastAsia" w:ascii="Times New Roman" w:hAnsi="Times New Roman" w:eastAsia="方正仿宋_GBK" w:cs="方正仿宋_GBK"/>
          <w:b w:val="0"/>
          <w:bCs/>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（一）财政拨款收入：</w:t>
      </w:r>
      <w:r>
        <w:rPr>
          <w:rFonts w:hint="eastAsia" w:ascii="Times New Roman" w:hAnsi="Times New Roman" w:eastAsia="方正仿宋_GBK" w:cs="方正仿宋_GBK"/>
          <w:b w:val="0"/>
          <w:bCs/>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（二）事业收入：</w:t>
      </w:r>
      <w:r>
        <w:rPr>
          <w:rFonts w:hint="eastAsia" w:ascii="Times New Roman" w:hAnsi="Times New Roman"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（三）经营收入：</w:t>
      </w:r>
      <w:r>
        <w:rPr>
          <w:rFonts w:hint="eastAsia" w:ascii="Times New Roman" w:hAnsi="Times New Roman" w:eastAsia="方正仿宋_GBK" w:cs="方正仿宋_GBK"/>
          <w:b w:val="0"/>
          <w:bCs/>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（四）其他收入：</w:t>
      </w:r>
      <w:r>
        <w:rPr>
          <w:rFonts w:hint="eastAsia" w:ascii="Times New Roman" w:hAnsi="Times New Roman"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（五）使用非财政拨款结余：</w:t>
      </w:r>
      <w:r>
        <w:rPr>
          <w:rFonts w:hint="eastAsia" w:ascii="Times New Roman" w:hAnsi="Times New Roman"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（六）年初结转和结余：</w:t>
      </w:r>
      <w:r>
        <w:rPr>
          <w:rFonts w:hint="eastAsia" w:ascii="Times New Roman" w:hAnsi="Times New Roman" w:eastAsia="方正仿宋_GBK" w:cs="方正仿宋_GBK"/>
          <w:b w:val="0"/>
          <w:bCs/>
          <w:kern w:val="0"/>
          <w:sz w:val="32"/>
          <w:szCs w:val="32"/>
          <w:shd w:val="clear" w:fill="FFFFFF"/>
        </w:rPr>
        <w:t>指单位上年结转本年使用的基本支出结转、项目支出结转和结余、经营结余。</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（七）结余分配：</w:t>
      </w:r>
      <w:r>
        <w:rPr>
          <w:rFonts w:hint="eastAsia" w:ascii="Times New Roman" w:hAnsi="Times New Roman" w:eastAsia="方正仿宋_GBK" w:cs="方正仿宋_GBK"/>
          <w:b w:val="0"/>
          <w:bCs/>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（八）年末结转和结余：</w:t>
      </w:r>
      <w:r>
        <w:rPr>
          <w:rFonts w:hint="eastAsia" w:ascii="Times New Roman" w:hAnsi="Times New Roman" w:eastAsia="方正仿宋_GBK" w:cs="方正仿宋_GBK"/>
          <w:b w:val="0"/>
          <w:bCs/>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（九）基本支出：</w:t>
      </w:r>
      <w:r>
        <w:rPr>
          <w:rFonts w:hint="eastAsia" w:ascii="Times New Roman" w:hAnsi="Times New Roman"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（十）项目支出：</w:t>
      </w:r>
      <w:r>
        <w:rPr>
          <w:rFonts w:hint="eastAsia" w:ascii="Times New Roman" w:hAnsi="Times New Roman" w:eastAsia="方正仿宋_GBK" w:cs="方正仿宋_GBK"/>
          <w:b w:val="0"/>
          <w:bCs/>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（十一）经营支出：</w:t>
      </w:r>
      <w:r>
        <w:rPr>
          <w:rFonts w:hint="eastAsia" w:ascii="Times New Roman" w:hAnsi="Times New Roman" w:eastAsia="方正仿宋_GBK" w:cs="方正仿宋_GBK"/>
          <w:b w:val="0"/>
          <w:bCs/>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（十二）“三公”经费：</w:t>
      </w:r>
      <w:r>
        <w:rPr>
          <w:rFonts w:hint="eastAsia" w:ascii="Times New Roman" w:hAnsi="Times New Roman"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（十三）机关运行经费：</w:t>
      </w:r>
      <w:r>
        <w:rPr>
          <w:rFonts w:hint="eastAsia" w:ascii="Times New Roman" w:hAnsi="Times New Roman"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（十四）工资福利支出（支出经济分类科目类级）</w:t>
      </w:r>
      <w:r>
        <w:rPr>
          <w:rStyle w:val="10"/>
          <w:rFonts w:hint="eastAsia" w:ascii="Times New Roman" w:hAnsi="Times New Roman" w:eastAsia="方正仿宋_GBK" w:cs="楷体"/>
          <w:b w:val="0"/>
          <w:bCs/>
          <w:sz w:val="32"/>
          <w:szCs w:val="32"/>
          <w:shd w:val="clear" w:color="auto" w:fill="FFFFFF"/>
          <w:lang w:val="en-US" w:eastAsia="zh-CN" w:bidi="ar-SA"/>
        </w:rPr>
        <w:t>：</w:t>
      </w:r>
      <w:r>
        <w:rPr>
          <w:rFonts w:hint="eastAsia" w:ascii="Times New Roman" w:hAnsi="Times New Roman"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（十五）商品和服务支出（支出经济分类科目类级）：</w:t>
      </w:r>
      <w:r>
        <w:rPr>
          <w:rFonts w:hint="eastAsia" w:ascii="Times New Roman" w:hAnsi="Times New Roman" w:eastAsia="方正仿宋_GBK" w:cs="方正仿宋_GBK"/>
          <w:b w:val="0"/>
          <w:bCs/>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（十六）对个人和家庭的补助（支出经济分类科目类级）：</w:t>
      </w:r>
      <w:r>
        <w:rPr>
          <w:rFonts w:hint="eastAsia" w:ascii="Times New Roman" w:hAnsi="Times New Roman" w:eastAsia="方正仿宋_GBK" w:cs="方正仿宋_GBK"/>
          <w:b w:val="0"/>
          <w:bCs/>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kern w:val="0"/>
          <w:sz w:val="32"/>
          <w:szCs w:val="32"/>
        </w:rPr>
      </w:pPr>
      <w:r>
        <w:rPr>
          <w:rFonts w:hint="eastAsia" w:ascii="Times New Roman" w:hAnsi="Times New Roman" w:eastAsia="方正楷体_GBK" w:cs="方正楷体_GBK"/>
          <w:b w:val="0"/>
          <w:bCs w:val="0"/>
          <w:kern w:val="2"/>
          <w:sz w:val="32"/>
          <w:szCs w:val="32"/>
          <w:lang w:val="en-US" w:eastAsia="zh-CN" w:bidi="ar-SA"/>
        </w:rPr>
        <w:t>（十七）其他资本性支出（支出经济分类科目类级）：</w:t>
      </w:r>
      <w:r>
        <w:rPr>
          <w:rFonts w:hint="eastAsia" w:ascii="Times New Roman" w:hAnsi="Times New Roman" w:eastAsia="方正仿宋_GBK" w:cs="方正仿宋_GBK"/>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黑体_GBK" w:cs="Times New Roman"/>
          <w:b w:val="0"/>
          <w:bCs w:val="0"/>
          <w:kern w:val="2"/>
          <w:sz w:val="32"/>
          <w:szCs w:val="22"/>
          <w:lang w:val="en-US" w:eastAsia="zh-CN" w:bidi="ar-SA"/>
        </w:rPr>
      </w:pPr>
      <w:r>
        <w:rPr>
          <w:rFonts w:hint="eastAsia" w:ascii="Times New Roman" w:hAnsi="Times New Roman" w:eastAsia="方正黑体_GBK" w:cs="Times New Roman"/>
          <w:b w:val="0"/>
          <w:bCs w:val="0"/>
          <w:kern w:val="2"/>
          <w:sz w:val="32"/>
          <w:szCs w:val="22"/>
          <w:lang w:val="en-US" w:eastAsia="zh-CN" w:bidi="ar-SA"/>
        </w:rPr>
        <w:t>七、决算公开联系方式及信息反馈渠道</w:t>
      </w:r>
    </w:p>
    <w:p>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方正仿宋_GBK"/>
          <w:b w:val="0"/>
          <w:bCs/>
          <w:color w:val="auto"/>
          <w:kern w:val="0"/>
          <w:sz w:val="32"/>
          <w:szCs w:val="32"/>
          <w:shd w:val="clear" w:fill="FFFFFF"/>
          <w:lang w:val="en-US" w:eastAsia="zh-CN"/>
        </w:rPr>
        <w:sectPr>
          <w:headerReference r:id="rId3" w:type="default"/>
          <w:footerReference r:id="rId4" w:type="default"/>
          <w:pgSz w:w="11850" w:h="16783"/>
          <w:pgMar w:top="2098" w:right="1531" w:bottom="1984" w:left="1531" w:header="850" w:footer="1474" w:gutter="0"/>
          <w:pgNumType w:fmt="decimal"/>
          <w:cols w:space="720" w:num="1"/>
          <w:docGrid w:type="lines" w:linePitch="326" w:charSpace="0"/>
        </w:sectPr>
      </w:pPr>
      <w:r>
        <w:rPr>
          <w:rFonts w:hint="eastAsia" w:ascii="Times New Roman" w:hAnsi="Times New Roman" w:eastAsia="方正仿宋_GBK" w:cs="方正仿宋_GBK"/>
          <w:b w:val="0"/>
          <w:bCs/>
          <w:kern w:val="0"/>
          <w:sz w:val="32"/>
          <w:szCs w:val="32"/>
          <w:shd w:val="clear" w:fill="FFFFFF"/>
        </w:rPr>
        <w:t>本单位决算公开信息反馈和联系方式：</w:t>
      </w:r>
      <w:r>
        <w:rPr>
          <w:rFonts w:hint="eastAsia" w:ascii="Times New Roman" w:hAnsi="Times New Roman" w:eastAsia="方正仿宋_GBK" w:cs="方正仿宋_GBK"/>
          <w:b w:val="0"/>
          <w:bCs/>
          <w:kern w:val="0"/>
          <w:sz w:val="32"/>
          <w:szCs w:val="32"/>
          <w:shd w:val="clear" w:fill="FFFFFF"/>
          <w:lang w:val="en-US" w:eastAsia="zh-CN"/>
        </w:rPr>
        <w:t xml:space="preserve">周川洁  </w:t>
      </w:r>
      <w:r>
        <w:rPr>
          <w:rFonts w:hint="eastAsia" w:ascii="Times New Roman" w:hAnsi="Times New Roman" w:eastAsia="方正仿宋_GBK" w:cs="方正仿宋_GBK"/>
          <w:b w:val="0"/>
          <w:bCs/>
          <w:color w:val="auto"/>
          <w:kern w:val="0"/>
          <w:sz w:val="32"/>
          <w:szCs w:val="32"/>
          <w:shd w:val="clear" w:fill="FFFFFF"/>
        </w:rPr>
        <w:t>023-</w:t>
      </w:r>
      <w:r>
        <w:rPr>
          <w:rFonts w:hint="eastAsia" w:ascii="Times New Roman" w:hAnsi="Times New Roman" w:eastAsia="方正仿宋_GBK" w:cs="方正仿宋_GBK"/>
          <w:b w:val="0"/>
          <w:bCs/>
          <w:color w:val="auto"/>
          <w:kern w:val="0"/>
          <w:sz w:val="32"/>
          <w:szCs w:val="32"/>
          <w:shd w:val="clear" w:fill="FFFFFF"/>
          <w:lang w:val="en-US" w:eastAsia="zh-CN"/>
        </w:rPr>
        <w:t>55328010。</w:t>
      </w:r>
    </w:p>
    <w:tbl>
      <w:tblPr>
        <w:tblStyle w:val="7"/>
        <w:tblpPr w:leftFromText="180" w:rightFromText="180" w:vertAnchor="text" w:horzAnchor="page" w:tblpX="2358" w:tblpY="464"/>
        <w:tblOverlap w:val="never"/>
        <w:tblW w:w="4809" w:type="pct"/>
        <w:tblInd w:w="0" w:type="dxa"/>
        <w:tblLayout w:type="autofit"/>
        <w:tblCellMar>
          <w:top w:w="0" w:type="dxa"/>
          <w:left w:w="0" w:type="dxa"/>
          <w:bottom w:w="0" w:type="dxa"/>
          <w:right w:w="0" w:type="dxa"/>
        </w:tblCellMar>
      </w:tblPr>
      <w:tblGrid>
        <w:gridCol w:w="3565"/>
        <w:gridCol w:w="2956"/>
        <w:gridCol w:w="3358"/>
        <w:gridCol w:w="2366"/>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40"/>
                <w:szCs w:val="40"/>
              </w:rPr>
              <w:t>收入支出决算总表</w:t>
            </w:r>
          </w:p>
        </w:tc>
      </w:tr>
      <w:tr>
        <w:tblPrEx>
          <w:tblCellMar>
            <w:top w:w="0" w:type="dxa"/>
            <w:left w:w="0" w:type="dxa"/>
            <w:bottom w:w="0" w:type="dxa"/>
            <w:right w:w="0" w:type="dxa"/>
          </w:tblCellMar>
        </w:tblPrEx>
        <w:trPr>
          <w:trHeight w:val="232" w:hRule="atLeast"/>
        </w:trPr>
        <w:tc>
          <w:tcPr>
            <w:tcW w:w="145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Arial"/>
                <w:b w:val="0"/>
                <w:bCs/>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Arial"/>
                <w:b w:val="0"/>
                <w:bCs/>
                <w:color w:val="000000"/>
                <w:sz w:val="20"/>
                <w:szCs w:val="20"/>
              </w:rPr>
            </w:pPr>
          </w:p>
        </w:tc>
        <w:tc>
          <w:tcPr>
            <w:tcW w:w="137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Arial"/>
                <w:b w:val="0"/>
                <w:bCs/>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01</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232" w:hRule="atLeast"/>
        </w:trPr>
        <w:tc>
          <w:tcPr>
            <w:tcW w:w="2663"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Arial"/>
                <w:b w:val="0"/>
                <w:bCs/>
                <w:color w:val="000000"/>
                <w:sz w:val="22"/>
                <w:szCs w:val="22"/>
              </w:rPr>
            </w:pPr>
            <w:r>
              <w:rPr>
                <w:rFonts w:ascii="Times New Roman" w:hAnsi="Times New Roman" w:eastAsia="方正仿宋_GBK" w:cs="宋体"/>
                <w:b w:val="0"/>
                <w:bCs/>
                <w:sz w:val="20"/>
                <w:szCs w:val="20"/>
              </w:rPr>
              <w:t>单位：</w:t>
            </w:r>
            <w:r>
              <w:rPr>
                <w:rFonts w:ascii="Times New Roman" w:hAnsi="Times New Roman" w:eastAsia="方正仿宋_GBK"/>
                <w:b w:val="0"/>
                <w:bCs/>
                <w:sz w:val="20"/>
                <w:u w:color="auto"/>
              </w:rPr>
              <w:t>蔈草镇便民服务中心</w:t>
            </w:r>
          </w:p>
        </w:tc>
        <w:tc>
          <w:tcPr>
            <w:tcW w:w="137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Arial"/>
                <w:b w:val="0"/>
                <w:bCs/>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243" w:hRule="atLeast"/>
        </w:trPr>
        <w:tc>
          <w:tcPr>
            <w:tcW w:w="266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收入</w:t>
            </w:r>
          </w:p>
        </w:tc>
        <w:tc>
          <w:tcPr>
            <w:tcW w:w="2336"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支出</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决算数</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决算数</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71.35</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一、一般公共服务支出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二、外交支出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三、国防支出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四、公共安全支出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五、教育支出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六、科学技术支出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七、文化旅游体育与传媒支出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八、社会保障和就业支出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45.26</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九、卫生健康支出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十、节能环保支出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十一、城乡社区支出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十二、农林水支出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十三、交通运输支出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十四、资源勘探工业信息等支出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十五、商业服务业等支出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十六、金融支出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十七、援助其他地区支出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90"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十八、自然资源海洋气象等支出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十九、住房保障支出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二十、粮油物资储备支出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二十一、国有资本经营预算支出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二十二、灾害防治及应急管理支出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二十三、其他支出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二十四、债务还本支出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二十五、债务付息支出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二十六、抗疫特别国债安排的支出</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71.35</w:t>
            </w: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本年支出合计</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71.35</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使用非财政拨款结余和专用结余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结余分配</w:t>
            </w:r>
          </w:p>
        </w:tc>
        <w:tc>
          <w:tcPr>
            <w:tcW w:w="9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c>
          <w:tcPr>
            <w:tcW w:w="1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年末结转和结余</w:t>
            </w:r>
          </w:p>
        </w:tc>
        <w:tc>
          <w:tcPr>
            <w:tcW w:w="96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p>
        </w:tc>
      </w:tr>
      <w:tr>
        <w:tblPrEx>
          <w:tblCellMar>
            <w:top w:w="0" w:type="dxa"/>
            <w:left w:w="0" w:type="dxa"/>
            <w:bottom w:w="0" w:type="dxa"/>
            <w:right w:w="0" w:type="dxa"/>
          </w:tblCellMar>
        </w:tblPrEx>
        <w:trPr>
          <w:trHeight w:val="25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71.35</w:t>
            </w:r>
          </w:p>
        </w:tc>
        <w:tc>
          <w:tcPr>
            <w:tcW w:w="1371"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总计</w:t>
            </w:r>
          </w:p>
        </w:tc>
        <w:tc>
          <w:tcPr>
            <w:tcW w:w="9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71.35</w:t>
            </w:r>
          </w:p>
        </w:tc>
      </w:tr>
    </w:tbl>
    <w:p>
      <w:pPr>
        <w:keepNext w:val="0"/>
        <w:keepLines w:val="0"/>
        <w:pageBreakBefore w:val="0"/>
        <w:widowControl/>
        <w:kinsoku/>
        <w:overflowPunct/>
        <w:topLinePunct w:val="0"/>
        <w:autoSpaceDE/>
        <w:autoSpaceDN/>
        <w:bidi w:val="0"/>
        <w:adjustRightInd/>
        <w:snapToGrid/>
        <w:spacing w:line="240" w:lineRule="auto"/>
        <w:jc w:val="left"/>
        <w:rPr>
          <w:rFonts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备注：1.本表反映单位本年度的总收支和年末结转结余情况。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 xml:space="preserve">      2.本套报表金额单位转换时可能存在尾数误差。</w:t>
      </w:r>
      <w:r>
        <w:rPr>
          <w:rFonts w:ascii="Times New Roman" w:hAnsi="Times New Roman" w:eastAsia="方正仿宋_GBK" w:cs="宋体"/>
          <w:b w:val="0"/>
          <w:bCs/>
          <w:sz w:val="20"/>
          <w:szCs w:val="20"/>
        </w:rPr>
        <w:br w:type="textWrapping"/>
      </w:r>
    </w:p>
    <w:p>
      <w:pPr>
        <w:rPr>
          <w:rFonts w:hint="default" w:ascii="Times New Roman" w:hAnsi="Times New Roman" w:eastAsia="方正仿宋_GBK" w:cs="宋体"/>
          <w:b w:val="0"/>
          <w:bCs/>
          <w:sz w:val="20"/>
          <w:szCs w:val="20"/>
        </w:rPr>
      </w:pPr>
      <w:r>
        <w:rPr>
          <w:rFonts w:ascii="Times New Roman" w:hAnsi="Times New Roman" w:eastAsia="方正仿宋_GBK" w:cs="宋体"/>
          <w:b w:val="0"/>
          <w:bCs/>
          <w:sz w:val="20"/>
          <w:szCs w:val="20"/>
        </w:rPr>
        <w:br w:type="page"/>
      </w:r>
    </w:p>
    <w:tbl>
      <w:tblPr>
        <w:tblStyle w:val="7"/>
        <w:tblW w:w="4999" w:type="pct"/>
        <w:tblInd w:w="0" w:type="dxa"/>
        <w:tblLayout w:type="fixed"/>
        <w:tblCellMar>
          <w:top w:w="0" w:type="dxa"/>
          <w:left w:w="0" w:type="dxa"/>
          <w:bottom w:w="0" w:type="dxa"/>
          <w:right w:w="0" w:type="dxa"/>
        </w:tblCellMar>
      </w:tblPr>
      <w:tblGrid>
        <w:gridCol w:w="1188"/>
        <w:gridCol w:w="2425"/>
        <w:gridCol w:w="1314"/>
        <w:gridCol w:w="1206"/>
        <w:gridCol w:w="1044"/>
        <w:gridCol w:w="1195"/>
        <w:gridCol w:w="1212"/>
        <w:gridCol w:w="1077"/>
        <w:gridCol w:w="1122"/>
        <w:gridCol w:w="947"/>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40"/>
                <w:szCs w:val="40"/>
              </w:rPr>
              <w:t>收入决算表</w:t>
            </w:r>
          </w:p>
        </w:tc>
      </w:tr>
      <w:tr>
        <w:tblPrEx>
          <w:tblCellMar>
            <w:top w:w="0" w:type="dxa"/>
            <w:left w:w="0" w:type="dxa"/>
            <w:bottom w:w="0" w:type="dxa"/>
            <w:right w:w="0" w:type="dxa"/>
          </w:tblCellMar>
        </w:tblPrEx>
        <w:trPr>
          <w:trHeight w:val="328" w:hRule="atLeast"/>
        </w:trPr>
        <w:tc>
          <w:tcPr>
            <w:tcW w:w="1935"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sz w:val="20"/>
                <w:szCs w:val="20"/>
              </w:rPr>
              <w:t>单位：</w:t>
            </w:r>
            <w:r>
              <w:rPr>
                <w:rFonts w:ascii="Times New Roman" w:hAnsi="Times New Roman" w:eastAsia="方正仿宋_GBK"/>
                <w:b w:val="0"/>
                <w:bCs/>
                <w:sz w:val="20"/>
                <w:u w:color="auto"/>
              </w:rPr>
              <w:t>蔈草镇便民服务中心</w:t>
            </w:r>
          </w:p>
        </w:tc>
        <w:tc>
          <w:tcPr>
            <w:tcW w:w="47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37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02</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328" w:hRule="atLeast"/>
        </w:trPr>
        <w:tc>
          <w:tcPr>
            <w:tcW w:w="1935"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37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431" w:hRule="atLeast"/>
        </w:trPr>
        <w:tc>
          <w:tcPr>
            <w:tcW w:w="1419"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本年收入合计</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财政拨款收入</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上级补助收入</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事业收入</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经营收入</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附属单位上缴收入</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其他收入</w:t>
            </w:r>
          </w:p>
        </w:tc>
      </w:tr>
      <w:tr>
        <w:tblPrEx>
          <w:tblCellMar>
            <w:top w:w="0" w:type="dxa"/>
            <w:left w:w="0" w:type="dxa"/>
            <w:bottom w:w="0" w:type="dxa"/>
            <w:right w:w="0" w:type="dxa"/>
          </w:tblCellMar>
        </w:tblPrEx>
        <w:trPr>
          <w:trHeight w:val="334" w:hRule="atLeast"/>
        </w:trPr>
        <w:tc>
          <w:tcPr>
            <w:tcW w:w="466"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功能分类科目编码</w:t>
            </w:r>
          </w:p>
        </w:tc>
        <w:tc>
          <w:tcPr>
            <w:tcW w:w="952"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项目（按“项”级功能分类科目）</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小计</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其中：教育收费</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95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95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952"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8" w:hRule="atLeast"/>
        </w:trPr>
        <w:tc>
          <w:tcPr>
            <w:tcW w:w="14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71.35</w:t>
            </w:r>
          </w:p>
        </w:tc>
        <w:tc>
          <w:tcPr>
            <w:tcW w:w="4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71.35</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一般公共服务支出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政府办公厅（室）及相关机构事务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2010350</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事业运行</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社会保障和就业支出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45.26</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45.26</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人力资源和社会保障管理事务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24.50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24.50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2080109</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社会保险经办机构</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24.50</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24.50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行政事业单位养老支出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9.34</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9.34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2080505</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机关事业单位基本养老保险缴费支出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6.23</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6.23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2080506</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机关事业单位职业年金缴费支出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3.11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3.11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20828</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退役军人管理事务</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11.41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11.41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2082850</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事业运行</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11.41</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11.41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卫生健康支出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行政事业单位医疗</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事业单位医疗</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住房保障支出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住房改革支出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2210201</w:t>
            </w: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住房公积金</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bl>
    <w:p>
      <w:pPr>
        <w:keepNext w:val="0"/>
        <w:keepLines w:val="0"/>
        <w:pageBreakBefore w:val="0"/>
        <w:widowControl/>
        <w:kinsoku/>
        <w:overflowPunct/>
        <w:topLinePunct w:val="0"/>
        <w:autoSpaceDE/>
        <w:autoSpaceDN/>
        <w:bidi w:val="0"/>
        <w:adjustRightInd/>
        <w:snapToGrid/>
        <w:spacing w:line="240" w:lineRule="auto"/>
        <w:jc w:val="left"/>
        <w:rPr>
          <w:rFonts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备注：1.本表反映单位本年度取得的各项收入情况。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2.本套报表金额单位转换时可能存在尾数误差。</w:t>
      </w:r>
      <w:r>
        <w:rPr>
          <w:rFonts w:ascii="Times New Roman" w:hAnsi="Times New Roman" w:eastAsia="方正仿宋_GBK" w:cs="宋体"/>
          <w:b w:val="0"/>
          <w:bCs/>
          <w:sz w:val="20"/>
          <w:szCs w:val="20"/>
        </w:rPr>
        <w:br w:type="textWrapping"/>
      </w:r>
    </w:p>
    <w:p>
      <w:pPr>
        <w:rPr>
          <w:rFonts w:ascii="Times New Roman" w:hAnsi="Times New Roman" w:eastAsia="方正仿宋_GBK" w:cs="宋体"/>
          <w:b w:val="0"/>
          <w:bCs/>
          <w:sz w:val="20"/>
          <w:szCs w:val="20"/>
        </w:rPr>
      </w:pPr>
      <w:r>
        <w:rPr>
          <w:rFonts w:ascii="Times New Roman" w:hAnsi="Times New Roman" w:eastAsia="方正仿宋_GBK" w:cs="宋体"/>
          <w:b w:val="0"/>
          <w:bCs/>
          <w:sz w:val="20"/>
          <w:szCs w:val="20"/>
        </w:rPr>
        <w:br w:type="page"/>
      </w:r>
    </w:p>
    <w:tbl>
      <w:tblPr>
        <w:tblStyle w:val="7"/>
        <w:tblW w:w="5000" w:type="pct"/>
        <w:tblInd w:w="0" w:type="dxa"/>
        <w:tblLayout w:type="fixed"/>
        <w:tblCellMar>
          <w:top w:w="0" w:type="dxa"/>
          <w:left w:w="0" w:type="dxa"/>
          <w:bottom w:w="0" w:type="dxa"/>
          <w:right w:w="0" w:type="dxa"/>
        </w:tblCellMar>
      </w:tblPr>
      <w:tblGrid>
        <w:gridCol w:w="1074"/>
        <w:gridCol w:w="2993"/>
        <w:gridCol w:w="1530"/>
        <w:gridCol w:w="1467"/>
        <w:gridCol w:w="1349"/>
        <w:gridCol w:w="1294"/>
        <w:gridCol w:w="1406"/>
        <w:gridCol w:w="161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40"/>
                <w:szCs w:val="40"/>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蔈草镇便民服务中心</w:t>
            </w: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03</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71.35</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71.35</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45.26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45.26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24.50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24.50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社会保险经办机构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24.50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24.50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9.34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9.34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6.23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6.23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3.11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3.11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11.41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11.41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2082850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11.41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11.41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bl>
    <w:p>
      <w:pPr>
        <w:keepNext w:val="0"/>
        <w:keepLines w:val="0"/>
        <w:pageBreakBefore w:val="0"/>
        <w:widowControl/>
        <w:kinsoku/>
        <w:overflowPunct/>
        <w:topLinePunct w:val="0"/>
        <w:autoSpaceDE/>
        <w:autoSpaceDN/>
        <w:bidi w:val="0"/>
        <w:adjustRightInd/>
        <w:snapToGrid/>
        <w:spacing w:line="240" w:lineRule="auto"/>
        <w:jc w:val="left"/>
        <w:rPr>
          <w:rFonts w:hint="default"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备注：1.本表反映单位本年度各项支出情况。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 xml:space="preserve">      2.本套报表金额单位转换时可能存在尾数误差。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p>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sz w:val="21"/>
          <w:szCs w:val="21"/>
        </w:rPr>
      </w:pPr>
      <w:r>
        <w:rPr>
          <w:rFonts w:ascii="Times New Roman" w:hAnsi="Times New Roman" w:eastAsia="方正仿宋_GBK" w:cs="宋体"/>
          <w:b w:val="0"/>
          <w:bCs/>
          <w:sz w:val="21"/>
          <w:szCs w:val="21"/>
        </w:rPr>
        <w:br w:type="page"/>
      </w:r>
    </w:p>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sz w:val="21"/>
          <w:szCs w:val="21"/>
        </w:rPr>
      </w:pPr>
    </w:p>
    <w:tbl>
      <w:tblPr>
        <w:tblStyle w:val="7"/>
        <w:tblW w:w="4987" w:type="pct"/>
        <w:tblInd w:w="0" w:type="dxa"/>
        <w:tblLayout w:type="autofit"/>
        <w:tblCellMar>
          <w:top w:w="0" w:type="dxa"/>
          <w:left w:w="0" w:type="dxa"/>
          <w:bottom w:w="0" w:type="dxa"/>
          <w:right w:w="0" w:type="dxa"/>
        </w:tblCellMar>
      </w:tblPr>
      <w:tblGrid>
        <w:gridCol w:w="2550"/>
        <w:gridCol w:w="1228"/>
        <w:gridCol w:w="2730"/>
        <w:gridCol w:w="1371"/>
        <w:gridCol w:w="1371"/>
        <w:gridCol w:w="1371"/>
        <w:gridCol w:w="2077"/>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40"/>
                <w:szCs w:val="40"/>
              </w:rPr>
              <w:t>财政拨款收入支出决算总表</w:t>
            </w:r>
          </w:p>
        </w:tc>
      </w:tr>
      <w:tr>
        <w:tblPrEx>
          <w:tblCellMar>
            <w:top w:w="0" w:type="dxa"/>
            <w:left w:w="0" w:type="dxa"/>
            <w:bottom w:w="0" w:type="dxa"/>
            <w:right w:w="0" w:type="dxa"/>
          </w:tblCellMar>
        </w:tblPrEx>
        <w:trPr>
          <w:trHeight w:val="90" w:hRule="atLeast"/>
        </w:trPr>
        <w:tc>
          <w:tcPr>
            <w:tcW w:w="256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蔈草镇便民服务中心</w:t>
            </w: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81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04</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90" w:hRule="atLeast"/>
        </w:trPr>
        <w:tc>
          <w:tcPr>
            <w:tcW w:w="256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81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90" w:hRule="atLeast"/>
        </w:trPr>
        <w:tc>
          <w:tcPr>
            <w:tcW w:w="14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收     入</w:t>
            </w:r>
          </w:p>
        </w:tc>
        <w:tc>
          <w:tcPr>
            <w:tcW w:w="351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支     出</w:t>
            </w:r>
          </w:p>
        </w:tc>
      </w:tr>
      <w:tr>
        <w:tblPrEx>
          <w:tblCellMar>
            <w:top w:w="0" w:type="dxa"/>
            <w:left w:w="0" w:type="dxa"/>
            <w:bottom w:w="0" w:type="dxa"/>
            <w:right w:w="0" w:type="dxa"/>
          </w:tblCellMar>
        </w:tblPrEx>
        <w:trPr>
          <w:trHeight w:val="90" w:hRule="atLeast"/>
        </w:trPr>
        <w:tc>
          <w:tcPr>
            <w:tcW w:w="10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项目</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决算数</w:t>
            </w:r>
          </w:p>
        </w:tc>
        <w:tc>
          <w:tcPr>
            <w:tcW w:w="107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功能分类科目</w:t>
            </w:r>
          </w:p>
        </w:tc>
        <w:tc>
          <w:tcPr>
            <w:tcW w:w="2437"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决算数</w:t>
            </w:r>
          </w:p>
        </w:tc>
      </w:tr>
      <w:tr>
        <w:tblPrEx>
          <w:tblCellMar>
            <w:top w:w="0" w:type="dxa"/>
            <w:left w:w="0" w:type="dxa"/>
            <w:bottom w:w="0" w:type="dxa"/>
            <w:right w:w="0" w:type="dxa"/>
          </w:tblCellMar>
        </w:tblPrEx>
        <w:trPr>
          <w:trHeight w:val="90" w:hRule="atLeast"/>
        </w:trPr>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0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小计</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一般公共预算财政拨款</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政府性基金预算财政拨款</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一、一般公共预算财政拨款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71.35</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一、一般公共服务支出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18.14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18.14</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二、政府性基金预算财政拨款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二、外交支出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三、国有资本经营预算财政拨款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三、国防支出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四、公共安全支出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五、教育支出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六、科学技术支出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七、文化旅游体育与传媒支出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八、社会保障和就业支出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45.26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45.26</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九、卫生健康支出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3.39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3.39</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十、节能环保支出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十一、城乡社区支出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十二、农林水支出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十三、交通运输支出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十四、资源勘探工业信息等支出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十五、商业服务业等支出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十六、金融支出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十七、援助其他地区支出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十八、自然资源海洋气象等支出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十九、住房保障支出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4.57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4.57</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二十、粮油物资储备支出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二十一、国有资本经营预算支出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二十二、灾害防治及应急管理支出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二十三、其他支出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二十四、债务还本支出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二十五、债务付息支出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二十六、抗疫特别国债安排的支出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本年收入合计</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71.35</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本年支出合计</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71.35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71.35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年初财政拨款结转和结余</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年末财政拨款结转和结余</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一般公共预算财政拨款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政府性基金预算财政拨款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国有资本经营预算财政拨款</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10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总计</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71.35</w:t>
            </w:r>
          </w:p>
        </w:tc>
        <w:tc>
          <w:tcPr>
            <w:tcW w:w="10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总计</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71.35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71.35</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bl>
    <w:p>
      <w:pPr>
        <w:keepNext w:val="0"/>
        <w:keepLines w:val="0"/>
        <w:pageBreakBefore w:val="0"/>
        <w:widowControl/>
        <w:kinsoku/>
        <w:overflowPunct/>
        <w:topLinePunct w:val="0"/>
        <w:autoSpaceDE/>
        <w:autoSpaceDN/>
        <w:bidi w:val="0"/>
        <w:adjustRightInd/>
        <w:snapToGrid/>
        <w:spacing w:line="240" w:lineRule="auto"/>
        <w:jc w:val="left"/>
        <w:rPr>
          <w:rFonts w:hint="default"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备注：1.本表反映单位本年度一般公共预算财政拨款、政府性基金预算财政拨款及国有资本经营预算财政拨款的总收支和年末结转结余情况。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 xml:space="preserve">      2.本套报表金额单位转换时可能存在尾数误差。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1"/>
          <w:szCs w:val="21"/>
        </w:rPr>
        <w:br w:type="page"/>
      </w:r>
    </w:p>
    <w:tbl>
      <w:tblPr>
        <w:tblStyle w:val="7"/>
        <w:tblW w:w="5000" w:type="pct"/>
        <w:tblInd w:w="0" w:type="dxa"/>
        <w:tblLayout w:type="fixed"/>
        <w:tblCellMar>
          <w:top w:w="0" w:type="dxa"/>
          <w:left w:w="0" w:type="dxa"/>
          <w:bottom w:w="0" w:type="dxa"/>
          <w:right w:w="0" w:type="dxa"/>
        </w:tblCellMar>
      </w:tblPr>
      <w:tblGrid>
        <w:gridCol w:w="1084"/>
        <w:gridCol w:w="3384"/>
        <w:gridCol w:w="2747"/>
        <w:gridCol w:w="2739"/>
        <w:gridCol w:w="277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40"/>
                <w:szCs w:val="40"/>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蔈草镇便民服务中心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05</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71.35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71.35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18.14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45.26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45.26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24.50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24.50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社会保险经办机构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24.50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24.50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9.34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9.34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6.23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6.23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3.11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3.11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11.41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11.41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11.41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11.41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3.39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4.57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bl>
    <w:p>
      <w:pPr>
        <w:keepNext w:val="0"/>
        <w:keepLines w:val="0"/>
        <w:pageBreakBefore w:val="0"/>
        <w:widowControl/>
        <w:kinsoku/>
        <w:overflowPunct/>
        <w:topLinePunct w:val="0"/>
        <w:autoSpaceDE/>
        <w:autoSpaceDN/>
        <w:bidi w:val="0"/>
        <w:adjustRightInd/>
        <w:snapToGrid/>
        <w:spacing w:line="240" w:lineRule="auto"/>
        <w:jc w:val="left"/>
        <w:rPr>
          <w:rFonts w:hint="default" w:ascii="Times New Roman" w:hAnsi="Times New Roman" w:eastAsia="方正仿宋_GBK" w:cs="宋体"/>
          <w:b w:val="0"/>
          <w:bCs/>
          <w:sz w:val="21"/>
          <w:szCs w:val="21"/>
        </w:rPr>
      </w:pPr>
      <w:r>
        <w:rPr>
          <w:rFonts w:ascii="Times New Roman" w:hAnsi="Times New Roman" w:eastAsia="方正仿宋_GBK" w:cs="宋体"/>
          <w:b w:val="0"/>
          <w:bCs/>
          <w:sz w:val="20"/>
          <w:szCs w:val="20"/>
        </w:rPr>
        <w:t>备注：1.本表反映单位本年度一般公共预算财政拨款支出情况。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 xml:space="preserve">      2.本套报表金额单位转换时可能存在尾数误差。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p>
    <w:p>
      <w:pPr>
        <w:keepNext w:val="0"/>
        <w:keepLines w:val="0"/>
        <w:pageBreakBefore w:val="0"/>
        <w:widowControl/>
        <w:kinsoku/>
        <w:overflowPunct/>
        <w:topLinePunct w:val="0"/>
        <w:autoSpaceDE/>
        <w:autoSpaceDN/>
        <w:bidi w:val="0"/>
        <w:adjustRightInd/>
        <w:snapToGrid/>
        <w:spacing w:line="240" w:lineRule="auto"/>
        <w:ind w:firstLine="630" w:firstLineChars="300"/>
        <w:jc w:val="center"/>
        <w:rPr>
          <w:rFonts w:hint="default" w:ascii="Times New Roman" w:hAnsi="Times New Roman" w:eastAsia="方正仿宋_GBK" w:cs="宋体"/>
          <w:b w:val="0"/>
          <w:bCs/>
          <w:sz w:val="21"/>
          <w:szCs w:val="21"/>
        </w:rPr>
      </w:pPr>
      <w:r>
        <w:rPr>
          <w:rFonts w:ascii="Times New Roman" w:hAnsi="Times New Roman" w:eastAsia="方正仿宋_GBK" w:cs="宋体"/>
          <w:b w:val="0"/>
          <w:bCs/>
          <w:sz w:val="21"/>
          <w:szCs w:val="21"/>
        </w:rPr>
        <w:br w:type="page"/>
      </w:r>
    </w:p>
    <w:tbl>
      <w:tblPr>
        <w:tblStyle w:val="7"/>
        <w:tblW w:w="4994" w:type="pct"/>
        <w:tblInd w:w="0" w:type="dxa"/>
        <w:tblLayout w:type="fixed"/>
        <w:tblCellMar>
          <w:top w:w="0" w:type="dxa"/>
          <w:left w:w="0" w:type="dxa"/>
          <w:bottom w:w="0" w:type="dxa"/>
          <w:right w:w="0" w:type="dxa"/>
        </w:tblCellMar>
      </w:tblPr>
      <w:tblGrid>
        <w:gridCol w:w="667"/>
        <w:gridCol w:w="2334"/>
        <w:gridCol w:w="1280"/>
        <w:gridCol w:w="725"/>
        <w:gridCol w:w="1688"/>
        <w:gridCol w:w="1178"/>
        <w:gridCol w:w="725"/>
        <w:gridCol w:w="2877"/>
        <w:gridCol w:w="1240"/>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40"/>
                <w:szCs w:val="40"/>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蔈草镇便民服务中心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06</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69.35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16.32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5.13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30.51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6.23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3.11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2.91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0.09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4.57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0.48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0.41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1.40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69.35</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8"/>
                <w:szCs w:val="18"/>
              </w:rPr>
            </w:pPr>
            <w:r>
              <w:rPr>
                <w:rFonts w:ascii="Times New Roman" w:hAnsi="Times New Roman" w:eastAsia="方正仿宋_GBK" w:cs="宋体"/>
                <w:b w:val="0"/>
                <w:bCs/>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2.00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default" w:ascii="Times New Roman" w:hAnsi="Times New Roman" w:eastAsia="方正仿宋_GBK" w:cs="宋体"/>
          <w:b w:val="0"/>
          <w:bCs/>
          <w:sz w:val="20"/>
          <w:szCs w:val="20"/>
        </w:rPr>
      </w:pPr>
      <w:r>
        <w:rPr>
          <w:rFonts w:ascii="Times New Roman" w:hAnsi="Times New Roman" w:eastAsia="方正仿宋_GBK" w:cs="宋体"/>
          <w:b w:val="0"/>
          <w:bCs/>
          <w:sz w:val="20"/>
          <w:szCs w:val="20"/>
        </w:rPr>
        <w:t>备注：1.本表反映单位本年度一般公共预算财政拨款基本支出明细情况。</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t xml:space="preserve">      2.本套报表金额单位转换时可能存在尾数误差。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1"/>
          <w:szCs w:val="21"/>
        </w:rPr>
        <w:br w:type="page"/>
      </w:r>
    </w:p>
    <w:tbl>
      <w:tblPr>
        <w:tblStyle w:val="7"/>
        <w:tblW w:w="5000" w:type="pct"/>
        <w:tblInd w:w="0" w:type="dxa"/>
        <w:tblLayout w:type="fixed"/>
        <w:tblCellMar>
          <w:top w:w="0" w:type="dxa"/>
          <w:left w:w="0" w:type="dxa"/>
          <w:bottom w:w="0" w:type="dxa"/>
          <w:right w:w="0" w:type="dxa"/>
        </w:tblCellMar>
      </w:tblPr>
      <w:tblGrid>
        <w:gridCol w:w="1097"/>
        <w:gridCol w:w="2986"/>
        <w:gridCol w:w="1413"/>
        <w:gridCol w:w="1413"/>
        <w:gridCol w:w="1413"/>
        <w:gridCol w:w="1413"/>
        <w:gridCol w:w="1467"/>
        <w:gridCol w:w="1528"/>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40"/>
                <w:szCs w:val="40"/>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蔈草镇便民服务中心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07</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bl>
    <w:p>
      <w:pPr>
        <w:keepNext w:val="0"/>
        <w:keepLines w:val="0"/>
        <w:pageBreakBefore w:val="0"/>
        <w:widowControl/>
        <w:kinsoku/>
        <w:overflowPunct/>
        <w:topLinePunct w:val="0"/>
        <w:autoSpaceDE/>
        <w:autoSpaceDN/>
        <w:bidi w:val="0"/>
        <w:adjustRightInd/>
        <w:snapToGrid/>
        <w:spacing w:line="240" w:lineRule="auto"/>
        <w:jc w:val="left"/>
        <w:rPr>
          <w:rFonts w:hint="default" w:ascii="Times New Roman" w:hAnsi="Times New Roman" w:eastAsia="方正仿宋_GBK" w:cs="宋体"/>
          <w:b w:val="0"/>
          <w:bCs/>
          <w:sz w:val="21"/>
          <w:szCs w:val="21"/>
        </w:rPr>
      </w:pPr>
      <w:r>
        <w:rPr>
          <w:rFonts w:ascii="Times New Roman" w:hAnsi="Times New Roman" w:eastAsia="方正仿宋_GBK" w:cs="宋体"/>
          <w:b w:val="0"/>
          <w:bCs/>
          <w:sz w:val="20"/>
          <w:szCs w:val="20"/>
        </w:rPr>
        <w:t>备注：本表反映单位本年度政府性基金预算财政拨款收入支出及结转和结余情况。本单位无政府性基金收支，故本表无数据。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p>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sz w:val="21"/>
          <w:szCs w:val="21"/>
        </w:rPr>
      </w:pPr>
      <w:r>
        <w:rPr>
          <w:rFonts w:ascii="Times New Roman" w:hAnsi="Times New Roman" w:eastAsia="方正仿宋_GBK" w:cs="宋体"/>
          <w:b w:val="0"/>
          <w:bCs/>
          <w:sz w:val="21"/>
          <w:szCs w:val="21"/>
        </w:rPr>
        <w:br w:type="page"/>
      </w:r>
    </w:p>
    <w:tbl>
      <w:tblPr>
        <w:tblStyle w:val="7"/>
        <w:tblW w:w="5000" w:type="pct"/>
        <w:tblInd w:w="0" w:type="dxa"/>
        <w:tblLayout w:type="fixed"/>
        <w:tblCellMar>
          <w:top w:w="0" w:type="dxa"/>
          <w:left w:w="0" w:type="dxa"/>
          <w:bottom w:w="0" w:type="dxa"/>
          <w:right w:w="0" w:type="dxa"/>
        </w:tblCellMar>
      </w:tblPr>
      <w:tblGrid>
        <w:gridCol w:w="1074"/>
        <w:gridCol w:w="3005"/>
        <w:gridCol w:w="2720"/>
        <w:gridCol w:w="158"/>
        <w:gridCol w:w="2877"/>
        <w:gridCol w:w="71"/>
        <w:gridCol w:w="2826"/>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sz w:val="32"/>
                <w:szCs w:val="32"/>
              </w:rPr>
            </w:pPr>
            <w:r>
              <w:rPr>
                <w:rFonts w:hint="eastAsia" w:ascii="方正小标宋_GBK" w:hAnsi="方正小标宋_GBK" w:eastAsia="方正小标宋_GBK" w:cs="方正小标宋_GBK"/>
                <w:b w:val="0"/>
                <w:bCs w:val="0"/>
                <w:color w:val="000000"/>
                <w:sz w:val="40"/>
                <w:szCs w:val="40"/>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sz w:val="20"/>
                <w:szCs w:val="20"/>
              </w:rPr>
              <w:t>单位</w:t>
            </w:r>
            <w:r>
              <w:rPr>
                <w:rFonts w:ascii="Times New Roman" w:hAnsi="Times New Roman" w:eastAsia="方正仿宋_GBK" w:cs="宋体"/>
                <w:b w:val="0"/>
                <w:bCs/>
                <w:color w:val="000000"/>
                <w:sz w:val="20"/>
                <w:szCs w:val="20"/>
              </w:rPr>
              <w:t>：</w:t>
            </w:r>
            <w:r>
              <w:rPr>
                <w:rFonts w:ascii="Times New Roman" w:hAnsi="Times New Roman" w:eastAsia="方正仿宋_GBK"/>
                <w:b w:val="0"/>
                <w:bCs/>
                <w:color w:val="000000"/>
                <w:sz w:val="20"/>
                <w:u w:color="auto"/>
              </w:rPr>
              <w:t>蔈草镇便民服务中心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公开</w:t>
            </w:r>
            <w:r>
              <w:rPr>
                <w:rFonts w:hint="default" w:ascii="Times New Roman" w:hAnsi="Times New Roman" w:eastAsia="方正仿宋_GBK" w:cs="Times New Roman"/>
                <w:b w:val="0"/>
                <w:bCs/>
                <w:color w:val="000000"/>
                <w:sz w:val="20"/>
                <w:szCs w:val="20"/>
              </w:rPr>
              <w:t>08</w:t>
            </w:r>
            <w:r>
              <w:rPr>
                <w:rFonts w:ascii="Times New Roman" w:hAnsi="Times New Roman" w:eastAsia="方正仿宋_GBK" w:cs="宋体"/>
                <w:b w:val="0"/>
                <w:bCs/>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单位：</w:t>
            </w:r>
            <w:r>
              <w:rPr>
                <w:rFonts w:ascii="Times New Roman" w:hAnsi="Times New Roman" w:eastAsia="方正仿宋_GBK" w:cs="宋体"/>
                <w:b w:val="0"/>
                <w:bCs/>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r>
              <w:rPr>
                <w:rFonts w:ascii="Times New Roman" w:hAnsi="Times New Roman" w:eastAsia="方正仿宋_GBK" w:cs="宋体"/>
                <w:b w:val="0"/>
                <w:bCs/>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b w:val="0"/>
                <w:bCs/>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20"/>
                <w:szCs w:val="20"/>
              </w:rPr>
            </w:pPr>
            <w:r>
              <w:rPr>
                <w:rFonts w:hint="default" w:ascii="Times New Roman" w:hAnsi="Times New Roman" w:eastAsia="方正仿宋_GBK"/>
                <w:b w:val="0"/>
                <w:bCs/>
                <w:color w:val="000000"/>
                <w:sz w:val="20"/>
                <w:szCs w:val="20"/>
              </w:rPr>
              <w:t>0.00</w:t>
            </w:r>
          </w:p>
        </w:tc>
      </w:tr>
    </w:tbl>
    <w:p>
      <w:pPr>
        <w:keepNext w:val="0"/>
        <w:keepLines w:val="0"/>
        <w:pageBreakBefore w:val="0"/>
        <w:widowControl/>
        <w:kinsoku/>
        <w:overflowPunct/>
        <w:topLinePunct w:val="0"/>
        <w:autoSpaceDE/>
        <w:autoSpaceDN/>
        <w:bidi w:val="0"/>
        <w:adjustRightInd/>
        <w:snapToGrid/>
        <w:spacing w:line="240" w:lineRule="auto"/>
        <w:jc w:val="left"/>
        <w:rPr>
          <w:rFonts w:hint="default" w:ascii="Times New Roman" w:hAnsi="Times New Roman" w:eastAsia="方正仿宋_GBK" w:cs="宋体"/>
          <w:b w:val="0"/>
          <w:bCs/>
          <w:sz w:val="21"/>
          <w:szCs w:val="21"/>
        </w:rPr>
      </w:pPr>
      <w:r>
        <w:rPr>
          <w:rFonts w:ascii="Times New Roman" w:hAnsi="Times New Roman" w:eastAsia="方正仿宋_GBK" w:cs="宋体"/>
          <w:b w:val="0"/>
          <w:bCs/>
          <w:sz w:val="20"/>
          <w:szCs w:val="20"/>
        </w:rPr>
        <w:t>备注：本表反映单位本年度国有资本经营预算财政拨款支出情况。本单位无国有资本经营收支，故本表无数据。</w:t>
      </w:r>
      <w:r>
        <w:rPr>
          <w:rFonts w:ascii="Times New Roman" w:hAnsi="Times New Roman" w:eastAsia="方正仿宋_GBK" w:cs="宋体"/>
          <w:b w:val="0"/>
          <w:bCs/>
          <w:sz w:val="20"/>
          <w:szCs w:val="20"/>
        </w:rPr>
        <w:br w:type="textWrapping"/>
      </w:r>
      <w:r>
        <w:rPr>
          <w:rFonts w:ascii="Times New Roman" w:hAnsi="Times New Roman" w:eastAsia="方正仿宋_GBK" w:cs="宋体"/>
          <w:b w:val="0"/>
          <w:bCs/>
          <w:sz w:val="20"/>
          <w:szCs w:val="20"/>
        </w:rPr>
        <w:br w:type="textWrapping"/>
      </w:r>
    </w:p>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sz w:val="21"/>
          <w:szCs w:val="21"/>
        </w:rPr>
      </w:pPr>
      <w:r>
        <w:rPr>
          <w:rFonts w:hint="default" w:ascii="Times New Roman" w:hAnsi="Times New Roman" w:eastAsia="方正仿宋_GBK" w:cs="宋体"/>
          <w:b w:val="0"/>
          <w:bCs/>
          <w:sz w:val="21"/>
          <w:szCs w:val="21"/>
        </w:rPr>
        <w:br w:type="page"/>
      </w:r>
    </w:p>
    <w:tbl>
      <w:tblPr>
        <w:tblStyle w:val="7"/>
        <w:tblW w:w="4987" w:type="pct"/>
        <w:tblInd w:w="0" w:type="dxa"/>
        <w:tblLayout w:type="fixed"/>
        <w:tblCellMar>
          <w:top w:w="0" w:type="dxa"/>
          <w:left w:w="170" w:type="dxa"/>
          <w:bottom w:w="0" w:type="dxa"/>
          <w:right w:w="170" w:type="dxa"/>
        </w:tblCellMar>
      </w:tblPr>
      <w:tblGrid>
        <w:gridCol w:w="2641"/>
        <w:gridCol w:w="2007"/>
        <w:gridCol w:w="1973"/>
        <w:gridCol w:w="3053"/>
        <w:gridCol w:w="3024"/>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32"/>
                <w:szCs w:val="32"/>
              </w:rPr>
            </w:pPr>
            <w:r>
              <w:rPr>
                <w:rFonts w:hint="eastAsia" w:ascii="方正小标宋_GBK" w:hAnsi="方正小标宋_GBK" w:eastAsia="方正小标宋_GBK" w:cs="方正小标宋_GBK"/>
                <w:b w:val="0"/>
                <w:bCs w:val="0"/>
                <w:color w:val="000000"/>
                <w:sz w:val="40"/>
                <w:szCs w:val="40"/>
              </w:rPr>
              <w:t>机构运行信息表</w:t>
            </w:r>
          </w:p>
        </w:tc>
      </w:tr>
      <w:tr>
        <w:tblPrEx>
          <w:tblCellMar>
            <w:top w:w="0" w:type="dxa"/>
            <w:left w:w="170" w:type="dxa"/>
            <w:bottom w:w="0" w:type="dxa"/>
            <w:right w:w="170" w:type="dxa"/>
          </w:tblCellMar>
        </w:tblPrEx>
        <w:trPr>
          <w:trHeight w:val="244" w:hRule="atLeast"/>
        </w:trPr>
        <w:tc>
          <w:tcPr>
            <w:tcW w:w="103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790"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776"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1202"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1190"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kern w:val="2"/>
                <w:sz w:val="20"/>
                <w:szCs w:val="20"/>
              </w:rPr>
            </w:pPr>
            <w:r>
              <w:rPr>
                <w:rFonts w:ascii="Times New Roman" w:hAnsi="Times New Roman" w:eastAsia="方正仿宋_GBK" w:cs="宋体"/>
                <w:b w:val="0"/>
                <w:bCs/>
                <w:color w:val="000000"/>
                <w:kern w:val="2"/>
                <w:sz w:val="20"/>
                <w:szCs w:val="20"/>
              </w:rPr>
              <w:t>公开</w:t>
            </w:r>
            <w:r>
              <w:rPr>
                <w:rFonts w:hint="default" w:ascii="Times New Roman" w:hAnsi="Times New Roman" w:eastAsia="方正仿宋_GBK"/>
                <w:b w:val="0"/>
                <w:bCs/>
                <w:color w:val="000000"/>
                <w:kern w:val="2"/>
                <w:sz w:val="20"/>
                <w:szCs w:val="20"/>
              </w:rPr>
              <w:t>09</w:t>
            </w:r>
            <w:r>
              <w:rPr>
                <w:rFonts w:ascii="Times New Roman" w:hAnsi="Times New Roman" w:eastAsia="方正仿宋_GBK" w:cs="宋体"/>
                <w:b w:val="0"/>
                <w:bCs/>
                <w:color w:val="000000"/>
                <w:kern w:val="2"/>
                <w:sz w:val="20"/>
                <w:szCs w:val="20"/>
              </w:rPr>
              <w:t>表</w:t>
            </w:r>
          </w:p>
        </w:tc>
      </w:tr>
      <w:tr>
        <w:tblPrEx>
          <w:tblCellMar>
            <w:top w:w="0" w:type="dxa"/>
            <w:left w:w="170" w:type="dxa"/>
            <w:bottom w:w="0" w:type="dxa"/>
            <w:right w:w="170" w:type="dxa"/>
          </w:tblCellMar>
        </w:tblPrEx>
        <w:trPr>
          <w:trHeight w:val="244" w:hRule="atLeast"/>
        </w:trPr>
        <w:tc>
          <w:tcPr>
            <w:tcW w:w="1830"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r>
              <w:rPr>
                <w:rFonts w:hint="eastAsia" w:ascii="Times New Roman" w:hAnsi="Times New Roman" w:eastAsia="方正仿宋_GBK" w:cs="宋体"/>
                <w:b w:val="0"/>
                <w:bCs/>
                <w:kern w:val="2"/>
                <w:sz w:val="20"/>
                <w:szCs w:val="20"/>
                <w:lang w:eastAsia="zh-CN"/>
              </w:rPr>
              <w:t>单位</w:t>
            </w:r>
            <w:r>
              <w:rPr>
                <w:rFonts w:ascii="Times New Roman" w:hAnsi="Times New Roman" w:eastAsia="方正仿宋_GBK" w:cs="宋体"/>
                <w:b w:val="0"/>
                <w:bCs/>
                <w:color w:val="000000"/>
                <w:kern w:val="2"/>
                <w:sz w:val="20"/>
                <w:szCs w:val="20"/>
              </w:rPr>
              <w:t>：</w:t>
            </w:r>
            <w:r>
              <w:rPr>
                <w:rFonts w:ascii="Times New Roman" w:hAnsi="Times New Roman" w:eastAsia="方正仿宋_GBK"/>
                <w:b w:val="0"/>
                <w:bCs/>
                <w:color w:val="000000"/>
                <w:sz w:val="20"/>
                <w:u w:color="auto"/>
              </w:rPr>
              <w:t>蔈草镇便民服务中心</w:t>
            </w:r>
          </w:p>
        </w:tc>
        <w:tc>
          <w:tcPr>
            <w:tcW w:w="776"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1202"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20"/>
                <w:szCs w:val="20"/>
              </w:rPr>
            </w:pPr>
          </w:p>
        </w:tc>
        <w:tc>
          <w:tcPr>
            <w:tcW w:w="1190"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auto"/>
              <w:jc w:val="center"/>
              <w:textAlignment w:val="bottom"/>
              <w:rPr>
                <w:rFonts w:hint="default" w:ascii="Times New Roman" w:hAnsi="Times New Roman" w:eastAsia="方正仿宋_GBK" w:cs="宋体"/>
                <w:b w:val="0"/>
                <w:bCs/>
                <w:color w:val="000000"/>
                <w:kern w:val="2"/>
                <w:sz w:val="20"/>
                <w:szCs w:val="20"/>
              </w:rPr>
            </w:pPr>
            <w:r>
              <w:rPr>
                <w:rFonts w:ascii="Times New Roman" w:hAnsi="Times New Roman" w:eastAsia="方正仿宋_GBK" w:cs="宋体"/>
                <w:b w:val="0"/>
                <w:bCs/>
                <w:color w:val="000000"/>
                <w:kern w:val="2"/>
                <w:sz w:val="20"/>
                <w:szCs w:val="20"/>
              </w:rPr>
              <w:t>单位：</w:t>
            </w:r>
            <w:r>
              <w:rPr>
                <w:rFonts w:ascii="Times New Roman" w:hAnsi="Times New Roman" w:eastAsia="方正仿宋_GBK" w:cs="宋体"/>
                <w:b w:val="0"/>
                <w:bCs/>
                <w:kern w:val="2"/>
                <w:sz w:val="20"/>
                <w:szCs w:val="20"/>
              </w:rPr>
              <w:t>万元</w:t>
            </w:r>
          </w:p>
        </w:tc>
      </w:tr>
      <w:tr>
        <w:tblPrEx>
          <w:tblCellMar>
            <w:top w:w="0" w:type="dxa"/>
            <w:left w:w="170" w:type="dxa"/>
            <w:bottom w:w="0" w:type="dxa"/>
            <w:right w:w="170" w:type="dxa"/>
          </w:tblCellMar>
        </w:tblPrEx>
        <w:trPr>
          <w:trHeight w:val="28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项  目</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预算数</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决算数</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项  目</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决算数</w:t>
            </w:r>
          </w:p>
        </w:tc>
      </w:tr>
      <w:tr>
        <w:tblPrEx>
          <w:tblCellMar>
            <w:top w:w="0" w:type="dxa"/>
            <w:left w:w="170" w:type="dxa"/>
            <w:bottom w:w="0" w:type="dxa"/>
            <w:right w:w="170" w:type="dxa"/>
          </w:tblCellMar>
        </w:tblPrEx>
        <w:trPr>
          <w:trHeight w:val="28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一、“三公”经费支出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五、机关运行经费</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（一）支出合计</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（一）行政单位</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1．因公出国（境）费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（二）参照公务员法管理事业单位</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2．公务用车购置及运行维护费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六、资产信息</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（1）公务用车购置费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（一）车辆数合计（辆）</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（2）公务用车运行维护费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1．副部（省）级及以上领导用车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3．公务接待费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2．主要领导干部用车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（1）国内接待费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3．机要通信用车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其中：外事接待费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4．应急保障用车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（2）国（境）外接待费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5．执法执勤用车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（二）相关统计数</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6．特种专业技术用车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1．因公出国（境）团组数（个）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7．离退休干部用车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2．因公出国（境）人次数（人）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8．其他用车</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3．公务用车购置数（辆）</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（二）单价100万元（含）以上设备（不含车辆）</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4．公务用车保有量（辆）</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七、政府采购支出信息</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w:t>
            </w: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5．国内公务接待批次（个）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（一）政府采购支出合计</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其中：外事接待批次（个）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1．政府采购货物支出</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6．国内公务接待人次（人）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2．政府采购工程支出</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其中：外事接待人次（人）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3．政府采购服务支出</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7．国（境）外公务接待批次（个）</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（二）政府采购授予中小企业合同金额</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8．国（境）外公务接待人次（人）</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其中：授予小微企业合同金额</w:t>
            </w: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r>
      <w:tr>
        <w:tblPrEx>
          <w:tblCellMar>
            <w:top w:w="0" w:type="dxa"/>
            <w:left w:w="170" w:type="dxa"/>
            <w:bottom w:w="0" w:type="dxa"/>
            <w:right w:w="170" w:type="dxa"/>
          </w:tblCellMar>
        </w:tblPrEx>
        <w:trPr>
          <w:trHeight w:val="286"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二、会议费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16"/>
                <w:szCs w:val="16"/>
              </w:rPr>
            </w:pP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16"/>
                <w:szCs w:val="16"/>
              </w:rPr>
            </w:pPr>
          </w:p>
        </w:tc>
      </w:tr>
      <w:tr>
        <w:tblPrEx>
          <w:tblCellMar>
            <w:top w:w="0" w:type="dxa"/>
            <w:left w:w="170" w:type="dxa"/>
            <w:bottom w:w="0" w:type="dxa"/>
            <w:right w:w="170" w:type="dxa"/>
          </w:tblCellMar>
        </w:tblPrEx>
        <w:trPr>
          <w:trHeight w:val="389"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kern w:val="2"/>
                <w:sz w:val="16"/>
                <w:szCs w:val="16"/>
              </w:rPr>
            </w:pPr>
            <w:r>
              <w:rPr>
                <w:rFonts w:ascii="Times New Roman" w:hAnsi="Times New Roman" w:eastAsia="方正仿宋_GBK" w:cs="宋体"/>
                <w:b w:val="0"/>
                <w:bCs/>
                <w:color w:val="000000"/>
                <w:kern w:val="2"/>
                <w:sz w:val="16"/>
                <w:szCs w:val="16"/>
              </w:rPr>
              <w:t>三、培训费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kern w:val="2"/>
                <w:sz w:val="18"/>
                <w:szCs w:val="18"/>
              </w:rPr>
            </w:pPr>
            <w:r>
              <w:rPr>
                <w:rFonts w:hint="default" w:ascii="Times New Roman" w:hAnsi="Times New Roman" w:eastAsia="方正仿宋_GBK"/>
                <w:b w:val="0"/>
                <w:bCs/>
                <w:color w:val="000000"/>
                <w:kern w:val="2"/>
                <w:sz w:val="18"/>
                <w:szCs w:val="18"/>
              </w:rPr>
              <w:t>0.19</w:t>
            </w: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16"/>
                <w:szCs w:val="16"/>
              </w:rPr>
            </w:pP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kern w:val="2"/>
                <w:sz w:val="16"/>
                <w:szCs w:val="16"/>
              </w:rPr>
            </w:pPr>
          </w:p>
        </w:tc>
      </w:tr>
      <w:tr>
        <w:tblPrEx>
          <w:tblCellMar>
            <w:top w:w="0" w:type="dxa"/>
            <w:left w:w="170" w:type="dxa"/>
            <w:bottom w:w="0" w:type="dxa"/>
            <w:right w:w="170" w:type="dxa"/>
          </w:tblCellMar>
        </w:tblPrEx>
        <w:trPr>
          <w:trHeight w:val="389"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cs="宋体"/>
                <w:b w:val="0"/>
                <w:bCs/>
                <w:color w:val="000000"/>
                <w:sz w:val="16"/>
                <w:szCs w:val="16"/>
              </w:rPr>
            </w:pPr>
            <w:r>
              <w:rPr>
                <w:rFonts w:ascii="Times New Roman" w:hAnsi="Times New Roman" w:eastAsia="方正仿宋_GBK" w:cs="宋体"/>
                <w:b w:val="0"/>
                <w:bCs/>
                <w:color w:val="000000"/>
                <w:sz w:val="16"/>
                <w:szCs w:val="16"/>
              </w:rPr>
              <w:t>四、差旅费</w:t>
            </w:r>
          </w:p>
        </w:tc>
        <w:tc>
          <w:tcPr>
            <w:tcW w:w="7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方正仿宋_GBK"/>
                <w:b w:val="0"/>
                <w:bCs/>
                <w:color w:val="000000"/>
                <w:sz w:val="18"/>
                <w:szCs w:val="18"/>
              </w:rPr>
            </w:pPr>
            <w:r>
              <w:rPr>
                <w:rFonts w:hint="default" w:ascii="Times New Roman" w:hAnsi="Times New Roman" w:eastAsia="方正仿宋_GBK"/>
                <w:b w:val="0"/>
                <w:bCs/>
                <w:color w:val="000000"/>
                <w:sz w:val="18"/>
                <w:szCs w:val="18"/>
              </w:rPr>
              <w:t>—</w:t>
            </w:r>
          </w:p>
        </w:tc>
        <w:tc>
          <w:tcPr>
            <w:tcW w:w="7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default" w:ascii="Times New Roman" w:hAnsi="Times New Roman" w:eastAsia="方正仿宋_GBK"/>
                <w:b w:val="0"/>
                <w:bCs/>
                <w:color w:val="000000"/>
                <w:sz w:val="18"/>
                <w:szCs w:val="18"/>
              </w:rPr>
            </w:pPr>
          </w:p>
        </w:tc>
        <w:tc>
          <w:tcPr>
            <w:tcW w:w="120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6"/>
                <w:szCs w:val="16"/>
              </w:rPr>
            </w:pPr>
          </w:p>
        </w:tc>
        <w:tc>
          <w:tcPr>
            <w:tcW w:w="11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方正仿宋_GBK" w:cs="宋体"/>
                <w:b w:val="0"/>
                <w:bCs/>
                <w:color w:val="000000"/>
                <w:sz w:val="16"/>
                <w:szCs w:val="16"/>
              </w:rPr>
            </w:pPr>
          </w:p>
        </w:tc>
      </w:tr>
    </w:tbl>
    <w:p>
      <w:pPr>
        <w:keepNext w:val="0"/>
        <w:keepLines w:val="0"/>
        <w:pageBreakBefore w:val="0"/>
        <w:widowControl/>
        <w:kinsoku/>
        <w:overflowPunct/>
        <w:topLinePunct w:val="0"/>
        <w:autoSpaceDE/>
        <w:autoSpaceDN/>
        <w:bidi w:val="0"/>
        <w:adjustRightInd/>
        <w:snapToGrid/>
        <w:spacing w:line="240" w:lineRule="auto"/>
        <w:jc w:val="left"/>
        <w:rPr>
          <w:rFonts w:hint="default" w:ascii="Times New Roman" w:hAnsi="Times New Roman" w:eastAsia="方正仿宋_GBK"/>
          <w:b w:val="0"/>
          <w:bCs/>
          <w:sz w:val="18"/>
          <w:szCs w:val="18"/>
        </w:rPr>
      </w:pPr>
      <w:r>
        <w:rPr>
          <w:rFonts w:ascii="Times New Roman" w:hAnsi="Times New Roman" w:eastAsia="方正仿宋_GBK" w:cs="宋体"/>
          <w:b w:val="0"/>
          <w:bCs/>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eastAsia="方正仿宋_GBK" w:cs="宋体"/>
          <w:b w:val="0"/>
          <w:bCs/>
          <w:sz w:val="18"/>
          <w:szCs w:val="18"/>
        </w:rPr>
        <w:br w:type="textWrapping"/>
      </w:r>
      <w:r>
        <w:rPr>
          <w:rFonts w:ascii="Times New Roman" w:hAnsi="Times New Roman" w:eastAsia="方正仿宋_GBK" w:cs="宋体"/>
          <w:b w:val="0"/>
          <w:bCs/>
          <w:sz w:val="18"/>
          <w:szCs w:val="18"/>
        </w:rPr>
        <w:t xml:space="preserve">      2.本套报表金额单位转换时可能存在尾数误差。</w:t>
      </w:r>
      <w:r>
        <w:rPr>
          <w:rFonts w:ascii="Times New Roman" w:hAnsi="Times New Roman" w:eastAsia="方正仿宋_GBK" w:cs="宋体"/>
          <w:b w:val="0"/>
          <w:bCs/>
          <w:sz w:val="18"/>
          <w:szCs w:val="18"/>
        </w:rPr>
        <w:br w:type="textWrapping"/>
      </w:r>
      <w:r>
        <w:rPr>
          <w:rFonts w:ascii="Times New Roman" w:hAnsi="Times New Roman" w:eastAsia="方正仿宋_GBK" w:cs="宋体"/>
          <w:b w:val="0"/>
          <w:bCs/>
          <w:sz w:val="18"/>
          <w:szCs w:val="18"/>
        </w:rPr>
        <w:br w:type="textWrapping"/>
      </w:r>
    </w:p>
    <w:sectPr>
      <w:pgSz w:w="16783" w:h="11850" w:orient="landscape"/>
      <w:pgMar w:top="1531" w:right="2098" w:bottom="1531" w:left="1984"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B224E"/>
    <w:rsid w:val="00CF2ACF"/>
    <w:rsid w:val="00D03AAF"/>
    <w:rsid w:val="00DD0539"/>
    <w:rsid w:val="00E07662"/>
    <w:rsid w:val="00E368E9"/>
    <w:rsid w:val="00EE1E33"/>
    <w:rsid w:val="00F73F90"/>
    <w:rsid w:val="00FB4B3B"/>
    <w:rsid w:val="01474EBF"/>
    <w:rsid w:val="01F3521E"/>
    <w:rsid w:val="03B87EA0"/>
    <w:rsid w:val="03E3214F"/>
    <w:rsid w:val="041D2A27"/>
    <w:rsid w:val="044C50BA"/>
    <w:rsid w:val="0466617C"/>
    <w:rsid w:val="05BC6D49"/>
    <w:rsid w:val="06194FF1"/>
    <w:rsid w:val="06A2550B"/>
    <w:rsid w:val="06F80EE2"/>
    <w:rsid w:val="07001CCA"/>
    <w:rsid w:val="074309F6"/>
    <w:rsid w:val="075678DB"/>
    <w:rsid w:val="077B465F"/>
    <w:rsid w:val="079D7CC7"/>
    <w:rsid w:val="08051BCA"/>
    <w:rsid w:val="086C12F4"/>
    <w:rsid w:val="08705944"/>
    <w:rsid w:val="08A90AA5"/>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1E0E39"/>
    <w:rsid w:val="0F836721"/>
    <w:rsid w:val="0FA25D96"/>
    <w:rsid w:val="0FED5CD5"/>
    <w:rsid w:val="107B59E5"/>
    <w:rsid w:val="10EC0126"/>
    <w:rsid w:val="10F70B9A"/>
    <w:rsid w:val="111445C7"/>
    <w:rsid w:val="114278C6"/>
    <w:rsid w:val="1158083A"/>
    <w:rsid w:val="11643A4B"/>
    <w:rsid w:val="11851C0B"/>
    <w:rsid w:val="11ED0F98"/>
    <w:rsid w:val="11F03528"/>
    <w:rsid w:val="124F087C"/>
    <w:rsid w:val="12C921C4"/>
    <w:rsid w:val="13871C70"/>
    <w:rsid w:val="13A71CB4"/>
    <w:rsid w:val="13AF1D43"/>
    <w:rsid w:val="13CE1647"/>
    <w:rsid w:val="13FD55AB"/>
    <w:rsid w:val="14200702"/>
    <w:rsid w:val="14370EA1"/>
    <w:rsid w:val="16090D37"/>
    <w:rsid w:val="163A6CEE"/>
    <w:rsid w:val="173708E3"/>
    <w:rsid w:val="17C374FC"/>
    <w:rsid w:val="182E4AB6"/>
    <w:rsid w:val="189079DC"/>
    <w:rsid w:val="189B0D0B"/>
    <w:rsid w:val="18B43F7C"/>
    <w:rsid w:val="191C433B"/>
    <w:rsid w:val="194A1770"/>
    <w:rsid w:val="19B906A4"/>
    <w:rsid w:val="19E77EB5"/>
    <w:rsid w:val="1B6F15B6"/>
    <w:rsid w:val="1BAA2EDC"/>
    <w:rsid w:val="1CA55E64"/>
    <w:rsid w:val="1D014A01"/>
    <w:rsid w:val="1D022362"/>
    <w:rsid w:val="1D1B04B0"/>
    <w:rsid w:val="1D2624F4"/>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58717F"/>
    <w:rsid w:val="239B234A"/>
    <w:rsid w:val="23AE4FF1"/>
    <w:rsid w:val="240E37F2"/>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70746"/>
    <w:rsid w:val="2BF81A22"/>
    <w:rsid w:val="2C636760"/>
    <w:rsid w:val="2C6762A3"/>
    <w:rsid w:val="2EC1207D"/>
    <w:rsid w:val="2FCA4B37"/>
    <w:rsid w:val="2FE029D7"/>
    <w:rsid w:val="2FF06E00"/>
    <w:rsid w:val="30586FEC"/>
    <w:rsid w:val="30BE67FD"/>
    <w:rsid w:val="31041C99"/>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4F06F9"/>
    <w:rsid w:val="38BE4696"/>
    <w:rsid w:val="3939115E"/>
    <w:rsid w:val="39B82A39"/>
    <w:rsid w:val="39C42CA8"/>
    <w:rsid w:val="39DC4FD6"/>
    <w:rsid w:val="39F03D7A"/>
    <w:rsid w:val="39F33306"/>
    <w:rsid w:val="3A2C1C67"/>
    <w:rsid w:val="3A6A77C9"/>
    <w:rsid w:val="3ADD7F09"/>
    <w:rsid w:val="3B1705E5"/>
    <w:rsid w:val="3B18334B"/>
    <w:rsid w:val="3B36794F"/>
    <w:rsid w:val="3B6F6EE0"/>
    <w:rsid w:val="3BEAA0F1"/>
    <w:rsid w:val="3C566AD6"/>
    <w:rsid w:val="3C594871"/>
    <w:rsid w:val="3C6A5B02"/>
    <w:rsid w:val="3D083B3A"/>
    <w:rsid w:val="3D2757A1"/>
    <w:rsid w:val="3D3D4FC4"/>
    <w:rsid w:val="3DDF3AB1"/>
    <w:rsid w:val="3E047890"/>
    <w:rsid w:val="3E1D0952"/>
    <w:rsid w:val="3E42660A"/>
    <w:rsid w:val="3E7555B1"/>
    <w:rsid w:val="3E787ED9"/>
    <w:rsid w:val="3E7F0B78"/>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6F5246C"/>
    <w:rsid w:val="471E6C84"/>
    <w:rsid w:val="4748792B"/>
    <w:rsid w:val="475D719D"/>
    <w:rsid w:val="47674801"/>
    <w:rsid w:val="47A44D3E"/>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1DE7EB5"/>
    <w:rsid w:val="52234D33"/>
    <w:rsid w:val="522F6E0C"/>
    <w:rsid w:val="52463BA1"/>
    <w:rsid w:val="52F163D4"/>
    <w:rsid w:val="531A2DB4"/>
    <w:rsid w:val="53C0244D"/>
    <w:rsid w:val="53DD4D4E"/>
    <w:rsid w:val="53E578CE"/>
    <w:rsid w:val="541330F0"/>
    <w:rsid w:val="54272666"/>
    <w:rsid w:val="543B029D"/>
    <w:rsid w:val="54861779"/>
    <w:rsid w:val="54E16725"/>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2028D0"/>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B448C2"/>
    <w:rsid w:val="72DB435C"/>
    <w:rsid w:val="72E2613A"/>
    <w:rsid w:val="72F771F4"/>
    <w:rsid w:val="73934AD2"/>
    <w:rsid w:val="74DB60CF"/>
    <w:rsid w:val="750837F0"/>
    <w:rsid w:val="754758CF"/>
    <w:rsid w:val="75595ECD"/>
    <w:rsid w:val="764F62AB"/>
    <w:rsid w:val="765C45EC"/>
    <w:rsid w:val="768A7619"/>
    <w:rsid w:val="76BD23AB"/>
    <w:rsid w:val="772E1EBA"/>
    <w:rsid w:val="77D45F4A"/>
    <w:rsid w:val="781926BC"/>
    <w:rsid w:val="78570929"/>
    <w:rsid w:val="78582A0D"/>
    <w:rsid w:val="796D60A4"/>
    <w:rsid w:val="79A031D5"/>
    <w:rsid w:val="79B47FDF"/>
    <w:rsid w:val="79E569A9"/>
    <w:rsid w:val="7A1525F7"/>
    <w:rsid w:val="7A862E00"/>
    <w:rsid w:val="7B420052"/>
    <w:rsid w:val="7BD06A28"/>
    <w:rsid w:val="7C3A7C0B"/>
    <w:rsid w:val="7C5248E4"/>
    <w:rsid w:val="7C566698"/>
    <w:rsid w:val="7C5866A3"/>
    <w:rsid w:val="7D7406BB"/>
    <w:rsid w:val="7DE94331"/>
    <w:rsid w:val="7E241E10"/>
    <w:rsid w:val="7E376C2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4992</Words>
  <Characters>5537</Characters>
  <Lines>186</Lines>
  <Paragraphs>52</Paragraphs>
  <TotalTime>20</TotalTime>
  <ScaleCrop>false</ScaleCrop>
  <LinksUpToDate>false</LinksUpToDate>
  <CharactersWithSpaces>5545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蔈草镇管理员</cp:lastModifiedBy>
  <dcterms:modified xsi:type="dcterms:W3CDTF">2025-10-21T15:57:02Z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eyJoZGlkIjoiNjZiZGNlY2NhZjk2MDI1YzQyMWZkNWVmYjFiNmYwNjAiLCJ1c2VySWQiOiI0NTE3MzE5NzIifQ==</vt:lpwstr>
  </property>
</Properties>
</file>