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重庆市云阳县蔈草镇产业发展服务中心</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hint="eastAsia"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kinsoku/>
        <w:wordWrap/>
        <w:overflowPunct/>
        <w:topLinePunct w:val="0"/>
        <w:autoSpaceDN/>
        <w:bidi w:val="0"/>
        <w:adjustRightInd/>
        <w:spacing w:before="0" w:beforeAutospacing="0" w:after="0" w:afterAutospacing="0" w:line="578" w:lineRule="exact"/>
        <w:jc w:val="center"/>
        <w:textAlignment w:val="auto"/>
        <w:rPr>
          <w:rFonts w:hint="eastAsia" w:ascii="Times New Roman" w:hAnsi="Times New Roman" w:eastAsia="方正仿宋_GBK" w:cs="方正小标宋_GBK"/>
          <w:sz w:val="44"/>
          <w:szCs w:val="44"/>
          <w:shd w:val="clear" w:color="auto" w:fill="FFFFFF"/>
        </w:rPr>
      </w:pP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eastAsia"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一、单位基本情况</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（一）职能职责</w:t>
      </w:r>
    </w:p>
    <w:p>
      <w:pPr>
        <w:keepNext w:val="0"/>
        <w:keepLines w:val="0"/>
        <w:pageBreakBefore w:val="0"/>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仿宋_GBK" w:cs="方正仿宋_GBK"/>
          <w:b w:val="0"/>
          <w:bCs/>
          <w:sz w:val="32"/>
        </w:rPr>
      </w:pPr>
      <w:r>
        <w:rPr>
          <w:rFonts w:hint="eastAsia" w:ascii="Times New Roman" w:hAnsi="Times New Roman" w:eastAsia="方正仿宋_GBK" w:cs="方正仿宋_GBK"/>
          <w:b w:val="0"/>
          <w:bCs/>
          <w:sz w:val="32"/>
          <w:lang w:val="en-US" w:eastAsia="zh-CN"/>
        </w:rPr>
        <w:t>优化完善产业布局，促进全域经济发展。主要职责是：承担区域经济发展相关事务性工作，负责全域产业规划，第一、第二和第三产业的招引、培育、落地、技术支持等产业发展全链条服务性工作，协助推进重大项目建设等工作职责。</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（二）机构设置</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Times New Roman" w:hAnsi="Times New Roman" w:eastAsia="方正仿宋_GBK" w:cs="方正仿宋_GBK"/>
          <w:b w:val="0"/>
          <w:bCs/>
          <w:sz w:val="32"/>
          <w:szCs w:val="32"/>
          <w:highlight w:val="none"/>
          <w:lang w:val="zh-CN"/>
        </w:rPr>
      </w:pPr>
      <w:r>
        <w:rPr>
          <w:rFonts w:hint="eastAsia" w:ascii="Times New Roman" w:hAnsi="Times New Roman" w:eastAsia="方正仿宋_GBK" w:cs="方正仿宋_GBK"/>
          <w:b w:val="0"/>
          <w:bCs/>
          <w:sz w:val="32"/>
          <w:szCs w:val="32"/>
          <w:highlight w:val="none"/>
          <w:lang w:val="zh-CN"/>
        </w:rPr>
        <w:t>本单位为云阳县蔈草镇人民政府下属</w:t>
      </w:r>
      <w:r>
        <w:rPr>
          <w:rFonts w:hint="eastAsia" w:ascii="Times New Roman" w:hAnsi="Times New Roman" w:eastAsia="方正仿宋_GBK" w:cs="方正仿宋_GBK"/>
          <w:b w:val="0"/>
          <w:bCs/>
          <w:sz w:val="32"/>
          <w:szCs w:val="32"/>
          <w:highlight w:val="none"/>
          <w:lang w:val="en-US" w:eastAsia="zh-CN"/>
        </w:rPr>
        <w:t>事业</w:t>
      </w:r>
      <w:r>
        <w:rPr>
          <w:rFonts w:hint="eastAsia" w:ascii="Times New Roman" w:hAnsi="Times New Roman" w:eastAsia="方正仿宋_GBK" w:cs="方正仿宋_GBK"/>
          <w:b w:val="0"/>
          <w:bCs/>
          <w:sz w:val="32"/>
          <w:szCs w:val="32"/>
          <w:highlight w:val="none"/>
          <w:lang w:val="zh-CN"/>
        </w:rPr>
        <w:t>单位，无独立的机构设置。</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eastAsia"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二、单位决算收支情况说明</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仿宋_GBK" w:cs="方正仿宋_GBK"/>
          <w:b w:val="0"/>
          <w:bCs/>
          <w:sz w:val="32"/>
          <w:szCs w:val="32"/>
          <w:shd w:val="clear" w:color="auto" w:fill="FFFFFF"/>
        </w:rPr>
      </w:pPr>
      <w:r>
        <w:rPr>
          <w:rFonts w:hint="eastAsia" w:ascii="Times New Roman" w:hAnsi="Times New Roman" w:eastAsia="方正楷体_GBK" w:cs="方正楷体_GBK"/>
          <w:b w:val="0"/>
          <w:bCs w:val="0"/>
          <w:kern w:val="2"/>
          <w:sz w:val="32"/>
          <w:szCs w:val="32"/>
          <w:lang w:val="en-US" w:eastAsia="zh-CN" w:bidi="ar-SA"/>
        </w:rPr>
        <w:t>（一）收入支出决算总体情况说明。</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仿宋_GBK" w:cs="方正仿宋_GBK"/>
          <w:b w:val="0"/>
          <w:bCs/>
          <w:sz w:val="32"/>
          <w:szCs w:val="32"/>
        </w:rPr>
      </w:pPr>
      <w:r>
        <w:rPr>
          <w:rStyle w:val="10"/>
          <w:rFonts w:hint="eastAsia" w:ascii="Times New Roman" w:hAnsi="Times New Roman" w:eastAsia="方正仿宋_GBK" w:cs="方正仿宋_GBK"/>
          <w:b w:val="0"/>
          <w:bCs/>
          <w:sz w:val="32"/>
          <w:szCs w:val="32"/>
          <w:shd w:val="clear" w:color="auto" w:fill="FFFFFF"/>
        </w:rPr>
        <w:t>1.总体情况。</w:t>
      </w:r>
      <w:r>
        <w:rPr>
          <w:rFonts w:hint="eastAsia" w:ascii="Times New Roman" w:hAnsi="Times New Roman" w:eastAsia="方正仿宋_GBK" w:cs="方正仿宋_GBK"/>
          <w:b w:val="0"/>
          <w:bCs/>
          <w:sz w:val="32"/>
          <w:szCs w:val="32"/>
          <w:shd w:val="clear" w:color="auto" w:fill="FFFFFF"/>
          <w:lang w:eastAsia="zh-CN"/>
        </w:rPr>
        <w:t>2024年</w:t>
      </w:r>
      <w:r>
        <w:rPr>
          <w:rFonts w:hint="eastAsia" w:ascii="Times New Roman" w:hAnsi="Times New Roman" w:eastAsia="方正仿宋_GBK" w:cs="方正仿宋_GBK"/>
          <w:b w:val="0"/>
          <w:bCs/>
          <w:sz w:val="32"/>
          <w:szCs w:val="32"/>
          <w:shd w:val="clear" w:color="auto" w:fill="FFFFFF"/>
        </w:rPr>
        <w:t>度收入总计269.37万元，支出总计</w:t>
      </w:r>
      <w:r>
        <w:rPr>
          <w:rFonts w:hint="eastAsia" w:ascii="Times New Roman" w:hAnsi="Times New Roman" w:eastAsia="方正仿宋_GBK" w:cs="方正仿宋_GBK"/>
          <w:b w:val="0"/>
          <w:bCs/>
          <w:sz w:val="32"/>
          <w:szCs w:val="32"/>
        </w:rPr>
        <w:t>269.37</w:t>
      </w:r>
      <w:r>
        <w:rPr>
          <w:rFonts w:hint="eastAsia" w:ascii="Times New Roman" w:hAnsi="Times New Roman" w:eastAsia="方正仿宋_GBK" w:cs="方正仿宋_GBK"/>
          <w:b w:val="0"/>
          <w:bCs/>
          <w:sz w:val="32"/>
          <w:szCs w:val="32"/>
          <w:shd w:val="clear" w:color="auto" w:fill="FFFFFF"/>
        </w:rPr>
        <w:t>万元。收、支与2023年度相比，增加269.37万元，增长100.0%，主要原因是我单位为2024年新设置预算单位，无法与上年同期数进行比较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rPr>
      </w:pPr>
      <w:r>
        <w:rPr>
          <w:rStyle w:val="10"/>
          <w:rFonts w:hint="eastAsia" w:ascii="Times New Roman" w:hAnsi="Times New Roman" w:eastAsia="方正仿宋_GBK" w:cs="方正仿宋_GBK"/>
          <w:b w:val="0"/>
          <w:bCs/>
          <w:sz w:val="32"/>
          <w:szCs w:val="32"/>
          <w:shd w:val="clear" w:color="auto" w:fill="FFFFFF"/>
        </w:rPr>
        <w:t>2.收入情况。</w:t>
      </w:r>
      <w:r>
        <w:rPr>
          <w:rFonts w:hint="eastAsia" w:ascii="Times New Roman" w:hAnsi="Times New Roman" w:eastAsia="方正仿宋_GBK" w:cs="方正仿宋_GBK"/>
          <w:b w:val="0"/>
          <w:bCs/>
          <w:sz w:val="32"/>
          <w:szCs w:val="32"/>
          <w:shd w:val="clear" w:color="auto" w:fill="FFFFFF"/>
          <w:lang w:eastAsia="zh-CN"/>
        </w:rPr>
        <w:t>2024年</w:t>
      </w:r>
      <w:r>
        <w:rPr>
          <w:rFonts w:hint="eastAsia" w:ascii="Times New Roman" w:hAnsi="Times New Roman" w:eastAsia="方正仿宋_GBK" w:cs="方正仿宋_GBK"/>
          <w:b w:val="0"/>
          <w:bCs/>
          <w:sz w:val="32"/>
          <w:szCs w:val="32"/>
          <w:shd w:val="clear" w:color="auto" w:fill="FFFFFF"/>
        </w:rPr>
        <w:t>度收入合计269.37万元，与2023年度相比，增加269.37万元，增长100.0%，主要原因是我单位为2024年新设置预算单位，无法与上年同期数进行比较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r>
        <w:rPr>
          <w:rFonts w:hint="eastAsia" w:ascii="Times New Roman" w:hAnsi="Times New Roman" w:eastAsia="方正仿宋_GBK" w:cs="方正仿宋_GBK"/>
          <w:b w:val="0"/>
          <w:bCs/>
          <w:sz w:val="32"/>
          <w:szCs w:val="32"/>
          <w:shd w:val="clear" w:color="auto" w:fill="FFFFFF"/>
        </w:rPr>
        <w:t>其中：财政拨款收入</w:t>
      </w:r>
      <w:r>
        <w:rPr>
          <w:rFonts w:hint="eastAsia" w:ascii="Times New Roman" w:hAnsi="Times New Roman" w:eastAsia="方正仿宋_GBK" w:cs="方正仿宋_GBK"/>
          <w:b w:val="0"/>
          <w:bCs/>
          <w:sz w:val="32"/>
          <w:szCs w:val="32"/>
        </w:rPr>
        <w:t>269.37</w:t>
      </w:r>
      <w:r>
        <w:rPr>
          <w:rFonts w:hint="eastAsia" w:ascii="Times New Roman" w:hAnsi="Times New Roman" w:eastAsia="方正仿宋_GBK" w:cs="方正仿宋_GBK"/>
          <w:b w:val="0"/>
          <w:bCs/>
          <w:sz w:val="32"/>
          <w:szCs w:val="32"/>
          <w:shd w:val="clear" w:color="auto" w:fill="FFFFFF"/>
        </w:rPr>
        <w:t>万元，占</w:t>
      </w:r>
      <w:r>
        <w:rPr>
          <w:rFonts w:hint="eastAsia" w:ascii="Times New Roman" w:hAnsi="Times New Roman" w:eastAsia="方正仿宋_GBK" w:cs="方正仿宋_GBK"/>
          <w:b w:val="0"/>
          <w:bCs/>
          <w:sz w:val="32"/>
          <w:szCs w:val="32"/>
        </w:rPr>
        <w:t>100.00</w:t>
      </w:r>
      <w:r>
        <w:rPr>
          <w:rFonts w:hint="eastAsia" w:ascii="Times New Roman" w:hAnsi="Times New Roman" w:eastAsia="方正仿宋_GBK" w:cs="方正仿宋_GBK"/>
          <w:b w:val="0"/>
          <w:bCs/>
          <w:sz w:val="32"/>
          <w:szCs w:val="32"/>
          <w:shd w:val="clear" w:color="auto" w:fill="FFFFFF"/>
        </w:rPr>
        <w:t>%；事业收入</w:t>
      </w:r>
      <w:r>
        <w:rPr>
          <w:rFonts w:hint="eastAsia" w:ascii="Times New Roman" w:hAnsi="Times New Roman" w:eastAsia="方正仿宋_GBK" w:cs="方正仿宋_GBK"/>
          <w:b w:val="0"/>
          <w:bCs/>
          <w:sz w:val="32"/>
          <w:szCs w:val="32"/>
        </w:rPr>
        <w:t>0.00</w:t>
      </w:r>
      <w:r>
        <w:rPr>
          <w:rFonts w:hint="eastAsia" w:ascii="Times New Roman" w:hAnsi="Times New Roman" w:eastAsia="方正仿宋_GBK" w:cs="方正仿宋_GBK"/>
          <w:b w:val="0"/>
          <w:bCs/>
          <w:sz w:val="32"/>
          <w:szCs w:val="32"/>
          <w:shd w:val="clear" w:color="auto" w:fill="FFFFFF"/>
        </w:rPr>
        <w:t>万元，占0.00%；经营收入</w:t>
      </w:r>
      <w:r>
        <w:rPr>
          <w:rFonts w:hint="eastAsia" w:ascii="Times New Roman" w:hAnsi="Times New Roman" w:eastAsia="方正仿宋_GBK" w:cs="方正仿宋_GBK"/>
          <w:b w:val="0"/>
          <w:bCs/>
          <w:sz w:val="32"/>
          <w:szCs w:val="32"/>
        </w:rPr>
        <w:t>0.00</w:t>
      </w:r>
      <w:r>
        <w:rPr>
          <w:rFonts w:hint="eastAsia" w:ascii="Times New Roman" w:hAnsi="Times New Roman" w:eastAsia="方正仿宋_GBK" w:cs="方正仿宋_GBK"/>
          <w:b w:val="0"/>
          <w:bCs/>
          <w:sz w:val="32"/>
          <w:szCs w:val="32"/>
          <w:shd w:val="clear" w:color="auto" w:fill="FFFFFF"/>
        </w:rPr>
        <w:t>万元，占0.00%；其他收入</w:t>
      </w:r>
      <w:r>
        <w:rPr>
          <w:rFonts w:hint="eastAsia" w:ascii="Times New Roman" w:hAnsi="Times New Roman" w:eastAsia="方正仿宋_GBK" w:cs="方正仿宋_GBK"/>
          <w:b w:val="0"/>
          <w:bCs/>
          <w:sz w:val="32"/>
          <w:szCs w:val="32"/>
        </w:rPr>
        <w:t>0.00</w:t>
      </w:r>
      <w:r>
        <w:rPr>
          <w:rFonts w:hint="eastAsia" w:ascii="Times New Roman" w:hAnsi="Times New Roman" w:eastAsia="方正仿宋_GBK" w:cs="方正仿宋_GBK"/>
          <w:b w:val="0"/>
          <w:bCs/>
          <w:sz w:val="32"/>
          <w:szCs w:val="32"/>
          <w:shd w:val="clear" w:color="auto" w:fill="FFFFFF"/>
        </w:rPr>
        <w:t>万元，占0.00%。此外，使用非财政拨款结余和专用结余</w:t>
      </w:r>
      <w:r>
        <w:rPr>
          <w:rFonts w:hint="eastAsia" w:ascii="Times New Roman" w:hAnsi="Times New Roman" w:eastAsia="方正仿宋_GBK" w:cs="方正仿宋_GBK"/>
          <w:b w:val="0"/>
          <w:bCs/>
          <w:sz w:val="32"/>
          <w:szCs w:val="32"/>
        </w:rPr>
        <w:t>0.00</w:t>
      </w:r>
      <w:r>
        <w:rPr>
          <w:rFonts w:hint="eastAsia" w:ascii="Times New Roman" w:hAnsi="Times New Roman" w:eastAsia="方正仿宋_GBK" w:cs="方正仿宋_GBK"/>
          <w:b w:val="0"/>
          <w:bCs/>
          <w:sz w:val="32"/>
          <w:szCs w:val="32"/>
          <w:shd w:val="clear" w:color="auto" w:fill="FFFFFF"/>
        </w:rPr>
        <w:t>万元，年初结转和结余</w:t>
      </w:r>
      <w:r>
        <w:rPr>
          <w:rFonts w:hint="eastAsia" w:ascii="Times New Roman" w:hAnsi="Times New Roman" w:eastAsia="方正仿宋_GBK" w:cs="方正仿宋_GBK"/>
          <w:b w:val="0"/>
          <w:bCs/>
          <w:sz w:val="32"/>
          <w:szCs w:val="32"/>
        </w:rPr>
        <w:t>0.00</w:t>
      </w:r>
      <w:r>
        <w:rPr>
          <w:rFonts w:hint="eastAsia" w:ascii="Times New Roman" w:hAnsi="Times New Roman" w:eastAsia="方正仿宋_GBK" w:cs="方正仿宋_GBK"/>
          <w:b w:val="0"/>
          <w:bCs/>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rPr>
      </w:pPr>
      <w:r>
        <w:rPr>
          <w:rStyle w:val="10"/>
          <w:rFonts w:hint="eastAsia" w:ascii="Times New Roman" w:hAnsi="Times New Roman" w:eastAsia="方正仿宋_GBK" w:cs="方正仿宋_GBK"/>
          <w:b w:val="0"/>
          <w:bCs/>
          <w:sz w:val="32"/>
          <w:szCs w:val="32"/>
          <w:shd w:val="clear" w:color="auto" w:fill="FFFFFF"/>
        </w:rPr>
        <w:t>3.支出情况。</w:t>
      </w:r>
      <w:r>
        <w:rPr>
          <w:rFonts w:hint="eastAsia" w:ascii="Times New Roman" w:hAnsi="Times New Roman" w:eastAsia="方正仿宋_GBK" w:cs="方正仿宋_GBK"/>
          <w:b w:val="0"/>
          <w:bCs/>
          <w:sz w:val="32"/>
          <w:szCs w:val="32"/>
          <w:shd w:val="clear" w:color="auto" w:fill="FFFFFF"/>
          <w:lang w:eastAsia="zh-CN"/>
        </w:rPr>
        <w:t>2024年</w:t>
      </w:r>
      <w:r>
        <w:rPr>
          <w:rFonts w:hint="eastAsia" w:ascii="Times New Roman" w:hAnsi="Times New Roman" w:eastAsia="方正仿宋_GBK" w:cs="方正仿宋_GBK"/>
          <w:b w:val="0"/>
          <w:bCs/>
          <w:sz w:val="32"/>
          <w:szCs w:val="32"/>
          <w:shd w:val="clear" w:color="auto" w:fill="FFFFFF"/>
        </w:rPr>
        <w:t>度支出合计</w:t>
      </w:r>
      <w:r>
        <w:rPr>
          <w:rFonts w:hint="eastAsia" w:ascii="Times New Roman" w:hAnsi="Times New Roman" w:eastAsia="方正仿宋_GBK" w:cs="方正仿宋_GBK"/>
          <w:b w:val="0"/>
          <w:bCs/>
          <w:sz w:val="32"/>
          <w:szCs w:val="32"/>
        </w:rPr>
        <w:t>269.37</w:t>
      </w:r>
      <w:r>
        <w:rPr>
          <w:rFonts w:hint="eastAsia" w:ascii="Times New Roman" w:hAnsi="Times New Roman" w:eastAsia="方正仿宋_GBK" w:cs="方正仿宋_GBK"/>
          <w:b w:val="0"/>
          <w:bCs/>
          <w:sz w:val="32"/>
          <w:szCs w:val="32"/>
          <w:shd w:val="clear" w:color="auto" w:fill="FFFFFF"/>
        </w:rPr>
        <w:t>万元，与2023年度相比，增加269.37万元，增长100.0%，主要原因是我单位为2024年新设置预算单位，无法与上年同期数进行比较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r>
        <w:rPr>
          <w:rFonts w:hint="eastAsia" w:ascii="Times New Roman" w:hAnsi="Times New Roman" w:eastAsia="方正仿宋_GBK" w:cs="方正仿宋_GBK"/>
          <w:b w:val="0"/>
          <w:bCs/>
          <w:sz w:val="32"/>
          <w:szCs w:val="32"/>
          <w:shd w:val="clear" w:color="auto" w:fill="FFFFFF"/>
        </w:rPr>
        <w:t>其中：基本支出</w:t>
      </w:r>
      <w:r>
        <w:rPr>
          <w:rFonts w:hint="eastAsia" w:ascii="Times New Roman" w:hAnsi="Times New Roman" w:eastAsia="方正仿宋_GBK" w:cs="方正仿宋_GBK"/>
          <w:b w:val="0"/>
          <w:bCs/>
          <w:sz w:val="32"/>
          <w:szCs w:val="32"/>
        </w:rPr>
        <w:t>269.37</w:t>
      </w:r>
      <w:r>
        <w:rPr>
          <w:rFonts w:hint="eastAsia" w:ascii="Times New Roman" w:hAnsi="Times New Roman" w:eastAsia="方正仿宋_GBK" w:cs="方正仿宋_GBK"/>
          <w:b w:val="0"/>
          <w:bCs/>
          <w:sz w:val="32"/>
          <w:szCs w:val="32"/>
          <w:shd w:val="clear" w:color="auto" w:fill="FFFFFF"/>
        </w:rPr>
        <w:t>万元，占100.00%；项目支出</w:t>
      </w:r>
      <w:r>
        <w:rPr>
          <w:rFonts w:hint="eastAsia" w:ascii="Times New Roman" w:hAnsi="Times New Roman" w:eastAsia="方正仿宋_GBK" w:cs="方正仿宋_GBK"/>
          <w:b w:val="0"/>
          <w:bCs/>
          <w:sz w:val="32"/>
          <w:szCs w:val="32"/>
        </w:rPr>
        <w:t>0.00</w:t>
      </w:r>
      <w:r>
        <w:rPr>
          <w:rFonts w:hint="eastAsia" w:ascii="Times New Roman" w:hAnsi="Times New Roman" w:eastAsia="方正仿宋_GBK" w:cs="方正仿宋_GBK"/>
          <w:b w:val="0"/>
          <w:bCs/>
          <w:sz w:val="32"/>
          <w:szCs w:val="32"/>
          <w:shd w:val="clear" w:color="auto" w:fill="FFFFFF"/>
        </w:rPr>
        <w:t>万元，占0.00%；经营支出</w:t>
      </w:r>
      <w:r>
        <w:rPr>
          <w:rFonts w:hint="eastAsia" w:ascii="Times New Roman" w:hAnsi="Times New Roman" w:eastAsia="方正仿宋_GBK" w:cs="方正仿宋_GBK"/>
          <w:b w:val="0"/>
          <w:bCs/>
          <w:sz w:val="32"/>
          <w:szCs w:val="32"/>
        </w:rPr>
        <w:t>0.00</w:t>
      </w:r>
      <w:r>
        <w:rPr>
          <w:rFonts w:hint="eastAsia" w:ascii="Times New Roman" w:hAnsi="Times New Roman" w:eastAsia="方正仿宋_GBK" w:cs="方正仿宋_GBK"/>
          <w:b w:val="0"/>
          <w:bCs/>
          <w:sz w:val="32"/>
          <w:szCs w:val="32"/>
          <w:shd w:val="clear" w:color="auto" w:fill="FFFFFF"/>
        </w:rPr>
        <w:t>万元，占0.00%。此外，结余分配</w:t>
      </w:r>
      <w:r>
        <w:rPr>
          <w:rFonts w:hint="eastAsia" w:ascii="Times New Roman" w:hAnsi="Times New Roman" w:eastAsia="方正仿宋_GBK" w:cs="方正仿宋_GBK"/>
          <w:b w:val="0"/>
          <w:bCs/>
          <w:sz w:val="32"/>
          <w:szCs w:val="32"/>
        </w:rPr>
        <w:t>0.00</w:t>
      </w:r>
      <w:r>
        <w:rPr>
          <w:rFonts w:hint="eastAsia" w:ascii="Times New Roman" w:hAnsi="Times New Roman" w:eastAsia="方正仿宋_GBK" w:cs="方正仿宋_GBK"/>
          <w:b w:val="0"/>
          <w:bCs/>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sz w:val="32"/>
          <w:szCs w:val="32"/>
        </w:rPr>
      </w:pPr>
      <w:r>
        <w:rPr>
          <w:rStyle w:val="10"/>
          <w:rFonts w:hint="eastAsia" w:ascii="Times New Roman" w:hAnsi="Times New Roman" w:eastAsia="方正仿宋_GBK" w:cs="方正仿宋_GBK"/>
          <w:b w:val="0"/>
          <w:bCs/>
          <w:sz w:val="32"/>
          <w:szCs w:val="32"/>
          <w:shd w:val="clear" w:color="auto" w:fill="FFFFFF"/>
        </w:rPr>
        <w:t>4.结转结余情况。</w:t>
      </w:r>
      <w:r>
        <w:rPr>
          <w:rFonts w:hint="eastAsia" w:ascii="Times New Roman" w:hAnsi="Times New Roman" w:eastAsia="方正仿宋_GBK" w:cs="方正仿宋_GBK"/>
          <w:b w:val="0"/>
          <w:bCs/>
          <w:sz w:val="32"/>
          <w:szCs w:val="32"/>
          <w:shd w:val="clear" w:color="auto" w:fill="FFFFFF"/>
          <w:lang w:eastAsia="zh-CN"/>
        </w:rPr>
        <w:t>2024年</w:t>
      </w:r>
      <w:r>
        <w:rPr>
          <w:rFonts w:hint="eastAsia" w:ascii="Times New Roman" w:hAnsi="Times New Roman" w:eastAsia="方正仿宋_GBK" w:cs="方正仿宋_GBK"/>
          <w:b w:val="0"/>
          <w:bCs/>
          <w:sz w:val="32"/>
          <w:szCs w:val="32"/>
          <w:shd w:val="clear" w:color="auto" w:fill="FFFFFF"/>
        </w:rPr>
        <w:t>度年末结转和结余</w:t>
      </w:r>
      <w:r>
        <w:rPr>
          <w:rFonts w:hint="eastAsia" w:ascii="Times New Roman" w:hAnsi="Times New Roman" w:eastAsia="方正仿宋_GBK" w:cs="方正仿宋_GBK"/>
          <w:b w:val="0"/>
          <w:bCs/>
          <w:sz w:val="32"/>
          <w:szCs w:val="32"/>
        </w:rPr>
        <w:t>0.00</w:t>
      </w:r>
      <w:r>
        <w:rPr>
          <w:rFonts w:hint="eastAsia" w:ascii="Times New Roman" w:hAnsi="Times New Roman" w:eastAsia="方正仿宋_GBK" w:cs="方正仿宋_GBK"/>
          <w:b w:val="0"/>
          <w:bCs/>
          <w:sz w:val="32"/>
          <w:szCs w:val="32"/>
          <w:shd w:val="clear" w:color="auto" w:fill="FFFFFF"/>
        </w:rPr>
        <w:t>万元，与2023年度相比，无增减，主要原因是</w:t>
      </w:r>
      <w:r>
        <w:rPr>
          <w:rFonts w:hint="eastAsia" w:ascii="Times New Roman" w:hAnsi="Times New Roman" w:eastAsia="方正仿宋_GBK" w:cs="方正仿宋_GBK"/>
          <w:b w:val="0"/>
          <w:bCs w:val="0"/>
          <w:sz w:val="32"/>
          <w:szCs w:val="32"/>
          <w:shd w:val="clear" w:color="auto" w:fill="FFFFFF"/>
          <w:lang w:val="en-US" w:eastAsia="zh-CN"/>
        </w:rPr>
        <w:t>我单位为2024年新设置预算单位，无法与上年同期数进行比较。</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（二）财政拨款收入支出决算总体情况说明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sz w:val="32"/>
          <w:szCs w:val="32"/>
        </w:rPr>
      </w:pPr>
      <w:r>
        <w:rPr>
          <w:rFonts w:hint="eastAsia" w:ascii="Times New Roman" w:hAnsi="Times New Roman" w:eastAsia="方正仿宋_GBK" w:cs="方正仿宋_GBK"/>
          <w:b w:val="0"/>
          <w:bCs/>
          <w:sz w:val="32"/>
          <w:szCs w:val="32"/>
          <w:shd w:val="clear" w:color="auto" w:fill="FFFFFF"/>
          <w:lang w:eastAsia="zh-CN"/>
        </w:rPr>
        <w:t>2024年</w:t>
      </w:r>
      <w:r>
        <w:rPr>
          <w:rFonts w:hint="eastAsia" w:ascii="Times New Roman" w:hAnsi="Times New Roman" w:eastAsia="方正仿宋_GBK" w:cs="方正仿宋_GBK"/>
          <w:b w:val="0"/>
          <w:bCs/>
          <w:sz w:val="32"/>
          <w:szCs w:val="32"/>
          <w:shd w:val="clear" w:color="auto" w:fill="FFFFFF"/>
        </w:rPr>
        <w:t>度财政拨款收、支总计269.37万元。与202</w:t>
      </w:r>
      <w:r>
        <w:rPr>
          <w:rFonts w:hint="eastAsia" w:ascii="Times New Roman" w:hAnsi="Times New Roman" w:eastAsia="方正仿宋_GBK" w:cs="方正仿宋_GBK"/>
          <w:b w:val="0"/>
          <w:bCs/>
          <w:sz w:val="32"/>
          <w:szCs w:val="32"/>
          <w:shd w:val="clear" w:color="auto" w:fill="FFFFFF"/>
          <w:lang w:val="en-US" w:eastAsia="zh-CN"/>
        </w:rPr>
        <w:t>3</w:t>
      </w:r>
      <w:r>
        <w:rPr>
          <w:rFonts w:hint="eastAsia" w:ascii="Times New Roman" w:hAnsi="Times New Roman" w:eastAsia="方正仿宋_GBK" w:cs="方正仿宋_GBK"/>
          <w:b w:val="0"/>
          <w:bCs/>
          <w:sz w:val="32"/>
          <w:szCs w:val="32"/>
          <w:shd w:val="clear" w:color="auto" w:fill="FFFFFF"/>
        </w:rPr>
        <w:t>年相比，财政拨款收、支总计各增加269.37万元，增长100.0%。主要原因是我单位为2024年新设置预算单位，无法与上年同期数进行比较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（三）一般公共预算财政拨款收入支出决算情况说明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sz w:val="32"/>
          <w:szCs w:val="32"/>
        </w:rPr>
      </w:pPr>
      <w:r>
        <w:rPr>
          <w:rStyle w:val="10"/>
          <w:rFonts w:hint="eastAsia" w:ascii="Times New Roman" w:hAnsi="Times New Roman" w:eastAsia="方正仿宋_GBK" w:cs="方正仿宋_GBK"/>
          <w:b w:val="0"/>
          <w:bCs/>
          <w:sz w:val="32"/>
          <w:szCs w:val="32"/>
          <w:shd w:val="clear" w:color="auto" w:fill="FFFFFF"/>
        </w:rPr>
        <w:t>1.收入情况。</w:t>
      </w:r>
      <w:r>
        <w:rPr>
          <w:rFonts w:hint="eastAsia" w:ascii="Times New Roman" w:hAnsi="Times New Roman" w:eastAsia="方正仿宋_GBK" w:cs="方正仿宋_GBK"/>
          <w:b w:val="0"/>
          <w:bCs/>
          <w:sz w:val="32"/>
          <w:szCs w:val="32"/>
          <w:shd w:val="clear" w:color="auto" w:fill="FFFFFF"/>
          <w:lang w:eastAsia="zh-CN"/>
        </w:rPr>
        <w:t>2024年</w:t>
      </w:r>
      <w:r>
        <w:rPr>
          <w:rFonts w:hint="eastAsia" w:ascii="Times New Roman" w:hAnsi="Times New Roman" w:eastAsia="方正仿宋_GBK" w:cs="方正仿宋_GBK"/>
          <w:b w:val="0"/>
          <w:bCs/>
          <w:sz w:val="32"/>
          <w:szCs w:val="32"/>
          <w:shd w:val="clear" w:color="auto" w:fill="FFFFFF"/>
        </w:rPr>
        <w:t>度一般公共预算财政拨款收入</w:t>
      </w:r>
      <w:r>
        <w:rPr>
          <w:rFonts w:hint="eastAsia" w:ascii="Times New Roman" w:hAnsi="Times New Roman" w:eastAsia="方正仿宋_GBK" w:cs="方正仿宋_GBK"/>
          <w:b w:val="0"/>
          <w:bCs/>
          <w:sz w:val="32"/>
          <w:szCs w:val="32"/>
        </w:rPr>
        <w:t>269.37</w:t>
      </w:r>
      <w:r>
        <w:rPr>
          <w:rFonts w:hint="eastAsia" w:ascii="Times New Roman" w:hAnsi="Times New Roman" w:eastAsia="方正仿宋_GBK" w:cs="方正仿宋_GBK"/>
          <w:b w:val="0"/>
          <w:bCs/>
          <w:sz w:val="32"/>
          <w:szCs w:val="32"/>
          <w:shd w:val="clear" w:color="auto" w:fill="FFFFFF"/>
        </w:rPr>
        <w:t>万元，与2023年度相比，增加269.37万元，增长100.0%。主要原因是我单位为2024年新设置预算单位，无法与上年同期数进行比较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r>
        <w:rPr>
          <w:rFonts w:hint="eastAsia" w:ascii="Times New Roman" w:hAnsi="Times New Roman" w:eastAsia="方正仿宋_GBK" w:cs="方正仿宋_GBK"/>
          <w:b w:val="0"/>
          <w:bCs/>
          <w:sz w:val="32"/>
          <w:szCs w:val="32"/>
          <w:shd w:val="clear" w:color="auto" w:fill="FFFFFF"/>
        </w:rPr>
        <w:t>较年初预算数增加13.74万元，增长5.4%。主要原因是</w:t>
      </w:r>
      <w:r>
        <w:rPr>
          <w:rFonts w:hint="eastAsia" w:ascii="Times New Roman" w:hAnsi="Times New Roman" w:eastAsia="方正仿宋_GBK" w:cs="方正仿宋_GBK"/>
          <w:b w:val="0"/>
          <w:bCs/>
          <w:sz w:val="32"/>
          <w:szCs w:val="32"/>
          <w:shd w:val="clear" w:color="auto" w:fill="FFFFFF"/>
          <w:lang w:val="en-US" w:eastAsia="zh-CN"/>
        </w:rPr>
        <w:t>职工工资及社保缴费基数调标，追加职业年金清缴资金，人员经费增加。</w:t>
      </w:r>
      <w:r>
        <w:rPr>
          <w:rFonts w:hint="eastAsia" w:ascii="Times New Roman" w:hAnsi="Times New Roman" w:eastAsia="方正仿宋_GBK" w:cs="方正仿宋_GBK"/>
          <w:b w:val="0"/>
          <w:bCs/>
          <w:sz w:val="32"/>
          <w:szCs w:val="32"/>
          <w:shd w:val="clear" w:color="auto" w:fill="FFFFFF"/>
        </w:rPr>
        <w:t>此外，年初财政拨款结转和结余</w:t>
      </w:r>
      <w:r>
        <w:rPr>
          <w:rFonts w:hint="eastAsia" w:ascii="Times New Roman" w:hAnsi="Times New Roman" w:eastAsia="方正仿宋_GBK" w:cs="方正仿宋_GBK"/>
          <w:b w:val="0"/>
          <w:bCs/>
          <w:sz w:val="32"/>
          <w:szCs w:val="32"/>
        </w:rPr>
        <w:t>0.00</w:t>
      </w:r>
      <w:r>
        <w:rPr>
          <w:rFonts w:hint="eastAsia" w:ascii="Times New Roman" w:hAnsi="Times New Roman" w:eastAsia="方正仿宋_GBK" w:cs="方正仿宋_GBK"/>
          <w:b w:val="0"/>
          <w:bCs/>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sz w:val="32"/>
          <w:szCs w:val="32"/>
        </w:rPr>
      </w:pPr>
      <w:r>
        <w:rPr>
          <w:rStyle w:val="10"/>
          <w:rFonts w:hint="eastAsia" w:ascii="Times New Roman" w:hAnsi="Times New Roman" w:eastAsia="方正仿宋_GBK" w:cs="方正仿宋_GBK"/>
          <w:b w:val="0"/>
          <w:bCs/>
          <w:sz w:val="32"/>
          <w:szCs w:val="32"/>
          <w:shd w:val="clear" w:color="auto" w:fill="FFFFFF"/>
        </w:rPr>
        <w:t>2.支出情况。</w:t>
      </w:r>
      <w:r>
        <w:rPr>
          <w:rFonts w:hint="eastAsia" w:ascii="Times New Roman" w:hAnsi="Times New Roman" w:eastAsia="方正仿宋_GBK" w:cs="方正仿宋_GBK"/>
          <w:b w:val="0"/>
          <w:bCs/>
          <w:sz w:val="32"/>
          <w:szCs w:val="32"/>
          <w:shd w:val="clear" w:color="auto" w:fill="FFFFFF"/>
          <w:lang w:eastAsia="zh-CN"/>
        </w:rPr>
        <w:t>2024年</w:t>
      </w:r>
      <w:r>
        <w:rPr>
          <w:rFonts w:hint="eastAsia" w:ascii="Times New Roman" w:hAnsi="Times New Roman" w:eastAsia="方正仿宋_GBK" w:cs="方正仿宋_GBK"/>
          <w:b w:val="0"/>
          <w:bCs/>
          <w:sz w:val="32"/>
          <w:szCs w:val="32"/>
          <w:shd w:val="clear" w:color="auto" w:fill="FFFFFF"/>
        </w:rPr>
        <w:t>度一般公共预算财政拨款支出</w:t>
      </w:r>
      <w:r>
        <w:rPr>
          <w:rFonts w:hint="eastAsia" w:ascii="Times New Roman" w:hAnsi="Times New Roman" w:eastAsia="方正仿宋_GBK" w:cs="方正仿宋_GBK"/>
          <w:b w:val="0"/>
          <w:bCs/>
          <w:sz w:val="32"/>
          <w:szCs w:val="32"/>
        </w:rPr>
        <w:t>269.37</w:t>
      </w:r>
      <w:r>
        <w:rPr>
          <w:rFonts w:hint="eastAsia" w:ascii="Times New Roman" w:hAnsi="Times New Roman" w:eastAsia="方正仿宋_GBK" w:cs="方正仿宋_GBK"/>
          <w:b w:val="0"/>
          <w:bCs/>
          <w:sz w:val="32"/>
          <w:szCs w:val="32"/>
          <w:shd w:val="clear" w:color="auto" w:fill="FFFFFF"/>
        </w:rPr>
        <w:t>万元，与2023年度相比，增加269.37万元，增长100.0%。主要原因是我单位为2024年新设置预算单位，无法与上年同期数进行比较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r>
        <w:rPr>
          <w:rFonts w:hint="eastAsia" w:ascii="Times New Roman" w:hAnsi="Times New Roman" w:eastAsia="方正仿宋_GBK" w:cs="方正仿宋_GBK"/>
          <w:b w:val="0"/>
          <w:bCs/>
          <w:sz w:val="32"/>
          <w:szCs w:val="32"/>
          <w:shd w:val="clear" w:color="auto" w:fill="FFFFFF"/>
        </w:rPr>
        <w:t>较年初预算数增加13.74万元，增长5.4%。主要原因是</w:t>
      </w:r>
      <w:r>
        <w:rPr>
          <w:rFonts w:hint="eastAsia" w:ascii="Times New Roman" w:hAnsi="Times New Roman" w:eastAsia="方正仿宋_GBK" w:cs="方正仿宋_GBK"/>
          <w:b w:val="0"/>
          <w:bCs/>
          <w:sz w:val="32"/>
          <w:szCs w:val="32"/>
          <w:shd w:val="clear" w:color="auto" w:fill="FFFFFF"/>
          <w:lang w:val="en-US" w:eastAsia="zh-CN"/>
        </w:rPr>
        <w:t>职工工资及社保缴费基数调标，追加职业年金清缴资金，人员经费增加。</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lang w:val="en-US" w:eastAsia="zh-CN"/>
        </w:rPr>
      </w:pPr>
      <w:r>
        <w:rPr>
          <w:rStyle w:val="10"/>
          <w:rFonts w:hint="eastAsia" w:ascii="Times New Roman" w:hAnsi="Times New Roman" w:eastAsia="方正仿宋_GBK" w:cs="方正仿宋_GBK"/>
          <w:b w:val="0"/>
          <w:bCs/>
          <w:sz w:val="32"/>
          <w:szCs w:val="32"/>
          <w:shd w:val="clear" w:color="auto" w:fill="FFFFFF"/>
        </w:rPr>
        <w:t>3.结转结余情况。</w:t>
      </w:r>
      <w:r>
        <w:rPr>
          <w:rFonts w:hint="eastAsia" w:ascii="Times New Roman" w:hAnsi="Times New Roman" w:eastAsia="方正仿宋_GBK" w:cs="方正仿宋_GBK"/>
          <w:b w:val="0"/>
          <w:bCs/>
          <w:sz w:val="32"/>
          <w:szCs w:val="32"/>
          <w:shd w:val="clear" w:color="auto" w:fill="FFFFFF"/>
          <w:lang w:eastAsia="zh-CN"/>
        </w:rPr>
        <w:t>2024年</w:t>
      </w:r>
      <w:r>
        <w:rPr>
          <w:rFonts w:hint="eastAsia" w:ascii="Times New Roman" w:hAnsi="Times New Roman" w:eastAsia="方正仿宋_GBK" w:cs="方正仿宋_GBK"/>
          <w:b w:val="0"/>
          <w:bCs/>
          <w:sz w:val="32"/>
          <w:szCs w:val="32"/>
          <w:shd w:val="clear" w:color="auto" w:fill="FFFFFF"/>
        </w:rPr>
        <w:t>度年末一般公共预算财政拨款结转和结余</w:t>
      </w:r>
      <w:r>
        <w:rPr>
          <w:rFonts w:hint="eastAsia" w:ascii="Times New Roman" w:hAnsi="Times New Roman" w:eastAsia="方正仿宋_GBK" w:cs="方正仿宋_GBK"/>
          <w:b w:val="0"/>
          <w:bCs/>
          <w:sz w:val="32"/>
          <w:szCs w:val="32"/>
        </w:rPr>
        <w:t>0.00</w:t>
      </w:r>
      <w:r>
        <w:rPr>
          <w:rFonts w:hint="eastAsia" w:ascii="Times New Roman" w:hAnsi="Times New Roman" w:eastAsia="方正仿宋_GBK" w:cs="方正仿宋_GBK"/>
          <w:b w:val="0"/>
          <w:bCs/>
          <w:sz w:val="32"/>
          <w:szCs w:val="32"/>
          <w:shd w:val="clear" w:color="auto" w:fill="FFFFFF"/>
        </w:rPr>
        <w:t>万元，与2023年度相比，无增减，主要原因是</w:t>
      </w:r>
      <w:r>
        <w:rPr>
          <w:rFonts w:hint="eastAsia" w:ascii="Times New Roman" w:hAnsi="Times New Roman" w:eastAsia="方正仿宋_GBK" w:cs="方正仿宋_GBK"/>
          <w:b w:val="0"/>
          <w:bCs w:val="0"/>
          <w:sz w:val="32"/>
          <w:szCs w:val="32"/>
          <w:shd w:val="clear" w:color="auto" w:fill="FFFFFF"/>
          <w:lang w:val="en-US" w:eastAsia="zh-CN"/>
        </w:rPr>
        <w:t>我单位为2024年新设置预算单位，无法与上年同期数进行比较。</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color w:val="FF0000"/>
          <w:sz w:val="32"/>
          <w:szCs w:val="32"/>
          <w:highlight w:val="cyan"/>
          <w:shd w:val="clear" w:color="auto" w:fill="FFFFFF"/>
        </w:rPr>
      </w:pPr>
      <w:r>
        <w:rPr>
          <w:rStyle w:val="10"/>
          <w:rFonts w:hint="eastAsia" w:ascii="Times New Roman" w:hAnsi="Times New Roman" w:eastAsia="方正仿宋_GBK" w:cs="方正仿宋_GBK"/>
          <w:b w:val="0"/>
          <w:bCs/>
          <w:sz w:val="32"/>
          <w:szCs w:val="32"/>
          <w:shd w:val="clear" w:color="auto" w:fill="FFFFFF"/>
        </w:rPr>
        <w:t>4.比较情况。</w:t>
      </w:r>
      <w:r>
        <w:rPr>
          <w:rFonts w:hint="eastAsia" w:ascii="Times New Roman" w:hAnsi="Times New Roman" w:eastAsia="方正仿宋_GBK" w:cs="方正仿宋_GBK"/>
          <w:b w:val="0"/>
          <w:bCs/>
          <w:sz w:val="32"/>
          <w:szCs w:val="32"/>
          <w:shd w:val="clear" w:color="auto" w:fill="FFFFFF"/>
        </w:rPr>
        <w:t>本单位</w:t>
      </w:r>
      <w:r>
        <w:rPr>
          <w:rFonts w:hint="eastAsia" w:ascii="Times New Roman" w:hAnsi="Times New Roman" w:eastAsia="方正仿宋_GBK" w:cs="方正仿宋_GBK"/>
          <w:b w:val="0"/>
          <w:bCs/>
          <w:sz w:val="32"/>
          <w:szCs w:val="32"/>
          <w:shd w:val="clear" w:color="auto" w:fill="FFFFFF"/>
          <w:lang w:eastAsia="zh-CN"/>
        </w:rPr>
        <w:t>2024年</w:t>
      </w:r>
      <w:r>
        <w:rPr>
          <w:rFonts w:hint="eastAsia" w:ascii="Times New Roman" w:hAnsi="Times New Roman" w:eastAsia="方正仿宋_GBK" w:cs="方正仿宋_GBK"/>
          <w:b w:val="0"/>
          <w:bCs/>
          <w:sz w:val="32"/>
          <w:szCs w:val="32"/>
          <w:shd w:val="clear" w:color="auto" w:fill="FFFFFF"/>
        </w:rPr>
        <w:t>度一般公共预算财政拨款支出主要用于以下几个方面：</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sz w:val="32"/>
          <w:szCs w:val="32"/>
        </w:rPr>
      </w:pPr>
      <w:r>
        <w:rPr>
          <w:rFonts w:hint="eastAsia" w:ascii="Times New Roman" w:hAnsi="Times New Roman" w:eastAsia="方正仿宋_GBK" w:cs="方正仿宋_GBK"/>
          <w:b w:val="0"/>
          <w:bCs/>
          <w:sz w:val="32"/>
          <w:szCs w:val="32"/>
          <w:shd w:val="clear" w:color="auto" w:fill="FFFFFF"/>
        </w:rPr>
        <w:t>（1）一般公共服务支出</w:t>
      </w:r>
      <w:r>
        <w:rPr>
          <w:rFonts w:hint="eastAsia" w:ascii="Times New Roman" w:hAnsi="Times New Roman" w:eastAsia="方正仿宋_GBK" w:cs="方正仿宋_GBK"/>
          <w:b w:val="0"/>
          <w:bCs/>
          <w:sz w:val="32"/>
          <w:szCs w:val="32"/>
        </w:rPr>
        <w:t>68.25</w:t>
      </w:r>
      <w:r>
        <w:rPr>
          <w:rFonts w:hint="eastAsia" w:ascii="Times New Roman" w:hAnsi="Times New Roman" w:eastAsia="方正仿宋_GBK" w:cs="方正仿宋_GBK"/>
          <w:b w:val="0"/>
          <w:bCs/>
          <w:sz w:val="32"/>
          <w:szCs w:val="32"/>
          <w:shd w:val="clear" w:color="auto" w:fill="FFFFFF"/>
        </w:rPr>
        <w:t>万元，占</w:t>
      </w:r>
      <w:r>
        <w:rPr>
          <w:rFonts w:hint="eastAsia" w:ascii="Times New Roman" w:hAnsi="Times New Roman" w:eastAsia="方正仿宋_GBK" w:cs="方正仿宋_GBK"/>
          <w:b w:val="0"/>
          <w:bCs/>
          <w:sz w:val="32"/>
          <w:szCs w:val="32"/>
        </w:rPr>
        <w:t>25.34</w:t>
      </w:r>
      <w:r>
        <w:rPr>
          <w:rFonts w:hint="eastAsia" w:ascii="Times New Roman" w:hAnsi="Times New Roman" w:eastAsia="方正仿宋_GBK" w:cs="方正仿宋_GBK"/>
          <w:b w:val="0"/>
          <w:bCs/>
          <w:sz w:val="32"/>
          <w:szCs w:val="32"/>
          <w:shd w:val="clear" w:color="auto" w:fill="FFFFFF"/>
        </w:rPr>
        <w:t>%，较年初预算数增加68.25万元，增长100.0%，主要原因是我单位为2024年新设置预算单位，无法与上年同期数进行比较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color w:val="auto"/>
          <w:sz w:val="32"/>
          <w:szCs w:val="32"/>
          <w:shd w:val="clear" w:color="auto" w:fill="FFFFFF"/>
          <w:lang w:val="en-US" w:eastAsia="zh-CN"/>
        </w:rPr>
      </w:pPr>
      <w:r>
        <w:rPr>
          <w:rFonts w:hint="eastAsia"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cs="方正仿宋_GBK"/>
          <w:b w:val="0"/>
          <w:bCs/>
          <w:sz w:val="32"/>
          <w:szCs w:val="32"/>
          <w:shd w:val="clear" w:color="auto" w:fill="FFFFFF"/>
          <w:lang w:val="en-US" w:eastAsia="zh-CN"/>
        </w:rPr>
        <w:t>2</w:t>
      </w:r>
      <w:r>
        <w:rPr>
          <w:rFonts w:hint="eastAsia" w:ascii="Times New Roman" w:hAnsi="Times New Roman" w:eastAsia="方正仿宋_GBK" w:cs="方正仿宋_GBK"/>
          <w:b w:val="0"/>
          <w:bCs/>
          <w:sz w:val="32"/>
          <w:szCs w:val="32"/>
          <w:shd w:val="clear" w:color="auto" w:fill="FFFFFF"/>
        </w:rPr>
        <w:t>）社会保障与就业支出</w:t>
      </w:r>
      <w:r>
        <w:rPr>
          <w:rFonts w:hint="eastAsia" w:ascii="Times New Roman" w:hAnsi="Times New Roman" w:eastAsia="方正仿宋_GBK" w:cs="方正仿宋_GBK"/>
          <w:b w:val="0"/>
          <w:bCs/>
          <w:sz w:val="32"/>
          <w:szCs w:val="32"/>
        </w:rPr>
        <w:t>76.86</w:t>
      </w:r>
      <w:r>
        <w:rPr>
          <w:rFonts w:hint="eastAsia" w:ascii="Times New Roman" w:hAnsi="Times New Roman" w:eastAsia="方正仿宋_GBK" w:cs="方正仿宋_GBK"/>
          <w:b w:val="0"/>
          <w:bCs/>
          <w:sz w:val="32"/>
          <w:szCs w:val="32"/>
          <w:shd w:val="clear" w:color="auto" w:fill="FFFFFF"/>
        </w:rPr>
        <w:t>万元，占</w:t>
      </w:r>
      <w:r>
        <w:rPr>
          <w:rFonts w:hint="eastAsia" w:ascii="Times New Roman" w:hAnsi="Times New Roman" w:eastAsia="方正仿宋_GBK" w:cs="方正仿宋_GBK"/>
          <w:b w:val="0"/>
          <w:bCs/>
          <w:sz w:val="32"/>
          <w:szCs w:val="32"/>
        </w:rPr>
        <w:t>28.53</w:t>
      </w:r>
      <w:r>
        <w:rPr>
          <w:rFonts w:hint="eastAsia" w:ascii="Times New Roman" w:hAnsi="Times New Roman" w:eastAsia="方正仿宋_GBK" w:cs="方正仿宋_GBK"/>
          <w:b w:val="0"/>
          <w:bCs/>
          <w:sz w:val="32"/>
          <w:szCs w:val="32"/>
          <w:shd w:val="clear" w:color="auto" w:fill="FFFFFF"/>
        </w:rPr>
        <w:t>%，较年初预算数增加29.87万元，增长63.6%，主要原因是</w:t>
      </w:r>
      <w:r>
        <w:rPr>
          <w:rFonts w:hint="eastAsia" w:ascii="Times New Roman" w:hAnsi="Times New Roman" w:eastAsia="方正仿宋_GBK" w:cs="方正仿宋_GBK"/>
          <w:b w:val="0"/>
          <w:bCs/>
          <w:color w:val="auto"/>
          <w:sz w:val="32"/>
          <w:szCs w:val="32"/>
          <w:shd w:val="clear" w:color="auto" w:fill="FFFFFF"/>
          <w:lang w:val="en-US" w:eastAsia="zh-CN"/>
        </w:rPr>
        <w:t>年中追加职业年金清缴资金，社保缴费基数调标。</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lang w:val="en-US" w:eastAsia="zh-CN"/>
        </w:rPr>
      </w:pPr>
      <w:r>
        <w:rPr>
          <w:rFonts w:hint="eastAsia"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cs="方正仿宋_GBK"/>
          <w:b w:val="0"/>
          <w:bCs/>
          <w:sz w:val="32"/>
          <w:szCs w:val="32"/>
          <w:shd w:val="clear" w:color="auto" w:fill="FFFFFF"/>
          <w:lang w:val="en-US" w:eastAsia="zh-CN"/>
        </w:rPr>
        <w:t>3</w:t>
      </w:r>
      <w:r>
        <w:rPr>
          <w:rFonts w:hint="eastAsia" w:ascii="Times New Roman" w:hAnsi="Times New Roman" w:eastAsia="方正仿宋_GBK" w:cs="方正仿宋_GBK"/>
          <w:b w:val="0"/>
          <w:bCs/>
          <w:sz w:val="32"/>
          <w:szCs w:val="32"/>
          <w:shd w:val="clear" w:color="auto" w:fill="FFFFFF"/>
        </w:rPr>
        <w:t>）卫生健康支出</w:t>
      </w:r>
      <w:r>
        <w:rPr>
          <w:rFonts w:hint="eastAsia" w:ascii="Times New Roman" w:hAnsi="Times New Roman" w:eastAsia="方正仿宋_GBK" w:cs="方正仿宋_GBK"/>
          <w:b w:val="0"/>
          <w:bCs/>
          <w:sz w:val="32"/>
          <w:szCs w:val="32"/>
        </w:rPr>
        <w:t>11.71</w:t>
      </w:r>
      <w:r>
        <w:rPr>
          <w:rFonts w:hint="eastAsia" w:ascii="Times New Roman" w:hAnsi="Times New Roman" w:eastAsia="方正仿宋_GBK" w:cs="方正仿宋_GBK"/>
          <w:b w:val="0"/>
          <w:bCs/>
          <w:sz w:val="32"/>
          <w:szCs w:val="32"/>
          <w:shd w:val="clear" w:color="auto" w:fill="FFFFFF"/>
        </w:rPr>
        <w:t>万元，占</w:t>
      </w:r>
      <w:r>
        <w:rPr>
          <w:rFonts w:hint="eastAsia" w:ascii="Times New Roman" w:hAnsi="Times New Roman" w:eastAsia="方正仿宋_GBK" w:cs="方正仿宋_GBK"/>
          <w:b w:val="0"/>
          <w:bCs/>
          <w:sz w:val="32"/>
          <w:szCs w:val="32"/>
        </w:rPr>
        <w:t>4.35</w:t>
      </w:r>
      <w:r>
        <w:rPr>
          <w:rFonts w:hint="eastAsia" w:ascii="Times New Roman" w:hAnsi="Times New Roman" w:eastAsia="方正仿宋_GBK" w:cs="方正仿宋_GBK"/>
          <w:b w:val="0"/>
          <w:bCs/>
          <w:sz w:val="32"/>
          <w:szCs w:val="32"/>
          <w:shd w:val="clear" w:color="auto" w:fill="FFFFFF"/>
        </w:rPr>
        <w:t>%，较年初预算数减少0.69万元，下降5.6%，主要原因是</w:t>
      </w:r>
      <w:r>
        <w:rPr>
          <w:rFonts w:hint="eastAsia" w:ascii="Times New Roman" w:hAnsi="Times New Roman" w:eastAsia="方正仿宋_GBK" w:cs="方正仿宋_GBK"/>
          <w:b w:val="0"/>
          <w:bCs/>
          <w:sz w:val="32"/>
          <w:szCs w:val="32"/>
          <w:shd w:val="clear" w:color="auto" w:fill="FFFFFF"/>
          <w:lang w:val="en-US" w:eastAsia="zh-CN"/>
        </w:rPr>
        <w:t>2024年减少人员2人，职工卫生健康支出减少。</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color w:val="FF0000"/>
          <w:sz w:val="32"/>
          <w:szCs w:val="32"/>
          <w:shd w:val="clear" w:color="auto" w:fill="FFFFFF"/>
        </w:rPr>
      </w:pPr>
      <w:r>
        <w:rPr>
          <w:rFonts w:hint="eastAsia"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cs="方正仿宋_GBK"/>
          <w:b w:val="0"/>
          <w:bCs/>
          <w:sz w:val="32"/>
          <w:szCs w:val="32"/>
          <w:shd w:val="clear" w:color="auto" w:fill="FFFFFF"/>
          <w:lang w:val="en-US" w:eastAsia="zh-CN"/>
        </w:rPr>
        <w:t>4</w:t>
      </w:r>
      <w:r>
        <w:rPr>
          <w:rFonts w:hint="eastAsia" w:ascii="Times New Roman" w:hAnsi="Times New Roman" w:eastAsia="方正仿宋_GBK" w:cs="方正仿宋_GBK"/>
          <w:b w:val="0"/>
          <w:bCs/>
          <w:sz w:val="32"/>
          <w:szCs w:val="32"/>
          <w:shd w:val="clear" w:color="auto" w:fill="FFFFFF"/>
        </w:rPr>
        <w:t>）农林水支出</w:t>
      </w:r>
      <w:r>
        <w:rPr>
          <w:rFonts w:hint="eastAsia" w:ascii="Times New Roman" w:hAnsi="Times New Roman" w:eastAsia="方正仿宋_GBK" w:cs="方正仿宋_GBK"/>
          <w:b w:val="0"/>
          <w:bCs/>
          <w:sz w:val="32"/>
          <w:szCs w:val="32"/>
        </w:rPr>
        <w:t>99.82</w:t>
      </w:r>
      <w:r>
        <w:rPr>
          <w:rFonts w:hint="eastAsia" w:ascii="Times New Roman" w:hAnsi="Times New Roman" w:eastAsia="方正仿宋_GBK" w:cs="方正仿宋_GBK"/>
          <w:b w:val="0"/>
          <w:bCs/>
          <w:sz w:val="32"/>
          <w:szCs w:val="32"/>
          <w:shd w:val="clear" w:color="auto" w:fill="FFFFFF"/>
        </w:rPr>
        <w:t>万元，占</w:t>
      </w:r>
      <w:r>
        <w:rPr>
          <w:rFonts w:hint="eastAsia" w:ascii="Times New Roman" w:hAnsi="Times New Roman" w:eastAsia="方正仿宋_GBK" w:cs="方正仿宋_GBK"/>
          <w:b w:val="0"/>
          <w:bCs/>
          <w:sz w:val="32"/>
          <w:szCs w:val="32"/>
        </w:rPr>
        <w:t>37.06</w:t>
      </w:r>
      <w:r>
        <w:rPr>
          <w:rFonts w:hint="eastAsia" w:ascii="Times New Roman" w:hAnsi="Times New Roman" w:eastAsia="方正仿宋_GBK" w:cs="方正仿宋_GBK"/>
          <w:b w:val="0"/>
          <w:bCs/>
          <w:sz w:val="32"/>
          <w:szCs w:val="32"/>
          <w:shd w:val="clear" w:color="auto" w:fill="FFFFFF"/>
        </w:rPr>
        <w:t>%，较年初预算数减少84.03万元，下降45.7%，主要原因是我单位2024年</w:t>
      </w:r>
      <w:r>
        <w:rPr>
          <w:rFonts w:hint="eastAsia" w:ascii="Times New Roman" w:hAnsi="Times New Roman" w:eastAsia="方正仿宋_GBK" w:cs="方正仿宋_GBK"/>
          <w:b w:val="0"/>
          <w:bCs/>
          <w:sz w:val="32"/>
          <w:szCs w:val="32"/>
          <w:shd w:val="clear" w:color="auto" w:fill="FFFFFF"/>
          <w:lang w:val="en-US" w:eastAsia="zh-CN"/>
        </w:rPr>
        <w:t>7月由蔈草镇农业服务中心变更为</w:t>
      </w:r>
      <w:r>
        <w:rPr>
          <w:rFonts w:hint="eastAsia" w:ascii="Times New Roman" w:hAnsi="Times New Roman" w:eastAsia="方正仿宋_GBK" w:cs="方正仿宋_GBK"/>
          <w:b w:val="0"/>
          <w:bCs/>
          <w:sz w:val="32"/>
          <w:szCs w:val="32"/>
          <w:shd w:val="clear" w:color="auto" w:fill="FFFFFF"/>
        </w:rPr>
        <w:t>蔈草镇</w:t>
      </w:r>
      <w:r>
        <w:rPr>
          <w:rFonts w:hint="eastAsia" w:ascii="Times New Roman" w:hAnsi="Times New Roman" w:eastAsia="方正仿宋_GBK" w:cs="方正仿宋_GBK"/>
          <w:b w:val="0"/>
          <w:bCs/>
          <w:sz w:val="32"/>
          <w:szCs w:val="32"/>
          <w:shd w:val="clear" w:color="auto" w:fill="FFFFFF"/>
          <w:lang w:val="en-US" w:eastAsia="zh-CN"/>
        </w:rPr>
        <w:t>产业发展</w:t>
      </w:r>
      <w:r>
        <w:rPr>
          <w:rFonts w:hint="eastAsia" w:ascii="Times New Roman" w:hAnsi="Times New Roman" w:eastAsia="方正仿宋_GBK" w:cs="方正仿宋_GBK"/>
          <w:b w:val="0"/>
          <w:bCs/>
          <w:sz w:val="32"/>
          <w:szCs w:val="32"/>
          <w:shd w:val="clear" w:color="auto" w:fill="FFFFFF"/>
        </w:rPr>
        <w:t>服务中心</w:t>
      </w:r>
      <w:r>
        <w:rPr>
          <w:rFonts w:hint="eastAsia" w:ascii="Times New Roman" w:hAnsi="Times New Roman" w:eastAsia="方正仿宋_GBK" w:cs="方正仿宋_GBK"/>
          <w:b w:val="0"/>
          <w:bCs/>
          <w:sz w:val="32"/>
          <w:szCs w:val="32"/>
          <w:shd w:val="clear" w:color="auto" w:fill="FFFFFF"/>
          <w:lang w:eastAsia="zh-CN"/>
        </w:rPr>
        <w:t>，</w:t>
      </w:r>
      <w:r>
        <w:rPr>
          <w:rFonts w:hint="eastAsia" w:ascii="Times New Roman" w:hAnsi="Times New Roman" w:eastAsia="方正仿宋_GBK" w:cs="方正仿宋_GBK"/>
          <w:b w:val="0"/>
          <w:bCs/>
          <w:sz w:val="32"/>
          <w:szCs w:val="32"/>
          <w:shd w:val="clear" w:color="auto" w:fill="FFFFFF"/>
          <w:lang w:val="en-US" w:eastAsia="zh-CN"/>
        </w:rPr>
        <w:t>按照决算列报口径支出功能分类变更。</w:t>
      </w:r>
    </w:p>
    <w:p>
      <w:pPr>
        <w:keepNext w:val="0"/>
        <w:keepLines w:val="0"/>
        <w:pageBreakBefore w:val="0"/>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仿宋_GBK" w:cs="方正仿宋_GBK"/>
          <w:b w:val="0"/>
          <w:bCs/>
          <w:color w:val="FF0000"/>
          <w:sz w:val="32"/>
          <w:szCs w:val="32"/>
          <w:shd w:val="clear" w:color="auto" w:fill="FFFFFF"/>
        </w:rPr>
      </w:pPr>
      <w:r>
        <w:rPr>
          <w:rFonts w:hint="eastAsia"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cs="方正仿宋_GBK"/>
          <w:b w:val="0"/>
          <w:bCs/>
          <w:sz w:val="32"/>
          <w:szCs w:val="32"/>
          <w:shd w:val="clear" w:color="auto" w:fill="FFFFFF"/>
          <w:lang w:val="en-US" w:eastAsia="zh-CN"/>
        </w:rPr>
        <w:t>5</w:t>
      </w:r>
      <w:r>
        <w:rPr>
          <w:rFonts w:hint="eastAsia"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cs="方正仿宋_GBK"/>
          <w:b w:val="0"/>
          <w:bCs/>
          <w:sz w:val="32"/>
          <w:szCs w:val="32"/>
        </w:rPr>
        <w:t>住房保障支出12.73</w:t>
      </w:r>
      <w:r>
        <w:rPr>
          <w:rFonts w:hint="eastAsia" w:ascii="Times New Roman" w:hAnsi="Times New Roman" w:eastAsia="方正仿宋_GBK" w:cs="方正仿宋_GBK"/>
          <w:b w:val="0"/>
          <w:bCs/>
          <w:sz w:val="32"/>
          <w:szCs w:val="32"/>
          <w:shd w:val="clear" w:color="auto" w:fill="FFFFFF"/>
        </w:rPr>
        <w:t>万元，占</w:t>
      </w:r>
      <w:r>
        <w:rPr>
          <w:rFonts w:hint="eastAsia" w:ascii="Times New Roman" w:hAnsi="Times New Roman" w:eastAsia="方正仿宋_GBK" w:cs="方正仿宋_GBK"/>
          <w:b w:val="0"/>
          <w:bCs/>
          <w:sz w:val="32"/>
          <w:szCs w:val="32"/>
        </w:rPr>
        <w:t>4.73</w:t>
      </w:r>
      <w:r>
        <w:rPr>
          <w:rFonts w:hint="eastAsia" w:ascii="Times New Roman" w:hAnsi="Times New Roman" w:eastAsia="方正仿宋_GBK" w:cs="方正仿宋_GBK"/>
          <w:b w:val="0"/>
          <w:bCs/>
          <w:sz w:val="32"/>
          <w:szCs w:val="32"/>
          <w:shd w:val="clear" w:color="auto" w:fill="FFFFFF"/>
        </w:rPr>
        <w:t>%，较年初预算数增加0.34万元，增长2.7%，主要原因是</w:t>
      </w:r>
      <w:r>
        <w:rPr>
          <w:rFonts w:hint="eastAsia" w:ascii="Times New Roman" w:hAnsi="Times New Roman" w:eastAsia="方正仿宋_GBK" w:cs="方正仿宋_GBK"/>
          <w:b w:val="0"/>
          <w:bCs/>
          <w:sz w:val="32"/>
          <w:szCs w:val="32"/>
          <w:shd w:val="clear" w:color="auto" w:fill="FFFFFF"/>
          <w:lang w:val="en-US" w:eastAsia="zh-CN"/>
        </w:rPr>
        <w:t>工资调标，住房公积金清算追加资金。</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（四）一般公共预算财政拨款基本支出决算情况说明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sz w:val="32"/>
          <w:szCs w:val="32"/>
        </w:rPr>
      </w:pPr>
      <w:r>
        <w:rPr>
          <w:rFonts w:hint="eastAsia" w:ascii="Times New Roman" w:hAnsi="Times New Roman" w:eastAsia="方正仿宋_GBK" w:cs="方正仿宋_GBK"/>
          <w:b w:val="0"/>
          <w:bCs/>
          <w:sz w:val="32"/>
          <w:szCs w:val="32"/>
          <w:shd w:val="clear" w:color="auto" w:fill="FFFFFF"/>
          <w:lang w:eastAsia="zh-CN"/>
        </w:rPr>
        <w:t>2024年</w:t>
      </w:r>
      <w:r>
        <w:rPr>
          <w:rFonts w:hint="eastAsia" w:ascii="Times New Roman" w:hAnsi="Times New Roman" w:eastAsia="方正仿宋_GBK" w:cs="方正仿宋_GBK"/>
          <w:b w:val="0"/>
          <w:bCs/>
          <w:sz w:val="32"/>
          <w:szCs w:val="32"/>
          <w:shd w:val="clear" w:color="auto" w:fill="FFFFFF"/>
        </w:rPr>
        <w:t>度一般公共财政拨款基本支出</w:t>
      </w:r>
      <w:r>
        <w:rPr>
          <w:rFonts w:hint="eastAsia" w:ascii="Times New Roman" w:hAnsi="Times New Roman" w:eastAsia="方正仿宋_GBK" w:cs="方正仿宋_GBK"/>
          <w:b w:val="0"/>
          <w:bCs/>
          <w:sz w:val="32"/>
          <w:szCs w:val="32"/>
        </w:rPr>
        <w:t>269.37</w:t>
      </w:r>
      <w:r>
        <w:rPr>
          <w:rFonts w:hint="eastAsia" w:ascii="Times New Roman" w:hAnsi="Times New Roman" w:eastAsia="方正仿宋_GBK" w:cs="方正仿宋_GBK"/>
          <w:b w:val="0"/>
          <w:bCs/>
          <w:sz w:val="32"/>
          <w:szCs w:val="32"/>
          <w:shd w:val="clear" w:color="auto" w:fill="FFFFFF"/>
        </w:rPr>
        <w:t>万元。其中：人员经费</w:t>
      </w:r>
      <w:r>
        <w:rPr>
          <w:rFonts w:hint="eastAsia" w:ascii="Times New Roman" w:hAnsi="Times New Roman" w:eastAsia="方正仿宋_GBK" w:cs="方正仿宋_GBK"/>
          <w:b w:val="0"/>
          <w:bCs/>
          <w:sz w:val="32"/>
          <w:szCs w:val="32"/>
        </w:rPr>
        <w:t>261.86</w:t>
      </w:r>
      <w:r>
        <w:rPr>
          <w:rFonts w:hint="eastAsia" w:ascii="Times New Roman" w:hAnsi="Times New Roman" w:eastAsia="方正仿宋_GBK" w:cs="方正仿宋_GBK"/>
          <w:b w:val="0"/>
          <w:bCs/>
          <w:sz w:val="32"/>
          <w:szCs w:val="32"/>
          <w:shd w:val="clear" w:color="auto" w:fill="FFFFFF"/>
        </w:rPr>
        <w:t>万元，与2023年度相比，增加261.86万元，增长100.0%，主要原因是我单位为2024年新设置预算单位，无法与上年同期数进行比较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r>
        <w:rPr>
          <w:rFonts w:hint="eastAsia" w:ascii="Times New Roman" w:hAnsi="Times New Roman" w:eastAsia="方正仿宋_GBK" w:cs="方正仿宋_GBK"/>
          <w:b w:val="0"/>
          <w:bCs/>
          <w:sz w:val="32"/>
          <w:szCs w:val="32"/>
          <w:shd w:val="clear" w:color="auto" w:fill="FFFFFF"/>
        </w:rPr>
        <w:t>人员经费用途主要包括</w:t>
      </w:r>
      <w:r>
        <w:rPr>
          <w:rFonts w:hint="eastAsia" w:ascii="Times New Roman" w:hAnsi="Times New Roman" w:eastAsia="方正仿宋_GBK" w:cs="方正仿宋_GBK"/>
          <w:b w:val="0"/>
          <w:bCs/>
          <w:sz w:val="32"/>
          <w:highlight w:val="none"/>
          <w:shd w:val="clear" w:color="auto" w:fill="auto"/>
          <w:lang w:val="en-US" w:eastAsia="zh-CN"/>
        </w:rPr>
        <w:t>职工统发工资、职工考核、社会保险缴费及住房公积金等。</w:t>
      </w:r>
      <w:r>
        <w:rPr>
          <w:rFonts w:hint="eastAsia" w:ascii="Times New Roman" w:hAnsi="Times New Roman" w:eastAsia="方正仿宋_GBK" w:cs="方正仿宋_GBK"/>
          <w:b w:val="0"/>
          <w:bCs/>
          <w:sz w:val="32"/>
          <w:szCs w:val="32"/>
          <w:shd w:val="clear" w:color="auto" w:fill="FFFFFF"/>
        </w:rPr>
        <w:t>公用经费</w:t>
      </w:r>
      <w:r>
        <w:rPr>
          <w:rFonts w:hint="eastAsia" w:ascii="Times New Roman" w:hAnsi="Times New Roman" w:eastAsia="方正仿宋_GBK" w:cs="方正仿宋_GBK"/>
          <w:b w:val="0"/>
          <w:bCs/>
          <w:sz w:val="32"/>
          <w:szCs w:val="32"/>
        </w:rPr>
        <w:t>7.52</w:t>
      </w:r>
      <w:r>
        <w:rPr>
          <w:rFonts w:hint="eastAsia" w:ascii="Times New Roman" w:hAnsi="Times New Roman" w:eastAsia="方正仿宋_GBK" w:cs="方正仿宋_GBK"/>
          <w:b w:val="0"/>
          <w:bCs/>
          <w:sz w:val="32"/>
          <w:szCs w:val="32"/>
          <w:shd w:val="clear" w:color="auto" w:fill="FFFFFF"/>
        </w:rPr>
        <w:t>万元，与2023年度相比，增加7.52万元，增长100.0%，主要原因是我单位为2024年新设置预算单位，无法与上年同期数进行比较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r>
        <w:rPr>
          <w:rFonts w:hint="eastAsia" w:ascii="Times New Roman" w:hAnsi="Times New Roman" w:eastAsia="方正仿宋_GBK" w:cs="方正仿宋_GBK"/>
          <w:b w:val="0"/>
          <w:bCs/>
          <w:sz w:val="32"/>
          <w:szCs w:val="32"/>
          <w:shd w:val="clear" w:color="auto" w:fill="FFFFFF"/>
        </w:rPr>
        <w:t>公用经费用途主要包括</w:t>
      </w:r>
      <w:r>
        <w:rPr>
          <w:rFonts w:hint="eastAsia" w:ascii="Times New Roman" w:hAnsi="Times New Roman" w:eastAsia="方正仿宋_GBK" w:cs="方正仿宋_GBK"/>
          <w:b w:val="0"/>
          <w:bCs/>
          <w:sz w:val="32"/>
          <w:szCs w:val="32"/>
          <w:shd w:val="clear" w:color="auto" w:fill="FFFFFF"/>
          <w:lang w:val="en-US" w:eastAsia="zh-CN"/>
        </w:rPr>
        <w:t>职工培训费、福利费、工会经费。</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（五）政府性基金预算收支决算情况说明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rPr>
      </w:pPr>
      <w:r>
        <w:rPr>
          <w:rFonts w:hint="eastAsia" w:ascii="Times New Roman" w:hAnsi="Times New Roman" w:eastAsia="方正仿宋_GBK" w:cs="方正仿宋_GBK"/>
          <w:b w:val="0"/>
          <w:bCs/>
          <w:sz w:val="32"/>
          <w:szCs w:val="32"/>
          <w:shd w:val="clear" w:color="auto" w:fill="FFFFFF"/>
        </w:rPr>
        <w:t>本单位</w:t>
      </w:r>
      <w:r>
        <w:rPr>
          <w:rFonts w:hint="eastAsia" w:ascii="Times New Roman" w:hAnsi="Times New Roman" w:eastAsia="方正仿宋_GBK" w:cs="方正仿宋_GBK"/>
          <w:b w:val="0"/>
          <w:bCs/>
          <w:sz w:val="32"/>
          <w:szCs w:val="32"/>
          <w:shd w:val="clear" w:color="auto" w:fill="FFFFFF"/>
          <w:lang w:eastAsia="zh-CN"/>
        </w:rPr>
        <w:t>2024年</w:t>
      </w:r>
      <w:r>
        <w:rPr>
          <w:rFonts w:hint="eastAsia" w:ascii="Times New Roman" w:hAnsi="Times New Roman" w:eastAsia="方正仿宋_GBK" w:cs="方正仿宋_GBK"/>
          <w:b w:val="0"/>
          <w:bCs/>
          <w:sz w:val="32"/>
          <w:szCs w:val="32"/>
          <w:shd w:val="clear" w:color="auto" w:fill="FFFFFF"/>
        </w:rPr>
        <w:t>度无政府性基金预算财政拨款收支。</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（六）国有资本经营预算财政拨款支出决算情况说明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rPr>
      </w:pPr>
      <w:r>
        <w:rPr>
          <w:rFonts w:hint="eastAsia" w:ascii="Times New Roman" w:hAnsi="Times New Roman" w:eastAsia="方正仿宋_GBK" w:cs="方正仿宋_GBK"/>
          <w:b w:val="0"/>
          <w:bCs/>
          <w:sz w:val="32"/>
          <w:szCs w:val="32"/>
          <w:shd w:val="clear" w:color="auto" w:fill="FFFFFF"/>
        </w:rPr>
        <w:t>本单位</w:t>
      </w:r>
      <w:r>
        <w:rPr>
          <w:rFonts w:hint="eastAsia" w:ascii="Times New Roman" w:hAnsi="Times New Roman" w:eastAsia="方正仿宋_GBK" w:cs="方正仿宋_GBK"/>
          <w:b w:val="0"/>
          <w:bCs/>
          <w:sz w:val="32"/>
          <w:szCs w:val="32"/>
          <w:shd w:val="clear" w:color="auto" w:fill="FFFFFF"/>
          <w:lang w:eastAsia="zh-CN"/>
        </w:rPr>
        <w:t>2024年</w:t>
      </w:r>
      <w:r>
        <w:rPr>
          <w:rFonts w:hint="eastAsia" w:ascii="Times New Roman" w:hAnsi="Times New Roman" w:eastAsia="方正仿宋_GBK" w:cs="方正仿宋_GBK"/>
          <w:b w:val="0"/>
          <w:bCs/>
          <w:sz w:val="32"/>
          <w:szCs w:val="32"/>
          <w:shd w:val="clear" w:color="auto" w:fill="FFFFFF"/>
        </w:rPr>
        <w:t>度无国有资本经营预算财政拨款支出。</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eastAsia"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三、财政拨款“三公”经费情况说明</w:t>
      </w:r>
    </w:p>
    <w:p>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（一）“三公”经费支出总体情况说明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度“三公”经费支出共计</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万元，较年初预算数无增减，</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按照部门决算列报口径，统一在政府机关本级列报</w:t>
      </w:r>
      <w:r>
        <w:rPr>
          <w:rFonts w:hint="eastAsia" w:ascii="Times New Roman" w:hAnsi="Times New Roman" w:eastAsia="方正仿宋_GBK" w:cs="方正仿宋_GBK"/>
          <w:b w:val="0"/>
          <w:bCs/>
          <w:sz w:val="32"/>
          <w:szCs w:val="32"/>
          <w:highlight w:val="none"/>
          <w:lang w:val="en-US" w:eastAsia="zh-CN"/>
        </w:rPr>
        <w:t>。</w:t>
      </w:r>
      <w:r>
        <w:rPr>
          <w:rFonts w:ascii="Times New Roman" w:hAnsi="Times New Roman" w:eastAsia="方正仿宋_GBK" w:cs="方正仿宋_GBK"/>
          <w:b w:val="0"/>
          <w:bCs w:val="0"/>
          <w:sz w:val="32"/>
          <w:szCs w:val="32"/>
          <w:shd w:val="clear" w:color="auto" w:fill="FFFFFF"/>
        </w:rPr>
        <w:t>较上年支出数无增减，主要原因</w:t>
      </w:r>
      <w:r>
        <w:rPr>
          <w:rFonts w:hint="eastAsia" w:ascii="Times New Roman" w:hAnsi="Times New Roman" w:eastAsia="方正仿宋_GBK" w:cs="方正仿宋_GBK"/>
          <w:b w:val="0"/>
          <w:bCs w:val="0"/>
          <w:sz w:val="32"/>
          <w:szCs w:val="32"/>
          <w:shd w:val="clear" w:color="auto" w:fill="FFFFFF"/>
          <w:lang w:val="en-US" w:eastAsia="zh-CN"/>
        </w:rPr>
        <w:t>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val="en-US" w:eastAsia="zh-CN"/>
        </w:rPr>
        <w:t>。</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（二）“三公”经费分项支出情况</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度本单位因公出国（境）费用</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万元，费用支出较年初预算数无增减，</w:t>
      </w:r>
      <w:r>
        <w:rPr>
          <w:rFonts w:hint="eastAsia" w:ascii="Times New Roman" w:hAnsi="Times New Roman" w:eastAsia="方正仿宋_GBK" w:cs="方正仿宋_GBK"/>
          <w:b w:val="0"/>
          <w:bCs w:val="0"/>
          <w:sz w:val="32"/>
          <w:szCs w:val="32"/>
          <w:shd w:val="clear" w:color="auto" w:fill="FFFFFF"/>
          <w:lang w:val="en-US" w:eastAsia="zh-CN"/>
        </w:rPr>
        <w:t>主要原因是</w:t>
      </w:r>
      <w:r>
        <w:rPr>
          <w:rFonts w:hint="eastAsia" w:ascii="Times New Roman" w:hAnsi="Times New Roman" w:eastAsia="方正仿宋_GBK" w:cs="方正仿宋_GBK"/>
          <w:b w:val="0"/>
          <w:bCs/>
          <w:sz w:val="32"/>
          <w:szCs w:val="32"/>
          <w:shd w:val="clear" w:color="auto" w:fill="FFFFFF"/>
          <w:lang w:val="en-US" w:eastAsia="zh-CN"/>
        </w:rPr>
        <w:t>按照部门决算列报口径，统一在政府机关本级列报</w:t>
      </w:r>
      <w:r>
        <w:rPr>
          <w:rFonts w:hint="eastAsia" w:ascii="Times New Roman" w:hAnsi="Times New Roman" w:eastAsia="方正仿宋_GBK" w:cs="方正仿宋_GBK"/>
          <w:b w:val="0"/>
          <w:bCs/>
          <w:sz w:val="32"/>
          <w:szCs w:val="32"/>
          <w:highlight w:val="none"/>
          <w:lang w:val="en-US" w:eastAsia="zh-CN"/>
        </w:rPr>
        <w:t>。</w:t>
      </w:r>
      <w:r>
        <w:rPr>
          <w:rFonts w:ascii="Times New Roman" w:hAnsi="Times New Roman" w:eastAsia="方正仿宋_GBK" w:cs="方正仿宋_GBK"/>
          <w:b w:val="0"/>
          <w:bCs w:val="0"/>
          <w:sz w:val="32"/>
          <w:szCs w:val="32"/>
          <w:shd w:val="clear" w:color="auto" w:fill="FFFFFF"/>
        </w:rPr>
        <w:t>较上年支出数无增减，主要原因是</w:t>
      </w:r>
      <w:r>
        <w:rPr>
          <w:rFonts w:hint="eastAsia" w:ascii="Times New Roman" w:hAnsi="Times New Roman" w:eastAsia="方正仿宋_GBK" w:cs="方正仿宋_GBK"/>
          <w:b w:val="0"/>
          <w:bCs w:val="0"/>
          <w:sz w:val="32"/>
          <w:szCs w:val="32"/>
          <w:shd w:val="clear" w:color="auto" w:fill="FFFFFF"/>
          <w:lang w:val="en-US" w:eastAsia="zh-CN"/>
        </w:rPr>
        <w:t>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val="en-US"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lang w:val="en-US" w:eastAsia="zh-CN"/>
        </w:rPr>
      </w:pPr>
      <w:r>
        <w:rPr>
          <w:rFonts w:ascii="Times New Roman" w:hAnsi="Times New Roman" w:eastAsia="方正仿宋_GBK" w:cs="方正仿宋_GBK"/>
          <w:b w:val="0"/>
          <w:bCs w:val="0"/>
          <w:sz w:val="32"/>
          <w:szCs w:val="32"/>
          <w:shd w:val="clear" w:color="auto" w:fill="FFFFFF"/>
        </w:rPr>
        <w:t>公务车购置费</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万元，费用支出较年初预算数无增减，</w:t>
      </w:r>
      <w:r>
        <w:rPr>
          <w:rFonts w:hint="eastAsia" w:ascii="Times New Roman" w:hAnsi="Times New Roman" w:eastAsia="方正仿宋_GBK" w:cs="方正仿宋_GBK"/>
          <w:b w:val="0"/>
          <w:bCs w:val="0"/>
          <w:sz w:val="32"/>
          <w:szCs w:val="32"/>
          <w:shd w:val="clear" w:color="auto" w:fill="FFFFFF"/>
          <w:lang w:val="en-US" w:eastAsia="zh-CN"/>
        </w:rPr>
        <w:t>主要原因是</w:t>
      </w:r>
      <w:r>
        <w:rPr>
          <w:rFonts w:hint="eastAsia" w:ascii="Times New Roman" w:hAnsi="Times New Roman" w:eastAsia="方正仿宋_GBK" w:cs="方正仿宋_GBK"/>
          <w:b w:val="0"/>
          <w:bCs/>
          <w:sz w:val="32"/>
          <w:szCs w:val="32"/>
          <w:shd w:val="clear" w:color="auto" w:fill="FFFFFF"/>
          <w:lang w:val="en-US" w:eastAsia="zh-CN"/>
        </w:rPr>
        <w:t>按照部门决算列报口径，统一在政府机关本级列报</w:t>
      </w:r>
      <w:r>
        <w:rPr>
          <w:rFonts w:hint="eastAsia" w:ascii="Times New Roman" w:hAnsi="Times New Roman" w:eastAsia="方正仿宋_GBK" w:cs="方正仿宋_GBK"/>
          <w:b w:val="0"/>
          <w:bCs/>
          <w:sz w:val="32"/>
          <w:szCs w:val="32"/>
          <w:highlight w:val="none"/>
          <w:lang w:val="en-US" w:eastAsia="zh-CN"/>
        </w:rPr>
        <w:t>。</w:t>
      </w:r>
      <w:r>
        <w:rPr>
          <w:rFonts w:ascii="Times New Roman" w:hAnsi="Times New Roman" w:eastAsia="方正仿宋_GBK" w:cs="方正仿宋_GBK"/>
          <w:b w:val="0"/>
          <w:bCs w:val="0"/>
          <w:sz w:val="32"/>
          <w:szCs w:val="32"/>
          <w:shd w:val="clear" w:color="auto" w:fill="FFFFFF"/>
        </w:rPr>
        <w:t>较上年支出数无增减，主要原因是</w:t>
      </w:r>
      <w:r>
        <w:rPr>
          <w:rFonts w:hint="eastAsia" w:ascii="Times New Roman" w:hAnsi="Times New Roman" w:eastAsia="方正仿宋_GBK" w:cs="方正仿宋_GBK"/>
          <w:b w:val="0"/>
          <w:bCs w:val="0"/>
          <w:sz w:val="32"/>
          <w:szCs w:val="32"/>
          <w:shd w:val="clear" w:color="auto" w:fill="FFFFFF"/>
          <w:lang w:val="en-US" w:eastAsia="zh-CN"/>
        </w:rPr>
        <w:t>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val="en-US" w:eastAsia="zh-CN"/>
        </w:rPr>
        <w:t>。</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公务车运行维护费</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万元，费用支出较年初预算数无增减，</w:t>
      </w:r>
      <w:r>
        <w:rPr>
          <w:rFonts w:hint="eastAsia" w:ascii="Times New Roman" w:hAnsi="Times New Roman" w:eastAsia="方正仿宋_GBK" w:cs="方正仿宋_GBK"/>
          <w:b w:val="0"/>
          <w:bCs w:val="0"/>
          <w:sz w:val="32"/>
          <w:szCs w:val="32"/>
          <w:shd w:val="clear" w:color="auto" w:fill="FFFFFF"/>
          <w:lang w:val="en-US" w:eastAsia="zh-CN"/>
        </w:rPr>
        <w:t>主要原因是</w:t>
      </w:r>
      <w:r>
        <w:rPr>
          <w:rFonts w:hint="eastAsia" w:ascii="Times New Roman" w:hAnsi="Times New Roman" w:eastAsia="方正仿宋_GBK" w:cs="方正仿宋_GBK"/>
          <w:b w:val="0"/>
          <w:bCs/>
          <w:sz w:val="32"/>
          <w:szCs w:val="32"/>
          <w:shd w:val="clear" w:color="auto" w:fill="FFFFFF"/>
          <w:lang w:val="en-US" w:eastAsia="zh-CN"/>
        </w:rPr>
        <w:t>按照部门决算列报口径，统一在政府机关本级列报</w:t>
      </w:r>
      <w:r>
        <w:rPr>
          <w:rFonts w:hint="eastAsia" w:ascii="Times New Roman" w:hAnsi="Times New Roman" w:eastAsia="方正仿宋_GBK" w:cs="方正仿宋_GBK"/>
          <w:b w:val="0"/>
          <w:bCs/>
          <w:sz w:val="32"/>
          <w:szCs w:val="32"/>
          <w:highlight w:val="none"/>
          <w:lang w:val="en-US" w:eastAsia="zh-CN"/>
        </w:rPr>
        <w:t>。</w:t>
      </w:r>
      <w:r>
        <w:rPr>
          <w:rFonts w:ascii="Times New Roman" w:hAnsi="Times New Roman" w:eastAsia="方正仿宋_GBK" w:cs="方正仿宋_GBK"/>
          <w:b w:val="0"/>
          <w:bCs w:val="0"/>
          <w:sz w:val="32"/>
          <w:szCs w:val="32"/>
          <w:shd w:val="clear" w:color="auto" w:fill="FFFFFF"/>
        </w:rPr>
        <w:t>较上年支出数无增减，主要原因是</w:t>
      </w:r>
      <w:r>
        <w:rPr>
          <w:rFonts w:hint="eastAsia" w:ascii="Times New Roman" w:hAnsi="Times New Roman" w:eastAsia="方正仿宋_GBK" w:cs="方正仿宋_GBK"/>
          <w:b w:val="0"/>
          <w:bCs w:val="0"/>
          <w:sz w:val="32"/>
          <w:szCs w:val="32"/>
          <w:shd w:val="clear" w:color="auto" w:fill="FFFFFF"/>
          <w:lang w:val="en-US" w:eastAsia="zh-CN"/>
        </w:rPr>
        <w:t>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val="en-US" w:eastAsia="zh-CN"/>
        </w:rPr>
        <w:t>。</w:t>
      </w:r>
    </w:p>
    <w:p>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仿宋_GBK" w:cs="方正仿宋_GBK"/>
          <w:b w:val="0"/>
          <w:bCs/>
          <w:sz w:val="32"/>
          <w:szCs w:val="32"/>
          <w:shd w:val="clear" w:color="auto" w:fill="FFFFFF"/>
        </w:rPr>
      </w:pPr>
      <w:r>
        <w:rPr>
          <w:rFonts w:ascii="Times New Roman" w:hAnsi="Times New Roman" w:eastAsia="方正仿宋_GBK" w:cs="方正仿宋_GBK"/>
          <w:b w:val="0"/>
          <w:bCs w:val="0"/>
          <w:sz w:val="32"/>
          <w:szCs w:val="32"/>
          <w:shd w:val="clear" w:color="auto" w:fill="FFFFFF"/>
        </w:rPr>
        <w:t>公务接待费</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万元，费用支出较年初预算数无增减，</w:t>
      </w:r>
      <w:r>
        <w:rPr>
          <w:rFonts w:hint="eastAsia" w:ascii="Times New Roman" w:hAnsi="Times New Roman" w:eastAsia="方正仿宋_GBK" w:cs="方正仿宋_GBK"/>
          <w:b w:val="0"/>
          <w:bCs w:val="0"/>
          <w:sz w:val="32"/>
          <w:szCs w:val="32"/>
          <w:shd w:val="clear" w:color="auto" w:fill="FFFFFF"/>
          <w:lang w:val="en-US" w:eastAsia="zh-CN"/>
        </w:rPr>
        <w:t>主要原因是</w:t>
      </w:r>
      <w:r>
        <w:rPr>
          <w:rFonts w:hint="eastAsia" w:ascii="Times New Roman" w:hAnsi="Times New Roman" w:eastAsia="方正仿宋_GBK" w:cs="方正仿宋_GBK"/>
          <w:b w:val="0"/>
          <w:bCs/>
          <w:sz w:val="32"/>
          <w:szCs w:val="32"/>
          <w:shd w:val="clear" w:color="auto" w:fill="FFFFFF"/>
          <w:lang w:val="en-US" w:eastAsia="zh-CN"/>
        </w:rPr>
        <w:t>按照部门决算列报口径，统一在政府机关本级列报</w:t>
      </w:r>
      <w:r>
        <w:rPr>
          <w:rFonts w:hint="eastAsia" w:ascii="Times New Roman" w:hAnsi="Times New Roman" w:eastAsia="方正仿宋_GBK" w:cs="方正仿宋_GBK"/>
          <w:b w:val="0"/>
          <w:bCs/>
          <w:sz w:val="32"/>
          <w:szCs w:val="32"/>
          <w:highlight w:val="none"/>
          <w:lang w:val="en-US" w:eastAsia="zh-CN"/>
        </w:rPr>
        <w:t>。</w:t>
      </w:r>
      <w:r>
        <w:rPr>
          <w:rFonts w:ascii="Times New Roman" w:hAnsi="Times New Roman" w:eastAsia="方正仿宋_GBK" w:cs="方正仿宋_GBK"/>
          <w:b w:val="0"/>
          <w:bCs w:val="0"/>
          <w:sz w:val="32"/>
          <w:szCs w:val="32"/>
          <w:shd w:val="clear" w:color="auto" w:fill="FFFFFF"/>
        </w:rPr>
        <w:t>较上年支出数无增减，主要原因是</w:t>
      </w:r>
      <w:r>
        <w:rPr>
          <w:rFonts w:hint="eastAsia" w:ascii="Times New Roman" w:hAnsi="Times New Roman" w:eastAsia="方正仿宋_GBK" w:cs="方正仿宋_GBK"/>
          <w:b w:val="0"/>
          <w:bCs w:val="0"/>
          <w:sz w:val="32"/>
          <w:szCs w:val="32"/>
          <w:shd w:val="clear" w:color="auto" w:fill="FFFFFF"/>
          <w:lang w:val="en-US" w:eastAsia="zh-CN"/>
        </w:rPr>
        <w:t>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val="en-US" w:eastAsia="zh-CN"/>
        </w:rPr>
        <w:t>。</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（三）“三公”经费实物量情况</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sz w:val="32"/>
          <w:szCs w:val="32"/>
        </w:rPr>
      </w:pPr>
      <w:r>
        <w:rPr>
          <w:rFonts w:hint="eastAsia" w:ascii="Times New Roman" w:hAnsi="Times New Roman" w:eastAsia="方正仿宋_GBK" w:cs="方正仿宋_GBK"/>
          <w:b w:val="0"/>
          <w:bCs/>
          <w:sz w:val="32"/>
          <w:szCs w:val="32"/>
          <w:shd w:val="clear" w:color="auto" w:fill="FFFFFF"/>
          <w:lang w:eastAsia="zh-CN"/>
        </w:rPr>
        <w:t>2024年</w:t>
      </w:r>
      <w:r>
        <w:rPr>
          <w:rFonts w:hint="eastAsia" w:ascii="Times New Roman" w:hAnsi="Times New Roman" w:eastAsia="方正仿宋_GBK" w:cs="方正仿宋_GBK"/>
          <w:b w:val="0"/>
          <w:bCs/>
          <w:sz w:val="32"/>
          <w:szCs w:val="32"/>
          <w:shd w:val="clear" w:color="auto" w:fill="FFFFFF"/>
        </w:rPr>
        <w:t>度本单位因公出国（境）共计</w:t>
      </w:r>
      <w:r>
        <w:rPr>
          <w:rFonts w:hint="eastAsia" w:ascii="Times New Roman" w:hAnsi="Times New Roman" w:eastAsia="方正仿宋_GBK" w:cs="方正仿宋_GBK"/>
          <w:b w:val="0"/>
          <w:bCs/>
          <w:sz w:val="32"/>
          <w:szCs w:val="32"/>
        </w:rPr>
        <w:t>0</w:t>
      </w:r>
      <w:r>
        <w:rPr>
          <w:rFonts w:hint="eastAsia" w:ascii="Times New Roman" w:hAnsi="Times New Roman" w:eastAsia="方正仿宋_GBK" w:cs="方正仿宋_GBK"/>
          <w:b w:val="0"/>
          <w:bCs/>
          <w:sz w:val="32"/>
          <w:szCs w:val="32"/>
          <w:shd w:val="clear" w:color="auto" w:fill="FFFFFF"/>
        </w:rPr>
        <w:t>个团组，</w:t>
      </w:r>
      <w:r>
        <w:rPr>
          <w:rFonts w:hint="eastAsia" w:ascii="Times New Roman" w:hAnsi="Times New Roman" w:eastAsia="方正仿宋_GBK" w:cs="方正仿宋_GBK"/>
          <w:b w:val="0"/>
          <w:bCs/>
          <w:sz w:val="32"/>
          <w:szCs w:val="32"/>
        </w:rPr>
        <w:t>0</w:t>
      </w:r>
      <w:r>
        <w:rPr>
          <w:rFonts w:hint="eastAsia" w:ascii="Times New Roman" w:hAnsi="Times New Roman" w:eastAsia="方正仿宋_GBK" w:cs="方正仿宋_GBK"/>
          <w:b w:val="0"/>
          <w:bCs/>
          <w:sz w:val="32"/>
          <w:szCs w:val="32"/>
          <w:shd w:val="clear" w:color="auto" w:fill="FFFFFF"/>
        </w:rPr>
        <w:t>人；公务用车购置</w:t>
      </w:r>
      <w:r>
        <w:rPr>
          <w:rFonts w:hint="eastAsia" w:ascii="Times New Roman" w:hAnsi="Times New Roman" w:eastAsia="方正仿宋_GBK" w:cs="方正仿宋_GBK"/>
          <w:b w:val="0"/>
          <w:bCs/>
          <w:sz w:val="32"/>
          <w:szCs w:val="32"/>
        </w:rPr>
        <w:t>0</w:t>
      </w:r>
      <w:r>
        <w:rPr>
          <w:rFonts w:hint="eastAsia" w:ascii="Times New Roman" w:hAnsi="Times New Roman" w:eastAsia="方正仿宋_GBK" w:cs="方正仿宋_GBK"/>
          <w:b w:val="0"/>
          <w:bCs/>
          <w:sz w:val="32"/>
          <w:szCs w:val="32"/>
          <w:shd w:val="clear" w:color="auto" w:fill="FFFFFF"/>
        </w:rPr>
        <w:t>辆，公务车保有量为</w:t>
      </w:r>
      <w:r>
        <w:rPr>
          <w:rFonts w:hint="eastAsia" w:ascii="Times New Roman" w:hAnsi="Times New Roman" w:eastAsia="方正仿宋_GBK" w:cs="方正仿宋_GBK"/>
          <w:b w:val="0"/>
          <w:bCs/>
          <w:sz w:val="32"/>
          <w:szCs w:val="32"/>
        </w:rPr>
        <w:t>0</w:t>
      </w:r>
      <w:r>
        <w:rPr>
          <w:rFonts w:hint="eastAsia" w:ascii="Times New Roman" w:hAnsi="Times New Roman" w:eastAsia="方正仿宋_GBK" w:cs="方正仿宋_GBK"/>
          <w:b w:val="0"/>
          <w:bCs/>
          <w:sz w:val="32"/>
          <w:szCs w:val="32"/>
          <w:shd w:val="clear" w:color="auto" w:fill="FFFFFF"/>
        </w:rPr>
        <w:t>辆；国内公务接待</w:t>
      </w:r>
      <w:r>
        <w:rPr>
          <w:rFonts w:hint="eastAsia" w:ascii="Times New Roman" w:hAnsi="Times New Roman" w:eastAsia="方正仿宋_GBK" w:cs="方正仿宋_GBK"/>
          <w:b w:val="0"/>
          <w:bCs/>
          <w:sz w:val="32"/>
          <w:szCs w:val="32"/>
        </w:rPr>
        <w:t>0</w:t>
      </w:r>
      <w:r>
        <w:rPr>
          <w:rFonts w:hint="eastAsia" w:ascii="Times New Roman" w:hAnsi="Times New Roman" w:eastAsia="方正仿宋_GBK" w:cs="方正仿宋_GBK"/>
          <w:b w:val="0"/>
          <w:bCs/>
          <w:sz w:val="32"/>
          <w:szCs w:val="32"/>
          <w:shd w:val="clear" w:color="auto" w:fill="FFFFFF"/>
        </w:rPr>
        <w:t>批次</w:t>
      </w:r>
      <w:r>
        <w:rPr>
          <w:rFonts w:hint="eastAsia" w:ascii="Times New Roman" w:hAnsi="Times New Roman" w:eastAsia="方正仿宋_GBK" w:cs="方正仿宋_GBK"/>
          <w:b w:val="0"/>
          <w:bCs/>
          <w:sz w:val="32"/>
          <w:szCs w:val="32"/>
        </w:rPr>
        <w:t>0</w:t>
      </w:r>
      <w:r>
        <w:rPr>
          <w:rFonts w:hint="eastAsia" w:ascii="Times New Roman" w:hAnsi="Times New Roman" w:eastAsia="方正仿宋_GBK" w:cs="方正仿宋_GBK"/>
          <w:b w:val="0"/>
          <w:bCs/>
          <w:sz w:val="32"/>
          <w:szCs w:val="32"/>
          <w:shd w:val="clear" w:color="auto" w:fill="FFFFFF"/>
        </w:rPr>
        <w:t>人，其中：国内外事接待</w:t>
      </w:r>
      <w:r>
        <w:rPr>
          <w:rFonts w:hint="eastAsia" w:ascii="Times New Roman" w:hAnsi="Times New Roman" w:eastAsia="方正仿宋_GBK" w:cs="方正仿宋_GBK"/>
          <w:b w:val="0"/>
          <w:bCs/>
          <w:sz w:val="32"/>
          <w:szCs w:val="32"/>
        </w:rPr>
        <w:t>0</w:t>
      </w:r>
      <w:r>
        <w:rPr>
          <w:rFonts w:hint="eastAsia" w:ascii="Times New Roman" w:hAnsi="Times New Roman" w:eastAsia="方正仿宋_GBK" w:cs="方正仿宋_GBK"/>
          <w:b w:val="0"/>
          <w:bCs/>
          <w:sz w:val="32"/>
          <w:szCs w:val="32"/>
          <w:shd w:val="clear" w:color="auto" w:fill="FFFFFF"/>
        </w:rPr>
        <w:t>批次，</w:t>
      </w:r>
      <w:r>
        <w:rPr>
          <w:rFonts w:hint="eastAsia" w:ascii="Times New Roman" w:hAnsi="Times New Roman" w:eastAsia="方正仿宋_GBK" w:cs="方正仿宋_GBK"/>
          <w:b w:val="0"/>
          <w:bCs/>
          <w:sz w:val="32"/>
          <w:szCs w:val="32"/>
        </w:rPr>
        <w:t>0</w:t>
      </w:r>
      <w:r>
        <w:rPr>
          <w:rFonts w:hint="eastAsia" w:ascii="Times New Roman" w:hAnsi="Times New Roman" w:eastAsia="方正仿宋_GBK" w:cs="方正仿宋_GBK"/>
          <w:b w:val="0"/>
          <w:bCs/>
          <w:sz w:val="32"/>
          <w:szCs w:val="32"/>
          <w:shd w:val="clear" w:color="auto" w:fill="FFFFFF"/>
        </w:rPr>
        <w:t>人；国（境）外公务接待</w:t>
      </w:r>
      <w:r>
        <w:rPr>
          <w:rFonts w:hint="eastAsia" w:ascii="Times New Roman" w:hAnsi="Times New Roman" w:eastAsia="方正仿宋_GBK" w:cs="方正仿宋_GBK"/>
          <w:b w:val="0"/>
          <w:bCs/>
          <w:sz w:val="32"/>
          <w:szCs w:val="32"/>
        </w:rPr>
        <w:t>0</w:t>
      </w:r>
      <w:r>
        <w:rPr>
          <w:rFonts w:hint="eastAsia" w:ascii="Times New Roman" w:hAnsi="Times New Roman" w:eastAsia="方正仿宋_GBK" w:cs="方正仿宋_GBK"/>
          <w:b w:val="0"/>
          <w:bCs/>
          <w:sz w:val="32"/>
          <w:szCs w:val="32"/>
          <w:shd w:val="clear" w:color="auto" w:fill="FFFFFF"/>
        </w:rPr>
        <w:t>批次，</w:t>
      </w:r>
      <w:r>
        <w:rPr>
          <w:rFonts w:hint="eastAsia" w:ascii="Times New Roman" w:hAnsi="Times New Roman" w:eastAsia="方正仿宋_GBK" w:cs="方正仿宋_GBK"/>
          <w:b w:val="0"/>
          <w:bCs/>
          <w:sz w:val="32"/>
          <w:szCs w:val="32"/>
        </w:rPr>
        <w:t>0</w:t>
      </w:r>
      <w:r>
        <w:rPr>
          <w:rFonts w:hint="eastAsia" w:ascii="Times New Roman" w:hAnsi="Times New Roman" w:eastAsia="方正仿宋_GBK" w:cs="方正仿宋_GBK"/>
          <w:b w:val="0"/>
          <w:bCs/>
          <w:sz w:val="32"/>
          <w:szCs w:val="32"/>
          <w:shd w:val="clear" w:color="auto" w:fill="FFFFFF"/>
        </w:rPr>
        <w:t>人。</w:t>
      </w:r>
      <w:r>
        <w:rPr>
          <w:rFonts w:hint="eastAsia" w:ascii="Times New Roman" w:hAnsi="Times New Roman" w:eastAsia="方正仿宋_GBK" w:cs="方正仿宋_GBK"/>
          <w:b w:val="0"/>
          <w:bCs/>
          <w:sz w:val="32"/>
          <w:szCs w:val="32"/>
          <w:shd w:val="clear" w:color="auto" w:fill="FFFFFF"/>
          <w:lang w:eastAsia="zh-CN"/>
        </w:rPr>
        <w:t>2024年</w:t>
      </w:r>
      <w:r>
        <w:rPr>
          <w:rFonts w:hint="eastAsia" w:ascii="Times New Roman" w:hAnsi="Times New Roman" w:eastAsia="方正仿宋_GBK" w:cs="方正仿宋_GBK"/>
          <w:b w:val="0"/>
          <w:bCs/>
          <w:sz w:val="32"/>
          <w:szCs w:val="32"/>
          <w:shd w:val="clear" w:color="auto" w:fill="FFFFFF"/>
        </w:rPr>
        <w:t>本单位人均接待费</w:t>
      </w:r>
      <w:r>
        <w:rPr>
          <w:rFonts w:hint="eastAsia" w:ascii="Times New Roman" w:hAnsi="Times New Roman" w:eastAsia="方正仿宋_GBK" w:cs="方正仿宋_GBK"/>
          <w:b w:val="0"/>
          <w:bCs/>
          <w:sz w:val="32"/>
          <w:szCs w:val="32"/>
        </w:rPr>
        <w:t>0</w:t>
      </w:r>
      <w:r>
        <w:rPr>
          <w:rFonts w:hint="eastAsia" w:ascii="Times New Roman" w:hAnsi="Times New Roman" w:eastAsia="方正仿宋_GBK" w:cs="方正仿宋_GBK"/>
          <w:b w:val="0"/>
          <w:bCs/>
          <w:sz w:val="32"/>
          <w:szCs w:val="32"/>
          <w:shd w:val="clear" w:color="auto" w:fill="FFFFFF"/>
        </w:rPr>
        <w:t>元，车均购置费</w:t>
      </w:r>
      <w:r>
        <w:rPr>
          <w:rFonts w:hint="eastAsia" w:ascii="Times New Roman" w:hAnsi="Times New Roman" w:eastAsia="方正仿宋_GBK" w:cs="方正仿宋_GBK"/>
          <w:b w:val="0"/>
          <w:bCs/>
          <w:sz w:val="32"/>
          <w:szCs w:val="32"/>
        </w:rPr>
        <w:t>0</w:t>
      </w:r>
      <w:r>
        <w:rPr>
          <w:rFonts w:hint="eastAsia" w:ascii="Times New Roman" w:hAnsi="Times New Roman" w:eastAsia="方正仿宋_GBK" w:cs="方正仿宋_GBK"/>
          <w:b w:val="0"/>
          <w:bCs/>
          <w:sz w:val="32"/>
          <w:szCs w:val="32"/>
          <w:shd w:val="clear" w:color="auto" w:fill="FFFFFF"/>
        </w:rPr>
        <w:t>万元，车均维护费</w:t>
      </w:r>
      <w:r>
        <w:rPr>
          <w:rFonts w:hint="eastAsia" w:ascii="Times New Roman" w:hAnsi="Times New Roman" w:eastAsia="方正仿宋_GBK" w:cs="方正仿宋_GBK"/>
          <w:b w:val="0"/>
          <w:bCs/>
          <w:sz w:val="32"/>
          <w:szCs w:val="32"/>
        </w:rPr>
        <w:t>0</w:t>
      </w:r>
      <w:r>
        <w:rPr>
          <w:rFonts w:hint="eastAsia" w:ascii="Times New Roman" w:hAnsi="Times New Roman" w:eastAsia="方正仿宋_GBK" w:cs="方正仿宋_GBK"/>
          <w:b w:val="0"/>
          <w:bCs/>
          <w:sz w:val="32"/>
          <w:szCs w:val="32"/>
          <w:shd w:val="clear" w:color="auto" w:fill="FFFFFF"/>
        </w:rPr>
        <w:t>万元。</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eastAsia"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四、其他需要说明的事项</w:t>
      </w:r>
    </w:p>
    <w:p>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（一）财政拨款会议费和培训费情况说明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sz w:val="32"/>
          <w:szCs w:val="32"/>
        </w:rPr>
      </w:pPr>
      <w:r>
        <w:rPr>
          <w:rFonts w:ascii="Times New Roman" w:hAnsi="Times New Roman" w:eastAsia="方正仿宋_GBK" w:cs="方正仿宋_GBK"/>
          <w:b w:val="0"/>
          <w:bCs w:val="0"/>
          <w:sz w:val="32"/>
          <w:szCs w:val="32"/>
          <w:shd w:val="clear" w:color="auto" w:fill="FFFFFF"/>
        </w:rPr>
        <w:t>本年度会议费支出</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万元，与2023年度相比，无增减，主要原因是</w:t>
      </w:r>
      <w:r>
        <w:rPr>
          <w:rFonts w:hint="eastAsia" w:ascii="Times New Roman" w:hAnsi="Times New Roman" w:eastAsia="方正仿宋_GBK" w:cs="方正仿宋_GBK"/>
          <w:b w:val="0"/>
          <w:bCs w:val="0"/>
          <w:sz w:val="32"/>
          <w:szCs w:val="32"/>
          <w:shd w:val="clear" w:color="auto" w:fill="FFFFFF"/>
          <w:lang w:val="en-US" w:eastAsia="zh-CN"/>
        </w:rPr>
        <w:t>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val="en-US" w:eastAsia="zh-CN"/>
        </w:rPr>
        <w:t>。</w:t>
      </w:r>
      <w:r>
        <w:rPr>
          <w:rFonts w:hint="eastAsia" w:ascii="Times New Roman" w:hAnsi="Times New Roman" w:eastAsia="方正仿宋_GBK" w:cs="方正仿宋_GBK"/>
          <w:b w:val="0"/>
          <w:bCs/>
          <w:sz w:val="32"/>
          <w:szCs w:val="32"/>
          <w:shd w:val="clear" w:color="auto" w:fill="FFFFFF"/>
        </w:rPr>
        <w:t>本年度培训费支出</w:t>
      </w:r>
      <w:r>
        <w:rPr>
          <w:rFonts w:hint="eastAsia" w:ascii="Times New Roman" w:hAnsi="Times New Roman" w:eastAsia="方正仿宋_GBK" w:cs="方正仿宋_GBK"/>
          <w:b w:val="0"/>
          <w:bCs/>
          <w:sz w:val="32"/>
          <w:szCs w:val="32"/>
        </w:rPr>
        <w:t>1.23</w:t>
      </w:r>
      <w:r>
        <w:rPr>
          <w:rFonts w:hint="eastAsia" w:ascii="Times New Roman" w:hAnsi="Times New Roman" w:eastAsia="方正仿宋_GBK" w:cs="方正仿宋_GBK"/>
          <w:b w:val="0"/>
          <w:bCs/>
          <w:sz w:val="32"/>
          <w:szCs w:val="32"/>
          <w:shd w:val="clear" w:color="auto" w:fill="FFFFFF"/>
        </w:rPr>
        <w:t>万元，与2023年度相比，增加1.23万元，增长100.0%，主要原因是我单位</w:t>
      </w:r>
      <w:r>
        <w:rPr>
          <w:rFonts w:hint="eastAsia" w:ascii="Times New Roman" w:hAnsi="Times New Roman" w:eastAsia="方正仿宋_GBK" w:cs="方正仿宋_GBK"/>
          <w:b w:val="0"/>
          <w:bCs/>
          <w:sz w:val="32"/>
          <w:szCs w:val="32"/>
          <w:shd w:val="clear" w:color="auto" w:fill="FFFFFF"/>
          <w:lang w:val="en-US" w:eastAsia="zh-CN"/>
        </w:rPr>
        <w:t>2024年职工转岗培训人次增多，培训费用增加，且我单位</w:t>
      </w:r>
      <w:r>
        <w:rPr>
          <w:rFonts w:hint="eastAsia" w:ascii="Times New Roman" w:hAnsi="Times New Roman" w:eastAsia="方正仿宋_GBK" w:cs="方正仿宋_GBK"/>
          <w:b w:val="0"/>
          <w:bCs/>
          <w:sz w:val="32"/>
          <w:szCs w:val="32"/>
          <w:shd w:val="clear" w:color="auto" w:fill="FFFFFF"/>
        </w:rPr>
        <w:t>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widowControl w:val="0"/>
        <w:shd w:val="clear" w:color="auto" w:fill="FFFFFF"/>
        <w:kinsoku/>
        <w:wordWrap/>
        <w:overflowPunct/>
        <w:topLinePunct w:val="0"/>
        <w:autoSpaceDN/>
        <w:bidi w:val="0"/>
        <w:adjustRightInd/>
        <w:snapToGri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（二）机关运行经费情况说明</w:t>
      </w:r>
    </w:p>
    <w:p>
      <w:pPr>
        <w:pStyle w:val="11"/>
        <w:keepNext w:val="0"/>
        <w:keepLines w:val="0"/>
        <w:pageBreakBefore w:val="0"/>
        <w:widowControl w:val="0"/>
        <w:kinsoku/>
        <w:wordWrap/>
        <w:overflowPunct/>
        <w:topLinePunct w:val="0"/>
        <w:autoSpaceDE w:val="0"/>
        <w:autoSpaceDN/>
        <w:bidi w:val="0"/>
        <w:adjustRightInd/>
        <w:snapToGrid/>
        <w:spacing w:beforeAutospacing="0" w:afterAutospacing="0" w:line="578" w:lineRule="exact"/>
        <w:ind w:firstLine="643"/>
        <w:textAlignment w:val="auto"/>
        <w:rPr>
          <w:rFonts w:hint="eastAsia" w:ascii="Times New Roman" w:hAnsi="Times New Roman" w:eastAsia="方正仿宋_GBK" w:cs="方正仿宋_GBK"/>
          <w:b w:val="0"/>
          <w:bCs/>
          <w:color w:val="auto"/>
          <w:sz w:val="32"/>
          <w:szCs w:val="32"/>
        </w:rPr>
      </w:pPr>
      <w:r>
        <w:rPr>
          <w:rFonts w:hint="default" w:ascii="Times New Roman" w:hAnsi="Times New Roman" w:eastAsia="方正仿宋_GBK" w:cs="方正仿宋_GBK"/>
          <w:b w:val="0"/>
          <w:bCs/>
          <w:sz w:val="32"/>
          <w:szCs w:val="32"/>
          <w:shd w:val="clear" w:color="auto" w:fill="FFFFFF"/>
        </w:rPr>
        <w:t>2024年度本单位机关运行经费支出0.00万元，机关运行经费较上年支出数无增减，主要原因是</w:t>
      </w:r>
      <w:r>
        <w:rPr>
          <w:rFonts w:ascii="Times New Roman" w:hAnsi="Times New Roman" w:eastAsia="方正仿宋_GBK" w:cs="方正仿宋_GBK"/>
          <w:b w:val="0"/>
          <w:bCs w:val="0"/>
          <w:sz w:val="32"/>
          <w:szCs w:val="32"/>
          <w:shd w:val="clear" w:color="auto" w:fill="FFFFFF"/>
        </w:rPr>
        <w:t>我单位为2024年新设置预算单位，无法与上年同期数进行比较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（三）国有资产占用情况说明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sz w:val="32"/>
          <w:szCs w:val="32"/>
        </w:rPr>
      </w:pPr>
      <w:r>
        <w:rPr>
          <w:rFonts w:hint="eastAsia" w:ascii="Times New Roman" w:hAnsi="Times New Roman" w:eastAsia="方正仿宋_GBK" w:cs="方正仿宋_GBK"/>
          <w:b w:val="0"/>
          <w:bCs/>
          <w:sz w:val="32"/>
          <w:szCs w:val="32"/>
          <w:shd w:val="clear" w:color="auto" w:fill="FFFFFF"/>
        </w:rPr>
        <w:t>截至</w:t>
      </w:r>
      <w:r>
        <w:rPr>
          <w:rFonts w:hint="eastAsia" w:ascii="Times New Roman" w:hAnsi="Times New Roman" w:eastAsia="方正仿宋_GBK" w:cs="方正仿宋_GBK"/>
          <w:b w:val="0"/>
          <w:bCs/>
          <w:sz w:val="32"/>
          <w:szCs w:val="32"/>
          <w:shd w:val="clear" w:color="auto" w:fill="FFFFFF"/>
          <w:lang w:eastAsia="zh-CN"/>
        </w:rPr>
        <w:t>2024年</w:t>
      </w:r>
      <w:r>
        <w:rPr>
          <w:rFonts w:hint="eastAsia" w:ascii="Times New Roman" w:hAnsi="Times New Roman" w:eastAsia="方正仿宋_GBK" w:cs="方正仿宋_GBK"/>
          <w:b w:val="0"/>
          <w:bCs/>
          <w:sz w:val="32"/>
          <w:szCs w:val="32"/>
          <w:shd w:val="clear" w:color="auto" w:fill="FFFFFF"/>
        </w:rPr>
        <w:t>12月31日，本单位共有车辆</w:t>
      </w:r>
      <w:r>
        <w:rPr>
          <w:rFonts w:hint="eastAsia" w:ascii="Times New Roman" w:hAnsi="Times New Roman" w:eastAsia="方正仿宋_GBK" w:cs="方正仿宋_GBK"/>
          <w:b w:val="0"/>
          <w:bCs/>
          <w:sz w:val="32"/>
          <w:szCs w:val="32"/>
        </w:rPr>
        <w:t>0</w:t>
      </w:r>
      <w:r>
        <w:rPr>
          <w:rFonts w:hint="eastAsia" w:ascii="Times New Roman" w:hAnsi="Times New Roman" w:eastAsia="方正仿宋_GBK" w:cs="方正仿宋_GBK"/>
          <w:b w:val="0"/>
          <w:bCs/>
          <w:sz w:val="32"/>
          <w:szCs w:val="32"/>
          <w:shd w:val="clear" w:color="auto" w:fill="FFFFFF"/>
        </w:rPr>
        <w:t>辆，其中，副部（省）级及以上领导用车</w:t>
      </w:r>
      <w:r>
        <w:rPr>
          <w:rFonts w:hint="eastAsia" w:ascii="Times New Roman" w:hAnsi="Times New Roman" w:eastAsia="方正仿宋_GBK" w:cs="方正仿宋_GBK"/>
          <w:b w:val="0"/>
          <w:bCs/>
          <w:sz w:val="32"/>
          <w:szCs w:val="32"/>
        </w:rPr>
        <w:t>0</w:t>
      </w:r>
      <w:r>
        <w:rPr>
          <w:rFonts w:hint="eastAsia" w:ascii="Times New Roman" w:hAnsi="Times New Roman" w:eastAsia="方正仿宋_GBK" w:cs="方正仿宋_GBK"/>
          <w:b w:val="0"/>
          <w:bCs/>
          <w:sz w:val="32"/>
          <w:szCs w:val="32"/>
          <w:shd w:val="clear" w:color="auto" w:fill="FFFFFF"/>
        </w:rPr>
        <w:t>辆、主要负责人用车</w:t>
      </w:r>
      <w:r>
        <w:rPr>
          <w:rFonts w:hint="eastAsia" w:ascii="Times New Roman" w:hAnsi="Times New Roman" w:eastAsia="方正仿宋_GBK" w:cs="方正仿宋_GBK"/>
          <w:b w:val="0"/>
          <w:bCs/>
          <w:sz w:val="32"/>
          <w:szCs w:val="32"/>
        </w:rPr>
        <w:t>0</w:t>
      </w:r>
      <w:r>
        <w:rPr>
          <w:rFonts w:hint="eastAsia" w:ascii="Times New Roman" w:hAnsi="Times New Roman" w:eastAsia="方正仿宋_GBK" w:cs="方正仿宋_GBK"/>
          <w:b w:val="0"/>
          <w:bCs/>
          <w:sz w:val="32"/>
          <w:szCs w:val="32"/>
          <w:shd w:val="clear" w:color="auto" w:fill="FFFFFF"/>
        </w:rPr>
        <w:t>辆、机要通信用车</w:t>
      </w:r>
      <w:r>
        <w:rPr>
          <w:rFonts w:hint="eastAsia" w:ascii="Times New Roman" w:hAnsi="Times New Roman" w:eastAsia="方正仿宋_GBK" w:cs="方正仿宋_GBK"/>
          <w:b w:val="0"/>
          <w:bCs/>
          <w:sz w:val="32"/>
          <w:szCs w:val="32"/>
        </w:rPr>
        <w:t>0</w:t>
      </w:r>
      <w:r>
        <w:rPr>
          <w:rFonts w:hint="eastAsia" w:ascii="Times New Roman" w:hAnsi="Times New Roman" w:eastAsia="方正仿宋_GBK" w:cs="方正仿宋_GBK"/>
          <w:b w:val="0"/>
          <w:bCs/>
          <w:sz w:val="32"/>
          <w:szCs w:val="32"/>
          <w:shd w:val="clear" w:color="auto" w:fill="FFFFFF"/>
        </w:rPr>
        <w:t>辆、应急保障用车</w:t>
      </w:r>
      <w:r>
        <w:rPr>
          <w:rFonts w:hint="eastAsia" w:ascii="Times New Roman" w:hAnsi="Times New Roman" w:eastAsia="方正仿宋_GBK" w:cs="方正仿宋_GBK"/>
          <w:b w:val="0"/>
          <w:bCs/>
          <w:sz w:val="32"/>
          <w:szCs w:val="32"/>
        </w:rPr>
        <w:t>0</w:t>
      </w:r>
      <w:r>
        <w:rPr>
          <w:rFonts w:hint="eastAsia" w:ascii="Times New Roman" w:hAnsi="Times New Roman" w:eastAsia="方正仿宋_GBK" w:cs="方正仿宋_GBK"/>
          <w:b w:val="0"/>
          <w:bCs/>
          <w:sz w:val="32"/>
          <w:szCs w:val="32"/>
          <w:shd w:val="clear" w:color="auto" w:fill="FFFFFF"/>
        </w:rPr>
        <w:t>辆、执法执勤用车</w:t>
      </w:r>
      <w:r>
        <w:rPr>
          <w:rFonts w:hint="eastAsia" w:ascii="Times New Roman" w:hAnsi="Times New Roman" w:eastAsia="方正仿宋_GBK" w:cs="方正仿宋_GBK"/>
          <w:b w:val="0"/>
          <w:bCs/>
          <w:sz w:val="32"/>
          <w:szCs w:val="32"/>
        </w:rPr>
        <w:t>0</w:t>
      </w:r>
      <w:r>
        <w:rPr>
          <w:rFonts w:hint="eastAsia" w:ascii="Times New Roman" w:hAnsi="Times New Roman" w:eastAsia="方正仿宋_GBK" w:cs="方正仿宋_GBK"/>
          <w:b w:val="0"/>
          <w:bCs/>
          <w:sz w:val="32"/>
          <w:szCs w:val="32"/>
          <w:shd w:val="clear" w:color="auto" w:fill="FFFFFF"/>
        </w:rPr>
        <w:t>辆，特种专业技术用车</w:t>
      </w:r>
      <w:r>
        <w:rPr>
          <w:rFonts w:hint="eastAsia" w:ascii="Times New Roman" w:hAnsi="Times New Roman" w:eastAsia="方正仿宋_GBK" w:cs="方正仿宋_GBK"/>
          <w:b w:val="0"/>
          <w:bCs/>
          <w:sz w:val="32"/>
          <w:szCs w:val="32"/>
        </w:rPr>
        <w:t>0</w:t>
      </w:r>
      <w:r>
        <w:rPr>
          <w:rFonts w:hint="eastAsia" w:ascii="Times New Roman" w:hAnsi="Times New Roman" w:eastAsia="方正仿宋_GBK" w:cs="方正仿宋_GBK"/>
          <w:b w:val="0"/>
          <w:bCs/>
          <w:sz w:val="32"/>
          <w:szCs w:val="32"/>
          <w:shd w:val="clear" w:color="auto" w:fill="FFFFFF"/>
        </w:rPr>
        <w:t>辆，离退休干部用车</w:t>
      </w:r>
      <w:r>
        <w:rPr>
          <w:rFonts w:hint="eastAsia" w:ascii="Times New Roman" w:hAnsi="Times New Roman" w:eastAsia="方正仿宋_GBK" w:cs="方正仿宋_GBK"/>
          <w:b w:val="0"/>
          <w:bCs/>
          <w:sz w:val="32"/>
          <w:szCs w:val="32"/>
        </w:rPr>
        <w:t>0</w:t>
      </w:r>
      <w:r>
        <w:rPr>
          <w:rFonts w:hint="eastAsia" w:ascii="Times New Roman" w:hAnsi="Times New Roman" w:eastAsia="方正仿宋_GBK" w:cs="方正仿宋_GBK"/>
          <w:b w:val="0"/>
          <w:bCs/>
          <w:sz w:val="32"/>
          <w:szCs w:val="32"/>
          <w:shd w:val="clear" w:color="auto" w:fill="FFFFFF"/>
        </w:rPr>
        <w:t>辆。单价100万元（含）以上专用设备</w:t>
      </w:r>
      <w:r>
        <w:rPr>
          <w:rFonts w:hint="eastAsia" w:ascii="Times New Roman" w:hAnsi="Times New Roman" w:eastAsia="方正仿宋_GBK" w:cs="方正仿宋_GBK"/>
          <w:b w:val="0"/>
          <w:bCs/>
          <w:sz w:val="32"/>
          <w:szCs w:val="32"/>
        </w:rPr>
        <w:t>0</w:t>
      </w:r>
      <w:r>
        <w:rPr>
          <w:rFonts w:hint="eastAsia" w:ascii="Times New Roman" w:hAnsi="Times New Roman" w:eastAsia="方正仿宋_GBK" w:cs="方正仿宋_GBK"/>
          <w:b w:val="0"/>
          <w:bCs/>
          <w:sz w:val="32"/>
          <w:szCs w:val="32"/>
          <w:shd w:val="clear" w:color="auto" w:fill="FFFFFF"/>
        </w:rPr>
        <w:t>台（套）。</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（四）政府采购支出情况说明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color w:val="auto"/>
          <w:sz w:val="32"/>
          <w:szCs w:val="32"/>
          <w:shd w:val="clear" w:color="auto" w:fill="FFFFFF"/>
          <w:lang w:val="en-US" w:eastAsia="zh-CN" w:bidi="ar-SA"/>
        </w:rPr>
      </w:pPr>
      <w:r>
        <w:rPr>
          <w:rFonts w:hint="eastAsia" w:ascii="Times New Roman" w:hAnsi="Times New Roman" w:eastAsia="方正仿宋_GBK" w:cs="方正仿宋_GBK"/>
          <w:b w:val="0"/>
          <w:bCs/>
          <w:color w:val="auto"/>
          <w:sz w:val="32"/>
          <w:szCs w:val="32"/>
          <w:shd w:val="clear" w:color="auto" w:fill="FFFFFF"/>
          <w:lang w:val="en-US" w:eastAsia="zh-CN" w:bidi="ar-SA"/>
        </w:rPr>
        <w:t>2024年度我单位未发生政府采购事项，无相关经费支出。</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eastAsia"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五、2024年度预算绩效管理情况说明</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（一）单位自评情况</w:t>
      </w:r>
    </w:p>
    <w:p>
      <w:pPr>
        <w:pStyle w:val="12"/>
        <w:keepNext w:val="0"/>
        <w:keepLines w:val="0"/>
        <w:pageBreakBefore w:val="0"/>
        <w:widowControl/>
        <w:kinsoku/>
        <w:wordWrap/>
        <w:overflowPunct/>
        <w:topLinePunct w:val="0"/>
        <w:autoSpaceDE w:val="0"/>
        <w:autoSpaceDN/>
        <w:bidi w:val="0"/>
        <w:adjustRightInd/>
        <w:snapToGrid/>
        <w:spacing w:before="0" w:beforeAutospacing="0" w:afterAutospacing="0" w:line="578" w:lineRule="exact"/>
        <w:ind w:firstLine="640" w:firstLineChars="200"/>
        <w:textAlignment w:val="auto"/>
        <w:rPr>
          <w:rFonts w:hint="eastAsia" w:ascii="Times New Roman" w:hAnsi="Times New Roman" w:eastAsia="方正仿宋_GBK" w:cs="方正仿宋_GBK"/>
          <w:b w:val="0"/>
          <w:bCs/>
          <w:sz w:val="32"/>
          <w:szCs w:val="32"/>
          <w:highlight w:val="yellow"/>
          <w:shd w:val="clear" w:color="auto" w:fill="FFFFFF"/>
          <w:lang w:val="en-US" w:eastAsia="zh-CN"/>
        </w:rPr>
      </w:pPr>
      <w:r>
        <w:rPr>
          <w:rFonts w:hint="eastAsia" w:ascii="Times New Roman" w:hAnsi="Times New Roman" w:eastAsia="方正仿宋_GBK" w:cs="方正仿宋_GBK"/>
          <w:b w:val="0"/>
          <w:bCs w:val="0"/>
          <w:sz w:val="32"/>
          <w:szCs w:val="32"/>
          <w:shd w:val="clear" w:color="auto" w:fill="FFFFFF"/>
          <w:lang w:val="en-US" w:eastAsia="zh-CN" w:bidi="ar-SA"/>
        </w:rPr>
        <w:t>根据预算绩效管理要求，我单位经费支出属于人员经费，无项目经费支出，不进行项目预算绩效管理。</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（二）部门绩效评价情况</w:t>
      </w:r>
    </w:p>
    <w:p>
      <w:pPr>
        <w:pStyle w:val="14"/>
        <w:keepNext w:val="0"/>
        <w:keepLines w:val="0"/>
        <w:pageBreakBefore w:val="0"/>
        <w:kinsoku/>
        <w:wordWrap/>
        <w:overflowPunct/>
        <w:topLinePunct w:val="0"/>
        <w:autoSpaceDE w:val="0"/>
        <w:autoSpaceDN/>
        <w:bidi w:val="0"/>
        <w:adjustRightInd/>
        <w:spacing w:beforeAutospacing="0" w:afterAutospacing="0" w:line="578" w:lineRule="exact"/>
        <w:textAlignment w:val="auto"/>
        <w:rPr>
          <w:rFonts w:hint="eastAsia" w:ascii="Times New Roman" w:hAnsi="Times New Roman" w:eastAsia="方正仿宋_GBK" w:cs="方正仿宋_GBK"/>
          <w:b w:val="0"/>
          <w:bCs/>
          <w:sz w:val="32"/>
          <w:szCs w:val="32"/>
          <w:shd w:val="clear" w:color="auto" w:fill="FFFFFF"/>
          <w:lang w:eastAsia="zh-CN"/>
        </w:rPr>
      </w:pPr>
      <w:r>
        <w:rPr>
          <w:rFonts w:hint="eastAsia" w:ascii="Times New Roman" w:hAnsi="Times New Roman" w:eastAsia="方正仿宋_GBK" w:cs="方正仿宋_GBK"/>
          <w:b w:val="0"/>
          <w:bCs/>
          <w:sz w:val="32"/>
          <w:szCs w:val="32"/>
          <w:shd w:val="clear" w:color="auto" w:fill="FFFFFF"/>
        </w:rPr>
        <w:t>我单位</w:t>
      </w:r>
      <w:r>
        <w:rPr>
          <w:rFonts w:hint="eastAsia" w:ascii="Times New Roman" w:hAnsi="Times New Roman" w:eastAsia="方正仿宋_GBK" w:cs="方正仿宋_GBK"/>
          <w:b w:val="0"/>
          <w:bCs/>
          <w:sz w:val="32"/>
          <w:szCs w:val="32"/>
          <w:shd w:val="clear" w:color="auto" w:fill="FFFFFF"/>
          <w:lang w:val="en-US" w:eastAsia="zh-CN"/>
        </w:rPr>
        <w:t>未组织</w:t>
      </w:r>
      <w:r>
        <w:rPr>
          <w:rFonts w:hint="eastAsia" w:ascii="Times New Roman" w:hAnsi="Times New Roman" w:eastAsia="方正仿宋_GBK" w:cs="方正仿宋_GBK"/>
          <w:b w:val="0"/>
          <w:bCs/>
          <w:sz w:val="32"/>
          <w:szCs w:val="32"/>
          <w:shd w:val="clear" w:color="auto" w:fill="FFFFFF"/>
        </w:rPr>
        <w:t>开展绩效评价</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（三）财政绩效评价情况</w:t>
      </w:r>
    </w:p>
    <w:p>
      <w:pPr>
        <w:pStyle w:val="14"/>
        <w:keepNext w:val="0"/>
        <w:keepLines w:val="0"/>
        <w:pageBreakBefore w:val="0"/>
        <w:kinsoku/>
        <w:wordWrap/>
        <w:overflowPunct/>
        <w:topLinePunct w:val="0"/>
        <w:autoSpaceDE w:val="0"/>
        <w:autoSpaceDN/>
        <w:bidi w:val="0"/>
        <w:adjustRightInd/>
        <w:spacing w:beforeAutospacing="0" w:afterAutospacing="0" w:line="578" w:lineRule="exact"/>
        <w:ind w:firstLine="640"/>
        <w:textAlignment w:val="auto"/>
        <w:rPr>
          <w:rFonts w:hint="eastAsia" w:ascii="Times New Roman" w:hAnsi="Times New Roman" w:eastAsia="方正仿宋_GBK" w:cs="方正仿宋_GBK"/>
          <w:b w:val="0"/>
          <w:bCs/>
          <w:sz w:val="32"/>
          <w:szCs w:val="32"/>
          <w:shd w:val="clear" w:color="auto" w:fill="FFFFFF"/>
          <w:lang w:eastAsia="zh-CN"/>
        </w:rPr>
      </w:pPr>
      <w:r>
        <w:rPr>
          <w:rFonts w:hint="eastAsia" w:ascii="Times New Roman" w:hAnsi="Times New Roman" w:eastAsia="方正仿宋_GBK" w:cs="方正仿宋_GBK"/>
          <w:b w:val="0"/>
          <w:bCs/>
          <w:sz w:val="32"/>
          <w:szCs w:val="32"/>
          <w:shd w:val="clear" w:color="auto" w:fill="FFFFFF"/>
          <w:lang w:val="en-US" w:eastAsia="zh-CN"/>
        </w:rPr>
        <w:t>县</w:t>
      </w:r>
      <w:r>
        <w:rPr>
          <w:rFonts w:hint="eastAsia" w:ascii="Times New Roman" w:hAnsi="Times New Roman" w:eastAsia="方正仿宋_GBK" w:cs="方正仿宋_GBK"/>
          <w:b w:val="0"/>
          <w:bCs/>
          <w:sz w:val="32"/>
          <w:szCs w:val="32"/>
          <w:shd w:val="clear" w:color="auto" w:fill="FFFFFF"/>
        </w:rPr>
        <w:t>财政局未委托第三方对我单位开展绩效评价</w:t>
      </w:r>
      <w:r>
        <w:rPr>
          <w:rFonts w:hint="eastAsia" w:ascii="Times New Roman" w:hAnsi="Times New Roman" w:eastAsia="方正仿宋_GBK" w:cs="方正仿宋_GBK"/>
          <w:b w:val="0"/>
          <w:bCs/>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六、专业名词解释</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（一）财政拨款收入：</w:t>
      </w:r>
      <w:r>
        <w:rPr>
          <w:rFonts w:hint="eastAsia" w:ascii="Times New Roman" w:hAnsi="Times New Roman" w:eastAsia="方正仿宋_GBK" w:cs="方正仿宋_GBK"/>
          <w:b w:val="0"/>
          <w:bCs/>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（二）事业收入：</w:t>
      </w:r>
      <w:r>
        <w:rPr>
          <w:rFonts w:hint="eastAsia" w:ascii="Times New Roman" w:hAnsi="Times New Roman" w:eastAsia="方正仿宋_GBK" w:cs="方正仿宋_GBK"/>
          <w:b w:val="0"/>
          <w:bCs/>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（三）经营收入：</w:t>
      </w:r>
      <w:r>
        <w:rPr>
          <w:rFonts w:hint="eastAsia" w:ascii="Times New Roman" w:hAnsi="Times New Roman" w:eastAsia="方正仿宋_GBK" w:cs="方正仿宋_GBK"/>
          <w:b w:val="0"/>
          <w:bCs/>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（四）其他收入：</w:t>
      </w:r>
      <w:r>
        <w:rPr>
          <w:rFonts w:hint="eastAsia" w:ascii="Times New Roman" w:hAnsi="Times New Roman" w:eastAsia="方正仿宋_GBK" w:cs="方正仿宋_GBK"/>
          <w:b w:val="0"/>
          <w:bCs/>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（五）使用非财政拨款结余：</w:t>
      </w:r>
      <w:r>
        <w:rPr>
          <w:rFonts w:hint="eastAsia" w:ascii="Times New Roman" w:hAnsi="Times New Roman" w:eastAsia="方正仿宋_GBK" w:cs="方正仿宋_GBK"/>
          <w:b w:val="0"/>
          <w:bCs/>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（六）年初结转和结余：</w:t>
      </w:r>
      <w:r>
        <w:rPr>
          <w:rFonts w:hint="eastAsia" w:ascii="Times New Roman" w:hAnsi="Times New Roman" w:eastAsia="方正仿宋_GBK" w:cs="方正仿宋_GBK"/>
          <w:b w:val="0"/>
          <w:bCs/>
          <w:kern w:val="0"/>
          <w:sz w:val="32"/>
          <w:szCs w:val="32"/>
          <w:shd w:val="clear" w:fill="FFFFFF"/>
        </w:rPr>
        <w:t>指单位上年结转本年使用的基本支出结转、项目支出结转和结余、经营结余。</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（七）结余分配：</w:t>
      </w:r>
      <w:r>
        <w:rPr>
          <w:rFonts w:hint="eastAsia" w:ascii="Times New Roman" w:hAnsi="Times New Roman" w:eastAsia="方正仿宋_GBK" w:cs="方正仿宋_GBK"/>
          <w:b w:val="0"/>
          <w:bCs/>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（八）年末结转和结余：</w:t>
      </w:r>
      <w:r>
        <w:rPr>
          <w:rFonts w:hint="eastAsia" w:ascii="Times New Roman" w:hAnsi="Times New Roman" w:eastAsia="方正仿宋_GBK" w:cs="方正仿宋_GBK"/>
          <w:b w:val="0"/>
          <w:bCs/>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（九）基本支出：</w:t>
      </w:r>
      <w:r>
        <w:rPr>
          <w:rFonts w:hint="eastAsia" w:ascii="Times New Roman" w:hAnsi="Times New Roman" w:eastAsia="方正仿宋_GBK" w:cs="方正仿宋_GBK"/>
          <w:b w:val="0"/>
          <w:bCs/>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（十）项目支出：</w:t>
      </w:r>
      <w:r>
        <w:rPr>
          <w:rFonts w:hint="eastAsia" w:ascii="Times New Roman" w:hAnsi="Times New Roman" w:eastAsia="方正仿宋_GBK" w:cs="方正仿宋_GBK"/>
          <w:b w:val="0"/>
          <w:bCs/>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（十一）经营支出：</w:t>
      </w:r>
      <w:r>
        <w:rPr>
          <w:rFonts w:hint="eastAsia" w:ascii="Times New Roman" w:hAnsi="Times New Roman" w:eastAsia="方正仿宋_GBK" w:cs="方正仿宋_GBK"/>
          <w:b w:val="0"/>
          <w:bCs/>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（十二）“三公”经费：</w:t>
      </w:r>
      <w:r>
        <w:rPr>
          <w:rFonts w:hint="eastAsia" w:ascii="Times New Roman" w:hAnsi="Times New Roman" w:eastAsia="方正仿宋_GBK" w:cs="方正仿宋_GBK"/>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（十三）机关运行经费：</w:t>
      </w:r>
      <w:r>
        <w:rPr>
          <w:rFonts w:hint="eastAsia" w:ascii="Times New Roman" w:hAnsi="Times New Roman" w:eastAsia="方正仿宋_GBK" w:cs="方正仿宋_GBK"/>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（十四）工资福利支出（支出经济分类科目类级）：</w:t>
      </w:r>
      <w:r>
        <w:rPr>
          <w:rFonts w:hint="eastAsia" w:ascii="Times New Roman" w:hAnsi="Times New Roman" w:eastAsia="方正仿宋_GBK" w:cs="方正仿宋_GBK"/>
          <w:b w:val="0"/>
          <w:bCs/>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（十五）商品和服务支出（支出经济分类科目类级）：</w:t>
      </w:r>
      <w:r>
        <w:rPr>
          <w:rFonts w:hint="eastAsia" w:ascii="Times New Roman" w:hAnsi="Times New Roman" w:eastAsia="方正仿宋_GBK" w:cs="方正仿宋_GBK"/>
          <w:b w:val="0"/>
          <w:bCs/>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（十六）对个人和家庭的补助（支出经济分类科目类级）：</w:t>
      </w:r>
      <w:r>
        <w:rPr>
          <w:rFonts w:hint="eastAsia" w:ascii="Times New Roman" w:hAnsi="Times New Roman" w:eastAsia="方正仿宋_GBK" w:cs="方正仿宋_GBK"/>
          <w:b w:val="0"/>
          <w:bCs/>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（十七）其他资本性支出（支出经济分类科目类级）：</w:t>
      </w:r>
      <w:r>
        <w:rPr>
          <w:rFonts w:hint="eastAsia" w:ascii="Times New Roman" w:hAnsi="Times New Roman" w:eastAsia="方正仿宋_GBK" w:cs="方正仿宋_GBK"/>
          <w:b w:val="0"/>
          <w:bCs/>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eastAsia"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left="319" w:leftChars="133" w:firstLine="320" w:firstLineChars="100"/>
        <w:textAlignment w:val="auto"/>
        <w:rPr>
          <w:rFonts w:hint="eastAsia" w:ascii="Times New Roman" w:hAnsi="Times New Roman" w:eastAsia="方正仿宋_GBK" w:cs="方正仿宋_GBK"/>
          <w:b w:val="0"/>
          <w:bCs/>
          <w:color w:val="auto"/>
          <w:kern w:val="0"/>
          <w:sz w:val="32"/>
          <w:szCs w:val="32"/>
          <w:shd w:val="clear" w:fill="FFFFFF"/>
          <w:lang w:val="en-US" w:eastAsia="zh-CN"/>
        </w:rPr>
        <w:sectPr>
          <w:headerReference r:id="rId3" w:type="default"/>
          <w:footerReference r:id="rId4" w:type="default"/>
          <w:pgSz w:w="11850" w:h="16783"/>
          <w:pgMar w:top="2098" w:right="1531" w:bottom="1984" w:left="1531" w:header="850" w:footer="1474" w:gutter="0"/>
          <w:pgNumType w:fmt="decimal"/>
          <w:cols w:space="720" w:num="1"/>
          <w:docGrid w:type="lines" w:linePitch="326" w:charSpace="0"/>
        </w:sectPr>
      </w:pPr>
      <w:r>
        <w:rPr>
          <w:rFonts w:hint="eastAsia" w:ascii="Times New Roman" w:hAnsi="Times New Roman" w:eastAsia="方正仿宋_GBK" w:cs="方正仿宋_GBK"/>
          <w:b w:val="0"/>
          <w:bCs/>
          <w:kern w:val="0"/>
          <w:sz w:val="32"/>
          <w:szCs w:val="32"/>
          <w:shd w:val="clear" w:fill="FFFFFF"/>
        </w:rPr>
        <w:t>本单位决算公开信息反馈和联系方式：</w:t>
      </w:r>
      <w:r>
        <w:rPr>
          <w:rFonts w:hint="eastAsia" w:ascii="Times New Roman" w:hAnsi="Times New Roman" w:eastAsia="方正仿宋_GBK" w:cs="方正仿宋_GBK"/>
          <w:b w:val="0"/>
          <w:bCs/>
          <w:color w:val="auto"/>
          <w:kern w:val="0"/>
          <w:sz w:val="32"/>
          <w:szCs w:val="32"/>
          <w:shd w:val="clear" w:fill="FFFFFF"/>
          <w:lang w:val="en-US" w:eastAsia="zh-CN"/>
        </w:rPr>
        <w:t xml:space="preserve">周川洁 </w:t>
      </w:r>
      <w:r>
        <w:rPr>
          <w:rFonts w:hint="eastAsia" w:ascii="Times New Roman" w:hAnsi="Times New Roman" w:eastAsia="方正仿宋_GBK" w:cs="方正仿宋_GBK"/>
          <w:b w:val="0"/>
          <w:bCs/>
          <w:color w:val="auto"/>
          <w:kern w:val="0"/>
          <w:sz w:val="32"/>
          <w:szCs w:val="32"/>
          <w:shd w:val="clear" w:fill="FFFFFF"/>
        </w:rPr>
        <w:t>023-</w:t>
      </w:r>
      <w:r>
        <w:rPr>
          <w:rFonts w:hint="eastAsia" w:ascii="Times New Roman" w:hAnsi="Times New Roman" w:eastAsia="方正仿宋_GBK" w:cs="方正仿宋_GBK"/>
          <w:b w:val="0"/>
          <w:bCs/>
          <w:color w:val="auto"/>
          <w:kern w:val="0"/>
          <w:sz w:val="32"/>
          <w:szCs w:val="32"/>
          <w:shd w:val="clear" w:fill="FFFFFF"/>
          <w:lang w:val="en-US" w:eastAsia="zh-CN"/>
        </w:rPr>
        <w:t>55328010。</w:t>
      </w:r>
    </w:p>
    <w:tbl>
      <w:tblPr>
        <w:tblStyle w:val="7"/>
        <w:tblpPr w:leftFromText="180" w:rightFromText="180" w:vertAnchor="text" w:horzAnchor="page" w:tblpX="1570" w:tblpY="657"/>
        <w:tblOverlap w:val="never"/>
        <w:tblW w:w="4976" w:type="pct"/>
        <w:tblInd w:w="0" w:type="dxa"/>
        <w:tblLayout w:type="autofit"/>
        <w:tblCellMar>
          <w:top w:w="0" w:type="dxa"/>
          <w:left w:w="0" w:type="dxa"/>
          <w:bottom w:w="0" w:type="dxa"/>
          <w:right w:w="0" w:type="dxa"/>
        </w:tblCellMar>
      </w:tblPr>
      <w:tblGrid>
        <w:gridCol w:w="3854"/>
        <w:gridCol w:w="3191"/>
        <w:gridCol w:w="3627"/>
        <w:gridCol w:w="3013"/>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32"/>
                <w:szCs w:val="32"/>
              </w:rPr>
            </w:pPr>
            <w:r>
              <w:rPr>
                <w:rFonts w:hint="eastAsia" w:ascii="方正小标宋_GBK" w:hAnsi="方正小标宋_GBK" w:eastAsia="方正小标宋_GBK" w:cs="方正小标宋_GBK"/>
                <w:b w:val="0"/>
                <w:bCs w:val="0"/>
                <w:color w:val="000000"/>
                <w:sz w:val="40"/>
                <w:szCs w:val="40"/>
              </w:rPr>
              <w:t>收入支出决算总表</w:t>
            </w:r>
          </w:p>
        </w:tc>
      </w:tr>
      <w:tr>
        <w:tblPrEx>
          <w:tblCellMar>
            <w:top w:w="0" w:type="dxa"/>
            <w:left w:w="0" w:type="dxa"/>
            <w:bottom w:w="0" w:type="dxa"/>
            <w:right w:w="0" w:type="dxa"/>
          </w:tblCellMar>
        </w:tblPrEx>
        <w:trPr>
          <w:trHeight w:val="232" w:hRule="atLeast"/>
        </w:trPr>
        <w:tc>
          <w:tcPr>
            <w:tcW w:w="14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6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32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0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公开01表</w:t>
            </w:r>
          </w:p>
        </w:tc>
      </w:tr>
      <w:tr>
        <w:tblPrEx>
          <w:tblCellMar>
            <w:top w:w="0" w:type="dxa"/>
            <w:left w:w="0" w:type="dxa"/>
            <w:bottom w:w="0" w:type="dxa"/>
            <w:right w:w="0" w:type="dxa"/>
          </w:tblCellMar>
        </w:tblPrEx>
        <w:trPr>
          <w:trHeight w:val="232" w:hRule="atLeast"/>
        </w:trPr>
        <w:tc>
          <w:tcPr>
            <w:tcW w:w="257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方正仿宋_GBK"/>
                <w:b w:val="0"/>
                <w:bCs/>
                <w:color w:val="000000"/>
                <w:sz w:val="22"/>
                <w:szCs w:val="22"/>
              </w:rPr>
            </w:pPr>
            <w:r>
              <w:rPr>
                <w:rFonts w:hint="eastAsia" w:ascii="Times New Roman" w:hAnsi="Times New Roman" w:eastAsia="方正仿宋_GBK" w:cs="方正仿宋_GBK"/>
                <w:b w:val="0"/>
                <w:bCs/>
                <w:sz w:val="20"/>
                <w:szCs w:val="20"/>
              </w:rPr>
              <w:t>单位：</w:t>
            </w:r>
            <w:r>
              <w:rPr>
                <w:rFonts w:hint="eastAsia" w:ascii="Times New Roman" w:hAnsi="Times New Roman" w:eastAsia="方正仿宋_GBK" w:cs="方正仿宋_GBK"/>
                <w:b w:val="0"/>
                <w:bCs/>
                <w:sz w:val="20"/>
                <w:u w:color="auto"/>
              </w:rPr>
              <w:t>蔈草镇产业发展服务中心</w:t>
            </w:r>
          </w:p>
        </w:tc>
        <w:tc>
          <w:tcPr>
            <w:tcW w:w="132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2"/>
                <w:szCs w:val="22"/>
              </w:rPr>
            </w:pPr>
          </w:p>
        </w:tc>
        <w:tc>
          <w:tcPr>
            <w:tcW w:w="10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单位：</w:t>
            </w:r>
            <w:r>
              <w:rPr>
                <w:rFonts w:hint="eastAsia" w:ascii="Times New Roman" w:hAnsi="Times New Roman" w:eastAsia="方正仿宋_GBK" w:cs="方正仿宋_GBK"/>
                <w:b w:val="0"/>
                <w:bCs/>
                <w:sz w:val="20"/>
                <w:szCs w:val="20"/>
              </w:rPr>
              <w:t>万元</w:t>
            </w:r>
          </w:p>
        </w:tc>
      </w:tr>
      <w:tr>
        <w:tblPrEx>
          <w:tblCellMar>
            <w:top w:w="0" w:type="dxa"/>
            <w:left w:w="0" w:type="dxa"/>
            <w:bottom w:w="0" w:type="dxa"/>
            <w:right w:w="0" w:type="dxa"/>
          </w:tblCellMar>
        </w:tblPrEx>
        <w:trPr>
          <w:trHeight w:val="243" w:hRule="atLeast"/>
        </w:trPr>
        <w:tc>
          <w:tcPr>
            <w:tcW w:w="25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收入</w:t>
            </w:r>
          </w:p>
        </w:tc>
        <w:tc>
          <w:tcPr>
            <w:tcW w:w="242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支出</w:t>
            </w:r>
          </w:p>
        </w:tc>
      </w:tr>
      <w:tr>
        <w:tblPrEx>
          <w:tblCellMar>
            <w:top w:w="0" w:type="dxa"/>
            <w:left w:w="0" w:type="dxa"/>
            <w:bottom w:w="0" w:type="dxa"/>
            <w:right w:w="0" w:type="dxa"/>
          </w:tblCellMar>
        </w:tblPrEx>
        <w:trPr>
          <w:trHeight w:val="243"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w:t>
            </w:r>
          </w:p>
        </w:tc>
        <w:tc>
          <w:tcPr>
            <w:tcW w:w="11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决算数</w:t>
            </w: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功能分类科目</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决算数</w:t>
            </w:r>
          </w:p>
        </w:tc>
      </w:tr>
      <w:tr>
        <w:tblPrEx>
          <w:tblCellMar>
            <w:top w:w="0" w:type="dxa"/>
            <w:left w:w="0" w:type="dxa"/>
            <w:bottom w:w="0" w:type="dxa"/>
            <w:right w:w="0" w:type="dxa"/>
          </w:tblCellMar>
        </w:tblPrEx>
        <w:trPr>
          <w:trHeight w:val="243"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一、一般公共预算财政拨款收入</w:t>
            </w:r>
          </w:p>
        </w:tc>
        <w:tc>
          <w:tcPr>
            <w:tcW w:w="11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269.37</w:t>
            </w: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一、一般公共服务支出</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68.25</w:t>
            </w:r>
          </w:p>
        </w:tc>
      </w:tr>
      <w:tr>
        <w:tblPrEx>
          <w:tblCellMar>
            <w:top w:w="0" w:type="dxa"/>
            <w:left w:w="0" w:type="dxa"/>
            <w:bottom w:w="0" w:type="dxa"/>
            <w:right w:w="0" w:type="dxa"/>
          </w:tblCellMar>
        </w:tblPrEx>
        <w:trPr>
          <w:trHeight w:val="243"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二、政府性基金预算财政拨款收入</w:t>
            </w:r>
          </w:p>
        </w:tc>
        <w:tc>
          <w:tcPr>
            <w:tcW w:w="11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二、外交支出</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三、国有资本经营预算财政拨款收入</w:t>
            </w:r>
          </w:p>
        </w:tc>
        <w:tc>
          <w:tcPr>
            <w:tcW w:w="11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三、国防支出</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四、上级补助收入</w:t>
            </w:r>
          </w:p>
        </w:tc>
        <w:tc>
          <w:tcPr>
            <w:tcW w:w="11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四、公共安全支出</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五、事业收入</w:t>
            </w:r>
          </w:p>
        </w:tc>
        <w:tc>
          <w:tcPr>
            <w:tcW w:w="11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五、教育支出</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六、经营收入</w:t>
            </w:r>
          </w:p>
        </w:tc>
        <w:tc>
          <w:tcPr>
            <w:tcW w:w="11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六、科学技术支出</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七、附属单位上缴收入</w:t>
            </w:r>
          </w:p>
        </w:tc>
        <w:tc>
          <w:tcPr>
            <w:tcW w:w="11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七、文化旅游体育与传媒支出</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八、其他收入</w:t>
            </w:r>
          </w:p>
        </w:tc>
        <w:tc>
          <w:tcPr>
            <w:tcW w:w="1166" w:type="pct"/>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八、社会保障和就业支出</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76.86</w:t>
            </w:r>
          </w:p>
        </w:tc>
      </w:tr>
      <w:tr>
        <w:tblPrEx>
          <w:tblCellMar>
            <w:top w:w="0" w:type="dxa"/>
            <w:left w:w="0" w:type="dxa"/>
            <w:bottom w:w="0" w:type="dxa"/>
            <w:right w:w="0" w:type="dxa"/>
          </w:tblCellMar>
        </w:tblPrEx>
        <w:trPr>
          <w:trHeight w:val="243"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九、卫生健康支出</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11.71</w:t>
            </w:r>
          </w:p>
        </w:tc>
      </w:tr>
      <w:tr>
        <w:tblPrEx>
          <w:tblCellMar>
            <w:top w:w="0" w:type="dxa"/>
            <w:left w:w="0" w:type="dxa"/>
            <w:bottom w:w="0" w:type="dxa"/>
            <w:right w:w="0" w:type="dxa"/>
          </w:tblCellMar>
        </w:tblPrEx>
        <w:trPr>
          <w:trHeight w:val="243"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十、节能环保支出</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十一、城乡社区支出</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十二、农林水支出</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99.82</w:t>
            </w:r>
          </w:p>
        </w:tc>
      </w:tr>
      <w:tr>
        <w:tblPrEx>
          <w:tblCellMar>
            <w:top w:w="0" w:type="dxa"/>
            <w:left w:w="0" w:type="dxa"/>
            <w:bottom w:w="0" w:type="dxa"/>
            <w:right w:w="0" w:type="dxa"/>
          </w:tblCellMar>
        </w:tblPrEx>
        <w:trPr>
          <w:trHeight w:val="243"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十三、交通运输支出</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十四、资源勘探工业信息等支出</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十五、商业服务业等支出</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十六、金融支出</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十七、援助其他地区支出</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90"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十八、自然资源海洋气象等支出</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十九、住房保障支出</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12.73</w:t>
            </w:r>
          </w:p>
        </w:tc>
      </w:tr>
      <w:tr>
        <w:tblPrEx>
          <w:tblCellMar>
            <w:top w:w="0" w:type="dxa"/>
            <w:left w:w="0" w:type="dxa"/>
            <w:bottom w:w="0" w:type="dxa"/>
            <w:right w:w="0" w:type="dxa"/>
          </w:tblCellMar>
        </w:tblPrEx>
        <w:trPr>
          <w:trHeight w:val="243"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二十、粮油物资储备支出</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二十一、国有资本经营预算支出</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二十二、灾害防治及应急管理支出</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二十三、其他支出</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二十四、债务还本支出</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二十五、债务付息支出</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二十六、抗疫特别国债安排的支出</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本年收入合计</w:t>
            </w:r>
          </w:p>
        </w:tc>
        <w:tc>
          <w:tcPr>
            <w:tcW w:w="11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269.37</w:t>
            </w: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本年支出合计</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269.37</w:t>
            </w:r>
          </w:p>
        </w:tc>
      </w:tr>
      <w:tr>
        <w:tblPrEx>
          <w:tblCellMar>
            <w:top w:w="0" w:type="dxa"/>
            <w:left w:w="0" w:type="dxa"/>
            <w:bottom w:w="0" w:type="dxa"/>
            <w:right w:w="0" w:type="dxa"/>
          </w:tblCellMar>
        </w:tblPrEx>
        <w:trPr>
          <w:trHeight w:val="243"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使用非财政拨款结余和专用结余</w:t>
            </w:r>
          </w:p>
        </w:tc>
        <w:tc>
          <w:tcPr>
            <w:tcW w:w="11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结余分配</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年初结转和结余</w:t>
            </w:r>
          </w:p>
        </w:tc>
        <w:tc>
          <w:tcPr>
            <w:tcW w:w="11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年末结转和结余</w:t>
            </w:r>
          </w:p>
        </w:tc>
        <w:tc>
          <w:tcPr>
            <w:tcW w:w="109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53" w:hRule="atLeast"/>
        </w:trPr>
        <w:tc>
          <w:tcPr>
            <w:tcW w:w="1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总计</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269.37</w:t>
            </w:r>
          </w:p>
        </w:tc>
        <w:tc>
          <w:tcPr>
            <w:tcW w:w="1325"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总计</w:t>
            </w:r>
          </w:p>
        </w:tc>
        <w:tc>
          <w:tcPr>
            <w:tcW w:w="10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269.37</w:t>
            </w:r>
          </w:p>
        </w:tc>
      </w:tr>
    </w:tbl>
    <w:p>
      <w:pPr>
        <w:keepNext w:val="0"/>
        <w:keepLines w:val="0"/>
        <w:pageBreakBefore w:val="0"/>
        <w:widowControl/>
        <w:kinsoku/>
        <w:wordWrap/>
        <w:overflowPunct/>
        <w:topLinePunct w:val="0"/>
        <w:autoSpaceDE/>
        <w:autoSpaceDN/>
        <w:bidi w:val="0"/>
        <w:adjustRightInd/>
        <w:snapToGrid/>
        <w:spacing w:line="240" w:lineRule="auto"/>
        <w:jc w:val="left"/>
        <w:rPr>
          <w:rFonts w:hint="eastAsia" w:ascii="Times New Roman" w:hAnsi="Times New Roman" w:eastAsia="方正仿宋_GBK" w:cs="方正仿宋_GBK"/>
          <w:b w:val="0"/>
          <w:bCs/>
          <w:sz w:val="21"/>
          <w:szCs w:val="21"/>
        </w:rPr>
      </w:pP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Times New Roman" w:hAnsi="Times New Roman" w:eastAsia="方正仿宋_GBK" w:cs="方正仿宋_GBK"/>
          <w:b w:val="0"/>
          <w:bCs/>
          <w:sz w:val="20"/>
          <w:szCs w:val="20"/>
        </w:rPr>
      </w:pPr>
      <w:r>
        <w:rPr>
          <w:rFonts w:hint="eastAsia" w:ascii="Times New Roman" w:hAnsi="Times New Roman" w:eastAsia="方正仿宋_GBK" w:cs="方正仿宋_GBK"/>
          <w:b w:val="0"/>
          <w:bCs/>
          <w:sz w:val="20"/>
          <w:szCs w:val="20"/>
        </w:rPr>
        <w:t>备注：1.本表反映单位本年度的总收支和年末结转结余情况。</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t xml:space="preserve">      2.本套报表金额单位转换时可能存在尾数误差。</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br w:type="textWrapping"/>
      </w:r>
    </w:p>
    <w:tbl>
      <w:tblPr>
        <w:tblStyle w:val="7"/>
        <w:tblW w:w="5011" w:type="pct"/>
        <w:tblInd w:w="0" w:type="dxa"/>
        <w:tblLayout w:type="fixed"/>
        <w:tblCellMar>
          <w:top w:w="0" w:type="dxa"/>
          <w:left w:w="0" w:type="dxa"/>
          <w:bottom w:w="0" w:type="dxa"/>
          <w:right w:w="0" w:type="dxa"/>
        </w:tblCellMar>
      </w:tblPr>
      <w:tblGrid>
        <w:gridCol w:w="1283"/>
        <w:gridCol w:w="2620"/>
        <w:gridCol w:w="1420"/>
        <w:gridCol w:w="1302"/>
        <w:gridCol w:w="1127"/>
        <w:gridCol w:w="1291"/>
        <w:gridCol w:w="1309"/>
        <w:gridCol w:w="1163"/>
        <w:gridCol w:w="1212"/>
        <w:gridCol w:w="105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32"/>
                <w:szCs w:val="32"/>
              </w:rPr>
            </w:pPr>
            <w:r>
              <w:rPr>
                <w:rFonts w:hint="eastAsia" w:ascii="方正小标宋_GBK" w:hAnsi="方正小标宋_GBK" w:eastAsia="方正小标宋_GBK" w:cs="方正小标宋_GBK"/>
                <w:b w:val="0"/>
                <w:bCs w:val="0"/>
                <w:color w:val="000000"/>
                <w:sz w:val="40"/>
                <w:szCs w:val="40"/>
              </w:rPr>
              <w:t>收入决算表</w:t>
            </w:r>
          </w:p>
        </w:tc>
      </w:tr>
      <w:tr>
        <w:tblPrEx>
          <w:tblCellMar>
            <w:top w:w="0" w:type="dxa"/>
            <w:left w:w="0" w:type="dxa"/>
            <w:bottom w:w="0" w:type="dxa"/>
            <w:right w:w="0" w:type="dxa"/>
          </w:tblCellMar>
        </w:tblPrEx>
        <w:trPr>
          <w:trHeight w:val="328" w:hRule="atLeast"/>
        </w:trPr>
        <w:tc>
          <w:tcPr>
            <w:tcW w:w="1931"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sz w:val="20"/>
                <w:szCs w:val="20"/>
              </w:rPr>
              <w:t>单位：</w:t>
            </w:r>
            <w:r>
              <w:rPr>
                <w:rFonts w:hint="eastAsia" w:ascii="Times New Roman" w:hAnsi="Times New Roman" w:eastAsia="方正仿宋_GBK" w:cs="方正仿宋_GBK"/>
                <w:b w:val="0"/>
                <w:bCs/>
                <w:sz w:val="20"/>
                <w:u w:color="auto"/>
              </w:rPr>
              <w:t>蔈草镇产业发展服务中心</w:t>
            </w:r>
          </w:p>
        </w:tc>
        <w:tc>
          <w:tcPr>
            <w:tcW w:w="4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7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2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3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8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公开02表</w:t>
            </w:r>
          </w:p>
        </w:tc>
      </w:tr>
      <w:tr>
        <w:tblPrEx>
          <w:tblCellMar>
            <w:top w:w="0" w:type="dxa"/>
            <w:left w:w="0" w:type="dxa"/>
            <w:bottom w:w="0" w:type="dxa"/>
            <w:right w:w="0" w:type="dxa"/>
          </w:tblCellMar>
        </w:tblPrEx>
        <w:trPr>
          <w:trHeight w:val="328" w:hRule="atLeast"/>
        </w:trPr>
        <w:tc>
          <w:tcPr>
            <w:tcW w:w="1931"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7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2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3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8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单位：</w:t>
            </w:r>
            <w:r>
              <w:rPr>
                <w:rFonts w:hint="eastAsia" w:ascii="Times New Roman" w:hAnsi="Times New Roman" w:eastAsia="方正仿宋_GBK" w:cs="方正仿宋_GBK"/>
                <w:b w:val="0"/>
                <w:bCs/>
                <w:sz w:val="20"/>
                <w:szCs w:val="20"/>
              </w:rPr>
              <w:t>万元</w:t>
            </w:r>
          </w:p>
        </w:tc>
      </w:tr>
      <w:tr>
        <w:tblPrEx>
          <w:tblCellMar>
            <w:top w:w="0" w:type="dxa"/>
            <w:left w:w="0" w:type="dxa"/>
            <w:bottom w:w="0" w:type="dxa"/>
            <w:right w:w="0" w:type="dxa"/>
          </w:tblCellMar>
        </w:tblPrEx>
        <w:trPr>
          <w:trHeight w:val="431" w:hRule="atLeast"/>
        </w:trPr>
        <w:tc>
          <w:tcPr>
            <w:tcW w:w="1415"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本年收入合计</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财政拨款收入</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上级补助收入</w:t>
            </w:r>
          </w:p>
        </w:tc>
        <w:tc>
          <w:tcPr>
            <w:tcW w:w="9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事业收入</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经营收入</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附属单位上缴收入</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其他收入</w:t>
            </w:r>
          </w:p>
        </w:tc>
      </w:tr>
      <w:tr>
        <w:tblPrEx>
          <w:tblCellMar>
            <w:top w:w="0" w:type="dxa"/>
            <w:left w:w="0" w:type="dxa"/>
            <w:bottom w:w="0" w:type="dxa"/>
            <w:right w:w="0" w:type="dxa"/>
          </w:tblCellMar>
        </w:tblPrEx>
        <w:trPr>
          <w:trHeight w:val="334" w:hRule="atLeast"/>
        </w:trPr>
        <w:tc>
          <w:tcPr>
            <w:tcW w:w="465"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功能分类科目编码</w:t>
            </w:r>
          </w:p>
        </w:tc>
        <w:tc>
          <w:tcPr>
            <w:tcW w:w="950"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项目（按“项”级功能分类科目）</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小计</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其中：教育收费</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4" w:hRule="atLeast"/>
        </w:trPr>
        <w:tc>
          <w:tcPr>
            <w:tcW w:w="465"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95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4" w:hRule="atLeast"/>
        </w:trPr>
        <w:tc>
          <w:tcPr>
            <w:tcW w:w="465"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95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4" w:hRule="atLeast"/>
        </w:trPr>
        <w:tc>
          <w:tcPr>
            <w:tcW w:w="465"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95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8" w:hRule="atLeast"/>
        </w:trPr>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合计</w:t>
            </w:r>
          </w:p>
        </w:tc>
        <w:tc>
          <w:tcPr>
            <w:tcW w:w="5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269.37</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269.37</w:t>
            </w:r>
          </w:p>
        </w:tc>
        <w:tc>
          <w:tcPr>
            <w:tcW w:w="4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一般公共服务支出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68.25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68.25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20103</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政府办公厅（室）及相关机构事务</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68.25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68.25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2010350</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事业运行</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68.25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68.25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社会保障和就业支出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76.86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76.86</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行政事业单位养老支出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76.86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76.86</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2080505</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机关事业单位基本养老保险缴费支出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22.43</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2080506</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机关事业单位职业年金缴费支出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35.17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35.17</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2080599</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其他行政事业单位养老支出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19.26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19.26</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卫生健康支出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21011</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行政事业单位医疗</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2101102</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事业单位医疗</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农林水支出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99.82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99.82</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21301</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农业农村</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99.82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99.82</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2130104</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事业运行</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99.82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99.82</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住房保障支出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12.73</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22102</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住房改革支出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12.73</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2210201</w:t>
            </w:r>
          </w:p>
        </w:tc>
        <w:tc>
          <w:tcPr>
            <w:tcW w:w="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住房公积金</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12.73</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bl>
    <w:p>
      <w:pPr>
        <w:keepNext w:val="0"/>
        <w:keepLines w:val="0"/>
        <w:pageBreakBefore w:val="0"/>
        <w:widowControl/>
        <w:kinsoku/>
        <w:wordWrap/>
        <w:overflowPunct/>
        <w:topLinePunct w:val="0"/>
        <w:autoSpaceDE/>
        <w:autoSpaceDN/>
        <w:bidi w:val="0"/>
        <w:adjustRightInd/>
        <w:snapToGrid/>
        <w:spacing w:line="240" w:lineRule="auto"/>
        <w:ind w:left="600" w:hanging="600" w:hangingChars="300"/>
        <w:jc w:val="left"/>
        <w:rPr>
          <w:rFonts w:hint="eastAsia" w:ascii="Times New Roman" w:hAnsi="Times New Roman" w:eastAsia="方正仿宋_GBK" w:cs="方正仿宋_GBK"/>
          <w:b w:val="0"/>
          <w:bCs/>
          <w:sz w:val="20"/>
          <w:szCs w:val="20"/>
        </w:rPr>
      </w:pPr>
      <w:r>
        <w:rPr>
          <w:rFonts w:hint="eastAsia" w:ascii="Times New Roman" w:hAnsi="Times New Roman" w:eastAsia="方正仿宋_GBK" w:cs="方正仿宋_GBK"/>
          <w:b w:val="0"/>
          <w:bCs/>
          <w:sz w:val="20"/>
          <w:szCs w:val="20"/>
        </w:rPr>
        <w:t>备注：1.本表反映单位本年度取得的各项收入情况。</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t>2.本套报表金额单位转换时可能存在尾数误差。</w:t>
      </w:r>
    </w:p>
    <w:p>
      <w:pPr>
        <w:rPr>
          <w:rFonts w:hint="eastAsia" w:ascii="Times New Roman" w:hAnsi="Times New Roman" w:eastAsia="方正仿宋_GBK" w:cs="方正仿宋_GBK"/>
          <w:b w:val="0"/>
          <w:bCs/>
          <w:sz w:val="20"/>
          <w:szCs w:val="20"/>
        </w:rPr>
      </w:pPr>
      <w:r>
        <w:rPr>
          <w:rFonts w:hint="eastAsia" w:ascii="Times New Roman" w:hAnsi="Times New Roman" w:eastAsia="方正仿宋_GBK" w:cs="方正仿宋_GBK"/>
          <w:b w:val="0"/>
          <w:bCs/>
          <w:sz w:val="20"/>
          <w:szCs w:val="20"/>
        </w:rPr>
        <w:br w:type="page"/>
      </w:r>
    </w:p>
    <w:tbl>
      <w:tblPr>
        <w:tblStyle w:val="7"/>
        <w:tblW w:w="5000" w:type="pct"/>
        <w:tblInd w:w="0" w:type="dxa"/>
        <w:tblLayout w:type="fixed"/>
        <w:tblCellMar>
          <w:top w:w="0" w:type="dxa"/>
          <w:left w:w="0" w:type="dxa"/>
          <w:bottom w:w="0" w:type="dxa"/>
          <w:right w:w="0" w:type="dxa"/>
        </w:tblCellMar>
      </w:tblPr>
      <w:tblGrid>
        <w:gridCol w:w="1160"/>
        <w:gridCol w:w="3233"/>
        <w:gridCol w:w="1652"/>
        <w:gridCol w:w="1584"/>
        <w:gridCol w:w="1457"/>
        <w:gridCol w:w="1397"/>
        <w:gridCol w:w="1519"/>
        <w:gridCol w:w="17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32"/>
                <w:szCs w:val="32"/>
              </w:rPr>
            </w:pPr>
            <w:r>
              <w:rPr>
                <w:rFonts w:hint="eastAsia" w:ascii="方正小标宋_GBK" w:hAnsi="方正小标宋_GBK" w:eastAsia="方正小标宋_GBK" w:cs="方正小标宋_GBK"/>
                <w:b w:val="0"/>
                <w:bCs w:val="0"/>
                <w:color w:val="000000"/>
                <w:sz w:val="40"/>
                <w:szCs w:val="40"/>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sz w:val="20"/>
                <w:szCs w:val="20"/>
              </w:rPr>
              <w:t>单位</w:t>
            </w:r>
            <w:r>
              <w:rPr>
                <w:rFonts w:hint="eastAsia" w:ascii="Times New Roman" w:hAnsi="Times New Roman" w:eastAsia="方正仿宋_GBK" w:cs="方正仿宋_GBK"/>
                <w:b w:val="0"/>
                <w:bCs/>
                <w:color w:val="000000"/>
                <w:sz w:val="20"/>
                <w:szCs w:val="20"/>
              </w:rPr>
              <w:t>：</w:t>
            </w:r>
            <w:r>
              <w:rPr>
                <w:rFonts w:hint="eastAsia" w:ascii="Times New Roman" w:hAnsi="Times New Roman" w:eastAsia="方正仿宋_GBK" w:cs="方正仿宋_GBK"/>
                <w:b w:val="0"/>
                <w:bCs/>
                <w:color w:val="000000"/>
                <w:sz w:val="20"/>
                <w:u w:color="auto"/>
              </w:rPr>
              <w:t>蔈草镇产业发展服务中心</w:t>
            </w: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公开03表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单位：</w:t>
            </w:r>
            <w:r>
              <w:rPr>
                <w:rFonts w:hint="eastAsia" w:ascii="Times New Roman" w:hAnsi="Times New Roman" w:eastAsia="方正仿宋_GBK" w:cs="方正仿宋_GBK"/>
                <w:b w:val="0"/>
                <w:bCs/>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269.37</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269.37</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68.25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68.25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68.25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68.25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2010350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68.25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68.25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76.86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76.86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76.86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76.86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35.17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35.17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19.26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19.26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99.82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99.82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99.82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99.82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99.82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99.82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bl>
    <w:p>
      <w:pPr>
        <w:keepNext w:val="0"/>
        <w:keepLines w:val="0"/>
        <w:pageBreakBefore w:val="0"/>
        <w:widowControl/>
        <w:kinsoku/>
        <w:wordWrap/>
        <w:overflowPunct/>
        <w:topLinePunct w:val="0"/>
        <w:autoSpaceDE/>
        <w:autoSpaceDN/>
        <w:bidi w:val="0"/>
        <w:adjustRightInd/>
        <w:snapToGrid/>
        <w:spacing w:line="240" w:lineRule="auto"/>
        <w:jc w:val="left"/>
        <w:rPr>
          <w:rFonts w:hint="eastAsia" w:ascii="Times New Roman" w:hAnsi="Times New Roman" w:eastAsia="方正仿宋_GBK" w:cs="方正仿宋_GBK"/>
          <w:b w:val="0"/>
          <w:bCs/>
          <w:sz w:val="20"/>
          <w:szCs w:val="20"/>
        </w:rPr>
      </w:pPr>
      <w:r>
        <w:rPr>
          <w:rFonts w:hint="eastAsia" w:ascii="Times New Roman" w:hAnsi="Times New Roman" w:eastAsia="方正仿宋_GBK" w:cs="方正仿宋_GBK"/>
          <w:b w:val="0"/>
          <w:bCs/>
          <w:sz w:val="20"/>
          <w:szCs w:val="20"/>
        </w:rPr>
        <w:t>备注：1.本表反映单位本年度各项支出情况。</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t xml:space="preserve">      2.本套报表金额单位转换时可能存在尾数误差。</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br w:type="textWrapping"/>
      </w:r>
    </w:p>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sz w:val="21"/>
          <w:szCs w:val="21"/>
        </w:rPr>
      </w:pPr>
      <w:r>
        <w:rPr>
          <w:rFonts w:hint="eastAsia" w:ascii="Times New Roman" w:hAnsi="Times New Roman" w:eastAsia="方正仿宋_GBK" w:cs="方正仿宋_GBK"/>
          <w:b w:val="0"/>
          <w:bCs/>
          <w:sz w:val="21"/>
          <w:szCs w:val="21"/>
        </w:rPr>
        <w:br w:type="page"/>
      </w:r>
    </w:p>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sz w:val="21"/>
          <w:szCs w:val="21"/>
        </w:rPr>
      </w:pPr>
    </w:p>
    <w:tbl>
      <w:tblPr>
        <w:tblStyle w:val="7"/>
        <w:tblW w:w="5006" w:type="pct"/>
        <w:tblInd w:w="0" w:type="dxa"/>
        <w:tblLayout w:type="autofit"/>
        <w:tblCellMar>
          <w:top w:w="0" w:type="dxa"/>
          <w:left w:w="0" w:type="dxa"/>
          <w:bottom w:w="0" w:type="dxa"/>
          <w:right w:w="0" w:type="dxa"/>
        </w:tblCellMar>
      </w:tblPr>
      <w:tblGrid>
        <w:gridCol w:w="2662"/>
        <w:gridCol w:w="1366"/>
        <w:gridCol w:w="2853"/>
        <w:gridCol w:w="1520"/>
        <w:gridCol w:w="1520"/>
        <w:gridCol w:w="1520"/>
        <w:gridCol w:w="2327"/>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32"/>
                <w:szCs w:val="32"/>
              </w:rPr>
            </w:pPr>
            <w:r>
              <w:rPr>
                <w:rFonts w:hint="eastAsia" w:ascii="方正小标宋_GBK" w:hAnsi="方正小标宋_GBK" w:eastAsia="方正小标宋_GBK" w:cs="方正小标宋_GBK"/>
                <w:b w:val="0"/>
                <w:bCs w:val="0"/>
                <w:color w:val="000000"/>
                <w:sz w:val="40"/>
                <w:szCs w:val="40"/>
              </w:rPr>
              <w:t>财政拨款收入支出决算总表</w:t>
            </w:r>
          </w:p>
        </w:tc>
      </w:tr>
      <w:tr>
        <w:tblPrEx>
          <w:tblCellMar>
            <w:top w:w="0" w:type="dxa"/>
            <w:left w:w="0" w:type="dxa"/>
            <w:bottom w:w="0" w:type="dxa"/>
            <w:right w:w="0" w:type="dxa"/>
          </w:tblCellMar>
        </w:tblPrEx>
        <w:trPr>
          <w:trHeight w:val="90" w:hRule="atLeast"/>
        </w:trPr>
        <w:tc>
          <w:tcPr>
            <w:tcW w:w="249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sz w:val="20"/>
                <w:szCs w:val="20"/>
              </w:rPr>
              <w:t>单位</w:t>
            </w:r>
            <w:r>
              <w:rPr>
                <w:rFonts w:hint="eastAsia" w:ascii="Times New Roman" w:hAnsi="Times New Roman" w:eastAsia="方正仿宋_GBK" w:cs="方正仿宋_GBK"/>
                <w:b w:val="0"/>
                <w:bCs/>
                <w:color w:val="000000"/>
                <w:sz w:val="20"/>
                <w:szCs w:val="20"/>
              </w:rPr>
              <w:t>：</w:t>
            </w:r>
            <w:r>
              <w:rPr>
                <w:rFonts w:hint="eastAsia" w:ascii="Times New Roman" w:hAnsi="Times New Roman" w:eastAsia="方正仿宋_GBK" w:cs="方正仿宋_GBK"/>
                <w:b w:val="0"/>
                <w:bCs/>
                <w:color w:val="000000"/>
                <w:sz w:val="20"/>
                <w:u w:color="auto"/>
              </w:rPr>
              <w:t>蔈草镇产业发展服务中心</w:t>
            </w: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84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公开04表</w:t>
            </w:r>
          </w:p>
        </w:tc>
      </w:tr>
      <w:tr>
        <w:tblPrEx>
          <w:tblCellMar>
            <w:top w:w="0" w:type="dxa"/>
            <w:left w:w="0" w:type="dxa"/>
            <w:bottom w:w="0" w:type="dxa"/>
            <w:right w:w="0" w:type="dxa"/>
          </w:tblCellMar>
        </w:tblPrEx>
        <w:trPr>
          <w:trHeight w:val="90" w:hRule="atLeast"/>
        </w:trPr>
        <w:tc>
          <w:tcPr>
            <w:tcW w:w="2499"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84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单位：</w:t>
            </w:r>
            <w:r>
              <w:rPr>
                <w:rFonts w:hint="eastAsia" w:ascii="Times New Roman" w:hAnsi="Times New Roman" w:eastAsia="方正仿宋_GBK" w:cs="方正仿宋_GBK"/>
                <w:b w:val="0"/>
                <w:bCs/>
                <w:sz w:val="20"/>
                <w:szCs w:val="20"/>
              </w:rPr>
              <w:t>万元</w:t>
            </w:r>
          </w:p>
        </w:tc>
      </w:tr>
      <w:tr>
        <w:tblPrEx>
          <w:tblCellMar>
            <w:top w:w="0" w:type="dxa"/>
            <w:left w:w="0" w:type="dxa"/>
            <w:bottom w:w="0" w:type="dxa"/>
            <w:right w:w="0" w:type="dxa"/>
          </w:tblCellMar>
        </w:tblPrEx>
        <w:trPr>
          <w:trHeight w:val="90" w:hRule="atLeast"/>
        </w:trPr>
        <w:tc>
          <w:tcPr>
            <w:tcW w:w="14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收     入</w:t>
            </w:r>
          </w:p>
        </w:tc>
        <w:tc>
          <w:tcPr>
            <w:tcW w:w="3536"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支     出</w:t>
            </w:r>
          </w:p>
        </w:tc>
      </w:tr>
      <w:tr>
        <w:tblPrEx>
          <w:tblCellMar>
            <w:top w:w="0" w:type="dxa"/>
            <w:left w:w="0" w:type="dxa"/>
            <w:bottom w:w="0" w:type="dxa"/>
            <w:right w:w="0" w:type="dxa"/>
          </w:tblCellMar>
        </w:tblPrEx>
        <w:trPr>
          <w:trHeight w:val="90" w:hRule="atLeast"/>
        </w:trPr>
        <w:tc>
          <w:tcPr>
            <w:tcW w:w="9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项目</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决算数</w:t>
            </w:r>
          </w:p>
        </w:tc>
        <w:tc>
          <w:tcPr>
            <w:tcW w:w="103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功能分类科目</w:t>
            </w:r>
          </w:p>
        </w:tc>
        <w:tc>
          <w:tcPr>
            <w:tcW w:w="2500"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决算数</w:t>
            </w:r>
          </w:p>
        </w:tc>
      </w:tr>
      <w:tr>
        <w:tblPrEx>
          <w:tblCellMar>
            <w:top w:w="0" w:type="dxa"/>
            <w:left w:w="0" w:type="dxa"/>
            <w:bottom w:w="0" w:type="dxa"/>
            <w:right w:w="0" w:type="dxa"/>
          </w:tblCellMar>
        </w:tblPrEx>
        <w:trPr>
          <w:trHeight w:val="90" w:hRule="atLeast"/>
        </w:trPr>
        <w:tc>
          <w:tcPr>
            <w:tcW w:w="9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3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小计</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一般公共预算财政拨款</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政府性基金预算财政拨款</w:t>
            </w:r>
          </w:p>
        </w:tc>
        <w:tc>
          <w:tcPr>
            <w:tcW w:w="8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一、一般公共预算财政拨款</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269.37</w:t>
            </w: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一、一般公共服务支出</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68.25</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68.25</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二、政府性基金预算财政拨款</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二、外交支出</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三、国有资本经营预算财政拨款</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三、国防支出</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四、公共安全支出</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五、教育支出</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六、科学技术支出</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七、文化旅游体育与传媒支出</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八、社会保障和就业支出</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76.86</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76.86</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九、卫生健康支出</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11.71</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11.71</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十、节能环保支出</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十一、城乡社区支出</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十二、农林水支出</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99.82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99.82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十三、交通运输支出</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十四、资源勘探工业信息等支出</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十五、商业服务业等支出</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十六、金融支出</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十七、援助其他地区支出</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十八、自然资源海洋气象等支出</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十九、住房保障支出</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12.73</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12.73</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二十、粮油物资储备支出</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二十一、国有资本经营预算支出</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二十二、灾害防治及应急管理支出</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二十三、其他支出</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二十四、债务还本支出</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二十五、债务付息支出</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二十六、抗疫特别国债安排的支出</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本年收入合计</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269.37</w:t>
            </w: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本年支出合计</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269.37</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269.37</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年初财政拨款结转和结余</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年末财政拨款结转和结余</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一般公共预算财政拨款</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政府性基金预算财政拨款</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国有资本经营预算财政拨款</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总计</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269.37</w:t>
            </w: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总计</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269.37</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269.37</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bl>
    <w:p>
      <w:pPr>
        <w:keepNext w:val="0"/>
        <w:keepLines w:val="0"/>
        <w:pageBreakBefore w:val="0"/>
        <w:widowControl/>
        <w:kinsoku/>
        <w:wordWrap/>
        <w:overflowPunct/>
        <w:topLinePunct w:val="0"/>
        <w:autoSpaceDE/>
        <w:autoSpaceDN/>
        <w:bidi w:val="0"/>
        <w:adjustRightInd/>
        <w:snapToGrid/>
        <w:spacing w:line="240" w:lineRule="auto"/>
        <w:jc w:val="left"/>
        <w:rPr>
          <w:rFonts w:hint="eastAsia" w:ascii="Times New Roman" w:hAnsi="Times New Roman" w:eastAsia="方正仿宋_GBK" w:cs="方正仿宋_GBK"/>
          <w:b w:val="0"/>
          <w:bCs/>
          <w:sz w:val="20"/>
          <w:szCs w:val="20"/>
        </w:rPr>
      </w:pPr>
      <w:r>
        <w:rPr>
          <w:rFonts w:hint="eastAsia" w:ascii="Times New Roman" w:hAnsi="Times New Roman" w:eastAsia="方正仿宋_GBK" w:cs="方正仿宋_GBK"/>
          <w:b w:val="0"/>
          <w:bCs/>
          <w:sz w:val="20"/>
          <w:szCs w:val="20"/>
        </w:rPr>
        <w:t>备注：1.本表反映单位本年度一般公共预算财政拨款、政府性基金预算财政拨款及国有资本经营预算财政拨款的总收支和年末结转结余情况。</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t xml:space="preserve">      2.本套报表金额单位转换时可能存在尾数误差。</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1"/>
          <w:szCs w:val="21"/>
        </w:rPr>
        <w:br w:type="page"/>
      </w:r>
    </w:p>
    <w:tbl>
      <w:tblPr>
        <w:tblStyle w:val="7"/>
        <w:tblW w:w="5000" w:type="pct"/>
        <w:tblInd w:w="0" w:type="dxa"/>
        <w:tblLayout w:type="fixed"/>
        <w:tblCellMar>
          <w:top w:w="0" w:type="dxa"/>
          <w:left w:w="0" w:type="dxa"/>
          <w:bottom w:w="0" w:type="dxa"/>
          <w:right w:w="0" w:type="dxa"/>
        </w:tblCellMar>
      </w:tblPr>
      <w:tblGrid>
        <w:gridCol w:w="1171"/>
        <w:gridCol w:w="3655"/>
        <w:gridCol w:w="2967"/>
        <w:gridCol w:w="2959"/>
        <w:gridCol w:w="2998"/>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32"/>
                <w:szCs w:val="32"/>
              </w:rPr>
            </w:pPr>
            <w:r>
              <w:rPr>
                <w:rFonts w:hint="eastAsia" w:ascii="方正小标宋_GBK" w:hAnsi="方正小标宋_GBK" w:eastAsia="方正小标宋_GBK" w:cs="方正小标宋_GBK"/>
                <w:b w:val="0"/>
                <w:bCs w:val="0"/>
                <w:color w:val="000000"/>
                <w:sz w:val="40"/>
                <w:szCs w:val="40"/>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sz w:val="20"/>
                <w:szCs w:val="20"/>
              </w:rPr>
              <w:t>单位</w:t>
            </w:r>
            <w:r>
              <w:rPr>
                <w:rFonts w:hint="eastAsia" w:ascii="Times New Roman" w:hAnsi="Times New Roman" w:eastAsia="方正仿宋_GBK" w:cs="方正仿宋_GBK"/>
                <w:b w:val="0"/>
                <w:bCs/>
                <w:color w:val="000000"/>
                <w:sz w:val="20"/>
                <w:szCs w:val="20"/>
              </w:rPr>
              <w:t>：</w:t>
            </w:r>
            <w:r>
              <w:rPr>
                <w:rFonts w:hint="eastAsia" w:ascii="Times New Roman" w:hAnsi="Times New Roman" w:eastAsia="方正仿宋_GBK" w:cs="方正仿宋_GBK"/>
                <w:b w:val="0"/>
                <w:bCs/>
                <w:color w:val="000000"/>
                <w:sz w:val="20"/>
                <w:u w:color="auto"/>
              </w:rPr>
              <w:t>蔈草镇产业发展服务中心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公开05表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单位：</w:t>
            </w:r>
            <w:r>
              <w:rPr>
                <w:rFonts w:hint="eastAsia" w:ascii="Times New Roman" w:hAnsi="Times New Roman" w:eastAsia="方正仿宋_GBK" w:cs="方正仿宋_GBK"/>
                <w:b w:val="0"/>
                <w:bCs/>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269.37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269.37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68.25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68.25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68.25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68.25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68.25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68.25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76.86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76.86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76.86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76.86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35.17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35.17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19.26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19.26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99.82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99.82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99.82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99.82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99.82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99.82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bl>
    <w:p>
      <w:pPr>
        <w:keepNext w:val="0"/>
        <w:keepLines w:val="0"/>
        <w:pageBreakBefore w:val="0"/>
        <w:widowControl/>
        <w:kinsoku/>
        <w:wordWrap/>
        <w:overflowPunct/>
        <w:topLinePunct w:val="0"/>
        <w:autoSpaceDE/>
        <w:autoSpaceDN/>
        <w:bidi w:val="0"/>
        <w:adjustRightInd/>
        <w:snapToGrid/>
        <w:spacing w:line="240" w:lineRule="auto"/>
        <w:jc w:val="left"/>
        <w:rPr>
          <w:rFonts w:hint="eastAsia" w:ascii="Times New Roman" w:hAnsi="Times New Roman" w:eastAsia="方正仿宋_GBK" w:cs="方正仿宋_GBK"/>
          <w:b w:val="0"/>
          <w:bCs/>
          <w:sz w:val="21"/>
          <w:szCs w:val="21"/>
        </w:rPr>
      </w:pPr>
      <w:r>
        <w:rPr>
          <w:rFonts w:hint="eastAsia" w:ascii="Times New Roman" w:hAnsi="Times New Roman" w:eastAsia="方正仿宋_GBK" w:cs="方正仿宋_GBK"/>
          <w:b w:val="0"/>
          <w:bCs/>
          <w:sz w:val="20"/>
          <w:szCs w:val="20"/>
        </w:rPr>
        <w:t>备注：1.本表反映单位本年度一般公共预算财政拨款支出情况。</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t xml:space="preserve">      2.本套报表金额单位转换时可能存在尾数误差。</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br w:type="textWrapping"/>
      </w:r>
    </w:p>
    <w:p>
      <w:pPr>
        <w:keepNext w:val="0"/>
        <w:keepLines w:val="0"/>
        <w:pageBreakBefore w:val="0"/>
        <w:widowControl/>
        <w:kinsoku/>
        <w:wordWrap/>
        <w:overflowPunct/>
        <w:topLinePunct w:val="0"/>
        <w:autoSpaceDE/>
        <w:autoSpaceDN/>
        <w:bidi w:val="0"/>
        <w:adjustRightInd/>
        <w:snapToGrid/>
        <w:spacing w:line="240" w:lineRule="auto"/>
        <w:ind w:firstLine="630" w:firstLineChars="300"/>
        <w:jc w:val="center"/>
        <w:rPr>
          <w:rFonts w:hint="eastAsia" w:ascii="Times New Roman" w:hAnsi="Times New Roman" w:eastAsia="方正仿宋_GBK" w:cs="方正仿宋_GBK"/>
          <w:b w:val="0"/>
          <w:bCs/>
          <w:sz w:val="21"/>
          <w:szCs w:val="21"/>
        </w:rPr>
      </w:pPr>
      <w:r>
        <w:rPr>
          <w:rFonts w:hint="eastAsia" w:ascii="Times New Roman" w:hAnsi="Times New Roman" w:eastAsia="方正仿宋_GBK" w:cs="方正仿宋_GBK"/>
          <w:b w:val="0"/>
          <w:bCs/>
          <w:sz w:val="21"/>
          <w:szCs w:val="21"/>
        </w:rPr>
        <w:br w:type="page"/>
      </w:r>
    </w:p>
    <w:tbl>
      <w:tblPr>
        <w:tblStyle w:val="7"/>
        <w:tblW w:w="4994" w:type="pct"/>
        <w:tblInd w:w="0" w:type="dxa"/>
        <w:tblLayout w:type="fixed"/>
        <w:tblCellMar>
          <w:top w:w="0" w:type="dxa"/>
          <w:left w:w="0" w:type="dxa"/>
          <w:bottom w:w="0" w:type="dxa"/>
          <w:right w:w="0" w:type="dxa"/>
        </w:tblCellMar>
      </w:tblPr>
      <w:tblGrid>
        <w:gridCol w:w="721"/>
        <w:gridCol w:w="2521"/>
        <w:gridCol w:w="1383"/>
        <w:gridCol w:w="783"/>
        <w:gridCol w:w="1824"/>
        <w:gridCol w:w="1273"/>
        <w:gridCol w:w="783"/>
        <w:gridCol w:w="3108"/>
        <w:gridCol w:w="1339"/>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32"/>
                <w:szCs w:val="32"/>
              </w:rPr>
            </w:pPr>
            <w:r>
              <w:rPr>
                <w:rFonts w:hint="eastAsia" w:ascii="方正小标宋_GBK" w:hAnsi="方正小标宋_GBK" w:eastAsia="方正小标宋_GBK" w:cs="方正小标宋_GBK"/>
                <w:b w:val="0"/>
                <w:bCs w:val="0"/>
                <w:color w:val="000000"/>
                <w:sz w:val="40"/>
                <w:szCs w:val="40"/>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sz w:val="20"/>
                <w:szCs w:val="20"/>
              </w:rPr>
              <w:t>单位</w:t>
            </w:r>
            <w:r>
              <w:rPr>
                <w:rFonts w:hint="eastAsia" w:ascii="Times New Roman" w:hAnsi="Times New Roman" w:eastAsia="方正仿宋_GBK" w:cs="方正仿宋_GBK"/>
                <w:b w:val="0"/>
                <w:bCs/>
                <w:color w:val="000000"/>
                <w:sz w:val="20"/>
                <w:szCs w:val="20"/>
              </w:rPr>
              <w:t>：</w:t>
            </w:r>
            <w:r>
              <w:rPr>
                <w:rFonts w:hint="eastAsia" w:ascii="Times New Roman" w:hAnsi="Times New Roman" w:eastAsia="方正仿宋_GBK" w:cs="方正仿宋_GBK"/>
                <w:b w:val="0"/>
                <w:bCs/>
                <w:color w:val="000000"/>
                <w:sz w:val="20"/>
                <w:u w:color="auto"/>
              </w:rPr>
              <w:t>蔈草镇产业发展服务中心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公开06表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单位：</w:t>
            </w:r>
            <w:r>
              <w:rPr>
                <w:rFonts w:hint="eastAsia" w:ascii="Times New Roman" w:hAnsi="Times New Roman" w:eastAsia="方正仿宋_GBK" w:cs="方正仿宋_GBK"/>
                <w:b w:val="0"/>
                <w:bCs/>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242.60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7.52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56.60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13.08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90.57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22.43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35.17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10.11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0.30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12.73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1.60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19.26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1.23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18.02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1.24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1.09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5.20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261.86</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7.52</w:t>
            </w:r>
          </w:p>
        </w:tc>
      </w:tr>
    </w:tbl>
    <w:p>
      <w:pPr>
        <w:keepNext w:val="0"/>
        <w:keepLines w:val="0"/>
        <w:pageBreakBefore w:val="0"/>
        <w:widowControl/>
        <w:kinsoku/>
        <w:wordWrap/>
        <w:overflowPunct/>
        <w:topLinePunct w:val="0"/>
        <w:autoSpaceDE/>
        <w:autoSpaceDN/>
        <w:bidi w:val="0"/>
        <w:adjustRightInd/>
        <w:snapToGrid/>
        <w:spacing w:line="240" w:lineRule="auto"/>
        <w:jc w:val="left"/>
        <w:rPr>
          <w:rFonts w:hint="eastAsia" w:ascii="Times New Roman" w:hAnsi="Times New Roman" w:eastAsia="方正仿宋_GBK" w:cs="方正仿宋_GBK"/>
          <w:b w:val="0"/>
          <w:bCs/>
          <w:sz w:val="20"/>
          <w:szCs w:val="20"/>
        </w:rPr>
      </w:pPr>
      <w:r>
        <w:rPr>
          <w:rFonts w:hint="eastAsia" w:ascii="Times New Roman" w:hAnsi="Times New Roman" w:eastAsia="方正仿宋_GBK" w:cs="方正仿宋_GBK"/>
          <w:b w:val="0"/>
          <w:bCs/>
          <w:sz w:val="20"/>
          <w:szCs w:val="20"/>
        </w:rPr>
        <w:t>备注：1.本表反映单位本年度一般公共预算财政拨款基本支出明细情况。</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t xml:space="preserve">      2.本套报表金额单位转换时可能存在尾数误差。</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1"/>
          <w:szCs w:val="21"/>
        </w:rPr>
        <w:br w:type="page"/>
      </w:r>
    </w:p>
    <w:tbl>
      <w:tblPr>
        <w:tblStyle w:val="7"/>
        <w:tblW w:w="5000" w:type="pct"/>
        <w:tblInd w:w="0" w:type="dxa"/>
        <w:tblLayout w:type="fixed"/>
        <w:tblCellMar>
          <w:top w:w="0" w:type="dxa"/>
          <w:left w:w="0" w:type="dxa"/>
          <w:bottom w:w="0" w:type="dxa"/>
          <w:right w:w="0" w:type="dxa"/>
        </w:tblCellMar>
      </w:tblPr>
      <w:tblGrid>
        <w:gridCol w:w="1185"/>
        <w:gridCol w:w="3225"/>
        <w:gridCol w:w="1527"/>
        <w:gridCol w:w="1527"/>
        <w:gridCol w:w="1527"/>
        <w:gridCol w:w="1527"/>
        <w:gridCol w:w="1584"/>
        <w:gridCol w:w="1650"/>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32"/>
                <w:szCs w:val="32"/>
              </w:rPr>
            </w:pPr>
            <w:r>
              <w:rPr>
                <w:rFonts w:hint="eastAsia" w:ascii="方正小标宋_GBK" w:hAnsi="方正小标宋_GBK" w:eastAsia="方正小标宋_GBK" w:cs="方正小标宋_GBK"/>
                <w:b w:val="0"/>
                <w:bCs w:val="0"/>
                <w:color w:val="000000"/>
                <w:sz w:val="40"/>
                <w:szCs w:val="40"/>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sz w:val="20"/>
                <w:szCs w:val="20"/>
              </w:rPr>
              <w:t>单位</w:t>
            </w:r>
            <w:r>
              <w:rPr>
                <w:rFonts w:hint="eastAsia" w:ascii="Times New Roman" w:hAnsi="Times New Roman" w:eastAsia="方正仿宋_GBK" w:cs="方正仿宋_GBK"/>
                <w:b w:val="0"/>
                <w:bCs/>
                <w:color w:val="000000"/>
                <w:sz w:val="20"/>
                <w:szCs w:val="20"/>
              </w:rPr>
              <w:t>：</w:t>
            </w:r>
            <w:r>
              <w:rPr>
                <w:rFonts w:hint="eastAsia" w:ascii="Times New Roman" w:hAnsi="Times New Roman" w:eastAsia="方正仿宋_GBK" w:cs="方正仿宋_GBK"/>
                <w:b w:val="0"/>
                <w:bCs/>
                <w:color w:val="000000"/>
                <w:sz w:val="20"/>
                <w:u w:color="auto"/>
              </w:rPr>
              <w:t>蔈草镇产业发展服务中心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公开07表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单位：</w:t>
            </w:r>
            <w:r>
              <w:rPr>
                <w:rFonts w:hint="eastAsia" w:ascii="Times New Roman" w:hAnsi="Times New Roman" w:eastAsia="方正仿宋_GBK" w:cs="方正仿宋_GBK"/>
                <w:b w:val="0"/>
                <w:bCs/>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bl>
    <w:p>
      <w:pPr>
        <w:keepNext w:val="0"/>
        <w:keepLines w:val="0"/>
        <w:pageBreakBefore w:val="0"/>
        <w:widowControl/>
        <w:kinsoku/>
        <w:wordWrap/>
        <w:overflowPunct/>
        <w:topLinePunct w:val="0"/>
        <w:autoSpaceDE/>
        <w:autoSpaceDN/>
        <w:bidi w:val="0"/>
        <w:adjustRightInd/>
        <w:snapToGrid/>
        <w:spacing w:line="240" w:lineRule="auto"/>
        <w:jc w:val="left"/>
        <w:rPr>
          <w:rFonts w:hint="eastAsia" w:ascii="Times New Roman" w:hAnsi="Times New Roman" w:eastAsia="方正仿宋_GBK" w:cs="方正仿宋_GBK"/>
          <w:b w:val="0"/>
          <w:bCs/>
          <w:sz w:val="21"/>
          <w:szCs w:val="21"/>
        </w:rPr>
      </w:pPr>
      <w:r>
        <w:rPr>
          <w:rFonts w:hint="eastAsia" w:ascii="Times New Roman" w:hAnsi="Times New Roman" w:eastAsia="方正仿宋_GBK" w:cs="方正仿宋_GBK"/>
          <w:b w:val="0"/>
          <w:bCs/>
          <w:sz w:val="20"/>
          <w:szCs w:val="20"/>
        </w:rPr>
        <w:t>备注：本表反映单位本年度政府性基金预算财政拨款收入支出及结转和结余情况。本单位无政府性基金收支，故本表无数据。</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br w:type="textWrapping"/>
      </w:r>
    </w:p>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sz w:val="21"/>
          <w:szCs w:val="21"/>
        </w:rPr>
      </w:pPr>
      <w:r>
        <w:rPr>
          <w:rFonts w:hint="eastAsia" w:ascii="Times New Roman" w:hAnsi="Times New Roman" w:eastAsia="方正仿宋_GBK" w:cs="方正仿宋_GBK"/>
          <w:b w:val="0"/>
          <w:bCs/>
          <w:sz w:val="21"/>
          <w:szCs w:val="21"/>
        </w:rPr>
        <w:br w:type="page"/>
      </w:r>
    </w:p>
    <w:tbl>
      <w:tblPr>
        <w:tblStyle w:val="7"/>
        <w:tblW w:w="5000" w:type="pct"/>
        <w:tblInd w:w="0" w:type="dxa"/>
        <w:tblLayout w:type="fixed"/>
        <w:tblCellMar>
          <w:top w:w="0" w:type="dxa"/>
          <w:left w:w="0" w:type="dxa"/>
          <w:bottom w:w="0" w:type="dxa"/>
          <w:right w:w="0" w:type="dxa"/>
        </w:tblCellMar>
      </w:tblPr>
      <w:tblGrid>
        <w:gridCol w:w="1160"/>
        <w:gridCol w:w="3245"/>
        <w:gridCol w:w="2937"/>
        <w:gridCol w:w="171"/>
        <w:gridCol w:w="3108"/>
        <w:gridCol w:w="77"/>
        <w:gridCol w:w="3052"/>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32"/>
                <w:szCs w:val="32"/>
              </w:rPr>
            </w:pPr>
            <w:r>
              <w:rPr>
                <w:rFonts w:hint="eastAsia" w:ascii="方正小标宋_GBK" w:hAnsi="方正小标宋_GBK" w:eastAsia="方正小标宋_GBK" w:cs="方正小标宋_GBK"/>
                <w:b w:val="0"/>
                <w:bCs w:val="0"/>
                <w:color w:val="000000"/>
                <w:sz w:val="40"/>
                <w:szCs w:val="40"/>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sz w:val="20"/>
                <w:szCs w:val="20"/>
              </w:rPr>
              <w:t>单位</w:t>
            </w:r>
            <w:r>
              <w:rPr>
                <w:rFonts w:hint="eastAsia" w:ascii="Times New Roman" w:hAnsi="Times New Roman" w:eastAsia="方正仿宋_GBK" w:cs="方正仿宋_GBK"/>
                <w:b w:val="0"/>
                <w:bCs/>
                <w:color w:val="000000"/>
                <w:sz w:val="20"/>
                <w:szCs w:val="20"/>
              </w:rPr>
              <w:t>：</w:t>
            </w:r>
            <w:r>
              <w:rPr>
                <w:rFonts w:hint="eastAsia" w:ascii="Times New Roman" w:hAnsi="Times New Roman" w:eastAsia="方正仿宋_GBK" w:cs="方正仿宋_GBK"/>
                <w:b w:val="0"/>
                <w:bCs/>
                <w:color w:val="000000"/>
                <w:sz w:val="20"/>
                <w:u w:color="auto"/>
              </w:rPr>
              <w:t>蔈草镇产业发展服务中心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公开08表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单位：</w:t>
            </w:r>
            <w:r>
              <w:rPr>
                <w:rFonts w:hint="eastAsia" w:ascii="Times New Roman" w:hAnsi="Times New Roman" w:eastAsia="方正仿宋_GBK" w:cs="方正仿宋_GBK"/>
                <w:b w:val="0"/>
                <w:bCs/>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bl>
    <w:p>
      <w:pPr>
        <w:keepNext w:val="0"/>
        <w:keepLines w:val="0"/>
        <w:pageBreakBefore w:val="0"/>
        <w:widowControl/>
        <w:kinsoku/>
        <w:wordWrap/>
        <w:overflowPunct/>
        <w:topLinePunct w:val="0"/>
        <w:autoSpaceDE/>
        <w:autoSpaceDN/>
        <w:bidi w:val="0"/>
        <w:adjustRightInd/>
        <w:snapToGrid/>
        <w:spacing w:line="240" w:lineRule="auto"/>
        <w:jc w:val="left"/>
        <w:rPr>
          <w:rFonts w:hint="eastAsia" w:ascii="Times New Roman" w:hAnsi="Times New Roman" w:eastAsia="方正仿宋_GBK" w:cs="方正仿宋_GBK"/>
          <w:b w:val="0"/>
          <w:bCs/>
          <w:sz w:val="21"/>
          <w:szCs w:val="21"/>
        </w:rPr>
      </w:pPr>
      <w:r>
        <w:rPr>
          <w:rFonts w:hint="eastAsia" w:ascii="Times New Roman" w:hAnsi="Times New Roman" w:eastAsia="方正仿宋_GBK" w:cs="方正仿宋_GBK"/>
          <w:b w:val="0"/>
          <w:bCs/>
          <w:sz w:val="20"/>
          <w:szCs w:val="20"/>
        </w:rPr>
        <w:t>备注：本表反映单位本年度国有资本经营预算财政拨款支出情况。本单位无国有资本经营收支，故本表无数据。</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br w:type="textWrapping"/>
      </w:r>
    </w:p>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sz w:val="21"/>
          <w:szCs w:val="21"/>
        </w:rPr>
      </w:pPr>
      <w:r>
        <w:rPr>
          <w:rFonts w:hint="eastAsia" w:ascii="Times New Roman" w:hAnsi="Times New Roman" w:eastAsia="方正仿宋_GBK" w:cs="方正仿宋_GBK"/>
          <w:b w:val="0"/>
          <w:bCs/>
          <w:sz w:val="21"/>
          <w:szCs w:val="21"/>
        </w:rPr>
        <w:br w:type="page"/>
      </w:r>
    </w:p>
    <w:tbl>
      <w:tblPr>
        <w:tblStyle w:val="7"/>
        <w:tblW w:w="5006" w:type="pct"/>
        <w:tblInd w:w="0" w:type="dxa"/>
        <w:tblLayout w:type="fixed"/>
        <w:tblCellMar>
          <w:top w:w="0" w:type="dxa"/>
          <w:left w:w="170" w:type="dxa"/>
          <w:bottom w:w="0" w:type="dxa"/>
          <w:right w:w="170" w:type="dxa"/>
        </w:tblCellMar>
      </w:tblPr>
      <w:tblGrid>
        <w:gridCol w:w="2853"/>
        <w:gridCol w:w="2168"/>
        <w:gridCol w:w="2131"/>
        <w:gridCol w:w="3297"/>
        <w:gridCol w:w="3319"/>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32"/>
                <w:szCs w:val="32"/>
              </w:rPr>
            </w:pPr>
            <w:r>
              <w:rPr>
                <w:rFonts w:hint="eastAsia" w:ascii="方正小标宋_GBK" w:hAnsi="方正小标宋_GBK" w:eastAsia="方正小标宋_GBK" w:cs="方正小标宋_GBK"/>
                <w:b w:val="0"/>
                <w:bCs w:val="0"/>
                <w:color w:val="000000"/>
                <w:sz w:val="40"/>
                <w:szCs w:val="40"/>
              </w:rPr>
              <w:t>机构运行信息表</w:t>
            </w:r>
          </w:p>
        </w:tc>
      </w:tr>
      <w:tr>
        <w:tblPrEx>
          <w:tblCellMar>
            <w:top w:w="0" w:type="dxa"/>
            <w:left w:w="170" w:type="dxa"/>
            <w:bottom w:w="0" w:type="dxa"/>
            <w:right w:w="170" w:type="dxa"/>
          </w:tblCellMar>
        </w:tblPrEx>
        <w:trPr>
          <w:trHeight w:val="244" w:hRule="atLeast"/>
        </w:trPr>
        <w:tc>
          <w:tcPr>
            <w:tcW w:w="1036" w:type="pct"/>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20"/>
                <w:szCs w:val="20"/>
              </w:rPr>
            </w:pPr>
          </w:p>
        </w:tc>
        <w:tc>
          <w:tcPr>
            <w:tcW w:w="787" w:type="pct"/>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20"/>
                <w:szCs w:val="20"/>
              </w:rPr>
            </w:pPr>
          </w:p>
        </w:tc>
        <w:tc>
          <w:tcPr>
            <w:tcW w:w="773" w:type="pct"/>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20"/>
                <w:szCs w:val="20"/>
              </w:rPr>
            </w:pPr>
          </w:p>
        </w:tc>
        <w:tc>
          <w:tcPr>
            <w:tcW w:w="1197" w:type="pct"/>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20"/>
                <w:szCs w:val="20"/>
              </w:rPr>
            </w:pPr>
          </w:p>
        </w:tc>
        <w:tc>
          <w:tcPr>
            <w:tcW w:w="1205" w:type="pct"/>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kern w:val="2"/>
                <w:sz w:val="20"/>
                <w:szCs w:val="20"/>
              </w:rPr>
            </w:pPr>
            <w:r>
              <w:rPr>
                <w:rFonts w:hint="eastAsia" w:ascii="Times New Roman" w:hAnsi="Times New Roman" w:eastAsia="方正仿宋_GBK" w:cs="方正仿宋_GBK"/>
                <w:b w:val="0"/>
                <w:bCs/>
                <w:color w:val="000000"/>
                <w:kern w:val="2"/>
                <w:sz w:val="20"/>
                <w:szCs w:val="20"/>
              </w:rPr>
              <w:t>公开09表</w:t>
            </w:r>
          </w:p>
        </w:tc>
      </w:tr>
      <w:tr>
        <w:tblPrEx>
          <w:tblCellMar>
            <w:top w:w="0" w:type="dxa"/>
            <w:left w:w="170" w:type="dxa"/>
            <w:bottom w:w="0" w:type="dxa"/>
            <w:right w:w="170" w:type="dxa"/>
          </w:tblCellMar>
        </w:tblPrEx>
        <w:trPr>
          <w:trHeight w:val="244" w:hRule="atLeast"/>
        </w:trPr>
        <w:tc>
          <w:tcPr>
            <w:tcW w:w="1823"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20"/>
                <w:szCs w:val="20"/>
              </w:rPr>
            </w:pPr>
            <w:r>
              <w:rPr>
                <w:rFonts w:hint="eastAsia" w:ascii="Times New Roman" w:hAnsi="Times New Roman" w:eastAsia="方正仿宋_GBK" w:cs="方正仿宋_GBK"/>
                <w:b w:val="0"/>
                <w:bCs/>
                <w:kern w:val="2"/>
                <w:sz w:val="20"/>
                <w:szCs w:val="20"/>
                <w:lang w:eastAsia="zh-CN"/>
              </w:rPr>
              <w:t>单位</w:t>
            </w:r>
            <w:r>
              <w:rPr>
                <w:rFonts w:hint="eastAsia" w:ascii="Times New Roman" w:hAnsi="Times New Roman" w:eastAsia="方正仿宋_GBK" w:cs="方正仿宋_GBK"/>
                <w:b w:val="0"/>
                <w:bCs/>
                <w:color w:val="000000"/>
                <w:kern w:val="2"/>
                <w:sz w:val="20"/>
                <w:szCs w:val="20"/>
              </w:rPr>
              <w:t>：</w:t>
            </w:r>
            <w:r>
              <w:rPr>
                <w:rFonts w:hint="eastAsia" w:ascii="Times New Roman" w:hAnsi="Times New Roman" w:eastAsia="方正仿宋_GBK" w:cs="方正仿宋_GBK"/>
                <w:b w:val="0"/>
                <w:bCs/>
                <w:color w:val="000000"/>
                <w:sz w:val="20"/>
                <w:u w:color="auto"/>
              </w:rPr>
              <w:t>蔈草镇产业发展服务中心</w:t>
            </w:r>
          </w:p>
        </w:tc>
        <w:tc>
          <w:tcPr>
            <w:tcW w:w="773"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20"/>
                <w:szCs w:val="20"/>
              </w:rPr>
            </w:pPr>
          </w:p>
        </w:tc>
        <w:tc>
          <w:tcPr>
            <w:tcW w:w="1197"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20"/>
                <w:szCs w:val="20"/>
              </w:rPr>
            </w:pPr>
          </w:p>
        </w:tc>
        <w:tc>
          <w:tcPr>
            <w:tcW w:w="1205"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kern w:val="2"/>
                <w:sz w:val="20"/>
                <w:szCs w:val="20"/>
              </w:rPr>
            </w:pPr>
            <w:r>
              <w:rPr>
                <w:rFonts w:hint="eastAsia" w:ascii="Times New Roman" w:hAnsi="Times New Roman" w:eastAsia="方正仿宋_GBK" w:cs="方正仿宋_GBK"/>
                <w:b w:val="0"/>
                <w:bCs/>
                <w:color w:val="000000"/>
                <w:kern w:val="2"/>
                <w:sz w:val="20"/>
                <w:szCs w:val="20"/>
              </w:rPr>
              <w:t>单位：</w:t>
            </w:r>
            <w:r>
              <w:rPr>
                <w:rFonts w:hint="eastAsia" w:ascii="Times New Roman" w:hAnsi="Times New Roman" w:eastAsia="方正仿宋_GBK" w:cs="方正仿宋_GBK"/>
                <w:b w:val="0"/>
                <w:bCs/>
                <w:kern w:val="2"/>
                <w:sz w:val="20"/>
                <w:szCs w:val="20"/>
              </w:rPr>
              <w:t>万元</w:t>
            </w:r>
          </w:p>
        </w:tc>
      </w:tr>
      <w:tr>
        <w:tblPrEx>
          <w:tblCellMar>
            <w:top w:w="0" w:type="dxa"/>
            <w:left w:w="170" w:type="dxa"/>
            <w:bottom w:w="0" w:type="dxa"/>
            <w:right w:w="170" w:type="dxa"/>
          </w:tblCellMar>
        </w:tblPrEx>
        <w:trPr>
          <w:trHeight w:val="28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项  目</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预算数</w:t>
            </w:r>
          </w:p>
        </w:tc>
        <w:tc>
          <w:tcPr>
            <w:tcW w:w="7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决算数</w:t>
            </w:r>
          </w:p>
        </w:tc>
        <w:tc>
          <w:tcPr>
            <w:tcW w:w="11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项  目</w:t>
            </w:r>
          </w:p>
        </w:tc>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决算数</w:t>
            </w:r>
          </w:p>
        </w:tc>
      </w:tr>
      <w:tr>
        <w:tblPrEx>
          <w:tblCellMar>
            <w:top w:w="0" w:type="dxa"/>
            <w:left w:w="170" w:type="dxa"/>
            <w:bottom w:w="0" w:type="dxa"/>
            <w:right w:w="170" w:type="dxa"/>
          </w:tblCellMar>
        </w:tblPrEx>
        <w:trPr>
          <w:trHeight w:val="28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一、“三公”经费支出</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11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五、机关运行经费</w:t>
            </w:r>
          </w:p>
        </w:tc>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（一）支出合计</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7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（一）行政单位</w:t>
            </w:r>
          </w:p>
        </w:tc>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1．因公出国（境）费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7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（二）参照公务员法管理事业单位</w:t>
            </w:r>
          </w:p>
        </w:tc>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2．公务用车购置及运行维护费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7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六、资产信息</w:t>
            </w:r>
          </w:p>
        </w:tc>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w:t>
            </w: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（1）公务用车购置费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7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（一）车辆数合计（辆）</w:t>
            </w:r>
          </w:p>
        </w:tc>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（2）公务用车运行维护费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7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1．副部（省）级及以上领导用车</w:t>
            </w:r>
          </w:p>
        </w:tc>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3．公务接待费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7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2．主要领导干部用车</w:t>
            </w:r>
          </w:p>
        </w:tc>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（1）国内接待费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3．机要通信用车</w:t>
            </w:r>
          </w:p>
        </w:tc>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其中：外事接待费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4．应急保障用车</w:t>
            </w:r>
          </w:p>
        </w:tc>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（2）国（境）外接待费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5．执法执勤用车</w:t>
            </w:r>
          </w:p>
        </w:tc>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（二）相关统计数</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11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6．特种专业技术用车</w:t>
            </w:r>
          </w:p>
        </w:tc>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1．因公出国（境）团组数（个）</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7．离退休干部用车</w:t>
            </w:r>
          </w:p>
        </w:tc>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2．因公出国（境）人次数（人）</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8．其他用车</w:t>
            </w:r>
          </w:p>
        </w:tc>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3．公务用车购置数（辆）</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（二）单价100万元（含）以上设备（不含车辆）</w:t>
            </w:r>
          </w:p>
        </w:tc>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4．公务用车保有量（辆）</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七、政府采购支出信息</w:t>
            </w:r>
          </w:p>
        </w:tc>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w:t>
            </w: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5．国内公务接待批次（个）</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（一）政府采购支出合计</w:t>
            </w:r>
          </w:p>
        </w:tc>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其中：外事接待批次（个）</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1．政府采购货物支出</w:t>
            </w:r>
          </w:p>
        </w:tc>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6．国内公务接待人次（人）</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2．政府采购工程支出</w:t>
            </w:r>
          </w:p>
        </w:tc>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其中：外事接待人次（人）</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3．政府采购服务支出</w:t>
            </w:r>
          </w:p>
        </w:tc>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7．国（境）外公务接待批次（个）</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（二）政府采购授予中小企业合同金额</w:t>
            </w:r>
          </w:p>
        </w:tc>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8．国（境）外公务接待人次（人）</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其中：授予小微企业合同金额</w:t>
            </w:r>
          </w:p>
        </w:tc>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86"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二、会议费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16"/>
                <w:szCs w:val="16"/>
              </w:rPr>
            </w:pPr>
          </w:p>
        </w:tc>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16"/>
                <w:szCs w:val="16"/>
              </w:rPr>
            </w:pPr>
          </w:p>
        </w:tc>
      </w:tr>
      <w:tr>
        <w:tblPrEx>
          <w:tblCellMar>
            <w:top w:w="0" w:type="dxa"/>
            <w:left w:w="170" w:type="dxa"/>
            <w:bottom w:w="0" w:type="dxa"/>
            <w:right w:w="170" w:type="dxa"/>
          </w:tblCellMar>
        </w:tblPrEx>
        <w:trPr>
          <w:trHeight w:val="389"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三、培训费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1.23</w:t>
            </w:r>
          </w:p>
        </w:tc>
        <w:tc>
          <w:tcPr>
            <w:tcW w:w="11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16"/>
                <w:szCs w:val="16"/>
              </w:rPr>
            </w:pPr>
          </w:p>
        </w:tc>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16"/>
                <w:szCs w:val="16"/>
              </w:rPr>
            </w:pPr>
          </w:p>
        </w:tc>
      </w:tr>
      <w:tr>
        <w:tblPrEx>
          <w:tblCellMar>
            <w:top w:w="0" w:type="dxa"/>
            <w:left w:w="170" w:type="dxa"/>
            <w:bottom w:w="0" w:type="dxa"/>
            <w:right w:w="170" w:type="dxa"/>
          </w:tblCellMar>
        </w:tblPrEx>
        <w:trPr>
          <w:trHeight w:val="389"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6"/>
                <w:szCs w:val="16"/>
              </w:rPr>
            </w:pPr>
            <w:r>
              <w:rPr>
                <w:rFonts w:hint="eastAsia" w:ascii="Times New Roman" w:hAnsi="Times New Roman" w:eastAsia="方正仿宋_GBK" w:cs="方正仿宋_GBK"/>
                <w:b w:val="0"/>
                <w:bCs/>
                <w:color w:val="000000"/>
                <w:sz w:val="16"/>
                <w:szCs w:val="16"/>
              </w:rPr>
              <w:t>四、差旅费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w:t>
            </w:r>
          </w:p>
        </w:tc>
        <w:tc>
          <w:tcPr>
            <w:tcW w:w="7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c>
          <w:tcPr>
            <w:tcW w:w="11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6"/>
                <w:szCs w:val="16"/>
              </w:rPr>
            </w:pPr>
          </w:p>
        </w:tc>
        <w:tc>
          <w:tcPr>
            <w:tcW w:w="12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6"/>
                <w:szCs w:val="16"/>
              </w:rPr>
            </w:pPr>
          </w:p>
        </w:tc>
      </w:tr>
    </w:tbl>
    <w:p>
      <w:pPr>
        <w:keepNext w:val="0"/>
        <w:keepLines w:val="0"/>
        <w:pageBreakBefore w:val="0"/>
        <w:widowControl/>
        <w:kinsoku/>
        <w:wordWrap/>
        <w:overflowPunct/>
        <w:topLinePunct w:val="0"/>
        <w:autoSpaceDE/>
        <w:autoSpaceDN/>
        <w:bidi w:val="0"/>
        <w:adjustRightInd/>
        <w:snapToGrid/>
        <w:spacing w:line="240" w:lineRule="auto"/>
        <w:jc w:val="left"/>
        <w:rPr>
          <w:rFonts w:hint="eastAsia" w:ascii="Times New Roman" w:hAnsi="Times New Roman" w:eastAsia="方正仿宋_GBK" w:cs="方正仿宋_GBK"/>
          <w:b w:val="0"/>
          <w:bCs/>
          <w:sz w:val="18"/>
          <w:szCs w:val="18"/>
        </w:rPr>
      </w:pPr>
      <w:r>
        <w:rPr>
          <w:rFonts w:hint="eastAsia" w:ascii="Times New Roman" w:hAnsi="Times New Roman" w:eastAsia="方正仿宋_GBK" w:cs="方正仿宋_GBK"/>
          <w:b w:val="0"/>
          <w:bCs/>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eastAsia" w:ascii="Times New Roman" w:hAnsi="Times New Roman" w:eastAsia="方正仿宋_GBK" w:cs="方正仿宋_GBK"/>
          <w:b w:val="0"/>
          <w:bCs/>
          <w:sz w:val="18"/>
          <w:szCs w:val="18"/>
        </w:rPr>
        <w:br w:type="textWrapping"/>
      </w:r>
      <w:r>
        <w:rPr>
          <w:rFonts w:hint="eastAsia" w:ascii="Times New Roman" w:hAnsi="Times New Roman" w:eastAsia="方正仿宋_GBK" w:cs="方正仿宋_GBK"/>
          <w:b w:val="0"/>
          <w:bCs/>
          <w:sz w:val="18"/>
          <w:szCs w:val="18"/>
        </w:rPr>
        <w:t xml:space="preserve">      2.本套报表金额单位转换时可能存在尾数误差。</w:t>
      </w:r>
      <w:r>
        <w:rPr>
          <w:rFonts w:hint="eastAsia" w:ascii="Times New Roman" w:hAnsi="Times New Roman" w:eastAsia="方正仿宋_GBK" w:cs="方正仿宋_GBK"/>
          <w:b w:val="0"/>
          <w:bCs/>
          <w:sz w:val="18"/>
          <w:szCs w:val="18"/>
        </w:rPr>
        <w:br w:type="textWrapping"/>
      </w:r>
      <w:r>
        <w:rPr>
          <w:rFonts w:hint="eastAsia" w:ascii="Times New Roman" w:hAnsi="Times New Roman" w:eastAsia="方正仿宋_GBK" w:cs="方正仿宋_GBK"/>
          <w:b w:val="0"/>
          <w:bCs/>
          <w:sz w:val="18"/>
          <w:szCs w:val="18"/>
        </w:rPr>
        <w:br w:type="textWrapping"/>
      </w:r>
    </w:p>
    <w:sectPr>
      <w:pgSz w:w="16783" w:h="11850" w:orient="landscape"/>
      <w:pgMar w:top="2098" w:right="1531" w:bottom="1984" w:left="1531"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3A109F"/>
    <w:rsid w:val="02A535A0"/>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2D370C"/>
    <w:rsid w:val="0969353F"/>
    <w:rsid w:val="098305D0"/>
    <w:rsid w:val="09B1218B"/>
    <w:rsid w:val="0A3317EA"/>
    <w:rsid w:val="0A5C4B69"/>
    <w:rsid w:val="0A86124A"/>
    <w:rsid w:val="0AB54CC0"/>
    <w:rsid w:val="0B9335CE"/>
    <w:rsid w:val="0B956759"/>
    <w:rsid w:val="0BF2311A"/>
    <w:rsid w:val="0BF40511"/>
    <w:rsid w:val="0C7927C4"/>
    <w:rsid w:val="0C9B098C"/>
    <w:rsid w:val="0CB56CB0"/>
    <w:rsid w:val="0D673E11"/>
    <w:rsid w:val="0DDA54E4"/>
    <w:rsid w:val="0E3A5F83"/>
    <w:rsid w:val="0F7070AD"/>
    <w:rsid w:val="0F836721"/>
    <w:rsid w:val="0FA1275E"/>
    <w:rsid w:val="0FA25D96"/>
    <w:rsid w:val="0FED5CD5"/>
    <w:rsid w:val="105A290D"/>
    <w:rsid w:val="107B59E5"/>
    <w:rsid w:val="10EC0126"/>
    <w:rsid w:val="10F70B9A"/>
    <w:rsid w:val="111445C7"/>
    <w:rsid w:val="114278C6"/>
    <w:rsid w:val="1158083A"/>
    <w:rsid w:val="11643A4B"/>
    <w:rsid w:val="11ED0F98"/>
    <w:rsid w:val="11F03528"/>
    <w:rsid w:val="12A460C1"/>
    <w:rsid w:val="12C921C4"/>
    <w:rsid w:val="13871C70"/>
    <w:rsid w:val="13A71CB4"/>
    <w:rsid w:val="13AF1D43"/>
    <w:rsid w:val="13CE1647"/>
    <w:rsid w:val="13FD017F"/>
    <w:rsid w:val="13FD55AB"/>
    <w:rsid w:val="14200702"/>
    <w:rsid w:val="14370EA1"/>
    <w:rsid w:val="160475A2"/>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80026D"/>
    <w:rsid w:val="1FBB35CD"/>
    <w:rsid w:val="1FCD26AF"/>
    <w:rsid w:val="20642787"/>
    <w:rsid w:val="213276BA"/>
    <w:rsid w:val="21556F04"/>
    <w:rsid w:val="22403BD3"/>
    <w:rsid w:val="22AD3177"/>
    <w:rsid w:val="235417B6"/>
    <w:rsid w:val="2358717F"/>
    <w:rsid w:val="24B92327"/>
    <w:rsid w:val="24C14514"/>
    <w:rsid w:val="252D4D73"/>
    <w:rsid w:val="2533755C"/>
    <w:rsid w:val="25791755"/>
    <w:rsid w:val="26396DF4"/>
    <w:rsid w:val="27167136"/>
    <w:rsid w:val="271B442C"/>
    <w:rsid w:val="27B23302"/>
    <w:rsid w:val="28215D92"/>
    <w:rsid w:val="29310A5F"/>
    <w:rsid w:val="29BF3AB4"/>
    <w:rsid w:val="29C37A35"/>
    <w:rsid w:val="2A076083"/>
    <w:rsid w:val="2A73162E"/>
    <w:rsid w:val="2B167953"/>
    <w:rsid w:val="2B200583"/>
    <w:rsid w:val="2B2729C0"/>
    <w:rsid w:val="2B8209DE"/>
    <w:rsid w:val="2B821C91"/>
    <w:rsid w:val="2BF81A22"/>
    <w:rsid w:val="2C1F083A"/>
    <w:rsid w:val="2C636760"/>
    <w:rsid w:val="2C6762A3"/>
    <w:rsid w:val="2EA4771D"/>
    <w:rsid w:val="2EB34ABF"/>
    <w:rsid w:val="2FCA4B37"/>
    <w:rsid w:val="2FE029D7"/>
    <w:rsid w:val="2FF06E00"/>
    <w:rsid w:val="30586FEC"/>
    <w:rsid w:val="309A0DD7"/>
    <w:rsid w:val="30BE67FD"/>
    <w:rsid w:val="315F0B22"/>
    <w:rsid w:val="31A15828"/>
    <w:rsid w:val="31D84415"/>
    <w:rsid w:val="32285F6F"/>
    <w:rsid w:val="32770556"/>
    <w:rsid w:val="3281224F"/>
    <w:rsid w:val="329C0913"/>
    <w:rsid w:val="32AA0460"/>
    <w:rsid w:val="3337290D"/>
    <w:rsid w:val="33E31118"/>
    <w:rsid w:val="33EF7674"/>
    <w:rsid w:val="342D7BC6"/>
    <w:rsid w:val="34E8162E"/>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492BB1"/>
    <w:rsid w:val="45CB699A"/>
    <w:rsid w:val="46423C66"/>
    <w:rsid w:val="465B470D"/>
    <w:rsid w:val="469320F9"/>
    <w:rsid w:val="469D6AD4"/>
    <w:rsid w:val="471E6C84"/>
    <w:rsid w:val="4748792B"/>
    <w:rsid w:val="475D719D"/>
    <w:rsid w:val="47674801"/>
    <w:rsid w:val="47A44D3E"/>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1DE7EB5"/>
    <w:rsid w:val="52234D33"/>
    <w:rsid w:val="522F6E0C"/>
    <w:rsid w:val="52463BA1"/>
    <w:rsid w:val="52F163D4"/>
    <w:rsid w:val="531A2DB4"/>
    <w:rsid w:val="531E71EE"/>
    <w:rsid w:val="53746E0E"/>
    <w:rsid w:val="53A877AA"/>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7E9601D"/>
    <w:rsid w:val="5805272B"/>
    <w:rsid w:val="5842572D"/>
    <w:rsid w:val="5A3B59D6"/>
    <w:rsid w:val="5A3F515B"/>
    <w:rsid w:val="5AD134D8"/>
    <w:rsid w:val="5BF41F67"/>
    <w:rsid w:val="5C263CE4"/>
    <w:rsid w:val="5C5D2777"/>
    <w:rsid w:val="5CF66BF3"/>
    <w:rsid w:val="5D290C69"/>
    <w:rsid w:val="5DA80C2C"/>
    <w:rsid w:val="5F2D4A41"/>
    <w:rsid w:val="60C74F6C"/>
    <w:rsid w:val="61015958"/>
    <w:rsid w:val="61025A59"/>
    <w:rsid w:val="613D5BBC"/>
    <w:rsid w:val="61536C39"/>
    <w:rsid w:val="62944DD7"/>
    <w:rsid w:val="62976675"/>
    <w:rsid w:val="6319381F"/>
    <w:rsid w:val="63C25DC5"/>
    <w:rsid w:val="63C62057"/>
    <w:rsid w:val="64571EF5"/>
    <w:rsid w:val="64FB113D"/>
    <w:rsid w:val="656152C6"/>
    <w:rsid w:val="6587477F"/>
    <w:rsid w:val="658C3A08"/>
    <w:rsid w:val="65C031CA"/>
    <w:rsid w:val="65CE6852"/>
    <w:rsid w:val="66267C04"/>
    <w:rsid w:val="663012BB"/>
    <w:rsid w:val="663F505A"/>
    <w:rsid w:val="666C2D2F"/>
    <w:rsid w:val="66AF5D7C"/>
    <w:rsid w:val="66EE5541"/>
    <w:rsid w:val="67924660"/>
    <w:rsid w:val="68407834"/>
    <w:rsid w:val="6883293E"/>
    <w:rsid w:val="688412AD"/>
    <w:rsid w:val="68EB1B71"/>
    <w:rsid w:val="696C0310"/>
    <w:rsid w:val="6A6C7940"/>
    <w:rsid w:val="6A9F1565"/>
    <w:rsid w:val="6A9F1CE8"/>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734FD7"/>
    <w:rsid w:val="708F6F7F"/>
    <w:rsid w:val="70D94BD3"/>
    <w:rsid w:val="71574775"/>
    <w:rsid w:val="71C34D91"/>
    <w:rsid w:val="72720262"/>
    <w:rsid w:val="72DB435C"/>
    <w:rsid w:val="72E2613A"/>
    <w:rsid w:val="72F771F4"/>
    <w:rsid w:val="73352D1B"/>
    <w:rsid w:val="73934AD2"/>
    <w:rsid w:val="750837F0"/>
    <w:rsid w:val="754758CF"/>
    <w:rsid w:val="75595ECD"/>
    <w:rsid w:val="760D6F22"/>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E376C2A"/>
    <w:rsid w:val="7F405B67"/>
    <w:rsid w:val="7F446A19"/>
    <w:rsid w:val="7F7452B9"/>
    <w:rsid w:val="D79FB870"/>
    <w:rsid w:val="FEF30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4912</Words>
  <Characters>5473</Characters>
  <Lines>186</Lines>
  <Paragraphs>52</Paragraphs>
  <TotalTime>1092</TotalTime>
  <ScaleCrop>false</ScaleCrop>
  <LinksUpToDate>false</LinksUpToDate>
  <CharactersWithSpaces>5480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蔈草镇管理员</cp:lastModifiedBy>
  <dcterms:modified xsi:type="dcterms:W3CDTF">2025-10-21T15:49:17Z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BB46EABDBB2749749395447164B066B3_12</vt:lpwstr>
  </property>
  <property fmtid="{D5CDD505-2E9C-101B-9397-08002B2CF9AE}" pid="4" name="KSOTemplateDocerSaveRecord">
    <vt:lpwstr>eyJoZGlkIjoiNjZiZGNlY2NhZjk2MDI1YzQyMWZkNWVmYjFiNmYwNjAifQ==</vt:lpwstr>
  </property>
</Properties>
</file>