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重庆市云阳县蔈草镇新时代文明实践服务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val="en-US" w:eastAsia="zh-CN"/>
        </w:rPr>
        <w:t>中心</w:t>
      </w: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Times New Roman" w:hAnsi="Times New Roman" w:eastAsia="方正仿宋_GBK" w:cs="方正小标宋_GBK"/>
          <w:b w:val="0"/>
          <w:bCs w:val="0"/>
          <w:sz w:val="44"/>
          <w:szCs w:val="44"/>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一、单位基本情况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宋体"/>
          <w:b w:val="0"/>
          <w:bCs w:val="0"/>
          <w:kern w:val="0"/>
          <w:sz w:val="32"/>
          <w:szCs w:val="32"/>
          <w:lang w:val="en-US" w:eastAsia="zh-CN"/>
        </w:rPr>
      </w:pPr>
      <w:r>
        <w:rPr>
          <w:rFonts w:hint="eastAsia" w:ascii="Times New Roman" w:hAnsi="Times New Roman" w:eastAsia="方正仿宋_GBK" w:cs="宋体"/>
          <w:b w:val="0"/>
          <w:bCs w:val="0"/>
          <w:kern w:val="0"/>
          <w:sz w:val="32"/>
          <w:szCs w:val="32"/>
        </w:rPr>
        <w:t>负责文化、宣传、广播电视、体育、科技培训等方面服务工作；负责宣传文化体育阵地建设；负责组织开展文化娱乐和体育健身活动；负责辖区内文艺社团交流活动；负责民族民间非物质文化遗产搜集、整理、保护工作；负责辖区旅游资源普查、规划、整合、开发和相关保护工作；负责辖区内广播电视、电台节目的有关服务工作</w:t>
      </w:r>
      <w:r>
        <w:rPr>
          <w:rFonts w:hint="eastAsia" w:ascii="Times New Roman" w:hAnsi="Times New Roman" w:eastAsia="方正仿宋_GBK" w:cs="宋体"/>
          <w:b w:val="0"/>
          <w:bCs w:val="0"/>
          <w:kern w:val="0"/>
          <w:sz w:val="32"/>
          <w:szCs w:val="32"/>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方正仿宋_GBK"/>
          <w:b w:val="0"/>
          <w:bCs w:val="0"/>
          <w:sz w:val="32"/>
          <w:szCs w:val="32"/>
          <w:highlight w:val="none"/>
          <w:lang w:val="zh-CN"/>
        </w:rPr>
      </w:pPr>
      <w:r>
        <w:rPr>
          <w:rFonts w:hint="eastAsia" w:ascii="Times New Roman" w:hAnsi="Times New Roman" w:eastAsia="方正仿宋_GBK" w:cs="方正仿宋_GBK"/>
          <w:b w:val="0"/>
          <w:bCs w:val="0"/>
          <w:sz w:val="32"/>
          <w:szCs w:val="32"/>
          <w:highlight w:val="none"/>
          <w:lang w:val="zh-CN"/>
        </w:rPr>
        <w:t>本单位为云阳县蔈草镇人民政府下属</w:t>
      </w:r>
      <w:r>
        <w:rPr>
          <w:rFonts w:hint="eastAsia" w:ascii="Times New Roman" w:hAnsi="Times New Roman" w:eastAsia="方正仿宋_GBK" w:cs="方正仿宋_GBK"/>
          <w:b w:val="0"/>
          <w:bCs w:val="0"/>
          <w:sz w:val="32"/>
          <w:szCs w:val="32"/>
          <w:highlight w:val="none"/>
          <w:lang w:val="en-US" w:eastAsia="zh-CN"/>
        </w:rPr>
        <w:t>事业</w:t>
      </w:r>
      <w:r>
        <w:rPr>
          <w:rFonts w:hint="eastAsia" w:ascii="Times New Roman" w:hAnsi="Times New Roman" w:eastAsia="方正仿宋_GBK" w:cs="方正仿宋_GBK"/>
          <w:b w:val="0"/>
          <w:bCs w:val="0"/>
          <w:sz w:val="32"/>
          <w:szCs w:val="32"/>
          <w:highlight w:val="none"/>
          <w:lang w:val="zh-CN"/>
        </w:rPr>
        <w:t>单位，无独立的机构设置。</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二、单位决算收支情况说明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eastAsia="zh-CN"/>
        </w:rPr>
      </w:pPr>
      <w:r>
        <w:rPr>
          <w:rStyle w:val="10"/>
          <w:rFonts w:ascii="Times New Roman" w:hAnsi="Times New Roman" w:eastAsia="方正仿宋_GBK" w:cs="方正仿宋_GBK"/>
          <w:b w:val="0"/>
          <w:bCs w:val="0"/>
          <w:sz w:val="32"/>
          <w:szCs w:val="32"/>
          <w:shd w:val="clear" w:color="auto" w:fill="FFFFFF"/>
        </w:rPr>
        <w:t>1.总体情况。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度收入总计59.64万元，支出总计</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万元。收、支与2023年度相比，增加59.64万元，增长100.0%，主要原因是我单位为2024年新设置预算单位，无法与上年同期数进行比较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ascii="Times New Roman" w:hAnsi="Times New Roman" w:eastAsia="方正仿宋_GBK" w:cs="方正仿宋_GBK"/>
          <w:b w:val="0"/>
          <w:bCs w:val="0"/>
          <w:sz w:val="32"/>
          <w:szCs w:val="32"/>
          <w:shd w:val="clear" w:color="auto" w:fill="FFFFFF"/>
        </w:rPr>
        <w:t>2.收入情况。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度收入合计59.64万元，与2023年度相比，增加59.64万元，增长100.0%，主要原因是我单位为2024年新设置预算单位，无法与上年同期数进行比较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万元，占0.00%；其他收入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万元，占0.00%。此外，使用非财政拨款结余和专用结余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ascii="Times New Roman" w:hAnsi="Times New Roman" w:eastAsia="方正仿宋_GBK" w:cs="方正仿宋_GBK"/>
          <w:b w:val="0"/>
          <w:bCs w:val="0"/>
          <w:sz w:val="32"/>
          <w:szCs w:val="32"/>
          <w:shd w:val="clear" w:color="auto" w:fill="FFFFFF"/>
        </w:rPr>
        <w:t>3.支出情况。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万元，与2023年度相比，增加59.64万元，增长100.0%，主要原因是我单位为2024年新设置预算单位，无法与上年同期数进行比较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万元，占100.00%；项目支出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万元，占0.00%。此外，结余分配</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0"/>
          <w:rFonts w:ascii="Times New Roman" w:hAnsi="Times New Roman" w:eastAsia="方正仿宋_GBK" w:cs="方正仿宋_GBK"/>
          <w:b w:val="0"/>
          <w:bCs w:val="0"/>
          <w:sz w:val="32"/>
          <w:szCs w:val="32"/>
          <w:shd w:val="clear" w:color="auto" w:fill="FFFFFF"/>
        </w:rPr>
        <w:t>4.结转结余情况。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度财政拨款收、支总计59.64万元。与202</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年相比，财政拨款收、支总计各增加59.64万元，增长100.0%。主要原因是我单位为2024年新设置预算单位，无法与上年同期数进行比较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0"/>
          <w:rFonts w:ascii="Times New Roman" w:hAnsi="Times New Roman" w:eastAsia="方正仿宋_GBK" w:cs="方正仿宋_GBK"/>
          <w:b w:val="0"/>
          <w:bCs w:val="0"/>
          <w:sz w:val="32"/>
          <w:szCs w:val="32"/>
          <w:shd w:val="clear" w:color="auto" w:fill="FFFFFF"/>
        </w:rPr>
        <w:t>1.收入情况。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万元，与2023年度相比，增加59.64万元，增长100.0%。主要原因是我单位为2024年新设置预算单位，无法与上年同期数进行比较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较年初预算数减少6.41万元，下降9.7%。主要原因是</w:t>
      </w:r>
      <w:r>
        <w:rPr>
          <w:rFonts w:hint="eastAsia" w:ascii="Times New Roman" w:hAnsi="Times New Roman" w:eastAsia="方正仿宋_GBK" w:cs="方正仿宋_GBK"/>
          <w:b w:val="0"/>
          <w:bCs w:val="0"/>
          <w:sz w:val="32"/>
          <w:szCs w:val="32"/>
          <w:shd w:val="clear" w:color="auto" w:fill="FFFFFF"/>
          <w:lang w:val="en-US" w:eastAsia="zh-CN"/>
        </w:rPr>
        <w:t>2024年我单位调出人员1名，人员经费减少。</w:t>
      </w:r>
      <w:r>
        <w:rPr>
          <w:rFonts w:ascii="Times New Roman" w:hAnsi="Times New Roman"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0"/>
          <w:rFonts w:ascii="Times New Roman" w:hAnsi="Times New Roman" w:eastAsia="方正仿宋_GBK" w:cs="方正仿宋_GBK"/>
          <w:b w:val="0"/>
          <w:bCs w:val="0"/>
          <w:sz w:val="32"/>
          <w:szCs w:val="32"/>
          <w:shd w:val="clear" w:color="auto" w:fill="FFFFFF"/>
        </w:rPr>
        <w:t>2.支出情况。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万元，与2023年度相比，增加59.64万元，增长100.0%。主要原因是我单位为2024年新设置预算单位，无法与上年同期数进行比较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较年初预算数减少6.41万元，下降9.7%。主要原因是</w:t>
      </w:r>
      <w:r>
        <w:rPr>
          <w:rFonts w:hint="eastAsia" w:ascii="Times New Roman" w:hAnsi="Times New Roman" w:eastAsia="方正仿宋_GBK" w:cs="方正仿宋_GBK"/>
          <w:b w:val="0"/>
          <w:bCs w:val="0"/>
          <w:sz w:val="32"/>
          <w:szCs w:val="32"/>
          <w:shd w:val="clear" w:color="auto" w:fill="FFFFFF"/>
          <w:lang w:val="en-US" w:eastAsia="zh-CN"/>
        </w:rPr>
        <w:t>2024年我单位调出人员1名，人员经费减少。</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Style w:val="10"/>
          <w:rFonts w:ascii="Times New Roman" w:hAnsi="Times New Roman" w:eastAsia="方正仿宋_GBK" w:cs="方正仿宋_GBK"/>
          <w:b w:val="0"/>
          <w:bCs w:val="0"/>
          <w:sz w:val="32"/>
          <w:szCs w:val="32"/>
          <w:shd w:val="clear" w:color="auto" w:fill="FFFFFF"/>
        </w:rPr>
        <w:t>3.结转结余情况。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w:t>
      </w:r>
      <w:r>
        <w:rPr>
          <w:rFonts w:hint="eastAsia" w:ascii="Times New Roman" w:hAnsi="Times New Roman" w:eastAsia="方正仿宋_GBK" w:cs="方正仿宋_GBK"/>
          <w:b w:val="0"/>
          <w:bCs w:val="0"/>
          <w:sz w:val="32"/>
          <w:szCs w:val="32"/>
          <w:shd w:val="clear" w:color="auto" w:fill="FFFFFF"/>
          <w:lang w:val="en-US" w:eastAsia="zh-CN"/>
        </w:rPr>
        <w:t>是我单位为2024年新设置预算单位，无法与上年同期数进行比较。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highlight w:val="cyan"/>
          <w:shd w:val="clear" w:color="auto" w:fill="FFFFFF"/>
        </w:rPr>
      </w:pPr>
      <w:r>
        <w:rPr>
          <w:rStyle w:val="10"/>
          <w:rFonts w:ascii="Times New Roman" w:hAnsi="Times New Roman" w:eastAsia="方正仿宋_GBK" w:cs="方正仿宋_GBK"/>
          <w:b w:val="0"/>
          <w:bCs w:val="0"/>
          <w:sz w:val="32"/>
          <w:szCs w:val="32"/>
          <w:shd w:val="clear" w:color="auto" w:fill="FFFFFF"/>
        </w:rPr>
        <w:t>4.比较情况。</w:t>
      </w:r>
      <w:r>
        <w:rPr>
          <w:rFonts w:ascii="Times New Roman" w:hAnsi="Times New Roman"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（1）一般公共服务支出</w:t>
      </w:r>
      <w:r>
        <w:rPr>
          <w:rFonts w:ascii="Times New Roman" w:hAnsi="Times New Roman" w:eastAsia="方正仿宋_GBK" w:cs="方正仿宋_GBK"/>
          <w:b w:val="0"/>
          <w:bCs w:val="0"/>
          <w:sz w:val="32"/>
          <w:szCs w:val="32"/>
        </w:rPr>
        <w:t>23.62</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39.60</w:t>
      </w:r>
      <w:r>
        <w:rPr>
          <w:rFonts w:ascii="Times New Roman" w:hAnsi="Times New Roman" w:eastAsia="方正仿宋_GBK" w:cs="方正仿宋_GBK"/>
          <w:b w:val="0"/>
          <w:bCs w:val="0"/>
          <w:sz w:val="32"/>
          <w:szCs w:val="32"/>
          <w:shd w:val="clear" w:color="auto" w:fill="FFFFFF"/>
        </w:rPr>
        <w:t>%，较年初预算数增加23.62万元，增长100.0%，主要原因是我单位为2024年新设置预算单位，无法与上年同期数进行比较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）文化旅游体育与传媒支出</w:t>
      </w:r>
      <w:r>
        <w:rPr>
          <w:rFonts w:ascii="Times New Roman" w:hAnsi="Times New Roman" w:eastAsia="方正仿宋_GBK" w:cs="方正仿宋_GBK"/>
          <w:b w:val="0"/>
          <w:bCs w:val="0"/>
          <w:sz w:val="32"/>
          <w:szCs w:val="32"/>
        </w:rPr>
        <w:t>19.60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32.86</w:t>
      </w:r>
      <w:r>
        <w:rPr>
          <w:rFonts w:ascii="Times New Roman" w:hAnsi="Times New Roman" w:eastAsia="方正仿宋_GBK" w:cs="方正仿宋_GBK"/>
          <w:b w:val="0"/>
          <w:bCs w:val="0"/>
          <w:sz w:val="32"/>
          <w:szCs w:val="32"/>
          <w:shd w:val="clear" w:color="auto" w:fill="FFFFFF"/>
        </w:rPr>
        <w:t>%，较年初预算数减少31.05万元，下降61.3%，主要原因是我单位2024年</w:t>
      </w:r>
      <w:r>
        <w:rPr>
          <w:rFonts w:hint="eastAsia" w:ascii="Times New Roman" w:hAnsi="Times New Roman" w:eastAsia="方正仿宋_GBK" w:cs="方正仿宋_GBK"/>
          <w:b w:val="0"/>
          <w:bCs w:val="0"/>
          <w:sz w:val="32"/>
          <w:szCs w:val="32"/>
          <w:shd w:val="clear" w:color="auto" w:fill="FFFFFF"/>
          <w:lang w:val="en-US" w:eastAsia="zh-CN"/>
        </w:rPr>
        <w:t>7月由蔈草镇社区文化服务中心变更为</w:t>
      </w:r>
      <w:r>
        <w:rPr>
          <w:rFonts w:hint="eastAsia" w:ascii="Times New Roman" w:hAnsi="Times New Roman" w:eastAsia="方正仿宋_GBK" w:cs="方正仿宋_GBK"/>
          <w:b w:val="0"/>
          <w:bCs w:val="0"/>
          <w:sz w:val="32"/>
          <w:szCs w:val="32"/>
          <w:shd w:val="clear" w:color="auto" w:fill="FFFFFF"/>
        </w:rPr>
        <w:t>蔈草镇新时代文明实践服务中心</w:t>
      </w: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支出功能分类变更。</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10.12</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16.97</w:t>
      </w:r>
      <w:r>
        <w:rPr>
          <w:rFonts w:ascii="Times New Roman" w:hAnsi="Times New Roman" w:eastAsia="方正仿宋_GBK" w:cs="方正仿宋_GBK"/>
          <w:b w:val="0"/>
          <w:bCs w:val="0"/>
          <w:sz w:val="32"/>
          <w:szCs w:val="32"/>
          <w:shd w:val="clear" w:color="auto" w:fill="FFFFFF"/>
        </w:rPr>
        <w:t>%，较年初预算数增加1.22万元，增长13.7%，主要原因是</w:t>
      </w:r>
      <w:r>
        <w:rPr>
          <w:rFonts w:hint="eastAsia" w:ascii="Times New Roman" w:hAnsi="Times New Roman" w:eastAsia="方正仿宋_GBK" w:cs="方正仿宋_GBK"/>
          <w:b w:val="0"/>
          <w:bCs w:val="0"/>
          <w:sz w:val="32"/>
          <w:szCs w:val="32"/>
          <w:shd w:val="clear" w:color="auto" w:fill="FFFFFF"/>
          <w:lang w:val="en-US" w:eastAsia="zh-CN"/>
        </w:rPr>
        <w:t>工资调标，社保缴费基数上调。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3.08</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5.16</w:t>
      </w:r>
      <w:r>
        <w:rPr>
          <w:rFonts w:ascii="Times New Roman" w:hAnsi="Times New Roman" w:eastAsia="方正仿宋_GBK" w:cs="方正仿宋_GBK"/>
          <w:b w:val="0"/>
          <w:bCs w:val="0"/>
          <w:sz w:val="32"/>
          <w:szCs w:val="32"/>
          <w:shd w:val="clear" w:color="auto" w:fill="FFFFFF"/>
        </w:rPr>
        <w:t>%，较年初预算数减少0.22万元，下降6.7%，主要原因是</w:t>
      </w:r>
      <w:r>
        <w:rPr>
          <w:rFonts w:hint="eastAsia" w:ascii="Times New Roman" w:hAnsi="Times New Roman" w:eastAsia="方正仿宋_GBK" w:cs="方正仿宋_GBK"/>
          <w:b w:val="0"/>
          <w:bCs w:val="0"/>
          <w:sz w:val="32"/>
          <w:szCs w:val="32"/>
          <w:shd w:val="clear" w:color="auto" w:fill="FFFFFF"/>
          <w:lang w:val="en-US" w:eastAsia="zh-CN"/>
        </w:rPr>
        <w:t>2024年我单位调出人员1名，人员经费减少。</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val="0"/>
          <w:color w:val="FF0000"/>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5</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住房保障支出3.23</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5.42</w:t>
      </w:r>
      <w:r>
        <w:rPr>
          <w:rFonts w:ascii="Times New Roman" w:hAnsi="Times New Roman" w:eastAsia="方正仿宋_GBK" w:cs="方正仿宋_GBK"/>
          <w:b w:val="0"/>
          <w:bCs w:val="0"/>
          <w:sz w:val="32"/>
          <w:szCs w:val="32"/>
          <w:shd w:val="clear" w:color="auto" w:fill="FFFFFF"/>
        </w:rPr>
        <w:t>%，较年初预算数增加0.03万元，增长0.9%，主要原因是</w:t>
      </w:r>
      <w:r>
        <w:rPr>
          <w:rFonts w:hint="eastAsia" w:ascii="Times New Roman" w:hAnsi="Times New Roman" w:eastAsia="方正仿宋_GBK" w:cs="方正仿宋_GBK"/>
          <w:b w:val="0"/>
          <w:bCs w:val="0"/>
          <w:sz w:val="32"/>
          <w:szCs w:val="32"/>
          <w:shd w:val="clear" w:color="auto" w:fill="FFFFFF"/>
          <w:lang w:val="en-US" w:eastAsia="zh-CN"/>
        </w:rPr>
        <w:t>工资调标，住房公积金清算追加资金。</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59.64</w:t>
      </w:r>
      <w:r>
        <w:rPr>
          <w:rFonts w:ascii="Times New Roman" w:hAnsi="Times New Roman"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57.95</w:t>
      </w:r>
      <w:r>
        <w:rPr>
          <w:rFonts w:ascii="Times New Roman" w:hAnsi="Times New Roman" w:eastAsia="方正仿宋_GBK" w:cs="方正仿宋_GBK"/>
          <w:b w:val="0"/>
          <w:bCs w:val="0"/>
          <w:sz w:val="32"/>
          <w:szCs w:val="32"/>
          <w:shd w:val="clear" w:color="auto" w:fill="FFFFFF"/>
        </w:rPr>
        <w:t>万元，与2023年度相比，增加57.95万元，增长100.0%，主要原因是我单位为2024年新设置预算单位，无法与上年同期数进行比较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人员经费用途主要包括</w:t>
      </w:r>
      <w:r>
        <w:rPr>
          <w:rFonts w:hint="eastAsia" w:ascii="Times New Roman" w:hAnsi="Times New Roman" w:eastAsia="方正仿宋_GBK" w:cs="方正仿宋_GBK"/>
          <w:b w:val="0"/>
          <w:bCs w:val="0"/>
          <w:sz w:val="32"/>
          <w:highlight w:val="none"/>
          <w:shd w:val="clear" w:color="auto" w:fill="auto"/>
          <w:lang w:val="en-US" w:eastAsia="zh-CN"/>
        </w:rPr>
        <w:t>职工统发工资、职工考核、社会保险缴费及住房公积金等。</w:t>
      </w:r>
      <w:r>
        <w:rPr>
          <w:rFonts w:ascii="Times New Roman" w:hAnsi="Times New Roman"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1.70</w:t>
      </w:r>
      <w:r>
        <w:rPr>
          <w:rFonts w:ascii="Times New Roman" w:hAnsi="Times New Roman" w:eastAsia="方正仿宋_GBK" w:cs="方正仿宋_GBK"/>
          <w:b w:val="0"/>
          <w:bCs w:val="0"/>
          <w:sz w:val="32"/>
          <w:szCs w:val="32"/>
          <w:shd w:val="clear" w:color="auto" w:fill="FFFFFF"/>
        </w:rPr>
        <w:t>万元，与2023年度相比，增加1.70万元，增长100.0%，主要原因是我单位为2024年新设置预算单位</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公用经费用途主要包括</w:t>
      </w:r>
      <w:r>
        <w:rPr>
          <w:rFonts w:hint="eastAsia" w:ascii="Times New Roman" w:hAnsi="Times New Roman" w:eastAsia="方正仿宋_GBK" w:cs="方正仿宋_GBK"/>
          <w:b w:val="0"/>
          <w:bCs w:val="0"/>
          <w:sz w:val="32"/>
          <w:szCs w:val="32"/>
          <w:shd w:val="clear" w:color="auto" w:fill="FFFFFF"/>
          <w:lang w:val="en-US" w:eastAsia="zh-CN"/>
        </w:rPr>
        <w:t>职工培训费、福利费、工会经费。</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ascii="Times New Roman" w:hAnsi="Times New Roman" w:eastAsia="方正仿宋_GBK" w:cs="楷体"/>
          <w:b w:val="0"/>
          <w:bCs w:val="0"/>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度无政府性基金预算财政拨款收支。</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三、财政拨款“三公”经费情况说明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万元，较年初预算数无增减，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w:t>
      </w:r>
      <w:r>
        <w:rPr>
          <w:rFonts w:hint="eastAsia" w:ascii="Times New Roman" w:hAnsi="Times New Roman" w:eastAsia="方正仿宋_GBK" w:cs="方正仿宋_GBK"/>
          <w:b w:val="0"/>
          <w:bCs w:val="0"/>
          <w:sz w:val="32"/>
          <w:szCs w:val="32"/>
          <w:shd w:val="clear" w:color="auto" w:fill="FFFFFF"/>
          <w:lang w:val="en-US" w:eastAsia="zh-CN"/>
        </w:rPr>
        <w:t>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仿宋_GBK" w:cs="方正仿宋_GBK"/>
          <w:b w:val="0"/>
          <w:bCs w:val="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四、其他需要说明的事项</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0.36</w:t>
      </w:r>
      <w:r>
        <w:rPr>
          <w:rFonts w:ascii="Times New Roman" w:hAnsi="Times New Roman" w:eastAsia="方正仿宋_GBK" w:cs="方正仿宋_GBK"/>
          <w:b w:val="0"/>
          <w:bCs w:val="0"/>
          <w:sz w:val="32"/>
          <w:szCs w:val="32"/>
          <w:shd w:val="clear" w:color="auto" w:fill="FFFFFF"/>
        </w:rPr>
        <w:t>万元，与2023年度相比，增加0.36万元，增长100.0%，主要原因是我单位为2024年新设置预算单位，无法与上年同期数进行比较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eastAsia="zh-CN"/>
        </w:rPr>
      </w:pPr>
      <w:r>
        <w:rPr>
          <w:rFonts w:hint="default" w:ascii="Times New Roman" w:hAnsi="Times New Roman" w:eastAsia="方正仿宋_GBK" w:cs="方正仿宋_GBK"/>
          <w:b w:val="0"/>
          <w:bCs/>
          <w:sz w:val="32"/>
          <w:szCs w:val="32"/>
          <w:shd w:val="clear" w:color="auto" w:fill="FFFFFF"/>
        </w:rPr>
        <w:t>2024年度本单位机关运行经费支出0.00万元，机关运行经费较上年支出数无增减，主要原因是</w:t>
      </w:r>
      <w:r>
        <w:rPr>
          <w:rFonts w:ascii="Times New Roman" w:hAnsi="Times New Roman" w:eastAsia="方正仿宋_GBK" w:cs="方正仿宋_GBK"/>
          <w:b w:val="0"/>
          <w:bCs w:val="0"/>
          <w:sz w:val="32"/>
          <w:szCs w:val="32"/>
          <w:shd w:val="clear" w:color="auto" w:fill="FFFFFF"/>
        </w:rPr>
        <w:t>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12月31日，本单位共有车辆</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辆。单价100万元（含）以上专用设备</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台（套）。</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hint="default"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五、2024年度预算绩效管理情况说明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highlight w:val="yellow"/>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bidi="ar-SA"/>
        </w:rPr>
        <w:t>根据预算绩效管理要求，我单位经费支出属于人员经费，无项目经费支出，不进行项目预算绩效管理。</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eastAsia" w:ascii="Times New Roman" w:hAnsi="Times New Roman"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rPr>
        <w:t>我单位</w:t>
      </w:r>
      <w:r>
        <w:rPr>
          <w:rFonts w:hint="eastAsia" w:ascii="Times New Roman" w:hAnsi="Times New Roman" w:eastAsia="方正仿宋_GBK" w:cs="方正仿宋_GBK"/>
          <w:b w:val="0"/>
          <w:bCs w:val="0"/>
          <w:sz w:val="32"/>
          <w:szCs w:val="32"/>
          <w:shd w:val="clear" w:color="auto" w:fill="FFFFFF"/>
          <w:lang w:val="en-US" w:eastAsia="zh-CN"/>
        </w:rPr>
        <w:t>未组织</w:t>
      </w:r>
      <w:r>
        <w:rPr>
          <w:rFonts w:hint="eastAsia" w:ascii="Times New Roman" w:hAnsi="Times New Roman" w:eastAsia="方正仿宋_GBK" w:cs="方正仿宋_GBK"/>
          <w:b w:val="0"/>
          <w:bCs w:val="0"/>
          <w:sz w:val="32"/>
          <w:szCs w:val="32"/>
          <w:shd w:val="clear" w:color="auto" w:fill="FFFFFF"/>
        </w:rPr>
        <w:t>开展绩效评价</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val="en-US" w:eastAsia="zh-CN"/>
        </w:rPr>
        <w:t>县财政局未委托第三方对我</w:t>
      </w:r>
      <w:r>
        <w:rPr>
          <w:rFonts w:hint="eastAsia" w:ascii="Times New Roman" w:hAnsi="Times New Roman" w:eastAsia="方正仿宋_GBK" w:cs="方正仿宋_GBK"/>
          <w:b w:val="0"/>
          <w:bCs w:val="0"/>
          <w:sz w:val="32"/>
          <w:szCs w:val="32"/>
          <w:shd w:val="clear" w:color="auto" w:fill="FFFFFF"/>
        </w:rPr>
        <w:t>单位开展绩效评价</w:t>
      </w:r>
      <w:r>
        <w:rPr>
          <w:rFonts w:hint="eastAsia" w:ascii="Times New Roman" w:hAnsi="Times New Roman" w:eastAsia="方正仿宋_GBK" w:cs="方正仿宋_GBK"/>
          <w:b w:val="0"/>
          <w:bCs w:val="0"/>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val="0"/>
          <w:kern w:val="0"/>
          <w:sz w:val="32"/>
          <w:szCs w:val="32"/>
          <w:shd w:val="clear" w:fill="FFFFFF"/>
          <w:lang w:val="en-US" w:eastAsia="zh-CN"/>
        </w:rPr>
        <w:t>指单位取得的除“财政拨款收入”、“事业收入”、“经营收入”等以外的</w:t>
      </w:r>
      <w:r>
        <w:rPr>
          <w:rFonts w:hint="eastAsia" w:ascii="Times New Roman" w:hAnsi="Times New Roman" w:eastAsia="方正仿宋_GBK" w:cs="方正仿宋_GBK"/>
          <w:b w:val="0"/>
          <w:bCs w:val="0"/>
          <w:kern w:val="0"/>
          <w:sz w:val="32"/>
          <w:szCs w:val="32"/>
          <w:shd w:val="clear" w:fill="FFFFFF"/>
        </w:rPr>
        <w:t>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val="0"/>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val="0"/>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val="0"/>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val="0"/>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kern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七、决算公开联系方式及信息反馈渠道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val="0"/>
          <w:kern w:val="0"/>
          <w:sz w:val="32"/>
          <w:szCs w:val="32"/>
          <w:shd w:val="clear" w:fill="FFFFFF"/>
        </w:rPr>
        <w:t>本单位决算公开信息反馈和联系方式：</w:t>
      </w:r>
      <w:r>
        <w:rPr>
          <w:rFonts w:hint="eastAsia" w:ascii="Times New Roman" w:hAnsi="Times New Roman" w:eastAsia="方正仿宋_GBK" w:cs="方正仿宋_GBK"/>
          <w:b w:val="0"/>
          <w:bCs w:val="0"/>
          <w:kern w:val="0"/>
          <w:sz w:val="32"/>
          <w:szCs w:val="32"/>
          <w:shd w:val="clear" w:fill="FFFFFF"/>
          <w:lang w:val="en-US" w:eastAsia="zh-CN"/>
        </w:rPr>
        <w:t xml:space="preserve">周川洁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55328010。</w:t>
      </w:r>
    </w:p>
    <w:tbl>
      <w:tblPr>
        <w:tblStyle w:val="7"/>
        <w:tblpPr w:leftFromText="180" w:rightFromText="180" w:vertAnchor="text" w:horzAnchor="page" w:tblpX="2433" w:tblpY="408"/>
        <w:tblOverlap w:val="never"/>
        <w:tblW w:w="4809" w:type="pct"/>
        <w:tblInd w:w="0" w:type="dxa"/>
        <w:tblLayout w:type="autofit"/>
        <w:tblCellMar>
          <w:top w:w="0" w:type="dxa"/>
          <w:left w:w="0" w:type="dxa"/>
          <w:bottom w:w="0" w:type="dxa"/>
          <w:right w:w="0" w:type="dxa"/>
        </w:tblCellMar>
      </w:tblPr>
      <w:tblGrid>
        <w:gridCol w:w="3565"/>
        <w:gridCol w:w="2956"/>
        <w:gridCol w:w="3358"/>
        <w:gridCol w:w="2366"/>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01</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32" w:hRule="atLeast"/>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Arial"/>
                <w:b w:val="0"/>
                <w:bCs/>
                <w:color w:val="000000"/>
                <w:sz w:val="22"/>
                <w:szCs w:val="22"/>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蔈草镇新时代文明实践服务中心</w:t>
            </w: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243"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使用非财政拨款结余和专用结余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r>
    </w:tbl>
    <w:p>
      <w:pPr>
        <w:keepNext w:val="0"/>
        <w:keepLines w:val="0"/>
        <w:pageBreakBefore w:val="0"/>
        <w:widowControl/>
        <w:kinsoku/>
        <w:wordWrap/>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p>
    <w:p>
      <w:pPr>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59" w:type="pct"/>
        <w:tblInd w:w="0" w:type="dxa"/>
        <w:tblLayout w:type="fixed"/>
        <w:tblCellMar>
          <w:top w:w="0" w:type="dxa"/>
          <w:left w:w="0" w:type="dxa"/>
          <w:bottom w:w="0" w:type="dxa"/>
          <w:right w:w="0" w:type="dxa"/>
        </w:tblCellMar>
      </w:tblPr>
      <w:tblGrid>
        <w:gridCol w:w="1188"/>
        <w:gridCol w:w="2425"/>
        <w:gridCol w:w="1314"/>
        <w:gridCol w:w="1206"/>
        <w:gridCol w:w="1044"/>
        <w:gridCol w:w="1195"/>
        <w:gridCol w:w="1212"/>
        <w:gridCol w:w="1077"/>
        <w:gridCol w:w="1122"/>
        <w:gridCol w:w="109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蔈草镇新时代文明实践服务中心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02</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备注：1.本表反映单位本年度取得的各项收入情况。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00" w:type="pct"/>
        <w:tblInd w:w="0" w:type="dxa"/>
        <w:tblLayout w:type="fixed"/>
        <w:tblCellMar>
          <w:top w:w="0" w:type="dxa"/>
          <w:left w:w="0" w:type="dxa"/>
          <w:bottom w:w="0" w:type="dxa"/>
          <w:right w:w="0" w:type="dxa"/>
        </w:tblCellMar>
      </w:tblPr>
      <w:tblGrid>
        <w:gridCol w:w="1074"/>
        <w:gridCol w:w="2993"/>
        <w:gridCol w:w="1530"/>
        <w:gridCol w:w="1467"/>
        <w:gridCol w:w="1349"/>
        <w:gridCol w:w="1294"/>
        <w:gridCol w:w="1406"/>
        <w:gridCol w:w="161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03</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2080599</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bookmarkStart w:id="0" w:name="_GoBack"/>
            <w:bookmarkEnd w:id="0"/>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备注：1.本表反映单位本年度各项支出情况。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4987" w:type="pct"/>
        <w:tblInd w:w="0" w:type="dxa"/>
        <w:tblLayout w:type="autofit"/>
        <w:tblCellMar>
          <w:top w:w="0" w:type="dxa"/>
          <w:left w:w="0" w:type="dxa"/>
          <w:bottom w:w="0" w:type="dxa"/>
          <w:right w:w="0" w:type="dxa"/>
        </w:tblCellMar>
      </w:tblPr>
      <w:tblGrid>
        <w:gridCol w:w="2550"/>
        <w:gridCol w:w="1229"/>
        <w:gridCol w:w="2730"/>
        <w:gridCol w:w="1371"/>
        <w:gridCol w:w="1371"/>
        <w:gridCol w:w="1371"/>
        <w:gridCol w:w="207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63"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1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04</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90" w:hRule="atLeast"/>
        </w:trPr>
        <w:tc>
          <w:tcPr>
            <w:tcW w:w="2563"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1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4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收     入</w:t>
            </w:r>
          </w:p>
        </w:tc>
        <w:tc>
          <w:tcPr>
            <w:tcW w:w="35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支     出</w:t>
            </w:r>
          </w:p>
        </w:tc>
      </w:tr>
      <w:tr>
        <w:tblPrEx>
          <w:tblCellMar>
            <w:top w:w="0" w:type="dxa"/>
            <w:left w:w="0" w:type="dxa"/>
            <w:bottom w:w="0" w:type="dxa"/>
            <w:right w:w="0" w:type="dxa"/>
          </w:tblCellMar>
        </w:tblPrEx>
        <w:trPr>
          <w:trHeight w:val="90" w:hRule="atLeast"/>
        </w:trPr>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项目</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功能分类科目</w:t>
            </w:r>
          </w:p>
        </w:tc>
        <w:tc>
          <w:tcPr>
            <w:tcW w:w="2436"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r>
      <w:tr>
        <w:tblPrEx>
          <w:tblCellMar>
            <w:top w:w="0" w:type="dxa"/>
            <w:left w:w="0" w:type="dxa"/>
            <w:bottom w:w="0" w:type="dxa"/>
            <w:right w:w="0" w:type="dxa"/>
          </w:tblCellMar>
        </w:tblPrEx>
        <w:trPr>
          <w:trHeight w:val="90"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8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一、一般公共服务支出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23.62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23.62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二、外交支出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四、公共安全支出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五、教育支出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六、科学技术支出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七、文化旅游体育与传媒支出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19.60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19.60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八、社会保障和就业支出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10.12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10.12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九、卫生健康支出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十、节能环保支出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十一、城乡社区支出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十二、农林水支出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十三、交通运输支出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十四、资源勘探工业信息等支出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十五、商业服务业等支出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十六、金融支出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十七、援助其他地区支出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十八、自然资源海洋气象等支出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十九、住房保障支出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二十、粮油物资储备支出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二十一、国有资本经营预算支出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二十二、灾害防治及应急管理支出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二十三、其他支出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二十四、债务还本支出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二十五、债务付息支出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二十六、抗疫特别国债安排的支出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本年收入合计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本年支出合计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年初财政拨款结转和结余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年末财政拨款结转和结余</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59.64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备注：1.本表反映单位本年度一般公共预算财政拨款、政府性基金预算财政拨款及国有资本经营预算财政拨款的总收支和年末结转结余情况。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84"/>
        <w:gridCol w:w="3384"/>
        <w:gridCol w:w="2747"/>
        <w:gridCol w:w="2739"/>
        <w:gridCol w:w="277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05</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59.64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19.60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10.12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5.08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备注：1.本表反映单位本年度一般公共预算财政拨款支出情况。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ind w:firstLine="630" w:firstLineChars="300"/>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4994" w:type="pct"/>
        <w:tblInd w:w="0" w:type="dxa"/>
        <w:tblLayout w:type="fixed"/>
        <w:tblCellMar>
          <w:top w:w="0" w:type="dxa"/>
          <w:left w:w="0" w:type="dxa"/>
          <w:bottom w:w="0" w:type="dxa"/>
          <w:right w:w="0" w:type="dxa"/>
        </w:tblCellMar>
      </w:tblPr>
      <w:tblGrid>
        <w:gridCol w:w="667"/>
        <w:gridCol w:w="2334"/>
        <w:gridCol w:w="1280"/>
        <w:gridCol w:w="725"/>
        <w:gridCol w:w="1688"/>
        <w:gridCol w:w="1178"/>
        <w:gridCol w:w="725"/>
        <w:gridCol w:w="2877"/>
        <w:gridCol w:w="124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06</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55.45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10.84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27.40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57.95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1.70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备注：1.本表反映单位本年度一般公共预算财政拨款基本支出明细情况。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97"/>
        <w:gridCol w:w="2986"/>
        <w:gridCol w:w="1413"/>
        <w:gridCol w:w="1413"/>
        <w:gridCol w:w="1413"/>
        <w:gridCol w:w="1413"/>
        <w:gridCol w:w="1467"/>
        <w:gridCol w:w="152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07</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备注：本表反映单位本年度政府性基金预算财政拨款收入支出及结转和结余情况。本单位无政府性基金收支，故本表无数据。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74"/>
        <w:gridCol w:w="3005"/>
        <w:gridCol w:w="2720"/>
        <w:gridCol w:w="158"/>
        <w:gridCol w:w="2877"/>
        <w:gridCol w:w="71"/>
        <w:gridCol w:w="2826"/>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蔈草镇新时代文明实践服务中心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08</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备注：本表反映单位本年度国有资本经营预算财政拨款支出情况。本单位无国有资本经营收支，故本表无数据。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hint="default" w:ascii="Times New Roman" w:hAnsi="Times New Roman" w:eastAsia="方正仿宋_GBK" w:cs="宋体"/>
          <w:b w:val="0"/>
          <w:bCs/>
          <w:sz w:val="21"/>
          <w:szCs w:val="21"/>
        </w:rPr>
        <w:br w:type="page"/>
      </w:r>
    </w:p>
    <w:tbl>
      <w:tblPr>
        <w:tblStyle w:val="7"/>
        <w:tblW w:w="4981" w:type="pct"/>
        <w:tblInd w:w="0" w:type="dxa"/>
        <w:tblLayout w:type="fixed"/>
        <w:tblCellMar>
          <w:top w:w="0" w:type="dxa"/>
          <w:left w:w="170" w:type="dxa"/>
          <w:bottom w:w="0" w:type="dxa"/>
          <w:right w:w="170" w:type="dxa"/>
        </w:tblCellMar>
      </w:tblPr>
      <w:tblGrid>
        <w:gridCol w:w="2641"/>
        <w:gridCol w:w="2007"/>
        <w:gridCol w:w="1973"/>
        <w:gridCol w:w="3053"/>
        <w:gridCol w:w="301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32"/>
                <w:szCs w:val="32"/>
              </w:rPr>
            </w:pPr>
            <w:r>
              <w:rPr>
                <w:rFonts w:hint="eastAsia" w:ascii="方正小标宋_GBK" w:hAnsi="方正小标宋_GBK" w:eastAsia="方正小标宋_GBK" w:cs="方正小标宋_GBK"/>
                <w:b w:val="0"/>
                <w:bCs w:val="0"/>
                <w:color w:val="000000"/>
                <w:sz w:val="32"/>
                <w:szCs w:val="32"/>
              </w:rPr>
              <w:t>机构运行信息表</w:t>
            </w:r>
          </w:p>
        </w:tc>
      </w:tr>
      <w:tr>
        <w:tblPrEx>
          <w:tblCellMar>
            <w:top w:w="0" w:type="dxa"/>
            <w:left w:w="170" w:type="dxa"/>
            <w:bottom w:w="0" w:type="dxa"/>
            <w:right w:w="170" w:type="dxa"/>
          </w:tblCellMar>
        </w:tblPrEx>
        <w:trPr>
          <w:trHeight w:val="244" w:hRule="atLeast"/>
        </w:trPr>
        <w:tc>
          <w:tcPr>
            <w:tcW w:w="1040"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91"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77"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3"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86"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公开</w:t>
            </w:r>
            <w:r>
              <w:rPr>
                <w:rFonts w:hint="default" w:ascii="Times New Roman" w:hAnsi="Times New Roman" w:eastAsia="方正仿宋_GBK"/>
                <w:b w:val="0"/>
                <w:bCs/>
                <w:color w:val="000000"/>
                <w:kern w:val="2"/>
                <w:sz w:val="20"/>
                <w:szCs w:val="20"/>
              </w:rPr>
              <w:t>09</w:t>
            </w:r>
            <w:r>
              <w:rPr>
                <w:rFonts w:ascii="Times New Roman" w:hAnsi="Times New Roman" w:eastAsia="方正仿宋_GBK" w:cs="宋体"/>
                <w:b w:val="0"/>
                <w:bCs/>
                <w:color w:val="000000"/>
                <w:kern w:val="2"/>
                <w:sz w:val="20"/>
                <w:szCs w:val="20"/>
              </w:rPr>
              <w:t>表</w:t>
            </w:r>
          </w:p>
        </w:tc>
      </w:tr>
      <w:tr>
        <w:tblPrEx>
          <w:tblCellMar>
            <w:top w:w="0" w:type="dxa"/>
            <w:left w:w="170" w:type="dxa"/>
            <w:bottom w:w="0" w:type="dxa"/>
            <w:right w:w="170" w:type="dxa"/>
          </w:tblCellMar>
        </w:tblPrEx>
        <w:trPr>
          <w:trHeight w:val="244" w:hRule="atLeast"/>
        </w:trPr>
        <w:tc>
          <w:tcPr>
            <w:tcW w:w="183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r>
              <w:rPr>
                <w:rFonts w:hint="eastAsia" w:ascii="Times New Roman" w:hAnsi="Times New Roman" w:eastAsia="方正仿宋_GBK" w:cs="宋体"/>
                <w:b w:val="0"/>
                <w:bCs/>
                <w:kern w:val="2"/>
                <w:sz w:val="20"/>
                <w:szCs w:val="20"/>
                <w:lang w:eastAsia="zh-CN"/>
              </w:rPr>
              <w:t>单位</w:t>
            </w:r>
            <w:r>
              <w:rPr>
                <w:rFonts w:ascii="Times New Roman" w:hAnsi="Times New Roman" w:eastAsia="方正仿宋_GBK" w:cs="宋体"/>
                <w:b w:val="0"/>
                <w:bCs/>
                <w:color w:val="000000"/>
                <w:kern w:val="2"/>
                <w:sz w:val="20"/>
                <w:szCs w:val="20"/>
              </w:rPr>
              <w:t>：</w:t>
            </w:r>
            <w:r>
              <w:rPr>
                <w:rFonts w:ascii="Times New Roman" w:hAnsi="Times New Roman" w:eastAsia="方正仿宋_GBK"/>
                <w:b w:val="0"/>
                <w:bCs/>
                <w:color w:val="000000"/>
                <w:sz w:val="20"/>
                <w:u w:color="auto"/>
              </w:rPr>
              <w:t>蔈草镇新时代文明实践服务中心</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3"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86"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单位：</w:t>
            </w:r>
            <w:r>
              <w:rPr>
                <w:rFonts w:ascii="Times New Roman" w:hAnsi="Times New Roman" w:eastAsia="方正仿宋_GBK" w:cs="宋体"/>
                <w:b w:val="0"/>
                <w:bCs/>
                <w:kern w:val="2"/>
                <w:sz w:val="20"/>
                <w:szCs w:val="20"/>
              </w:rPr>
              <w:t>万元</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一、“三公”经费支出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五、机关运行经费</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（一）支出合计</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（一）行政单位</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（二）参照公务员法管理事业单位</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2．公务用车购置及运行维护费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六、资产信息</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（1）公务用车购置费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（一）车辆数合计（辆）</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（2）公务用车运行维护费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1．副部（省）级及以上领导用车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2．主要领导干部用车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（1）国内接待费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3．机要通信用车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4．应急保障用车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（2）国（境）外接待费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5．执法执勤用车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（二）相关统计数</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6．特种专业技术用车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1．因公出国（境）团组数（个）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7．离退休干部用车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2．因公出国（境）人次数（人）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8．其他用车</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3．公务用车购置数（辆）</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（二）单价100万元（含）以上设备（不含车辆）</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4．公务用车保有量（辆）</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七、政府采购支出信息</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5．国内公务接待批次（个）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（一）政府采购支出合计</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1．政府采购货物支出</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6．国内公务接待人次（人）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2．政府采购工程支出</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3．政府采购服务支出</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7．国（境）外公务接待批次（个）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（二）政府采购授予中小企业合同金额</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8．国（境）外公务接待人次（人）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其中：授予小微企业合同金额</w:t>
            </w: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二、会议费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三、培训费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0.36</w:t>
            </w: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6"/>
                <w:szCs w:val="16"/>
              </w:rPr>
            </w:pPr>
            <w:r>
              <w:rPr>
                <w:rFonts w:ascii="Times New Roman" w:hAnsi="Times New Roman" w:eastAsia="方正仿宋_GBK" w:cs="宋体"/>
                <w:b w:val="0"/>
                <w:bCs/>
                <w:color w:val="000000"/>
                <w:sz w:val="16"/>
                <w:szCs w:val="16"/>
              </w:rPr>
              <w:t>四、差旅费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c>
          <w:tcPr>
            <w:tcW w:w="12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c>
          <w:tcPr>
            <w:tcW w:w="11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b w:val="0"/>
          <w:bCs/>
          <w:sz w:val="18"/>
          <w:szCs w:val="18"/>
        </w:rPr>
      </w:pPr>
      <w:r>
        <w:rPr>
          <w:rFonts w:ascii="Times New Roman" w:hAnsi="Times New Roman" w:eastAsia="方正仿宋_GBK" w:cs="宋体"/>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t xml:space="preserve">      2.本套报表金额单位转换时可能存在尾数误差。</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br w:type="textWrapping"/>
      </w:r>
    </w:p>
    <w:sectPr>
      <w:pgSz w:w="16783" w:h="11850" w:orient="landscape"/>
      <w:pgMar w:top="1531" w:right="2098" w:bottom="567" w:left="1984"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7620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M6qlLSAAAABgEAAA8AAAAAAAAAAQAgAAAAOAAAAGRycy9kb3ducmV2LnhtbFBLAQIU&#10;ABQAAAAIAIdO4kDxjUmmHAIAACsEAAAOAAAAAAAAAAEAIAAAADcBAABkcnMvZTJvRG9jLnhtbFBL&#10;BQYAAAAABgAGAFkBAADFBQAAAAA=&#10;">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9126E"/>
    <w:rsid w:val="01F3521E"/>
    <w:rsid w:val="03B87EA0"/>
    <w:rsid w:val="03E3214F"/>
    <w:rsid w:val="044C50BA"/>
    <w:rsid w:val="05075FD1"/>
    <w:rsid w:val="05BC6D49"/>
    <w:rsid w:val="05CB5B39"/>
    <w:rsid w:val="06194FF1"/>
    <w:rsid w:val="06A2550B"/>
    <w:rsid w:val="06F80EE2"/>
    <w:rsid w:val="07001CCA"/>
    <w:rsid w:val="075678DB"/>
    <w:rsid w:val="07712C4F"/>
    <w:rsid w:val="077B465F"/>
    <w:rsid w:val="079B3AB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AA6E21"/>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10F7E"/>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9B4FE1"/>
    <w:rsid w:val="19B906A4"/>
    <w:rsid w:val="1B6F15B6"/>
    <w:rsid w:val="1B8B5EBB"/>
    <w:rsid w:val="1BAA2EDC"/>
    <w:rsid w:val="1C4F52EF"/>
    <w:rsid w:val="1CA55E64"/>
    <w:rsid w:val="1D014A01"/>
    <w:rsid w:val="1D022362"/>
    <w:rsid w:val="1D1B04B0"/>
    <w:rsid w:val="1DA52501"/>
    <w:rsid w:val="1DBD6767"/>
    <w:rsid w:val="1DC52125"/>
    <w:rsid w:val="1DD26311"/>
    <w:rsid w:val="1E222CBC"/>
    <w:rsid w:val="1E374ACB"/>
    <w:rsid w:val="1E5B7B03"/>
    <w:rsid w:val="1ECF0A66"/>
    <w:rsid w:val="1EF67CA4"/>
    <w:rsid w:val="1F020D3A"/>
    <w:rsid w:val="1F2C5189"/>
    <w:rsid w:val="1F4B0B02"/>
    <w:rsid w:val="1FBB35CD"/>
    <w:rsid w:val="1FCD26AF"/>
    <w:rsid w:val="20642787"/>
    <w:rsid w:val="21556F04"/>
    <w:rsid w:val="22403BD3"/>
    <w:rsid w:val="22AD3177"/>
    <w:rsid w:val="23403BE4"/>
    <w:rsid w:val="235417B6"/>
    <w:rsid w:val="2358717F"/>
    <w:rsid w:val="2369138D"/>
    <w:rsid w:val="24B92327"/>
    <w:rsid w:val="24C14514"/>
    <w:rsid w:val="252D4D73"/>
    <w:rsid w:val="2533755C"/>
    <w:rsid w:val="25791755"/>
    <w:rsid w:val="26396DF4"/>
    <w:rsid w:val="27167136"/>
    <w:rsid w:val="271B442C"/>
    <w:rsid w:val="277A5916"/>
    <w:rsid w:val="27B23302"/>
    <w:rsid w:val="29310A5F"/>
    <w:rsid w:val="29532A6E"/>
    <w:rsid w:val="29C37A35"/>
    <w:rsid w:val="2A076083"/>
    <w:rsid w:val="2A73162E"/>
    <w:rsid w:val="2B167953"/>
    <w:rsid w:val="2B200583"/>
    <w:rsid w:val="2B2729C0"/>
    <w:rsid w:val="2B8209DE"/>
    <w:rsid w:val="2B821C91"/>
    <w:rsid w:val="2BF81A22"/>
    <w:rsid w:val="2C097269"/>
    <w:rsid w:val="2C636760"/>
    <w:rsid w:val="2C6762A3"/>
    <w:rsid w:val="2D823A25"/>
    <w:rsid w:val="2FC622CC"/>
    <w:rsid w:val="2FCA4B37"/>
    <w:rsid w:val="2FE029D7"/>
    <w:rsid w:val="2FF06E00"/>
    <w:rsid w:val="30586FEC"/>
    <w:rsid w:val="30777E85"/>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184F8F"/>
    <w:rsid w:val="3939115E"/>
    <w:rsid w:val="39B82A39"/>
    <w:rsid w:val="39C42CA8"/>
    <w:rsid w:val="39C84BAA"/>
    <w:rsid w:val="39DC4FD6"/>
    <w:rsid w:val="39F03D7A"/>
    <w:rsid w:val="39F33306"/>
    <w:rsid w:val="3A2C1C67"/>
    <w:rsid w:val="3A6A77C9"/>
    <w:rsid w:val="3ADD7F09"/>
    <w:rsid w:val="3B1705E5"/>
    <w:rsid w:val="3B18334B"/>
    <w:rsid w:val="3B36794F"/>
    <w:rsid w:val="3B6F6EE0"/>
    <w:rsid w:val="3B97324D"/>
    <w:rsid w:val="3C566AD6"/>
    <w:rsid w:val="3C594871"/>
    <w:rsid w:val="3C6A5B02"/>
    <w:rsid w:val="3D083B3A"/>
    <w:rsid w:val="3D0D3148"/>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A1639"/>
    <w:rsid w:val="42677E15"/>
    <w:rsid w:val="426C1EA8"/>
    <w:rsid w:val="42736402"/>
    <w:rsid w:val="42E86A87"/>
    <w:rsid w:val="43307B09"/>
    <w:rsid w:val="439A3EB9"/>
    <w:rsid w:val="43B60BB3"/>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C756875"/>
    <w:rsid w:val="4D1F53CA"/>
    <w:rsid w:val="4DAC4ACA"/>
    <w:rsid w:val="4DBE01D2"/>
    <w:rsid w:val="4EE12477"/>
    <w:rsid w:val="4EFD467F"/>
    <w:rsid w:val="4F0C6BA3"/>
    <w:rsid w:val="4F186D58"/>
    <w:rsid w:val="504B6EAA"/>
    <w:rsid w:val="50F06B6E"/>
    <w:rsid w:val="51D21804"/>
    <w:rsid w:val="51DE7EB5"/>
    <w:rsid w:val="52234D33"/>
    <w:rsid w:val="522F6E0C"/>
    <w:rsid w:val="52463BA1"/>
    <w:rsid w:val="52F163D4"/>
    <w:rsid w:val="531A2DB4"/>
    <w:rsid w:val="53234805"/>
    <w:rsid w:val="538E19D3"/>
    <w:rsid w:val="5398721B"/>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041784"/>
    <w:rsid w:val="56530F5D"/>
    <w:rsid w:val="567700D3"/>
    <w:rsid w:val="56FF7E9E"/>
    <w:rsid w:val="578867FC"/>
    <w:rsid w:val="5842572D"/>
    <w:rsid w:val="59F9359E"/>
    <w:rsid w:val="5A3B59D6"/>
    <w:rsid w:val="5AD134D8"/>
    <w:rsid w:val="5BF41F67"/>
    <w:rsid w:val="5C263CE4"/>
    <w:rsid w:val="5C5D2777"/>
    <w:rsid w:val="5CF66BF3"/>
    <w:rsid w:val="5D290C69"/>
    <w:rsid w:val="5D536913"/>
    <w:rsid w:val="5DA80C2C"/>
    <w:rsid w:val="5F2D4A41"/>
    <w:rsid w:val="605F2112"/>
    <w:rsid w:val="60C74F6C"/>
    <w:rsid w:val="61015958"/>
    <w:rsid w:val="61025A59"/>
    <w:rsid w:val="613D5BBC"/>
    <w:rsid w:val="61536C39"/>
    <w:rsid w:val="62944DD7"/>
    <w:rsid w:val="6319381F"/>
    <w:rsid w:val="631D301E"/>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C223E6"/>
    <w:rsid w:val="68407834"/>
    <w:rsid w:val="6883293E"/>
    <w:rsid w:val="688412AD"/>
    <w:rsid w:val="68EB1B71"/>
    <w:rsid w:val="69356336"/>
    <w:rsid w:val="696C0310"/>
    <w:rsid w:val="6A6C7940"/>
    <w:rsid w:val="6A783B3F"/>
    <w:rsid w:val="6A9F1565"/>
    <w:rsid w:val="6AAD2300"/>
    <w:rsid w:val="6B474EF5"/>
    <w:rsid w:val="6BC938E5"/>
    <w:rsid w:val="6C0A5AC5"/>
    <w:rsid w:val="6C560CAE"/>
    <w:rsid w:val="6C576495"/>
    <w:rsid w:val="6D903FF5"/>
    <w:rsid w:val="6DA955B8"/>
    <w:rsid w:val="6DE346AB"/>
    <w:rsid w:val="6DE5391A"/>
    <w:rsid w:val="6EF94DCA"/>
    <w:rsid w:val="6EFD1324"/>
    <w:rsid w:val="6F5A53AC"/>
    <w:rsid w:val="6FAC003D"/>
    <w:rsid w:val="6FD926BF"/>
    <w:rsid w:val="6FE55E12"/>
    <w:rsid w:val="6FFB2E76"/>
    <w:rsid w:val="701632CF"/>
    <w:rsid w:val="705D0EFE"/>
    <w:rsid w:val="708F6F7F"/>
    <w:rsid w:val="70D94BD3"/>
    <w:rsid w:val="712978AB"/>
    <w:rsid w:val="71574775"/>
    <w:rsid w:val="71C34D91"/>
    <w:rsid w:val="72DB435C"/>
    <w:rsid w:val="72E2613A"/>
    <w:rsid w:val="72F771F4"/>
    <w:rsid w:val="73934AD2"/>
    <w:rsid w:val="750837F0"/>
    <w:rsid w:val="754758CF"/>
    <w:rsid w:val="75595ECD"/>
    <w:rsid w:val="764F62AB"/>
    <w:rsid w:val="765C45EC"/>
    <w:rsid w:val="768A7619"/>
    <w:rsid w:val="76BD23AB"/>
    <w:rsid w:val="772E1EBA"/>
    <w:rsid w:val="77CB4E82"/>
    <w:rsid w:val="781926BC"/>
    <w:rsid w:val="796D60A4"/>
    <w:rsid w:val="797F60F9"/>
    <w:rsid w:val="79A031D5"/>
    <w:rsid w:val="79B47FDF"/>
    <w:rsid w:val="79E569A9"/>
    <w:rsid w:val="7A1525F7"/>
    <w:rsid w:val="7AFB04B1"/>
    <w:rsid w:val="7B420052"/>
    <w:rsid w:val="7BD06A28"/>
    <w:rsid w:val="7C3A7C0B"/>
    <w:rsid w:val="7C5248E4"/>
    <w:rsid w:val="7C566698"/>
    <w:rsid w:val="7C5866A3"/>
    <w:rsid w:val="7C610C91"/>
    <w:rsid w:val="7C975798"/>
    <w:rsid w:val="7CCF4F32"/>
    <w:rsid w:val="7D7406BB"/>
    <w:rsid w:val="7DC600E3"/>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4917</Words>
  <Characters>5454</Characters>
  <Lines>186</Lines>
  <Paragraphs>52</Paragraphs>
  <TotalTime>11</TotalTime>
  <ScaleCrop>false</ScaleCrop>
  <LinksUpToDate>false</LinksUpToDate>
  <CharactersWithSpaces>5462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cp:lastPrinted>2025-10-16T16:34:00Z</cp:lastPrinted>
  <dcterms:modified xsi:type="dcterms:W3CDTF">2025-10-21T15:25:03Z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