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重庆市云阳县蔈草镇综合行政执法大队</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78"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Times New Roman" w:hAnsi="Times New Roman" w:eastAsia="方正仿宋_GBK" w:cs="宋体"/>
          <w:b w:val="0"/>
          <w:bCs/>
          <w:color w:val="111111"/>
          <w:kern w:val="0"/>
          <w:sz w:val="32"/>
          <w:szCs w:val="32"/>
        </w:rPr>
      </w:pPr>
      <w:r>
        <w:rPr>
          <w:rFonts w:hint="eastAsia" w:ascii="Times New Roman" w:hAnsi="Times New Roman" w:eastAsia="方正仿宋_GBK" w:cs="宋体"/>
          <w:b w:val="0"/>
          <w:bCs/>
          <w:color w:val="111111"/>
          <w:kern w:val="0"/>
          <w:sz w:val="32"/>
          <w:szCs w:val="32"/>
        </w:rPr>
        <w:t>负责统一承担辖区范围内综合行政执法工作，依法接受委托集中行使农林水利、规划建设、环境保护、卫生计生、文化旅游、民政管理、道路交通等领域的执法权。负责加强与县级执法部门的联系，配合县级执法部门开展联合执法、专项执法等工作。</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Times New Roman" w:hAnsi="Times New Roman" w:eastAsia="方正仿宋_GBK" w:cs="宋体"/>
          <w:b w:val="0"/>
          <w:bCs/>
          <w:color w:val="111111"/>
          <w:kern w:val="0"/>
          <w:sz w:val="32"/>
          <w:szCs w:val="32"/>
        </w:rPr>
      </w:pPr>
      <w:r>
        <w:rPr>
          <w:rFonts w:hint="eastAsia" w:ascii="Times New Roman" w:hAnsi="Times New Roman" w:eastAsia="方正仿宋_GBK" w:cs="宋体"/>
          <w:b w:val="0"/>
          <w:bCs/>
          <w:color w:val="111111"/>
          <w:kern w:val="0"/>
          <w:sz w:val="32"/>
          <w:szCs w:val="32"/>
        </w:rPr>
        <w:t>本单位为云阳县</w:t>
      </w:r>
      <w:r>
        <w:rPr>
          <w:rFonts w:hint="eastAsia" w:ascii="Times New Roman" w:hAnsi="Times New Roman" w:eastAsia="方正仿宋_GBK" w:cs="宋体"/>
          <w:b w:val="0"/>
          <w:bCs/>
          <w:color w:val="111111"/>
          <w:kern w:val="0"/>
          <w:sz w:val="32"/>
          <w:szCs w:val="32"/>
          <w:lang w:val="en-US" w:eastAsia="zh-CN"/>
        </w:rPr>
        <w:t>蔈草镇人民政府</w:t>
      </w:r>
      <w:r>
        <w:rPr>
          <w:rFonts w:hint="eastAsia" w:ascii="Times New Roman" w:hAnsi="Times New Roman" w:eastAsia="方正仿宋_GBK" w:cs="宋体"/>
          <w:b w:val="0"/>
          <w:bCs/>
          <w:color w:val="111111"/>
          <w:kern w:val="0"/>
          <w:sz w:val="32"/>
          <w:szCs w:val="32"/>
        </w:rPr>
        <w:t>下属</w:t>
      </w:r>
      <w:r>
        <w:rPr>
          <w:rFonts w:hint="eastAsia" w:ascii="Times New Roman" w:hAnsi="Times New Roman" w:eastAsia="方正仿宋_GBK" w:cs="方正仿宋_GBK"/>
          <w:b w:val="0"/>
          <w:bCs/>
          <w:sz w:val="32"/>
          <w:szCs w:val="32"/>
          <w:highlight w:val="none"/>
          <w:lang w:val="en-US" w:eastAsia="zh-CN"/>
        </w:rPr>
        <w:t>事业</w:t>
      </w:r>
      <w:r>
        <w:rPr>
          <w:rFonts w:hint="eastAsia" w:ascii="Times New Roman" w:hAnsi="Times New Roman" w:eastAsia="方正仿宋_GBK" w:cs="宋体"/>
          <w:b w:val="0"/>
          <w:bCs/>
          <w:color w:val="111111"/>
          <w:kern w:val="0"/>
          <w:sz w:val="32"/>
          <w:szCs w:val="32"/>
        </w:rPr>
        <w:t>单位，无独立的机构设置。</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二、单位决算收支情况说明</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ascii="Times New Roman" w:hAnsi="Times New Roman" w:eastAsia="楷体" w:cs="楷体"/>
          <w:b w:val="0"/>
          <w:bCs/>
          <w:sz w:val="32"/>
          <w:szCs w:val="32"/>
          <w:shd w:val="clear" w:color="auto" w:fill="FFFFFF"/>
        </w:rPr>
      </w:pPr>
      <w:r>
        <w:rPr>
          <w:rFonts w:hint="eastAsia" w:ascii="Times New Roman" w:hAnsi="Times New Roman" w:eastAsia="方正楷体_GBK" w:cs="方正楷体_GBK"/>
          <w:b w:val="0"/>
          <w:bCs w:val="0"/>
          <w:kern w:val="2"/>
          <w:sz w:val="32"/>
          <w:szCs w:val="32"/>
          <w:lang w:val="en-US" w:eastAsia="zh-CN" w:bidi="ar-SA"/>
        </w:rPr>
        <w:t>（一）收入支出决算总体情况说明</w:t>
      </w:r>
    </w:p>
    <w:p>
      <w:pPr>
        <w:pStyle w:val="6"/>
        <w:keepNext w:val="0"/>
        <w:keepLines w:val="0"/>
        <w:pageBreakBefore w:val="0"/>
        <w:widowControl w:val="0"/>
        <w:shd w:val="clear" w:color="auto" w:fill="FFFFFF"/>
        <w:kinsoku/>
        <w:wordWrap/>
        <w:overflowPunct/>
        <w:topLinePunct w:val="0"/>
        <w:autoSpaceDE/>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 w:val="0"/>
          <w:bCs/>
          <w:sz w:val="32"/>
          <w:szCs w:val="32"/>
        </w:rPr>
      </w:pPr>
      <w:r>
        <w:rPr>
          <w:rStyle w:val="10"/>
          <w:rFonts w:ascii="Times New Roman" w:hAnsi="Times New Roman" w:eastAsia="方正仿宋_GBK" w:cs="方正仿宋_GBK"/>
          <w:b w:val="0"/>
          <w:bCs/>
          <w:sz w:val="32"/>
          <w:szCs w:val="32"/>
          <w:shd w:val="clear" w:color="auto" w:fill="FFFFFF"/>
        </w:rPr>
        <w:t>1.总体情况。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度收入总计98.38万元，支出总计</w:t>
      </w:r>
      <w:r>
        <w:rPr>
          <w:rFonts w:ascii="Times New Roman" w:hAnsi="Times New Roman" w:eastAsia="方正仿宋_GBK" w:cs="方正仿宋_GBK"/>
          <w:b w:val="0"/>
          <w:bCs/>
          <w:sz w:val="32"/>
          <w:szCs w:val="32"/>
        </w:rPr>
        <w:t>98.38</w:t>
      </w:r>
      <w:r>
        <w:rPr>
          <w:rFonts w:ascii="Times New Roman" w:hAnsi="Times New Roman" w:eastAsia="方正仿宋_GBK" w:cs="方正仿宋_GBK"/>
          <w:b w:val="0"/>
          <w:bCs/>
          <w:sz w:val="32"/>
          <w:szCs w:val="32"/>
          <w:shd w:val="clear" w:color="auto" w:fill="FFFFFF"/>
        </w:rPr>
        <w:t>万元。收、支与2023年度相比，增加16.96万元，增长20.8%，主要原因是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2024年本单位新增职工2人，工资及社保缴费基数上调，导致人员经费增加。</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10"/>
          <w:rFonts w:ascii="Times New Roman" w:hAnsi="Times New Roman" w:eastAsia="方正仿宋_GBK" w:cs="方正仿宋_GBK"/>
          <w:b w:val="0"/>
          <w:bCs/>
          <w:sz w:val="32"/>
          <w:szCs w:val="32"/>
          <w:shd w:val="clear" w:color="auto" w:fill="FFFFFF"/>
        </w:rPr>
        <w:t>2.收入情况。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度收入合计98.38万元，与2023年度相比，增加16.96万元，增长20.8%，主要原因是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2024年本单位新增职工2人，工资及社保缴费基数上调，导致人员经费增加。</w:t>
      </w:r>
      <w:r>
        <w:rPr>
          <w:rFonts w:ascii="Times New Roman" w:hAnsi="Times New Roman" w:eastAsia="方正仿宋_GBK" w:cs="方正仿宋_GBK"/>
          <w:b w:val="0"/>
          <w:bCs/>
          <w:sz w:val="32"/>
          <w:szCs w:val="32"/>
          <w:shd w:val="clear" w:color="auto" w:fill="FFFFFF"/>
        </w:rPr>
        <w:t>其中：财政拨款收入</w:t>
      </w:r>
      <w:r>
        <w:rPr>
          <w:rFonts w:ascii="Times New Roman" w:hAnsi="Times New Roman" w:eastAsia="方正仿宋_GBK" w:cs="方正仿宋_GBK"/>
          <w:b w:val="0"/>
          <w:bCs/>
          <w:sz w:val="32"/>
          <w:szCs w:val="32"/>
        </w:rPr>
        <w:t>98.38</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100.00</w:t>
      </w:r>
      <w:r>
        <w:rPr>
          <w:rFonts w:ascii="Times New Roman" w:hAnsi="Times New Roman" w:eastAsia="方正仿宋_GBK" w:cs="方正仿宋_GBK"/>
          <w:b w:val="0"/>
          <w:bCs/>
          <w:sz w:val="32"/>
          <w:szCs w:val="32"/>
          <w:shd w:val="clear" w:color="auto" w:fill="FFFFFF"/>
        </w:rPr>
        <w:t>%；事业收入</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万元，占0.00%；经营收入</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万元，占0.00%；其他收入</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万元，占0.00%。此外，使用非财政拨款结余和专用结余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万元，年初结转和结余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10"/>
          <w:rFonts w:ascii="Times New Roman" w:hAnsi="Times New Roman" w:eastAsia="方正仿宋_GBK" w:cs="方正仿宋_GBK"/>
          <w:b w:val="0"/>
          <w:bCs/>
          <w:sz w:val="32"/>
          <w:szCs w:val="32"/>
          <w:shd w:val="clear" w:color="auto" w:fill="FFFFFF"/>
        </w:rPr>
        <w:t>3.支出情况。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度支出合计</w:t>
      </w:r>
      <w:r>
        <w:rPr>
          <w:rFonts w:ascii="Times New Roman" w:hAnsi="Times New Roman" w:eastAsia="方正仿宋_GBK" w:cs="方正仿宋_GBK"/>
          <w:b w:val="0"/>
          <w:bCs/>
          <w:sz w:val="32"/>
          <w:szCs w:val="32"/>
        </w:rPr>
        <w:t>98.38</w:t>
      </w:r>
      <w:r>
        <w:rPr>
          <w:rFonts w:ascii="Times New Roman" w:hAnsi="Times New Roman" w:eastAsia="方正仿宋_GBK" w:cs="方正仿宋_GBK"/>
          <w:b w:val="0"/>
          <w:bCs/>
          <w:sz w:val="32"/>
          <w:szCs w:val="32"/>
          <w:shd w:val="clear" w:color="auto" w:fill="FFFFFF"/>
        </w:rPr>
        <w:t>万元，与2023年度相比，增加16.96万元，增长20.8%，主要原因是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2024年本单位新增职工2人，工资及社保缴费基数上调，导致人员经费增加。</w:t>
      </w:r>
      <w:r>
        <w:rPr>
          <w:rFonts w:ascii="Times New Roman" w:hAnsi="Times New Roman" w:eastAsia="方正仿宋_GBK" w:cs="方正仿宋_GBK"/>
          <w:b w:val="0"/>
          <w:bCs/>
          <w:sz w:val="32"/>
          <w:szCs w:val="32"/>
          <w:shd w:val="clear" w:color="auto" w:fill="FFFFFF"/>
        </w:rPr>
        <w:t>其中：基本支出</w:t>
      </w:r>
      <w:r>
        <w:rPr>
          <w:rFonts w:ascii="Times New Roman" w:hAnsi="Times New Roman" w:eastAsia="方正仿宋_GBK" w:cs="方正仿宋_GBK"/>
          <w:b w:val="0"/>
          <w:bCs/>
          <w:sz w:val="32"/>
          <w:szCs w:val="32"/>
        </w:rPr>
        <w:t>98.38</w:t>
      </w:r>
      <w:r>
        <w:rPr>
          <w:rFonts w:ascii="Times New Roman" w:hAnsi="Times New Roman" w:eastAsia="方正仿宋_GBK" w:cs="方正仿宋_GBK"/>
          <w:b w:val="0"/>
          <w:bCs/>
          <w:sz w:val="32"/>
          <w:szCs w:val="32"/>
          <w:shd w:val="clear" w:color="auto" w:fill="FFFFFF"/>
        </w:rPr>
        <w:t>万元，占100.00%；项目支出</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万元，占0.00%；经营支出</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万元，占0.00%。此外，结余分配</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Style w:val="10"/>
          <w:rFonts w:ascii="Times New Roman" w:hAnsi="Times New Roman" w:eastAsia="方正仿宋_GBK" w:cs="方正仿宋_GBK"/>
          <w:b w:val="0"/>
          <w:bCs/>
          <w:sz w:val="32"/>
          <w:szCs w:val="32"/>
          <w:shd w:val="clear" w:color="auto" w:fill="FFFFFF"/>
        </w:rPr>
        <w:t>4.结转结余情况。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度年末结转和结余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万元，与2023年度相比，无增减，主要原因是</w:t>
      </w:r>
      <w:r>
        <w:rPr>
          <w:rFonts w:hint="eastAsia" w:ascii="Times New Roman" w:hAnsi="Times New Roman" w:eastAsia="方正仿宋_GBK" w:cs="方正仿宋_GBK"/>
          <w:b w:val="0"/>
          <w:bCs/>
          <w:sz w:val="32"/>
          <w:szCs w:val="32"/>
          <w:shd w:val="clear" w:color="auto" w:fill="FFFFFF"/>
          <w:lang w:val="en-US" w:eastAsia="zh-CN"/>
        </w:rPr>
        <w:t>财政要求，省级以下单位实行收付实现制，年终无结转。</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度财政拨款收、支总计98.38万元。与202</w:t>
      </w:r>
      <w:r>
        <w:rPr>
          <w:rFonts w:hint="eastAsia" w:ascii="Times New Roman" w:hAnsi="Times New Roman" w:eastAsia="方正仿宋_GBK" w:cs="方正仿宋_GBK"/>
          <w:b w:val="0"/>
          <w:bCs/>
          <w:sz w:val="32"/>
          <w:szCs w:val="32"/>
          <w:shd w:val="clear" w:color="auto" w:fill="FFFFFF"/>
          <w:lang w:val="en-US" w:eastAsia="zh-CN"/>
        </w:rPr>
        <w:t>3</w:t>
      </w:r>
      <w:r>
        <w:rPr>
          <w:rFonts w:ascii="Times New Roman" w:hAnsi="Times New Roman" w:eastAsia="方正仿宋_GBK" w:cs="方正仿宋_GBK"/>
          <w:b w:val="0"/>
          <w:bCs/>
          <w:sz w:val="32"/>
          <w:szCs w:val="32"/>
          <w:shd w:val="clear" w:color="auto" w:fill="FFFFFF"/>
        </w:rPr>
        <w:t>年相比，财政拨款收、支总计各增加16.96万元，增长20.8%。主要原因是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2024年本单位新增职工2人，工资及社保缴费基数上调，导致人员经费增加。</w:t>
      </w:r>
    </w:p>
    <w:p>
      <w:pPr>
        <w:pStyle w:val="11"/>
        <w:keepNext w:val="0"/>
        <w:keepLines w:val="0"/>
        <w:pageBreakBefore w:val="0"/>
        <w:widowControl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（三）一般公共预算财政拨款收入支出决算情况说明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Style w:val="10"/>
          <w:rFonts w:ascii="Times New Roman" w:hAnsi="Times New Roman" w:eastAsia="方正仿宋_GBK" w:cs="方正仿宋_GBK"/>
          <w:b w:val="0"/>
          <w:bCs/>
          <w:sz w:val="32"/>
          <w:szCs w:val="32"/>
          <w:shd w:val="clear" w:color="auto" w:fill="FFFFFF"/>
        </w:rPr>
        <w:t>1.收入情况。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度一般公共预算财政拨款收入</w:t>
      </w:r>
      <w:r>
        <w:rPr>
          <w:rFonts w:ascii="Times New Roman" w:hAnsi="Times New Roman" w:eastAsia="方正仿宋_GBK" w:cs="方正仿宋_GBK"/>
          <w:b w:val="0"/>
          <w:bCs/>
          <w:sz w:val="32"/>
          <w:szCs w:val="32"/>
        </w:rPr>
        <w:t>98.38</w:t>
      </w:r>
      <w:r>
        <w:rPr>
          <w:rFonts w:ascii="Times New Roman" w:hAnsi="Times New Roman" w:eastAsia="方正仿宋_GBK" w:cs="方正仿宋_GBK"/>
          <w:b w:val="0"/>
          <w:bCs/>
          <w:sz w:val="32"/>
          <w:szCs w:val="32"/>
          <w:shd w:val="clear" w:color="auto" w:fill="FFFFFF"/>
        </w:rPr>
        <w:t>万元，与2023年度相比，增加16.96万元，增长20.8%。主要原因是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2024年本单位新增职工2人，工资及社保缴费基数上调，导致人员经费增加。</w:t>
      </w:r>
      <w:r>
        <w:rPr>
          <w:rFonts w:ascii="Times New Roman" w:hAnsi="Times New Roman" w:eastAsia="方正仿宋_GBK" w:cs="方正仿宋_GBK"/>
          <w:b w:val="0"/>
          <w:bCs/>
          <w:sz w:val="32"/>
          <w:szCs w:val="32"/>
          <w:shd w:val="clear" w:color="auto" w:fill="FFFFFF"/>
        </w:rPr>
        <w:t>较年初预算数增加13.15万元，增长15.4%。主要原因是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2024年本单位新增职工2人，工资及社保缴费基数上调，导致人员经费增加。</w:t>
      </w:r>
      <w:r>
        <w:rPr>
          <w:rFonts w:ascii="Times New Roman" w:hAnsi="Times New Roman" w:eastAsia="方正仿宋_GBK" w:cs="方正仿宋_GBK"/>
          <w:b w:val="0"/>
          <w:bCs/>
          <w:sz w:val="32"/>
          <w:szCs w:val="32"/>
          <w:shd w:val="clear" w:color="auto" w:fill="FFFFFF"/>
        </w:rPr>
        <w:t>此外，年初财政拨款结转和结余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Style w:val="10"/>
          <w:rFonts w:ascii="Times New Roman" w:hAnsi="Times New Roman" w:eastAsia="方正仿宋_GBK" w:cs="方正仿宋_GBK"/>
          <w:b w:val="0"/>
          <w:bCs/>
          <w:sz w:val="32"/>
          <w:szCs w:val="32"/>
          <w:shd w:val="clear" w:color="auto" w:fill="FFFFFF"/>
        </w:rPr>
        <w:t>2.支出情况。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度一般公共预算财政拨款支出</w:t>
      </w:r>
      <w:r>
        <w:rPr>
          <w:rFonts w:ascii="Times New Roman" w:hAnsi="Times New Roman" w:eastAsia="方正仿宋_GBK" w:cs="方正仿宋_GBK"/>
          <w:b w:val="0"/>
          <w:bCs/>
          <w:sz w:val="32"/>
          <w:szCs w:val="32"/>
        </w:rPr>
        <w:t>98.38</w:t>
      </w:r>
      <w:r>
        <w:rPr>
          <w:rFonts w:ascii="Times New Roman" w:hAnsi="Times New Roman" w:eastAsia="方正仿宋_GBK" w:cs="方正仿宋_GBK"/>
          <w:b w:val="0"/>
          <w:bCs/>
          <w:sz w:val="32"/>
          <w:szCs w:val="32"/>
          <w:shd w:val="clear" w:color="auto" w:fill="FFFFFF"/>
        </w:rPr>
        <w:t>万元，与2023年度相比，增加16.96万元，增长20.8%。主要原因是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2024年本单位新增职工2人，工资及社保缴费基数上调，导致人员经费增加。</w:t>
      </w:r>
      <w:r>
        <w:rPr>
          <w:rFonts w:ascii="Times New Roman" w:hAnsi="Times New Roman" w:eastAsia="方正仿宋_GBK" w:cs="方正仿宋_GBK"/>
          <w:b w:val="0"/>
          <w:bCs/>
          <w:sz w:val="32"/>
          <w:szCs w:val="32"/>
          <w:shd w:val="clear" w:color="auto" w:fill="FFFFFF"/>
        </w:rPr>
        <w:t>较年初预算数增加13.15万元，增长15.4%。主要原因是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2024年本单位新增职工2人，工资及社保缴费基数上调，导致人员经费增加。</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Style w:val="10"/>
          <w:rFonts w:ascii="Times New Roman" w:hAnsi="Times New Roman" w:eastAsia="方正仿宋_GBK" w:cs="方正仿宋_GBK"/>
          <w:b w:val="0"/>
          <w:bCs/>
          <w:sz w:val="32"/>
          <w:szCs w:val="32"/>
          <w:shd w:val="clear" w:color="auto" w:fill="FFFFFF"/>
        </w:rPr>
        <w:t>3.结转结余情况。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度年末一般公共预算财政拨款结转和结余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万元，与2023年度相比，无增减，主要原因是</w:t>
      </w:r>
      <w:r>
        <w:rPr>
          <w:rFonts w:hint="eastAsia" w:ascii="Times New Roman" w:hAnsi="Times New Roman" w:eastAsia="方正仿宋_GBK" w:cs="方正仿宋_GBK"/>
          <w:b w:val="0"/>
          <w:bCs/>
          <w:sz w:val="32"/>
          <w:szCs w:val="32"/>
          <w:shd w:val="clear" w:color="auto" w:fill="FFFFFF"/>
          <w:lang w:val="en-US" w:eastAsia="zh-CN"/>
        </w:rPr>
        <w:t>财政要求，省级以下单位实行收付实现制，年终无结转。</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color w:val="FF0000"/>
          <w:sz w:val="32"/>
          <w:szCs w:val="32"/>
          <w:highlight w:val="cyan"/>
          <w:shd w:val="clear" w:color="auto" w:fill="FFFFFF"/>
        </w:rPr>
      </w:pPr>
      <w:r>
        <w:rPr>
          <w:rStyle w:val="10"/>
          <w:rFonts w:ascii="Times New Roman" w:hAnsi="Times New Roman" w:eastAsia="方正仿宋_GBK" w:cs="方正仿宋_GBK"/>
          <w:b w:val="0"/>
          <w:bCs/>
          <w:sz w:val="32"/>
          <w:szCs w:val="32"/>
          <w:shd w:val="clear" w:color="auto" w:fill="FFFFFF"/>
        </w:rPr>
        <w:t>4.比较情况。</w:t>
      </w:r>
      <w:r>
        <w:rPr>
          <w:rFonts w:ascii="Times New Roman" w:hAnsi="Times New Roman" w:eastAsia="方正仿宋_GBK" w:cs="方正仿宋_GBK"/>
          <w:b w:val="0"/>
          <w:bCs/>
          <w:sz w:val="32"/>
          <w:szCs w:val="32"/>
          <w:shd w:val="clear" w:color="auto" w:fill="FFFFFF"/>
        </w:rPr>
        <w:t>本单位</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度一般公共预算财政拨款支出主要用于以下几个方面：</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（1）一般公共服务支出</w:t>
      </w:r>
      <w:r>
        <w:rPr>
          <w:rFonts w:ascii="Times New Roman" w:hAnsi="Times New Roman" w:eastAsia="方正仿宋_GBK" w:cs="方正仿宋_GBK"/>
          <w:b w:val="0"/>
          <w:bCs/>
          <w:sz w:val="32"/>
          <w:szCs w:val="32"/>
        </w:rPr>
        <w:t>74.74</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75.97</w:t>
      </w:r>
      <w:r>
        <w:rPr>
          <w:rFonts w:ascii="Times New Roman" w:hAnsi="Times New Roman" w:eastAsia="方正仿宋_GBK" w:cs="方正仿宋_GBK"/>
          <w:b w:val="0"/>
          <w:bCs/>
          <w:sz w:val="32"/>
          <w:szCs w:val="32"/>
          <w:shd w:val="clear" w:color="auto" w:fill="FFFFFF"/>
        </w:rPr>
        <w:t>%，较年初预算数增加7.20万元，增长10.7%，主要原因是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2024年本单位新增职工2人，工资及社保缴费基数上调，导致人员经费增加。</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lang w:val="en-US"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cs="方正仿宋_GBK"/>
          <w:b w:val="0"/>
          <w:bCs/>
          <w:sz w:val="32"/>
          <w:szCs w:val="32"/>
          <w:shd w:val="clear" w:color="auto" w:fill="FFFFFF"/>
          <w:lang w:val="en-US" w:eastAsia="zh-CN"/>
        </w:rPr>
        <w:t>2</w:t>
      </w:r>
      <w:r>
        <w:rPr>
          <w:rFonts w:ascii="Times New Roman" w:hAnsi="Times New Roman" w:eastAsia="方正仿宋_GBK" w:cs="方正仿宋_GBK"/>
          <w:b w:val="0"/>
          <w:bCs/>
          <w:sz w:val="32"/>
          <w:szCs w:val="32"/>
          <w:shd w:val="clear" w:color="auto" w:fill="FFFFFF"/>
        </w:rPr>
        <w:t>）社会保障与就业支出</w:t>
      </w:r>
      <w:r>
        <w:rPr>
          <w:rFonts w:ascii="Times New Roman" w:hAnsi="Times New Roman" w:eastAsia="方正仿宋_GBK" w:cs="方正仿宋_GBK"/>
          <w:b w:val="0"/>
          <w:bCs/>
          <w:sz w:val="32"/>
          <w:szCs w:val="32"/>
        </w:rPr>
        <w:t>14.15</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14.39</w:t>
      </w:r>
      <w:r>
        <w:rPr>
          <w:rFonts w:ascii="Times New Roman" w:hAnsi="Times New Roman" w:eastAsia="方正仿宋_GBK" w:cs="方正仿宋_GBK"/>
          <w:b w:val="0"/>
          <w:bCs/>
          <w:sz w:val="32"/>
          <w:szCs w:val="32"/>
          <w:shd w:val="clear" w:color="auto" w:fill="FFFFFF"/>
        </w:rPr>
        <w:t>%，较年初预算数增加5.33万元，增长60.4%，主要原因是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2024年本单位新增职工2人，社保缴费基数上调，导致人员经费增加。</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cs="方正仿宋_GBK"/>
          <w:b w:val="0"/>
          <w:bCs/>
          <w:sz w:val="32"/>
          <w:szCs w:val="32"/>
          <w:shd w:val="clear" w:color="auto" w:fill="FFFFFF"/>
          <w:lang w:val="en-US" w:eastAsia="zh-CN"/>
        </w:rPr>
        <w:t>3</w:t>
      </w:r>
      <w:r>
        <w:rPr>
          <w:rFonts w:ascii="Times New Roman" w:hAnsi="Times New Roman" w:eastAsia="方正仿宋_GBK" w:cs="方正仿宋_GBK"/>
          <w:b w:val="0"/>
          <w:bCs/>
          <w:sz w:val="32"/>
          <w:szCs w:val="32"/>
          <w:shd w:val="clear" w:color="auto" w:fill="FFFFFF"/>
        </w:rPr>
        <w:t>）卫生健康支出</w:t>
      </w:r>
      <w:r>
        <w:rPr>
          <w:rFonts w:ascii="Times New Roman" w:hAnsi="Times New Roman" w:eastAsia="方正仿宋_GBK" w:cs="方正仿宋_GBK"/>
          <w:b w:val="0"/>
          <w:bCs/>
          <w:sz w:val="32"/>
          <w:szCs w:val="32"/>
        </w:rPr>
        <w:t>4.79</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4.87</w:t>
      </w:r>
      <w:r>
        <w:rPr>
          <w:rFonts w:ascii="Times New Roman" w:hAnsi="Times New Roman" w:eastAsia="方正仿宋_GBK" w:cs="方正仿宋_GBK"/>
          <w:b w:val="0"/>
          <w:bCs/>
          <w:sz w:val="32"/>
          <w:szCs w:val="32"/>
          <w:shd w:val="clear" w:color="auto" w:fill="FFFFFF"/>
        </w:rPr>
        <w:t>%，较年初预算数增加0.32万元，增长7.2%，主要原因是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2024年本单位新增职工2人，导致人员经费增加。</w:t>
      </w:r>
    </w:p>
    <w:p>
      <w:pPr>
        <w:keepNext w:val="0"/>
        <w:keepLines w:val="0"/>
        <w:pageBreakBefore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 w:val="0"/>
          <w:bCs/>
          <w:color w:val="FF0000"/>
          <w:sz w:val="32"/>
          <w:szCs w:val="32"/>
          <w:shd w:val="clear" w:color="auto" w:fill="FFFFFF"/>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cs="方正仿宋_GBK"/>
          <w:b w:val="0"/>
          <w:bCs/>
          <w:sz w:val="32"/>
          <w:szCs w:val="32"/>
          <w:shd w:val="clear" w:color="auto" w:fill="FFFFFF"/>
          <w:lang w:val="en-US" w:eastAsia="zh-CN"/>
        </w:rPr>
        <w:t>4</w:t>
      </w:r>
      <w:r>
        <w:rPr>
          <w:rFonts w:ascii="Times New Roman" w:hAnsi="Times New Roman" w:eastAsia="方正仿宋_GBK" w:cs="方正仿宋_GBK"/>
          <w:b w:val="0"/>
          <w:bCs/>
          <w:sz w:val="32"/>
          <w:szCs w:val="32"/>
          <w:shd w:val="clear" w:color="auto" w:fill="FFFFFF"/>
        </w:rPr>
        <w:t>）</w:t>
      </w:r>
      <w:r>
        <w:rPr>
          <w:rFonts w:ascii="Times New Roman" w:hAnsi="Times New Roman" w:eastAsia="方正仿宋_GBK" w:cs="方正仿宋_GBK"/>
          <w:b w:val="0"/>
          <w:bCs/>
          <w:sz w:val="32"/>
          <w:szCs w:val="32"/>
        </w:rPr>
        <w:t>住房保障支出4.69</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4.77</w:t>
      </w:r>
      <w:r>
        <w:rPr>
          <w:rFonts w:ascii="Times New Roman" w:hAnsi="Times New Roman" w:eastAsia="方正仿宋_GBK" w:cs="方正仿宋_GBK"/>
          <w:b w:val="0"/>
          <w:bCs/>
          <w:sz w:val="32"/>
          <w:szCs w:val="32"/>
          <w:shd w:val="clear" w:color="auto" w:fill="FFFFFF"/>
        </w:rPr>
        <w:t>%，较年初预算数增加0.28万元，增长6.4%，主要原因是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2024年本单位新增职工2人，工资调标，清算追加住房公积金。</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度一般公共财政拨款基本支出</w:t>
      </w:r>
      <w:r>
        <w:rPr>
          <w:rFonts w:ascii="Times New Roman" w:hAnsi="Times New Roman" w:eastAsia="方正仿宋_GBK" w:cs="方正仿宋_GBK"/>
          <w:b w:val="0"/>
          <w:bCs/>
          <w:sz w:val="32"/>
          <w:szCs w:val="32"/>
        </w:rPr>
        <w:t>98.38</w:t>
      </w:r>
      <w:r>
        <w:rPr>
          <w:rFonts w:ascii="Times New Roman" w:hAnsi="Times New Roman" w:eastAsia="方正仿宋_GBK" w:cs="方正仿宋_GBK"/>
          <w:b w:val="0"/>
          <w:bCs/>
          <w:sz w:val="32"/>
          <w:szCs w:val="32"/>
          <w:shd w:val="clear" w:color="auto" w:fill="FFFFFF"/>
        </w:rPr>
        <w:t>万元。其中：人员经费</w:t>
      </w:r>
      <w:r>
        <w:rPr>
          <w:rFonts w:ascii="Times New Roman" w:hAnsi="Times New Roman" w:eastAsia="方正仿宋_GBK" w:cs="方正仿宋_GBK"/>
          <w:b w:val="0"/>
          <w:bCs/>
          <w:sz w:val="32"/>
          <w:szCs w:val="32"/>
        </w:rPr>
        <w:t>96.14</w:t>
      </w:r>
      <w:r>
        <w:rPr>
          <w:rFonts w:ascii="Times New Roman" w:hAnsi="Times New Roman" w:eastAsia="方正仿宋_GBK" w:cs="方正仿宋_GBK"/>
          <w:b w:val="0"/>
          <w:bCs/>
          <w:sz w:val="32"/>
          <w:szCs w:val="32"/>
          <w:shd w:val="clear" w:color="auto" w:fill="FFFFFF"/>
        </w:rPr>
        <w:t>万元，与2023年度相比，增加15.27万元，增长18.9%，主要原因是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2024年本单位新增职工2人，导致人员经费增加。</w:t>
      </w:r>
      <w:r>
        <w:rPr>
          <w:rFonts w:ascii="Times New Roman" w:hAnsi="Times New Roman" w:eastAsia="方正仿宋_GBK" w:cs="方正仿宋_GBK"/>
          <w:b w:val="0"/>
          <w:bCs/>
          <w:sz w:val="32"/>
          <w:szCs w:val="32"/>
          <w:shd w:val="clear" w:color="auto" w:fill="FFFFFF"/>
        </w:rPr>
        <w:t>人员经费用途主要包括</w:t>
      </w:r>
      <w:r>
        <w:rPr>
          <w:rFonts w:hint="eastAsia" w:ascii="Times New Roman" w:hAnsi="Times New Roman" w:eastAsia="方正仿宋_GBK" w:cs="方正仿宋_GBK"/>
          <w:b w:val="0"/>
          <w:bCs/>
          <w:sz w:val="32"/>
          <w:highlight w:val="none"/>
          <w:shd w:val="clear" w:color="auto" w:fill="auto"/>
          <w:lang w:val="en-US" w:eastAsia="zh-CN"/>
        </w:rPr>
        <w:t>职工统发工资、职工考核、社会保险缴费及住房公积金等。</w:t>
      </w:r>
      <w:r>
        <w:rPr>
          <w:rFonts w:ascii="Times New Roman" w:hAnsi="Times New Roman" w:eastAsia="方正仿宋_GBK" w:cs="方正仿宋_GBK"/>
          <w:b w:val="0"/>
          <w:bCs/>
          <w:sz w:val="32"/>
          <w:szCs w:val="32"/>
          <w:shd w:val="clear" w:color="auto" w:fill="FFFFFF"/>
        </w:rPr>
        <w:t>公用经费</w:t>
      </w:r>
      <w:r>
        <w:rPr>
          <w:rFonts w:ascii="Times New Roman" w:hAnsi="Times New Roman" w:eastAsia="方正仿宋_GBK" w:cs="方正仿宋_GBK"/>
          <w:b w:val="0"/>
          <w:bCs/>
          <w:sz w:val="32"/>
          <w:szCs w:val="32"/>
        </w:rPr>
        <w:t>2.24</w:t>
      </w:r>
      <w:r>
        <w:rPr>
          <w:rFonts w:ascii="Times New Roman" w:hAnsi="Times New Roman" w:eastAsia="方正仿宋_GBK" w:cs="方正仿宋_GBK"/>
          <w:b w:val="0"/>
          <w:bCs/>
          <w:sz w:val="32"/>
          <w:szCs w:val="32"/>
          <w:shd w:val="clear" w:color="auto" w:fill="FFFFFF"/>
        </w:rPr>
        <w:t>万元，与2023年度相比，增加1.69万元，增长307.3%，主要原因是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2024年本单位新增职工2人，上年度公用经费在本年度支付。</w:t>
      </w:r>
      <w:r>
        <w:rPr>
          <w:rFonts w:ascii="Times New Roman" w:hAnsi="Times New Roman" w:eastAsia="方正仿宋_GBK" w:cs="方正仿宋_GBK"/>
          <w:b w:val="0"/>
          <w:bCs/>
          <w:sz w:val="32"/>
          <w:szCs w:val="32"/>
          <w:shd w:val="clear" w:color="auto" w:fill="FFFFFF"/>
        </w:rPr>
        <w:t>公用经费用途主要包括</w:t>
      </w:r>
      <w:r>
        <w:rPr>
          <w:rFonts w:hint="eastAsia" w:ascii="Times New Roman" w:hAnsi="Times New Roman" w:eastAsia="方正仿宋_GBK" w:cs="方正仿宋_GBK"/>
          <w:b w:val="0"/>
          <w:bCs/>
          <w:sz w:val="32"/>
          <w:szCs w:val="32"/>
          <w:shd w:val="clear" w:color="auto" w:fill="FFFFFF"/>
          <w:lang w:val="en-US" w:eastAsia="zh-CN"/>
        </w:rPr>
        <w:t>职工培训费、福利费、工会经费。</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lang w:val="en-US" w:eastAsia="zh-CN"/>
        </w:rPr>
      </w:pPr>
      <w:r>
        <w:rPr>
          <w:rFonts w:hint="eastAsia" w:ascii="Times New Roman" w:hAnsi="Times New Roman" w:eastAsia="方正仿宋_GBK" w:cs="方正仿宋_GBK"/>
          <w:b w:val="0"/>
          <w:bCs/>
          <w:sz w:val="32"/>
          <w:szCs w:val="32"/>
          <w:shd w:val="clear" w:color="auto" w:fill="FFFFFF"/>
          <w:lang w:val="en-US" w:eastAsia="zh-CN"/>
        </w:rPr>
        <w:t>本单位2024年度无政府性基金预算财政拨款收支。</w:t>
      </w:r>
    </w:p>
    <w:p>
      <w:pPr>
        <w:pStyle w:val="11"/>
        <w:keepNext w:val="0"/>
        <w:keepLines w:val="0"/>
        <w:pageBreakBefore w:val="0"/>
        <w:widowControl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（六）国有资本经营预算财政拨款支出决算情况说明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lang w:val="en-US" w:eastAsia="zh-CN"/>
        </w:rPr>
      </w:pPr>
      <w:r>
        <w:rPr>
          <w:rFonts w:hint="eastAsia" w:ascii="Times New Roman" w:hAnsi="Times New Roman" w:eastAsia="方正仿宋_GBK" w:cs="方正仿宋_GBK"/>
          <w:b w:val="0"/>
          <w:bCs/>
          <w:sz w:val="32"/>
          <w:szCs w:val="32"/>
          <w:shd w:val="clear" w:color="auto" w:fill="FFFFFF"/>
          <w:lang w:val="en-US" w:eastAsia="zh-CN"/>
        </w:rPr>
        <w:t>本单位2024年度无国有资本经营预算财政拨款支出。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三、财政拨款“三公”经费情况说明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度“三公”经费支出共计</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万元，较年初预算数无增减，主要原因是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sz w:val="32"/>
          <w:szCs w:val="32"/>
          <w:shd w:val="clear" w:color="auto" w:fill="FFFFFF"/>
        </w:rPr>
        <w:t>较上年支出数无增减，主要原因是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highlight w:val="none"/>
          <w:lang w:val="en-US" w:eastAsia="zh-CN"/>
        </w:rPr>
      </w:pP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度本单位因公出国（境）费用</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万元，费用支出较年初预算数无增减，</w:t>
      </w:r>
      <w:r>
        <w:rPr>
          <w:rFonts w:hint="eastAsia"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sz w:val="32"/>
          <w:szCs w:val="32"/>
          <w:shd w:val="clear" w:color="auto" w:fill="FFFFFF"/>
        </w:rPr>
        <w:t>较上年支出数无增减，主要原因是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color w:val="auto"/>
          <w:sz w:val="32"/>
          <w:szCs w:val="32"/>
          <w:shd w:val="clear" w:color="auto" w:fill="FFFFFF"/>
          <w:lang w:eastAsia="zh-CN"/>
        </w:rPr>
      </w:pPr>
      <w:r>
        <w:rPr>
          <w:rFonts w:ascii="Times New Roman" w:hAnsi="Times New Roman" w:eastAsia="方正仿宋_GBK" w:cs="方正仿宋_GBK"/>
          <w:b w:val="0"/>
          <w:bCs/>
          <w:sz w:val="32"/>
          <w:szCs w:val="32"/>
          <w:shd w:val="clear" w:color="auto" w:fill="FFFFFF"/>
        </w:rPr>
        <w:t>公务车购置费</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万元，费用支出较年初预算数无增减，</w:t>
      </w:r>
      <w:r>
        <w:rPr>
          <w:rFonts w:hint="eastAsia"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shd w:val="clear" w:color="auto" w:fill="FFFFFF"/>
        </w:rPr>
        <w:t>。</w:t>
      </w:r>
      <w:r>
        <w:rPr>
          <w:rFonts w:ascii="Times New Roman" w:hAnsi="Times New Roman" w:eastAsia="方正仿宋_GBK" w:cs="方正仿宋_GBK"/>
          <w:b w:val="0"/>
          <w:bCs/>
          <w:sz w:val="32"/>
          <w:szCs w:val="32"/>
          <w:shd w:val="clear" w:color="auto" w:fill="FFFFFF"/>
        </w:rPr>
        <w:t>较上年支出数无增减，主要原因是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shd w:val="clear" w:color="auto" w:fill="FFFFFF"/>
        </w:rPr>
        <w:t>。</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ascii="Times New Roman" w:hAnsi="Times New Roman" w:eastAsia="方正仿宋_GBK" w:cs="方正仿宋_GBK"/>
          <w:b w:val="0"/>
          <w:bCs/>
          <w:sz w:val="32"/>
          <w:szCs w:val="32"/>
          <w:shd w:val="clear" w:color="auto" w:fill="FFFFFF"/>
        </w:rPr>
        <w:t>公务车运行维护费</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万元，费用支出较年初预算数无增减，</w:t>
      </w:r>
      <w:r>
        <w:rPr>
          <w:rFonts w:hint="eastAsia" w:ascii="Times New Roman" w:hAnsi="Times New Roman" w:eastAsia="方正仿宋_GBK" w:cs="方正仿宋_GBK"/>
          <w:b w:val="0"/>
          <w:bCs/>
          <w:sz w:val="32"/>
          <w:szCs w:val="32"/>
          <w:shd w:val="clear" w:color="auto" w:fill="FFFFFF"/>
          <w:lang w:val="en-US" w:eastAsia="zh-CN"/>
        </w:rPr>
        <w:t>主要原因是按照部门决算列报口径，统一在政府机关本级列报</w:t>
      </w:r>
      <w:r>
        <w:rPr>
          <w:rFonts w:hint="eastAsia" w:ascii="Times New Roman" w:hAnsi="Times New Roman" w:eastAsia="方正仿宋_GBK" w:cs="方正仿宋_GBK"/>
          <w:b w:val="0"/>
          <w:bCs/>
          <w:sz w:val="32"/>
          <w:szCs w:val="32"/>
          <w:shd w:val="clear" w:color="auto" w:fill="FFFFFF"/>
        </w:rPr>
        <w:t>。</w:t>
      </w:r>
      <w:r>
        <w:rPr>
          <w:rFonts w:ascii="Times New Roman" w:hAnsi="Times New Roman" w:eastAsia="方正仿宋_GBK" w:cs="方正仿宋_GBK"/>
          <w:b w:val="0"/>
          <w:bCs/>
          <w:sz w:val="32"/>
          <w:szCs w:val="32"/>
          <w:shd w:val="clear" w:color="auto" w:fill="FFFFFF"/>
        </w:rPr>
        <w:t>较上年支出数无增减，主要原因是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shd w:val="clear" w:color="auto" w:fill="FFFFFF"/>
        </w:rPr>
        <w:t>。</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公务接待费</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万元，费用支出较年初预算数无增减，</w:t>
      </w:r>
      <w:r>
        <w:rPr>
          <w:rFonts w:hint="eastAsia" w:ascii="Times New Roman" w:hAnsi="Times New Roman" w:eastAsia="方正仿宋_GBK" w:cs="方正仿宋_GBK"/>
          <w:b w:val="0"/>
          <w:bCs/>
          <w:sz w:val="32"/>
          <w:szCs w:val="32"/>
          <w:shd w:val="clear" w:color="auto" w:fill="FFFFFF"/>
          <w:lang w:val="en-US" w:eastAsia="zh-CN"/>
        </w:rPr>
        <w:t>主要原因是按照部门决算列报口径，统一在政府机关本级列报</w:t>
      </w:r>
      <w:r>
        <w:rPr>
          <w:rFonts w:hint="eastAsia" w:ascii="Times New Roman" w:hAnsi="Times New Roman" w:eastAsia="方正仿宋_GBK" w:cs="方正仿宋_GBK"/>
          <w:b w:val="0"/>
          <w:bCs/>
          <w:sz w:val="32"/>
          <w:szCs w:val="32"/>
          <w:shd w:val="clear" w:color="auto" w:fill="FFFFFF"/>
        </w:rPr>
        <w:t>。</w:t>
      </w:r>
      <w:r>
        <w:rPr>
          <w:rFonts w:ascii="Times New Roman" w:hAnsi="Times New Roman" w:eastAsia="方正仿宋_GBK" w:cs="方正仿宋_GBK"/>
          <w:b w:val="0"/>
          <w:bCs/>
          <w:sz w:val="32"/>
          <w:szCs w:val="32"/>
          <w:shd w:val="clear" w:color="auto" w:fill="FFFFFF"/>
        </w:rPr>
        <w:t>较上年支出数无增减，主要原因是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度本单位因公出国（境）共计</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个团组，</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人；公务用车购置</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辆，公务车保有量为</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辆；国内公务接待</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批次</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人，其中：国内外事接待</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批次，</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人；国（境）外公务接待</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批次，</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人。</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本单位人均接待费</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元，车均购置费</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万元，车均维护费</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本年度会议费支出</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万元，与2023年度相比，无增减，主要原因是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ascii="Times New Roman" w:hAnsi="Times New Roman" w:eastAsia="方正仿宋_GBK" w:cs="方正仿宋_GBK"/>
          <w:b w:val="0"/>
          <w:bCs/>
          <w:sz w:val="32"/>
          <w:szCs w:val="32"/>
          <w:shd w:val="clear" w:color="auto" w:fill="FFFFFF"/>
        </w:rPr>
        <w:t>。本年度培训费支出</w:t>
      </w:r>
      <w:r>
        <w:rPr>
          <w:rFonts w:ascii="Times New Roman" w:hAnsi="Times New Roman" w:eastAsia="方正仿宋_GBK" w:cs="方正仿宋_GBK"/>
          <w:b w:val="0"/>
          <w:bCs/>
          <w:sz w:val="32"/>
          <w:szCs w:val="32"/>
        </w:rPr>
        <w:t>0.50</w:t>
      </w:r>
      <w:r>
        <w:rPr>
          <w:rFonts w:ascii="Times New Roman" w:hAnsi="Times New Roman" w:eastAsia="方正仿宋_GBK" w:cs="方正仿宋_GBK"/>
          <w:b w:val="0"/>
          <w:bCs/>
          <w:sz w:val="32"/>
          <w:szCs w:val="32"/>
          <w:shd w:val="clear" w:color="auto" w:fill="FFFFFF"/>
        </w:rPr>
        <w:t>万元，与2023年度相比，增加0.33万元，增长194.1%，主要原因是</w:t>
      </w:r>
      <w:r>
        <w:rPr>
          <w:rFonts w:hint="eastAsia" w:ascii="Times New Roman" w:hAnsi="Times New Roman" w:eastAsia="方正仿宋_GBK" w:cs="方正仿宋_GBK"/>
          <w:b w:val="0"/>
          <w:bCs/>
          <w:sz w:val="32"/>
          <w:szCs w:val="32"/>
          <w:shd w:val="clear" w:color="auto" w:fill="FFFFFF"/>
          <w:lang w:val="en-US" w:eastAsia="zh-CN"/>
        </w:rPr>
        <w:t>2024年本单位新增职工2人，职工培训费增加。</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（二）机关运行经费情况说明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Fonts w:hint="default" w:ascii="Times New Roman" w:hAnsi="Times New Roman" w:eastAsia="方正仿宋_GBK" w:cs="方正仿宋_GBK"/>
          <w:b w:val="0"/>
          <w:bCs/>
          <w:sz w:val="32"/>
          <w:szCs w:val="32"/>
          <w:shd w:val="clear" w:color="auto" w:fill="FFFFFF"/>
        </w:rPr>
        <w:t>2024年度本单位机关运行经费支出0.00万元，机关运行经费较上年支出数无增减，主要原因是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ascii="Times New Roman" w:hAnsi="Times New Roman" w:eastAsia="方正仿宋_GBK" w:cs="方正仿宋_GBK"/>
          <w:b w:val="0"/>
          <w:bCs/>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截至</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12月31日，本单位共有车辆</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辆，其中，副部（省）级及以上领导用车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辆、主要负责人用车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辆、机要通信用车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辆、应急保障用车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辆、执法执勤用车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辆，特种专业技术用车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辆，离退休干部用车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辆。单价100万元（含）以上专用设备</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（一）单位自评情况</w:t>
      </w:r>
    </w:p>
    <w:p>
      <w:pPr>
        <w:pStyle w:val="14"/>
        <w:keepNext w:val="0"/>
        <w:keepLines w:val="0"/>
        <w:pageBreakBefore w:val="0"/>
        <w:kinsoku/>
        <w:wordWrap/>
        <w:overflowPunct/>
        <w:topLinePunct w:val="0"/>
        <w:autoSpaceDE w:val="0"/>
        <w:autoSpaceDN/>
        <w:bidi w:val="0"/>
        <w:adjustRightInd/>
        <w:spacing w:beforeAutospacing="0" w:afterAutospacing="0" w:line="578" w:lineRule="exact"/>
        <w:textAlignment w:val="auto"/>
        <w:rPr>
          <w:rFonts w:hint="default" w:ascii="Times New Roman" w:hAnsi="Times New Roman" w:eastAsia="方正仿宋_GBK" w:cs="方正仿宋_GBK"/>
          <w:b w:val="0"/>
          <w:bCs/>
          <w:sz w:val="32"/>
          <w:szCs w:val="32"/>
          <w:shd w:val="clear" w:color="auto" w:fill="FFFFFF"/>
          <w:lang w:val="en-US" w:eastAsia="zh-CN"/>
        </w:rPr>
      </w:pPr>
      <w:r>
        <w:rPr>
          <w:rFonts w:hint="eastAsia" w:ascii="Times New Roman" w:hAnsi="Times New Roman" w:eastAsia="方正仿宋_GBK" w:cs="方正仿宋_GBK"/>
          <w:b w:val="0"/>
          <w:bCs/>
          <w:sz w:val="32"/>
          <w:szCs w:val="32"/>
          <w:shd w:val="clear" w:color="auto" w:fill="FFFFFF"/>
          <w:lang w:val="en-US" w:eastAsia="zh-CN"/>
        </w:rPr>
        <w:t>根据预算绩效管理要求，我单位经费支出属于人员经费，无项目经费支出，不进行项目预算绩效管理。</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（二）部门绩效评价情况</w:t>
      </w:r>
    </w:p>
    <w:p>
      <w:pPr>
        <w:pStyle w:val="14"/>
        <w:keepNext w:val="0"/>
        <w:keepLines w:val="0"/>
        <w:pageBreakBefore w:val="0"/>
        <w:kinsoku/>
        <w:wordWrap/>
        <w:overflowPunct/>
        <w:topLinePunct w:val="0"/>
        <w:autoSpaceDE w:val="0"/>
        <w:autoSpaceDN/>
        <w:bidi w:val="0"/>
        <w:adjustRightInd/>
        <w:spacing w:beforeAutospacing="0" w:afterAutospacing="0" w:line="578" w:lineRule="exact"/>
        <w:textAlignment w:val="auto"/>
        <w:rPr>
          <w:rFonts w:hint="eastAsia"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rPr>
        <w:t>我单位</w:t>
      </w:r>
      <w:r>
        <w:rPr>
          <w:rFonts w:hint="eastAsia" w:ascii="Times New Roman" w:hAnsi="Times New Roman" w:eastAsia="方正仿宋_GBK" w:cs="方正仿宋_GBK"/>
          <w:b w:val="0"/>
          <w:bCs/>
          <w:sz w:val="32"/>
          <w:szCs w:val="32"/>
          <w:shd w:val="clear" w:color="auto" w:fill="FFFFFF"/>
          <w:lang w:val="en-US" w:eastAsia="zh-CN"/>
        </w:rPr>
        <w:t>未组织</w:t>
      </w:r>
      <w:r>
        <w:rPr>
          <w:rFonts w:hint="eastAsia" w:ascii="Times New Roman" w:hAnsi="Times New Roman" w:eastAsia="方正仿宋_GBK" w:cs="方正仿宋_GBK"/>
          <w:b w:val="0"/>
          <w:bCs/>
          <w:sz w:val="32"/>
          <w:szCs w:val="32"/>
          <w:shd w:val="clear" w:color="auto" w:fill="FFFFFF"/>
        </w:rPr>
        <w:t>开展绩效评价</w:t>
      </w:r>
      <w:r>
        <w:rPr>
          <w:rFonts w:hint="eastAsia" w:ascii="Times New Roman" w:hAnsi="Times New Roman" w:eastAsia="方正仿宋_GBK" w:cs="方正仿宋_GBK"/>
          <w:b w:val="0"/>
          <w:bCs/>
          <w:sz w:val="32"/>
          <w:szCs w:val="32"/>
          <w:shd w:val="clear" w:color="auto" w:fill="FFFFFF"/>
          <w:lang w:eastAsia="zh-CN"/>
        </w:rPr>
        <w:t>。</w:t>
      </w:r>
    </w:p>
    <w:p>
      <w:pPr>
        <w:pStyle w:val="16"/>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（三）财政绩效评价情况</w:t>
      </w:r>
    </w:p>
    <w:p>
      <w:pPr>
        <w:pStyle w:val="14"/>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lang w:val="en-US" w:eastAsia="zh-CN"/>
        </w:rPr>
        <w:t>县</w:t>
      </w:r>
      <w:r>
        <w:rPr>
          <w:rFonts w:hint="eastAsia" w:ascii="Times New Roman" w:hAnsi="Times New Roman" w:eastAsia="方正仿宋_GBK" w:cs="方正仿宋_GBK"/>
          <w:b w:val="0"/>
          <w:bCs/>
          <w:sz w:val="32"/>
          <w:szCs w:val="32"/>
          <w:shd w:val="clear" w:color="auto" w:fill="FFFFFF"/>
        </w:rPr>
        <w:t>财政局未委托第三方对我单位开展绩效评价</w:t>
      </w:r>
      <w:r>
        <w:rPr>
          <w:rFonts w:hint="eastAsia" w:ascii="Times New Roman" w:hAnsi="Times New Roman" w:eastAsia="方正仿宋_GBK" w:cs="方正仿宋_GBK"/>
          <w:b w:val="0"/>
          <w:bCs/>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（一）财政拨款收入：</w:t>
      </w:r>
      <w:r>
        <w:rPr>
          <w:rFonts w:hint="eastAsia" w:ascii="Times New Roman" w:hAnsi="Times New Roman" w:eastAsia="方正仿宋_GBK" w:cs="方正仿宋_GBK"/>
          <w:b w:val="0"/>
          <w:bCs/>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（二）事业收入：</w:t>
      </w:r>
      <w:r>
        <w:rPr>
          <w:rFonts w:hint="eastAsia" w:ascii="Times New Roman" w:hAnsi="Times New Roman"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（三）经营收入：</w:t>
      </w:r>
      <w:r>
        <w:rPr>
          <w:rFonts w:hint="eastAsia" w:ascii="Times New Roman" w:hAnsi="Times New Roman" w:eastAsia="方正仿宋_GBK" w:cs="方正仿宋_GBK"/>
          <w:b w:val="0"/>
          <w:bCs/>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（四）其他收入：</w:t>
      </w:r>
      <w:r>
        <w:rPr>
          <w:rFonts w:hint="eastAsia" w:ascii="Times New Roman" w:hAnsi="Times New Roman"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（五）使用非财政拨款结余：</w:t>
      </w:r>
      <w:r>
        <w:rPr>
          <w:rFonts w:hint="eastAsia" w:ascii="Times New Roman" w:hAnsi="Times New Roman"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（六）年初结转和结余：</w:t>
      </w:r>
      <w:r>
        <w:rPr>
          <w:rFonts w:hint="eastAsia" w:ascii="Times New Roman" w:hAnsi="Times New Roman" w:eastAsia="方正仿宋_GBK" w:cs="方正仿宋_GBK"/>
          <w:b w:val="0"/>
          <w:bCs/>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（七）结余分配：</w:t>
      </w:r>
      <w:r>
        <w:rPr>
          <w:rFonts w:hint="eastAsia" w:ascii="Times New Roman" w:hAnsi="Times New Roman" w:eastAsia="方正仿宋_GBK" w:cs="方正仿宋_GBK"/>
          <w:b w:val="0"/>
          <w:bCs/>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（八）年末结转和结余：</w:t>
      </w:r>
      <w:r>
        <w:rPr>
          <w:rFonts w:hint="eastAsia" w:ascii="Times New Roman" w:hAnsi="Times New Roman" w:eastAsia="方正仿宋_GBK" w:cs="方正仿宋_GBK"/>
          <w:b w:val="0"/>
          <w:bCs/>
          <w:kern w:val="0"/>
          <w:sz w:val="32"/>
          <w:szCs w:val="32"/>
          <w:shd w:val="clear" w:fill="FFFFFF"/>
        </w:rPr>
        <w:t>指单位结转下年的基本支出结转、项目支出结转和结余、经营结余。</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（九）基本支出：</w:t>
      </w:r>
      <w:r>
        <w:rPr>
          <w:rFonts w:hint="eastAsia" w:ascii="Times New Roman" w:hAnsi="Times New Roman"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（十）项目支出：</w:t>
      </w:r>
      <w:r>
        <w:rPr>
          <w:rFonts w:hint="eastAsia" w:ascii="Times New Roman" w:hAnsi="Times New Roman" w:eastAsia="方正仿宋_GBK" w:cs="方正仿宋_GBK"/>
          <w:b w:val="0"/>
          <w:bCs/>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（十一）经营支出：</w:t>
      </w:r>
      <w:r>
        <w:rPr>
          <w:rFonts w:hint="eastAsia" w:ascii="Times New Roman" w:hAnsi="Times New Roman" w:eastAsia="方正仿宋_GBK" w:cs="方正仿宋_GBK"/>
          <w:b w:val="0"/>
          <w:bCs/>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（十二）“三公”经费：</w:t>
      </w:r>
      <w:r>
        <w:rPr>
          <w:rFonts w:hint="eastAsia" w:ascii="Times New Roman" w:hAnsi="Times New Roman"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（十三）机关运行经费：</w:t>
      </w:r>
      <w:r>
        <w:rPr>
          <w:rFonts w:hint="eastAsia" w:ascii="Times New Roman" w:hAnsi="Times New Roman"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（十四）工资福利支出（支出经济分类科目类级）：</w:t>
      </w:r>
      <w:r>
        <w:rPr>
          <w:rFonts w:hint="eastAsia" w:ascii="Times New Roman" w:hAnsi="Times New Roman"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（十五）商品和服务支出（支出经济分类科目类级）：</w:t>
      </w:r>
      <w:r>
        <w:rPr>
          <w:rFonts w:hint="eastAsia" w:ascii="Times New Roman" w:hAnsi="Times New Roman" w:eastAsia="方正仿宋_GBK" w:cs="方正仿宋_GBK"/>
          <w:b w:val="0"/>
          <w:bCs/>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（十六）对个人和家庭的补助（支出经济分类科目类级）：</w:t>
      </w:r>
      <w:r>
        <w:rPr>
          <w:rFonts w:hint="eastAsia" w:ascii="Times New Roman" w:hAnsi="Times New Roman" w:eastAsia="方正仿宋_GBK" w:cs="方正仿宋_GBK"/>
          <w:b w:val="0"/>
          <w:bCs/>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（十七）其他资本性支出（支出经济分类科目类级）：</w:t>
      </w:r>
      <w:r>
        <w:rPr>
          <w:rFonts w:hint="eastAsia" w:ascii="Times New Roman" w:hAnsi="Times New Roman" w:eastAsia="方正仿宋_GBK" w:cs="方正仿宋_GBK"/>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方正仿宋_GBK"/>
          <w:b w:val="0"/>
          <w:bCs/>
          <w:color w:val="auto"/>
          <w:kern w:val="0"/>
          <w:sz w:val="32"/>
          <w:szCs w:val="32"/>
          <w:shd w:val="clear" w:fill="FFFFFF"/>
          <w:lang w:val="en-US" w:eastAsia="zh-CN"/>
        </w:rPr>
        <w:sectPr>
          <w:headerReference r:id="rId3" w:type="default"/>
          <w:footerReference r:id="rId4" w:type="default"/>
          <w:pgSz w:w="11850" w:h="16783"/>
          <w:pgMar w:top="2098" w:right="1531" w:bottom="1984" w:left="1531" w:header="850" w:footer="1474" w:gutter="0"/>
          <w:pgNumType w:fmt="decimal"/>
          <w:cols w:space="720" w:num="1"/>
          <w:docGrid w:type="lines" w:linePitch="326" w:charSpace="0"/>
        </w:sectPr>
      </w:pPr>
      <w:r>
        <w:rPr>
          <w:rFonts w:hint="eastAsia" w:ascii="Times New Roman" w:hAnsi="Times New Roman" w:eastAsia="方正仿宋_GBK" w:cs="方正仿宋_GBK"/>
          <w:b w:val="0"/>
          <w:bCs/>
          <w:kern w:val="0"/>
          <w:sz w:val="32"/>
          <w:szCs w:val="32"/>
          <w:shd w:val="clear" w:fill="FFFFFF"/>
        </w:rPr>
        <w:t>本单位决算公开信息反馈和联系方式：</w:t>
      </w:r>
      <w:r>
        <w:rPr>
          <w:rFonts w:hint="eastAsia" w:ascii="Times New Roman" w:hAnsi="Times New Roman" w:eastAsia="方正仿宋_GBK" w:cs="方正仿宋_GBK"/>
          <w:b w:val="0"/>
          <w:bCs/>
          <w:kern w:val="0"/>
          <w:sz w:val="32"/>
          <w:szCs w:val="32"/>
          <w:shd w:val="clear" w:fill="FFFFFF"/>
          <w:lang w:val="en-US" w:eastAsia="zh-CN"/>
        </w:rPr>
        <w:t xml:space="preserve">周川洁  </w:t>
      </w:r>
      <w:r>
        <w:rPr>
          <w:rFonts w:hint="eastAsia" w:ascii="Times New Roman" w:hAnsi="Times New Roman" w:eastAsia="方正仿宋_GBK" w:cs="方正仿宋_GBK"/>
          <w:b w:val="0"/>
          <w:bCs/>
          <w:color w:val="auto"/>
          <w:kern w:val="0"/>
          <w:sz w:val="32"/>
          <w:szCs w:val="32"/>
          <w:shd w:val="clear" w:fill="FFFFFF"/>
        </w:rPr>
        <w:t>023-</w:t>
      </w:r>
      <w:r>
        <w:rPr>
          <w:rFonts w:hint="eastAsia" w:ascii="Times New Roman" w:hAnsi="Times New Roman" w:eastAsia="方正仿宋_GBK" w:cs="方正仿宋_GBK"/>
          <w:b w:val="0"/>
          <w:bCs/>
          <w:color w:val="auto"/>
          <w:kern w:val="0"/>
          <w:sz w:val="32"/>
          <w:szCs w:val="32"/>
          <w:shd w:val="clear" w:fill="FFFFFF"/>
          <w:lang w:val="en-US" w:eastAsia="zh-CN"/>
        </w:rPr>
        <w:t>55328010。</w:t>
      </w:r>
    </w:p>
    <w:tbl>
      <w:tblPr>
        <w:tblStyle w:val="7"/>
        <w:tblpPr w:leftFromText="180" w:rightFromText="180" w:vertAnchor="text" w:horzAnchor="page" w:tblpX="2470" w:tblpY="439"/>
        <w:tblOverlap w:val="never"/>
        <w:tblW w:w="4809" w:type="pct"/>
        <w:tblInd w:w="0" w:type="dxa"/>
        <w:tblLayout w:type="autofit"/>
        <w:tblCellMar>
          <w:top w:w="0" w:type="dxa"/>
          <w:left w:w="0" w:type="dxa"/>
          <w:bottom w:w="0" w:type="dxa"/>
          <w:right w:w="0" w:type="dxa"/>
        </w:tblCellMar>
      </w:tblPr>
      <w:tblGrid>
        <w:gridCol w:w="3565"/>
        <w:gridCol w:w="2956"/>
        <w:gridCol w:w="3358"/>
        <w:gridCol w:w="2366"/>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宋体"/>
                <w:b/>
                <w:color w:val="000000"/>
                <w:sz w:val="32"/>
                <w:szCs w:val="32"/>
              </w:rPr>
            </w:pPr>
            <w:bookmarkStart w:id="0" w:name="_GoBack"/>
            <w:r>
              <w:rPr>
                <w:rFonts w:hint="eastAsia" w:ascii="方正小标宋_GBK" w:hAnsi="方正小标宋_GBK" w:eastAsia="方正小标宋_GBK" w:cs="方正小标宋_GBK"/>
                <w:b/>
                <w:color w:val="000000"/>
                <w:sz w:val="30"/>
                <w:szCs w:val="30"/>
              </w:rPr>
              <w:t>收入支出决算总表</w:t>
            </w:r>
            <w:bookmarkEnd w:id="0"/>
          </w:p>
        </w:tc>
      </w:tr>
      <w:tr>
        <w:tblPrEx>
          <w:tblCellMar>
            <w:top w:w="0" w:type="dxa"/>
            <w:left w:w="0" w:type="dxa"/>
            <w:bottom w:w="0" w:type="dxa"/>
            <w:right w:w="0" w:type="dxa"/>
          </w:tblCellMar>
        </w:tblPrEx>
        <w:trPr>
          <w:trHeight w:val="232" w:hRule="atLeast"/>
        </w:trPr>
        <w:tc>
          <w:tcPr>
            <w:tcW w:w="145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37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公开01表</w:t>
            </w:r>
          </w:p>
        </w:tc>
      </w:tr>
      <w:tr>
        <w:tblPrEx>
          <w:tblCellMar>
            <w:top w:w="0" w:type="dxa"/>
            <w:left w:w="0" w:type="dxa"/>
            <w:bottom w:w="0" w:type="dxa"/>
            <w:right w:w="0" w:type="dxa"/>
          </w:tblCellMar>
        </w:tblPrEx>
        <w:trPr>
          <w:trHeight w:val="232" w:hRule="atLeast"/>
        </w:trPr>
        <w:tc>
          <w:tcPr>
            <w:tcW w:w="2663"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sz w:val="20"/>
                <w:szCs w:val="20"/>
              </w:rPr>
              <w:t>单位：</w:t>
            </w:r>
            <w:r>
              <w:rPr>
                <w:rFonts w:hint="eastAsia" w:ascii="Times New Roman" w:hAnsi="Times New Roman" w:eastAsia="方正仿宋_GBK" w:cs="方正仿宋_GBK"/>
                <w:sz w:val="20"/>
                <w:u w:color="auto"/>
              </w:rPr>
              <w:t>蔈草镇综合行政执法大队</w:t>
            </w:r>
          </w:p>
        </w:tc>
        <w:tc>
          <w:tcPr>
            <w:tcW w:w="137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tblPrEx>
          <w:tblCellMar>
            <w:top w:w="0" w:type="dxa"/>
            <w:left w:w="0" w:type="dxa"/>
            <w:bottom w:w="0" w:type="dxa"/>
            <w:right w:w="0" w:type="dxa"/>
          </w:tblCellMar>
        </w:tblPrEx>
        <w:trPr>
          <w:trHeight w:val="243" w:hRule="atLeast"/>
        </w:trPr>
        <w:tc>
          <w:tcPr>
            <w:tcW w:w="2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收入</w:t>
            </w:r>
          </w:p>
        </w:tc>
        <w:tc>
          <w:tcPr>
            <w:tcW w:w="2336"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支出</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决算数</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决算数</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98.38</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一、一般公共服务支出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二、外交支出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三、国防支出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四、公共安全支出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五、教育支出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六、科学技术支出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七、文化旅游体育与传媒支出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八、社会保障和就业支出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14.15</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九、卫生健康支出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十、节能环保支出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十一、城乡社区支出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十二、农林水支出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十三、交通运输支出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十四、资源勘探工业信息等支出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十五、商业服务业等支出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十六、金融支出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十七、援助其他地区支出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90"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十八、自然资源海洋气象等支出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十九、住房保障支出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二十、粮油物资储备支出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二十一、国有资本经营预算支出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二十二、灾害防治及应急管理支出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二十三、其他支出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二十四、债务还本支出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二十五、债务付息支出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二十六、抗疫特别国债安排的支出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98.38</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本年支出合计</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98.38</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使用非财政拨款结余和专用结余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结余分配</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年末结转和结余</w:t>
            </w:r>
          </w:p>
        </w:tc>
        <w:tc>
          <w:tcPr>
            <w:tcW w:w="96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5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98.38</w:t>
            </w:r>
          </w:p>
        </w:tc>
        <w:tc>
          <w:tcPr>
            <w:tcW w:w="1371"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总计</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98.38</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备注：1.本表反映单位本年度的总收支和年末结转结余情况。</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t xml:space="preserve">      2.本套报表金额单位转换时可能存在尾数误差。</w:t>
      </w:r>
      <w:r>
        <w:rPr>
          <w:rFonts w:hint="eastAsia" w:ascii="Times New Roman" w:hAnsi="Times New Roman" w:eastAsia="方正仿宋_GBK" w:cs="方正仿宋_GBK"/>
          <w:sz w:val="20"/>
          <w:szCs w:val="20"/>
        </w:rPr>
        <w:br w:type="textWrapping"/>
      </w:r>
    </w:p>
    <w:p>
      <w:pPr>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br w:type="page"/>
      </w:r>
    </w:p>
    <w:tbl>
      <w:tblPr>
        <w:tblStyle w:val="7"/>
        <w:tblW w:w="5017" w:type="pct"/>
        <w:tblInd w:w="0" w:type="dxa"/>
        <w:tblLayout w:type="fixed"/>
        <w:tblCellMar>
          <w:top w:w="0" w:type="dxa"/>
          <w:left w:w="0" w:type="dxa"/>
          <w:bottom w:w="0" w:type="dxa"/>
          <w:right w:w="0" w:type="dxa"/>
        </w:tblCellMar>
      </w:tblPr>
      <w:tblGrid>
        <w:gridCol w:w="1188"/>
        <w:gridCol w:w="2425"/>
        <w:gridCol w:w="1314"/>
        <w:gridCol w:w="1206"/>
        <w:gridCol w:w="1044"/>
        <w:gridCol w:w="1195"/>
        <w:gridCol w:w="1212"/>
        <w:gridCol w:w="1077"/>
        <w:gridCol w:w="1122"/>
        <w:gridCol w:w="99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color w:val="000000"/>
                <w:sz w:val="32"/>
                <w:szCs w:val="32"/>
              </w:rPr>
            </w:pPr>
            <w:r>
              <w:rPr>
                <w:rFonts w:hint="eastAsia" w:ascii="方正小标宋_GBK" w:hAnsi="方正小标宋_GBK" w:eastAsia="方正小标宋_GBK" w:cs="方正小标宋_GBK"/>
                <w:b w:val="0"/>
                <w:bCs w:val="0"/>
                <w:color w:val="000000"/>
                <w:sz w:val="40"/>
                <w:szCs w:val="40"/>
              </w:rPr>
              <w:t>收入决算表</w:t>
            </w:r>
          </w:p>
        </w:tc>
      </w:tr>
      <w:tr>
        <w:tblPrEx>
          <w:tblCellMar>
            <w:top w:w="0" w:type="dxa"/>
            <w:left w:w="0" w:type="dxa"/>
            <w:bottom w:w="0" w:type="dxa"/>
            <w:right w:w="0" w:type="dxa"/>
          </w:tblCellMar>
        </w:tblPrEx>
        <w:trPr>
          <w:trHeight w:val="328" w:hRule="atLeast"/>
        </w:trPr>
        <w:tc>
          <w:tcPr>
            <w:tcW w:w="1928"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sz w:val="20"/>
                <w:szCs w:val="20"/>
              </w:rPr>
              <w:t>单位：</w:t>
            </w:r>
            <w:r>
              <w:rPr>
                <w:rFonts w:hint="eastAsia" w:ascii="Times New Roman" w:hAnsi="Times New Roman" w:eastAsia="方正仿宋_GBK" w:cs="方正仿宋_GBK"/>
                <w:sz w:val="20"/>
                <w:u w:color="auto"/>
              </w:rPr>
              <w:t>蔈草镇综合行政执法大队</w:t>
            </w:r>
          </w:p>
        </w:tc>
        <w:tc>
          <w:tcPr>
            <w:tcW w:w="4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4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3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公开02表</w:t>
            </w:r>
          </w:p>
        </w:tc>
      </w:tr>
      <w:tr>
        <w:tblPrEx>
          <w:tblCellMar>
            <w:top w:w="0" w:type="dxa"/>
            <w:left w:w="0" w:type="dxa"/>
            <w:bottom w:w="0" w:type="dxa"/>
            <w:right w:w="0" w:type="dxa"/>
          </w:tblCellMar>
        </w:tblPrEx>
        <w:trPr>
          <w:trHeight w:val="328" w:hRule="atLeast"/>
        </w:trPr>
        <w:tc>
          <w:tcPr>
            <w:tcW w:w="1928"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4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3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tblPrEx>
          <w:tblCellMar>
            <w:top w:w="0" w:type="dxa"/>
            <w:left w:w="0" w:type="dxa"/>
            <w:bottom w:w="0" w:type="dxa"/>
            <w:right w:w="0" w:type="dxa"/>
          </w:tblCellMar>
        </w:tblPrEx>
        <w:trPr>
          <w:trHeight w:val="431" w:hRule="atLeast"/>
        </w:trPr>
        <w:tc>
          <w:tcPr>
            <w:tcW w:w="141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本年收入合计</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财政拨款收入</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上级补助收入</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事业收入</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经营收入</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附属单位上缴收入</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其他收入</w:t>
            </w:r>
          </w:p>
        </w:tc>
      </w:tr>
      <w:tr>
        <w:tblPrEx>
          <w:tblCellMar>
            <w:top w:w="0" w:type="dxa"/>
            <w:left w:w="0" w:type="dxa"/>
            <w:bottom w:w="0" w:type="dxa"/>
            <w:right w:w="0" w:type="dxa"/>
          </w:tblCellMar>
        </w:tblPrEx>
        <w:trPr>
          <w:trHeight w:val="334" w:hRule="atLeast"/>
        </w:trPr>
        <w:tc>
          <w:tcPr>
            <w:tcW w:w="46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94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小计</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其中：教育收费</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4" w:hRule="atLeast"/>
        </w:trPr>
        <w:tc>
          <w:tcPr>
            <w:tcW w:w="46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9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4" w:hRule="atLeast"/>
        </w:trPr>
        <w:tc>
          <w:tcPr>
            <w:tcW w:w="46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9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4" w:hRule="atLeast"/>
        </w:trPr>
        <w:tc>
          <w:tcPr>
            <w:tcW w:w="46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9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141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5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98.38</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98.38</w:t>
            </w:r>
          </w:p>
        </w:tc>
        <w:tc>
          <w:tcPr>
            <w:tcW w:w="4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一般公共服务支出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政府办公厅（室）及相关机构事务</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2010350</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事业运行</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社会保障和就业支出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14.15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14.15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行政事业单位养老支出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14.15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14.15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2080505</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机关事业单位基本养老保险缴费支出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9.44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9.44</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2080506</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机关事业单位职业年金缴费支出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4.72</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卫生健康支出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行政事业单位医疗</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2101102</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事业单位医疗</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住房保障支出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住房改革支出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2210201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住房公积金</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ind w:left="600" w:hanging="600" w:hangingChars="300"/>
        <w:jc w:val="left"/>
        <w:rPr>
          <w:rFonts w:hint="eastAsia" w:ascii="Times New Roman" w:hAnsi="Times New Roman" w:eastAsia="方正仿宋_GBK" w:cs="方正仿宋_GBK"/>
          <w:sz w:val="20"/>
          <w:szCs w:val="20"/>
        </w:rPr>
      </w:pPr>
      <w:r>
        <w:rPr>
          <w:rFonts w:hint="eastAsia" w:ascii="Times New Roman" w:hAnsi="Times New Roman" w:eastAsia="方正仿宋_GBK" w:cs="方正仿宋_GBK"/>
          <w:b w:val="0"/>
          <w:bCs/>
          <w:sz w:val="20"/>
          <w:szCs w:val="20"/>
        </w:rPr>
        <w:t>备注：1.本表反映单位本年度取得的各项收入情况。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2.本套报表金额单位转换时可能存在尾数误差。</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br w:type="page"/>
      </w:r>
    </w:p>
    <w:tbl>
      <w:tblPr>
        <w:tblStyle w:val="7"/>
        <w:tblW w:w="5000" w:type="pct"/>
        <w:tblInd w:w="0" w:type="dxa"/>
        <w:tblLayout w:type="fixed"/>
        <w:tblCellMar>
          <w:top w:w="0" w:type="dxa"/>
          <w:left w:w="0" w:type="dxa"/>
          <w:bottom w:w="0" w:type="dxa"/>
          <w:right w:w="0" w:type="dxa"/>
        </w:tblCellMar>
      </w:tblPr>
      <w:tblGrid>
        <w:gridCol w:w="1074"/>
        <w:gridCol w:w="2993"/>
        <w:gridCol w:w="1530"/>
        <w:gridCol w:w="1467"/>
        <w:gridCol w:w="1349"/>
        <w:gridCol w:w="1294"/>
        <w:gridCol w:w="1406"/>
        <w:gridCol w:w="161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color w:val="000000"/>
                <w:sz w:val="32"/>
                <w:szCs w:val="32"/>
              </w:rPr>
            </w:pPr>
            <w:r>
              <w:rPr>
                <w:rFonts w:hint="eastAsia" w:ascii="方正小标宋_GBK" w:hAnsi="方正小标宋_GBK" w:eastAsia="方正小标宋_GBK" w:cs="方正小标宋_GBK"/>
                <w:b w:val="0"/>
                <w:bCs w:val="0"/>
                <w:color w:val="000000"/>
                <w:sz w:val="40"/>
                <w:szCs w:val="40"/>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sz w:val="20"/>
                <w:szCs w:val="20"/>
              </w:rPr>
              <w:t>单位</w:t>
            </w:r>
            <w:r>
              <w:rPr>
                <w:rFonts w:hint="eastAsia" w:ascii="Times New Roman" w:hAnsi="Times New Roman" w:eastAsia="方正仿宋_GBK" w:cs="方正仿宋_GBK"/>
                <w:color w:val="000000"/>
                <w:sz w:val="20"/>
                <w:szCs w:val="20"/>
              </w:rPr>
              <w:t>：</w:t>
            </w:r>
            <w:r>
              <w:rPr>
                <w:rFonts w:hint="eastAsia" w:ascii="Times New Roman" w:hAnsi="Times New Roman" w:eastAsia="方正仿宋_GBK" w:cs="方正仿宋_GBK"/>
                <w:color w:val="000000"/>
                <w:sz w:val="20"/>
                <w:u w:color="auto"/>
              </w:rPr>
              <w:t>蔈草镇综合行政执法大队</w:t>
            </w: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公开03表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98.38</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98.38</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14.15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14.15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14.15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14.15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9.44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9.44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0"/>
          <w:szCs w:val="20"/>
        </w:rPr>
      </w:pPr>
      <w:r>
        <w:rPr>
          <w:rFonts w:hint="eastAsia" w:ascii="Times New Roman" w:hAnsi="Times New Roman" w:eastAsia="方正仿宋_GBK" w:cs="方正仿宋_GBK"/>
          <w:b w:val="0"/>
          <w:bCs/>
          <w:sz w:val="20"/>
          <w:szCs w:val="20"/>
        </w:rPr>
        <w:t>备注：1.本表反映单位本年度各项支出情况。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br w:type="page"/>
      </w:r>
    </w:p>
    <w:tbl>
      <w:tblPr>
        <w:tblStyle w:val="7"/>
        <w:tblW w:w="4987" w:type="pct"/>
        <w:tblInd w:w="0" w:type="dxa"/>
        <w:tblLayout w:type="autofit"/>
        <w:tblCellMar>
          <w:top w:w="0" w:type="dxa"/>
          <w:left w:w="0" w:type="dxa"/>
          <w:bottom w:w="0" w:type="dxa"/>
          <w:right w:w="0" w:type="dxa"/>
        </w:tblCellMar>
      </w:tblPr>
      <w:tblGrid>
        <w:gridCol w:w="2550"/>
        <w:gridCol w:w="1228"/>
        <w:gridCol w:w="2730"/>
        <w:gridCol w:w="1371"/>
        <w:gridCol w:w="1371"/>
        <w:gridCol w:w="1371"/>
        <w:gridCol w:w="2077"/>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color w:val="000000"/>
                <w:sz w:val="32"/>
                <w:szCs w:val="32"/>
              </w:rPr>
            </w:pPr>
            <w:r>
              <w:rPr>
                <w:rFonts w:hint="eastAsia" w:ascii="方正小标宋_GBK" w:hAnsi="方正小标宋_GBK" w:eastAsia="方正小标宋_GBK" w:cs="方正小标宋_GBK"/>
                <w:b w:val="0"/>
                <w:bCs w:val="0"/>
                <w:color w:val="000000"/>
                <w:sz w:val="40"/>
                <w:szCs w:val="40"/>
              </w:rPr>
              <w:t>财政拨款收入支出决算总表</w:t>
            </w:r>
          </w:p>
        </w:tc>
      </w:tr>
      <w:tr>
        <w:tblPrEx>
          <w:tblCellMar>
            <w:top w:w="0" w:type="dxa"/>
            <w:left w:w="0" w:type="dxa"/>
            <w:bottom w:w="0" w:type="dxa"/>
            <w:right w:w="0" w:type="dxa"/>
          </w:tblCellMar>
        </w:tblPrEx>
        <w:trPr>
          <w:trHeight w:val="90" w:hRule="atLeast"/>
        </w:trPr>
        <w:tc>
          <w:tcPr>
            <w:tcW w:w="256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sz w:val="20"/>
                <w:szCs w:val="20"/>
              </w:rPr>
              <w:t>单位</w:t>
            </w:r>
            <w:r>
              <w:rPr>
                <w:rFonts w:hint="eastAsia" w:ascii="Times New Roman" w:hAnsi="Times New Roman" w:eastAsia="方正仿宋_GBK" w:cs="方正仿宋_GBK"/>
                <w:color w:val="000000"/>
                <w:sz w:val="20"/>
                <w:szCs w:val="20"/>
              </w:rPr>
              <w:t>：</w:t>
            </w:r>
            <w:r>
              <w:rPr>
                <w:rFonts w:hint="eastAsia" w:ascii="Times New Roman" w:hAnsi="Times New Roman" w:eastAsia="方正仿宋_GBK" w:cs="方正仿宋_GBK"/>
                <w:color w:val="000000"/>
                <w:sz w:val="20"/>
                <w:u w:color="auto"/>
              </w:rPr>
              <w:t>蔈草镇综合行政执法大队</w:t>
            </w: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18"/>
                <w:szCs w:val="18"/>
              </w:rPr>
            </w:pPr>
          </w:p>
        </w:tc>
        <w:tc>
          <w:tcPr>
            <w:tcW w:w="81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公开04表</w:t>
            </w:r>
          </w:p>
        </w:tc>
      </w:tr>
      <w:tr>
        <w:tblPrEx>
          <w:tblCellMar>
            <w:top w:w="0" w:type="dxa"/>
            <w:left w:w="0" w:type="dxa"/>
            <w:bottom w:w="0" w:type="dxa"/>
            <w:right w:w="0" w:type="dxa"/>
          </w:tblCellMar>
        </w:tblPrEx>
        <w:trPr>
          <w:trHeight w:val="90" w:hRule="atLeast"/>
        </w:trPr>
        <w:tc>
          <w:tcPr>
            <w:tcW w:w="256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18"/>
                <w:szCs w:val="18"/>
              </w:rPr>
            </w:pPr>
          </w:p>
        </w:tc>
        <w:tc>
          <w:tcPr>
            <w:tcW w:w="81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tblPrEx>
          <w:tblCellMar>
            <w:top w:w="0" w:type="dxa"/>
            <w:left w:w="0" w:type="dxa"/>
            <w:bottom w:w="0" w:type="dxa"/>
            <w:right w:w="0" w:type="dxa"/>
          </w:tblCellMar>
        </w:tblPrEx>
        <w:trPr>
          <w:trHeight w:val="90" w:hRule="atLeast"/>
        </w:trPr>
        <w:tc>
          <w:tcPr>
            <w:tcW w:w="14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收     入</w:t>
            </w:r>
          </w:p>
        </w:tc>
        <w:tc>
          <w:tcPr>
            <w:tcW w:w="351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支     出</w:t>
            </w:r>
          </w:p>
        </w:tc>
      </w:tr>
      <w:tr>
        <w:tblPrEx>
          <w:tblCellMar>
            <w:top w:w="0" w:type="dxa"/>
            <w:left w:w="0" w:type="dxa"/>
            <w:bottom w:w="0" w:type="dxa"/>
            <w:right w:w="0" w:type="dxa"/>
          </w:tblCellMar>
        </w:tblPrEx>
        <w:trPr>
          <w:trHeight w:val="90" w:hRule="atLeast"/>
        </w:trPr>
        <w:tc>
          <w:tcPr>
            <w:tcW w:w="10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项目</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决算数</w:t>
            </w:r>
          </w:p>
        </w:tc>
        <w:tc>
          <w:tcPr>
            <w:tcW w:w="10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功能分类科目</w:t>
            </w:r>
          </w:p>
        </w:tc>
        <w:tc>
          <w:tcPr>
            <w:tcW w:w="2437"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决算数</w:t>
            </w:r>
          </w:p>
        </w:tc>
      </w:tr>
      <w:tr>
        <w:tblPrEx>
          <w:tblCellMar>
            <w:top w:w="0" w:type="dxa"/>
            <w:left w:w="0" w:type="dxa"/>
            <w:bottom w:w="0" w:type="dxa"/>
            <w:right w:w="0" w:type="dxa"/>
          </w:tblCellMar>
        </w:tblPrEx>
        <w:trPr>
          <w:trHeight w:val="90" w:hRule="atLeast"/>
        </w:trPr>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小计</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一般公共预算财政拨款</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政府性基金预算财政拨款</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一、一般公共预算财政拨款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98.38</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一、一般公共服务支出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74.74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74.74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二、政府性基金预算财政拨款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二、外交支出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三、国有资本经营预算财政拨款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三、国防支出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四、公共安全支出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五、教育支出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六、科学技术支出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七、文化旅游体育与传媒支出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八、社会保障和就业支出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14.15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14.15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九、卫生健康支出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4.79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4.79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十、节能环保支出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十一、城乡社区支出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十二、农林水支出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十三、交通运输支出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十四、资源勘探工业信息等支出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十五、商业服务业等支出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十六、金融支出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十七、援助其他地区支出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十八、自然资源海洋气象等支出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十九、住房保障支出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4.69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4.69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二十、粮油物资储备支出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二十一、国有资本经营预算支出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二十二、灾害防治及应急管理支出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二十三、其他支出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二十四、债务还本支出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二十五、债务付息支出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二十六、抗疫特别国债安排的支出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本年收入合计</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98.38</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本年支出合计</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98.38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98.38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年初财政拨款结转和结余</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年末财政拨款结转和结余</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一般公共预算财政拨款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政府性基金预算财政拨款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国有资本经营预算财政拨款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总计</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98.38</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总计</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98.38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98.38</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备注：1.本表反映单位本年度一般公共预算财政拨款、政府性基金预算财政拨款及国有资本经营预算财政拨款的总收支和年末结转结余情况。</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t xml:space="preserve">      2.本套报表金额单位转换时可能存在尾数误差。</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1"/>
          <w:szCs w:val="21"/>
        </w:rPr>
        <w:br w:type="page"/>
      </w:r>
    </w:p>
    <w:tbl>
      <w:tblPr>
        <w:tblStyle w:val="7"/>
        <w:tblW w:w="5000" w:type="pct"/>
        <w:tblInd w:w="0" w:type="dxa"/>
        <w:tblLayout w:type="fixed"/>
        <w:tblCellMar>
          <w:top w:w="0" w:type="dxa"/>
          <w:left w:w="0" w:type="dxa"/>
          <w:bottom w:w="0" w:type="dxa"/>
          <w:right w:w="0" w:type="dxa"/>
        </w:tblCellMar>
      </w:tblPr>
      <w:tblGrid>
        <w:gridCol w:w="1084"/>
        <w:gridCol w:w="3384"/>
        <w:gridCol w:w="2747"/>
        <w:gridCol w:w="2739"/>
        <w:gridCol w:w="277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color w:val="000000"/>
                <w:sz w:val="32"/>
                <w:szCs w:val="32"/>
              </w:rPr>
            </w:pPr>
            <w:r>
              <w:rPr>
                <w:rFonts w:hint="eastAsia" w:ascii="方正小标宋_GBK" w:hAnsi="方正小标宋_GBK" w:eastAsia="方正小标宋_GBK" w:cs="方正小标宋_GBK"/>
                <w:b w:val="0"/>
                <w:bCs w:val="0"/>
                <w:color w:val="000000"/>
                <w:sz w:val="40"/>
                <w:szCs w:val="40"/>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sz w:val="20"/>
                <w:szCs w:val="20"/>
              </w:rPr>
              <w:t>单位</w:t>
            </w:r>
            <w:r>
              <w:rPr>
                <w:rFonts w:hint="eastAsia" w:ascii="Times New Roman" w:hAnsi="Times New Roman" w:eastAsia="方正仿宋_GBK" w:cs="方正仿宋_GBK"/>
                <w:color w:val="000000"/>
                <w:sz w:val="20"/>
                <w:szCs w:val="20"/>
              </w:rPr>
              <w:t>：</w:t>
            </w:r>
            <w:r>
              <w:rPr>
                <w:rFonts w:hint="eastAsia" w:ascii="Times New Roman" w:hAnsi="Times New Roman" w:eastAsia="方正仿宋_GBK" w:cs="方正仿宋_GBK"/>
                <w:color w:val="000000"/>
                <w:sz w:val="20"/>
                <w:u w:color="auto"/>
              </w:rPr>
              <w:t>蔈草镇综合行政执法大队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98.38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98.38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74.74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14.15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14.15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9.44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9.44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4.79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0"/>
          <w:szCs w:val="20"/>
        </w:rPr>
        <w:t>备注：1.本表反映单位本年度一般公共预算财政拨款支出情况。</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t xml:space="preserve">      2.本套报表金额单位转换时可能存在尾数误差。</w:t>
      </w:r>
      <w:r>
        <w:rPr>
          <w:rFonts w:hint="eastAsia" w:ascii="Times New Roman" w:hAnsi="Times New Roman" w:eastAsia="方正仿宋_GBK" w:cs="方正仿宋_GBK"/>
          <w:sz w:val="20"/>
          <w:szCs w:val="20"/>
        </w:rPr>
        <w:br w:type="textWrapping"/>
      </w:r>
    </w:p>
    <w:tbl>
      <w:tblPr>
        <w:tblStyle w:val="7"/>
        <w:tblW w:w="4994" w:type="pct"/>
        <w:tblInd w:w="0" w:type="dxa"/>
        <w:tblLayout w:type="fixed"/>
        <w:tblCellMar>
          <w:top w:w="0" w:type="dxa"/>
          <w:left w:w="0" w:type="dxa"/>
          <w:bottom w:w="0" w:type="dxa"/>
          <w:right w:w="0" w:type="dxa"/>
        </w:tblCellMar>
      </w:tblPr>
      <w:tblGrid>
        <w:gridCol w:w="667"/>
        <w:gridCol w:w="2334"/>
        <w:gridCol w:w="1280"/>
        <w:gridCol w:w="725"/>
        <w:gridCol w:w="1688"/>
        <w:gridCol w:w="1178"/>
        <w:gridCol w:w="725"/>
        <w:gridCol w:w="2877"/>
        <w:gridCol w:w="1240"/>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color w:val="000000"/>
                <w:sz w:val="32"/>
                <w:szCs w:val="32"/>
              </w:rPr>
            </w:pPr>
            <w:r>
              <w:rPr>
                <w:rFonts w:hint="eastAsia" w:ascii="方正小标宋_GBK" w:hAnsi="方正小标宋_GBK" w:eastAsia="方正小标宋_GBK" w:cs="方正小标宋_GBK"/>
                <w:b w:val="0"/>
                <w:bCs w:val="0"/>
                <w:color w:val="000000"/>
                <w:sz w:val="40"/>
                <w:szCs w:val="40"/>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方正仿宋_GBK"/>
                <w:color w:val="000000"/>
                <w:sz w:val="18"/>
                <w:szCs w:val="18"/>
              </w:rPr>
            </w:pPr>
            <w:r>
              <w:rPr>
                <w:rFonts w:hint="eastAsia" w:ascii="Times New Roman" w:hAnsi="Times New Roman" w:eastAsia="方正仿宋_GBK" w:cs="方正仿宋_GBK"/>
                <w:sz w:val="20"/>
                <w:szCs w:val="20"/>
              </w:rPr>
              <w:t>单位</w:t>
            </w:r>
            <w:r>
              <w:rPr>
                <w:rFonts w:hint="eastAsia" w:ascii="Times New Roman" w:hAnsi="Times New Roman" w:eastAsia="方正仿宋_GBK" w:cs="方正仿宋_GBK"/>
                <w:color w:val="000000"/>
                <w:sz w:val="20"/>
                <w:szCs w:val="20"/>
              </w:rPr>
              <w:t>：</w:t>
            </w:r>
            <w:r>
              <w:rPr>
                <w:rFonts w:hint="eastAsia" w:ascii="Times New Roman" w:hAnsi="Times New Roman" w:eastAsia="方正仿宋_GBK" w:cs="方正仿宋_GBK"/>
                <w:color w:val="000000"/>
                <w:sz w:val="20"/>
                <w:u w:color="auto"/>
              </w:rPr>
              <w:t>蔈草镇综合行政执法大队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96.14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22.93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6.21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43.25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4.72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3.67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0.11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1.12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0.50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0.39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1.35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96.14</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2.24</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宋体"/>
          <w:sz w:val="20"/>
          <w:szCs w:val="20"/>
        </w:rPr>
      </w:pPr>
      <w:r>
        <w:rPr>
          <w:rFonts w:hint="eastAsia" w:ascii="Times New Roman" w:hAnsi="Times New Roman" w:eastAsia="方正仿宋_GBK" w:cs="方正仿宋_GBK"/>
          <w:b w:val="0"/>
          <w:bCs/>
          <w:sz w:val="20"/>
          <w:szCs w:val="20"/>
        </w:rPr>
        <w:t>备注：1.本表反映单位本年度一般公共预算财政拨款基本支出明细情况。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1"/>
          <w:szCs w:val="21"/>
        </w:rPr>
        <w:br w:type="page"/>
      </w:r>
    </w:p>
    <w:tbl>
      <w:tblPr>
        <w:tblStyle w:val="7"/>
        <w:tblW w:w="5000" w:type="pct"/>
        <w:tblInd w:w="0" w:type="dxa"/>
        <w:tblLayout w:type="fixed"/>
        <w:tblCellMar>
          <w:top w:w="0" w:type="dxa"/>
          <w:left w:w="0" w:type="dxa"/>
          <w:bottom w:w="0" w:type="dxa"/>
          <w:right w:w="0" w:type="dxa"/>
        </w:tblCellMar>
      </w:tblPr>
      <w:tblGrid>
        <w:gridCol w:w="1097"/>
        <w:gridCol w:w="2987"/>
        <w:gridCol w:w="1413"/>
        <w:gridCol w:w="1413"/>
        <w:gridCol w:w="1413"/>
        <w:gridCol w:w="1413"/>
        <w:gridCol w:w="1467"/>
        <w:gridCol w:w="1527"/>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color w:val="000000"/>
                <w:sz w:val="32"/>
                <w:szCs w:val="32"/>
              </w:rPr>
            </w:pPr>
            <w:r>
              <w:rPr>
                <w:rFonts w:hint="eastAsia" w:ascii="方正小标宋_GBK" w:hAnsi="方正小标宋_GBK" w:eastAsia="方正小标宋_GBK" w:cs="方正小标宋_GBK"/>
                <w:b w:val="0"/>
                <w:bCs w:val="0"/>
                <w:color w:val="000000"/>
                <w:sz w:val="40"/>
                <w:szCs w:val="40"/>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sz w:val="20"/>
                <w:szCs w:val="20"/>
              </w:rPr>
              <w:t>单位</w:t>
            </w:r>
            <w:r>
              <w:rPr>
                <w:rFonts w:hint="eastAsia" w:ascii="Times New Roman" w:hAnsi="Times New Roman" w:eastAsia="方正仿宋_GBK" w:cs="方正仿宋_GBK"/>
                <w:b w:val="0"/>
                <w:bCs w:val="0"/>
                <w:color w:val="000000"/>
                <w:sz w:val="20"/>
                <w:szCs w:val="20"/>
              </w:rPr>
              <w:t>：</w:t>
            </w:r>
            <w:r>
              <w:rPr>
                <w:rFonts w:hint="eastAsia" w:ascii="Times New Roman" w:hAnsi="Times New Roman" w:eastAsia="方正仿宋_GBK" w:cs="方正仿宋_GBK"/>
                <w:b w:val="0"/>
                <w:bCs w:val="0"/>
                <w:color w:val="000000"/>
                <w:sz w:val="20"/>
                <w:u w:color="auto"/>
              </w:rPr>
              <w:t>蔈草镇综合行政执法大队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imes New Roman" w:hAnsi="Times New Roman" w:eastAsia="方正仿宋_GBK" w:cs="方正仿宋_GBK"/>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imes New Roman" w:hAnsi="Times New Roman" w:eastAsia="方正仿宋_GBK" w:cs="方正仿宋_GBK"/>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imes New Roman" w:hAnsi="Times New Roman" w:eastAsia="方正仿宋_GBK" w:cs="方正仿宋_GBK"/>
                <w:b w:val="0"/>
                <w:bCs w:val="0"/>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imes New Roman" w:hAnsi="Times New Roman" w:eastAsia="方正仿宋_GBK" w:cs="方正仿宋_GBK"/>
                <w:b w:val="0"/>
                <w:bCs w:val="0"/>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jc w:val="center"/>
              <w:rPr>
                <w:rFonts w:hint="eastAsia" w:ascii="Times New Roman" w:hAnsi="Times New Roman" w:eastAsia="方正仿宋_GBK" w:cs="方正仿宋_GBK"/>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imes New Roman" w:hAnsi="Times New Roman" w:eastAsia="方正仿宋_GBK" w:cs="方正仿宋_GBK"/>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imes New Roman" w:hAnsi="Times New Roman" w:eastAsia="方正仿宋_GBK" w:cs="方正仿宋_GBK"/>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imes New Roman" w:hAnsi="Times New Roman" w:eastAsia="方正仿宋_GBK" w:cs="方正仿宋_GBK"/>
                <w:b w:val="0"/>
                <w:bCs w:val="0"/>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imes New Roman" w:hAnsi="Times New Roman" w:eastAsia="方正仿宋_GBK" w:cs="方正仿宋_GBK"/>
                <w:b w:val="0"/>
                <w:bCs w:val="0"/>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单位：</w:t>
            </w:r>
            <w:r>
              <w:rPr>
                <w:rFonts w:hint="eastAsia" w:ascii="Times New Roman" w:hAnsi="Times New Roman" w:eastAsia="方正仿宋_GBK" w:cs="方正仿宋_GBK"/>
                <w:b w:val="0"/>
                <w:bCs w:val="0"/>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val="0"/>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val="0"/>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val="0"/>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val="0"/>
                <w:color w:val="000000"/>
                <w:sz w:val="20"/>
                <w:szCs w:val="20"/>
              </w:rPr>
            </w:pPr>
            <w:r>
              <w:rPr>
                <w:rFonts w:hint="eastAsia" w:ascii="Times New Roman" w:hAnsi="Times New Roman" w:eastAsia="方正仿宋_GBK" w:cs="方正仿宋_GBK"/>
                <w:b w:val="0"/>
                <w:bCs w:val="0"/>
                <w:color w:val="000000"/>
                <w:sz w:val="20"/>
                <w:szCs w:val="20"/>
              </w:rPr>
              <w:t>0.00</w:t>
            </w:r>
          </w:p>
        </w:tc>
      </w:tr>
    </w:tbl>
    <w:p>
      <w:pPr>
        <w:rPr>
          <w:rFonts w:hint="default" w:ascii="Times New Roman" w:hAnsi="Times New Roman" w:cs="宋体"/>
          <w:sz w:val="21"/>
          <w:szCs w:val="21"/>
        </w:rPr>
      </w:pPr>
      <w:r>
        <w:rPr>
          <w:rFonts w:hint="eastAsia" w:ascii="Times New Roman" w:hAnsi="Times New Roman" w:eastAsia="方正仿宋_GBK" w:cs="方正仿宋_GBK"/>
          <w:sz w:val="20"/>
          <w:szCs w:val="20"/>
        </w:rPr>
        <w:t>备注：本表反映单位本年度政府性基金预算财政拨款收入支出及结转和结余情况。本单位无政府性基金收支，故本表无数据。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pPr>
        <w:rPr>
          <w:rFonts w:hint="default" w:ascii="Times New Roman" w:hAnsi="Times New Roman" w:cs="宋体"/>
          <w:sz w:val="21"/>
          <w:szCs w:val="21"/>
        </w:rPr>
      </w:pPr>
      <w:r>
        <w:rPr>
          <w:rFonts w:ascii="Times New Roman" w:hAnsi="Times New Roman"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075"/>
        <w:gridCol w:w="3004"/>
        <w:gridCol w:w="2720"/>
        <w:gridCol w:w="157"/>
        <w:gridCol w:w="2877"/>
        <w:gridCol w:w="72"/>
        <w:gridCol w:w="2825"/>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cs="宋体"/>
                <w:b/>
                <w:color w:val="000000"/>
                <w:sz w:val="32"/>
                <w:szCs w:val="32"/>
              </w:rPr>
            </w:pPr>
            <w:r>
              <w:rPr>
                <w:rFonts w:hint="eastAsia" w:ascii="方正小标宋_GBK" w:hAnsi="方正小标宋_GBK" w:eastAsia="方正小标宋_GBK" w:cs="方正小标宋_GBK"/>
                <w:b w:val="0"/>
                <w:bCs w:val="0"/>
                <w:color w:val="000000"/>
                <w:sz w:val="40"/>
                <w:szCs w:val="40"/>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sz w:val="20"/>
                <w:szCs w:val="20"/>
              </w:rPr>
              <w:t>单位</w:t>
            </w:r>
            <w:r>
              <w:rPr>
                <w:rFonts w:hint="eastAsia" w:ascii="Times New Roman" w:hAnsi="Times New Roman" w:eastAsia="方正仿宋_GBK" w:cs="方正仿宋_GBK"/>
                <w:color w:val="000000"/>
                <w:sz w:val="20"/>
                <w:szCs w:val="20"/>
              </w:rPr>
              <w:t>：</w:t>
            </w:r>
            <w:r>
              <w:rPr>
                <w:rFonts w:hint="eastAsia" w:ascii="Times New Roman" w:hAnsi="Times New Roman" w:eastAsia="方正仿宋_GBK" w:cs="方正仿宋_GBK"/>
                <w:color w:val="000000"/>
                <w:sz w:val="20"/>
                <w:u w:color="auto"/>
              </w:rPr>
              <w:t>蔈草镇综合行政执法大队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imes New Roman" w:hAnsi="Times New Roman" w:eastAsia="方正仿宋_GBK" w:cs="方正仿宋_GBK"/>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jc w:val="center"/>
              <w:rPr>
                <w:rFonts w:hint="eastAsia" w:ascii="Times New Roman" w:hAnsi="Times New Roman" w:eastAsia="方正仿宋_GBK" w:cs="方正仿宋_GBK"/>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Times New Roman" w:hAnsi="Times New Roman" w:eastAsia="方正仿宋_GBK" w:cs="方正仿宋_GBK"/>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imes New Roman" w:hAnsi="Times New Roman" w:eastAsia="方正仿宋_GBK" w:cs="方正仿宋_GBK"/>
                <w:b w:val="0"/>
                <w:bCs/>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方正仿宋_GBK" w:cs="方正仿宋_GBK"/>
                <w:b w:val="0"/>
                <w:bCs/>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rPr>
          <w:rFonts w:hint="default" w:ascii="Times New Roman" w:hAnsi="Times New Roman" w:cs="宋体"/>
          <w:sz w:val="21"/>
          <w:szCs w:val="21"/>
        </w:rPr>
      </w:pPr>
      <w:r>
        <w:rPr>
          <w:rFonts w:hint="eastAsia" w:ascii="Times New Roman" w:hAnsi="Times New Roman" w:eastAsia="方正仿宋_GBK" w:cs="方正仿宋_GBK"/>
          <w:sz w:val="20"/>
          <w:szCs w:val="20"/>
        </w:rPr>
        <w:t>备注：本表反映单位本年度国有资本经营预算财政拨款支出情况。本单位无国有资本经营收支，故本表无数据。</w:t>
      </w:r>
      <w:r>
        <w:rPr>
          <w:rFonts w:hint="eastAsia" w:ascii="方正仿宋_GBK" w:hAnsi="方正仿宋_GBK" w:eastAsia="方正仿宋_GBK" w:cs="方正仿宋_GBK"/>
          <w:sz w:val="20"/>
          <w:szCs w:val="20"/>
        </w:rPr>
        <w:br w:type="textWrapping"/>
      </w:r>
      <w:r>
        <w:rPr>
          <w:rFonts w:hint="eastAsia" w:ascii="方正仿宋_GBK" w:hAnsi="方正仿宋_GBK" w:eastAsia="方正仿宋_GBK" w:cs="方正仿宋_GBK"/>
          <w:sz w:val="20"/>
          <w:szCs w:val="20"/>
        </w:rPr>
        <w:br w:type="textWrapping"/>
      </w:r>
    </w:p>
    <w:p>
      <w:pPr>
        <w:rPr>
          <w:rFonts w:hint="default" w:ascii="Times New Roman" w:hAnsi="Times New Roman" w:cs="宋体"/>
          <w:sz w:val="21"/>
          <w:szCs w:val="21"/>
        </w:rPr>
      </w:pPr>
      <w:r>
        <w:rPr>
          <w:rFonts w:hint="default" w:ascii="Times New Roman" w:hAnsi="Times New Roman" w:cs="宋体"/>
          <w:sz w:val="21"/>
          <w:szCs w:val="21"/>
        </w:rPr>
        <w:br w:type="page"/>
      </w:r>
    </w:p>
    <w:tbl>
      <w:tblPr>
        <w:tblStyle w:val="7"/>
        <w:tblW w:w="5005" w:type="pct"/>
        <w:tblInd w:w="0" w:type="dxa"/>
        <w:tblLayout w:type="fixed"/>
        <w:tblCellMar>
          <w:top w:w="0" w:type="dxa"/>
          <w:left w:w="170" w:type="dxa"/>
          <w:bottom w:w="0" w:type="dxa"/>
          <w:right w:w="170" w:type="dxa"/>
        </w:tblCellMar>
      </w:tblPr>
      <w:tblGrid>
        <w:gridCol w:w="2641"/>
        <w:gridCol w:w="2007"/>
        <w:gridCol w:w="1974"/>
        <w:gridCol w:w="3054"/>
        <w:gridCol w:w="3069"/>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eastAsia" w:ascii="Times New Roman" w:hAnsi="Times New Roman" w:eastAsia="方正仿宋_GBK" w:cs="方正仿宋_GBK"/>
                <w:b/>
                <w:color w:val="000000"/>
                <w:kern w:val="2"/>
                <w:sz w:val="32"/>
                <w:szCs w:val="32"/>
              </w:rPr>
            </w:pPr>
            <w:r>
              <w:rPr>
                <w:rFonts w:hint="eastAsia" w:ascii="方正小标宋_GBK" w:hAnsi="方正小标宋_GBK" w:eastAsia="方正小标宋_GBK" w:cs="方正小标宋_GBK"/>
                <w:b w:val="0"/>
                <w:bCs w:val="0"/>
                <w:color w:val="000000"/>
                <w:sz w:val="40"/>
                <w:szCs w:val="40"/>
              </w:rPr>
              <w:t>机构运行信息表</w:t>
            </w:r>
          </w:p>
        </w:tc>
      </w:tr>
      <w:tr>
        <w:tblPrEx>
          <w:tblCellMar>
            <w:top w:w="0" w:type="dxa"/>
            <w:left w:w="170" w:type="dxa"/>
            <w:bottom w:w="0" w:type="dxa"/>
            <w:right w:w="170" w:type="dxa"/>
          </w:tblCellMar>
        </w:tblPrEx>
        <w:trPr>
          <w:trHeight w:val="244" w:hRule="atLeast"/>
        </w:trPr>
        <w:tc>
          <w:tcPr>
            <w:tcW w:w="1036"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kern w:val="2"/>
                <w:sz w:val="20"/>
                <w:szCs w:val="20"/>
              </w:rPr>
            </w:pPr>
          </w:p>
        </w:tc>
        <w:tc>
          <w:tcPr>
            <w:tcW w:w="787"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kern w:val="2"/>
                <w:sz w:val="20"/>
                <w:szCs w:val="20"/>
              </w:rPr>
            </w:pPr>
          </w:p>
        </w:tc>
        <w:tc>
          <w:tcPr>
            <w:tcW w:w="774"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kern w:val="2"/>
                <w:sz w:val="20"/>
                <w:szCs w:val="20"/>
              </w:rPr>
            </w:pPr>
          </w:p>
        </w:tc>
        <w:tc>
          <w:tcPr>
            <w:tcW w:w="1198"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kern w:val="2"/>
                <w:sz w:val="20"/>
                <w:szCs w:val="20"/>
              </w:rPr>
            </w:pPr>
          </w:p>
        </w:tc>
        <w:tc>
          <w:tcPr>
            <w:tcW w:w="1204" w:type="pct"/>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公开09表</w:t>
            </w:r>
          </w:p>
        </w:tc>
      </w:tr>
      <w:tr>
        <w:tblPrEx>
          <w:tblCellMar>
            <w:top w:w="0" w:type="dxa"/>
            <w:left w:w="170" w:type="dxa"/>
            <w:bottom w:w="0" w:type="dxa"/>
            <w:right w:w="170" w:type="dxa"/>
          </w:tblCellMar>
        </w:tblPrEx>
        <w:trPr>
          <w:trHeight w:val="244" w:hRule="atLeast"/>
        </w:trPr>
        <w:tc>
          <w:tcPr>
            <w:tcW w:w="1823"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kern w:val="2"/>
                <w:sz w:val="20"/>
                <w:szCs w:val="20"/>
                <w:lang w:eastAsia="zh-CN"/>
              </w:rPr>
              <w:t>单位</w:t>
            </w:r>
            <w:r>
              <w:rPr>
                <w:rFonts w:hint="eastAsia" w:ascii="Times New Roman" w:hAnsi="Times New Roman" w:eastAsia="方正仿宋_GBK" w:cs="方正仿宋_GBK"/>
                <w:color w:val="000000"/>
                <w:kern w:val="2"/>
                <w:sz w:val="20"/>
                <w:szCs w:val="20"/>
              </w:rPr>
              <w:t>：</w:t>
            </w:r>
            <w:r>
              <w:rPr>
                <w:rFonts w:hint="eastAsia" w:ascii="Times New Roman" w:hAnsi="Times New Roman" w:eastAsia="方正仿宋_GBK" w:cs="方正仿宋_GBK"/>
                <w:color w:val="000000"/>
                <w:sz w:val="20"/>
                <w:u w:color="auto"/>
              </w:rPr>
              <w:t>蔈草镇综合行政执法大队</w:t>
            </w:r>
          </w:p>
        </w:tc>
        <w:tc>
          <w:tcPr>
            <w:tcW w:w="774"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kern w:val="2"/>
                <w:sz w:val="20"/>
                <w:szCs w:val="20"/>
              </w:rPr>
            </w:pPr>
          </w:p>
        </w:tc>
        <w:tc>
          <w:tcPr>
            <w:tcW w:w="1198"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kern w:val="2"/>
                <w:sz w:val="20"/>
                <w:szCs w:val="20"/>
              </w:rPr>
            </w:pPr>
          </w:p>
        </w:tc>
        <w:tc>
          <w:tcPr>
            <w:tcW w:w="1204"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kern w:val="2"/>
                <w:sz w:val="20"/>
                <w:szCs w:val="20"/>
              </w:rPr>
            </w:pPr>
            <w:r>
              <w:rPr>
                <w:rFonts w:hint="eastAsia" w:ascii="Times New Roman" w:hAnsi="Times New Roman" w:eastAsia="方正仿宋_GBK" w:cs="方正仿宋_GBK"/>
                <w:color w:val="000000"/>
                <w:kern w:val="2"/>
                <w:sz w:val="20"/>
                <w:szCs w:val="20"/>
              </w:rPr>
              <w:t>单位：</w:t>
            </w:r>
            <w:r>
              <w:rPr>
                <w:rFonts w:hint="eastAsia" w:ascii="Times New Roman" w:hAnsi="Times New Roman" w:eastAsia="方正仿宋_GBK" w:cs="方正仿宋_GBK"/>
                <w:kern w:val="2"/>
                <w:sz w:val="20"/>
                <w:szCs w:val="20"/>
              </w:rPr>
              <w:t>万元</w:t>
            </w:r>
          </w:p>
        </w:tc>
      </w:tr>
      <w:tr>
        <w:tblPrEx>
          <w:tblCellMar>
            <w:top w:w="0" w:type="dxa"/>
            <w:left w:w="170" w:type="dxa"/>
            <w:bottom w:w="0" w:type="dxa"/>
            <w:right w:w="170" w:type="dxa"/>
          </w:tblCellMar>
        </w:tblPrEx>
        <w:trPr>
          <w:trHeight w:val="28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项  目</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预算数</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决算数</w:t>
            </w: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项  目</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决算数</w:t>
            </w:r>
          </w:p>
        </w:tc>
      </w:tr>
      <w:tr>
        <w:tblPrEx>
          <w:tblCellMar>
            <w:top w:w="0" w:type="dxa"/>
            <w:left w:w="170" w:type="dxa"/>
            <w:bottom w:w="0" w:type="dxa"/>
            <w:right w:w="170" w:type="dxa"/>
          </w:tblCellMar>
        </w:tblPrEx>
        <w:trPr>
          <w:trHeight w:val="28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一、“三公”经费支出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五、机关运行经费</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（一）支出合计</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（一）行政单位</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1．因公出国（境）费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（二）参照公务员法管理事业单位</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2．公务用车购置及运行维护费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六、资产信息</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w:t>
            </w: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（1）公务用车购置费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（一）车辆数合计（辆）</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（2）公务用车运行维护费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1．副部（省）级及以上领导用车</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3．公务接待费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2．主要领导干部用车</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（1）国内接待费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3．机要通信用车</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其中：外事接待费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4．应急保障用车</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（2）国（境）外接待费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5．执法执勤用车</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（二）相关统计数</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6．特种专业技术用车</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1．因公出国（境）团组数（个）</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7．离退休干部用车</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2．因公出国（境）人次数（人）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8．其他用车</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3．公务用车购置数（辆）</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（二）单价100万元（含）以上设备（不含车辆）</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4．公务用车保有量（辆）</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七、政府采购支出信息</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w:t>
            </w: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5．国内公务接待批次（个）</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（一）政府采购支出合计</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其中：外事接待批次（个）</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1．政府采购货物支出</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6．国内公务接待人次（人）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2．政府采购工程支出</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其中：外事接待人次（人）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3．政府采购服务支出</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7．国（境）外公务接待批次（个）</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（二）政府采购授予中小企业合同金额</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8．国（境）外公务接待人次（人）</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其中：授予小微企业合同金额</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86"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二、会议费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r>
      <w:tr>
        <w:tblPrEx>
          <w:tblCellMar>
            <w:top w:w="0" w:type="dxa"/>
            <w:left w:w="170" w:type="dxa"/>
            <w:bottom w:w="0" w:type="dxa"/>
            <w:right w:w="170" w:type="dxa"/>
          </w:tblCellMar>
        </w:tblPrEx>
        <w:trPr>
          <w:trHeight w:val="389"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三、培训费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0.50</w:t>
            </w: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r>
      <w:tr>
        <w:tblPrEx>
          <w:tblCellMar>
            <w:top w:w="0" w:type="dxa"/>
            <w:left w:w="170" w:type="dxa"/>
            <w:bottom w:w="0" w:type="dxa"/>
            <w:right w:w="170" w:type="dxa"/>
          </w:tblCellMar>
        </w:tblPrEx>
        <w:trPr>
          <w:trHeight w:val="389" w:hRule="atLeast"/>
        </w:trPr>
        <w:tc>
          <w:tcPr>
            <w:tcW w:w="10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6"/>
                <w:szCs w:val="16"/>
              </w:rPr>
            </w:pPr>
            <w:r>
              <w:rPr>
                <w:rFonts w:hint="eastAsia" w:ascii="Times New Roman" w:hAnsi="Times New Roman" w:eastAsia="方正仿宋_GBK" w:cs="方正仿宋_GBK"/>
                <w:b w:val="0"/>
                <w:bCs/>
                <w:color w:val="000000"/>
                <w:sz w:val="16"/>
                <w:szCs w:val="16"/>
              </w:rPr>
              <w:t>四、差旅费</w:t>
            </w:r>
          </w:p>
        </w:tc>
        <w:tc>
          <w:tcPr>
            <w:tcW w:w="7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w:t>
            </w:r>
          </w:p>
        </w:tc>
        <w:tc>
          <w:tcPr>
            <w:tcW w:w="7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c>
          <w:tcPr>
            <w:tcW w:w="11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6"/>
                <w:szCs w:val="16"/>
              </w:rPr>
            </w:pP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6"/>
                <w:szCs w:val="16"/>
              </w:rPr>
            </w:pPr>
          </w:p>
        </w:tc>
      </w:tr>
    </w:tbl>
    <w:p>
      <w:pP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Times New Roman" w:hAnsi="Times New Roman" w:eastAsia="方正仿宋_GBK" w:cs="方正仿宋_GBK"/>
          <w:sz w:val="18"/>
          <w:szCs w:val="18"/>
        </w:rPr>
        <w:br w:type="textWrapping"/>
      </w:r>
      <w:r>
        <w:rPr>
          <w:rFonts w:hint="eastAsia" w:ascii="Times New Roman" w:hAnsi="Times New Roman" w:eastAsia="方正仿宋_GBK" w:cs="方正仿宋_GBK"/>
          <w:sz w:val="18"/>
          <w:szCs w:val="18"/>
        </w:rPr>
        <w:t xml:space="preserve">      2.本套报表金额单位转换时可能存在尾数误差。</w:t>
      </w:r>
      <w:r>
        <w:rPr>
          <w:rFonts w:hint="eastAsia" w:ascii="Times New Roman" w:hAnsi="Times New Roman" w:eastAsia="方正仿宋_GBK" w:cs="方正仿宋_GBK"/>
          <w:sz w:val="18"/>
          <w:szCs w:val="18"/>
        </w:rPr>
        <w:br w:type="textWrapping"/>
      </w:r>
      <w:r>
        <w:rPr>
          <w:rFonts w:hint="eastAsia" w:ascii="Times New Roman" w:hAnsi="Times New Roman" w:eastAsia="方正仿宋_GBK" w:cs="方正仿宋_GBK"/>
          <w:sz w:val="18"/>
          <w:szCs w:val="18"/>
        </w:rPr>
        <w:br w:type="textWrapping"/>
      </w:r>
    </w:p>
    <w:sectPr>
      <w:pgSz w:w="16783" w:h="11850" w:orient="landscape"/>
      <w:pgMar w:top="1531" w:right="2098" w:bottom="1531" w:left="1984"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5946A3"/>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11073B"/>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ED5CD5"/>
    <w:rsid w:val="107B59E5"/>
    <w:rsid w:val="10D94713"/>
    <w:rsid w:val="10EC0126"/>
    <w:rsid w:val="10F70B9A"/>
    <w:rsid w:val="111445C7"/>
    <w:rsid w:val="114278C6"/>
    <w:rsid w:val="1158083A"/>
    <w:rsid w:val="11643A4B"/>
    <w:rsid w:val="116B62FD"/>
    <w:rsid w:val="11D6120F"/>
    <w:rsid w:val="11ED0F98"/>
    <w:rsid w:val="11F03528"/>
    <w:rsid w:val="12254FFE"/>
    <w:rsid w:val="12527D3F"/>
    <w:rsid w:val="12977E48"/>
    <w:rsid w:val="12C921C4"/>
    <w:rsid w:val="13561AB1"/>
    <w:rsid w:val="13871C70"/>
    <w:rsid w:val="13A71CB4"/>
    <w:rsid w:val="13AF1D43"/>
    <w:rsid w:val="13B862C8"/>
    <w:rsid w:val="13CE1647"/>
    <w:rsid w:val="13FD55AB"/>
    <w:rsid w:val="14200702"/>
    <w:rsid w:val="14370EA1"/>
    <w:rsid w:val="14A0009A"/>
    <w:rsid w:val="163A6CEE"/>
    <w:rsid w:val="16585B40"/>
    <w:rsid w:val="16E93321"/>
    <w:rsid w:val="173708E3"/>
    <w:rsid w:val="17C374FC"/>
    <w:rsid w:val="182E4AB6"/>
    <w:rsid w:val="186A1692"/>
    <w:rsid w:val="189079DC"/>
    <w:rsid w:val="189B0D0B"/>
    <w:rsid w:val="18B43F7C"/>
    <w:rsid w:val="191C433B"/>
    <w:rsid w:val="194A1770"/>
    <w:rsid w:val="19B906A4"/>
    <w:rsid w:val="1ABF1CEA"/>
    <w:rsid w:val="1B6F15B6"/>
    <w:rsid w:val="1BAA2EDC"/>
    <w:rsid w:val="1BC752FA"/>
    <w:rsid w:val="1BD25BA3"/>
    <w:rsid w:val="1CA55E64"/>
    <w:rsid w:val="1D014A01"/>
    <w:rsid w:val="1D022362"/>
    <w:rsid w:val="1D1B04B0"/>
    <w:rsid w:val="1DA52501"/>
    <w:rsid w:val="1DBD6767"/>
    <w:rsid w:val="1DC52125"/>
    <w:rsid w:val="1DD26311"/>
    <w:rsid w:val="1E374ACB"/>
    <w:rsid w:val="1ECF0A66"/>
    <w:rsid w:val="1EEC5078"/>
    <w:rsid w:val="1EF67CA4"/>
    <w:rsid w:val="1F020D3A"/>
    <w:rsid w:val="1F2C5189"/>
    <w:rsid w:val="1F2E5690"/>
    <w:rsid w:val="1F4B0B02"/>
    <w:rsid w:val="1FBB35CD"/>
    <w:rsid w:val="1FCD26AF"/>
    <w:rsid w:val="202A22FB"/>
    <w:rsid w:val="20642787"/>
    <w:rsid w:val="21556F04"/>
    <w:rsid w:val="21D0300E"/>
    <w:rsid w:val="222F7EB5"/>
    <w:rsid w:val="22403BD3"/>
    <w:rsid w:val="22AD3177"/>
    <w:rsid w:val="235417B6"/>
    <w:rsid w:val="2358717F"/>
    <w:rsid w:val="24787223"/>
    <w:rsid w:val="24B92327"/>
    <w:rsid w:val="24C14514"/>
    <w:rsid w:val="24FD1D8D"/>
    <w:rsid w:val="252D4D73"/>
    <w:rsid w:val="2533755C"/>
    <w:rsid w:val="25495868"/>
    <w:rsid w:val="25791755"/>
    <w:rsid w:val="26396DF4"/>
    <w:rsid w:val="27167136"/>
    <w:rsid w:val="271B442C"/>
    <w:rsid w:val="27B23302"/>
    <w:rsid w:val="29310A5F"/>
    <w:rsid w:val="29C37A35"/>
    <w:rsid w:val="29C9048F"/>
    <w:rsid w:val="2A076083"/>
    <w:rsid w:val="2A73162E"/>
    <w:rsid w:val="2A8159D1"/>
    <w:rsid w:val="2B167953"/>
    <w:rsid w:val="2B200583"/>
    <w:rsid w:val="2B2729C0"/>
    <w:rsid w:val="2B8209DE"/>
    <w:rsid w:val="2B821C91"/>
    <w:rsid w:val="2BF81A22"/>
    <w:rsid w:val="2C636760"/>
    <w:rsid w:val="2C6762A3"/>
    <w:rsid w:val="2CEC2B31"/>
    <w:rsid w:val="2D2D4921"/>
    <w:rsid w:val="2E263E03"/>
    <w:rsid w:val="2E76495E"/>
    <w:rsid w:val="2F0106CB"/>
    <w:rsid w:val="2FCA4B37"/>
    <w:rsid w:val="2FE029D7"/>
    <w:rsid w:val="2FF06E00"/>
    <w:rsid w:val="30586FEC"/>
    <w:rsid w:val="30BE67FD"/>
    <w:rsid w:val="315F0B22"/>
    <w:rsid w:val="31A15828"/>
    <w:rsid w:val="31D84415"/>
    <w:rsid w:val="31F07A9B"/>
    <w:rsid w:val="31F41057"/>
    <w:rsid w:val="32285F6F"/>
    <w:rsid w:val="32770556"/>
    <w:rsid w:val="329C0913"/>
    <w:rsid w:val="32AA0460"/>
    <w:rsid w:val="32E620B2"/>
    <w:rsid w:val="3337290D"/>
    <w:rsid w:val="33E31118"/>
    <w:rsid w:val="33EF7674"/>
    <w:rsid w:val="342D7BC6"/>
    <w:rsid w:val="352930DB"/>
    <w:rsid w:val="35573069"/>
    <w:rsid w:val="355F6038"/>
    <w:rsid w:val="356C6BCA"/>
    <w:rsid w:val="358C217E"/>
    <w:rsid w:val="36C9128A"/>
    <w:rsid w:val="36E56B24"/>
    <w:rsid w:val="37841E99"/>
    <w:rsid w:val="37BF1123"/>
    <w:rsid w:val="383C3F15"/>
    <w:rsid w:val="389D1465"/>
    <w:rsid w:val="38BE4696"/>
    <w:rsid w:val="3939115E"/>
    <w:rsid w:val="398A599B"/>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601903"/>
    <w:rsid w:val="41E0734B"/>
    <w:rsid w:val="42507F9E"/>
    <w:rsid w:val="426C1EA8"/>
    <w:rsid w:val="42736402"/>
    <w:rsid w:val="4275725F"/>
    <w:rsid w:val="42E86A87"/>
    <w:rsid w:val="42E911B6"/>
    <w:rsid w:val="43307B09"/>
    <w:rsid w:val="438F40A0"/>
    <w:rsid w:val="439A3EB9"/>
    <w:rsid w:val="43BB152F"/>
    <w:rsid w:val="44C37687"/>
    <w:rsid w:val="4582210E"/>
    <w:rsid w:val="45CB699A"/>
    <w:rsid w:val="46423C66"/>
    <w:rsid w:val="465B470D"/>
    <w:rsid w:val="469D6AD4"/>
    <w:rsid w:val="471E6C84"/>
    <w:rsid w:val="4748792B"/>
    <w:rsid w:val="475D719D"/>
    <w:rsid w:val="47674801"/>
    <w:rsid w:val="47A44D3E"/>
    <w:rsid w:val="48225EF7"/>
    <w:rsid w:val="484D2F84"/>
    <w:rsid w:val="488F422B"/>
    <w:rsid w:val="48E36915"/>
    <w:rsid w:val="48EB6572"/>
    <w:rsid w:val="495C4A24"/>
    <w:rsid w:val="497135DF"/>
    <w:rsid w:val="49F05873"/>
    <w:rsid w:val="4A263DF2"/>
    <w:rsid w:val="4A2F278B"/>
    <w:rsid w:val="4A6F6675"/>
    <w:rsid w:val="4B135857"/>
    <w:rsid w:val="4B7951CB"/>
    <w:rsid w:val="4B7C315C"/>
    <w:rsid w:val="4D1F53CA"/>
    <w:rsid w:val="4D84680C"/>
    <w:rsid w:val="4DAC4ACA"/>
    <w:rsid w:val="4DBA7707"/>
    <w:rsid w:val="4DBE01D2"/>
    <w:rsid w:val="4DEB45C9"/>
    <w:rsid w:val="4EFD467F"/>
    <w:rsid w:val="4EFF67A5"/>
    <w:rsid w:val="4F0C6BA3"/>
    <w:rsid w:val="4F186D58"/>
    <w:rsid w:val="4F7F2FA2"/>
    <w:rsid w:val="4FDC68BF"/>
    <w:rsid w:val="504B6EAA"/>
    <w:rsid w:val="509615BC"/>
    <w:rsid w:val="50F06B6E"/>
    <w:rsid w:val="51143E36"/>
    <w:rsid w:val="517B3EB5"/>
    <w:rsid w:val="51D21804"/>
    <w:rsid w:val="51DE7EB5"/>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F62A16"/>
    <w:rsid w:val="56530F5D"/>
    <w:rsid w:val="567700D3"/>
    <w:rsid w:val="56DB11A0"/>
    <w:rsid w:val="56FF7E9E"/>
    <w:rsid w:val="57160908"/>
    <w:rsid w:val="578867FC"/>
    <w:rsid w:val="5842572D"/>
    <w:rsid w:val="59513E7A"/>
    <w:rsid w:val="59972DFA"/>
    <w:rsid w:val="5A3B59D6"/>
    <w:rsid w:val="5AD134D8"/>
    <w:rsid w:val="5AF124AD"/>
    <w:rsid w:val="5BF04D19"/>
    <w:rsid w:val="5BF41F67"/>
    <w:rsid w:val="5C263CE4"/>
    <w:rsid w:val="5C341831"/>
    <w:rsid w:val="5C5D2777"/>
    <w:rsid w:val="5CF66BF3"/>
    <w:rsid w:val="5D290C69"/>
    <w:rsid w:val="5DA80C2C"/>
    <w:rsid w:val="5EAB6C4E"/>
    <w:rsid w:val="5ED370DF"/>
    <w:rsid w:val="5F2D4A41"/>
    <w:rsid w:val="5F41673E"/>
    <w:rsid w:val="60874625"/>
    <w:rsid w:val="60C74F6C"/>
    <w:rsid w:val="60EF5D26"/>
    <w:rsid w:val="61015958"/>
    <w:rsid w:val="61025A59"/>
    <w:rsid w:val="613D5BBC"/>
    <w:rsid w:val="61536C39"/>
    <w:rsid w:val="62944DD7"/>
    <w:rsid w:val="6319381F"/>
    <w:rsid w:val="63C25DC5"/>
    <w:rsid w:val="63C62057"/>
    <w:rsid w:val="63FF2724"/>
    <w:rsid w:val="6416019A"/>
    <w:rsid w:val="64571EF5"/>
    <w:rsid w:val="64AC28AC"/>
    <w:rsid w:val="64FB113D"/>
    <w:rsid w:val="656152C6"/>
    <w:rsid w:val="6587477F"/>
    <w:rsid w:val="658C3A08"/>
    <w:rsid w:val="65B05C54"/>
    <w:rsid w:val="65C031CA"/>
    <w:rsid w:val="65CE6852"/>
    <w:rsid w:val="65D93F72"/>
    <w:rsid w:val="66267C04"/>
    <w:rsid w:val="663F505A"/>
    <w:rsid w:val="666C2D2F"/>
    <w:rsid w:val="66AF5D7C"/>
    <w:rsid w:val="66EE5541"/>
    <w:rsid w:val="67924660"/>
    <w:rsid w:val="68407834"/>
    <w:rsid w:val="6883293E"/>
    <w:rsid w:val="688412AD"/>
    <w:rsid w:val="68EB1B71"/>
    <w:rsid w:val="692E3B91"/>
    <w:rsid w:val="696C0310"/>
    <w:rsid w:val="6A1F1B6D"/>
    <w:rsid w:val="6A6C7940"/>
    <w:rsid w:val="6A9F1565"/>
    <w:rsid w:val="6AAD2300"/>
    <w:rsid w:val="6B474EF5"/>
    <w:rsid w:val="6BC938E5"/>
    <w:rsid w:val="6C0A5AC5"/>
    <w:rsid w:val="6C560CAE"/>
    <w:rsid w:val="6C576495"/>
    <w:rsid w:val="6D903FF5"/>
    <w:rsid w:val="6DA955B8"/>
    <w:rsid w:val="6DB85E1E"/>
    <w:rsid w:val="6DE346AB"/>
    <w:rsid w:val="6DE5391A"/>
    <w:rsid w:val="6E084345"/>
    <w:rsid w:val="6E1D2124"/>
    <w:rsid w:val="6EFD1324"/>
    <w:rsid w:val="6F5A53AC"/>
    <w:rsid w:val="6FAC003D"/>
    <w:rsid w:val="6FD926BF"/>
    <w:rsid w:val="6FE55E12"/>
    <w:rsid w:val="6FFB2E76"/>
    <w:rsid w:val="708F6F7F"/>
    <w:rsid w:val="70D94BD3"/>
    <w:rsid w:val="71574775"/>
    <w:rsid w:val="71C34D91"/>
    <w:rsid w:val="728564EA"/>
    <w:rsid w:val="72DB435C"/>
    <w:rsid w:val="72E2613A"/>
    <w:rsid w:val="72F35B4A"/>
    <w:rsid w:val="72F771F4"/>
    <w:rsid w:val="73934AD2"/>
    <w:rsid w:val="74A65081"/>
    <w:rsid w:val="750837F0"/>
    <w:rsid w:val="754758CF"/>
    <w:rsid w:val="75595ECD"/>
    <w:rsid w:val="764F62AB"/>
    <w:rsid w:val="765C45EC"/>
    <w:rsid w:val="768A7619"/>
    <w:rsid w:val="76BD23AB"/>
    <w:rsid w:val="772E1EBA"/>
    <w:rsid w:val="776B3F01"/>
    <w:rsid w:val="77AA1D7B"/>
    <w:rsid w:val="781926BC"/>
    <w:rsid w:val="78961451"/>
    <w:rsid w:val="796D60A4"/>
    <w:rsid w:val="79A031D5"/>
    <w:rsid w:val="79B47FDF"/>
    <w:rsid w:val="79E569A9"/>
    <w:rsid w:val="7A1525F7"/>
    <w:rsid w:val="7B420052"/>
    <w:rsid w:val="7BD06A28"/>
    <w:rsid w:val="7C3A7C0B"/>
    <w:rsid w:val="7C5248E4"/>
    <w:rsid w:val="7C566698"/>
    <w:rsid w:val="7C5866A3"/>
    <w:rsid w:val="7D7406BB"/>
    <w:rsid w:val="7DE94331"/>
    <w:rsid w:val="7E376C2A"/>
    <w:rsid w:val="7F446A19"/>
    <w:rsid w:val="7F7452B9"/>
    <w:rsid w:val="7FA91C06"/>
    <w:rsid w:val="F4960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4826</Words>
  <Characters>5312</Characters>
  <Lines>186</Lines>
  <Paragraphs>52</Paragraphs>
  <TotalTime>15</TotalTime>
  <ScaleCrop>false</ScaleCrop>
  <LinksUpToDate>false</LinksUpToDate>
  <CharactersWithSpaces>5320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蔈草镇管理员</cp:lastModifiedBy>
  <cp:lastPrinted>2025-10-16T16:31:00Z</cp:lastPrinted>
  <dcterms:modified xsi:type="dcterms:W3CDTF">2025-10-21T15:06:32Z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eyJoZGlkIjoiNjZiZGNlY2NhZjk2MDI1YzQyMWZkNWVmYjFiNmYwNjAifQ==</vt:lpwstr>
  </property>
</Properties>
</file>