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重庆市云阳县蔈草镇人民政府（本级）</w:t>
      </w:r>
    </w:p>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ascii="Times New Roman" w:hAnsi="Times New Roman"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pPr>
        <w:pStyle w:val="7"/>
        <w:keepNext w:val="0"/>
        <w:keepLines w:val="0"/>
        <w:pageBreakBefore w:val="0"/>
        <w:kinsoku/>
        <w:wordWrap/>
        <w:overflowPunct/>
        <w:topLinePunct w:val="0"/>
        <w:autoSpaceDN/>
        <w:bidi w:val="0"/>
        <w:adjustRightInd/>
        <w:spacing w:before="0" w:beforeAutospacing="0" w:after="0" w:afterAutospacing="0" w:line="578" w:lineRule="exact"/>
        <w:jc w:val="center"/>
        <w:textAlignment w:val="auto"/>
        <w:rPr>
          <w:rFonts w:hint="default" w:ascii="Times New Roman" w:hAnsi="Times New Roman" w:eastAsia="方正小标宋_GBK" w:cs="方正小标宋_GBK"/>
          <w:sz w:val="44"/>
          <w:szCs w:val="44"/>
          <w:shd w:val="clear" w:color="auto" w:fill="FFFFFF"/>
        </w:rPr>
      </w:pP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一、单位基本情况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（一）职能职责</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组织贯彻执行国家财政、税收的法律、法规、政策，拟定全镇财政、国有资产管理、财务、会计方面的管理制度并组织实施，拟订和执行财政分配政策和财政管理体制，拟定财政发展战略和中长期规划，指导全镇财政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2.管理全镇财政收支，依据《预算法》编制年度财政预算草案和决算，组织执行年度财政预算，管理行政事业性收费、政府性基金（附加）、社会保障资金等，负责财政综合平衡。</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3.负责全镇罚没财物及政府非税收入的组织和管理工作。管理财政票据。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4.组织执行国库管理制度、国库集中收付制度，指导和监督国库业务开展。拟定和执行政府采购管理制度，负责政府采购监督管理工作。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5.负责国有资产的管理；组织实施国有资产的清产核资、权属界定、产权登记；负责资产评估项目的合规性审核；负责公共资源的统计、分析。</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6.管理全镇财政公共支出和财政承担的经济发展支出，分配、管理各种有偿、无偿使用的财政专项资金。</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7.组织执行《会计法》等法律法规及分行业会计制度，管理全镇会计工作。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8.组织执行《企业财务通则》和分行业财务制度，执行国家与企业的分配政策。</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9.拟订和执行政府债务管理的制度和管理办法；管理政府债务；负责外国政府贷款、世行贷款等的监管，负责政府投融资管理，负责彩票发行的监管工作。</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10.监督财税方针政策、法律法规的执行情况，检查财政收支管理中的重大问题，查处违反财经法纪的行为。</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bCs/>
          <w:sz w:val="32"/>
          <w:szCs w:val="32"/>
        </w:rPr>
      </w:pPr>
      <w:r>
        <w:rPr>
          <w:rFonts w:ascii="Times New Roman" w:hAnsi="Times New Roman" w:eastAsia="方正仿宋_GBK" w:cs="方正仿宋_GBK"/>
          <w:bCs/>
          <w:sz w:val="32"/>
          <w:szCs w:val="32"/>
        </w:rPr>
        <w:t>11.承办镇党委、镇政府和上级财政单位交办的事项。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（二）机构设置</w:t>
      </w:r>
    </w:p>
    <w:p>
      <w:pPr>
        <w:keepNext w:val="0"/>
        <w:keepLines w:val="0"/>
        <w:pageBreakBefore w:val="0"/>
        <w:widowControl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color w:val="FF0000"/>
          <w:sz w:val="32"/>
          <w:szCs w:val="32"/>
          <w:highlight w:val="yellow"/>
          <w:shd w:val="clear" w:color="auto" w:fill="FFFFFF"/>
        </w:rPr>
      </w:pPr>
      <w:r>
        <w:rPr>
          <w:rFonts w:ascii="Times New Roman" w:hAnsi="Times New Roman" w:eastAsia="方正仿宋_GBK" w:cs="方正仿宋_GBK"/>
          <w:bCs/>
          <w:sz w:val="32"/>
          <w:szCs w:val="32"/>
        </w:rPr>
        <w:t>云阳县蔈草镇人民政府为县政府组成单位，</w:t>
      </w:r>
      <w:r>
        <w:rPr>
          <w:rFonts w:ascii="Times New Roman" w:hAnsi="Times New Roman" w:eastAsia="方正仿宋_GBK"/>
          <w:sz w:val="32"/>
          <w:szCs w:val="32"/>
        </w:rPr>
        <w:t>本单位共5个内设机构，分别是基层治理综合指挥室、党的建设办公室、经济发展办公室、民生服务办公室、平安法治办公室。</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二、单位决算收支情况说明</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rPr>
        <w:t>1.</w:t>
      </w:r>
      <w:r>
        <w:rPr>
          <w:rFonts w:hint="eastAsia" w:ascii="Times New Roman" w:hAnsi="Times New Roman" w:eastAsia="方正仿宋_GBK" w:cs="方正仿宋_GBK"/>
          <w:b w:val="0"/>
          <w:bCs w:val="0"/>
          <w:kern w:val="2"/>
          <w:sz w:val="32"/>
          <w:szCs w:val="22"/>
          <w:lang w:val="en-US" w:eastAsia="zh-CN" w:bidi="ar-SA"/>
        </w:rPr>
        <w:t>总体情况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2024年度收入总计2500.81万元，支出总计</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万元。2024年度收入与2023年度相比，增加183.07万元，增长7.9%，主要原因是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2024年度民生资金调标，职工工资及社会保障缴费基数上调，政府性基金项目增加，农林水项目及乡镇自编项目资金实现支付。2024年度支出</w:t>
      </w:r>
      <w:r>
        <w:rPr>
          <w:rFonts w:ascii="Times New Roman" w:hAnsi="Times New Roman" w:eastAsia="方正仿宋_GBK" w:cs="方正仿宋_GBK"/>
          <w:sz w:val="32"/>
          <w:szCs w:val="32"/>
          <w:shd w:val="clear" w:color="auto" w:fill="FFFFFF"/>
        </w:rPr>
        <w:t>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val="0"/>
          <w:bCs/>
          <w:sz w:val="32"/>
          <w:szCs w:val="32"/>
          <w:shd w:val="clear" w:color="auto" w:fill="FFFFFF"/>
        </w:rPr>
        <w:t>2</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收入情况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2024年度收入合计2500.81万元，与2023年度相比，增加183.07万元，增长7.9%，主要原因是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万元，占0.00%；经营收入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万元，占0.00%；其他收入</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万元，占0.00%。此外，使用非财政拨款结余和专用结余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万元，年初结转和结余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b w:val="0"/>
          <w:bCs/>
          <w:sz w:val="32"/>
          <w:szCs w:val="32"/>
          <w:shd w:val="clear" w:color="auto" w:fill="FFFFFF"/>
        </w:rPr>
        <w:t>3.</w:t>
      </w:r>
      <w:r>
        <w:rPr>
          <w:rFonts w:ascii="Times New Roman" w:hAnsi="Times New Roman" w:eastAsia="方正仿宋_GBK" w:cs="方正仿宋_GBK"/>
          <w:b w:val="0"/>
          <w:bCs/>
          <w:sz w:val="32"/>
          <w:szCs w:val="32"/>
          <w:shd w:val="clear" w:color="auto" w:fill="FFFFFF"/>
        </w:rPr>
        <w:t>支出情况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2500.81</w:t>
      </w:r>
      <w:r>
        <w:rPr>
          <w:rFonts w:ascii="Times New Roman" w:hAnsi="Times New Roman" w:eastAsia="方正仿宋_GBK" w:cs="方正仿宋_GBK"/>
          <w:sz w:val="32"/>
          <w:szCs w:val="32"/>
          <w:shd w:val="clear" w:color="auto" w:fill="FFFFFF"/>
        </w:rPr>
        <w:t>万元，与2023年度相比，增加182.87万元，增长7.9%，主要原因是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697.04</w:t>
      </w:r>
      <w:r>
        <w:rPr>
          <w:rFonts w:ascii="Times New Roman" w:hAnsi="Times New Roman" w:eastAsia="方正仿宋_GBK" w:cs="方正仿宋_GBK"/>
          <w:sz w:val="32"/>
          <w:szCs w:val="32"/>
          <w:shd w:val="clear" w:color="auto" w:fill="FFFFFF"/>
        </w:rPr>
        <w:t>万元，占27.87%；项目支出</w:t>
      </w:r>
      <w:r>
        <w:rPr>
          <w:rFonts w:ascii="Times New Roman" w:hAnsi="Times New Roman" w:eastAsia="方正仿宋_GBK" w:cs="方正仿宋_GBK"/>
          <w:sz w:val="32"/>
          <w:szCs w:val="32"/>
        </w:rPr>
        <w:t>1803.78</w:t>
      </w:r>
      <w:r>
        <w:rPr>
          <w:rFonts w:ascii="Times New Roman" w:hAnsi="Times New Roman" w:eastAsia="方正仿宋_GBK" w:cs="方正仿宋_GBK"/>
          <w:sz w:val="32"/>
          <w:szCs w:val="32"/>
          <w:shd w:val="clear" w:color="auto" w:fill="FFFFFF"/>
        </w:rPr>
        <w:t>万元，占72.13%；经营支出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万元，占0.00%。此外，结余分配</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4.结转结余情况。2024年度年末结转和结余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万元，与2023年度相比，无增减，主要原因是省级以下财政不再实行权责发生制列支。</w:t>
      </w:r>
    </w:p>
    <w:p>
      <w:pPr>
        <w:pStyle w:val="13"/>
        <w:keepNext w:val="0"/>
        <w:keepLines w:val="0"/>
        <w:pageBreakBefore w:val="0"/>
        <w:widowControl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（二）财政拨款收入支出决算总体情况说明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2024年度财政拨款收、支总计2500.81万元。2024年度财政拨款收入与2023年度相比，增加183.07万元，增长7.9%，主要原因是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2024年度民生资金调标，职工工资及社会保障缴费基数上调，政府性基金项目增加，农林水项目及乡镇自编项目资金实现支付。2024年度</w:t>
      </w:r>
      <w:r>
        <w:rPr>
          <w:rFonts w:ascii="Times New Roman" w:hAnsi="Times New Roman" w:eastAsia="方正仿宋_GBK" w:cs="方正仿宋_GBK"/>
          <w:sz w:val="32"/>
          <w:szCs w:val="32"/>
          <w:shd w:val="clear" w:color="auto" w:fill="FFFFFF"/>
        </w:rPr>
        <w:t>财政拨款</w:t>
      </w:r>
      <w:r>
        <w:rPr>
          <w:rFonts w:ascii="Times New Roman" w:hAnsi="Times New Roman" w:eastAsia="方正仿宋_GBK"/>
          <w:sz w:val="32"/>
          <w:szCs w:val="32"/>
        </w:rPr>
        <w:t>支出</w:t>
      </w:r>
      <w:r>
        <w:rPr>
          <w:rFonts w:ascii="Times New Roman" w:hAnsi="Times New Roman" w:eastAsia="方正仿宋_GBK" w:cs="方正仿宋_GBK"/>
          <w:sz w:val="32"/>
          <w:szCs w:val="32"/>
          <w:shd w:val="clear" w:color="auto" w:fill="FFFFFF"/>
        </w:rPr>
        <w:t>与2023年度相比，增加182.87万元，增长7.9%，主要原因是</w:t>
      </w:r>
      <w:r>
        <w:rPr>
          <w:rFonts w:ascii="Times New Roman" w:hAnsi="Times New Roman" w:eastAsia="方正仿宋_GBK"/>
          <w:sz w:val="32"/>
          <w:szCs w:val="32"/>
        </w:rPr>
        <w:t>2024年度民生资金调标，职工工资及社会保障缴费基数上调，政府性基金项目增加，农林水项目及乡镇自编项目资金实现支付。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b w:val="0"/>
          <w:bCs/>
          <w:sz w:val="32"/>
          <w:szCs w:val="32"/>
          <w:shd w:val="clear" w:color="auto" w:fill="FFFFFF"/>
        </w:rPr>
        <w:t>1.收入情况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2445.02</w:t>
      </w:r>
      <w:r>
        <w:rPr>
          <w:rFonts w:ascii="Times New Roman" w:hAnsi="Times New Roman" w:eastAsia="方正仿宋_GBK" w:cs="方正仿宋_GBK"/>
          <w:sz w:val="32"/>
          <w:szCs w:val="32"/>
          <w:shd w:val="clear" w:color="auto" w:fill="FFFFFF"/>
        </w:rPr>
        <w:t>万元，与2023年度相比，增加166.51万元，增长7.3%。主要原因是</w:t>
      </w:r>
      <w:r>
        <w:rPr>
          <w:rFonts w:ascii="Times New Roman" w:hAnsi="Times New Roman" w:eastAsia="方正仿宋_GBK"/>
          <w:sz w:val="32"/>
          <w:szCs w:val="32"/>
        </w:rPr>
        <w:t>2024年度民生资金调标，职工工资及社会保障缴费基数上调，农林水项目及乡镇自编项目资金实现支付。</w:t>
      </w:r>
      <w:r>
        <w:rPr>
          <w:rFonts w:ascii="Times New Roman" w:hAnsi="Times New Roman" w:eastAsia="方正仿宋_GBK" w:cs="方正仿宋_GBK"/>
          <w:sz w:val="32"/>
          <w:szCs w:val="32"/>
          <w:shd w:val="clear" w:color="auto" w:fill="FFFFFF"/>
        </w:rPr>
        <w:t>较年初预算数增加619.80万元，增长34.0%。主要原因是</w:t>
      </w:r>
      <w:r>
        <w:rPr>
          <w:rFonts w:ascii="Times New Roman" w:hAnsi="Times New Roman" w:eastAsia="方正仿宋_GBK"/>
          <w:sz w:val="32"/>
          <w:szCs w:val="32"/>
        </w:rPr>
        <w:t>2024年度民生资金调标，职工工资及社会保障缴费基数上调，乡镇财政收入增加，追加农林水等项目资金。</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hint="default" w:ascii="Times New Roman" w:hAnsi="Times New Roman" w:eastAsia="方正仿宋_GBK" w:cs="Times New Roman"/>
          <w:b w:val="0"/>
          <w:bCs/>
          <w:sz w:val="32"/>
          <w:szCs w:val="32"/>
          <w:shd w:val="clear" w:color="auto" w:fill="FFFFFF"/>
        </w:rPr>
        <w:t>2</w:t>
      </w:r>
      <w:r>
        <w:rPr>
          <w:rStyle w:val="11"/>
          <w:rFonts w:hint="eastAsia" w:ascii="Times New Roman" w:hAnsi="Times New Roman" w:eastAsia="方正仿宋_GBK" w:cs="方正仿宋_GBK"/>
          <w:b w:val="0"/>
          <w:bCs/>
          <w:sz w:val="32"/>
          <w:szCs w:val="32"/>
          <w:shd w:val="clear" w:color="auto" w:fill="FFFFFF"/>
        </w:rPr>
        <w:t>.支出情况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2445.02</w:t>
      </w:r>
      <w:r>
        <w:rPr>
          <w:rFonts w:ascii="Times New Roman" w:hAnsi="Times New Roman" w:eastAsia="方正仿宋_GBK" w:cs="方正仿宋_GBK"/>
          <w:sz w:val="32"/>
          <w:szCs w:val="32"/>
          <w:shd w:val="clear" w:color="auto" w:fill="FFFFFF"/>
        </w:rPr>
        <w:t>万元，与2023年度相比，增加166.30万元，增长7.3%。主要原因是</w:t>
      </w:r>
      <w:r>
        <w:rPr>
          <w:rFonts w:ascii="Times New Roman" w:hAnsi="Times New Roman" w:eastAsia="方正仿宋_GBK"/>
          <w:sz w:val="32"/>
          <w:szCs w:val="32"/>
        </w:rPr>
        <w:t>2024年度民生资金调标，职工工资及社会保障缴费基数上调，乡镇自编项目资金部分实现支付。</w:t>
      </w:r>
      <w:r>
        <w:rPr>
          <w:rFonts w:ascii="Times New Roman" w:hAnsi="Times New Roman" w:eastAsia="方正仿宋_GBK" w:cs="方正仿宋_GBK"/>
          <w:sz w:val="32"/>
          <w:szCs w:val="32"/>
          <w:shd w:val="clear" w:color="auto" w:fill="FFFFFF"/>
        </w:rPr>
        <w:t>较年初预算数增加619.80万元，增长34.0%。主要原因是</w:t>
      </w:r>
      <w:r>
        <w:rPr>
          <w:rFonts w:ascii="Times New Roman" w:hAnsi="Times New Roman" w:eastAsia="方正仿宋_GBK"/>
          <w:sz w:val="32"/>
          <w:szCs w:val="32"/>
        </w:rPr>
        <w:t>2024年度民生资金调标，职工工资及社会保障缴费基数上调，乡镇财政收入增加，追加农林水等项目资金。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b w:val="0"/>
          <w:bCs/>
          <w:sz w:val="32"/>
          <w:szCs w:val="32"/>
          <w:shd w:val="clear" w:color="auto" w:fill="FFFFFF"/>
        </w:rPr>
        <w:t>3.</w:t>
      </w:r>
      <w:r>
        <w:rPr>
          <w:rStyle w:val="11"/>
          <w:rFonts w:hint="eastAsia" w:ascii="Times New Roman" w:hAnsi="Times New Roman" w:eastAsia="方正仿宋_GBK" w:cs="方正仿宋_GBK"/>
          <w:b w:val="0"/>
          <w:bCs/>
          <w:sz w:val="32"/>
          <w:szCs w:val="32"/>
          <w:shd w:val="clear" w:color="auto" w:fill="FFFFFF"/>
        </w:rPr>
        <w:t>结转结余情况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2024年度年末一般公共预算财政拨款结转和结余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万元，与2023年度相比，无增减，主要原因是省级以下财政不再实行权责发生制列支。</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b w:val="0"/>
          <w:bCs/>
          <w:sz w:val="32"/>
          <w:szCs w:val="32"/>
          <w:shd w:val="clear" w:color="auto" w:fill="FFFFFF"/>
        </w:rPr>
        <w:t>4.</w:t>
      </w:r>
      <w:r>
        <w:rPr>
          <w:rStyle w:val="11"/>
          <w:rFonts w:hint="eastAsia" w:ascii="Times New Roman" w:hAnsi="Times New Roman" w:eastAsia="方正仿宋_GBK" w:cs="方正仿宋_GBK"/>
          <w:b w:val="0"/>
          <w:bCs/>
          <w:sz w:val="32"/>
          <w:szCs w:val="32"/>
          <w:shd w:val="clear" w:color="auto" w:fill="FFFFFF"/>
        </w:rPr>
        <w:t>比较情况</w:t>
      </w:r>
      <w:r>
        <w:rPr>
          <w:rStyle w:val="11"/>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本单位2024年度一般公共预算财政拨款支出主要用于以下几个方面：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（1）一般公共服务支出</w:t>
      </w:r>
      <w:r>
        <w:rPr>
          <w:rFonts w:ascii="Times New Roman" w:hAnsi="Times New Roman" w:eastAsia="方正仿宋_GBK" w:cs="方正仿宋_GBK"/>
          <w:sz w:val="32"/>
          <w:szCs w:val="32"/>
        </w:rPr>
        <w:t>591.23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24.18</w:t>
      </w:r>
      <w:r>
        <w:rPr>
          <w:rFonts w:ascii="Times New Roman" w:hAnsi="Times New Roman" w:eastAsia="方正仿宋_GBK" w:cs="方正仿宋_GBK"/>
          <w:sz w:val="32"/>
          <w:szCs w:val="32"/>
          <w:shd w:val="clear" w:color="auto" w:fill="FFFFFF"/>
        </w:rPr>
        <w:t>%，较年初预算数减少24.69万元，下降4.0%，主要原因是2024年度我单位退休2人，调出2人。</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（2）公共安全支出</w:t>
      </w:r>
      <w:r>
        <w:rPr>
          <w:rFonts w:ascii="Times New Roman" w:hAnsi="Times New Roman" w:eastAsia="方正仿宋_GBK" w:cs="方正仿宋_GBK"/>
          <w:sz w:val="32"/>
          <w:szCs w:val="32"/>
        </w:rPr>
        <w:t>1.70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0.07</w:t>
      </w:r>
      <w:r>
        <w:rPr>
          <w:rFonts w:ascii="Times New Roman" w:hAnsi="Times New Roman" w:eastAsia="方正仿宋_GBK" w:cs="方正仿宋_GBK"/>
          <w:sz w:val="32"/>
          <w:szCs w:val="32"/>
          <w:shd w:val="clear" w:color="auto" w:fill="FFFFFF"/>
        </w:rPr>
        <w:t>%，较年初预算数减少0.85万元，下降33.3%，主要原因是年底该项目资金未实现支付。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（3）文化旅游体育与传媒支出</w:t>
      </w:r>
      <w:r>
        <w:rPr>
          <w:rFonts w:ascii="Times New Roman" w:hAnsi="Times New Roman" w:eastAsia="方正仿宋_GBK" w:cs="方正仿宋_GBK"/>
          <w:sz w:val="32"/>
          <w:szCs w:val="32"/>
        </w:rPr>
        <w:t>7.78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0.32</w:t>
      </w:r>
      <w:r>
        <w:rPr>
          <w:rFonts w:ascii="Times New Roman" w:hAnsi="Times New Roman" w:eastAsia="方正仿宋_GBK" w:cs="方正仿宋_GBK"/>
          <w:sz w:val="32"/>
          <w:szCs w:val="32"/>
          <w:shd w:val="clear" w:color="auto" w:fill="FFFFFF"/>
        </w:rPr>
        <w:t>%，较年初预算数无增减，主要原因是2024年文化活动经费只有三馆一中心资金，资金实现安全支付。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（4）社会保障与就业支出</w:t>
      </w:r>
      <w:r>
        <w:rPr>
          <w:rFonts w:ascii="Times New Roman" w:hAnsi="Times New Roman" w:eastAsia="方正仿宋_GBK" w:cs="方正仿宋_GBK"/>
          <w:sz w:val="32"/>
          <w:szCs w:val="32"/>
        </w:rPr>
        <w:t>1001.04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40.94</w:t>
      </w:r>
      <w:r>
        <w:rPr>
          <w:rFonts w:ascii="Times New Roman" w:hAnsi="Times New Roman" w:eastAsia="方正仿宋_GBK" w:cs="方正仿宋_GBK"/>
          <w:sz w:val="32"/>
          <w:szCs w:val="32"/>
          <w:shd w:val="clear" w:color="auto" w:fill="FFFFFF"/>
        </w:rPr>
        <w:t>%，较年初预算数增加287.23万元，增长40.2%，主要原因是民政优抚低保资金追加预算，工资调标后社保缴费基数上调，社区干部工资及社保调标。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（5）卫生健康支出</w:t>
      </w:r>
      <w:r>
        <w:rPr>
          <w:rFonts w:ascii="Times New Roman" w:hAnsi="Times New Roman" w:eastAsia="方正仿宋_GBK" w:cs="方正仿宋_GBK"/>
          <w:sz w:val="32"/>
          <w:szCs w:val="32"/>
        </w:rPr>
        <w:t>32.03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1.31</w:t>
      </w:r>
      <w:r>
        <w:rPr>
          <w:rFonts w:ascii="Times New Roman" w:hAnsi="Times New Roman" w:eastAsia="方正仿宋_GBK" w:cs="方正仿宋_GBK"/>
          <w:sz w:val="32"/>
          <w:szCs w:val="32"/>
          <w:shd w:val="clear" w:color="auto" w:fill="FFFFFF"/>
        </w:rPr>
        <w:t>%，较年初预算数减少4.55万元，下降12.4%，主要原因是2024年度退休2人，调出2人，人员经费减少。</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（6）节能环保支出</w:t>
      </w:r>
      <w:r>
        <w:rPr>
          <w:rFonts w:ascii="Times New Roman" w:hAnsi="Times New Roman" w:eastAsia="方正仿宋_GBK" w:cs="方正仿宋_GBK"/>
          <w:sz w:val="32"/>
          <w:szCs w:val="32"/>
        </w:rPr>
        <w:t>195.30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7.99</w:t>
      </w:r>
      <w:r>
        <w:rPr>
          <w:rFonts w:ascii="Times New Roman" w:hAnsi="Times New Roman" w:eastAsia="方正仿宋_GBK" w:cs="方正仿宋_GBK"/>
          <w:sz w:val="32"/>
          <w:szCs w:val="32"/>
          <w:shd w:val="clear" w:color="auto" w:fill="FFFFFF"/>
        </w:rPr>
        <w:t>%，较年初预算数增加60.30万元，增长44.7%，主要原因是2024年度追加水体污染防治和林业生态保护资金预算。</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（7）城乡社区支出</w:t>
      </w:r>
      <w:r>
        <w:rPr>
          <w:rFonts w:ascii="Times New Roman" w:hAnsi="Times New Roman" w:eastAsia="方正仿宋_GBK" w:cs="方正仿宋_GBK"/>
          <w:sz w:val="32"/>
          <w:szCs w:val="32"/>
        </w:rPr>
        <w:t>20.80</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0.85</w:t>
      </w:r>
      <w:r>
        <w:rPr>
          <w:rFonts w:ascii="Times New Roman" w:hAnsi="Times New Roman" w:eastAsia="方正仿宋_GBK" w:cs="方正仿宋_GBK"/>
          <w:sz w:val="32"/>
          <w:szCs w:val="32"/>
          <w:shd w:val="clear" w:color="auto" w:fill="FFFFFF"/>
        </w:rPr>
        <w:t>%，较年初预算数增加10.00万元，增长92.6%，主要原因是2024年度将上年度人居环境整治资金支付。</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（8）农林水支出</w:t>
      </w:r>
      <w:r>
        <w:rPr>
          <w:rFonts w:ascii="Times New Roman" w:hAnsi="Times New Roman" w:eastAsia="方正仿宋_GBK" w:cs="方正仿宋_GBK"/>
          <w:sz w:val="32"/>
          <w:szCs w:val="32"/>
        </w:rPr>
        <w:t>394.96</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16.15</w:t>
      </w:r>
      <w:r>
        <w:rPr>
          <w:rFonts w:ascii="Times New Roman" w:hAnsi="Times New Roman" w:eastAsia="方正仿宋_GBK" w:cs="方正仿宋_GBK"/>
          <w:sz w:val="32"/>
          <w:szCs w:val="32"/>
          <w:shd w:val="clear" w:color="auto" w:fill="FFFFFF"/>
        </w:rPr>
        <w:t>%，较年初预算数增加147.82万元，增长59.8%，主要原因是2024年度追加农林水项目资金，村干部工资及社保缴费基数调标。</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（9）交通运输支出</w:t>
      </w:r>
      <w:r>
        <w:rPr>
          <w:rFonts w:ascii="Times New Roman" w:hAnsi="Times New Roman" w:eastAsia="方正仿宋_GBK" w:cs="方正仿宋_GBK"/>
          <w:sz w:val="32"/>
          <w:szCs w:val="32"/>
        </w:rPr>
        <w:t>117.68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4.81</w:t>
      </w:r>
      <w:r>
        <w:rPr>
          <w:rFonts w:ascii="Times New Roman" w:hAnsi="Times New Roman" w:eastAsia="方正仿宋_GBK" w:cs="方正仿宋_GBK"/>
          <w:sz w:val="32"/>
          <w:szCs w:val="32"/>
          <w:shd w:val="clear" w:color="auto" w:fill="FFFFFF"/>
        </w:rPr>
        <w:t>%，较年初预算数增加117.68万元，增长100.0%，主要原因是公路项目在上年未验收拨付，2024年度验收拨付农村公路建设资金。</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（10）</w:t>
      </w:r>
      <w:r>
        <w:rPr>
          <w:rFonts w:ascii="Times New Roman" w:hAnsi="Times New Roman" w:eastAsia="方正仿宋_GBK" w:cs="方正仿宋_GBK"/>
          <w:sz w:val="32"/>
          <w:szCs w:val="32"/>
        </w:rPr>
        <w:t>自然资源海洋气象等支出22.75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0.93</w:t>
      </w:r>
      <w:r>
        <w:rPr>
          <w:rFonts w:ascii="Times New Roman" w:hAnsi="Times New Roman" w:eastAsia="方正仿宋_GBK" w:cs="方正仿宋_GBK"/>
          <w:sz w:val="32"/>
          <w:szCs w:val="32"/>
          <w:shd w:val="clear" w:color="auto" w:fill="FFFFFF"/>
        </w:rPr>
        <w:t>%，较年初预算数增加15.93万元，增长233.6%，主要原因是2024年度验收拨付农村耕地流出恢复补足资金。</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（11）</w:t>
      </w:r>
      <w:r>
        <w:rPr>
          <w:rFonts w:ascii="Times New Roman" w:hAnsi="Times New Roman" w:eastAsia="方正仿宋_GBK" w:cs="方正仿宋_GBK"/>
          <w:sz w:val="32"/>
          <w:szCs w:val="32"/>
        </w:rPr>
        <w:t>住房保障支出43.21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1.77</w:t>
      </w:r>
      <w:r>
        <w:rPr>
          <w:rFonts w:ascii="Times New Roman" w:hAnsi="Times New Roman" w:eastAsia="方正仿宋_GBK" w:cs="方正仿宋_GBK"/>
          <w:sz w:val="32"/>
          <w:szCs w:val="32"/>
          <w:shd w:val="clear" w:color="auto" w:fill="FFFFFF"/>
        </w:rPr>
        <w:t>%，较年初预算数增加4.61万元，增长11.9%，主要原因是工资调标，住房公积金清算追加资金。</w:t>
      </w:r>
    </w:p>
    <w:p>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（12）</w:t>
      </w:r>
      <w:r>
        <w:rPr>
          <w:rFonts w:ascii="Times New Roman" w:hAnsi="Times New Roman" w:eastAsia="方正仿宋_GBK" w:cs="方正仿宋_GBK"/>
          <w:sz w:val="32"/>
          <w:szCs w:val="32"/>
        </w:rPr>
        <w:t>灾害防治及应急管理支出16.55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0.68</w:t>
      </w:r>
      <w:r>
        <w:rPr>
          <w:rFonts w:ascii="Times New Roman" w:hAnsi="Times New Roman" w:eastAsia="方正仿宋_GBK" w:cs="方正仿宋_GBK"/>
          <w:sz w:val="32"/>
          <w:szCs w:val="32"/>
          <w:shd w:val="clear" w:color="auto" w:fill="FFFFFF"/>
        </w:rPr>
        <w:t>%，较年初预算数增加13.35万元，增长417.2%，主要原因是2024年度新增冬春救助、自然灾害等救助资金。</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697.04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508.17</w:t>
      </w:r>
      <w:r>
        <w:rPr>
          <w:rFonts w:ascii="Times New Roman" w:hAnsi="Times New Roman" w:eastAsia="方正仿宋_GBK" w:cs="方正仿宋_GBK"/>
          <w:sz w:val="32"/>
          <w:szCs w:val="32"/>
          <w:shd w:val="clear" w:color="auto" w:fill="FFFFFF"/>
        </w:rPr>
        <w:t>万元，与2023年度相比，增加10.99万元，增长2.2%，主要原因是工资调标，社保缴费基数上调，人员经费增加。人员经费用途主要包括</w:t>
      </w:r>
      <w:r>
        <w:rPr>
          <w:rFonts w:ascii="Times New Roman" w:hAnsi="Times New Roman" w:eastAsia="方正仿宋_GBK" w:cs="方正仿宋_GBK"/>
          <w:sz w:val="32"/>
        </w:rPr>
        <w:t>职工统发工资、职工考核、社会保险缴费及住房公积金等。</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188.87</w:t>
      </w:r>
      <w:r>
        <w:rPr>
          <w:rFonts w:ascii="Times New Roman" w:hAnsi="Times New Roman" w:eastAsia="方正仿宋_GBK" w:cs="方正仿宋_GBK"/>
          <w:sz w:val="32"/>
          <w:szCs w:val="32"/>
          <w:shd w:val="clear" w:color="auto" w:fill="FFFFFF"/>
        </w:rPr>
        <w:t>万元，与2023年度相比，增加2.92万元，增长1.6%，主要原因是上年度未实现支付的部分公用经费在本年度支付。公用经费用途主要包括</w:t>
      </w:r>
      <w:r>
        <w:rPr>
          <w:rFonts w:ascii="Times New Roman" w:hAnsi="Times New Roman" w:eastAsia="方正仿宋_GBK" w:cs="方正仿宋_GBK"/>
          <w:sz w:val="32"/>
          <w:szCs w:val="32"/>
        </w:rPr>
        <w:t>办公费、差旅费、咨询费、水电费、维修（护）费、劳务费、广告费等。</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万元。本年收入</w:t>
      </w:r>
      <w:r>
        <w:rPr>
          <w:rFonts w:ascii="Times New Roman" w:hAnsi="Times New Roman" w:eastAsia="方正仿宋_GBK" w:cs="方正仿宋_GBK"/>
          <w:sz w:val="32"/>
          <w:szCs w:val="32"/>
        </w:rPr>
        <w:t>55.79</w:t>
      </w:r>
      <w:r>
        <w:rPr>
          <w:rFonts w:ascii="Times New Roman" w:hAnsi="Times New Roman" w:eastAsia="方正仿宋_GBK" w:cs="方正仿宋_GBK"/>
          <w:sz w:val="32"/>
          <w:szCs w:val="32"/>
          <w:shd w:val="clear" w:color="auto" w:fill="FFFFFF"/>
        </w:rPr>
        <w:t>万元，与2023年度相比，增加16.57万元，增长42.3%，主要原因是2024年度追加彩票公益金项目支出。本年支出</w:t>
      </w:r>
      <w:r>
        <w:rPr>
          <w:rFonts w:ascii="Times New Roman" w:hAnsi="Times New Roman" w:eastAsia="方正仿宋_GBK" w:cs="方正仿宋_GBK"/>
          <w:sz w:val="32"/>
          <w:szCs w:val="32"/>
        </w:rPr>
        <w:t>55.79</w:t>
      </w:r>
      <w:r>
        <w:rPr>
          <w:rFonts w:ascii="Times New Roman" w:hAnsi="Times New Roman" w:eastAsia="方正仿宋_GBK" w:cs="方正仿宋_GBK"/>
          <w:sz w:val="32"/>
          <w:szCs w:val="32"/>
          <w:shd w:val="clear" w:color="auto" w:fill="FFFFFF"/>
        </w:rPr>
        <w:t>万元，与2023年度相比，增加16.57万元，增长42.3%，主要原因是2024年度追加彩票公益金项目支出。</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本单位2024年度无国有资本经营预算财政拨款支出。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三、财政拨款“三公”经费情况说明</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6.33</w:t>
      </w:r>
      <w:r>
        <w:rPr>
          <w:rFonts w:ascii="Times New Roman" w:hAnsi="Times New Roman" w:eastAsia="方正仿宋_GBK" w:cs="方正仿宋_GBK"/>
          <w:sz w:val="32"/>
          <w:szCs w:val="32"/>
          <w:shd w:val="clear" w:color="auto" w:fill="FFFFFF"/>
        </w:rPr>
        <w:t>万元，较年初预算数减少3.73万元，下降37.1%，主要原因是机关厉行节约，压减了三公经费支出。较上年支出数增加4.92万元，增长348.9%，主要原因是2024年度公车维修费及保险费增加，公务接待次数增多，公务接待费增加。</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万元，费用支出较年初预算数无增减，较上年支出数无增减，主要原因是2024年度本单位没有发生因公出国（境）费用。</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万元，费用支出较年初预算数无增减，较上年支出数无增减，主要原因是2024年度未购置公务用车。</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2.59</w:t>
      </w:r>
      <w:r>
        <w:rPr>
          <w:rFonts w:ascii="Times New Roman" w:hAnsi="Times New Roman" w:eastAsia="方正仿宋_GBK" w:cs="方正仿宋_GBK"/>
          <w:sz w:val="32"/>
          <w:szCs w:val="32"/>
          <w:shd w:val="clear" w:color="auto" w:fill="FFFFFF"/>
        </w:rPr>
        <w:t>万元，主要用于公务车保险费、油费及日常维修维护费。费用支出较年初预算数减少4.11万元，下降61.3%，主要原因是厉行节约，压减公务车运行维护费。较上年支出数增加2.11万元，增长439.6%，主要原因是2024年度公车维修费及保险费增加。</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3.74</w:t>
      </w:r>
      <w:r>
        <w:rPr>
          <w:rFonts w:ascii="Times New Roman" w:hAnsi="Times New Roman" w:eastAsia="方正仿宋_GBK" w:cs="方正仿宋_GBK"/>
          <w:sz w:val="32"/>
          <w:szCs w:val="32"/>
          <w:shd w:val="clear" w:color="auto" w:fill="FFFFFF"/>
        </w:rPr>
        <w:t>万元，主要用于接待上级单位来我单位调研、考察、检查等支出。费用支出较年初预算数增加0.37万元，增长11.0%，主要原因是上年未实现支付的部分公务接待费在本年支付。较上年支出数增加2.81万元，增长302.2%，主要原因是上年未实现支付的部分公务接待费在本年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125</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747</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50.05</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1.30</w:t>
      </w:r>
      <w:r>
        <w:rPr>
          <w:rFonts w:ascii="Times New Roman" w:hAnsi="Times New Roman" w:eastAsia="方正仿宋_GBK" w:cs="方正仿宋_GBK"/>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四、其他需要说明的事项</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0.80</w:t>
      </w:r>
      <w:r>
        <w:rPr>
          <w:rFonts w:ascii="Times New Roman" w:hAnsi="Times New Roman" w:eastAsia="方正仿宋_GBK" w:cs="方正仿宋_GBK"/>
          <w:sz w:val="32"/>
          <w:szCs w:val="32"/>
          <w:shd w:val="clear" w:color="auto" w:fill="FFFFFF"/>
        </w:rPr>
        <w:t>万元，与2023年度相比，减少2.47万元，下降75.5%，主要原因是本年度会议次数减少，会议费减少。本年度培训费支出</w:t>
      </w:r>
      <w:r>
        <w:rPr>
          <w:rFonts w:ascii="Times New Roman" w:hAnsi="Times New Roman" w:eastAsia="方正仿宋_GBK" w:cs="方正仿宋_GBK"/>
          <w:sz w:val="32"/>
          <w:szCs w:val="32"/>
        </w:rPr>
        <w:t>1.45</w:t>
      </w:r>
      <w:r>
        <w:rPr>
          <w:rFonts w:ascii="Times New Roman" w:hAnsi="Times New Roman" w:eastAsia="方正仿宋_GBK" w:cs="方正仿宋_GBK"/>
          <w:sz w:val="32"/>
          <w:szCs w:val="32"/>
          <w:shd w:val="clear" w:color="auto" w:fill="FFFFFF"/>
        </w:rPr>
        <w:t>万元，与2023年度相比，无增减，主要原因是本年度未增加职工培训次数。</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2024年度本单位机关运行经费支出</w:t>
      </w:r>
      <w:r>
        <w:rPr>
          <w:rFonts w:ascii="Times New Roman" w:hAnsi="Times New Roman" w:eastAsia="方正仿宋_GBK" w:cs="方正仿宋_GBK"/>
          <w:sz w:val="32"/>
          <w:szCs w:val="32"/>
        </w:rPr>
        <w:t>188.87</w:t>
      </w:r>
      <w:r>
        <w:rPr>
          <w:rFonts w:ascii="Times New Roman" w:hAnsi="Times New Roman" w:eastAsia="方正仿宋_GBK" w:cs="方正仿宋_GBK"/>
          <w:sz w:val="32"/>
          <w:szCs w:val="32"/>
          <w:shd w:val="clear" w:color="auto" w:fill="FFFFFF"/>
        </w:rPr>
        <w:t>万元，机关运行经费主要用于开支机关</w:t>
      </w:r>
      <w:r>
        <w:rPr>
          <w:rFonts w:ascii="Times New Roman" w:hAnsi="Times New Roman" w:eastAsia="方正仿宋_GBK" w:cs="方正仿宋_GBK"/>
          <w:sz w:val="32"/>
          <w:szCs w:val="32"/>
        </w:rPr>
        <w:t>办公费、差旅费、咨询费、水电费、维修（护）费、劳务费、广告费等</w:t>
      </w:r>
      <w:r>
        <w:rPr>
          <w:rFonts w:ascii="Times New Roman" w:hAnsi="Times New Roman" w:eastAsia="方正仿宋_GBK" w:cs="方正仿宋_GBK"/>
          <w:sz w:val="32"/>
          <w:szCs w:val="32"/>
          <w:shd w:val="clear" w:color="auto" w:fill="FFFFFF"/>
        </w:rPr>
        <w:t>必要支出。机关运行经费较上年支出数增加2.92万元，增长1.6%，主要原因是上年度未实现支付的部分公用经费在本年度支付。</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2</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13"/>
        <w:keepNext w:val="0"/>
        <w:keepLines w:val="0"/>
        <w:pageBreakBefore w:val="0"/>
        <w:kinsoku/>
        <w:wordWrap/>
        <w:overflowPunct/>
        <w:topLinePunct w:val="0"/>
        <w:autoSpaceDE w:val="0"/>
        <w:autoSpaceDN/>
        <w:bidi w:val="0"/>
        <w:adjustRightInd/>
        <w:spacing w:beforeAutospacing="0" w:afterAutospacing="0" w:line="578" w:lineRule="exact"/>
        <w:ind w:firstLine="643"/>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0.00万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%。2024年度我单位未发生政府采购事项，无相关经费支出。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五、</w:t>
      </w:r>
      <w:r>
        <w:rPr>
          <w:rFonts w:hint="default" w:ascii="方正黑体_GBK" w:hAnsi="方正黑体_GBK" w:eastAsia="方正黑体_GBK" w:cs="方正黑体_GBK"/>
          <w:b w:val="0"/>
          <w:bCs w:val="0"/>
          <w:kern w:val="2"/>
          <w:sz w:val="32"/>
          <w:szCs w:val="22"/>
          <w:lang w:val="en-US" w:eastAsia="zh-CN" w:bidi="ar-SA"/>
        </w:rPr>
        <w:t>2024</w:t>
      </w:r>
      <w:r>
        <w:rPr>
          <w:rFonts w:hint="eastAsia" w:ascii="方正黑体_GBK" w:hAnsi="方正黑体_GBK" w:eastAsia="方正黑体_GBK" w:cs="方正黑体_GBK"/>
          <w:b w:val="0"/>
          <w:bCs w:val="0"/>
          <w:kern w:val="2"/>
          <w:sz w:val="32"/>
          <w:szCs w:val="22"/>
          <w:lang w:val="en-US" w:eastAsia="zh-CN" w:bidi="ar-SA"/>
        </w:rPr>
        <w:t>年度预算绩效管理情况说明</w:t>
      </w:r>
    </w:p>
    <w:p>
      <w:pPr>
        <w:pStyle w:val="14"/>
        <w:keepNext w:val="0"/>
        <w:keepLines w:val="0"/>
        <w:pageBreakBefore w:val="0"/>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（一）单位自评情况</w:t>
      </w:r>
    </w:p>
    <w:p>
      <w:pPr>
        <w:pStyle w:val="14"/>
        <w:keepNext w:val="0"/>
        <w:keepLines w:val="0"/>
        <w:pageBreakBefore w:val="0"/>
        <w:kinsoku/>
        <w:wordWrap/>
        <w:overflowPunct/>
        <w:topLinePunct w:val="0"/>
        <w:autoSpaceDE w:val="0"/>
        <w:autoSpaceDN/>
        <w:bidi w:val="0"/>
        <w:adjustRightInd/>
        <w:spacing w:before="0" w:beforeAutospacing="0" w:after="0" w:afterAutospacing="0" w:line="578" w:lineRule="exact"/>
        <w:ind w:firstLine="640" w:firstLineChars="200"/>
        <w:textAlignment w:val="auto"/>
        <w:rPr>
          <w:rFonts w:hint="eastAsia" w:ascii="Times New Roman" w:hAnsi="Times New Roman" w:eastAsia="方正仿宋_GBK" w:cs="方正仿宋_GBK"/>
          <w:sz w:val="32"/>
          <w:szCs w:val="32"/>
          <w:shd w:val="clear" w:color="auto" w:fill="FFFFFF"/>
        </w:rPr>
        <w:sectPr>
          <w:headerReference r:id="rId3" w:type="default"/>
          <w:footerReference r:id="rId4" w:type="default"/>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sz w:val="32"/>
          <w:szCs w:val="32"/>
          <w:shd w:val="clear" w:color="auto" w:fill="FFFFFF"/>
        </w:rPr>
        <w:t>根据预算绩效管理要求，我单位对111个二级项目开展了绩效自评，涉及财政拨款项目支出资金1803.78万元。</w:t>
      </w:r>
    </w:p>
    <w:tbl>
      <w:tblPr>
        <w:tblStyle w:val="8"/>
        <w:tblW w:w="15508" w:type="dxa"/>
        <w:tblInd w:w="0" w:type="dxa"/>
        <w:tblLayout w:type="fixed"/>
        <w:tblCellMar>
          <w:top w:w="0" w:type="dxa"/>
          <w:left w:w="108" w:type="dxa"/>
          <w:bottom w:w="0" w:type="dxa"/>
          <w:right w:w="108" w:type="dxa"/>
        </w:tblCellMar>
      </w:tblPr>
      <w:tblGrid>
        <w:gridCol w:w="2221"/>
        <w:gridCol w:w="1789"/>
        <w:gridCol w:w="1782"/>
        <w:gridCol w:w="1487"/>
        <w:gridCol w:w="1124"/>
        <w:gridCol w:w="1305"/>
        <w:gridCol w:w="1397"/>
        <w:gridCol w:w="1030"/>
        <w:gridCol w:w="943"/>
        <w:gridCol w:w="1306"/>
        <w:gridCol w:w="1124"/>
      </w:tblGrid>
      <w:tr>
        <w:tblPrEx>
          <w:tblCellMar>
            <w:top w:w="0" w:type="dxa"/>
            <w:left w:w="108" w:type="dxa"/>
            <w:bottom w:w="0" w:type="dxa"/>
            <w:right w:w="108" w:type="dxa"/>
          </w:tblCellMar>
        </w:tblPrEx>
        <w:trPr>
          <w:trHeight w:val="8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Times New Roman" w:hAnsi="Times New Roman" w:eastAsia="微软雅黑" w:cs="微软雅黑"/>
                <w:b/>
                <w:bCs/>
                <w:color w:val="000000"/>
                <w:sz w:val="40"/>
                <w:szCs w:val="40"/>
              </w:rPr>
            </w:pPr>
            <w:r>
              <w:rPr>
                <w:rFonts w:hint="eastAsia" w:ascii="Times New Roman" w:hAnsi="Times New Roman" w:eastAsia="方正小标宋_GBK" w:cs="方正小标宋_GBK"/>
                <w:b w:val="0"/>
                <w:bCs w:val="0"/>
                <w:color w:val="000000"/>
                <w:sz w:val="40"/>
                <w:szCs w:val="40"/>
              </w:rPr>
              <w:t>2024年度二级项目绩效自评表</w:t>
            </w:r>
          </w:p>
        </w:tc>
      </w:tr>
      <w:tr>
        <w:tblPrEx>
          <w:tblCellMar>
            <w:top w:w="0" w:type="dxa"/>
            <w:left w:w="108" w:type="dxa"/>
            <w:bottom w:w="0" w:type="dxa"/>
            <w:right w:w="108" w:type="dxa"/>
          </w:tblCellMar>
        </w:tblPrEx>
        <w:trPr>
          <w:trHeight w:val="5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default" w:ascii="Times New Roman" w:hAnsi="Times New Roman" w:cs="宋体"/>
                <w:b/>
                <w:bCs/>
                <w:color w:val="DA3232"/>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项目名称：</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2023年中央自然灾害救灾资金（地灾）</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项目编码</w:t>
            </w:r>
            <w:r>
              <w:rPr>
                <w:rFonts w:hint="eastAsia" w:ascii="Times New Roman" w:hAnsi="Times New Roman" w:eastAsia="方正仿宋_GBK" w:cs="方正仿宋_GBK"/>
                <w:b w:val="0"/>
                <w:bCs w:val="0"/>
                <w:color w:val="auto"/>
                <w:sz w:val="22"/>
                <w:szCs w:val="22"/>
              </w:rPr>
              <w:t>状态：业务审核已审</w:t>
            </w:r>
            <w:r>
              <w:rPr>
                <w:rFonts w:hint="eastAsia" w:ascii="Times New Roman" w:hAnsi="Times New Roman" w:eastAsia="方正仿宋_GBK" w:cs="方正仿宋_GBK"/>
                <w:b w:val="0"/>
                <w:bCs w:val="0"/>
                <w:color w:val="000000"/>
                <w:sz w:val="22"/>
                <w:szCs w:val="22"/>
              </w:rPr>
              <w:t>：</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50023524T000004478130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自评总分：</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项目主管部门：</w:t>
            </w:r>
          </w:p>
        </w:tc>
        <w:tc>
          <w:tcPr>
            <w:tcW w:w="3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916-蔈草镇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财政归口处室：</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001-预算科</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部门联系人：</w:t>
            </w:r>
          </w:p>
        </w:tc>
        <w:tc>
          <w:tcPr>
            <w:tcW w:w="19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邓高凤</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联系电话：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55328010</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资金情况</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年初预算数</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全年（调整）预算数</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全年执行数</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执行率权重</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执行率得分</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年度总金额</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其中：财政拨款</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10.00</w:t>
            </w:r>
          </w:p>
        </w:tc>
      </w:tr>
      <w:tr>
        <w:tblPrEx>
          <w:tblCellMar>
            <w:top w:w="0" w:type="dxa"/>
            <w:left w:w="108" w:type="dxa"/>
            <w:bottom w:w="0" w:type="dxa"/>
            <w:right w:w="108" w:type="dxa"/>
          </w:tblCellMar>
        </w:tblPrEx>
        <w:trPr>
          <w:trHeight w:val="500"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一般公共预算</w:t>
            </w:r>
          </w:p>
        </w:tc>
        <w:tc>
          <w:tcPr>
            <w:tcW w:w="32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0.00</w:t>
            </w:r>
          </w:p>
        </w:tc>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30,000.00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100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b w:val="0"/>
                <w:bCs w:val="0"/>
                <w:color w:val="000000"/>
                <w:sz w:val="22"/>
                <w:szCs w:val="22"/>
              </w:rPr>
            </w:pP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绩效目标</w:t>
            </w:r>
          </w:p>
        </w:tc>
      </w:tr>
      <w:tr>
        <w:tblPrEx>
          <w:tblCellMar>
            <w:top w:w="0" w:type="dxa"/>
            <w:left w:w="108" w:type="dxa"/>
            <w:bottom w:w="0" w:type="dxa"/>
            <w:right w:w="108" w:type="dxa"/>
          </w:tblCellMar>
        </w:tblPrEx>
        <w:trPr>
          <w:trHeight w:val="5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年初绩效目标</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全年（调整）绩效目标</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全年目标实际完成情况</w:t>
            </w:r>
          </w:p>
        </w:tc>
      </w:tr>
      <w:tr>
        <w:tblPrEx>
          <w:tblCellMar>
            <w:top w:w="0" w:type="dxa"/>
            <w:left w:w="108" w:type="dxa"/>
            <w:bottom w:w="0" w:type="dxa"/>
            <w:right w:w="108" w:type="dxa"/>
          </w:tblCellMar>
        </w:tblPrEx>
        <w:trPr>
          <w:trHeight w:val="1600" w:hRule="atLeast"/>
        </w:trPr>
        <w:tc>
          <w:tcPr>
            <w:tcW w:w="7279"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c>
          <w:tcPr>
            <w:tcW w:w="4856"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c>
          <w:tcPr>
            <w:tcW w:w="337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专项用于地质灾害应急抢险救援等工作。</w:t>
            </w:r>
          </w:p>
        </w:tc>
      </w:tr>
      <w:tr>
        <w:tblPrEx>
          <w:tblCellMar>
            <w:top w:w="0" w:type="dxa"/>
            <w:left w:w="108" w:type="dxa"/>
            <w:bottom w:w="0" w:type="dxa"/>
            <w:right w:w="108" w:type="dxa"/>
          </w:tblCellMar>
        </w:tblPrEx>
        <w:trPr>
          <w:trHeight w:val="600"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808080"/>
                <w:sz w:val="28"/>
                <w:szCs w:val="28"/>
              </w:rPr>
            </w:pPr>
            <w:r>
              <w:rPr>
                <w:rFonts w:hint="eastAsia" w:ascii="Times New Roman" w:hAnsi="Times New Roman" w:eastAsia="方正仿宋_GBK" w:cs="方正仿宋_GBK"/>
                <w:b w:val="0"/>
                <w:bCs w:val="0"/>
                <w:color w:val="auto"/>
                <w:sz w:val="28"/>
                <w:szCs w:val="28"/>
              </w:rPr>
              <w:t>绩效指标</w:t>
            </w: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bookmarkStart w:id="0" w:name="_GoBack" w:colFirst="10" w:colLast="0"/>
            <w:r>
              <w:rPr>
                <w:rFonts w:hint="eastAsia" w:ascii="Times New Roman" w:hAnsi="Times New Roman" w:eastAsia="方正仿宋_GBK" w:cs="方正仿宋_GBK"/>
                <w:b w:val="0"/>
                <w:bCs w:val="0"/>
                <w:color w:val="000000"/>
                <w:sz w:val="22"/>
                <w:szCs w:val="22"/>
              </w:rPr>
              <w:t>指标名称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计量单位</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指标性质</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全年完成值</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偏离度（%）</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得分系数（%）</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指标权重</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指标得分</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是否核心指标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eastAsia" w:ascii="Times New Roman" w:hAnsi="Times New Roman" w:eastAsia="方正仿宋_GBK" w:cs="方正仿宋_GBK"/>
                <w:b w:val="0"/>
                <w:bCs w:val="0"/>
                <w:color w:val="000000"/>
                <w:sz w:val="22"/>
                <w:szCs w:val="22"/>
              </w:rPr>
            </w:pPr>
            <w:r>
              <w:rPr>
                <w:rFonts w:hint="eastAsia" w:ascii="Times New Roman" w:hAnsi="Times New Roman" w:eastAsia="方正仿宋_GBK" w:cs="方正仿宋_GBK"/>
                <w:b w:val="0"/>
                <w:bCs w:val="0"/>
                <w:color w:val="000000"/>
                <w:sz w:val="22"/>
                <w:szCs w:val="22"/>
              </w:rPr>
              <w:t>说明</w:t>
            </w:r>
          </w:p>
        </w:tc>
      </w:tr>
      <w:bookmarkEnd w:id="0"/>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安全转移群众人数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地质灾害补助人数</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是</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资金按规定发放率</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改善群众生产生活安全</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定性</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有效改善</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20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r>
        <w:tblPrEx>
          <w:tblCellMar>
            <w:top w:w="0" w:type="dxa"/>
            <w:left w:w="108" w:type="dxa"/>
            <w:bottom w:w="0" w:type="dxa"/>
            <w:right w:w="108" w:type="dxa"/>
          </w:tblCellMar>
        </w:tblPrEx>
        <w:trPr>
          <w:trHeight w:val="500" w:hRule="atLeast"/>
        </w:trPr>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群众满意度</w:t>
            </w:r>
          </w:p>
        </w:tc>
        <w:tc>
          <w:tcPr>
            <w:tcW w:w="1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90</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90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100</w:t>
            </w:r>
          </w:p>
        </w:tc>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10</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center"/>
              <w:textAlignment w:val="center"/>
              <w:rPr>
                <w:rFonts w:hint="eastAsia" w:ascii="Times New Roman" w:hAnsi="Times New Roman" w:eastAsia="方正仿宋_GBK" w:cs="方正仿宋_GBK"/>
                <w:color w:val="000000"/>
                <w:sz w:val="22"/>
                <w:szCs w:val="22"/>
              </w:rPr>
            </w:pPr>
            <w:r>
              <w:rPr>
                <w:rFonts w:hint="eastAsia" w:ascii="Times New Roman" w:hAnsi="Times New Roman" w:eastAsia="方正仿宋_GBK" w:cs="方正仿宋_GBK"/>
                <w:color w:val="000000"/>
                <w:sz w:val="22"/>
                <w:szCs w:val="22"/>
              </w:rPr>
              <w:t>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imes New Roman" w:hAnsi="Times New Roman" w:eastAsia="方正仿宋_GBK" w:cs="方正仿宋_GBK"/>
                <w:color w:val="000000"/>
                <w:sz w:val="22"/>
                <w:szCs w:val="22"/>
              </w:rPr>
            </w:pPr>
          </w:p>
        </w:tc>
      </w:tr>
    </w:tbl>
    <w:p>
      <w:pPr>
        <w:pStyle w:val="14"/>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rPr>
        <w:sectPr>
          <w:pgSz w:w="16783" w:h="11850" w:orient="landscape"/>
          <w:pgMar w:top="567" w:right="454" w:bottom="567" w:left="1037" w:header="0" w:footer="283" w:gutter="0"/>
          <w:pgNumType w:fmt="decimal"/>
          <w:cols w:space="720" w:num="1"/>
          <w:docGrid w:type="lines" w:linePitch="326" w:charSpace="0"/>
        </w:sectPr>
      </w:pPr>
    </w:p>
    <w:p>
      <w:pPr>
        <w:pStyle w:val="14"/>
        <w:autoSpaceDE w:val="0"/>
        <w:spacing w:before="0" w:beforeAutospacing="0" w:after="0" w:afterAutospacing="0" w:line="596" w:lineRule="exact"/>
        <w:ind w:firstLine="640" w:firstLineChars="200"/>
        <w:rPr>
          <w:rFonts w:hint="eastAsia"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（二）部门绩效评价情况</w:t>
      </w:r>
    </w:p>
    <w:p>
      <w:pPr>
        <w:pStyle w:val="16"/>
        <w:autoSpaceDE w:val="0"/>
        <w:ind w:firstLine="960" w:firstLineChars="3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我单位未组织开展部门绩效评价。</w:t>
      </w:r>
    </w:p>
    <w:p>
      <w:pPr>
        <w:pStyle w:val="18"/>
        <w:autoSpaceDE w:val="0"/>
        <w:spacing w:line="596" w:lineRule="exact"/>
        <w:ind w:firstLine="643"/>
        <w:rPr>
          <w:rFonts w:hint="default" w:ascii="Times New Roman" w:hAnsi="Times New Roman" w:eastAsia="方正楷体_GBK" w:cs="方正楷体_GBK"/>
          <w:b w:val="0"/>
          <w:bCs w:val="0"/>
          <w:kern w:val="2"/>
          <w:sz w:val="32"/>
          <w:szCs w:val="32"/>
          <w:lang w:val="en-US" w:eastAsia="zh-CN" w:bidi="ar-SA"/>
        </w:rPr>
      </w:pPr>
      <w:r>
        <w:rPr>
          <w:rFonts w:hint="eastAsia" w:ascii="Times New Roman" w:hAnsi="Times New Roman" w:eastAsia="方正楷体_GBK" w:cs="方正楷体_GBK"/>
          <w:b w:val="0"/>
          <w:bCs w:val="0"/>
          <w:kern w:val="2"/>
          <w:sz w:val="32"/>
          <w:szCs w:val="32"/>
          <w:lang w:val="en-US" w:eastAsia="zh-CN" w:bidi="ar-SA"/>
        </w:rPr>
        <w:t>（三）财政绩效评价情况</w:t>
      </w:r>
    </w:p>
    <w:p>
      <w:pPr>
        <w:pStyle w:val="16"/>
        <w:autoSpaceDE w:val="0"/>
        <w:ind w:firstLine="64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县财政局未委托第三方对我单位开展绩效评价。</w:t>
      </w:r>
    </w:p>
    <w:p>
      <w:pPr>
        <w:pStyle w:val="14"/>
        <w:autoSpaceDE w:val="0"/>
        <w:spacing w:before="0" w:beforeAutospacing="0" w:after="0" w:afterAutospacing="0" w:line="596" w:lineRule="exact"/>
        <w:ind w:firstLine="640" w:firstLineChars="200"/>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六、专业名词解释</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hint="eastAsia" w:ascii="Times New Roman" w:hAnsi="Times New Roman" w:eastAsia="方正仿宋_GBK" w:cs="方正仿宋_GBK"/>
          <w:sz w:val="32"/>
          <w:szCs w:val="32"/>
          <w:shd w:val="clear" w:color="auto" w:fill="FFFFFF"/>
        </w:rPr>
        <w:t>指本年度从本级财政部门取得的财政拨款，包括一般公共预算财政拨款和政府性基金预算财政拨款。</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4"/>
        <w:spacing w:before="0" w:beforeAutospacing="0" w:after="0" w:afterAutospacing="0" w:line="596"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4"/>
        <w:spacing w:before="0" w:beforeAutospacing="0" w:after="0" w:afterAutospacing="0" w:line="596" w:lineRule="exact"/>
        <w:ind w:firstLine="640" w:firstLineChars="200"/>
        <w:jc w:val="both"/>
        <w:rPr>
          <w:rFonts w:hint="eastAsia" w:ascii="方正黑体_GBK" w:hAnsi="方正黑体_GBK" w:eastAsia="方正黑体_GBK" w:cs="方正黑体_GBK"/>
          <w:b w:val="0"/>
          <w:bCs w:val="0"/>
          <w:kern w:val="2"/>
          <w:sz w:val="32"/>
          <w:szCs w:val="22"/>
          <w:lang w:val="en-US" w:eastAsia="zh-CN" w:bidi="ar-SA"/>
        </w:rPr>
      </w:pPr>
      <w:r>
        <w:rPr>
          <w:rFonts w:hint="eastAsia" w:ascii="方正黑体_GBK" w:hAnsi="方正黑体_GBK" w:eastAsia="方正黑体_GBK" w:cs="方正黑体_GBK"/>
          <w:b w:val="0"/>
          <w:bCs w:val="0"/>
          <w:kern w:val="2"/>
          <w:sz w:val="32"/>
          <w:szCs w:val="22"/>
          <w:lang w:val="en-US" w:eastAsia="zh-CN" w:bidi="ar-SA"/>
        </w:rPr>
        <w:t>七、决算公开联系方式及信息反馈渠道</w:t>
      </w:r>
    </w:p>
    <w:p>
      <w:pPr>
        <w:pStyle w:val="14"/>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lang w:eastAsia="zh-CN"/>
        </w:rPr>
        <w:sectPr>
          <w:pgSz w:w="11850" w:h="16783"/>
          <w:pgMar w:top="2098" w:right="1531" w:bottom="1984" w:left="1531" w:header="850" w:footer="1474" w:gutter="0"/>
          <w:pgNumType w:fmt="decimal"/>
          <w:cols w:space="720" w:num="1"/>
          <w:docGrid w:type="lines" w:linePitch="326" w:charSpace="0"/>
        </w:sectPr>
      </w:pPr>
      <w:r>
        <w:rPr>
          <w:rFonts w:hint="eastAsia" w:ascii="Times New Roman" w:hAnsi="Times New Roman" w:eastAsia="方正仿宋_GBK" w:cs="方正仿宋_GBK"/>
          <w:sz w:val="32"/>
          <w:szCs w:val="32"/>
          <w:shd w:val="clear" w:color="auto" w:fill="FFFFFF"/>
        </w:rPr>
        <w:t>本单位决算公开信息反馈和联系方式：周川洁  023-55328010</w:t>
      </w:r>
      <w:r>
        <w:rPr>
          <w:rFonts w:hint="eastAsia" w:ascii="Times New Roman" w:hAnsi="Times New Roman" w:eastAsia="方正仿宋_GBK" w:cs="方正仿宋_GBK"/>
          <w:sz w:val="32"/>
          <w:szCs w:val="32"/>
          <w:shd w:val="clear" w:color="auto" w:fill="FFFFFF"/>
          <w:lang w:eastAsia="zh-CN"/>
        </w:rPr>
        <w:t>。</w:t>
      </w:r>
    </w:p>
    <w:tbl>
      <w:tblPr>
        <w:tblStyle w:val="8"/>
        <w:tblpPr w:leftFromText="180" w:rightFromText="180" w:vertAnchor="text" w:horzAnchor="page" w:tblpX="1058" w:tblpY="22"/>
        <w:tblOverlap w:val="never"/>
        <w:tblW w:w="15312" w:type="dxa"/>
        <w:tblInd w:w="0" w:type="dxa"/>
        <w:tblLayout w:type="fixed"/>
        <w:tblCellMar>
          <w:top w:w="0" w:type="dxa"/>
          <w:left w:w="0" w:type="dxa"/>
          <w:bottom w:w="0" w:type="dxa"/>
          <w:right w:w="0" w:type="dxa"/>
        </w:tblCellMar>
      </w:tblPr>
      <w:tblGrid>
        <w:gridCol w:w="4294"/>
        <w:gridCol w:w="3558"/>
        <w:gridCol w:w="4044"/>
        <w:gridCol w:w="3416"/>
      </w:tblGrid>
      <w:tr>
        <w:tblPrEx>
          <w:tblCellMar>
            <w:top w:w="0" w:type="dxa"/>
            <w:left w:w="0" w:type="dxa"/>
            <w:bottom w:w="0" w:type="dxa"/>
            <w:right w:w="0" w:type="dxa"/>
          </w:tblCellMar>
        </w:tblPrEx>
        <w:trPr>
          <w:trHeight w:val="232" w:hRule="atLeast"/>
        </w:trPr>
        <w:tc>
          <w:tcPr>
            <w:tcW w:w="1531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val="0"/>
                <w:bCs/>
                <w:color w:val="000000"/>
                <w:sz w:val="32"/>
                <w:szCs w:val="32"/>
              </w:rPr>
            </w:pPr>
            <w:r>
              <w:rPr>
                <w:rFonts w:hint="eastAsia" w:ascii="方正小标宋_GBK" w:hAnsi="方正小标宋_GBK" w:eastAsia="方正小标宋_GBK" w:cs="方正小标宋_GBK"/>
                <w:b w:val="0"/>
                <w:bCs/>
                <w:color w:val="000000"/>
                <w:sz w:val="30"/>
                <w:szCs w:val="30"/>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2"/>
                <w:szCs w:val="22"/>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rPr>
              <w:t>蔈草镇政府机关</w:t>
            </w:r>
          </w:p>
        </w:tc>
        <w:tc>
          <w:tcPr>
            <w:tcW w:w="404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2"/>
                <w:szCs w:val="22"/>
              </w:rPr>
            </w:pPr>
          </w:p>
        </w:tc>
        <w:tc>
          <w:tcPr>
            <w:tcW w:w="341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收入</w:t>
            </w:r>
          </w:p>
        </w:tc>
        <w:tc>
          <w:tcPr>
            <w:tcW w:w="746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2,445.02</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一、一般公共服务支出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二、外交支出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三、国防支出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四、公共安全支出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五、教育支出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六、科学技术支出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七、文化旅游体育与传媒支出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八、社会保障和就业支出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九、卫生健康支出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十、节能环保支出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十一、城乡社区支出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十二、农林水支出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十三、交通运输支出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十四、资源勘探工业信息等支出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十五、商业服务业等支出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十六、金融支出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十七、援助其他地区支出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十八、自然资源海洋气象等支出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十九、住房保障支出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二十、粮油物资储备支出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二十一、国有资本经营预算支出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二十二、灾害防治及应急管理支出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二十三、其他支出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二十四、债务还本支出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二十五、债务付息支出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二十六、抗疫特别国债安排的支出</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结余分配</w:t>
            </w:r>
          </w:p>
        </w:tc>
        <w:tc>
          <w:tcPr>
            <w:tcW w:w="34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c>
          <w:tcPr>
            <w:tcW w:w="3416"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总计</w:t>
            </w:r>
          </w:p>
        </w:tc>
        <w:tc>
          <w:tcPr>
            <w:tcW w:w="3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r>
    </w:tbl>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p>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t>备注：1.本表反映单位本年度的总收支和年末结转结余情况。</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p>
    <w:p>
      <w:pP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8"/>
        <w:tblW w:w="15320"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139"/>
      </w:tblGrid>
      <w:tr>
        <w:tblPrEx>
          <w:tblCellMar>
            <w:top w:w="0" w:type="dxa"/>
            <w:left w:w="0" w:type="dxa"/>
            <w:bottom w:w="0" w:type="dxa"/>
            <w:right w:w="0" w:type="dxa"/>
          </w:tblCellMar>
        </w:tblPrEx>
        <w:trPr>
          <w:trHeight w:val="641" w:hRule="atLeast"/>
        </w:trPr>
        <w:tc>
          <w:tcPr>
            <w:tcW w:w="1532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sz w:val="20"/>
              </w:rPr>
              <w:t>蔈草镇政府机关</w:t>
            </w: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附属单位上缴收入</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ind w:left="600" w:hanging="600" w:hangingChars="300"/>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sz w:val="20"/>
          <w:szCs w:val="20"/>
        </w:rPr>
        <w:t>备注：1.本表反映单位本年度取得的各项收入情况。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0"/>
          <w:szCs w:val="20"/>
        </w:rPr>
      </w:pPr>
      <w:r>
        <w:rPr>
          <w:rFonts w:hint="eastAsia" w:ascii="Times New Roman" w:hAnsi="Times New Roman" w:eastAsia="方正仿宋_GBK" w:cs="方正仿宋_GBK"/>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color w:val="000000"/>
                <w:sz w:val="32"/>
                <w:szCs w:val="32"/>
              </w:rPr>
            </w:pPr>
            <w:r>
              <w:rPr>
                <w:rFonts w:hint="eastAsia" w:ascii="方正小标宋_GBK" w:hAnsi="方正小标宋_GBK" w:eastAsia="方正小标宋_GBK" w:cs="方正小标宋_GBK"/>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sz w:val="20"/>
                <w:szCs w:val="20"/>
              </w:rPr>
              <w:t>单位</w:t>
            </w:r>
            <w:r>
              <w:rPr>
                <w:rFonts w:hint="eastAsia" w:ascii="Times New Roman" w:hAnsi="Times New Roman" w:eastAsia="方正仿宋_GBK" w:cs="方正仿宋_GBK"/>
                <w:color w:val="000000"/>
                <w:sz w:val="20"/>
                <w:szCs w:val="20"/>
              </w:rPr>
              <w:t>：</w:t>
            </w:r>
            <w:r>
              <w:rPr>
                <w:rFonts w:hint="eastAsia" w:ascii="Times New Roman" w:hAnsi="Times New Roman" w:eastAsia="方正仿宋_GBK" w:cs="方正仿宋_GBK"/>
                <w:color w:val="000000"/>
                <w:sz w:val="20"/>
              </w:rPr>
              <w:t>蔈草镇政府机关</w:t>
            </w: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color w:val="000000"/>
                <w:sz w:val="20"/>
                <w:szCs w:val="20"/>
              </w:rPr>
            </w:pPr>
            <w:r>
              <w:rPr>
                <w:rFonts w:hint="eastAsia" w:ascii="Times New Roman" w:hAnsi="Times New Roman" w:eastAsia="方正仿宋_GBK" w:cs="方正仿宋_GBK"/>
                <w:color w:val="000000"/>
                <w:sz w:val="20"/>
                <w:szCs w:val="20"/>
              </w:rPr>
              <w:t>单位：</w:t>
            </w:r>
            <w:r>
              <w:rPr>
                <w:rFonts w:hint="eastAsia" w:ascii="Times New Roman" w:hAnsi="Times New Roman" w:eastAsia="方正仿宋_GBK" w:cs="方正仿宋_GBK"/>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2,500.81</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697.04</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1,803.78</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891.37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53.86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397.16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sz w:val="20"/>
          <w:szCs w:val="20"/>
        </w:rPr>
      </w:pPr>
      <w:r>
        <w:rPr>
          <w:rFonts w:hint="eastAsia" w:ascii="Times New Roman" w:hAnsi="Times New Roman" w:eastAsia="方正仿宋_GBK" w:cs="方正仿宋_GBK"/>
          <w:b w:val="0"/>
          <w:bCs/>
          <w:sz w:val="20"/>
          <w:szCs w:val="20"/>
        </w:rPr>
        <w:t>备注：1.本表反映单位本年度各项支出情况。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sz w:val="20"/>
          <w:szCs w:val="20"/>
        </w:rPr>
        <w:br w:type="textWrapping"/>
      </w:r>
      <w:r>
        <w:rPr>
          <w:rFonts w:hint="eastAsia" w:ascii="Times New Roman" w:hAnsi="Times New Roman" w:eastAsia="方正仿宋_GBK" w:cs="方正仿宋_GBK"/>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br w:type="page"/>
      </w:r>
    </w:p>
    <w:tbl>
      <w:tblPr>
        <w:tblStyle w:val="8"/>
        <w:tblW w:w="15320" w:type="dxa"/>
        <w:tblInd w:w="0" w:type="dxa"/>
        <w:tblLayout w:type="fixed"/>
        <w:tblCellMar>
          <w:top w:w="0" w:type="dxa"/>
          <w:left w:w="0" w:type="dxa"/>
          <w:bottom w:w="0" w:type="dxa"/>
          <w:right w:w="0" w:type="dxa"/>
        </w:tblCellMar>
      </w:tblPr>
      <w:tblGrid>
        <w:gridCol w:w="2967"/>
        <w:gridCol w:w="1521"/>
        <w:gridCol w:w="3179"/>
        <w:gridCol w:w="1694"/>
        <w:gridCol w:w="1694"/>
        <w:gridCol w:w="1694"/>
        <w:gridCol w:w="2571"/>
      </w:tblGrid>
      <w:tr>
        <w:tblPrEx>
          <w:tblCellMar>
            <w:top w:w="0" w:type="dxa"/>
            <w:left w:w="0" w:type="dxa"/>
            <w:bottom w:w="0" w:type="dxa"/>
            <w:right w:w="0" w:type="dxa"/>
          </w:tblCellMar>
        </w:tblPrEx>
        <w:trPr>
          <w:trHeight w:val="90" w:hRule="atLeast"/>
        </w:trPr>
        <w:tc>
          <w:tcPr>
            <w:tcW w:w="1532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收     入</w:t>
            </w:r>
          </w:p>
        </w:tc>
        <w:tc>
          <w:tcPr>
            <w:tcW w:w="1083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功能分类科目</w:t>
            </w:r>
          </w:p>
        </w:tc>
        <w:tc>
          <w:tcPr>
            <w:tcW w:w="765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2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591.23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591.23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1.70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7.78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1,001.04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1,001.04</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32.03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195.30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53.86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20.80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33.06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397.16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394.96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117.68</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43.21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43.21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16.55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20.53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20.53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2,500.81</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2,445.02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55.79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备注：1.本表反映单位本年度一般公共预算财政拨款、政府性基金预算财政拨款及国有资本经营预算财政拨款的总收支和年末结转结余情况。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2,445.02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697.04</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1,747.98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591.23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559.26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516.23</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43.03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3.45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2014004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7.19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2040221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特别业务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1,001.04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891.37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87.75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109.67</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50.29</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39.76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19.62</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26.66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5.66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31.65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29.51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465.04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11.46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2081902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453.59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206.14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2082502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36.08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32.03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2100410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突发公共卫生事件应急处置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30.78</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195.30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187.53</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生态保护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75.77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2110402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农村环境保护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111.76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20.80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394.96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394.96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15.14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12.79</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2.35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2130234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14.37</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172.01</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53.06</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118.95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193.44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176.40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其他农村综合改革支出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17.04</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117.68</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其他自然资源事务支出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22.75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43.21</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2.85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40.36</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6.65</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消防救援事务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其他消防救援事务支出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6.90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备注：1.本表反映单位本年度一般公共预算财政拨款支出情况。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ind w:firstLine="630" w:firstLineChars="300"/>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486.56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186.67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98.91</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27.26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85.83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2.20</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139.87</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50.29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19.73</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39.76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13.30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27.26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0.76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21.52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40.36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3.52</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3.39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0.80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1.45</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3.74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20.00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14.20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1.60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2.14</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180" w:firstLineChars="10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9.00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2.59</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19.96</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45.70</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508.17</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0"/>
          <w:szCs w:val="20"/>
        </w:rPr>
      </w:pPr>
      <w:r>
        <w:rPr>
          <w:rFonts w:hint="eastAsia" w:ascii="Times New Roman" w:hAnsi="Times New Roman" w:eastAsia="方正仿宋_GBK" w:cs="方正仿宋_GBK"/>
          <w:b w:val="0"/>
          <w:bCs/>
          <w:sz w:val="20"/>
          <w:szCs w:val="20"/>
        </w:rPr>
        <w:t>备注：1.本表反映单位本年度一般公共预算财政拨款基本支出明细情况。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55.79</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33.06</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16.50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2121399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其他城市基础设施配套费安排的支出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7.34</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9.22</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污水处理设施建设和运营</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8.52</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2121499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其他污水处理费安排的支出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0.70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农林水支出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国家重大水利工程建设基金安排的支出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2136902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三峡后续工作</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20.53</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备注：1.本表反映单位本年度政府性基金预算财政拨款收入支出及结转和结余情况。</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t xml:space="preserve">      2.本套报表金额单位转换时可能存在尾数误差。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32"/>
                <w:szCs w:val="32"/>
              </w:rPr>
            </w:pPr>
            <w:r>
              <w:rPr>
                <w:rFonts w:hint="eastAsia" w:ascii="方正小标宋_GBK" w:hAnsi="方正小标宋_GBK" w:eastAsia="方正小标宋_GBK" w:cs="方正小标宋_GBK"/>
                <w:b w:val="0"/>
                <w:bCs/>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sz w:val="20"/>
                <w:szCs w:val="20"/>
              </w:rPr>
              <w:t>单位</w:t>
            </w:r>
            <w:r>
              <w:rPr>
                <w:rFonts w:hint="eastAsia" w:ascii="Times New Roman" w:hAnsi="Times New Roman" w:eastAsia="方正仿宋_GBK" w:cs="方正仿宋_GBK"/>
                <w:b w:val="0"/>
                <w:bCs/>
                <w:color w:val="000000"/>
                <w:sz w:val="20"/>
                <w:szCs w:val="20"/>
              </w:rPr>
              <w:t>：</w:t>
            </w:r>
            <w:r>
              <w:rPr>
                <w:rFonts w:hint="eastAsia" w:ascii="Times New Roman" w:hAnsi="Times New Roman" w:eastAsia="方正仿宋_GBK" w:cs="方正仿宋_GBK"/>
                <w:b w:val="0"/>
                <w:bCs/>
                <w:color w:val="000000"/>
                <w:sz w:val="20"/>
              </w:rPr>
              <w:t>蔈草镇政府机关</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单位：</w:t>
            </w:r>
            <w:r>
              <w:rPr>
                <w:rFonts w:hint="eastAsia" w:ascii="Times New Roman" w:hAnsi="Times New Roman" w:eastAsia="方正仿宋_GBK" w:cs="方正仿宋_GBK"/>
                <w:b w:val="0"/>
                <w:bCs/>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20"/>
                <w:szCs w:val="20"/>
              </w:rPr>
            </w:pPr>
            <w:r>
              <w:rPr>
                <w:rFonts w:hint="eastAsia" w:ascii="Times New Roman" w:hAnsi="Times New Roman" w:eastAsia="方正仿宋_GBK" w:cs="方正仿宋_GBK"/>
                <w:b w:val="0"/>
                <w:bCs/>
                <w:color w:val="000000"/>
                <w:sz w:val="20"/>
                <w:szCs w:val="20"/>
              </w:rPr>
              <w:t>0.00</w:t>
            </w:r>
          </w:p>
        </w:tc>
      </w:tr>
    </w:tbl>
    <w:p>
      <w:pPr>
        <w:keepNext w:val="0"/>
        <w:keepLines w:val="0"/>
        <w:pageBreakBefore w:val="0"/>
        <w:widowControl/>
        <w:kinsoku/>
        <w:wordWrap/>
        <w:overflowPunct/>
        <w:topLinePunct w:val="0"/>
        <w:autoSpaceDE/>
        <w:autoSpaceDN/>
        <w:bidi w:val="0"/>
        <w:adjustRightInd/>
        <w:snapToGrid/>
        <w:spacing w:line="240" w:lineRule="auto"/>
        <w:jc w:val="left"/>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0"/>
          <w:szCs w:val="20"/>
        </w:rPr>
        <w:t>备注：本表反映单位本年度国有资本经营预算财政拨款支出情况。本单位无国有资本经营收支，故本表无数据。</w:t>
      </w:r>
      <w:r>
        <w:rPr>
          <w:rFonts w:hint="eastAsia" w:ascii="Times New Roman" w:hAnsi="Times New Roman" w:eastAsia="方正仿宋_GBK" w:cs="方正仿宋_GBK"/>
          <w:b w:val="0"/>
          <w:bCs/>
          <w:sz w:val="20"/>
          <w:szCs w:val="20"/>
        </w:rPr>
        <w:br w:type="textWrapping"/>
      </w:r>
      <w:r>
        <w:rPr>
          <w:rFonts w:hint="eastAsia" w:ascii="Times New Roman" w:hAnsi="Times New Roman" w:eastAsia="方正仿宋_GBK" w:cs="方正仿宋_GBK"/>
          <w:b w:val="0"/>
          <w:bCs/>
          <w:sz w:val="20"/>
          <w:szCs w:val="20"/>
        </w:rPr>
        <w:br w:type="textWrapping"/>
      </w:r>
    </w:p>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sz w:val="21"/>
          <w:szCs w:val="21"/>
        </w:rPr>
      </w:pPr>
      <w:r>
        <w:rPr>
          <w:rFonts w:hint="eastAsia" w:ascii="Times New Roman" w:hAnsi="Times New Roman" w:eastAsia="方正仿宋_GBK" w:cs="方正仿宋_GBK"/>
          <w:b w:val="0"/>
          <w:bCs/>
          <w:sz w:val="21"/>
          <w:szCs w:val="21"/>
        </w:rPr>
        <w:br w:type="page"/>
      </w:r>
    </w:p>
    <w:tbl>
      <w:tblPr>
        <w:tblStyle w:val="8"/>
        <w:tblW w:w="15320" w:type="dxa"/>
        <w:tblInd w:w="0" w:type="dxa"/>
        <w:tblLayout w:type="fixed"/>
        <w:tblCellMar>
          <w:top w:w="0" w:type="dxa"/>
          <w:left w:w="170" w:type="dxa"/>
          <w:bottom w:w="0" w:type="dxa"/>
          <w:right w:w="170" w:type="dxa"/>
        </w:tblCellMar>
      </w:tblPr>
      <w:tblGrid>
        <w:gridCol w:w="3179"/>
        <w:gridCol w:w="2416"/>
        <w:gridCol w:w="2375"/>
        <w:gridCol w:w="3674"/>
        <w:gridCol w:w="3676"/>
      </w:tblGrid>
      <w:tr>
        <w:tblPrEx>
          <w:tblCellMar>
            <w:top w:w="0" w:type="dxa"/>
            <w:left w:w="170" w:type="dxa"/>
            <w:bottom w:w="0" w:type="dxa"/>
            <w:right w:w="170" w:type="dxa"/>
          </w:tblCellMar>
        </w:tblPrEx>
        <w:trPr>
          <w:trHeight w:val="343" w:hRule="atLeast"/>
        </w:trPr>
        <w:tc>
          <w:tcPr>
            <w:tcW w:w="15320" w:type="dxa"/>
            <w:gridSpan w:val="5"/>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32"/>
                <w:szCs w:val="32"/>
              </w:rPr>
            </w:pPr>
            <w:r>
              <w:rPr>
                <w:rFonts w:hint="eastAsia" w:ascii="方正小标宋_GBK" w:hAnsi="方正小标宋_GBK" w:eastAsia="方正小标宋_GBK" w:cs="方正小标宋_GBK"/>
                <w:b w:val="0"/>
                <w:bCs/>
                <w:color w:val="000000"/>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2416"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2375"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4"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6" w:type="dxa"/>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kern w:val="2"/>
                <w:sz w:val="20"/>
                <w:szCs w:val="20"/>
              </w:rPr>
              <w:t>单位</w:t>
            </w:r>
            <w:r>
              <w:rPr>
                <w:rFonts w:hint="eastAsia" w:ascii="Times New Roman" w:hAnsi="Times New Roman" w:eastAsia="方正仿宋_GBK" w:cs="方正仿宋_GBK"/>
                <w:b w:val="0"/>
                <w:bCs/>
                <w:color w:val="000000"/>
                <w:kern w:val="2"/>
                <w:sz w:val="20"/>
                <w:szCs w:val="20"/>
              </w:rPr>
              <w:t>：</w:t>
            </w:r>
            <w:r>
              <w:rPr>
                <w:rFonts w:hint="eastAsia" w:ascii="Times New Roman" w:hAnsi="Times New Roman" w:eastAsia="方正仿宋_GBK" w:cs="方正仿宋_GBK"/>
                <w:b w:val="0"/>
                <w:bCs/>
                <w:color w:val="000000"/>
                <w:sz w:val="20"/>
              </w:rPr>
              <w:t>蔈草镇政府机关</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20"/>
                <w:szCs w:val="20"/>
              </w:rPr>
            </w:pPr>
          </w:p>
        </w:tc>
        <w:tc>
          <w:tcPr>
            <w:tcW w:w="3676" w:type="dxa"/>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Times New Roman" w:hAnsi="Times New Roman" w:eastAsia="方正仿宋_GBK" w:cs="方正仿宋_GBK"/>
                <w:b w:val="0"/>
                <w:bCs/>
                <w:color w:val="000000"/>
                <w:kern w:val="2"/>
                <w:sz w:val="20"/>
                <w:szCs w:val="20"/>
              </w:rPr>
            </w:pPr>
            <w:r>
              <w:rPr>
                <w:rFonts w:hint="eastAsia" w:ascii="Times New Roman" w:hAnsi="Times New Roman" w:eastAsia="方正仿宋_GBK" w:cs="方正仿宋_GBK"/>
                <w:b w:val="0"/>
                <w:bCs/>
                <w:color w:val="000000"/>
                <w:kern w:val="2"/>
                <w:sz w:val="20"/>
                <w:szCs w:val="20"/>
              </w:rPr>
              <w:t>单位：</w:t>
            </w:r>
            <w:r>
              <w:rPr>
                <w:rFonts w:hint="eastAsia" w:ascii="Times New Roman" w:hAnsi="Times New Roman" w:eastAsia="方正仿宋_GBK" w:cs="方正仿宋_GBK"/>
                <w:b w:val="0"/>
                <w:bCs/>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项  目</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五、机关运行经费</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6.33</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6.33</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（一）行政单位</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188.87</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（二）参照公务员法管理事业单位</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六、资产信息</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（一）车辆数合计（辆）</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2.59</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1．副部（省）级及以上领导用车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2．主要领导干部用车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3.74</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3．机要通信用车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4．应急保障用车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5．执法执勤用车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6．特种专业技术用车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7．离退休干部用车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8．其他用车</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（二）单价100万元（含）以上设备（不含车辆）</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2</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七、政府采购支出信息</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125</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（一）政府采购支出合计</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1．政府采购货物支出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747</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2．政府采购工程支出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3．政府采购服务支出</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（二）政府采购授予中小企业合同金额</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其中：授予小微企业合同金额</w:t>
            </w: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0.80</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6"/>
                <w:szCs w:val="16"/>
              </w:rPr>
            </w:pPr>
            <w:r>
              <w:rPr>
                <w:rFonts w:hint="eastAsia" w:ascii="Times New Roman" w:hAnsi="Times New Roman" w:eastAsia="方正仿宋_GBK" w:cs="方正仿宋_GBK"/>
                <w:b w:val="0"/>
                <w:bCs/>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kern w:val="2"/>
                <w:sz w:val="18"/>
                <w:szCs w:val="18"/>
              </w:rPr>
            </w:pPr>
            <w:r>
              <w:rPr>
                <w:rFonts w:hint="eastAsia" w:ascii="Times New Roman" w:hAnsi="Times New Roman" w:eastAsia="方正仿宋_GBK" w:cs="方正仿宋_GBK"/>
                <w:b w:val="0"/>
                <w:bCs/>
                <w:color w:val="000000"/>
                <w:kern w:val="2"/>
                <w:sz w:val="18"/>
                <w:szCs w:val="18"/>
              </w:rPr>
              <w:t>1.45</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6"/>
                <w:szCs w:val="16"/>
              </w:rPr>
            </w:pPr>
            <w:r>
              <w:rPr>
                <w:rFonts w:hint="eastAsia" w:ascii="Times New Roman" w:hAnsi="Times New Roman" w:eastAsia="方正仿宋_GBK" w:cs="方正仿宋_GBK"/>
                <w:b w:val="0"/>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ind w:right="120" w:rightChars="50"/>
              <w:jc w:val="center"/>
              <w:textAlignment w:val="bottom"/>
              <w:rPr>
                <w:rFonts w:hint="eastAsia" w:ascii="Times New Roman" w:hAnsi="Times New Roman" w:eastAsia="方正仿宋_GBK" w:cs="方正仿宋_GBK"/>
                <w:b w:val="0"/>
                <w:bCs/>
                <w:color w:val="000000"/>
                <w:sz w:val="18"/>
                <w:szCs w:val="18"/>
              </w:rPr>
            </w:pPr>
            <w:r>
              <w:rPr>
                <w:rFonts w:hint="eastAsia" w:ascii="Times New Roman" w:hAnsi="Times New Roman" w:eastAsia="方正仿宋_GBK" w:cs="方正仿宋_GBK"/>
                <w:b w:val="0"/>
                <w:bCs/>
                <w:color w:val="000000"/>
                <w:sz w:val="18"/>
                <w:szCs w:val="18"/>
              </w:rPr>
              <w:t>22.16</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c>
          <w:tcPr>
            <w:tcW w:w="36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方正仿宋_GBK" w:cs="方正仿宋_GBK"/>
                <w:b w:val="0"/>
                <w:bCs/>
                <w:color w:val="000000"/>
                <w:sz w:val="16"/>
                <w:szCs w:val="16"/>
              </w:rPr>
            </w:pPr>
          </w:p>
        </w:tc>
      </w:tr>
    </w:tbl>
    <w:p>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Times New Roman" w:hAnsi="Times New Roman" w:eastAsia="方正仿宋_GBK" w:cs="方正仿宋_GBK"/>
          <w:sz w:val="18"/>
          <w:szCs w:val="18"/>
        </w:rPr>
      </w:pPr>
      <w:r>
        <w:rPr>
          <w:rFonts w:hint="eastAsia" w:ascii="Times New Roman" w:hAnsi="Times New Roman" w:eastAsia="方正仿宋_GBK" w:cs="方正仿宋_GBK"/>
          <w:b w:val="0"/>
          <w:bCs/>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Times New Roman" w:hAnsi="Times New Roman" w:eastAsia="方正仿宋_GBK" w:cs="方正仿宋_GBK"/>
          <w:b w:val="0"/>
          <w:bCs/>
          <w:sz w:val="18"/>
          <w:szCs w:val="18"/>
        </w:rPr>
        <w:br w:type="textWrapping"/>
      </w:r>
      <w:r>
        <w:rPr>
          <w:rFonts w:hint="eastAsia" w:ascii="Times New Roman" w:hAnsi="Times New Roman" w:eastAsia="方正仿宋_GBK" w:cs="方正仿宋_GBK"/>
          <w:b w:val="0"/>
          <w:bCs/>
          <w:sz w:val="18"/>
          <w:szCs w:val="18"/>
        </w:rPr>
        <w:t xml:space="preserve">      2.本套报表金额单位转换时可能存在尾数误差。</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 w:val="18"/>
          <w:szCs w:val="18"/>
        </w:rPr>
        <w:br w:type="textWrapping"/>
      </w:r>
    </w:p>
    <w:sectPr>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RiYmFkZjU3ZWZjZDY5NmU5MDlkMGRjZTY2MTQ4NTgifQ=="/>
  </w:docVars>
  <w:rsids>
    <w:rsidRoot w:val="00B03CCD"/>
    <w:rsid w:val="000239C6"/>
    <w:rsid w:val="001D3BB7"/>
    <w:rsid w:val="002330C4"/>
    <w:rsid w:val="002B254B"/>
    <w:rsid w:val="0034050A"/>
    <w:rsid w:val="0044504F"/>
    <w:rsid w:val="00466C9B"/>
    <w:rsid w:val="00486CFC"/>
    <w:rsid w:val="00491DDD"/>
    <w:rsid w:val="00550ABE"/>
    <w:rsid w:val="00623A85"/>
    <w:rsid w:val="00770383"/>
    <w:rsid w:val="007819D4"/>
    <w:rsid w:val="007B419D"/>
    <w:rsid w:val="007B7C4B"/>
    <w:rsid w:val="007D3D39"/>
    <w:rsid w:val="008A51CD"/>
    <w:rsid w:val="009744F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743B5"/>
    <w:rsid w:val="00DD0539"/>
    <w:rsid w:val="00E07662"/>
    <w:rsid w:val="00E368E9"/>
    <w:rsid w:val="00EE1E33"/>
    <w:rsid w:val="00F73F90"/>
    <w:rsid w:val="00FB4B3B"/>
    <w:rsid w:val="01474EBF"/>
    <w:rsid w:val="018770DA"/>
    <w:rsid w:val="01F3521E"/>
    <w:rsid w:val="03B87EA0"/>
    <w:rsid w:val="03E3214F"/>
    <w:rsid w:val="044C50BA"/>
    <w:rsid w:val="05485881"/>
    <w:rsid w:val="05BC6D49"/>
    <w:rsid w:val="06194FF1"/>
    <w:rsid w:val="06A2550B"/>
    <w:rsid w:val="06F80EE2"/>
    <w:rsid w:val="07001CCA"/>
    <w:rsid w:val="075678DB"/>
    <w:rsid w:val="077B465F"/>
    <w:rsid w:val="079D7CC7"/>
    <w:rsid w:val="08051BCA"/>
    <w:rsid w:val="081E6D6D"/>
    <w:rsid w:val="086C12F4"/>
    <w:rsid w:val="08705944"/>
    <w:rsid w:val="08BA052C"/>
    <w:rsid w:val="08DB07BA"/>
    <w:rsid w:val="094B3FAC"/>
    <w:rsid w:val="0969353F"/>
    <w:rsid w:val="098305D0"/>
    <w:rsid w:val="09B1218B"/>
    <w:rsid w:val="09F9539C"/>
    <w:rsid w:val="0A3317EA"/>
    <w:rsid w:val="0A5C4B69"/>
    <w:rsid w:val="0A86124A"/>
    <w:rsid w:val="0AB54CC0"/>
    <w:rsid w:val="0B9335CE"/>
    <w:rsid w:val="0BF2311A"/>
    <w:rsid w:val="0C2D57D1"/>
    <w:rsid w:val="0C7927C4"/>
    <w:rsid w:val="0C9B098C"/>
    <w:rsid w:val="0D020A0B"/>
    <w:rsid w:val="0D4F0558"/>
    <w:rsid w:val="0D673E11"/>
    <w:rsid w:val="0DD56176"/>
    <w:rsid w:val="0DDA54E4"/>
    <w:rsid w:val="0E3A5F83"/>
    <w:rsid w:val="0F836721"/>
    <w:rsid w:val="0FA25D96"/>
    <w:rsid w:val="0FED5CD5"/>
    <w:rsid w:val="107B59E5"/>
    <w:rsid w:val="10EC0126"/>
    <w:rsid w:val="10F70B9A"/>
    <w:rsid w:val="111445C7"/>
    <w:rsid w:val="114278C6"/>
    <w:rsid w:val="1158083A"/>
    <w:rsid w:val="11643A4B"/>
    <w:rsid w:val="118B7221"/>
    <w:rsid w:val="11ED0F98"/>
    <w:rsid w:val="11F03528"/>
    <w:rsid w:val="126637EB"/>
    <w:rsid w:val="12C921C4"/>
    <w:rsid w:val="12CC7AF2"/>
    <w:rsid w:val="12FB350A"/>
    <w:rsid w:val="13871C70"/>
    <w:rsid w:val="13A71CB4"/>
    <w:rsid w:val="13AF1D43"/>
    <w:rsid w:val="13C744B2"/>
    <w:rsid w:val="13CE1647"/>
    <w:rsid w:val="13FD55AB"/>
    <w:rsid w:val="14200702"/>
    <w:rsid w:val="14370EA1"/>
    <w:rsid w:val="143B6AD4"/>
    <w:rsid w:val="15791A87"/>
    <w:rsid w:val="163A6CEE"/>
    <w:rsid w:val="16BA5EB3"/>
    <w:rsid w:val="173708E3"/>
    <w:rsid w:val="17C374FC"/>
    <w:rsid w:val="17E1613D"/>
    <w:rsid w:val="182E4AB6"/>
    <w:rsid w:val="18300B23"/>
    <w:rsid w:val="183103F7"/>
    <w:rsid w:val="18433D91"/>
    <w:rsid w:val="189079DC"/>
    <w:rsid w:val="189B0D0B"/>
    <w:rsid w:val="18B43F7C"/>
    <w:rsid w:val="191C433B"/>
    <w:rsid w:val="194A1770"/>
    <w:rsid w:val="19B906A4"/>
    <w:rsid w:val="1A644AB4"/>
    <w:rsid w:val="1A7F369B"/>
    <w:rsid w:val="1B6F15B6"/>
    <w:rsid w:val="1BAA2EDC"/>
    <w:rsid w:val="1C1918CE"/>
    <w:rsid w:val="1CA55E64"/>
    <w:rsid w:val="1D014A01"/>
    <w:rsid w:val="1D022362"/>
    <w:rsid w:val="1D1B04B0"/>
    <w:rsid w:val="1DA52501"/>
    <w:rsid w:val="1DBD6767"/>
    <w:rsid w:val="1DC52125"/>
    <w:rsid w:val="1DD26311"/>
    <w:rsid w:val="1E374ACB"/>
    <w:rsid w:val="1EC27FFB"/>
    <w:rsid w:val="1ECF0A66"/>
    <w:rsid w:val="1EF67CA4"/>
    <w:rsid w:val="1EFF2FFD"/>
    <w:rsid w:val="1F020D3A"/>
    <w:rsid w:val="1F2C5189"/>
    <w:rsid w:val="1F4B0B02"/>
    <w:rsid w:val="1F811C64"/>
    <w:rsid w:val="1FBB35CD"/>
    <w:rsid w:val="1FCD26AF"/>
    <w:rsid w:val="20642787"/>
    <w:rsid w:val="20C0056A"/>
    <w:rsid w:val="21556F04"/>
    <w:rsid w:val="21EE1107"/>
    <w:rsid w:val="22403BD3"/>
    <w:rsid w:val="22AD3177"/>
    <w:rsid w:val="235417B6"/>
    <w:rsid w:val="2358717F"/>
    <w:rsid w:val="23694EE9"/>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5B7B24"/>
    <w:rsid w:val="2E660223"/>
    <w:rsid w:val="2F566C69"/>
    <w:rsid w:val="2FCA4B37"/>
    <w:rsid w:val="2FE029D7"/>
    <w:rsid w:val="2FF06E00"/>
    <w:rsid w:val="30586FEC"/>
    <w:rsid w:val="30BE67FD"/>
    <w:rsid w:val="315076E8"/>
    <w:rsid w:val="315F0B22"/>
    <w:rsid w:val="31A15828"/>
    <w:rsid w:val="31D84415"/>
    <w:rsid w:val="32285F6F"/>
    <w:rsid w:val="325A028B"/>
    <w:rsid w:val="32770556"/>
    <w:rsid w:val="329C0913"/>
    <w:rsid w:val="32AA0460"/>
    <w:rsid w:val="3337290D"/>
    <w:rsid w:val="33E31118"/>
    <w:rsid w:val="33EF7674"/>
    <w:rsid w:val="342D7BC6"/>
    <w:rsid w:val="350C13E6"/>
    <w:rsid w:val="352930DB"/>
    <w:rsid w:val="35573069"/>
    <w:rsid w:val="355F6038"/>
    <w:rsid w:val="358C217E"/>
    <w:rsid w:val="35C67F79"/>
    <w:rsid w:val="36C9128A"/>
    <w:rsid w:val="37841E99"/>
    <w:rsid w:val="37BF1123"/>
    <w:rsid w:val="383C3F15"/>
    <w:rsid w:val="387E68E3"/>
    <w:rsid w:val="38BE4696"/>
    <w:rsid w:val="3939115E"/>
    <w:rsid w:val="39B82A39"/>
    <w:rsid w:val="39C42CA8"/>
    <w:rsid w:val="39DC4FD6"/>
    <w:rsid w:val="39F03D7A"/>
    <w:rsid w:val="39F33306"/>
    <w:rsid w:val="3A2C1C67"/>
    <w:rsid w:val="3A671886"/>
    <w:rsid w:val="3A6A77C9"/>
    <w:rsid w:val="3ADD7F09"/>
    <w:rsid w:val="3B1705E5"/>
    <w:rsid w:val="3B18334B"/>
    <w:rsid w:val="3B36794F"/>
    <w:rsid w:val="3B6F6EE0"/>
    <w:rsid w:val="3BDC4AFB"/>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0C6ED8"/>
    <w:rsid w:val="40760DD1"/>
    <w:rsid w:val="40BD5482"/>
    <w:rsid w:val="411B6CE5"/>
    <w:rsid w:val="412070D7"/>
    <w:rsid w:val="41314E40"/>
    <w:rsid w:val="41322966"/>
    <w:rsid w:val="41E0734B"/>
    <w:rsid w:val="42340B46"/>
    <w:rsid w:val="426C1EA8"/>
    <w:rsid w:val="42736402"/>
    <w:rsid w:val="42E86A87"/>
    <w:rsid w:val="43307B09"/>
    <w:rsid w:val="439A3EB9"/>
    <w:rsid w:val="43BB152F"/>
    <w:rsid w:val="44C37687"/>
    <w:rsid w:val="45CB699A"/>
    <w:rsid w:val="46423C66"/>
    <w:rsid w:val="465B470D"/>
    <w:rsid w:val="469D6AD4"/>
    <w:rsid w:val="46FF32EA"/>
    <w:rsid w:val="471E6C84"/>
    <w:rsid w:val="4748792B"/>
    <w:rsid w:val="475D719D"/>
    <w:rsid w:val="47674801"/>
    <w:rsid w:val="47A44D3E"/>
    <w:rsid w:val="48225EF7"/>
    <w:rsid w:val="488F422B"/>
    <w:rsid w:val="48D82045"/>
    <w:rsid w:val="48E36915"/>
    <w:rsid w:val="48EB6572"/>
    <w:rsid w:val="49262DB0"/>
    <w:rsid w:val="495C4A24"/>
    <w:rsid w:val="497135DF"/>
    <w:rsid w:val="4A1B668D"/>
    <w:rsid w:val="4A263DF2"/>
    <w:rsid w:val="4A2F278B"/>
    <w:rsid w:val="4A6F6675"/>
    <w:rsid w:val="4B135857"/>
    <w:rsid w:val="4B6A2071"/>
    <w:rsid w:val="4B7951CB"/>
    <w:rsid w:val="4B7C315C"/>
    <w:rsid w:val="4D1F53CA"/>
    <w:rsid w:val="4DAC4ACA"/>
    <w:rsid w:val="4DBE01D2"/>
    <w:rsid w:val="4EFD467F"/>
    <w:rsid w:val="4F0C6BA3"/>
    <w:rsid w:val="4F186D58"/>
    <w:rsid w:val="504B6EAA"/>
    <w:rsid w:val="50F06B6E"/>
    <w:rsid w:val="51A27694"/>
    <w:rsid w:val="51D21804"/>
    <w:rsid w:val="51DE7EB5"/>
    <w:rsid w:val="520F7D32"/>
    <w:rsid w:val="52234D33"/>
    <w:rsid w:val="522F6E0C"/>
    <w:rsid w:val="52463BA1"/>
    <w:rsid w:val="52646216"/>
    <w:rsid w:val="528B1ED6"/>
    <w:rsid w:val="52AF0D84"/>
    <w:rsid w:val="52F163D4"/>
    <w:rsid w:val="53156910"/>
    <w:rsid w:val="531A2DB4"/>
    <w:rsid w:val="53C0244D"/>
    <w:rsid w:val="53DD4D4E"/>
    <w:rsid w:val="53E578CE"/>
    <w:rsid w:val="53F21C3B"/>
    <w:rsid w:val="541330F0"/>
    <w:rsid w:val="54272666"/>
    <w:rsid w:val="543B029D"/>
    <w:rsid w:val="54861779"/>
    <w:rsid w:val="54971006"/>
    <w:rsid w:val="54E93D09"/>
    <w:rsid w:val="55084A4C"/>
    <w:rsid w:val="552256E1"/>
    <w:rsid w:val="554E5773"/>
    <w:rsid w:val="555829E0"/>
    <w:rsid w:val="555A3CBC"/>
    <w:rsid w:val="5582012B"/>
    <w:rsid w:val="558E4E05"/>
    <w:rsid w:val="55BE2E85"/>
    <w:rsid w:val="56530F5D"/>
    <w:rsid w:val="567700D3"/>
    <w:rsid w:val="56FF7E9E"/>
    <w:rsid w:val="578867FC"/>
    <w:rsid w:val="57961A49"/>
    <w:rsid w:val="57EE3633"/>
    <w:rsid w:val="5842572D"/>
    <w:rsid w:val="59A57D21"/>
    <w:rsid w:val="59C52ED1"/>
    <w:rsid w:val="5A3B59D6"/>
    <w:rsid w:val="5ACD56B4"/>
    <w:rsid w:val="5AD134D8"/>
    <w:rsid w:val="5B501F0F"/>
    <w:rsid w:val="5B6D0D13"/>
    <w:rsid w:val="5BD14DFE"/>
    <w:rsid w:val="5BF41F67"/>
    <w:rsid w:val="5C263CE4"/>
    <w:rsid w:val="5C5D2777"/>
    <w:rsid w:val="5CA02A22"/>
    <w:rsid w:val="5CF66BF3"/>
    <w:rsid w:val="5D290C69"/>
    <w:rsid w:val="5DA80C2C"/>
    <w:rsid w:val="5EAA7B88"/>
    <w:rsid w:val="5F13397F"/>
    <w:rsid w:val="5F2D4A41"/>
    <w:rsid w:val="5F592854"/>
    <w:rsid w:val="60494F5F"/>
    <w:rsid w:val="605B3830"/>
    <w:rsid w:val="60C74F6C"/>
    <w:rsid w:val="61015958"/>
    <w:rsid w:val="61025A59"/>
    <w:rsid w:val="613D5BBC"/>
    <w:rsid w:val="61536C39"/>
    <w:rsid w:val="61F41846"/>
    <w:rsid w:val="622A5268"/>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233F42"/>
    <w:rsid w:val="676B218A"/>
    <w:rsid w:val="67924660"/>
    <w:rsid w:val="68407834"/>
    <w:rsid w:val="68724988"/>
    <w:rsid w:val="687D7008"/>
    <w:rsid w:val="6883293E"/>
    <w:rsid w:val="688412AD"/>
    <w:rsid w:val="68EB1B71"/>
    <w:rsid w:val="696C0310"/>
    <w:rsid w:val="6A027C40"/>
    <w:rsid w:val="6A6C7940"/>
    <w:rsid w:val="6A6D6639"/>
    <w:rsid w:val="6A9F1565"/>
    <w:rsid w:val="6AAD2300"/>
    <w:rsid w:val="6B474EF5"/>
    <w:rsid w:val="6BC938E5"/>
    <w:rsid w:val="6C0A5AC5"/>
    <w:rsid w:val="6C560CAE"/>
    <w:rsid w:val="6C576495"/>
    <w:rsid w:val="6D903FF5"/>
    <w:rsid w:val="6DA955B8"/>
    <w:rsid w:val="6DE346AB"/>
    <w:rsid w:val="6DE5391A"/>
    <w:rsid w:val="6DEE183F"/>
    <w:rsid w:val="6EA6582D"/>
    <w:rsid w:val="6EFD1324"/>
    <w:rsid w:val="6F0926A9"/>
    <w:rsid w:val="6F5953DE"/>
    <w:rsid w:val="6F5A53AC"/>
    <w:rsid w:val="6FAC003D"/>
    <w:rsid w:val="6FD926BF"/>
    <w:rsid w:val="6FE55E12"/>
    <w:rsid w:val="6FFB2E76"/>
    <w:rsid w:val="708F6F7F"/>
    <w:rsid w:val="70BF74C3"/>
    <w:rsid w:val="70D94BD3"/>
    <w:rsid w:val="71574775"/>
    <w:rsid w:val="71C34D91"/>
    <w:rsid w:val="72DB435C"/>
    <w:rsid w:val="72E2613A"/>
    <w:rsid w:val="72F771F4"/>
    <w:rsid w:val="73934AD2"/>
    <w:rsid w:val="73C82B32"/>
    <w:rsid w:val="750837F0"/>
    <w:rsid w:val="754758CF"/>
    <w:rsid w:val="75595ECD"/>
    <w:rsid w:val="75CD61DE"/>
    <w:rsid w:val="764F62AB"/>
    <w:rsid w:val="765C45EC"/>
    <w:rsid w:val="768A7619"/>
    <w:rsid w:val="76BD23AB"/>
    <w:rsid w:val="772E1EBA"/>
    <w:rsid w:val="781926BC"/>
    <w:rsid w:val="787E0B50"/>
    <w:rsid w:val="789C633C"/>
    <w:rsid w:val="792B7DEB"/>
    <w:rsid w:val="796D60A4"/>
    <w:rsid w:val="79A031D5"/>
    <w:rsid w:val="79B47FDF"/>
    <w:rsid w:val="79E569A9"/>
    <w:rsid w:val="7A1525F7"/>
    <w:rsid w:val="7A344A7E"/>
    <w:rsid w:val="7A711160"/>
    <w:rsid w:val="7B420052"/>
    <w:rsid w:val="7BD06A28"/>
    <w:rsid w:val="7C3A7C0B"/>
    <w:rsid w:val="7C5248E4"/>
    <w:rsid w:val="7C566698"/>
    <w:rsid w:val="7C5866A3"/>
    <w:rsid w:val="7D7406BB"/>
    <w:rsid w:val="7DE94331"/>
    <w:rsid w:val="7E376C2A"/>
    <w:rsid w:val="7E462FD2"/>
    <w:rsid w:val="7E861620"/>
    <w:rsid w:val="7F446A19"/>
    <w:rsid w:val="7F7452B9"/>
    <w:rsid w:val="DE9B2F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character" w:styleId="12">
    <w:name w:val="annotation reference"/>
    <w:basedOn w:val="10"/>
    <w:qFormat/>
    <w:uiPriority w:val="0"/>
    <w:rPr>
      <w:sz w:val="21"/>
      <w:szCs w:val="21"/>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0"/>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0"/>
    <w:link w:val="3"/>
    <w:qFormat/>
    <w:uiPriority w:val="0"/>
    <w:rPr>
      <w:rFonts w:ascii="宋体" w:hAnsi="宋体"/>
      <w:sz w:val="18"/>
      <w:szCs w:val="18"/>
    </w:rPr>
  </w:style>
  <w:style w:type="paragraph" w:customStyle="1" w:styleId="18">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7241</Words>
  <Characters>9021</Characters>
  <Lines>195</Lines>
  <Paragraphs>54</Paragraphs>
  <TotalTime>42</TotalTime>
  <ScaleCrop>false</ScaleCrop>
  <LinksUpToDate>false</LinksUpToDate>
  <CharactersWithSpaces>9034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蔈草镇管理员</cp:lastModifiedBy>
  <cp:lastPrinted>2025-10-16T16:27:00Z</cp:lastPrinted>
  <dcterms:modified xsi:type="dcterms:W3CDTF">2025-10-20T20:14:59Z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eyJoZGlkIjoiNjZiZGNlY2NhZjk2MDI1YzQyMWZkNWVmYjFiNmYwNjAiLCJ1c2VySWQiOiI0NTE3MzE5NzIifQ==</vt:lpwstr>
  </property>
</Properties>
</file>