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eastAsia" w:ascii="Times New Roman" w:hAnsi="Times New Roman" w:eastAsia="方正小标宋_GBK" w:cs="方正小标宋_GBK"/>
          <w:b w:val="0"/>
          <w:bCs w:val="0"/>
          <w:sz w:val="44"/>
          <w:szCs w:val="44"/>
          <w:shd w:val="clear" w:color="auto" w:fill="FFFFFF"/>
        </w:rPr>
      </w:pPr>
      <w:r>
        <w:rPr>
          <w:rFonts w:hint="eastAsia" w:ascii="Times New Roman" w:hAnsi="Times New Roman" w:eastAsia="方正小标宋_GBK" w:cs="方正小标宋_GBK"/>
          <w:b w:val="0"/>
          <w:bCs w:val="0"/>
          <w:sz w:val="44"/>
          <w:szCs w:val="44"/>
        </w:rPr>
        <w:t>重庆市云阳县蔈草镇</w:t>
      </w:r>
      <w:r>
        <w:rPr>
          <w:rFonts w:hint="eastAsia" w:ascii="Times New Roman" w:hAnsi="Times New Roman" w:eastAsia="方正小标宋_GBK" w:cs="方正小标宋_GBK"/>
          <w:b w:val="0"/>
          <w:bCs w:val="0"/>
          <w:sz w:val="44"/>
          <w:szCs w:val="44"/>
          <w:shd w:val="clear" w:color="auto" w:fill="FFFFFF"/>
        </w:rPr>
        <w:t>2024年度决算公开说明</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center"/>
        <w:textAlignment w:val="auto"/>
        <w:rPr>
          <w:rFonts w:hint="eastAsia" w:ascii="Times New Roman" w:hAnsi="Times New Roman" w:eastAsia="方正小标宋_GBK" w:cs="方正小标宋_GBK"/>
          <w:b w:val="0"/>
          <w:bCs w:val="0"/>
          <w:sz w:val="44"/>
          <w:szCs w:val="44"/>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一、部门基本情况</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（一）职能职责</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1.组织贯彻执行国家财政、税收的法律、法规、政策，拟定全镇财政、国有资产管理、财务、会计方面的管理制度并组织实施，拟订和执行财政分配政策和财政管理体制，拟定财政发展战略和中长期规划，指导全镇财政工作。</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2.管理全镇财政收支，依据《预算法》编制年度财政预算草案和决算，组织执行年度财政预算，管理行政事业性收费、政府性基金（附加）、社会保障资金等，负责财政综合平衡。</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3.负责全镇罚没财物及政府非税收入的组织和管理工作。管理财政票据。</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4</w:t>
      </w:r>
      <w:r>
        <w:rPr>
          <w:rFonts w:hint="eastAsia" w:ascii="Times New Roman" w:hAnsi="Times New Roman" w:eastAsia="方正仿宋_GBK" w:cs="方正仿宋_GBK"/>
          <w:b w:val="0"/>
          <w:bCs w:val="0"/>
          <w:sz w:val="32"/>
          <w:szCs w:val="32"/>
          <w:shd w:val="clear" w:color="auto" w:fill="FFFFFF"/>
          <w:lang w:val="en-US" w:eastAsia="zh-CN"/>
        </w:rPr>
        <w:t>.</w:t>
      </w:r>
      <w:r>
        <w:rPr>
          <w:rFonts w:hint="default" w:ascii="Times New Roman" w:hAnsi="Times New Roman" w:eastAsia="方正仿宋_GBK" w:cs="方正仿宋_GBK"/>
          <w:b w:val="0"/>
          <w:bCs w:val="0"/>
          <w:sz w:val="32"/>
          <w:szCs w:val="32"/>
          <w:shd w:val="clear" w:color="auto" w:fill="FFFFFF"/>
        </w:rPr>
        <w:t>组织执行国库管理制度、国库集中收付制度，指导和监督国库业务开展。拟定和执行政府采购管理制度，负责政府采购监督管理工作。</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5.负责国有资产的管理；组织实施国有资产的清产核资、权属界定、产权登记；负责资产评估项目的合规性审核；负责公共资源的统计、分析。</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6.管理全镇财政公共支出和财政承担的经济发展支出，分配、管理各种有偿、无偿使用的财政专项资金。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7.组织执行《会计法》等法律法规及分行业会计制度，管理全镇会计工作。</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8.组织执行《企业财务通则》和分行业财务制度，执行国家与企业的分配政策。</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9.拟订和执行政府债务管理的制度和管理办法；管理政府债务；负责外国政府贷款、世行贷款等的监管，负责政府投融资管理，负责彩票发行的监管工作。</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10.监督财税方针政策、法律法规的执行情况，检查财政收支管理中的重大问题，查处违反财经法纪的行为。</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11</w:t>
      </w:r>
      <w:r>
        <w:rPr>
          <w:rFonts w:hint="eastAsia" w:ascii="Times New Roman" w:hAnsi="Times New Roman" w:eastAsia="方正仿宋_GBK" w:cs="方正仿宋_GBK"/>
          <w:b w:val="0"/>
          <w:bCs w:val="0"/>
          <w:sz w:val="32"/>
          <w:szCs w:val="32"/>
          <w:shd w:val="clear" w:color="auto" w:fill="FFFFFF"/>
          <w:lang w:val="en-US" w:eastAsia="zh-CN"/>
        </w:rPr>
        <w:t>.</w:t>
      </w:r>
      <w:r>
        <w:rPr>
          <w:rFonts w:hint="default" w:ascii="Times New Roman" w:hAnsi="Times New Roman" w:eastAsia="方正仿宋_GBK" w:cs="方正仿宋_GBK"/>
          <w:b w:val="0"/>
          <w:bCs w:val="0"/>
          <w:sz w:val="32"/>
          <w:szCs w:val="32"/>
          <w:shd w:val="clear" w:color="auto" w:fill="FFFFFF"/>
        </w:rPr>
        <w:t>承办镇党委、镇政府和上级财政单位交办的事项。</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（二）机构设置</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 w:val="0"/>
          <w:bCs w:val="0"/>
          <w:color w:val="FF0000"/>
          <w:sz w:val="32"/>
          <w:szCs w:val="32"/>
          <w:shd w:val="clear" w:color="auto" w:fill="FFFFFF"/>
        </w:rPr>
      </w:pPr>
      <w:r>
        <w:rPr>
          <w:rFonts w:ascii="Times New Roman" w:hAnsi="Times New Roman" w:eastAsia="方正仿宋_GBK" w:cs="方正仿宋_GBK"/>
          <w:b w:val="0"/>
          <w:bCs w:val="0"/>
          <w:sz w:val="32"/>
          <w:szCs w:val="32"/>
        </w:rPr>
        <w:t>云阳县蔈草镇人民政府为县政府组成单位，</w:t>
      </w:r>
      <w:r>
        <w:rPr>
          <w:rFonts w:ascii="Times New Roman" w:hAnsi="Times New Roman" w:eastAsia="方正仿宋_GBK"/>
          <w:b w:val="0"/>
          <w:bCs w:val="0"/>
          <w:sz w:val="32"/>
          <w:szCs w:val="32"/>
        </w:rPr>
        <w:t>本单位共5个内设机构，分别是基层治理综合指挥室、党的建设办公室、经济发展办公室、民生服务办公室、平安法治办公室。</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二、部门决算收支情况说明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（一）收入支出决算总体情况说明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楷体_GBK"/>
          <w:b w:val="0"/>
          <w:bCs w:val="0"/>
          <w:kern w:val="2"/>
          <w:sz w:val="32"/>
          <w:szCs w:val="22"/>
          <w:lang w:val="en-US" w:eastAsia="zh-CN" w:bidi="ar-SA"/>
        </w:rPr>
        <w:t>1.</w:t>
      </w:r>
      <w:r>
        <w:rPr>
          <w:rFonts w:hint="eastAsia" w:ascii="Times New Roman" w:hAnsi="Times New Roman" w:eastAsia="方正仿宋_GBK" w:cs="方正仿宋_GBK"/>
          <w:b w:val="0"/>
          <w:bCs w:val="0"/>
          <w:kern w:val="2"/>
          <w:sz w:val="32"/>
          <w:szCs w:val="22"/>
          <w:lang w:val="en-US" w:eastAsia="zh-CN" w:bidi="ar-SA"/>
        </w:rPr>
        <w:t>总体情况</w:t>
      </w:r>
      <w:r>
        <w:rPr>
          <w:rFonts w:hint="eastAsia" w:ascii="Times New Roman" w:hAnsi="Times New Roman" w:eastAsia="方正仿宋_GBK" w:cs="方正楷体_GBK"/>
          <w:b w:val="0"/>
          <w:bCs w:val="0"/>
          <w:kern w:val="2"/>
          <w:sz w:val="32"/>
          <w:szCs w:val="22"/>
          <w:lang w:val="en-US" w:eastAsia="zh-CN" w:bidi="ar-SA"/>
        </w:rPr>
        <w:t>。</w:t>
      </w:r>
      <w:r>
        <w:rPr>
          <w:rFonts w:ascii="Times New Roman" w:hAnsi="Times New Roman" w:eastAsia="方正仿宋_GBK" w:cs="方正仿宋_GBK"/>
          <w:b w:val="0"/>
          <w:bCs w:val="0"/>
          <w:sz w:val="32"/>
          <w:szCs w:val="32"/>
          <w:shd w:val="clear" w:color="auto" w:fill="FFFFFF"/>
        </w:rPr>
        <w:t>2024年度收入总计3029.27万元，支出总计</w:t>
      </w:r>
      <w:r>
        <w:rPr>
          <w:rFonts w:ascii="Times New Roman" w:hAnsi="Times New Roman" w:eastAsia="方正仿宋_GBK" w:cs="方正仿宋_GBK"/>
          <w:b w:val="0"/>
          <w:bCs w:val="0"/>
          <w:sz w:val="32"/>
          <w:szCs w:val="32"/>
        </w:rPr>
        <w:t>3029.27</w:t>
      </w:r>
      <w:r>
        <w:rPr>
          <w:rFonts w:ascii="Times New Roman" w:hAnsi="Times New Roman" w:eastAsia="方正仿宋_GBK" w:cs="方正仿宋_GBK"/>
          <w:b w:val="0"/>
          <w:bCs w:val="0"/>
          <w:sz w:val="32"/>
          <w:szCs w:val="32"/>
          <w:shd w:val="clear" w:color="auto" w:fill="FFFFFF"/>
        </w:rPr>
        <w:t>万元。2024年度收入与2023年度相比，增加212.78万元，增长7.6%，主要原因是</w:t>
      </w:r>
      <w:r>
        <w:rPr>
          <w:rFonts w:ascii="Times New Roman" w:hAnsi="Times New Roman" w:eastAsia="方正仿宋_GBK"/>
          <w:b w:val="0"/>
          <w:bCs w:val="0"/>
          <w:sz w:val="32"/>
          <w:szCs w:val="32"/>
        </w:rPr>
        <w:t>2024年度民生资金调标，职工工资及社会保障缴费基数上调，政府性基金项目增加，农林水项目及乡镇自编项目增加。2024年度支出</w:t>
      </w:r>
      <w:r>
        <w:rPr>
          <w:rFonts w:ascii="Times New Roman" w:hAnsi="Times New Roman" w:eastAsia="方正仿宋_GBK" w:cs="方正仿宋_GBK"/>
          <w:b w:val="0"/>
          <w:bCs w:val="0"/>
          <w:sz w:val="32"/>
          <w:szCs w:val="32"/>
          <w:shd w:val="clear" w:color="auto" w:fill="FFFFFF"/>
        </w:rPr>
        <w:t>与2023年度相比，增加212.57万元，增长7.6%，主要原因是</w:t>
      </w:r>
      <w:r>
        <w:rPr>
          <w:rFonts w:ascii="Times New Roman" w:hAnsi="Times New Roman" w:eastAsia="方正仿宋_GBK"/>
          <w:b w:val="0"/>
          <w:bCs w:val="0"/>
          <w:sz w:val="32"/>
          <w:szCs w:val="32"/>
        </w:rPr>
        <w:t>2024年度民生资金调标，职工工资及社会保障缴费基数上调，政府性基金项目增加，农林水项目及乡镇自编项目资金实现支付。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eastAsia" w:ascii="Times New Roman" w:hAnsi="Times New Roman" w:eastAsia="方正仿宋_GBK" w:cs="方正楷体_GBK"/>
          <w:b w:val="0"/>
          <w:bCs w:val="0"/>
          <w:kern w:val="2"/>
          <w:sz w:val="32"/>
          <w:szCs w:val="22"/>
          <w:lang w:val="en-US" w:eastAsia="zh-CN" w:bidi="ar-SA"/>
        </w:rPr>
        <w:t>2.</w:t>
      </w:r>
      <w:r>
        <w:rPr>
          <w:rFonts w:hint="eastAsia" w:ascii="Times New Roman" w:hAnsi="Times New Roman" w:eastAsia="方正仿宋_GBK" w:cs="方正仿宋_GBK"/>
          <w:b w:val="0"/>
          <w:bCs w:val="0"/>
          <w:kern w:val="2"/>
          <w:sz w:val="32"/>
          <w:szCs w:val="22"/>
          <w:lang w:val="en-US" w:eastAsia="zh-CN" w:bidi="ar-SA"/>
        </w:rPr>
        <w:t>收入情况</w:t>
      </w:r>
      <w:r>
        <w:rPr>
          <w:rStyle w:val="11"/>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2024年度收入合计3029.27万元，与2023年度相比，增加212.78万元，增长7.6%，主要原因是</w:t>
      </w:r>
      <w:r>
        <w:rPr>
          <w:rFonts w:ascii="Times New Roman" w:hAnsi="Times New Roman" w:eastAsia="方正仿宋_GBK"/>
          <w:b w:val="0"/>
          <w:bCs w:val="0"/>
          <w:sz w:val="32"/>
          <w:szCs w:val="32"/>
        </w:rPr>
        <w:t>2024年度民生资金调标，职工工资及社会保障缴费基数上调，政府性基金项目增加，农林水项目及乡镇自编项目增加。</w:t>
      </w:r>
      <w:r>
        <w:rPr>
          <w:rFonts w:ascii="Times New Roman" w:hAnsi="Times New Roman" w:eastAsia="方正仿宋_GBK" w:cs="方正仿宋_GBK"/>
          <w:b w:val="0"/>
          <w:bCs w:val="0"/>
          <w:sz w:val="32"/>
          <w:szCs w:val="32"/>
          <w:shd w:val="clear" w:color="auto" w:fill="FFFFFF"/>
        </w:rPr>
        <w:t>其中：财政拨款收入</w:t>
      </w:r>
      <w:r>
        <w:rPr>
          <w:rFonts w:ascii="Times New Roman" w:hAnsi="Times New Roman" w:eastAsia="方正仿宋_GBK" w:cs="方正仿宋_GBK"/>
          <w:b w:val="0"/>
          <w:bCs w:val="0"/>
          <w:sz w:val="32"/>
          <w:szCs w:val="32"/>
        </w:rPr>
        <w:t>3029.27</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100.00</w:t>
      </w:r>
      <w:r>
        <w:rPr>
          <w:rFonts w:ascii="Times New Roman" w:hAnsi="Times New Roman" w:eastAsia="方正仿宋_GBK" w:cs="方正仿宋_GBK"/>
          <w:b w:val="0"/>
          <w:bCs w:val="0"/>
          <w:sz w:val="32"/>
          <w:szCs w:val="32"/>
          <w:shd w:val="clear" w:color="auto" w:fill="FFFFFF"/>
        </w:rPr>
        <w:t>%；事业收入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万元，占0.00%；经营收入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万元，占0.00%；其他收入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万元，占0.00%。此外，使用非财政拨款结余和专用结余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万元，年初结转和结余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Style w:val="11"/>
          <w:rFonts w:ascii="Times New Roman" w:hAnsi="Times New Roman" w:eastAsia="方正仿宋_GBK" w:cs="方正仿宋_GBK"/>
          <w:b w:val="0"/>
          <w:bCs w:val="0"/>
          <w:sz w:val="32"/>
          <w:szCs w:val="32"/>
          <w:shd w:val="clear" w:color="auto" w:fill="FFFFFF"/>
        </w:rPr>
        <w:t>3.</w:t>
      </w:r>
      <w:r>
        <w:rPr>
          <w:rStyle w:val="11"/>
          <w:rFonts w:hint="eastAsia" w:ascii="Times New Roman" w:hAnsi="Times New Roman" w:eastAsia="方正仿宋_GBK" w:cs="方正仿宋_GBK"/>
          <w:b w:val="0"/>
          <w:bCs w:val="0"/>
          <w:sz w:val="32"/>
          <w:szCs w:val="32"/>
          <w:shd w:val="clear" w:color="auto" w:fill="FFFFFF"/>
        </w:rPr>
        <w:t>支出情况</w:t>
      </w:r>
      <w:r>
        <w:rPr>
          <w:rStyle w:val="11"/>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2024年度支出合计</w:t>
      </w:r>
      <w:r>
        <w:rPr>
          <w:rFonts w:ascii="Times New Roman" w:hAnsi="Times New Roman" w:eastAsia="方正仿宋_GBK" w:cs="方正仿宋_GBK"/>
          <w:b w:val="0"/>
          <w:bCs w:val="0"/>
          <w:sz w:val="32"/>
          <w:szCs w:val="32"/>
        </w:rPr>
        <w:t>3029.27</w:t>
      </w:r>
      <w:r>
        <w:rPr>
          <w:rFonts w:ascii="Times New Roman" w:hAnsi="Times New Roman" w:eastAsia="方正仿宋_GBK" w:cs="方正仿宋_GBK"/>
          <w:b w:val="0"/>
          <w:bCs w:val="0"/>
          <w:sz w:val="32"/>
          <w:szCs w:val="32"/>
          <w:shd w:val="clear" w:color="auto" w:fill="FFFFFF"/>
        </w:rPr>
        <w:t>万元，与2023年度相比，增加212.57万元，增长7.6%，主要原因是</w:t>
      </w:r>
      <w:r>
        <w:rPr>
          <w:rFonts w:ascii="Times New Roman" w:hAnsi="Times New Roman" w:eastAsia="方正仿宋_GBK"/>
          <w:b w:val="0"/>
          <w:bCs w:val="0"/>
          <w:sz w:val="32"/>
          <w:szCs w:val="32"/>
        </w:rPr>
        <w:t>2024年度民生资金调标，职工工资及社会保障缴费基数上调，政府性基金项目增加，农林水项目及乡镇自编项目资金实现支付。</w:t>
      </w:r>
      <w:r>
        <w:rPr>
          <w:rFonts w:ascii="Times New Roman" w:hAnsi="Times New Roman" w:eastAsia="方正仿宋_GBK" w:cs="方正仿宋_GBK"/>
          <w:b w:val="0"/>
          <w:bCs w:val="0"/>
          <w:sz w:val="32"/>
          <w:szCs w:val="32"/>
          <w:shd w:val="clear" w:color="auto" w:fill="FFFFFF"/>
        </w:rPr>
        <w:t>其中：基本支出</w:t>
      </w:r>
      <w:r>
        <w:rPr>
          <w:rFonts w:ascii="Times New Roman" w:hAnsi="Times New Roman" w:eastAsia="方正仿宋_GBK" w:cs="方正仿宋_GBK"/>
          <w:b w:val="0"/>
          <w:bCs w:val="0"/>
          <w:sz w:val="32"/>
          <w:szCs w:val="32"/>
        </w:rPr>
        <w:t>1225.49</w:t>
      </w:r>
      <w:r>
        <w:rPr>
          <w:rFonts w:ascii="Times New Roman" w:hAnsi="Times New Roman" w:eastAsia="方正仿宋_GBK" w:cs="方正仿宋_GBK"/>
          <w:b w:val="0"/>
          <w:bCs w:val="0"/>
          <w:sz w:val="32"/>
          <w:szCs w:val="32"/>
          <w:shd w:val="clear" w:color="auto" w:fill="FFFFFF"/>
        </w:rPr>
        <w:t>万元，占40.46%；项目支出</w:t>
      </w:r>
      <w:r>
        <w:rPr>
          <w:rFonts w:ascii="Times New Roman" w:hAnsi="Times New Roman" w:eastAsia="方正仿宋_GBK" w:cs="方正仿宋_GBK"/>
          <w:b w:val="0"/>
          <w:bCs w:val="0"/>
          <w:sz w:val="32"/>
          <w:szCs w:val="32"/>
        </w:rPr>
        <w:t>1803.78</w:t>
      </w:r>
      <w:r>
        <w:rPr>
          <w:rFonts w:ascii="Times New Roman" w:hAnsi="Times New Roman" w:eastAsia="方正仿宋_GBK" w:cs="方正仿宋_GBK"/>
          <w:b w:val="0"/>
          <w:bCs w:val="0"/>
          <w:sz w:val="32"/>
          <w:szCs w:val="32"/>
          <w:shd w:val="clear" w:color="auto" w:fill="FFFFFF"/>
        </w:rPr>
        <w:t>万元，占59.54%；经营支出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万元，占0.00%。此外，结余分配</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11"/>
          <w:rFonts w:ascii="Times New Roman" w:hAnsi="Times New Roman" w:eastAsia="方正仿宋_GBK" w:cs="方正仿宋_GBK"/>
          <w:b w:val="0"/>
          <w:bCs w:val="0"/>
          <w:sz w:val="32"/>
          <w:szCs w:val="32"/>
          <w:shd w:val="clear" w:color="auto" w:fill="FFFFFF"/>
        </w:rPr>
        <w:t>4.</w:t>
      </w:r>
      <w:r>
        <w:rPr>
          <w:rStyle w:val="11"/>
          <w:rFonts w:hint="eastAsia" w:ascii="Times New Roman" w:hAnsi="Times New Roman" w:eastAsia="方正仿宋_GBK" w:cs="方正仿宋_GBK"/>
          <w:b w:val="0"/>
          <w:bCs w:val="0"/>
          <w:sz w:val="32"/>
          <w:szCs w:val="32"/>
          <w:shd w:val="clear" w:color="auto" w:fill="FFFFFF"/>
        </w:rPr>
        <w:t>结转结余情况</w:t>
      </w:r>
      <w:r>
        <w:rPr>
          <w:rStyle w:val="11"/>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2024年度年末结转和结余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万元，与2023年度相比，无增减，主要原因是省级以下财政不再实行权责发生制列支。</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2024年度财政拨款收、支总计3029.27万元。与2023年相比，财政拨款收、支总计各增加212.57万元，增长7.6%。主要原因是</w:t>
      </w:r>
      <w:r>
        <w:rPr>
          <w:rFonts w:ascii="Times New Roman" w:hAnsi="Times New Roman" w:eastAsia="方正仿宋_GBK"/>
          <w:b w:val="0"/>
          <w:bCs w:val="0"/>
          <w:sz w:val="32"/>
          <w:szCs w:val="32"/>
        </w:rPr>
        <w:t>2024年度民生资金调标，职工工资及社会保障缴费基数上调，政府性基金项目增加，农林水项目及乡镇自编项目资金实现支付。</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11"/>
          <w:rFonts w:ascii="Times New Roman" w:hAnsi="Times New Roman" w:eastAsia="方正仿宋_GBK" w:cs="方正仿宋_GBK"/>
          <w:b w:val="0"/>
          <w:bCs w:val="0"/>
          <w:sz w:val="32"/>
          <w:szCs w:val="32"/>
          <w:shd w:val="clear" w:color="auto" w:fill="FFFFFF"/>
        </w:rPr>
        <w:t>1.收入情况。</w:t>
      </w:r>
      <w:r>
        <w:rPr>
          <w:rFonts w:ascii="Times New Roman" w:hAnsi="Times New Roman" w:eastAsia="方正仿宋_GBK" w:cs="方正仿宋_GBK"/>
          <w:b w:val="0"/>
          <w:bCs w:val="0"/>
          <w:sz w:val="32"/>
          <w:szCs w:val="32"/>
          <w:shd w:val="clear" w:color="auto" w:fill="FFFFFF"/>
        </w:rPr>
        <w:t>2024年度一般公共预算财政拨款收入</w:t>
      </w:r>
      <w:r>
        <w:rPr>
          <w:rFonts w:ascii="Times New Roman" w:hAnsi="Times New Roman" w:eastAsia="方正仿宋_GBK" w:cs="方正仿宋_GBK"/>
          <w:b w:val="0"/>
          <w:bCs w:val="0"/>
          <w:sz w:val="32"/>
          <w:szCs w:val="32"/>
        </w:rPr>
        <w:t>2973.48</w:t>
      </w:r>
      <w:r>
        <w:rPr>
          <w:rFonts w:ascii="Times New Roman" w:hAnsi="Times New Roman" w:eastAsia="方正仿宋_GBK" w:cs="方正仿宋_GBK"/>
          <w:b w:val="0"/>
          <w:bCs w:val="0"/>
          <w:sz w:val="32"/>
          <w:szCs w:val="32"/>
          <w:shd w:val="clear" w:color="auto" w:fill="FFFFFF"/>
        </w:rPr>
        <w:t>万元，与2023年度相比，增加196.21万元，增长7.1%。主要原因是</w:t>
      </w:r>
      <w:r>
        <w:rPr>
          <w:rFonts w:ascii="Times New Roman" w:hAnsi="Times New Roman" w:eastAsia="方正仿宋_GBK"/>
          <w:b w:val="0"/>
          <w:bCs w:val="0"/>
          <w:sz w:val="32"/>
          <w:szCs w:val="32"/>
        </w:rPr>
        <w:t>2024年度民生资金调标，职工工资及社会保障缴费基数上调，农林水项目及乡镇自编项目资金实现支付。</w:t>
      </w:r>
      <w:r>
        <w:rPr>
          <w:rFonts w:ascii="Times New Roman" w:hAnsi="Times New Roman" w:eastAsia="方正仿宋_GBK" w:cs="方正仿宋_GBK"/>
          <w:b w:val="0"/>
          <w:bCs w:val="0"/>
          <w:sz w:val="32"/>
          <w:szCs w:val="32"/>
          <w:shd w:val="clear" w:color="auto" w:fill="FFFFFF"/>
        </w:rPr>
        <w:t>较年初预算数增加644.87万元，增长27.7%。主要原因是</w:t>
      </w:r>
      <w:r>
        <w:rPr>
          <w:rFonts w:ascii="Times New Roman" w:hAnsi="Times New Roman" w:eastAsia="方正仿宋_GBK"/>
          <w:b w:val="0"/>
          <w:bCs w:val="0"/>
          <w:sz w:val="32"/>
          <w:szCs w:val="32"/>
        </w:rPr>
        <w:t>2024年度民生资金调标，职工工资及社会保障缴费基数上调，农林水项目及乡镇自编项目资金实现支付。</w:t>
      </w:r>
      <w:r>
        <w:rPr>
          <w:rFonts w:ascii="Times New Roman" w:hAnsi="Times New Roman" w:eastAsia="方正仿宋_GBK" w:cs="方正仿宋_GBK"/>
          <w:b w:val="0"/>
          <w:bCs w:val="0"/>
          <w:sz w:val="32"/>
          <w:szCs w:val="32"/>
          <w:shd w:val="clear" w:color="auto" w:fill="FFFFFF"/>
        </w:rPr>
        <w:t>此外，年初财政拨款结转和结余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11"/>
          <w:rFonts w:ascii="Times New Roman" w:hAnsi="Times New Roman" w:eastAsia="方正仿宋_GBK" w:cs="方正仿宋_GBK"/>
          <w:b w:val="0"/>
          <w:bCs w:val="0"/>
          <w:sz w:val="32"/>
          <w:szCs w:val="32"/>
          <w:shd w:val="clear" w:color="auto" w:fill="FFFFFF"/>
        </w:rPr>
        <w:t>2.支出情况。</w:t>
      </w:r>
      <w:r>
        <w:rPr>
          <w:rFonts w:ascii="Times New Roman" w:hAnsi="Times New Roman" w:eastAsia="方正仿宋_GBK" w:cs="方正仿宋_GBK"/>
          <w:b w:val="0"/>
          <w:bCs w:val="0"/>
          <w:sz w:val="32"/>
          <w:szCs w:val="32"/>
          <w:shd w:val="clear" w:color="auto" w:fill="FFFFFF"/>
        </w:rPr>
        <w:t>2024年度一般公共预算财政拨款支出</w:t>
      </w:r>
      <w:r>
        <w:rPr>
          <w:rFonts w:ascii="Times New Roman" w:hAnsi="Times New Roman" w:eastAsia="方正仿宋_GBK" w:cs="方正仿宋_GBK"/>
          <w:b w:val="0"/>
          <w:bCs w:val="0"/>
          <w:sz w:val="32"/>
          <w:szCs w:val="32"/>
        </w:rPr>
        <w:t>2973.48</w:t>
      </w:r>
      <w:r>
        <w:rPr>
          <w:rFonts w:ascii="Times New Roman" w:hAnsi="Times New Roman" w:eastAsia="方正仿宋_GBK" w:cs="方正仿宋_GBK"/>
          <w:b w:val="0"/>
          <w:bCs w:val="0"/>
          <w:sz w:val="32"/>
          <w:szCs w:val="32"/>
          <w:shd w:val="clear" w:color="auto" w:fill="FFFFFF"/>
        </w:rPr>
        <w:t>万元，与2023年度相比，增加196.01万元，增长7.1%。主要原因是</w:t>
      </w:r>
      <w:r>
        <w:rPr>
          <w:rFonts w:ascii="Times New Roman" w:hAnsi="Times New Roman" w:eastAsia="方正仿宋_GBK"/>
          <w:b w:val="0"/>
          <w:bCs w:val="0"/>
          <w:sz w:val="32"/>
          <w:szCs w:val="32"/>
        </w:rPr>
        <w:t>2024年度民生资金调标，职工工资及社会保障缴费基数上调，农林水项目及乡镇自编项目资金实现支付。</w:t>
      </w:r>
      <w:r>
        <w:rPr>
          <w:rFonts w:ascii="Times New Roman" w:hAnsi="Times New Roman" w:eastAsia="方正仿宋_GBK" w:cs="方正仿宋_GBK"/>
          <w:b w:val="0"/>
          <w:bCs w:val="0"/>
          <w:sz w:val="32"/>
          <w:szCs w:val="32"/>
          <w:shd w:val="clear" w:color="auto" w:fill="FFFFFF"/>
        </w:rPr>
        <w:t>较年初预算数增加644.87万元，增长27.7%。主要原因是</w:t>
      </w:r>
      <w:r>
        <w:rPr>
          <w:rFonts w:ascii="Times New Roman" w:hAnsi="Times New Roman" w:eastAsia="方正仿宋_GBK"/>
          <w:b w:val="0"/>
          <w:bCs w:val="0"/>
          <w:sz w:val="32"/>
          <w:szCs w:val="32"/>
        </w:rPr>
        <w:t>2024年度民生资金调标，职工工资及社会保障缴费基数上调，乡镇财政收入增加，追加农林水等项目资金。</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11"/>
          <w:rFonts w:ascii="Times New Roman" w:hAnsi="Times New Roman" w:eastAsia="方正仿宋_GBK" w:cs="方正仿宋_GBK"/>
          <w:b w:val="0"/>
          <w:bCs w:val="0"/>
          <w:sz w:val="32"/>
          <w:szCs w:val="32"/>
          <w:shd w:val="clear" w:color="auto" w:fill="FFFFFF"/>
        </w:rPr>
        <w:t>3.结转结余情况。</w:t>
      </w:r>
      <w:r>
        <w:rPr>
          <w:rFonts w:ascii="Times New Roman" w:hAnsi="Times New Roman" w:eastAsia="方正仿宋_GBK" w:cs="方正仿宋_GBK"/>
          <w:b w:val="0"/>
          <w:bCs w:val="0"/>
          <w:sz w:val="32"/>
          <w:szCs w:val="32"/>
          <w:shd w:val="clear" w:color="auto" w:fill="FFFFFF"/>
        </w:rPr>
        <w:t>2024年度年末一般公共预算财政拨款结转和结余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万元，与2023年度相比，无增减，主要原因是省级以下财政不再实行权责发生制列支。</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color w:val="FF0000"/>
          <w:sz w:val="32"/>
          <w:szCs w:val="32"/>
          <w:highlight w:val="cyan"/>
          <w:shd w:val="clear" w:color="auto" w:fill="FFFFFF"/>
        </w:rPr>
      </w:pPr>
      <w:r>
        <w:rPr>
          <w:rStyle w:val="11"/>
          <w:rFonts w:ascii="Times New Roman" w:hAnsi="Times New Roman" w:eastAsia="方正仿宋_GBK" w:cs="方正仿宋_GBK"/>
          <w:b w:val="0"/>
          <w:bCs w:val="0"/>
          <w:sz w:val="32"/>
          <w:szCs w:val="32"/>
          <w:shd w:val="clear" w:color="auto" w:fill="FFFFFF"/>
        </w:rPr>
        <w:t>4.比较情况。</w:t>
      </w:r>
      <w:r>
        <w:rPr>
          <w:rFonts w:ascii="Times New Roman" w:hAnsi="Times New Roman" w:eastAsia="方正仿宋_GBK" w:cs="方正仿宋_GBK"/>
          <w:b w:val="0"/>
          <w:bCs w:val="0"/>
          <w:sz w:val="32"/>
          <w:szCs w:val="32"/>
          <w:shd w:val="clear" w:color="auto" w:fill="FFFFFF"/>
        </w:rPr>
        <w:t>本部门2024年度一般公共预算财政拨款支出主要用于以下几个方面：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（1）一般公共服务支出</w:t>
      </w:r>
      <w:r>
        <w:rPr>
          <w:rFonts w:ascii="Times New Roman" w:hAnsi="Times New Roman" w:eastAsia="方正仿宋_GBK" w:cs="方正仿宋_GBK"/>
          <w:b w:val="0"/>
          <w:bCs w:val="0"/>
          <w:sz w:val="32"/>
          <w:szCs w:val="32"/>
        </w:rPr>
        <w:t>798.89</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26.87</w:t>
      </w:r>
      <w:r>
        <w:rPr>
          <w:rFonts w:ascii="Times New Roman" w:hAnsi="Times New Roman" w:eastAsia="方正仿宋_GBK" w:cs="方正仿宋_GBK"/>
          <w:b w:val="0"/>
          <w:bCs w:val="0"/>
          <w:sz w:val="32"/>
          <w:szCs w:val="32"/>
          <w:shd w:val="clear" w:color="auto" w:fill="FFFFFF"/>
        </w:rPr>
        <w:t>%，较年初预算数增加115.43万元，增长16.9%，主要原因是2024年机构改革，按照财政口径，事业单位人员经费的功能分类变更，导致该支出增加。</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（2）公共安全支出</w:t>
      </w:r>
      <w:r>
        <w:rPr>
          <w:rFonts w:ascii="Times New Roman" w:hAnsi="Times New Roman" w:eastAsia="方正仿宋_GBK" w:cs="方正仿宋_GBK"/>
          <w:b w:val="0"/>
          <w:bCs w:val="0"/>
          <w:sz w:val="32"/>
          <w:szCs w:val="32"/>
        </w:rPr>
        <w:t>1.70</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0.06</w:t>
      </w:r>
      <w:r>
        <w:rPr>
          <w:rFonts w:ascii="Times New Roman" w:hAnsi="Times New Roman" w:eastAsia="方正仿宋_GBK" w:cs="方正仿宋_GBK"/>
          <w:b w:val="0"/>
          <w:bCs w:val="0"/>
          <w:sz w:val="32"/>
          <w:szCs w:val="32"/>
          <w:shd w:val="clear" w:color="auto" w:fill="FFFFFF"/>
        </w:rPr>
        <w:t>%，较年初预算数减少0.85万元，下降33.3%，主要原因是年底该项目资金未实现全额支付。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（3）文化旅游体育与传媒支出</w:t>
      </w:r>
      <w:r>
        <w:rPr>
          <w:rFonts w:ascii="Times New Roman" w:hAnsi="Times New Roman" w:eastAsia="方正仿宋_GBK" w:cs="方正仿宋_GBK"/>
          <w:b w:val="0"/>
          <w:bCs w:val="0"/>
          <w:sz w:val="32"/>
          <w:szCs w:val="32"/>
        </w:rPr>
        <w:t>27.37</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0.92</w:t>
      </w:r>
      <w:r>
        <w:rPr>
          <w:rFonts w:ascii="Times New Roman" w:hAnsi="Times New Roman" w:eastAsia="方正仿宋_GBK" w:cs="方正仿宋_GBK"/>
          <w:b w:val="0"/>
          <w:bCs w:val="0"/>
          <w:sz w:val="32"/>
          <w:szCs w:val="32"/>
          <w:shd w:val="clear" w:color="auto" w:fill="FFFFFF"/>
        </w:rPr>
        <w:t>%，较年初预算数减少31.05万元，下降53.2%，主要原因是2024年机构改革，该事业单位的人员经费支出功能分类变更。</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（4）社会保障与就业支出</w:t>
      </w:r>
      <w:r>
        <w:rPr>
          <w:rFonts w:ascii="Times New Roman" w:hAnsi="Times New Roman" w:eastAsia="方正仿宋_GBK" w:cs="方正仿宋_GBK"/>
          <w:b w:val="0"/>
          <w:bCs w:val="0"/>
          <w:sz w:val="32"/>
          <w:szCs w:val="32"/>
        </w:rPr>
        <w:t>1152.06</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38.74</w:t>
      </w:r>
      <w:r>
        <w:rPr>
          <w:rFonts w:ascii="Times New Roman" w:hAnsi="Times New Roman" w:eastAsia="方正仿宋_GBK" w:cs="方正仿宋_GBK"/>
          <w:b w:val="0"/>
          <w:bCs w:val="0"/>
          <w:sz w:val="32"/>
          <w:szCs w:val="32"/>
          <w:shd w:val="clear" w:color="auto" w:fill="FFFFFF"/>
        </w:rPr>
        <w:t>%，较年初预算数增加287.05万元，增长33.2%，主要原因是民政优抚低保资金追加预算，工资调标后社保缴费基数上调，社区干部工资及社保调标。</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color w:val="FF0000"/>
          <w:sz w:val="32"/>
          <w:szCs w:val="32"/>
          <w:shd w:val="clear" w:color="auto" w:fill="FFFFFF"/>
        </w:rPr>
      </w:pPr>
      <w:r>
        <w:rPr>
          <w:rFonts w:ascii="Times New Roman" w:hAnsi="Times New Roman" w:eastAsia="方正仿宋_GBK" w:cs="方正仿宋_GBK"/>
          <w:b w:val="0"/>
          <w:bCs w:val="0"/>
          <w:sz w:val="32"/>
          <w:szCs w:val="32"/>
          <w:shd w:val="clear" w:color="auto" w:fill="FFFFFF"/>
        </w:rPr>
        <w:t>（5）卫生健康支出</w:t>
      </w:r>
      <w:r>
        <w:rPr>
          <w:rFonts w:ascii="Times New Roman" w:hAnsi="Times New Roman" w:eastAsia="方正仿宋_GBK" w:cs="方正仿宋_GBK"/>
          <w:b w:val="0"/>
          <w:bCs w:val="0"/>
          <w:sz w:val="32"/>
          <w:szCs w:val="32"/>
        </w:rPr>
        <w:t>56.81</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1.91</w:t>
      </w:r>
      <w:r>
        <w:rPr>
          <w:rFonts w:ascii="Times New Roman" w:hAnsi="Times New Roman" w:eastAsia="方正仿宋_GBK" w:cs="方正仿宋_GBK"/>
          <w:b w:val="0"/>
          <w:bCs w:val="0"/>
          <w:sz w:val="32"/>
          <w:szCs w:val="32"/>
          <w:shd w:val="clear" w:color="auto" w:fill="FFFFFF"/>
        </w:rPr>
        <w:t>%，较年初预算数减少5.02万元，下降8.1%，主要原因是2024年度新增退休人员，在职人员减少。</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（6）节能环保支出</w:t>
      </w:r>
      <w:r>
        <w:rPr>
          <w:rFonts w:ascii="Times New Roman" w:hAnsi="Times New Roman" w:eastAsia="方正仿宋_GBK" w:cs="方正仿宋_GBK"/>
          <w:b w:val="0"/>
          <w:bCs w:val="0"/>
          <w:sz w:val="32"/>
          <w:szCs w:val="32"/>
        </w:rPr>
        <w:t>195.30</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6.57</w:t>
      </w:r>
      <w:r>
        <w:rPr>
          <w:rFonts w:ascii="Times New Roman" w:hAnsi="Times New Roman" w:eastAsia="方正仿宋_GBK" w:cs="方正仿宋_GBK"/>
          <w:b w:val="0"/>
          <w:bCs w:val="0"/>
          <w:sz w:val="32"/>
          <w:szCs w:val="32"/>
          <w:shd w:val="clear" w:color="auto" w:fill="FFFFFF"/>
        </w:rPr>
        <w:t>%，较年初预算数增加60.30万元，增长44.7%，主要原因是2024年度追加水体污染防治和林业生态保护资金预算。</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（7）城乡社区支出</w:t>
      </w:r>
      <w:r>
        <w:rPr>
          <w:rFonts w:ascii="Times New Roman" w:hAnsi="Times New Roman" w:eastAsia="方正仿宋_GBK" w:cs="方正仿宋_GBK"/>
          <w:b w:val="0"/>
          <w:bCs w:val="0"/>
          <w:sz w:val="32"/>
          <w:szCs w:val="32"/>
        </w:rPr>
        <w:t>20.80</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0.70</w:t>
      </w:r>
      <w:r>
        <w:rPr>
          <w:rFonts w:ascii="Times New Roman" w:hAnsi="Times New Roman" w:eastAsia="方正仿宋_GBK" w:cs="方正仿宋_GBK"/>
          <w:b w:val="0"/>
          <w:bCs w:val="0"/>
          <w:sz w:val="32"/>
          <w:szCs w:val="32"/>
          <w:shd w:val="clear" w:color="auto" w:fill="FFFFFF"/>
        </w:rPr>
        <w:t>%，较年初预算数增加10.00万元，增长92.6%，主要原因是2024年度将上年人居环境整治资金支付。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（8）农林水支出</w:t>
      </w:r>
      <w:r>
        <w:rPr>
          <w:rFonts w:ascii="Times New Roman" w:hAnsi="Times New Roman" w:eastAsia="方正仿宋_GBK" w:cs="方正仿宋_GBK"/>
          <w:b w:val="0"/>
          <w:bCs w:val="0"/>
          <w:sz w:val="32"/>
          <w:szCs w:val="32"/>
        </w:rPr>
        <w:t>494.78</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16.64</w:t>
      </w:r>
      <w:r>
        <w:rPr>
          <w:rFonts w:ascii="Times New Roman" w:hAnsi="Times New Roman" w:eastAsia="方正仿宋_GBK" w:cs="方正仿宋_GBK"/>
          <w:b w:val="0"/>
          <w:bCs w:val="0"/>
          <w:sz w:val="32"/>
          <w:szCs w:val="32"/>
          <w:shd w:val="clear" w:color="auto" w:fill="FFFFFF"/>
        </w:rPr>
        <w:t>%，较年初预算数增加63.79万元，增长14.8%，主要原因是2024年度追加农林水项目资金，村干部工资及社保缴费基数调标。</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color w:val="FF0000"/>
          <w:sz w:val="32"/>
          <w:szCs w:val="32"/>
          <w:shd w:val="clear" w:color="auto" w:fill="FFFFFF"/>
        </w:rPr>
      </w:pPr>
      <w:r>
        <w:rPr>
          <w:rFonts w:ascii="Times New Roman" w:hAnsi="Times New Roman" w:eastAsia="方正仿宋_GBK" w:cs="方正仿宋_GBK"/>
          <w:b w:val="0"/>
          <w:bCs w:val="0"/>
          <w:sz w:val="32"/>
          <w:szCs w:val="32"/>
          <w:shd w:val="clear" w:color="auto" w:fill="FFFFFF"/>
        </w:rPr>
        <w:t>（9）交通运输支出</w:t>
      </w:r>
      <w:r>
        <w:rPr>
          <w:rFonts w:ascii="Times New Roman" w:hAnsi="Times New Roman" w:eastAsia="方正仿宋_GBK" w:cs="方正仿宋_GBK"/>
          <w:b w:val="0"/>
          <w:bCs w:val="0"/>
          <w:sz w:val="32"/>
          <w:szCs w:val="32"/>
        </w:rPr>
        <w:t>117.68</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3.96</w:t>
      </w:r>
      <w:r>
        <w:rPr>
          <w:rFonts w:ascii="Times New Roman" w:hAnsi="Times New Roman" w:eastAsia="方正仿宋_GBK" w:cs="方正仿宋_GBK"/>
          <w:b w:val="0"/>
          <w:bCs w:val="0"/>
          <w:sz w:val="32"/>
          <w:szCs w:val="32"/>
          <w:shd w:val="clear" w:color="auto" w:fill="FFFFFF"/>
        </w:rPr>
        <w:t>%，较年初预算数增加117.68万元，增长100.0%，主要原因是公路项目在上年未验收拨付，2024年度验收拨付农村公路建设资金。</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（10）</w:t>
      </w:r>
      <w:r>
        <w:rPr>
          <w:rFonts w:ascii="Times New Roman" w:hAnsi="Times New Roman" w:eastAsia="方正仿宋_GBK" w:cs="方正仿宋_GBK"/>
          <w:b w:val="0"/>
          <w:bCs w:val="0"/>
          <w:sz w:val="32"/>
          <w:szCs w:val="32"/>
        </w:rPr>
        <w:t>自然资源海洋气象等支出22.75</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0.77</w:t>
      </w:r>
      <w:r>
        <w:rPr>
          <w:rFonts w:ascii="Times New Roman" w:hAnsi="Times New Roman" w:eastAsia="方正仿宋_GBK" w:cs="方正仿宋_GBK"/>
          <w:b w:val="0"/>
          <w:bCs w:val="0"/>
          <w:sz w:val="32"/>
          <w:szCs w:val="32"/>
          <w:shd w:val="clear" w:color="auto" w:fill="FFFFFF"/>
        </w:rPr>
        <w:t>%，较年初预算数增加15.93万元，增长233.6%，主要原因是2024年度验收拨付农村耕地流出恢复补足资金。</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（11）</w:t>
      </w:r>
      <w:r>
        <w:rPr>
          <w:rFonts w:ascii="Times New Roman" w:hAnsi="Times New Roman" w:eastAsia="方正仿宋_GBK" w:cs="方正仿宋_GBK"/>
          <w:b w:val="0"/>
          <w:bCs w:val="0"/>
          <w:sz w:val="32"/>
          <w:szCs w:val="32"/>
        </w:rPr>
        <w:t>住房保障支出68.79</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2.31</w:t>
      </w:r>
      <w:r>
        <w:rPr>
          <w:rFonts w:ascii="Times New Roman" w:hAnsi="Times New Roman" w:eastAsia="方正仿宋_GBK" w:cs="方正仿宋_GBK"/>
          <w:b w:val="0"/>
          <w:bCs w:val="0"/>
          <w:sz w:val="32"/>
          <w:szCs w:val="32"/>
          <w:shd w:val="clear" w:color="auto" w:fill="FFFFFF"/>
        </w:rPr>
        <w:t>%，较年初预算数增加5.27万元，增长8.3%，主要原因是工资调标，住房公积金清算追加资金。</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方正仿宋_GBK"/>
          <w:b w:val="0"/>
          <w:bCs w:val="0"/>
          <w:color w:val="FF0000"/>
          <w:sz w:val="32"/>
          <w:szCs w:val="32"/>
          <w:shd w:val="clear" w:color="auto" w:fill="FFFFFF"/>
        </w:rPr>
      </w:pPr>
      <w:r>
        <w:rPr>
          <w:rFonts w:ascii="Times New Roman" w:hAnsi="Times New Roman" w:eastAsia="方正仿宋_GBK" w:cs="方正仿宋_GBK"/>
          <w:b w:val="0"/>
          <w:bCs w:val="0"/>
          <w:sz w:val="32"/>
          <w:szCs w:val="32"/>
          <w:shd w:val="clear" w:color="auto" w:fill="FFFFFF"/>
        </w:rPr>
        <w:t>（12）</w:t>
      </w:r>
      <w:r>
        <w:rPr>
          <w:rFonts w:ascii="Times New Roman" w:hAnsi="Times New Roman" w:eastAsia="方正仿宋_GBK" w:cs="方正仿宋_GBK"/>
          <w:b w:val="0"/>
          <w:bCs w:val="0"/>
          <w:sz w:val="32"/>
          <w:szCs w:val="32"/>
        </w:rPr>
        <w:t>灾害防治及应急管理支出16.55</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0.56</w:t>
      </w:r>
      <w:r>
        <w:rPr>
          <w:rFonts w:ascii="Times New Roman" w:hAnsi="Times New Roman" w:eastAsia="方正仿宋_GBK" w:cs="方正仿宋_GBK"/>
          <w:b w:val="0"/>
          <w:bCs w:val="0"/>
          <w:sz w:val="32"/>
          <w:szCs w:val="32"/>
          <w:shd w:val="clear" w:color="auto" w:fill="FFFFFF"/>
        </w:rPr>
        <w:t>%，较年初预算数增加13.35万元，增长417.2%，主要原因是2024年度新增冬春救助、自然灾害等救助资金。</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2024年度一般公共财政拨款基本支出</w:t>
      </w:r>
      <w:r>
        <w:rPr>
          <w:rFonts w:ascii="Times New Roman" w:hAnsi="Times New Roman" w:eastAsia="方正仿宋_GBK" w:cs="方正仿宋_GBK"/>
          <w:b w:val="0"/>
          <w:bCs w:val="0"/>
          <w:sz w:val="32"/>
          <w:szCs w:val="32"/>
        </w:rPr>
        <w:t>1225.49</w:t>
      </w:r>
      <w:r>
        <w:rPr>
          <w:rFonts w:ascii="Times New Roman" w:hAnsi="Times New Roman" w:eastAsia="方正仿宋_GBK" w:cs="方正仿宋_GBK"/>
          <w:b w:val="0"/>
          <w:bCs w:val="0"/>
          <w:sz w:val="32"/>
          <w:szCs w:val="32"/>
          <w:shd w:val="clear" w:color="auto" w:fill="FFFFFF"/>
        </w:rPr>
        <w:t>万元。其中：人员经费</w:t>
      </w:r>
      <w:r>
        <w:rPr>
          <w:rFonts w:ascii="Times New Roman" w:hAnsi="Times New Roman" w:eastAsia="方正仿宋_GBK" w:cs="方正仿宋_GBK"/>
          <w:b w:val="0"/>
          <w:bCs w:val="0"/>
          <w:sz w:val="32"/>
          <w:szCs w:val="32"/>
        </w:rPr>
        <w:t>1022.78</w:t>
      </w:r>
      <w:r>
        <w:rPr>
          <w:rFonts w:ascii="Times New Roman" w:hAnsi="Times New Roman" w:eastAsia="方正仿宋_GBK" w:cs="方正仿宋_GBK"/>
          <w:b w:val="0"/>
          <w:bCs w:val="0"/>
          <w:sz w:val="32"/>
          <w:szCs w:val="32"/>
          <w:shd w:val="clear" w:color="auto" w:fill="FFFFFF"/>
        </w:rPr>
        <w:t>万元，与2023年度相比，增加29.37万元，增长3.0%，主要原因是工资调标，社保缴费基数上调，人员经费增加。人员经费用途主要包括</w:t>
      </w:r>
      <w:r>
        <w:rPr>
          <w:rFonts w:ascii="Times New Roman" w:hAnsi="Times New Roman" w:eastAsia="方正仿宋_GBK" w:cs="方正仿宋_GBK"/>
          <w:b w:val="0"/>
          <w:bCs w:val="0"/>
          <w:sz w:val="32"/>
        </w:rPr>
        <w:t>职工统发工资、职工考核、社会保险缴费及住房公积金等。</w:t>
      </w:r>
      <w:r>
        <w:rPr>
          <w:rFonts w:ascii="Times New Roman" w:hAnsi="Times New Roman" w:eastAsia="方正仿宋_GBK" w:cs="方正仿宋_GBK"/>
          <w:b w:val="0"/>
          <w:bCs w:val="0"/>
          <w:sz w:val="32"/>
          <w:szCs w:val="32"/>
          <w:shd w:val="clear" w:color="auto" w:fill="FFFFFF"/>
        </w:rPr>
        <w:t>公用经费</w:t>
      </w:r>
      <w:r>
        <w:rPr>
          <w:rFonts w:ascii="Times New Roman" w:hAnsi="Times New Roman" w:eastAsia="方正仿宋_GBK" w:cs="方正仿宋_GBK"/>
          <w:b w:val="0"/>
          <w:bCs w:val="0"/>
          <w:sz w:val="32"/>
          <w:szCs w:val="32"/>
        </w:rPr>
        <w:t>202.71</w:t>
      </w:r>
      <w:r>
        <w:rPr>
          <w:rFonts w:ascii="Times New Roman" w:hAnsi="Times New Roman" w:eastAsia="方正仿宋_GBK" w:cs="方正仿宋_GBK"/>
          <w:b w:val="0"/>
          <w:bCs w:val="0"/>
          <w:sz w:val="32"/>
          <w:szCs w:val="32"/>
          <w:shd w:val="clear" w:color="auto" w:fill="FFFFFF"/>
        </w:rPr>
        <w:t>万元，与2023年度相比，增加14.23万元，增长7.6%，主要原因是上年度未实现支付的部分公用经费在本年度支付。公用经费用途主要包括</w:t>
      </w:r>
      <w:r>
        <w:rPr>
          <w:rFonts w:ascii="Times New Roman" w:hAnsi="Times New Roman" w:eastAsia="方正仿宋_GBK" w:cs="方正仿宋_GBK"/>
          <w:b w:val="0"/>
          <w:bCs w:val="0"/>
          <w:sz w:val="32"/>
          <w:szCs w:val="32"/>
        </w:rPr>
        <w:t>办公费、差旅费、咨询费、水电费、维修（护）费、劳务费、广告费等。</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楷体_GBK"/>
          <w:b w:val="0"/>
          <w:bCs w:val="0"/>
          <w:sz w:val="32"/>
          <w:szCs w:val="32"/>
          <w:highlight w:val="none"/>
          <w:shd w:val="clear" w:color="auto" w:fill="FFFFFF"/>
          <w:lang w:eastAsia="zh-CN"/>
        </w:rPr>
      </w:pPr>
      <w:r>
        <w:rPr>
          <w:rFonts w:hint="eastAsia" w:ascii="Times New Roman" w:hAnsi="Times New Roman" w:eastAsia="方正楷体_GBK" w:cs="方正楷体_GBK"/>
          <w:b w:val="0"/>
          <w:bCs w:val="0"/>
          <w:kern w:val="2"/>
          <w:sz w:val="32"/>
          <w:szCs w:val="32"/>
          <w:lang w:val="en-US" w:eastAsia="zh-CN" w:bidi="ar-SA"/>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2024年度政府性基金预算财政拨款年初结转结余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万元，年末结转结余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万元。本年收入</w:t>
      </w:r>
      <w:r>
        <w:rPr>
          <w:rFonts w:ascii="Times New Roman" w:hAnsi="Times New Roman" w:eastAsia="方正仿宋_GBK" w:cs="方正仿宋_GBK"/>
          <w:b w:val="0"/>
          <w:bCs w:val="0"/>
          <w:sz w:val="32"/>
          <w:szCs w:val="32"/>
        </w:rPr>
        <w:t>55.79</w:t>
      </w:r>
      <w:r>
        <w:rPr>
          <w:rFonts w:ascii="Times New Roman" w:hAnsi="Times New Roman" w:eastAsia="方正仿宋_GBK" w:cs="方正仿宋_GBK"/>
          <w:b w:val="0"/>
          <w:bCs w:val="0"/>
          <w:sz w:val="32"/>
          <w:szCs w:val="32"/>
          <w:shd w:val="clear" w:color="auto" w:fill="FFFFFF"/>
        </w:rPr>
        <w:t>万元，与2023年度相比，增加16.57万元，增长42.3%，主要原因是2024年度追加彩票公益金项目支出。本年支出</w:t>
      </w:r>
      <w:r>
        <w:rPr>
          <w:rFonts w:ascii="Times New Roman" w:hAnsi="Times New Roman" w:eastAsia="方正仿宋_GBK" w:cs="方正仿宋_GBK"/>
          <w:b w:val="0"/>
          <w:bCs w:val="0"/>
          <w:sz w:val="32"/>
          <w:szCs w:val="32"/>
        </w:rPr>
        <w:t>55.79</w:t>
      </w:r>
      <w:r>
        <w:rPr>
          <w:rFonts w:ascii="Times New Roman" w:hAnsi="Times New Roman" w:eastAsia="方正仿宋_GBK" w:cs="方正仿宋_GBK"/>
          <w:b w:val="0"/>
          <w:bCs w:val="0"/>
          <w:sz w:val="32"/>
          <w:szCs w:val="32"/>
          <w:shd w:val="clear" w:color="auto" w:fill="FFFFFF"/>
        </w:rPr>
        <w:t>万元，与2023年度相比，增加16.57万元，增长42.3%，主要原因是2024年度追加彩票公益金项目支出。</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2024年度国有资本经营预算财政拨款本年支出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万元，基本支出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万元，项目支出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万元。本部门2024年度无国有资本经营预算财政拨款支出。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val="en-US" w:eastAsia="zh-CN"/>
        </w:rPr>
        <w:t>三、财政拨款“三公”经费情况说明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2024年度“三公”经费支出共计</w:t>
      </w:r>
      <w:r>
        <w:rPr>
          <w:rFonts w:ascii="Times New Roman" w:hAnsi="Times New Roman" w:eastAsia="方正仿宋_GBK" w:cs="方正仿宋_GBK"/>
          <w:b w:val="0"/>
          <w:bCs w:val="0"/>
          <w:sz w:val="32"/>
          <w:szCs w:val="32"/>
        </w:rPr>
        <w:t>6.33</w:t>
      </w:r>
      <w:r>
        <w:rPr>
          <w:rFonts w:ascii="Times New Roman" w:hAnsi="Times New Roman" w:eastAsia="方正仿宋_GBK" w:cs="方正仿宋_GBK"/>
          <w:b w:val="0"/>
          <w:bCs w:val="0"/>
          <w:sz w:val="32"/>
          <w:szCs w:val="32"/>
          <w:shd w:val="clear" w:color="auto" w:fill="FFFFFF"/>
        </w:rPr>
        <w:t>万元，较年初预算数减少3.73万元，下降37.1%，主要原因是机关厉行节约，压减了三公经费支出。较上年支出数增加4.92万元，增长348.9%，主要原因是2024年度公车维修费及保险费增加，公务接待次数增多，公务接待费增加。</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2024年度本部门因公出国（境）费用</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万元，费用支出较年初预算数无增减，与2023年度相比，无增减，主要原因是2024年度本单位没有发生因公出国（境）费用。</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公务车购置费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万元，费用支出较年初预算数无增减，与2023年度相比，无增减，主要原因是2024年度未购置公务用车。</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2.59</w:t>
      </w:r>
      <w:r>
        <w:rPr>
          <w:rFonts w:ascii="Times New Roman" w:hAnsi="Times New Roman" w:eastAsia="方正仿宋_GBK" w:cs="方正仿宋_GBK"/>
          <w:b w:val="0"/>
          <w:bCs w:val="0"/>
          <w:sz w:val="32"/>
          <w:szCs w:val="32"/>
          <w:shd w:val="clear" w:color="auto" w:fill="FFFFFF"/>
        </w:rPr>
        <w:t>万元，主要用于公务车保险费、油费及日常维修维护费。费用支出较年初预算数减少4.11万元，下降61.3%，主要原因是厉行节约，压减公务车运行维护费。较上年支出数增加2.11万元，增长439.6%，主要原因是2024年度公车维修费及保险费增加。</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3.74</w:t>
      </w:r>
      <w:r>
        <w:rPr>
          <w:rFonts w:ascii="Times New Roman" w:hAnsi="Times New Roman" w:eastAsia="方正仿宋_GBK" w:cs="方正仿宋_GBK"/>
          <w:b w:val="0"/>
          <w:bCs w:val="0"/>
          <w:sz w:val="32"/>
          <w:szCs w:val="32"/>
          <w:shd w:val="clear" w:color="auto" w:fill="FFFFFF"/>
        </w:rPr>
        <w:t>万元，主要用于接待上级单位来我单位调研、考察、检查等支出。费用支出较年初预算数增加0.37万元，增长11.0%，主要原因是上年未实现支付的部分公务接待费在本年支付。较上年支出数增加2.81万元，增长302.2%，主要原因是上年未实现支付的部分公务接待费在本年支付。</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2024年度本部门因公出国（境）共计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个团组，</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人；公务用车购置</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辆，公务车保有量为</w:t>
      </w:r>
      <w:r>
        <w:rPr>
          <w:rFonts w:ascii="Times New Roman" w:hAnsi="Times New Roman" w:eastAsia="方正仿宋_GBK" w:cs="方正仿宋_GBK"/>
          <w:b w:val="0"/>
          <w:bCs w:val="0"/>
          <w:sz w:val="32"/>
          <w:szCs w:val="32"/>
        </w:rPr>
        <w:t>2</w:t>
      </w:r>
      <w:r>
        <w:rPr>
          <w:rFonts w:ascii="Times New Roman" w:hAnsi="Times New Roman" w:eastAsia="方正仿宋_GBK" w:cs="方正仿宋_GBK"/>
          <w:b w:val="0"/>
          <w:bCs w:val="0"/>
          <w:sz w:val="32"/>
          <w:szCs w:val="32"/>
          <w:shd w:val="clear" w:color="auto" w:fill="FFFFFF"/>
        </w:rPr>
        <w:t>辆；国内公务接待</w:t>
      </w:r>
      <w:r>
        <w:rPr>
          <w:rFonts w:ascii="Times New Roman" w:hAnsi="Times New Roman" w:eastAsia="方正仿宋_GBK" w:cs="方正仿宋_GBK"/>
          <w:b w:val="0"/>
          <w:bCs w:val="0"/>
          <w:sz w:val="32"/>
          <w:szCs w:val="32"/>
        </w:rPr>
        <w:t>125</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747</w:t>
      </w:r>
      <w:r>
        <w:rPr>
          <w:rFonts w:ascii="Times New Roman" w:hAnsi="Times New Roman" w:eastAsia="方正仿宋_GBK" w:cs="方正仿宋_GBK"/>
          <w:b w:val="0"/>
          <w:bCs w:val="0"/>
          <w:sz w:val="32"/>
          <w:szCs w:val="32"/>
          <w:shd w:val="clear" w:color="auto" w:fill="FFFFFF"/>
        </w:rPr>
        <w:t>人，其中：国内外事接待</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人；国（境）外公务接待</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人。2024年本部门人均接待费</w:t>
      </w:r>
      <w:r>
        <w:rPr>
          <w:rFonts w:ascii="Times New Roman" w:hAnsi="Times New Roman" w:eastAsia="方正仿宋_GBK" w:cs="方正仿宋_GBK"/>
          <w:b w:val="0"/>
          <w:bCs w:val="0"/>
          <w:sz w:val="32"/>
          <w:szCs w:val="32"/>
        </w:rPr>
        <w:t>50.05</w:t>
      </w:r>
      <w:r>
        <w:rPr>
          <w:rFonts w:ascii="Times New Roman" w:hAnsi="Times New Roman" w:eastAsia="方正仿宋_GBK" w:cs="方正仿宋_GBK"/>
          <w:b w:val="0"/>
          <w:bCs w:val="0"/>
          <w:sz w:val="32"/>
          <w:szCs w:val="32"/>
          <w:shd w:val="clear" w:color="auto" w:fill="FFFFFF"/>
        </w:rPr>
        <w:t>元，车均购置费</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万元，车均维护费</w:t>
      </w:r>
      <w:r>
        <w:rPr>
          <w:rFonts w:ascii="Times New Roman" w:hAnsi="Times New Roman" w:eastAsia="方正仿宋_GBK" w:cs="方正仿宋_GBK"/>
          <w:b w:val="0"/>
          <w:bCs w:val="0"/>
          <w:sz w:val="32"/>
          <w:szCs w:val="32"/>
        </w:rPr>
        <w:t>1.30</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四、其他需要说明的事项</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楷体_GBK"/>
          <w:b w:val="0"/>
          <w:bCs w:val="0"/>
          <w:sz w:val="32"/>
          <w:szCs w:val="32"/>
          <w:shd w:val="clear" w:color="auto" w:fill="FFFFFF"/>
          <w:lang w:eastAsia="zh-CN"/>
        </w:rPr>
      </w:pPr>
      <w:r>
        <w:rPr>
          <w:rFonts w:hint="eastAsia" w:ascii="Times New Roman" w:hAnsi="Times New Roman" w:eastAsia="方正楷体_GBK" w:cs="方正楷体_GBK"/>
          <w:b w:val="0"/>
          <w:bCs w:val="0"/>
          <w:kern w:val="2"/>
          <w:sz w:val="32"/>
          <w:szCs w:val="32"/>
          <w:lang w:val="en-US" w:eastAsia="zh-CN" w:bidi="ar-SA"/>
        </w:rPr>
        <w:t>（一）财政拨款会议费和培训费情况说明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0.80</w:t>
      </w:r>
      <w:r>
        <w:rPr>
          <w:rFonts w:ascii="Times New Roman" w:hAnsi="Times New Roman" w:eastAsia="方正仿宋_GBK" w:cs="方正仿宋_GBK"/>
          <w:b w:val="0"/>
          <w:bCs w:val="0"/>
          <w:sz w:val="32"/>
          <w:szCs w:val="32"/>
          <w:shd w:val="clear" w:color="auto" w:fill="FFFFFF"/>
        </w:rPr>
        <w:t>万元，与2023年度相比，减少2.47万元，下降75.5%，主要原因是本年度会议次数减少，会议费减少。本年度培训费支出</w:t>
      </w:r>
      <w:r>
        <w:rPr>
          <w:rFonts w:ascii="Times New Roman" w:hAnsi="Times New Roman" w:eastAsia="方正仿宋_GBK" w:cs="方正仿宋_GBK"/>
          <w:b w:val="0"/>
          <w:bCs w:val="0"/>
          <w:sz w:val="32"/>
          <w:szCs w:val="32"/>
        </w:rPr>
        <w:t>4.11</w:t>
      </w:r>
      <w:r>
        <w:rPr>
          <w:rFonts w:ascii="Times New Roman" w:hAnsi="Times New Roman" w:eastAsia="方正仿宋_GBK" w:cs="方正仿宋_GBK"/>
          <w:b w:val="0"/>
          <w:bCs w:val="0"/>
          <w:sz w:val="32"/>
          <w:szCs w:val="32"/>
          <w:shd w:val="clear" w:color="auto" w:fill="FFFFFF"/>
        </w:rPr>
        <w:t>万元，与2023年度相比，增加2.33万元，增长130.9%，主要原因是下属事业单位职工转岗培训人次增多，培训费用增加。</w:t>
      </w:r>
    </w:p>
    <w:p>
      <w:pPr>
        <w:pStyle w:val="7"/>
        <w:keepNext w:val="0"/>
        <w:keepLines w:val="0"/>
        <w:pageBreakBefore w:val="0"/>
        <w:widowControl w:val="0"/>
        <w:shd w:val="clear" w:color="auto" w:fill="FFFFFF"/>
        <w:kinsoku/>
        <w:wordWrap/>
        <w:overflowPunct/>
        <w:topLinePunct w:val="0"/>
        <w:autoSpaceDE/>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（二）机关运行经费情况说明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2024年度本部门机关运行经费支出</w:t>
      </w:r>
      <w:r>
        <w:rPr>
          <w:rFonts w:ascii="Times New Roman" w:hAnsi="Times New Roman" w:eastAsia="方正仿宋_GBK" w:cs="方正仿宋_GBK"/>
          <w:b w:val="0"/>
          <w:bCs w:val="0"/>
          <w:sz w:val="32"/>
          <w:szCs w:val="32"/>
        </w:rPr>
        <w:t>188.87</w:t>
      </w:r>
      <w:r>
        <w:rPr>
          <w:rFonts w:ascii="Times New Roman" w:hAnsi="Times New Roman" w:eastAsia="方正仿宋_GBK" w:cs="方正仿宋_GBK"/>
          <w:b w:val="0"/>
          <w:bCs w:val="0"/>
          <w:sz w:val="32"/>
          <w:szCs w:val="32"/>
          <w:shd w:val="clear" w:color="auto" w:fill="FFFFFF"/>
        </w:rPr>
        <w:t>万元，机关运行经费主要用于</w:t>
      </w:r>
      <w:bookmarkStart w:id="0" w:name="_GoBack"/>
      <w:bookmarkEnd w:id="0"/>
      <w:r>
        <w:rPr>
          <w:rFonts w:ascii="Times New Roman" w:hAnsi="Times New Roman" w:eastAsia="方正仿宋_GBK" w:cs="方正仿宋_GBK"/>
          <w:b w:val="0"/>
          <w:bCs w:val="0"/>
          <w:sz w:val="32"/>
          <w:szCs w:val="32"/>
          <w:shd w:val="clear" w:color="auto" w:fill="FFFFFF"/>
        </w:rPr>
        <w:t>开支机关办公费、差旅费、咨询费、水电费、维修（护）费、劳务费、广告费等必要支出。机关运行经费较上年支出数增加2.92万元，增长1.6%，主要原因是上年度未实现支付的部分公用经费在本年度支付。</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截至2024年12月31日，本部门共有车辆</w:t>
      </w:r>
      <w:r>
        <w:rPr>
          <w:rFonts w:ascii="Times New Roman" w:hAnsi="Times New Roman" w:eastAsia="方正仿宋_GBK" w:cs="方正仿宋_GBK"/>
          <w:b w:val="0"/>
          <w:bCs w:val="0"/>
          <w:sz w:val="32"/>
          <w:szCs w:val="32"/>
        </w:rPr>
        <w:t>2</w:t>
      </w:r>
      <w:r>
        <w:rPr>
          <w:rFonts w:ascii="Times New Roman" w:hAnsi="Times New Roman" w:eastAsia="方正仿宋_GBK" w:cs="方正仿宋_GBK"/>
          <w:b w:val="0"/>
          <w:bCs w:val="0"/>
          <w:sz w:val="32"/>
          <w:szCs w:val="32"/>
          <w:shd w:val="clear" w:color="auto" w:fill="FFFFFF"/>
        </w:rPr>
        <w:t>辆，其中，副部（省）级及以上领导用车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辆、主要负责人用车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辆、机要通信用车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辆、应急保障用车</w:t>
      </w:r>
      <w:r>
        <w:rPr>
          <w:rFonts w:ascii="Times New Roman" w:hAnsi="Times New Roman" w:eastAsia="方正仿宋_GBK" w:cs="方正仿宋_GBK"/>
          <w:b w:val="0"/>
          <w:bCs w:val="0"/>
          <w:sz w:val="32"/>
          <w:szCs w:val="32"/>
        </w:rPr>
        <w:t>2</w:t>
      </w:r>
      <w:r>
        <w:rPr>
          <w:rFonts w:ascii="Times New Roman" w:hAnsi="Times New Roman" w:eastAsia="方正仿宋_GBK" w:cs="方正仿宋_GBK"/>
          <w:b w:val="0"/>
          <w:bCs w:val="0"/>
          <w:sz w:val="32"/>
          <w:szCs w:val="32"/>
          <w:shd w:val="clear" w:color="auto" w:fill="FFFFFF"/>
        </w:rPr>
        <w:t>辆、执法执勤用车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辆，特种专业技术用车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辆，离退休干部用车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辆。单价100万元（含）以上专用设备</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台（套）。</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2024年度本部门政府采购支出总额</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万元，其中：政府采购货物支出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万元、政府采购工程支出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万元、政府采购服务支出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万元。授予中小企业合同金额</w:t>
      </w:r>
      <w:r>
        <w:rPr>
          <w:rFonts w:ascii="Times New Roman" w:hAnsi="Times New Roman" w:eastAsia="方正仿宋_GBK" w:cs="方正仿宋_GBK"/>
          <w:b w:val="0"/>
          <w:bCs w:val="0"/>
          <w:sz w:val="32"/>
          <w:szCs w:val="32"/>
        </w:rPr>
        <w:t>0.00万</w:t>
      </w:r>
      <w:r>
        <w:rPr>
          <w:rFonts w:ascii="Times New Roman" w:hAnsi="Times New Roman" w:eastAsia="方正仿宋_GBK" w:cs="方正仿宋_GBK"/>
          <w:b w:val="0"/>
          <w:bCs w:val="0"/>
          <w:sz w:val="32"/>
          <w:szCs w:val="32"/>
          <w:shd w:val="clear" w:color="auto" w:fill="FFFFFF"/>
        </w:rPr>
        <w:t>元，占政府采购支出总额的</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%，其中：授予小微企业合同金额</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万元，占政府采购支出总额的</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 xml:space="preserve"> %。2024年度我单位未发生政府采购事项，无相关经费支出。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五、</w:t>
      </w:r>
      <w:r>
        <w:rPr>
          <w:rStyle w:val="11"/>
          <w:rFonts w:hint="default" w:ascii="方正黑体_GBK" w:hAnsi="方正黑体_GBK" w:eastAsia="方正黑体_GBK" w:cs="方正黑体_GBK"/>
          <w:b w:val="0"/>
          <w:bCs/>
          <w:sz w:val="32"/>
          <w:szCs w:val="32"/>
          <w:shd w:val="clear" w:color="auto" w:fill="FFFFFF"/>
          <w:lang w:val="en-US" w:eastAsia="zh-CN"/>
        </w:rPr>
        <w:t>2024</w:t>
      </w:r>
      <w:r>
        <w:rPr>
          <w:rStyle w:val="11"/>
          <w:rFonts w:hint="eastAsia" w:ascii="方正黑体_GBK" w:hAnsi="方正黑体_GBK" w:eastAsia="方正黑体_GBK" w:cs="方正黑体_GBK"/>
          <w:b w:val="0"/>
          <w:bCs/>
          <w:sz w:val="32"/>
          <w:szCs w:val="32"/>
          <w:shd w:val="clear" w:color="auto" w:fill="FFFFFF"/>
          <w:lang w:val="en-US" w:eastAsia="zh-CN"/>
        </w:rPr>
        <w:t>年度预算绩效管理情况说明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（一）单位自评情况</w:t>
      </w:r>
    </w:p>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sz w:val="32"/>
          <w:szCs w:val="32"/>
          <w:shd w:val="clear" w:color="auto" w:fill="FFFFFF"/>
        </w:rPr>
        <w:sectPr>
          <w:headerReference r:id="rId3" w:type="default"/>
          <w:footerReference r:id="rId4" w:type="default"/>
          <w:pgSz w:w="11850" w:h="16783"/>
          <w:pgMar w:top="2098" w:right="1531" w:bottom="1984" w:left="1531" w:header="850" w:footer="1474" w:gutter="0"/>
          <w:pgNumType w:fmt="decimal"/>
          <w:cols w:space="720" w:num="1"/>
          <w:docGrid w:type="lines" w:linePitch="326" w:charSpace="0"/>
        </w:sectPr>
      </w:pPr>
      <w:r>
        <w:rPr>
          <w:rFonts w:hint="eastAsia" w:ascii="Times New Roman" w:hAnsi="Times New Roman" w:eastAsia="方正仿宋_GBK" w:cs="方正仿宋_GBK"/>
          <w:b w:val="0"/>
          <w:bCs w:val="0"/>
          <w:sz w:val="32"/>
          <w:szCs w:val="32"/>
          <w:shd w:val="clear" w:color="auto" w:fill="FFFFFF"/>
        </w:rPr>
        <w:t>根据预算绩效管理要求，我单位对部门整体和111个二级项目开展了绩效自评，涉及财政拨款项目支出资金1803.78万元。</w:t>
      </w:r>
    </w:p>
    <w:tbl>
      <w:tblPr>
        <w:tblStyle w:val="8"/>
        <w:tblW w:w="15415" w:type="dxa"/>
        <w:tblInd w:w="93" w:type="dxa"/>
        <w:tblLayout w:type="fixed"/>
        <w:tblCellMar>
          <w:top w:w="0" w:type="dxa"/>
          <w:left w:w="108" w:type="dxa"/>
          <w:bottom w:w="0" w:type="dxa"/>
          <w:right w:w="108" w:type="dxa"/>
        </w:tblCellMar>
      </w:tblPr>
      <w:tblGrid>
        <w:gridCol w:w="4832"/>
        <w:gridCol w:w="1002"/>
        <w:gridCol w:w="816"/>
        <w:gridCol w:w="1266"/>
        <w:gridCol w:w="966"/>
        <w:gridCol w:w="1186"/>
        <w:gridCol w:w="1191"/>
        <w:gridCol w:w="1186"/>
        <w:gridCol w:w="816"/>
        <w:gridCol w:w="1116"/>
        <w:gridCol w:w="1038"/>
      </w:tblGrid>
      <w:tr>
        <w:tblPrEx>
          <w:tblCellMar>
            <w:top w:w="0" w:type="dxa"/>
            <w:left w:w="108" w:type="dxa"/>
            <w:bottom w:w="0" w:type="dxa"/>
            <w:right w:w="108" w:type="dxa"/>
          </w:tblCellMar>
        </w:tblPrEx>
        <w:trPr>
          <w:trHeight w:val="8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微软雅黑" w:hAnsi="微软雅黑" w:eastAsia="微软雅黑" w:cs="微软雅黑"/>
                <w:b w:val="0"/>
                <w:bCs w:val="0"/>
                <w:color w:val="000000"/>
                <w:sz w:val="40"/>
                <w:szCs w:val="40"/>
              </w:rPr>
            </w:pPr>
            <w:r>
              <w:rPr>
                <w:rFonts w:hint="eastAsia" w:ascii="方正小标宋_GBK" w:hAnsi="方正小标宋_GBK" w:eastAsia="方正小标宋_GBK" w:cs="方正小标宋_GBK"/>
                <w:b w:val="0"/>
                <w:bCs w:val="0"/>
                <w:color w:val="000000"/>
                <w:sz w:val="40"/>
                <w:szCs w:val="40"/>
              </w:rPr>
              <w:t>2024年度部门整体绩效自评表</w:t>
            </w:r>
          </w:p>
        </w:tc>
      </w:tr>
      <w:tr>
        <w:tblPrEx>
          <w:tblCellMar>
            <w:top w:w="0" w:type="dxa"/>
            <w:left w:w="108" w:type="dxa"/>
            <w:bottom w:w="0" w:type="dxa"/>
            <w:right w:w="108" w:type="dxa"/>
          </w:tblCellMar>
        </w:tblPrEx>
        <w:trPr>
          <w:trHeight w:val="5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状态：绩效审核已审</w:t>
            </w: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项目名称：</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蔈草镇整体自评</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项目编码：</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50023500024P000186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自评总分：</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项目主管部门：</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916-蔈草镇</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财政归口处室：</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001-预算科</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部门联系人：</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邓高凤</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联系电话：</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15923410590</w:t>
            </w:r>
          </w:p>
        </w:tc>
      </w:tr>
      <w:tr>
        <w:tblPrEx>
          <w:tblCellMar>
            <w:top w:w="0" w:type="dxa"/>
            <w:left w:w="108" w:type="dxa"/>
            <w:bottom w:w="0" w:type="dxa"/>
            <w:right w:w="108"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rPr>
              <w:t>资金情况</w:t>
            </w:r>
          </w:p>
        </w:tc>
      </w:tr>
      <w:tr>
        <w:tblPrEx>
          <w:tblCellMar>
            <w:top w:w="0" w:type="dxa"/>
            <w:left w:w="108" w:type="dxa"/>
            <w:bottom w:w="0" w:type="dxa"/>
            <w:right w:w="108" w:type="dxa"/>
          </w:tblCellMar>
        </w:tblPrEx>
        <w:trPr>
          <w:trHeight w:val="500" w:hRule="atLeast"/>
        </w:trPr>
        <w:tc>
          <w:tcPr>
            <w:tcW w:w="5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年初预算数</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全年（调整）预算数</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全年执行数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执行率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执行率权重</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执行率得分</w:t>
            </w:r>
          </w:p>
        </w:tc>
      </w:tr>
      <w:tr>
        <w:tblPrEx>
          <w:tblCellMar>
            <w:top w:w="0" w:type="dxa"/>
            <w:left w:w="108" w:type="dxa"/>
            <w:bottom w:w="0" w:type="dxa"/>
            <w:right w:w="108" w:type="dxa"/>
          </w:tblCellMar>
        </w:tblPrEx>
        <w:trPr>
          <w:trHeight w:val="500" w:hRule="atLeast"/>
        </w:trPr>
        <w:tc>
          <w:tcPr>
            <w:tcW w:w="5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年度总金额</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23,574,952.08</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31,124,686.92</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31,124,686.92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5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其中：财政拨款</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23,574,952.08</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31,124,686.92</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31,124,686.92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r>
      <w:tr>
        <w:tblPrEx>
          <w:tblCellMar>
            <w:top w:w="0" w:type="dxa"/>
            <w:left w:w="108" w:type="dxa"/>
            <w:bottom w:w="0" w:type="dxa"/>
            <w:right w:w="108" w:type="dxa"/>
          </w:tblCellMar>
        </w:tblPrEx>
        <w:trPr>
          <w:trHeight w:val="500" w:hRule="atLeast"/>
        </w:trPr>
        <w:tc>
          <w:tcPr>
            <w:tcW w:w="5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一般公共预算</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23,286,146.83</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30,566,759.67</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30,566,759.67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rPr>
              <w:t>绩效目标</w:t>
            </w:r>
          </w:p>
        </w:tc>
      </w:tr>
      <w:tr>
        <w:tblPrEx>
          <w:tblCellMar>
            <w:top w:w="0" w:type="dxa"/>
            <w:left w:w="108" w:type="dxa"/>
            <w:bottom w:w="0" w:type="dxa"/>
            <w:right w:w="108" w:type="dxa"/>
          </w:tblCellMar>
        </w:tblPrEx>
        <w:trPr>
          <w:trHeight w:val="500" w:hRule="atLeast"/>
        </w:trPr>
        <w:tc>
          <w:tcPr>
            <w:tcW w:w="7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全年（调整）绩效目标</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全年目标实际完成情况</w:t>
            </w:r>
          </w:p>
        </w:tc>
      </w:tr>
      <w:tr>
        <w:tblPrEx>
          <w:tblCellMar>
            <w:top w:w="0" w:type="dxa"/>
            <w:left w:w="108" w:type="dxa"/>
            <w:bottom w:w="0" w:type="dxa"/>
            <w:right w:w="108" w:type="dxa"/>
          </w:tblCellMar>
        </w:tblPrEx>
        <w:trPr>
          <w:trHeight w:val="1600" w:hRule="atLeast"/>
        </w:trPr>
        <w:tc>
          <w:tcPr>
            <w:tcW w:w="7916" w:type="dxa"/>
            <w:gridSpan w:val="4"/>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numPr>
                <w:ilvl w:val="0"/>
                <w:numId w:val="1"/>
              </w:numPr>
              <w:kinsoku/>
              <w:wordWrap/>
              <w:overflowPunct/>
              <w:topLinePunct w:val="0"/>
              <w:autoSpaceDN/>
              <w:bidi w:val="0"/>
              <w:adjustRightInd/>
              <w:snapToGrid/>
              <w:spacing w:line="240" w:lineRule="auto"/>
              <w:jc w:val="center"/>
              <w:textAlignment w:val="top"/>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加强党的建设。落实基层党建责任制，加强基层服务型党组织建设，统筹推进党建工作，实现蔈草镇党建全覆盖，提高党建工作的有效性。</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2、统筹乡镇发展。参与辖区公共服务设施建设规划，推动辖区健康、有序、可持续发展。</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3、组织公共服务。组织实施与居民生活密切相关的公共服务，落实人力资源、社保保障民政、教育、卫生和计划生育等领域相关政策。</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4、设施综合管理。对蔈草镇内人口管理、社会管理等地区性、综合性工作，承担组织领导和综合协调职能。</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5、监督专业管理。对蔈草镇内各类专业执法工作组织开展群众监督和社会监督。</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6、维护乡镇平安。承担辖区社会治安综合治理有关工作，处理群众来信来访，反映社情民意，化解矛盾纠纷等。</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7、承办县委、县政府交办的其他事项。</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numPr>
                <w:ilvl w:val="0"/>
                <w:numId w:val="2"/>
              </w:numPr>
              <w:kinsoku/>
              <w:wordWrap/>
              <w:overflowPunct/>
              <w:topLinePunct w:val="0"/>
              <w:autoSpaceDN/>
              <w:bidi w:val="0"/>
              <w:adjustRightInd/>
              <w:snapToGrid/>
              <w:spacing w:line="240" w:lineRule="auto"/>
              <w:jc w:val="center"/>
              <w:textAlignment w:val="top"/>
              <w:rPr>
                <w:rFonts w:hint="eastAsia" w:ascii="Times New Roman" w:hAnsi="Times New Roman" w:eastAsia="方正仿宋_GBK" w:cs="方正仿宋_GBK"/>
                <w:b w:val="0"/>
                <w:bCs w:val="0"/>
                <w:color w:val="auto"/>
                <w:sz w:val="22"/>
                <w:szCs w:val="22"/>
                <w:lang w:eastAsia="zh-CN"/>
              </w:rPr>
            </w:pPr>
            <w:r>
              <w:rPr>
                <w:rFonts w:hint="eastAsia" w:ascii="Times New Roman" w:hAnsi="Times New Roman" w:eastAsia="方正仿宋_GBK" w:cs="方正仿宋_GBK"/>
                <w:b w:val="0"/>
                <w:bCs w:val="0"/>
                <w:color w:val="auto"/>
                <w:sz w:val="22"/>
                <w:szCs w:val="22"/>
              </w:rPr>
              <w:t>加强党的建设。落实基层党建责任制，加强基层服务型党组织建设，统筹推进党建工作，实现蔈草镇党建全覆盖，提高党建工作的有效性。本年度完成蔈草社区养老服务站建设。医疗卫生服务提质，蔈草卫生院连续三年打造中医文化广场，试点建成村卫生室中医阁1个，荣获卫健系统年度综合目标一等奖。8名适龄青年应征入伍，完成兵役登记172人，获得年度先进基层人民武装部、征兵先进单位等荣誉。</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2、统筹乡镇发展。参与辖区公共服务设施建设规划，推动辖区健康、有序、可持续发展。</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安装道路防护栏5.5公里；硬化公路2.184公里，加宽错车道63个点位2.3公里；恢复生田村幸福水库取料场公路5公里；完成农村C、D级危房改造2户；整治山坪塘3口，进一步改善群众生产生活条件。全年出栏生猪3.5万余头，存栏1.8万余头，寨岭农业种猪繁育存栏量增长30%，黄牛存栏量3000头。新发展白茶500亩，茶叶种植规模达4500余亩；新发展油茶2000余亩，年产油茶果40万斤；长岭社区1500亩“六月雪”雪梨销售额240万元；蔈草社区试点食叶草种植100亩，带动新发展养殖大户6家；兴坪村蔬菜基地100亩、油菜示范片100亩。大力发展“加工链”。优化提升“联、请、谈、看、跟”五字招商外联服务法，大力招引农产品加工企业，延长农业产业链和价值链，成功签约5个项目，协议资金0.98亿元，实现到位资金1.31亿元。新建3900m2农产品交易中心和1400m2农产品加工园，预计集体经济每年将持续增加收入10万余元</w:t>
            </w:r>
            <w:r>
              <w:rPr>
                <w:rFonts w:hint="eastAsia" w:ascii="Times New Roman" w:hAnsi="Times New Roman" w:eastAsia="方正仿宋_GBK" w:cs="方正仿宋_GBK"/>
                <w:b w:val="0"/>
                <w:bCs w:val="0"/>
                <w:color w:val="auto"/>
                <w:sz w:val="22"/>
                <w:szCs w:val="22"/>
                <w:lang w:eastAsia="zh-CN"/>
              </w:rPr>
              <w:t>。</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3、组织公共服务。组织实施与居民生活密切相关的公共服务，落实人力资源、社保保障民政、教育、卫生和计划生育等领域相关政策。发放低保、残疾人补贴、大病救助、特困人员补助、计生奖扶等惠民资金2466人次855.15万元，“惠民济困保”参保人数达1019人、赔付率108%</w:t>
            </w:r>
            <w:r>
              <w:rPr>
                <w:rFonts w:hint="eastAsia" w:ascii="Times New Roman" w:hAnsi="Times New Roman" w:eastAsia="方正仿宋_GBK" w:cs="方正仿宋_GBK"/>
                <w:b w:val="0"/>
                <w:bCs w:val="0"/>
                <w:color w:val="auto"/>
                <w:sz w:val="22"/>
                <w:szCs w:val="22"/>
                <w:lang w:eastAsia="zh-CN"/>
              </w:rPr>
              <w:t>。</w:t>
            </w:r>
            <w:r>
              <w:rPr>
                <w:rFonts w:hint="eastAsia" w:ascii="Times New Roman" w:hAnsi="Times New Roman" w:eastAsia="方正仿宋_GBK" w:cs="方正仿宋_GBK"/>
                <w:b w:val="0"/>
                <w:bCs w:val="0"/>
                <w:color w:val="auto"/>
                <w:sz w:val="22"/>
                <w:szCs w:val="22"/>
              </w:rPr>
              <w:t>城乡居民合作医疗参保16685人，参保率96.33%，其中低收入参保3759人，资助金额68.66万元。社保实现应保尽保，养老待遇全面精准保障。开发公益性岗位143个，发放交通补贴1234人、19.88万元，两类群体创业补贴3.7万元。社会事业稳步发展。“雨露计划”、教育资助1643人次166.61万元，符合资助条件的学生应享尽享，全镇适龄儿童无一人因贫因困辍学。蔈草小学被评为教学常规管理示范学校（全县仅10所）2024年，全镇总税收达759.96万元，同比增长22.43%，其中制造业税收98.35万元，同比增长112%；实现本级财政收入276.8万元，同比增长8.7%；完成固定资产投资2.45亿元；新增市级科技型企业4家；四上企业达17家，同比增长13.3%</w:t>
            </w:r>
            <w:r>
              <w:rPr>
                <w:rFonts w:hint="eastAsia" w:ascii="Times New Roman" w:hAnsi="Times New Roman" w:eastAsia="方正仿宋_GBK" w:cs="方正仿宋_GBK"/>
                <w:b w:val="0"/>
                <w:bCs w:val="0"/>
                <w:color w:val="auto"/>
                <w:sz w:val="22"/>
                <w:szCs w:val="22"/>
                <w:lang w:eastAsia="zh-CN"/>
              </w:rPr>
              <w:t>。</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4、设施综合管理。对蔈草镇内人口管理、社会管理等地区性、综合性工作，承担组织领导和综合协调职能。高效化解社会矛盾，持续开展领导干部接访下访，指导成立调解组织11个，成功调解矛盾纠纷195件次，办理信访件9件次</w:t>
            </w:r>
            <w:r>
              <w:rPr>
                <w:rFonts w:hint="eastAsia" w:ascii="Times New Roman" w:hAnsi="Times New Roman" w:eastAsia="方正仿宋_GBK" w:cs="方正仿宋_GBK"/>
                <w:b w:val="0"/>
                <w:bCs w:val="0"/>
                <w:color w:val="auto"/>
                <w:sz w:val="22"/>
                <w:szCs w:val="22"/>
                <w:lang w:eastAsia="zh-CN"/>
              </w:rPr>
              <w:t>。</w:t>
            </w:r>
          </w:p>
          <w:p>
            <w:pPr>
              <w:keepNext w:val="0"/>
              <w:keepLines w:val="0"/>
              <w:pageBreakBefore w:val="0"/>
              <w:widowControl/>
              <w:numPr>
                <w:ilvl w:val="0"/>
                <w:numId w:val="0"/>
              </w:numPr>
              <w:kinsoku/>
              <w:wordWrap/>
              <w:overflowPunct/>
              <w:topLinePunct w:val="0"/>
              <w:autoSpaceDN/>
              <w:bidi w:val="0"/>
              <w:adjustRightInd/>
              <w:snapToGrid/>
              <w:spacing w:line="240" w:lineRule="auto"/>
              <w:jc w:val="center"/>
              <w:textAlignment w:val="top"/>
              <w:rPr>
                <w:rFonts w:hint="eastAsia" w:ascii="Times New Roman" w:hAnsi="Times New Roman" w:eastAsia="方正仿宋_GBK" w:cs="方正仿宋_GBK"/>
                <w:b w:val="0"/>
                <w:bCs w:val="0"/>
                <w:color w:val="auto"/>
                <w:sz w:val="22"/>
                <w:szCs w:val="22"/>
                <w:lang w:eastAsia="zh-CN"/>
              </w:rPr>
            </w:pPr>
            <w:r>
              <w:rPr>
                <w:rFonts w:hint="eastAsia" w:ascii="Times New Roman" w:hAnsi="Times New Roman" w:eastAsia="方正仿宋_GBK" w:cs="方正仿宋_GBK"/>
                <w:b w:val="0"/>
                <w:bCs w:val="0"/>
                <w:color w:val="auto"/>
                <w:sz w:val="22"/>
                <w:szCs w:val="22"/>
              </w:rPr>
              <w:t>5、监督专业管理。对蔈草镇内各类专业执法工作组织开展群众监督和社会监督。实施“天翼云眼”项目，在集镇网格安装42个AI智能感知摄像头，升级“千兆”网络，接入“141”基层治理平台，实现防溺水、防违占消防通道、防占道经营、防消防事故、防重点精卫人员五个应用场景，基层网格治理更加快捷高效，牢牢托起居民安全感</w:t>
            </w:r>
            <w:r>
              <w:rPr>
                <w:rFonts w:hint="eastAsia" w:ascii="Times New Roman" w:hAnsi="Times New Roman" w:eastAsia="方正仿宋_GBK" w:cs="方正仿宋_GBK"/>
                <w:b w:val="0"/>
                <w:bCs w:val="0"/>
                <w:color w:val="auto"/>
                <w:sz w:val="22"/>
                <w:szCs w:val="22"/>
                <w:lang w:eastAsia="zh-CN"/>
              </w:rPr>
              <w:t>。</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6、维护乡镇平安。承担辖区社会治安综合治理有关工作，处理群众来信来访，反映社情民意，化解矛盾纠纷等。社区矫正人员、刑满释放人员、精神障碍患者等重点人员服务管理总体可控，全镇无涉恶涉黑现象，反邪教工作有序开展</w:t>
            </w:r>
            <w:r>
              <w:rPr>
                <w:rFonts w:hint="eastAsia" w:ascii="Times New Roman" w:hAnsi="Times New Roman" w:eastAsia="方正仿宋_GBK" w:cs="方正仿宋_GBK"/>
                <w:b w:val="0"/>
                <w:bCs w:val="0"/>
                <w:color w:val="auto"/>
                <w:sz w:val="22"/>
                <w:szCs w:val="22"/>
                <w:lang w:eastAsia="zh-CN"/>
              </w:rPr>
              <w:t>，</w:t>
            </w:r>
            <w:r>
              <w:rPr>
                <w:rFonts w:hint="eastAsia" w:ascii="Times New Roman" w:hAnsi="Times New Roman" w:eastAsia="方正仿宋_GBK" w:cs="方正仿宋_GBK"/>
                <w:b w:val="0"/>
                <w:bCs w:val="0"/>
                <w:color w:val="auto"/>
                <w:sz w:val="22"/>
                <w:szCs w:val="22"/>
              </w:rPr>
              <w:t>全年任务已圆满完成</w:t>
            </w:r>
            <w:r>
              <w:rPr>
                <w:rFonts w:hint="eastAsia" w:ascii="Times New Roman" w:hAnsi="Times New Roman" w:eastAsia="方正仿宋_GBK" w:cs="方正仿宋_GBK"/>
                <w:b w:val="0"/>
                <w:bCs w:val="0"/>
                <w:color w:val="auto"/>
                <w:sz w:val="22"/>
                <w:szCs w:val="22"/>
                <w:lang w:eastAsia="zh-CN"/>
              </w:rPr>
              <w:t>。</w:t>
            </w:r>
          </w:p>
        </w:tc>
      </w:tr>
      <w:tr>
        <w:tblPrEx>
          <w:tblCellMar>
            <w:top w:w="0" w:type="dxa"/>
            <w:left w:w="108" w:type="dxa"/>
            <w:bottom w:w="0" w:type="dxa"/>
            <w:right w:w="108"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rPr>
              <w:t>绩效指标</w:t>
            </w: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指标名称</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计量单位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指标性质</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指标值</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全年完成值</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偏离度（%）</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得分系数（%）</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指标权重</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指标得分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是否核心指标</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说明</w:t>
            </w: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当年征兵入伍人数</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开展社会治安排查</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次/年</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6</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困难人群救助</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人次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日均收运垃圾</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日均污水处理</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立方米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文化、旅游、法治等宣传次数</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修建灌溉沟渠</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“双晒”等评比排前十名次数</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辖区内违纪违法行为发生</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次/年</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6</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县委县政府决策重点事项按时完成率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优抚对象抚恤、低保、特困、退耕还林等到人到户补助资金及时发放率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脱贫户人均年收入提高</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完成税收收入</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安全事故发生率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减少自然灾害损失</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义务教育适龄儿童入学率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耕地和基本农田闲置率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森林资源保护面积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救助对象满意度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脱贫户满意度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辖区群众对大厅办理工作满意度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辖区群众对政府总体工作的满意度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机关办公楼整修费用</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机关办公月均用电费用</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机关食堂日均运行费用</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机关职工月均用水量</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每辆公务车平均年运行维修费用</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bl>
    <w:p>
      <w:pPr>
        <w:rPr>
          <w:rFonts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br w:type="page"/>
      </w:r>
    </w:p>
    <w:tbl>
      <w:tblPr>
        <w:tblStyle w:val="8"/>
        <w:tblW w:w="15508" w:type="dxa"/>
        <w:tblInd w:w="0" w:type="dxa"/>
        <w:tblLayout w:type="fixed"/>
        <w:tblCellMar>
          <w:top w:w="0" w:type="dxa"/>
          <w:left w:w="108" w:type="dxa"/>
          <w:bottom w:w="0" w:type="dxa"/>
          <w:right w:w="108" w:type="dxa"/>
        </w:tblCellMar>
      </w:tblPr>
      <w:tblGrid>
        <w:gridCol w:w="2221"/>
        <w:gridCol w:w="1789"/>
        <w:gridCol w:w="1782"/>
        <w:gridCol w:w="1487"/>
        <w:gridCol w:w="1124"/>
        <w:gridCol w:w="1305"/>
        <w:gridCol w:w="1397"/>
        <w:gridCol w:w="1030"/>
        <w:gridCol w:w="943"/>
        <w:gridCol w:w="1306"/>
        <w:gridCol w:w="1124"/>
      </w:tblGrid>
      <w:tr>
        <w:tblPrEx>
          <w:tblCellMar>
            <w:top w:w="0" w:type="dxa"/>
            <w:left w:w="108" w:type="dxa"/>
            <w:bottom w:w="0" w:type="dxa"/>
            <w:right w:w="108" w:type="dxa"/>
          </w:tblCellMar>
        </w:tblPrEx>
        <w:trPr>
          <w:trHeight w:val="8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微软雅黑" w:hAnsi="微软雅黑" w:eastAsia="微软雅黑" w:cs="微软雅黑"/>
                <w:b w:val="0"/>
                <w:bCs w:val="0"/>
                <w:color w:val="000000"/>
                <w:sz w:val="40"/>
                <w:szCs w:val="40"/>
              </w:rPr>
            </w:pPr>
            <w:r>
              <w:rPr>
                <w:rFonts w:hint="eastAsia" w:ascii="方正小标宋_GBK" w:hAnsi="方正小标宋_GBK" w:eastAsia="方正小标宋_GBK" w:cs="方正小标宋_GBK"/>
                <w:b w:val="0"/>
                <w:bCs w:val="0"/>
                <w:color w:val="000000"/>
                <w:sz w:val="40"/>
                <w:szCs w:val="40"/>
              </w:rPr>
              <w:t>2024年度二级项目绩效自评表</w:t>
            </w:r>
          </w:p>
        </w:tc>
      </w:tr>
      <w:tr>
        <w:tblPrEx>
          <w:tblCellMar>
            <w:top w:w="0" w:type="dxa"/>
            <w:left w:w="108" w:type="dxa"/>
            <w:bottom w:w="0" w:type="dxa"/>
            <w:right w:w="108" w:type="dxa"/>
          </w:tblCellMar>
        </w:tblPrEx>
        <w:trPr>
          <w:trHeight w:val="5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状态：业务审核已审</w:t>
            </w: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项目名称：</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2023年中央自然灾害救灾资金（地灾）</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项目编码：</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50023524T000004478130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自评总分：</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项目主管部门：</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916-蔈草镇</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财政归口处室：</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001-预算科</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部门联系人：</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邓高凤</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联系电话：</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55328010</w:t>
            </w:r>
          </w:p>
        </w:tc>
      </w:tr>
      <w:tr>
        <w:tblPrEx>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rPr>
              <w:t>资金情况</w:t>
            </w: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年初预算数</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全年（调整）预算数</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全年执行数</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执行率</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执行率权重</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执行率得分</w:t>
            </w: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年度总金额</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0.00</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30,000.00</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30,000.00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其中：财政拨款</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0.00</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30,000.00</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30,000.00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一般公共预算</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0.00</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30,000.00</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30,000.00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rPr>
              <w:t>绩效目标</w:t>
            </w:r>
          </w:p>
        </w:tc>
      </w:tr>
      <w:tr>
        <w:tblPrEx>
          <w:tblCellMar>
            <w:top w:w="0" w:type="dxa"/>
            <w:left w:w="108" w:type="dxa"/>
            <w:bottom w:w="0" w:type="dxa"/>
            <w:right w:w="108" w:type="dxa"/>
          </w:tblCellMar>
        </w:tblPrEx>
        <w:trPr>
          <w:trHeight w:val="500" w:hRule="atLeast"/>
        </w:trPr>
        <w:tc>
          <w:tcPr>
            <w:tcW w:w="72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年初绩效目标</w:t>
            </w:r>
          </w:p>
        </w:tc>
        <w:tc>
          <w:tcPr>
            <w:tcW w:w="48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全年（调整）绩效目标</w:t>
            </w:r>
          </w:p>
        </w:tc>
        <w:tc>
          <w:tcPr>
            <w:tcW w:w="33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全年目标实际完成情况</w:t>
            </w:r>
          </w:p>
        </w:tc>
      </w:tr>
      <w:tr>
        <w:tblPrEx>
          <w:tblCellMar>
            <w:top w:w="0" w:type="dxa"/>
            <w:left w:w="108" w:type="dxa"/>
            <w:bottom w:w="0" w:type="dxa"/>
            <w:right w:w="108" w:type="dxa"/>
          </w:tblCellMar>
        </w:tblPrEx>
        <w:trPr>
          <w:trHeight w:val="1600" w:hRule="atLeast"/>
        </w:trPr>
        <w:tc>
          <w:tcPr>
            <w:tcW w:w="7279" w:type="dxa"/>
            <w:gridSpan w:val="4"/>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N/>
              <w:bidi w:val="0"/>
              <w:adjustRightInd/>
              <w:snapToGrid/>
              <w:spacing w:line="240" w:lineRule="auto"/>
              <w:jc w:val="center"/>
              <w:textAlignment w:val="top"/>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专项用于地质灾害应急抢险救援等工作。</w:t>
            </w:r>
          </w:p>
        </w:tc>
        <w:tc>
          <w:tcPr>
            <w:tcW w:w="4856" w:type="dxa"/>
            <w:gridSpan w:val="4"/>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N/>
              <w:bidi w:val="0"/>
              <w:adjustRightInd/>
              <w:snapToGrid/>
              <w:spacing w:line="240" w:lineRule="auto"/>
              <w:jc w:val="center"/>
              <w:textAlignment w:val="top"/>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专项用于地质灾害应急抢险救援等工作。</w:t>
            </w:r>
          </w:p>
        </w:tc>
        <w:tc>
          <w:tcPr>
            <w:tcW w:w="3373"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N/>
              <w:bidi w:val="0"/>
              <w:adjustRightInd/>
              <w:snapToGrid/>
              <w:spacing w:line="240" w:lineRule="auto"/>
              <w:jc w:val="center"/>
              <w:textAlignment w:val="top"/>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专项用于地质灾害应急抢险救援等工作。</w:t>
            </w:r>
          </w:p>
        </w:tc>
      </w:tr>
      <w:tr>
        <w:tblPrEx>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rPr>
              <w:t>绩效指标</w:t>
            </w: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指标名称</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计量单位</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指标性质</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全年完成值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偏离度（%）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得分系数（%）</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指标权重</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指标得分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是否核心指标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说明</w:t>
            </w: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安全转移群众人数</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人</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地质灾害补助人数</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人</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资金按规定发放率</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改善群众生产生活安全</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定性</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有效改善</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群众满意度</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bl>
    <w:p>
      <w:pPr>
        <w:pStyle w:val="13"/>
        <w:autoSpaceDE w:val="0"/>
        <w:spacing w:before="0" w:beforeAutospacing="0" w:after="0" w:afterAutospacing="0" w:line="596" w:lineRule="exact"/>
        <w:ind w:firstLine="640" w:firstLineChars="200"/>
        <w:rPr>
          <w:rFonts w:ascii="楷体" w:hAnsi="楷体" w:eastAsia="楷体" w:cs="楷体"/>
          <w:b w:val="0"/>
          <w:bCs w:val="0"/>
          <w:sz w:val="32"/>
          <w:szCs w:val="32"/>
          <w:shd w:val="clear" w:color="auto" w:fill="FFFFFF"/>
        </w:rPr>
        <w:sectPr>
          <w:pgSz w:w="16783" w:h="11850" w:orient="landscape"/>
          <w:pgMar w:top="567" w:right="454" w:bottom="567" w:left="1037" w:header="0" w:footer="850" w:gutter="0"/>
          <w:pgNumType w:fmt="decimal"/>
          <w:cols w:space="720" w:num="1"/>
          <w:docGrid w:type="lines" w:linePitch="326" w:charSpace="0"/>
        </w:sectPr>
      </w:pP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（二）部门绩效评价情况</w:t>
      </w:r>
    </w:p>
    <w:p>
      <w:pPr>
        <w:pStyle w:val="15"/>
        <w:autoSpaceDE w:val="0"/>
        <w:ind w:firstLine="640"/>
        <w:jc w:val="both"/>
        <w:rPr>
          <w:rFonts w:ascii="Times New Roman" w:hAnsi="Times New Roman" w:eastAsia="方正仿宋_GBK" w:cs="方正仿宋_GBK"/>
          <w:b w:val="0"/>
          <w:bCs w:val="0"/>
          <w:sz w:val="32"/>
          <w:szCs w:val="32"/>
          <w:shd w:val="clear" w:color="auto" w:fill="FFFFFF"/>
        </w:rPr>
      </w:pPr>
      <w:r>
        <w:rPr>
          <w:rFonts w:hint="eastAsia" w:ascii="Times New Roman" w:hAnsi="Times New Roman" w:eastAsia="方正仿宋_GBK" w:cs="方正仿宋_GBK"/>
          <w:b w:val="0"/>
          <w:bCs w:val="0"/>
          <w:sz w:val="32"/>
          <w:szCs w:val="32"/>
          <w:shd w:val="clear" w:color="auto" w:fill="FFFFFF"/>
        </w:rPr>
        <w:t>我单位未组织开展部门绩效评价。</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（三）财政绩效评价情况</w:t>
      </w:r>
    </w:p>
    <w:p>
      <w:pPr>
        <w:pStyle w:val="15"/>
        <w:autoSpaceDE w:val="0"/>
        <w:ind w:firstLine="640"/>
        <w:jc w:val="both"/>
        <w:rPr>
          <w:rFonts w:ascii="Times New Roman" w:hAnsi="Times New Roman" w:eastAsia="方正仿宋_GBK" w:cs="方正仿宋_GBK"/>
          <w:b w:val="0"/>
          <w:bCs w:val="0"/>
          <w:sz w:val="32"/>
          <w:szCs w:val="32"/>
          <w:shd w:val="clear" w:color="auto" w:fill="FFFFFF"/>
        </w:rPr>
      </w:pPr>
      <w:r>
        <w:rPr>
          <w:rFonts w:hint="eastAsia" w:ascii="Times New Roman" w:hAnsi="Times New Roman" w:eastAsia="方正仿宋_GBK" w:cs="方正仿宋_GBK"/>
          <w:b w:val="0"/>
          <w:bCs w:val="0"/>
          <w:sz w:val="32"/>
          <w:szCs w:val="32"/>
          <w:shd w:val="clear" w:color="auto" w:fill="FFFFFF"/>
        </w:rPr>
        <w:t>县财政局未委托第三方对我单位开展绩效评价。</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val="en-US" w:eastAsia="zh-CN"/>
        </w:rPr>
        <w:t>六、专业名词解释</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（一）财政拨款收入：</w:t>
      </w:r>
      <w:r>
        <w:rPr>
          <w:rFonts w:hint="eastAsia" w:ascii="Times New Roman" w:hAnsi="Times New Roman"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（二）事业收入：</w:t>
      </w:r>
      <w:r>
        <w:rPr>
          <w:rFonts w:hint="eastAsia" w:ascii="Times New Roman" w:hAnsi="Times New Roman"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（三）经营收入：</w:t>
      </w:r>
      <w:r>
        <w:rPr>
          <w:rFonts w:hint="eastAsia" w:ascii="Times New Roman" w:hAnsi="Times New Roman" w:eastAsia="方正仿宋_GBK" w:cs="方正仿宋_GBK"/>
          <w:b w:val="0"/>
          <w:bCs w:val="0"/>
          <w:sz w:val="32"/>
          <w:szCs w:val="32"/>
          <w:shd w:val="clear" w:color="auto" w:fill="FFFFFF"/>
        </w:rPr>
        <w:t>指事业单位在专业业务活动及其辅助活动之外开展非独立核算经营活动取得的现金流入。</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（四）其他收入：</w:t>
      </w:r>
      <w:r>
        <w:rPr>
          <w:rFonts w:hint="eastAsia" w:ascii="Times New Roman" w:hAnsi="Times New Roman"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（五）使用非财政拨款结余：</w:t>
      </w:r>
      <w:r>
        <w:rPr>
          <w:rFonts w:hint="eastAsia" w:ascii="Times New Roman" w:hAnsi="Times New Roman"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（六）年初结转和结余：</w:t>
      </w:r>
      <w:r>
        <w:rPr>
          <w:rFonts w:hint="eastAsia" w:ascii="Times New Roman" w:hAnsi="Times New Roman" w:eastAsia="方正仿宋_GBK" w:cs="方正仿宋_GBK"/>
          <w:b w:val="0"/>
          <w:bCs w:val="0"/>
          <w:sz w:val="32"/>
          <w:szCs w:val="32"/>
          <w:shd w:val="clear" w:color="auto" w:fill="FFFFFF"/>
        </w:rPr>
        <w:t>指单位上年结转本年使用的基本支出结转、项目支出结转和结余、经营结余。</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（七）结余分配：</w:t>
      </w:r>
      <w:r>
        <w:rPr>
          <w:rFonts w:hint="eastAsia" w:ascii="Times New Roman" w:hAnsi="Times New Roman"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（八）年末结转和结余：</w:t>
      </w:r>
      <w:r>
        <w:rPr>
          <w:rFonts w:hint="eastAsia" w:ascii="Times New Roman" w:hAnsi="Times New Roman" w:eastAsia="方正仿宋_GBK" w:cs="方正仿宋_GBK"/>
          <w:b w:val="0"/>
          <w:bCs w:val="0"/>
          <w:sz w:val="32"/>
          <w:szCs w:val="32"/>
          <w:shd w:val="clear" w:color="auto" w:fill="FFFFFF"/>
        </w:rPr>
        <w:t>指单位结转下年的基本支出结转、项目支出结转和结余、经营结余。</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（九）基本支出：</w:t>
      </w:r>
      <w:r>
        <w:rPr>
          <w:rFonts w:hint="eastAsia" w:ascii="Times New Roman" w:hAnsi="Times New Roman"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（十）项目支出：</w:t>
      </w:r>
      <w:r>
        <w:rPr>
          <w:rFonts w:hint="eastAsia" w:ascii="Times New Roman" w:hAnsi="Times New Roman" w:eastAsia="方正仿宋_GBK" w:cs="方正仿宋_GBK"/>
          <w:b w:val="0"/>
          <w:bCs w:val="0"/>
          <w:sz w:val="32"/>
          <w:szCs w:val="32"/>
          <w:shd w:val="clear" w:color="auto" w:fill="FFFFFF"/>
        </w:rPr>
        <w:t>指在基本支出之外为完成特定行政任务和事业发展目标所发生的支出。</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（十一）经营支出：</w:t>
      </w:r>
      <w:r>
        <w:rPr>
          <w:rFonts w:hint="eastAsia" w:ascii="Times New Roman" w:hAnsi="Times New Roman" w:eastAsia="方正仿宋_GBK" w:cs="方正仿宋_GBK"/>
          <w:b w:val="0"/>
          <w:bCs w:val="0"/>
          <w:sz w:val="32"/>
          <w:szCs w:val="32"/>
          <w:shd w:val="clear" w:color="auto" w:fill="FFFFFF"/>
        </w:rPr>
        <w:t>指事业单位在专业业务活动及其辅助活动之外开展非独立核算经营活动发生的支出。</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（十二）“三公”经费：</w:t>
      </w:r>
      <w:r>
        <w:rPr>
          <w:rFonts w:hint="eastAsia" w:ascii="Times New Roman" w:hAnsi="Times New Roman"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（十三）机关运行经费：</w:t>
      </w:r>
      <w:r>
        <w:rPr>
          <w:rFonts w:hint="eastAsia" w:ascii="Times New Roman" w:hAnsi="Times New Roman"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（十四）工资福利支出（支出经济分类科目类级）：</w:t>
      </w:r>
      <w:r>
        <w:rPr>
          <w:rFonts w:hint="eastAsia" w:ascii="Times New Roman" w:hAnsi="Times New Roman"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（十五）商品和服务支出（支出经济分类科目类级）：</w:t>
      </w:r>
      <w:r>
        <w:rPr>
          <w:rFonts w:hint="eastAsia" w:ascii="Times New Roman" w:hAnsi="Times New Roman" w:eastAsia="方正仿宋_GBK" w:cs="方正仿宋_GBK"/>
          <w:b w:val="0"/>
          <w:bCs w:val="0"/>
          <w:sz w:val="32"/>
          <w:szCs w:val="32"/>
          <w:shd w:val="clear" w:color="auto" w:fill="FFFFFF"/>
        </w:rPr>
        <w:t>反映单位购买商品和服务的支出（不包括用于购置固定资产的支出、战略性和应急储备支出）。</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（十六）对个人和家庭的补助（支出经济分类科目类级）：</w:t>
      </w:r>
      <w:r>
        <w:rPr>
          <w:rFonts w:hint="eastAsia" w:ascii="Times New Roman" w:hAnsi="Times New Roman" w:eastAsia="方正仿宋_GBK" w:cs="方正仿宋_GBK"/>
          <w:b w:val="0"/>
          <w:bCs w:val="0"/>
          <w:sz w:val="32"/>
          <w:szCs w:val="32"/>
          <w:shd w:val="clear" w:color="auto" w:fill="FFFFFF"/>
        </w:rPr>
        <w:t>反映用于对个人和家庭的补助支出。</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（十七）其他资本性支出（支出经济分类科目类级）：</w:t>
      </w:r>
      <w:r>
        <w:rPr>
          <w:rFonts w:hint="eastAsia" w:ascii="Times New Roman" w:hAnsi="Times New Roman"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3"/>
        <w:spacing w:before="0" w:beforeAutospacing="0" w:after="0" w:afterAutospacing="0" w:line="596" w:lineRule="exact"/>
        <w:ind w:firstLine="640" w:firstLineChars="200"/>
        <w:jc w:val="both"/>
        <w:rPr>
          <w:rFonts w:hint="default" w:ascii="Times New Roman" w:hAnsi="Times New Roman" w:eastAsia="方正仿宋_GBK" w:cs="方正仿宋_GBK"/>
          <w:b w:val="0"/>
          <w:bCs w:val="0"/>
          <w:sz w:val="32"/>
          <w:szCs w:val="32"/>
          <w:shd w:val="clear" w:color="auto" w:fill="FFFFFF"/>
          <w:lang w:val="en-US" w:eastAsia="zh-CN"/>
        </w:rPr>
        <w:sectPr>
          <w:pgSz w:w="11850" w:h="16783"/>
          <w:pgMar w:top="2098" w:right="1531" w:bottom="1984" w:left="1531" w:header="0" w:footer="1474" w:gutter="0"/>
          <w:pgNumType w:fmt="decimal"/>
          <w:cols w:space="720" w:num="1"/>
          <w:docGrid w:type="lines" w:linePitch="326" w:charSpace="0"/>
        </w:sectPr>
      </w:pPr>
      <w:r>
        <w:rPr>
          <w:rFonts w:hint="eastAsia" w:ascii="Times New Roman" w:hAnsi="Times New Roman" w:eastAsia="方正仿宋_GBK" w:cs="方正仿宋_GBK"/>
          <w:b w:val="0"/>
          <w:bCs w:val="0"/>
          <w:sz w:val="32"/>
          <w:szCs w:val="32"/>
          <w:shd w:val="clear" w:color="auto" w:fill="FFFFFF"/>
        </w:rPr>
        <w:t>本单位决算公开信息反馈和联系方式：周川洁</w:t>
      </w:r>
      <w:r>
        <w:rPr>
          <w:rFonts w:hint="eastAsia" w:ascii="Times New Roman" w:hAnsi="Times New Roman" w:eastAsia="方正仿宋_GBK" w:cs="方正仿宋_GBK"/>
          <w:b w:val="0"/>
          <w:bCs w:val="0"/>
          <w:sz w:val="32"/>
          <w:szCs w:val="32"/>
          <w:shd w:val="clear" w:color="auto" w:fill="FFFFFF"/>
          <w:lang w:val="en-US" w:eastAsia="zh-CN"/>
        </w:rPr>
        <w:t xml:space="preserve">  </w:t>
      </w:r>
      <w:r>
        <w:rPr>
          <w:rFonts w:hint="eastAsia" w:ascii="Times New Roman" w:hAnsi="Times New Roman" w:eastAsia="方正仿宋_GBK" w:cs="方正仿宋_GBK"/>
          <w:b w:val="0"/>
          <w:bCs w:val="0"/>
          <w:sz w:val="32"/>
          <w:szCs w:val="32"/>
          <w:shd w:val="clear" w:color="auto" w:fill="FFFFFF"/>
        </w:rPr>
        <w:t>023-553280</w:t>
      </w:r>
      <w:r>
        <w:rPr>
          <w:rFonts w:hint="eastAsia" w:ascii="Times New Roman" w:hAnsi="Times New Roman" w:eastAsia="方正仿宋_GBK" w:cs="方正仿宋_GBK"/>
          <w:b w:val="0"/>
          <w:bCs w:val="0"/>
          <w:sz w:val="32"/>
          <w:szCs w:val="32"/>
          <w:shd w:val="clear" w:color="auto" w:fill="FFFFFF"/>
          <w:lang w:val="en-US" w:eastAsia="zh-CN"/>
        </w:rPr>
        <w:t>10。</w:t>
      </w:r>
    </w:p>
    <w:tbl>
      <w:tblPr>
        <w:tblStyle w:val="8"/>
        <w:tblpPr w:leftFromText="180" w:rightFromText="180" w:vertAnchor="text" w:horzAnchor="page" w:tblpX="1058" w:tblpY="22"/>
        <w:tblOverlap w:val="never"/>
        <w:tblW w:w="15287" w:type="dxa"/>
        <w:tblInd w:w="0" w:type="dxa"/>
        <w:tblLayout w:type="fixed"/>
        <w:tblCellMar>
          <w:top w:w="0" w:type="dxa"/>
          <w:left w:w="0" w:type="dxa"/>
          <w:bottom w:w="0" w:type="dxa"/>
          <w:right w:w="0" w:type="dxa"/>
        </w:tblCellMar>
      </w:tblPr>
      <w:tblGrid>
        <w:gridCol w:w="4294"/>
        <w:gridCol w:w="3558"/>
        <w:gridCol w:w="4044"/>
        <w:gridCol w:w="3391"/>
      </w:tblGrid>
      <w:tr>
        <w:tblPrEx>
          <w:tblCellMar>
            <w:top w:w="0" w:type="dxa"/>
            <w:left w:w="0" w:type="dxa"/>
            <w:bottom w:w="0" w:type="dxa"/>
            <w:right w:w="0" w:type="dxa"/>
          </w:tblCellMar>
        </w:tblPrEx>
        <w:trPr>
          <w:trHeight w:val="232" w:hRule="atLeast"/>
        </w:trPr>
        <w:tc>
          <w:tcPr>
            <w:tcW w:w="15287"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cs="宋体"/>
                <w:b w:val="0"/>
                <w:bCs w:val="0"/>
                <w:color w:val="000000"/>
                <w:sz w:val="32"/>
                <w:szCs w:val="32"/>
              </w:rPr>
            </w:pPr>
            <w:r>
              <w:rPr>
                <w:rFonts w:hint="eastAsia" w:ascii="方正小标宋_GBK" w:hAnsi="方正小标宋_GBK" w:eastAsia="方正小标宋_GBK" w:cs="方正小标宋_GBK"/>
                <w:b w:val="0"/>
                <w:bCs w:val="0"/>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9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sz w:val="20"/>
              </w:rPr>
              <w:t>蔈草镇</w:t>
            </w:r>
          </w:p>
        </w:tc>
        <w:tc>
          <w:tcPr>
            <w:tcW w:w="40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2"/>
                <w:szCs w:val="22"/>
              </w:rPr>
            </w:pPr>
          </w:p>
        </w:tc>
        <w:tc>
          <w:tcPr>
            <w:tcW w:w="339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收入</w:t>
            </w:r>
          </w:p>
        </w:tc>
        <w:tc>
          <w:tcPr>
            <w:tcW w:w="74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功能分类科目</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2,973.48</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一、一般公共服务支出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798.89</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55.79</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二、外交支出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三、国防支出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四、公共安全支出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五、教育支出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六、科学技术支出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七、文化旅游体育与传媒支出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八、社会保障和就业支出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1,152.06</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九、卫生健康支出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56.81</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十、节能环保支出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十一、城乡社区支出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53.86</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十二、农林水支出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496.98</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十三、交通运输支出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十四、资源勘探工业信息等支出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十五、商业服务业等支出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十六、金融支出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十七、援助其他地区支出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十八、自然资源海洋气象等支出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十九、住房保障支出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68.79</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二十、粮油物资储备支出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二十一、国有资本经营预算支出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二十二、灾害防治及应急管理支出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二十三、其他支出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二十四、债务还本支出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二十五、债务付息支出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二十六、抗疫特别国债安排的支出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本年支出合计</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结余分配</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年末结转和结余</w:t>
            </w:r>
          </w:p>
        </w:tc>
        <w:tc>
          <w:tcPr>
            <w:tcW w:w="339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总计</w:t>
            </w:r>
          </w:p>
        </w:tc>
        <w:tc>
          <w:tcPr>
            <w:tcW w:w="33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0"/>
          <w:szCs w:val="20"/>
        </w:rPr>
      </w:pPr>
      <w:r>
        <w:rPr>
          <w:rFonts w:hint="eastAsia" w:ascii="Times New Roman" w:hAnsi="Times New Roman" w:eastAsia="方正仿宋_GBK" w:cs="方正仿宋_GBK"/>
          <w:b w:val="0"/>
          <w:bCs w:val="0"/>
          <w:sz w:val="20"/>
          <w:szCs w:val="20"/>
        </w:rPr>
        <w:t>备注：1.本表反映部门本年度的总收支和年末结转结余情况。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 xml:space="preserve">      2.本套报表金额单位转换时可能存在尾数误差。</w:t>
      </w:r>
      <w:r>
        <w:rPr>
          <w:rFonts w:hint="eastAsia" w:ascii="Times New Roman" w:hAnsi="Times New Roman" w:eastAsia="方正仿宋_GBK" w:cs="方正仿宋_GBK"/>
          <w:b w:val="0"/>
          <w:bCs w:val="0"/>
          <w:sz w:val="20"/>
          <w:szCs w:val="20"/>
        </w:rPr>
        <w:br w:type="textWrapping"/>
      </w:r>
    </w:p>
    <w:p>
      <w:pPr>
        <w:rPr>
          <w:rFonts w:hint="eastAsia" w:ascii="Times New Roman" w:hAnsi="Times New Roman" w:eastAsia="方正仿宋_GBK" w:cs="方正仿宋_GBK"/>
          <w:b w:val="0"/>
          <w:bCs w:val="0"/>
          <w:sz w:val="20"/>
          <w:szCs w:val="20"/>
        </w:rPr>
      </w:pPr>
      <w:r>
        <w:rPr>
          <w:rFonts w:hint="eastAsia" w:ascii="Times New Roman" w:hAnsi="Times New Roman" w:eastAsia="方正仿宋_GBK" w:cs="方正仿宋_GBK"/>
          <w:b w:val="0"/>
          <w:bCs w:val="0"/>
          <w:sz w:val="20"/>
          <w:szCs w:val="20"/>
        </w:rPr>
        <w:br w:type="page"/>
      </w:r>
    </w:p>
    <w:tbl>
      <w:tblPr>
        <w:tblStyle w:val="8"/>
        <w:tblW w:w="15332"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469"/>
      </w:tblGrid>
      <w:tr>
        <w:tblPrEx>
          <w:tblCellMar>
            <w:top w:w="0" w:type="dxa"/>
            <w:left w:w="0" w:type="dxa"/>
            <w:bottom w:w="0" w:type="dxa"/>
            <w:right w:w="0" w:type="dxa"/>
          </w:tblCellMar>
        </w:tblPrEx>
        <w:trPr>
          <w:trHeight w:val="641" w:hRule="atLeast"/>
        </w:trPr>
        <w:tc>
          <w:tcPr>
            <w:tcW w:w="15332"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cs="宋体"/>
                <w:b w:val="0"/>
                <w:bCs w:val="0"/>
                <w:color w:val="000000"/>
                <w:sz w:val="32"/>
                <w:szCs w:val="32"/>
              </w:rPr>
            </w:pPr>
            <w:r>
              <w:rPr>
                <w:rFonts w:hint="eastAsia" w:ascii="方正小标宋_GBK" w:hAnsi="方正小标宋_GBK" w:eastAsia="方正小标宋_GBK" w:cs="方正小标宋_GBK"/>
                <w:b w:val="0"/>
                <w:bCs w:val="0"/>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sz w:val="20"/>
              </w:rPr>
              <w:t>蔈草镇</w:t>
            </w:r>
          </w:p>
        </w:tc>
        <w:tc>
          <w:tcPr>
            <w:tcW w:w="143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公开02表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附属单位上缴收入</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798.89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798.89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766.92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766.92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516.23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516.23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207.66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207.66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其他政府办公厅（室）及相关机构事务支出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2011308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2013299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其他组织事务支出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20140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信访事务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2014004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信访业务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2040221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特别业务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1,152.06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1,152.06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社会保险经办机构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224.77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224.77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96.56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96.56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86.84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86.84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41.37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41.37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41.46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儿童福利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老年福利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26.66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26.66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31.65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31.65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残疾人生活和护理补贴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29.51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29.51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最低生活保障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465.04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465.04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城市最低生活保障金支出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农村最低生活保障金支出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453.59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453.59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临时救助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临时救助支出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特困人员救助供养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农村特困人员救助供养支出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其他农村生活救助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56.81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56.81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公共卫生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2100410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突发公共卫生事件应急处置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30.78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30.78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24.78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24.78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自然生态保护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187.53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187.53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生态保护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75.77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75.77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农村环境保护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111.76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111.76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53.86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53.86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污水处理费安排的支出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污水处理设施建设和运营</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其他污水处理费安排的支出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496.98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496.98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114.96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114.96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科技转化与推广服务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12.79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12.79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农村合作经济</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2.35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2.35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172.01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172.01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53.06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53.06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118.95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118.95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193.44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193.44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176.40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176.40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其他农村综合改革支出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21369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国家重大水利工程建设基金安排的支出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2136902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三峡后续工作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其他自然资源事务支出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68.79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68.79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消防救援事务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其他消防救援事务支出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2296002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bl>
    <w:p>
      <w:pPr>
        <w:keepNext w:val="0"/>
        <w:keepLines w:val="0"/>
        <w:pageBreakBefore w:val="0"/>
        <w:widowControl/>
        <w:kinsoku/>
        <w:overflowPunct/>
        <w:topLinePunct w:val="0"/>
        <w:autoSpaceDE/>
        <w:autoSpaceDN/>
        <w:bidi w:val="0"/>
        <w:adjustRightInd/>
        <w:snapToGrid/>
        <w:spacing w:line="240" w:lineRule="auto"/>
        <w:ind w:left="600" w:hanging="600" w:hangingChars="300"/>
        <w:jc w:val="left"/>
        <w:rPr>
          <w:rFonts w:hint="default" w:cs="宋体"/>
          <w:b w:val="0"/>
          <w:bCs w:val="0"/>
          <w:sz w:val="20"/>
          <w:szCs w:val="20"/>
        </w:rPr>
      </w:pPr>
      <w:r>
        <w:rPr>
          <w:rFonts w:hint="eastAsia" w:ascii="Times New Roman" w:hAnsi="Times New Roman" w:eastAsia="方正仿宋_GBK" w:cs="方正仿宋_GBK"/>
          <w:b w:val="0"/>
          <w:bCs w:val="0"/>
          <w:sz w:val="20"/>
          <w:szCs w:val="20"/>
        </w:rPr>
        <w:t>备注：1.本表反映部门本年度取得的各项收入情况。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2.本套报表金额单位转换时可能存在尾数误差。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240" w:lineRule="auto"/>
        <w:jc w:val="center"/>
        <w:rPr>
          <w:rFonts w:hint="default" w:cs="宋体"/>
          <w:b w:val="0"/>
          <w:bCs w:val="0"/>
          <w:sz w:val="20"/>
          <w:szCs w:val="20"/>
        </w:rPr>
      </w:pPr>
      <w:r>
        <w:rPr>
          <w:rFonts w:cs="宋体"/>
          <w:b w:val="0"/>
          <w:bCs w:val="0"/>
          <w:sz w:val="20"/>
          <w:szCs w:val="20"/>
        </w:rPr>
        <w:br w:type="page"/>
      </w:r>
    </w:p>
    <w:tbl>
      <w:tblPr>
        <w:tblStyle w:val="8"/>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cs="宋体"/>
                <w:b w:val="0"/>
                <w:bCs w:val="0"/>
                <w:color w:val="000000"/>
                <w:sz w:val="32"/>
                <w:szCs w:val="32"/>
              </w:rPr>
            </w:pPr>
            <w:r>
              <w:rPr>
                <w:rFonts w:hint="eastAsia" w:ascii="方正小标宋_GBK" w:hAnsi="方正小标宋_GBK" w:eastAsia="方正小标宋_GBK" w:cs="方正小标宋_GBK"/>
                <w:b w:val="0"/>
                <w:bCs w:val="0"/>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sz w:val="20"/>
                <w:szCs w:val="20"/>
              </w:rPr>
              <w:t>：</w:t>
            </w:r>
            <w:r>
              <w:rPr>
                <w:rFonts w:hint="eastAsia" w:ascii="Times New Roman" w:hAnsi="Times New Roman" w:eastAsia="方正仿宋_GBK" w:cs="方正仿宋_GBK"/>
                <w:b w:val="0"/>
                <w:bCs w:val="0"/>
                <w:color w:val="000000"/>
                <w:sz w:val="20"/>
              </w:rPr>
              <w:t>蔈草镇</w:t>
            </w:r>
          </w:p>
        </w:tc>
        <w:tc>
          <w:tcPr>
            <w:tcW w:w="17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公开03表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1,225.49</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1,803.78</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798.89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723.89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代表工作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766.92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723.89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516.23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516.23</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207.66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207.66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商贸事务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2011308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招商引资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2013299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其他组织事务支出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20140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信访事务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2014004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信访业务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2040221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特别业务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1,152.06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260.69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891.37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社会保险经办机构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224.77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224.77</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96.56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96.56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86.84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86.84</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41.37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41.37</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其他优抚支出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41.46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41.46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儿童福利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老年福利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26.66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26.66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31.65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31.65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残疾人生活和护理补贴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29.51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29.51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最低生活保障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465.04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465.04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城市最低生活保障金支出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农村最低生活保障金支出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453.59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453.59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临时救助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临时救助支出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特困人员救助供养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农村特困人员救助供养支出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其他农村生活救助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56.81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公共卫生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2100410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突发公共卫生事件应急处置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30.78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30.78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24.78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24.78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水体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自然生态保护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187.53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187.53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生态保护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75.77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75.77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农村环境保护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111.76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111.76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53.86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53.86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污水处理费安排的支出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污水处理设施建设和运营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其他污水处理费安排的支出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496.98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397.16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114.96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科技转化与推广服务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12.79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12.79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农村合作经济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2.35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2.35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林业草原防灾减灾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172.01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172.01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53.06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53.06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118.95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118.95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193.44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193.44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176.40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176.40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其他农村综合改革支出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21369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国家重大水利工程建设基金安排的支出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2136902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三峡后续工作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其他自然资源事务支出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68.79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农村危房改造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消防救援事务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其他消防救援事务支出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2296002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用于社会福利的彩票公益金支出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0"/>
          <w:szCs w:val="20"/>
        </w:rPr>
      </w:pPr>
      <w:r>
        <w:rPr>
          <w:rFonts w:hint="eastAsia" w:ascii="Times New Roman" w:hAnsi="Times New Roman" w:eastAsia="方正仿宋_GBK" w:cs="方正仿宋_GBK"/>
          <w:b w:val="0"/>
          <w:bCs w:val="0"/>
          <w:sz w:val="20"/>
          <w:szCs w:val="20"/>
        </w:rPr>
        <w:t>备注：1.本表反映部门本年度各项支出情况。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 xml:space="preserve">      2.本套报表金额单位转换时可能存在尾数误差。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240" w:lineRule="auto"/>
        <w:jc w:val="center"/>
        <w:rPr>
          <w:rFonts w:hint="default" w:cs="宋体"/>
          <w:b w:val="0"/>
          <w:bCs w:val="0"/>
          <w:sz w:val="21"/>
          <w:szCs w:val="21"/>
        </w:rPr>
      </w:pPr>
      <w:r>
        <w:rPr>
          <w:rFonts w:hint="eastAsia" w:ascii="Times New Roman" w:hAnsi="Times New Roman" w:eastAsia="方正仿宋_GBK" w:cs="方正仿宋_GBK"/>
          <w:b w:val="0"/>
          <w:bCs w:val="0"/>
          <w:sz w:val="21"/>
          <w:szCs w:val="21"/>
        </w:rPr>
        <w:br w:type="page"/>
      </w:r>
    </w:p>
    <w:tbl>
      <w:tblPr>
        <w:tblStyle w:val="8"/>
        <w:tblW w:w="15345" w:type="dxa"/>
        <w:tblInd w:w="0" w:type="dxa"/>
        <w:tblLayout w:type="fixed"/>
        <w:tblCellMar>
          <w:top w:w="0" w:type="dxa"/>
          <w:left w:w="0" w:type="dxa"/>
          <w:bottom w:w="0" w:type="dxa"/>
          <w:right w:w="0" w:type="dxa"/>
        </w:tblCellMar>
      </w:tblPr>
      <w:tblGrid>
        <w:gridCol w:w="2967"/>
        <w:gridCol w:w="1521"/>
        <w:gridCol w:w="3179"/>
        <w:gridCol w:w="1694"/>
        <w:gridCol w:w="1694"/>
        <w:gridCol w:w="1694"/>
        <w:gridCol w:w="2596"/>
      </w:tblGrid>
      <w:tr>
        <w:tblPrEx>
          <w:tblCellMar>
            <w:top w:w="0" w:type="dxa"/>
            <w:left w:w="0" w:type="dxa"/>
            <w:bottom w:w="0" w:type="dxa"/>
            <w:right w:w="0" w:type="dxa"/>
          </w:tblCellMar>
        </w:tblPrEx>
        <w:trPr>
          <w:trHeight w:val="90" w:hRule="atLeast"/>
        </w:trPr>
        <w:tc>
          <w:tcPr>
            <w:tcW w:w="15345"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cs="宋体"/>
                <w:b w:val="0"/>
                <w:bCs w:val="0"/>
                <w:color w:val="000000"/>
                <w:sz w:val="32"/>
                <w:szCs w:val="32"/>
              </w:rPr>
            </w:pPr>
            <w:r>
              <w:rPr>
                <w:rFonts w:hint="eastAsia" w:ascii="方正小标宋_GBK" w:hAnsi="方正小标宋_GBK" w:eastAsia="方正小标宋_GBK" w:cs="方正小标宋_GBK"/>
                <w:b w:val="0"/>
                <w:bCs w:val="0"/>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sz w:val="20"/>
                <w:szCs w:val="20"/>
              </w:rPr>
              <w:t>：</w:t>
            </w:r>
            <w:r>
              <w:rPr>
                <w:rFonts w:hint="eastAsia" w:ascii="Times New Roman" w:hAnsi="Times New Roman" w:eastAsia="方正仿宋_GBK" w:cs="方正仿宋_GBK"/>
                <w:b w:val="0"/>
                <w:bCs w:val="0"/>
                <w:color w:val="000000"/>
                <w:sz w:val="20"/>
              </w:rPr>
              <w:t>蔈草镇</w:t>
            </w: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59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59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收     入</w:t>
            </w:r>
          </w:p>
        </w:tc>
        <w:tc>
          <w:tcPr>
            <w:tcW w:w="1085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功能分类科目</w:t>
            </w:r>
          </w:p>
        </w:tc>
        <w:tc>
          <w:tcPr>
            <w:tcW w:w="7678"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政府性基金预算财政拨款</w:t>
            </w: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2,973.48</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798.89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798.89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55.79</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1.70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1.70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27.37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27.37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1,152.06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1,152.06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56.81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56.81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195.30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195.30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53.86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20.80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33.06</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496.98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494.78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2.20</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117.68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117.68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22.75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22.75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68.79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68.79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16.55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16.55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20.53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20.53</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3,029.27</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3,029.27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2,973.48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55.79</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3,029.27</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3,029.27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2,973.48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55.79</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0"/>
          <w:szCs w:val="20"/>
        </w:rPr>
      </w:pPr>
      <w:r>
        <w:rPr>
          <w:rFonts w:hint="eastAsia" w:ascii="Times New Roman" w:hAnsi="Times New Roman" w:eastAsia="方正仿宋_GBK" w:cs="方正仿宋_GBK"/>
          <w:b w:val="0"/>
          <w:bCs w:val="0"/>
          <w:sz w:val="20"/>
          <w:szCs w:val="20"/>
        </w:rPr>
        <w:t>备注：1.本表反映部门本年度一般公共预算财政拨款、政府性基金预算财政拨款及国有资本经营预算财政拨款的总收支和年末结转结余情况。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 xml:space="preserve">      2.本套报表金额单位转换时可能存在尾数误差。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32"/>
                <w:szCs w:val="32"/>
              </w:rPr>
            </w:pPr>
            <w:r>
              <w:rPr>
                <w:rFonts w:hint="eastAsia" w:ascii="方正小标宋_GBK" w:hAnsi="方正小标宋_GBK" w:eastAsia="方正小标宋_GBK" w:cs="方正小标宋_GBK"/>
                <w:b w:val="0"/>
                <w:bCs w:val="0"/>
                <w:color w:val="000000"/>
                <w:kern w:val="2"/>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sz w:val="20"/>
                <w:szCs w:val="20"/>
              </w:rPr>
              <w:t>：</w:t>
            </w:r>
            <w:r>
              <w:rPr>
                <w:rFonts w:hint="eastAsia" w:ascii="Times New Roman" w:hAnsi="Times New Roman" w:eastAsia="方正仿宋_GBK" w:cs="方正仿宋_GBK"/>
                <w:b w:val="0"/>
                <w:bCs w:val="0"/>
                <w:color w:val="000000"/>
                <w:sz w:val="20"/>
              </w:rPr>
              <w:t>蔈草镇</w:t>
            </w:r>
          </w:p>
        </w:tc>
        <w:tc>
          <w:tcPr>
            <w:tcW w:w="32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公开05表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2,973.48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1,225.49</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1,747.98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798.89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723.89</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766.92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723.89</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516.23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516.23</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207.66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207.66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2014004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信访业务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2040221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特别业务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1,152.06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260.69</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891.37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社会保险经办机构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224.77</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96.56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96.56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86.84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86.84</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41.37</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41.46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41.46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儿童福利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26.66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26.66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31.65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31.65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残疾人生活和护理补贴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29.51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29.51</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最低生活保障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465.04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465.04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城市最低生活保障金支出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农村最低生活保障金支出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453.59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453.59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2082850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56.81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2100410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突发公共卫生事件应急处置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30.78</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24.78</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187.53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187.53</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生态保护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75.77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农村环境保护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111.76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111.76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494.78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394.96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114.96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科技转化与推广服务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12.79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12.79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农村合作经济</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2.35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2.35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172.01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172.01</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53.06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53.06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118.95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118.95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193.44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193.44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176.40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176.40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其他农村综合改革支出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其他自然资源事务支出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68.79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消防救援事务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其他消防救援事务支出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1"/>
          <w:szCs w:val="21"/>
        </w:rPr>
      </w:pPr>
      <w:r>
        <w:rPr>
          <w:rFonts w:hint="eastAsia" w:ascii="Times New Roman" w:hAnsi="Times New Roman" w:eastAsia="方正仿宋_GBK" w:cs="方正仿宋_GBK"/>
          <w:b w:val="0"/>
          <w:bCs w:val="0"/>
          <w:sz w:val="20"/>
          <w:szCs w:val="20"/>
        </w:rPr>
        <w:t>备注：1.本表反映部门本年度一般公共预算财政拨款支出情况。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 xml:space="preserve">      2.本套报表金额单位转换时可能存在尾数误差。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240" w:lineRule="auto"/>
        <w:ind w:firstLine="630" w:firstLineChars="300"/>
        <w:jc w:val="center"/>
        <w:rPr>
          <w:rFonts w:hint="eastAsia" w:ascii="Times New Roman" w:hAnsi="Times New Roman" w:eastAsia="方正仿宋_GBK" w:cs="方正仿宋_GBK"/>
          <w:b w:val="0"/>
          <w:bCs w:val="0"/>
          <w:sz w:val="21"/>
          <w:szCs w:val="21"/>
        </w:rPr>
      </w:pPr>
      <w:r>
        <w:rPr>
          <w:rFonts w:hint="eastAsia" w:ascii="Times New Roman" w:hAnsi="Times New Roman" w:eastAsia="方正仿宋_GBK" w:cs="方正仿宋_GBK"/>
          <w:b w:val="0"/>
          <w:bCs w:val="0"/>
          <w:sz w:val="21"/>
          <w:szCs w:val="21"/>
        </w:rPr>
        <w:br w:type="page"/>
      </w:r>
    </w:p>
    <w:tbl>
      <w:tblPr>
        <w:tblStyle w:val="8"/>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32"/>
                <w:szCs w:val="32"/>
              </w:rPr>
            </w:pPr>
            <w:r>
              <w:rPr>
                <w:rFonts w:hint="eastAsia" w:ascii="方正小标宋_GBK" w:hAnsi="方正小标宋_GBK" w:eastAsia="方正小标宋_GBK" w:cs="方正小标宋_GBK"/>
                <w:b w:val="0"/>
                <w:bCs w:val="0"/>
                <w:color w:val="000000"/>
                <w:kern w:val="2"/>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sz w:val="20"/>
                <w:szCs w:val="20"/>
              </w:rPr>
              <w:t>：</w:t>
            </w:r>
            <w:r>
              <w:rPr>
                <w:rFonts w:hint="eastAsia" w:ascii="Times New Roman" w:hAnsi="Times New Roman" w:eastAsia="方正仿宋_GBK" w:cs="方正仿宋_GBK"/>
                <w:b w:val="0"/>
                <w:bCs w:val="0"/>
                <w:color w:val="000000"/>
                <w:sz w:val="20"/>
              </w:rPr>
              <w:t>蔈草镇</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公开06表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979.42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200.51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2.20</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211.56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27.26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114.67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2.20</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139.87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207.05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1.90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96.56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19.73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86.84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13.30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47.56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1.37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21.52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65.94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8.00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3.39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43.36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0.80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4.11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3.74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40.32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14.20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4.28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ind w:firstLine="180" w:firstLineChars="100"/>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18.04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2.59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19.96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45.70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1,022.78</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202.71</w:t>
            </w: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0"/>
          <w:szCs w:val="20"/>
        </w:rPr>
      </w:pPr>
      <w:r>
        <w:rPr>
          <w:rFonts w:hint="eastAsia" w:ascii="Times New Roman" w:hAnsi="Times New Roman" w:eastAsia="方正仿宋_GBK" w:cs="方正仿宋_GBK"/>
          <w:b w:val="0"/>
          <w:bCs w:val="0"/>
          <w:sz w:val="20"/>
          <w:szCs w:val="20"/>
        </w:rPr>
        <w:t>备注：1.本表反映部门本年度一般公共预算财政拨款基本支出明细情况。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 xml:space="preserve">      2.本套报表金额单位转换时可能存在尾数误差。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1"/>
          <w:szCs w:val="21"/>
        </w:rPr>
        <w:br w:type="page"/>
      </w:r>
    </w:p>
    <w:tbl>
      <w:tblPr>
        <w:tblStyle w:val="8"/>
        <w:tblW w:w="15322" w:type="dxa"/>
        <w:tblInd w:w="0" w:type="dxa"/>
        <w:tblLayout w:type="fixed"/>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32"/>
                <w:szCs w:val="32"/>
              </w:rPr>
            </w:pPr>
            <w:r>
              <w:rPr>
                <w:rFonts w:hint="eastAsia" w:ascii="方正小标宋_GBK" w:hAnsi="方正小标宋_GBK" w:eastAsia="方正小标宋_GBK" w:cs="方正小标宋_GBK"/>
                <w:b w:val="0"/>
                <w:bCs w:val="0"/>
                <w:color w:val="000000"/>
                <w:kern w:val="2"/>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89"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sz w:val="20"/>
                <w:szCs w:val="20"/>
              </w:rPr>
              <w:t>：</w:t>
            </w:r>
            <w:r>
              <w:rPr>
                <w:rFonts w:hint="eastAsia" w:ascii="Times New Roman" w:hAnsi="Times New Roman" w:eastAsia="方正仿宋_GBK" w:cs="方正仿宋_GBK"/>
                <w:b w:val="0"/>
                <w:bCs w:val="0"/>
                <w:color w:val="000000"/>
                <w:sz w:val="20"/>
              </w:rPr>
              <w:t>蔈草镇</w:t>
            </w: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公开07表</w:t>
            </w:r>
          </w:p>
        </w:tc>
      </w:tr>
      <w:tr>
        <w:tblPrEx>
          <w:tblCellMar>
            <w:top w:w="0" w:type="dxa"/>
            <w:left w:w="0" w:type="dxa"/>
            <w:bottom w:w="0" w:type="dxa"/>
            <w:right w:w="0" w:type="dxa"/>
          </w:tblCellMar>
        </w:tblPrEx>
        <w:trPr>
          <w:trHeight w:val="329" w:hRule="atLeast"/>
        </w:trPr>
        <w:tc>
          <w:tcPr>
            <w:tcW w:w="6689"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339" w:hRule="atLeast"/>
        </w:trPr>
        <w:tc>
          <w:tcPr>
            <w:tcW w:w="50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w:t>
            </w:r>
          </w:p>
        </w:tc>
        <w:tc>
          <w:tcPr>
            <w:tcW w:w="16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年初结转和结余</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本年收入</w:t>
            </w:r>
          </w:p>
        </w:tc>
        <w:tc>
          <w:tcPr>
            <w:tcW w:w="512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本年支出</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年末结转和结余</w:t>
            </w:r>
          </w:p>
        </w:tc>
      </w:tr>
      <w:tr>
        <w:tblPrEx>
          <w:tblCellMar>
            <w:top w:w="0" w:type="dxa"/>
            <w:left w:w="0" w:type="dxa"/>
            <w:bottom w:w="0" w:type="dxa"/>
            <w:right w:w="0" w:type="dxa"/>
          </w:tblCellMar>
        </w:tblPrEx>
        <w:trPr>
          <w:trHeight w:val="33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项目（按“项”级功能分类科目）</w:t>
            </w: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基本支出</w:t>
            </w:r>
          </w:p>
        </w:tc>
        <w:tc>
          <w:tcPr>
            <w:tcW w:w="1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项目支出</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64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9" w:hRule="atLeast"/>
        </w:trPr>
        <w:tc>
          <w:tcPr>
            <w:tcW w:w="50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55.79</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55.79</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55.79</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33.06</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33.06</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33.06</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城市基础设施配套费安排的支出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其他城市基础设施配套费安排的支出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污水处理费安排的支出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污水处理设施建设和运营</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其他污水处理费安排的支出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农林水支出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21369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国家重大水利工程建设基金安排的支出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2136902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三峡后续工作</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彩票公益金安排的支出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2296002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用于社会福利的彩票公益金支出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1"/>
          <w:szCs w:val="21"/>
        </w:rPr>
      </w:pPr>
      <w:r>
        <w:rPr>
          <w:rFonts w:hint="eastAsia" w:ascii="Times New Roman" w:hAnsi="Times New Roman" w:eastAsia="方正仿宋_GBK" w:cs="方正仿宋_GBK"/>
          <w:b w:val="0"/>
          <w:bCs w:val="0"/>
          <w:sz w:val="20"/>
          <w:szCs w:val="20"/>
        </w:rPr>
        <w:t>备注：1.本表反映部门本年度政府性基金预算财政拨款收入支出及结转和结余情况。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 xml:space="preserve">      2.本套报表金额单位转换时可能存在尾数误差。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sz w:val="21"/>
          <w:szCs w:val="21"/>
        </w:rPr>
      </w:pPr>
      <w:r>
        <w:rPr>
          <w:rFonts w:hint="eastAsia" w:ascii="Times New Roman" w:hAnsi="Times New Roman" w:eastAsia="方正仿宋_GBK" w:cs="方正仿宋_GBK"/>
          <w:b w:val="0"/>
          <w:bCs w:val="0"/>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32"/>
                <w:szCs w:val="32"/>
              </w:rPr>
            </w:pPr>
            <w:r>
              <w:rPr>
                <w:rFonts w:hint="eastAsia" w:ascii="方正小标宋_GBK" w:hAnsi="方正小标宋_GBK" w:eastAsia="方正小标宋_GBK" w:cs="方正小标宋_GBK"/>
                <w:b w:val="0"/>
                <w:bCs w:val="0"/>
                <w:color w:val="000000"/>
                <w:kern w:val="2"/>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sz w:val="20"/>
                <w:szCs w:val="20"/>
              </w:rPr>
              <w:t>：</w:t>
            </w:r>
            <w:r>
              <w:rPr>
                <w:rFonts w:hint="eastAsia" w:ascii="Times New Roman" w:hAnsi="Times New Roman" w:eastAsia="方正仿宋_GBK" w:cs="方正仿宋_GBK"/>
                <w:b w:val="0"/>
                <w:bCs w:val="0"/>
                <w:color w:val="000000"/>
                <w:sz w:val="20"/>
              </w:rPr>
              <w:t>蔈草镇</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1"/>
          <w:szCs w:val="21"/>
        </w:rPr>
      </w:pPr>
      <w:r>
        <w:rPr>
          <w:rFonts w:hint="eastAsia" w:ascii="Times New Roman" w:hAnsi="Times New Roman" w:eastAsia="方正仿宋_GBK" w:cs="方正仿宋_GBK"/>
          <w:b w:val="0"/>
          <w:bCs w:val="0"/>
          <w:sz w:val="20"/>
          <w:szCs w:val="20"/>
        </w:rPr>
        <w:t>备注：本表反映部门本年度国有资本经营预算财政拨款支出情况。本部门无国有资本经营收支，故本表无数据。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sz w:val="21"/>
          <w:szCs w:val="21"/>
        </w:rPr>
      </w:pPr>
      <w:r>
        <w:rPr>
          <w:rFonts w:hint="eastAsia" w:ascii="Times New Roman" w:hAnsi="Times New Roman" w:eastAsia="方正仿宋_GBK" w:cs="方正仿宋_GBK"/>
          <w:b w:val="0"/>
          <w:bCs w:val="0"/>
          <w:sz w:val="21"/>
          <w:szCs w:val="21"/>
        </w:rPr>
        <w:br w:type="page"/>
      </w:r>
    </w:p>
    <w:tbl>
      <w:tblPr>
        <w:tblStyle w:val="8"/>
        <w:tblW w:w="15307" w:type="dxa"/>
        <w:tblInd w:w="0" w:type="dxa"/>
        <w:tblLayout w:type="fixed"/>
        <w:tblCellMar>
          <w:top w:w="0" w:type="dxa"/>
          <w:left w:w="170" w:type="dxa"/>
          <w:bottom w:w="0" w:type="dxa"/>
          <w:right w:w="170" w:type="dxa"/>
        </w:tblCellMar>
      </w:tblPr>
      <w:tblGrid>
        <w:gridCol w:w="3162"/>
        <w:gridCol w:w="2402"/>
        <w:gridCol w:w="2360"/>
        <w:gridCol w:w="3726"/>
        <w:gridCol w:w="3657"/>
      </w:tblGrid>
      <w:tr>
        <w:tblPrEx>
          <w:tblCellMar>
            <w:top w:w="0" w:type="dxa"/>
            <w:left w:w="170" w:type="dxa"/>
            <w:bottom w:w="0" w:type="dxa"/>
            <w:right w:w="170" w:type="dxa"/>
          </w:tblCellMar>
        </w:tblPrEx>
        <w:trPr>
          <w:trHeight w:val="343" w:hRule="atLeast"/>
        </w:trPr>
        <w:tc>
          <w:tcPr>
            <w:tcW w:w="15307" w:type="dxa"/>
            <w:gridSpan w:val="5"/>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kern w:val="2"/>
                <w:sz w:val="32"/>
                <w:szCs w:val="32"/>
              </w:rPr>
            </w:pPr>
            <w:r>
              <w:rPr>
                <w:rFonts w:hint="eastAsia" w:ascii="方正小标宋_GBK" w:hAnsi="方正小标宋_GBK" w:eastAsia="方正小标宋_GBK" w:cs="方正小标宋_GBK"/>
                <w:b w:val="0"/>
                <w:bCs w:val="0"/>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p>
        </w:tc>
        <w:tc>
          <w:tcPr>
            <w:tcW w:w="2402"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p>
        </w:tc>
        <w:tc>
          <w:tcPr>
            <w:tcW w:w="2360"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p>
        </w:tc>
        <w:tc>
          <w:tcPr>
            <w:tcW w:w="3726"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p>
        </w:tc>
        <w:tc>
          <w:tcPr>
            <w:tcW w:w="3657"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kern w:val="2"/>
                <w:sz w:val="20"/>
                <w:szCs w:val="20"/>
              </w:rPr>
            </w:pPr>
            <w:r>
              <w:rPr>
                <w:rFonts w:hint="eastAsia" w:ascii="Times New Roman" w:hAnsi="Times New Roman" w:eastAsia="方正仿宋_GBK" w:cs="方正仿宋_GBK"/>
                <w:b w:val="0"/>
                <w:bCs w:val="0"/>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kern w:val="2"/>
                <w:sz w:val="20"/>
                <w:szCs w:val="20"/>
              </w:rPr>
              <w:t>：</w:t>
            </w:r>
            <w:r>
              <w:rPr>
                <w:rFonts w:hint="eastAsia" w:ascii="Times New Roman" w:hAnsi="Times New Roman" w:eastAsia="方正仿宋_GBK" w:cs="方正仿宋_GBK"/>
                <w:b w:val="0"/>
                <w:bCs w:val="0"/>
                <w:color w:val="000000"/>
                <w:sz w:val="20"/>
              </w:rPr>
              <w:t>蔈草镇</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p>
        </w:tc>
        <w:tc>
          <w:tcPr>
            <w:tcW w:w="3657"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kern w:val="2"/>
                <w:sz w:val="20"/>
                <w:szCs w:val="20"/>
              </w:rPr>
            </w:pPr>
            <w:r>
              <w:rPr>
                <w:rFonts w:hint="eastAsia" w:ascii="Times New Roman" w:hAnsi="Times New Roman" w:eastAsia="方正仿宋_GBK" w:cs="方正仿宋_GBK"/>
                <w:b w:val="0"/>
                <w:bCs w:val="0"/>
                <w:color w:val="000000"/>
                <w:kern w:val="2"/>
                <w:sz w:val="20"/>
                <w:szCs w:val="20"/>
              </w:rPr>
              <w:t>单位：</w:t>
            </w:r>
            <w:r>
              <w:rPr>
                <w:rFonts w:hint="eastAsia" w:ascii="Times New Roman" w:hAnsi="Times New Roman" w:eastAsia="方正仿宋_GBK" w:cs="方正仿宋_GBK"/>
                <w:b w:val="0"/>
                <w:bCs w:val="0"/>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项  目</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五、机关运行经费</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188.87</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6.33</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6.33</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（一）行政单位</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188.87</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（二）参照公务员法管理事业单位</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2.59</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2.59</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六、资产信息</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（一）车辆数合计（辆）</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2.59</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2.59</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1．副部（省）级及以上领导用车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3.74</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3.74</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2．主要领导干部用车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3.74</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3．机要通信用车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4．应急保障用车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5．执法执勤用车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6．特种专业技术用车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7．离退休干部用车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8．其他用车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（二）单价100万元（含）以上设备（不含车辆）</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2</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七、政府采购支出信息</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125</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（一）政府采购支出合计</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1．政府采购货物支出</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747</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2．政府采购工程支出</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3．政府采购服务支出</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（二）政府采购授予中小企业合同金额</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其中：授予小微企业合同金额</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0.80</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16"/>
                <w:szCs w:val="16"/>
              </w:rPr>
            </w:pP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4.11</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16"/>
                <w:szCs w:val="16"/>
              </w:rPr>
            </w:pP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6"/>
                <w:szCs w:val="16"/>
              </w:rPr>
            </w:pPr>
            <w:r>
              <w:rPr>
                <w:rFonts w:hint="eastAsia" w:ascii="Times New Roman" w:hAnsi="Times New Roman" w:eastAsia="方正仿宋_GBK" w:cs="方正仿宋_GBK"/>
                <w:b w:val="0"/>
                <w:bCs w:val="0"/>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22.16</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6"/>
                <w:szCs w:val="16"/>
              </w:rPr>
            </w:pP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6"/>
                <w:szCs w:val="16"/>
              </w:rPr>
            </w:pP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18"/>
          <w:szCs w:val="18"/>
        </w:rPr>
      </w:pPr>
      <w:r>
        <w:rPr>
          <w:rFonts w:hint="eastAsia" w:ascii="Times New Roman" w:hAnsi="Times New Roman" w:eastAsia="方正仿宋_GBK" w:cs="方正仿宋_GBK"/>
          <w:b w:val="0"/>
          <w:bCs w:val="0"/>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Times New Roman" w:hAnsi="Times New Roman" w:eastAsia="方正仿宋_GBK" w:cs="方正仿宋_GBK"/>
          <w:b w:val="0"/>
          <w:bCs w:val="0"/>
          <w:sz w:val="18"/>
          <w:szCs w:val="18"/>
        </w:rPr>
        <w:br w:type="textWrapping"/>
      </w:r>
      <w:r>
        <w:rPr>
          <w:rFonts w:hint="eastAsia" w:ascii="Times New Roman" w:hAnsi="Times New Roman" w:eastAsia="方正仿宋_GBK" w:cs="方正仿宋_GBK"/>
          <w:b w:val="0"/>
          <w:bCs w:val="0"/>
          <w:sz w:val="18"/>
          <w:szCs w:val="18"/>
        </w:rPr>
        <w:t xml:space="preserve">      2.本套报表金额单位转换时可能存在尾数误差。</w:t>
      </w:r>
      <w:r>
        <w:rPr>
          <w:rFonts w:hint="eastAsia" w:ascii="Times New Roman" w:hAnsi="Times New Roman" w:eastAsia="方正仿宋_GBK" w:cs="方正仿宋_GBK"/>
          <w:b w:val="0"/>
          <w:bCs w:val="0"/>
          <w:sz w:val="18"/>
          <w:szCs w:val="18"/>
        </w:rPr>
        <w:br w:type="textWrapping"/>
      </w:r>
      <w:r>
        <w:rPr>
          <w:rFonts w:hint="eastAsia" w:ascii="Times New Roman" w:hAnsi="Times New Roman" w:eastAsia="方正仿宋_GBK" w:cs="方正仿宋_GBK"/>
          <w:b w:val="0"/>
          <w:bCs w:val="0"/>
          <w:sz w:val="18"/>
          <w:szCs w:val="18"/>
        </w:rPr>
        <w:br w:type="textWrapping"/>
      </w:r>
    </w:p>
    <w:sectPr>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D4598"/>
    <w:multiLevelType w:val="singleLevel"/>
    <w:tmpl w:val="076D4598"/>
    <w:lvl w:ilvl="0" w:tentative="0">
      <w:start w:val="1"/>
      <w:numFmt w:val="decimal"/>
      <w:suff w:val="nothing"/>
      <w:lvlText w:val="%1、"/>
      <w:lvlJc w:val="left"/>
    </w:lvl>
  </w:abstractNum>
  <w:abstractNum w:abstractNumId="1">
    <w:nsid w:val="377E65CC"/>
    <w:multiLevelType w:val="singleLevel"/>
    <w:tmpl w:val="377E65C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RiYmFkZjU3ZWZjZDY5NmU5MDlkMGRjZTY2MTQ4NTg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B7BD3"/>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97C31"/>
    <w:rsid w:val="00FA0819"/>
    <w:rsid w:val="00FB61A1"/>
    <w:rsid w:val="00FB7EF0"/>
    <w:rsid w:val="01474EBF"/>
    <w:rsid w:val="01BB7833"/>
    <w:rsid w:val="01F3521E"/>
    <w:rsid w:val="02E828B6"/>
    <w:rsid w:val="03077B2E"/>
    <w:rsid w:val="033124A2"/>
    <w:rsid w:val="03B87EA0"/>
    <w:rsid w:val="03E3214F"/>
    <w:rsid w:val="03EA08A3"/>
    <w:rsid w:val="044C50BA"/>
    <w:rsid w:val="04DC01EC"/>
    <w:rsid w:val="04F512AE"/>
    <w:rsid w:val="05656433"/>
    <w:rsid w:val="05BC6D49"/>
    <w:rsid w:val="06194FF1"/>
    <w:rsid w:val="06A2550B"/>
    <w:rsid w:val="06BF1B73"/>
    <w:rsid w:val="06F80EE2"/>
    <w:rsid w:val="07001CCA"/>
    <w:rsid w:val="075678DB"/>
    <w:rsid w:val="079D7CC7"/>
    <w:rsid w:val="08051BCA"/>
    <w:rsid w:val="086C12F4"/>
    <w:rsid w:val="08A41020"/>
    <w:rsid w:val="08BA052C"/>
    <w:rsid w:val="08DB07BA"/>
    <w:rsid w:val="09273A00"/>
    <w:rsid w:val="093A7BD7"/>
    <w:rsid w:val="0969353F"/>
    <w:rsid w:val="098305D0"/>
    <w:rsid w:val="098A0877"/>
    <w:rsid w:val="0A5C4B69"/>
    <w:rsid w:val="0A86124A"/>
    <w:rsid w:val="0AA03A6A"/>
    <w:rsid w:val="0AB54CC0"/>
    <w:rsid w:val="0B043FF8"/>
    <w:rsid w:val="0B9335CE"/>
    <w:rsid w:val="0C37664F"/>
    <w:rsid w:val="0C61547A"/>
    <w:rsid w:val="0C7927C4"/>
    <w:rsid w:val="0C9B098C"/>
    <w:rsid w:val="0D673E11"/>
    <w:rsid w:val="0DDA54E4"/>
    <w:rsid w:val="0E084ABF"/>
    <w:rsid w:val="0E3A5F83"/>
    <w:rsid w:val="0E74421A"/>
    <w:rsid w:val="0EA46639"/>
    <w:rsid w:val="0EC6180C"/>
    <w:rsid w:val="0F497FB6"/>
    <w:rsid w:val="0F836721"/>
    <w:rsid w:val="0FA25D96"/>
    <w:rsid w:val="0FF705D0"/>
    <w:rsid w:val="107B59E5"/>
    <w:rsid w:val="10EC0126"/>
    <w:rsid w:val="10F70B9A"/>
    <w:rsid w:val="1111418F"/>
    <w:rsid w:val="111445C7"/>
    <w:rsid w:val="114278C6"/>
    <w:rsid w:val="1158083A"/>
    <w:rsid w:val="11643A4B"/>
    <w:rsid w:val="117B6FDE"/>
    <w:rsid w:val="11823EC9"/>
    <w:rsid w:val="11B12A00"/>
    <w:rsid w:val="11ED0F98"/>
    <w:rsid w:val="11F03528"/>
    <w:rsid w:val="12C921C4"/>
    <w:rsid w:val="12F52ECF"/>
    <w:rsid w:val="13871C70"/>
    <w:rsid w:val="13A71CB4"/>
    <w:rsid w:val="13AF1D43"/>
    <w:rsid w:val="13CE1647"/>
    <w:rsid w:val="13DA0C25"/>
    <w:rsid w:val="13FD55AB"/>
    <w:rsid w:val="1410409C"/>
    <w:rsid w:val="14200702"/>
    <w:rsid w:val="14723288"/>
    <w:rsid w:val="148B578A"/>
    <w:rsid w:val="14907817"/>
    <w:rsid w:val="14AF1479"/>
    <w:rsid w:val="14D07641"/>
    <w:rsid w:val="14D40266"/>
    <w:rsid w:val="14FA1EA8"/>
    <w:rsid w:val="15091AF6"/>
    <w:rsid w:val="163A6CEE"/>
    <w:rsid w:val="173708E3"/>
    <w:rsid w:val="174C19C7"/>
    <w:rsid w:val="17C374FC"/>
    <w:rsid w:val="189079DC"/>
    <w:rsid w:val="189B0D0B"/>
    <w:rsid w:val="18AF03BF"/>
    <w:rsid w:val="18B43F7C"/>
    <w:rsid w:val="194A1770"/>
    <w:rsid w:val="19B906A4"/>
    <w:rsid w:val="19ED659F"/>
    <w:rsid w:val="19FB026E"/>
    <w:rsid w:val="1A056552"/>
    <w:rsid w:val="1B396F17"/>
    <w:rsid w:val="1B6F15B6"/>
    <w:rsid w:val="1BAA2EDC"/>
    <w:rsid w:val="1C5C0973"/>
    <w:rsid w:val="1CA55E64"/>
    <w:rsid w:val="1D014A01"/>
    <w:rsid w:val="1D022362"/>
    <w:rsid w:val="1D1B04B0"/>
    <w:rsid w:val="1D6534C4"/>
    <w:rsid w:val="1DBD6767"/>
    <w:rsid w:val="1DC52125"/>
    <w:rsid w:val="1DD26311"/>
    <w:rsid w:val="1E2E5632"/>
    <w:rsid w:val="1E374ACB"/>
    <w:rsid w:val="1E5E27E3"/>
    <w:rsid w:val="1EA33588"/>
    <w:rsid w:val="1EB57761"/>
    <w:rsid w:val="1ECF0A66"/>
    <w:rsid w:val="1EF67CA4"/>
    <w:rsid w:val="1F020D3A"/>
    <w:rsid w:val="1F2C5189"/>
    <w:rsid w:val="1F4B0B02"/>
    <w:rsid w:val="1FBB35CD"/>
    <w:rsid w:val="1FCD26AF"/>
    <w:rsid w:val="2037168C"/>
    <w:rsid w:val="20642787"/>
    <w:rsid w:val="21556F04"/>
    <w:rsid w:val="22403BD3"/>
    <w:rsid w:val="23DA37D9"/>
    <w:rsid w:val="24A24B56"/>
    <w:rsid w:val="24B92327"/>
    <w:rsid w:val="24C14514"/>
    <w:rsid w:val="2533755C"/>
    <w:rsid w:val="25791755"/>
    <w:rsid w:val="26396DF4"/>
    <w:rsid w:val="270C275B"/>
    <w:rsid w:val="27167136"/>
    <w:rsid w:val="27B23302"/>
    <w:rsid w:val="28836A4D"/>
    <w:rsid w:val="29310A5F"/>
    <w:rsid w:val="29826D04"/>
    <w:rsid w:val="29C37A35"/>
    <w:rsid w:val="29EC6874"/>
    <w:rsid w:val="2A076083"/>
    <w:rsid w:val="2A3A75DF"/>
    <w:rsid w:val="2A73162E"/>
    <w:rsid w:val="2A751F0B"/>
    <w:rsid w:val="2B167953"/>
    <w:rsid w:val="2B200583"/>
    <w:rsid w:val="2B220436"/>
    <w:rsid w:val="2B8209DE"/>
    <w:rsid w:val="2C6762A3"/>
    <w:rsid w:val="2CF03F85"/>
    <w:rsid w:val="2EA339A5"/>
    <w:rsid w:val="2EBF7B3E"/>
    <w:rsid w:val="2EDE1934"/>
    <w:rsid w:val="2F0733A4"/>
    <w:rsid w:val="2FCA4B37"/>
    <w:rsid w:val="2FE029D7"/>
    <w:rsid w:val="2FF06E00"/>
    <w:rsid w:val="30562E26"/>
    <w:rsid w:val="30586FEC"/>
    <w:rsid w:val="30EC7046"/>
    <w:rsid w:val="31216E03"/>
    <w:rsid w:val="315F0B22"/>
    <w:rsid w:val="319D022C"/>
    <w:rsid w:val="31C90022"/>
    <w:rsid w:val="31D84415"/>
    <w:rsid w:val="32285F6F"/>
    <w:rsid w:val="32770556"/>
    <w:rsid w:val="329C0913"/>
    <w:rsid w:val="32AA0460"/>
    <w:rsid w:val="3337290D"/>
    <w:rsid w:val="334E7C57"/>
    <w:rsid w:val="33A100AA"/>
    <w:rsid w:val="33E31118"/>
    <w:rsid w:val="33EF7674"/>
    <w:rsid w:val="342D7BC6"/>
    <w:rsid w:val="34475F39"/>
    <w:rsid w:val="345C0152"/>
    <w:rsid w:val="347F27BE"/>
    <w:rsid w:val="352930DB"/>
    <w:rsid w:val="35573069"/>
    <w:rsid w:val="355F6038"/>
    <w:rsid w:val="357E18A8"/>
    <w:rsid w:val="358C217E"/>
    <w:rsid w:val="35937598"/>
    <w:rsid w:val="364C4A4B"/>
    <w:rsid w:val="36C9128A"/>
    <w:rsid w:val="372E3953"/>
    <w:rsid w:val="37841E99"/>
    <w:rsid w:val="37BF1123"/>
    <w:rsid w:val="37DE2E19"/>
    <w:rsid w:val="38067F1D"/>
    <w:rsid w:val="383C3F15"/>
    <w:rsid w:val="38BE4696"/>
    <w:rsid w:val="3939115E"/>
    <w:rsid w:val="39B82A39"/>
    <w:rsid w:val="39C42CA8"/>
    <w:rsid w:val="39DC4FD6"/>
    <w:rsid w:val="39F03D7A"/>
    <w:rsid w:val="39F33306"/>
    <w:rsid w:val="3A2C1C67"/>
    <w:rsid w:val="3A6B10EF"/>
    <w:rsid w:val="3ABD5DEE"/>
    <w:rsid w:val="3B0C28D2"/>
    <w:rsid w:val="3B1705E5"/>
    <w:rsid w:val="3B18334B"/>
    <w:rsid w:val="3B360AE0"/>
    <w:rsid w:val="3B36794F"/>
    <w:rsid w:val="3C566AD6"/>
    <w:rsid w:val="3C574020"/>
    <w:rsid w:val="3C6A5B02"/>
    <w:rsid w:val="3CFB0276"/>
    <w:rsid w:val="3D2757A1"/>
    <w:rsid w:val="3D3D4FC4"/>
    <w:rsid w:val="3DDF3AB1"/>
    <w:rsid w:val="3E1D0952"/>
    <w:rsid w:val="3E42660A"/>
    <w:rsid w:val="3E444130"/>
    <w:rsid w:val="3E7555B1"/>
    <w:rsid w:val="3E787ED9"/>
    <w:rsid w:val="3EEC37F3"/>
    <w:rsid w:val="3F032E93"/>
    <w:rsid w:val="3F0527E5"/>
    <w:rsid w:val="3F4814B0"/>
    <w:rsid w:val="3F5E5D98"/>
    <w:rsid w:val="3F626F64"/>
    <w:rsid w:val="3F694D83"/>
    <w:rsid w:val="3F885DCC"/>
    <w:rsid w:val="3FCD675E"/>
    <w:rsid w:val="3FD86860"/>
    <w:rsid w:val="4004000C"/>
    <w:rsid w:val="409C0254"/>
    <w:rsid w:val="40C82570"/>
    <w:rsid w:val="40D54604"/>
    <w:rsid w:val="411B6CE5"/>
    <w:rsid w:val="412070D7"/>
    <w:rsid w:val="41314E40"/>
    <w:rsid w:val="41DF2AEE"/>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317EDF"/>
    <w:rsid w:val="4748792B"/>
    <w:rsid w:val="475D719D"/>
    <w:rsid w:val="47674801"/>
    <w:rsid w:val="48225EF7"/>
    <w:rsid w:val="482E032B"/>
    <w:rsid w:val="486D24D6"/>
    <w:rsid w:val="488261CD"/>
    <w:rsid w:val="488F422B"/>
    <w:rsid w:val="489067A7"/>
    <w:rsid w:val="48E36915"/>
    <w:rsid w:val="49437E06"/>
    <w:rsid w:val="495C4A24"/>
    <w:rsid w:val="497135DF"/>
    <w:rsid w:val="49866C18"/>
    <w:rsid w:val="4A1605D9"/>
    <w:rsid w:val="4A263DF2"/>
    <w:rsid w:val="4A6F6675"/>
    <w:rsid w:val="4AB34B18"/>
    <w:rsid w:val="4AB91210"/>
    <w:rsid w:val="4ABF0746"/>
    <w:rsid w:val="4B0502DF"/>
    <w:rsid w:val="4B135857"/>
    <w:rsid w:val="4B2C0426"/>
    <w:rsid w:val="4B5A5861"/>
    <w:rsid w:val="4B7951CB"/>
    <w:rsid w:val="4B7C315C"/>
    <w:rsid w:val="4CCF773C"/>
    <w:rsid w:val="4CD60F91"/>
    <w:rsid w:val="4D8602C2"/>
    <w:rsid w:val="4DAC4ACA"/>
    <w:rsid w:val="4DBE01D2"/>
    <w:rsid w:val="4E173610"/>
    <w:rsid w:val="4EB14CA5"/>
    <w:rsid w:val="4EC92552"/>
    <w:rsid w:val="4EFC6D10"/>
    <w:rsid w:val="4F0C6BA3"/>
    <w:rsid w:val="4F10477D"/>
    <w:rsid w:val="4F186D58"/>
    <w:rsid w:val="4FB530E0"/>
    <w:rsid w:val="4FEA65B7"/>
    <w:rsid w:val="5042146E"/>
    <w:rsid w:val="50E772C9"/>
    <w:rsid w:val="50F06B6E"/>
    <w:rsid w:val="52234D33"/>
    <w:rsid w:val="52261ABA"/>
    <w:rsid w:val="522F6E0C"/>
    <w:rsid w:val="523522B6"/>
    <w:rsid w:val="52463BA1"/>
    <w:rsid w:val="5298794F"/>
    <w:rsid w:val="52F163D4"/>
    <w:rsid w:val="531A2DB4"/>
    <w:rsid w:val="53C0244D"/>
    <w:rsid w:val="53DD4D4E"/>
    <w:rsid w:val="53E578CE"/>
    <w:rsid w:val="541330F0"/>
    <w:rsid w:val="54272666"/>
    <w:rsid w:val="543B029D"/>
    <w:rsid w:val="544C3364"/>
    <w:rsid w:val="545C7001"/>
    <w:rsid w:val="54861779"/>
    <w:rsid w:val="54ABD49F"/>
    <w:rsid w:val="552256E1"/>
    <w:rsid w:val="553E5926"/>
    <w:rsid w:val="554E5773"/>
    <w:rsid w:val="555A3CBC"/>
    <w:rsid w:val="5582012B"/>
    <w:rsid w:val="558E4E05"/>
    <w:rsid w:val="55A0213D"/>
    <w:rsid w:val="55BE2E85"/>
    <w:rsid w:val="55D82B6C"/>
    <w:rsid w:val="561D52C4"/>
    <w:rsid w:val="5651697D"/>
    <w:rsid w:val="56530F5D"/>
    <w:rsid w:val="56692AE5"/>
    <w:rsid w:val="567700D3"/>
    <w:rsid w:val="567EC0FF"/>
    <w:rsid w:val="56FF7E9E"/>
    <w:rsid w:val="57463E0D"/>
    <w:rsid w:val="578867FC"/>
    <w:rsid w:val="5809221B"/>
    <w:rsid w:val="5842572D"/>
    <w:rsid w:val="59554FEC"/>
    <w:rsid w:val="59AD307A"/>
    <w:rsid w:val="59BE0DE3"/>
    <w:rsid w:val="5A3B59D6"/>
    <w:rsid w:val="5AD134D8"/>
    <w:rsid w:val="5B392E17"/>
    <w:rsid w:val="5B6503B1"/>
    <w:rsid w:val="5B85605C"/>
    <w:rsid w:val="5BB84004"/>
    <w:rsid w:val="5C0F7EC4"/>
    <w:rsid w:val="5C263CE4"/>
    <w:rsid w:val="5C5D2777"/>
    <w:rsid w:val="5CB6122C"/>
    <w:rsid w:val="5CC841A9"/>
    <w:rsid w:val="5CF66BF3"/>
    <w:rsid w:val="5D290C69"/>
    <w:rsid w:val="5DA71852"/>
    <w:rsid w:val="5E2D6537"/>
    <w:rsid w:val="5F27742B"/>
    <w:rsid w:val="5F2D4A41"/>
    <w:rsid w:val="5F5C0E82"/>
    <w:rsid w:val="5F8D54E0"/>
    <w:rsid w:val="605129B1"/>
    <w:rsid w:val="60C74F6C"/>
    <w:rsid w:val="61025A59"/>
    <w:rsid w:val="613D5BBC"/>
    <w:rsid w:val="61536C39"/>
    <w:rsid w:val="61E64F4A"/>
    <w:rsid w:val="623E0993"/>
    <w:rsid w:val="628C5F22"/>
    <w:rsid w:val="62944DD7"/>
    <w:rsid w:val="63106D71"/>
    <w:rsid w:val="6319381F"/>
    <w:rsid w:val="63236436"/>
    <w:rsid w:val="63C25DC5"/>
    <w:rsid w:val="63C62057"/>
    <w:rsid w:val="64571EF5"/>
    <w:rsid w:val="64915A72"/>
    <w:rsid w:val="64CB0157"/>
    <w:rsid w:val="64FB113D"/>
    <w:rsid w:val="65036946"/>
    <w:rsid w:val="654A25FE"/>
    <w:rsid w:val="656152C6"/>
    <w:rsid w:val="6587477F"/>
    <w:rsid w:val="658C3A08"/>
    <w:rsid w:val="65C031CA"/>
    <w:rsid w:val="65CE6852"/>
    <w:rsid w:val="66267C04"/>
    <w:rsid w:val="663F505A"/>
    <w:rsid w:val="66967186"/>
    <w:rsid w:val="66A355E9"/>
    <w:rsid w:val="66DB4D83"/>
    <w:rsid w:val="66EE5541"/>
    <w:rsid w:val="67075689"/>
    <w:rsid w:val="670E6FEF"/>
    <w:rsid w:val="67924660"/>
    <w:rsid w:val="683200C2"/>
    <w:rsid w:val="68407834"/>
    <w:rsid w:val="6883293E"/>
    <w:rsid w:val="688412AD"/>
    <w:rsid w:val="688D47A2"/>
    <w:rsid w:val="68B0223F"/>
    <w:rsid w:val="68CA50AF"/>
    <w:rsid w:val="68EB1B71"/>
    <w:rsid w:val="69475C96"/>
    <w:rsid w:val="697274F4"/>
    <w:rsid w:val="699C6928"/>
    <w:rsid w:val="69B875FD"/>
    <w:rsid w:val="69F94187"/>
    <w:rsid w:val="6AAD2300"/>
    <w:rsid w:val="6B421874"/>
    <w:rsid w:val="6B474EF5"/>
    <w:rsid w:val="6B99345E"/>
    <w:rsid w:val="6BBF53FD"/>
    <w:rsid w:val="6C3868FB"/>
    <w:rsid w:val="6C560CAE"/>
    <w:rsid w:val="6C576495"/>
    <w:rsid w:val="6C5E0930"/>
    <w:rsid w:val="6C894489"/>
    <w:rsid w:val="6CBF5AC8"/>
    <w:rsid w:val="6D903FF5"/>
    <w:rsid w:val="6DA955B8"/>
    <w:rsid w:val="6DC04166"/>
    <w:rsid w:val="6DC26C9C"/>
    <w:rsid w:val="6DE346AB"/>
    <w:rsid w:val="6DE5391A"/>
    <w:rsid w:val="6EFD1324"/>
    <w:rsid w:val="6F5A53AC"/>
    <w:rsid w:val="6FAC003D"/>
    <w:rsid w:val="6FE55E12"/>
    <w:rsid w:val="6FFB2E76"/>
    <w:rsid w:val="708C3591"/>
    <w:rsid w:val="708F6F7F"/>
    <w:rsid w:val="70D94BD3"/>
    <w:rsid w:val="712C52FD"/>
    <w:rsid w:val="71520131"/>
    <w:rsid w:val="71C34D91"/>
    <w:rsid w:val="722A3062"/>
    <w:rsid w:val="72A375E6"/>
    <w:rsid w:val="72DB435C"/>
    <w:rsid w:val="72E2613A"/>
    <w:rsid w:val="72F771F4"/>
    <w:rsid w:val="734150D5"/>
    <w:rsid w:val="736650B0"/>
    <w:rsid w:val="73934AD2"/>
    <w:rsid w:val="73FE4D97"/>
    <w:rsid w:val="750837F0"/>
    <w:rsid w:val="75271ADB"/>
    <w:rsid w:val="75385A96"/>
    <w:rsid w:val="754758CF"/>
    <w:rsid w:val="761275E6"/>
    <w:rsid w:val="76165DD7"/>
    <w:rsid w:val="764F62AB"/>
    <w:rsid w:val="765C45EC"/>
    <w:rsid w:val="76677D03"/>
    <w:rsid w:val="768A7619"/>
    <w:rsid w:val="76AA36E6"/>
    <w:rsid w:val="7711659E"/>
    <w:rsid w:val="772E1EBA"/>
    <w:rsid w:val="77303AE2"/>
    <w:rsid w:val="77EB79F7"/>
    <w:rsid w:val="786D1EFA"/>
    <w:rsid w:val="796D60A4"/>
    <w:rsid w:val="79A031D5"/>
    <w:rsid w:val="79A36D9F"/>
    <w:rsid w:val="7A1525F7"/>
    <w:rsid w:val="7B420052"/>
    <w:rsid w:val="7B861484"/>
    <w:rsid w:val="7BD06A28"/>
    <w:rsid w:val="7C3A7C0B"/>
    <w:rsid w:val="7C5248E4"/>
    <w:rsid w:val="7C566698"/>
    <w:rsid w:val="7C5866A3"/>
    <w:rsid w:val="7CBE2F89"/>
    <w:rsid w:val="7D3B6183"/>
    <w:rsid w:val="7D4E1667"/>
    <w:rsid w:val="7D7406BB"/>
    <w:rsid w:val="7DE94331"/>
    <w:rsid w:val="7DF00E20"/>
    <w:rsid w:val="7F446A19"/>
    <w:rsid w:val="7F7452B9"/>
    <w:rsid w:val="7F8401D1"/>
    <w:rsid w:val="7FAC32D7"/>
    <w:rsid w:val="DFFEE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9099</Words>
  <Characters>10598</Characters>
  <Lines>226</Lines>
  <Paragraphs>63</Paragraphs>
  <TotalTime>68</TotalTime>
  <ScaleCrop>false</ScaleCrop>
  <LinksUpToDate>false</LinksUpToDate>
  <CharactersWithSpaces>10601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2025-06-27T07:40:00Z</dcterms:created>
  <dc:creator>Administrator</dc:creator>
  <cp:lastModifiedBy>蔈草镇管理员</cp:lastModifiedBy>
  <dcterms:modified xsi:type="dcterms:W3CDTF">2025-10-20T20:02:44Z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eyJoZGlkIjoiNjZiZGNlY2NhZjk2MDI1YzQyMWZkNWVmYjFiNmYwNjAiLCJ1c2VySWQiOiI0NTE3MzE5NzIifQ==</vt:lpwstr>
  </property>
</Properties>
</file>