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方正小标宋_GBK" w:hAnsi="华文中宋" w:eastAsia="方正小标宋_GBK"/>
          <w:sz w:val="44"/>
          <w:szCs w:val="44"/>
        </w:rPr>
      </w:pPr>
      <w:bookmarkStart w:id="0" w:name="_GoBack"/>
      <w:r>
        <w:rPr>
          <w:rFonts w:hint="eastAsia" w:ascii="方正小标宋_GBK" w:hAnsi="华文中宋"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云阳县蔈草镇文化服务中心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eastAsia" w:ascii="方正小标宋_GBK" w:eastAsia="方正小标宋_GBK"/>
          <w:sz w:val="44"/>
          <w:szCs w:val="44"/>
        </w:rPr>
        <w:t>年度</w:t>
      </w:r>
      <w:r>
        <w:rPr>
          <w:rFonts w:hint="eastAsia" w:ascii="方正小标宋_GBK" w:eastAsia="方正小标宋_GBK"/>
          <w:sz w:val="44"/>
          <w:szCs w:val="44"/>
          <w:lang w:val="en-US" w:eastAsia="zh-CN"/>
        </w:rPr>
        <w:t>部门</w:t>
      </w:r>
      <w:r>
        <w:rPr>
          <w:rFonts w:hint="eastAsia" w:ascii="方正小标宋_GBK" w:eastAsia="方正小标宋_GBK"/>
          <w:sz w:val="44"/>
          <w:szCs w:val="44"/>
        </w:rPr>
        <w:t>决算</w:t>
      </w:r>
      <w:r>
        <w:rPr>
          <w:rFonts w:hint="eastAsia" w:ascii="方正小标宋_GBK" w:eastAsia="方正小标宋_GBK"/>
          <w:sz w:val="44"/>
          <w:szCs w:val="44"/>
          <w:lang w:val="en-US" w:eastAsia="zh-CN"/>
        </w:rPr>
        <w:t>公开</w:t>
      </w:r>
      <w:r>
        <w:rPr>
          <w:rFonts w:hint="eastAsia" w:ascii="方正小标宋_GBK" w:eastAsia="方正小标宋_GBK"/>
          <w:sz w:val="44"/>
          <w:szCs w:val="44"/>
        </w:rPr>
        <w:t>说明</w:t>
      </w:r>
    </w:p>
    <w:p>
      <w:pPr>
        <w:spacing w:line="600" w:lineRule="exact"/>
        <w:ind w:firstLine="883" w:firstLineChars="200"/>
        <w:rPr>
          <w:rFonts w:hint="eastAsia" w:ascii="方正仿宋简体" w:hAnsi="华文中宋" w:eastAsia="方正仿宋简体"/>
          <w:b/>
          <w:sz w:val="44"/>
          <w:szCs w:val="44"/>
        </w:rPr>
      </w:pP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一、</w:t>
      </w:r>
      <w:r>
        <w:rPr>
          <w:rFonts w:hint="eastAsia" w:ascii="方正黑体_GBK" w:eastAsia="方正黑体_GBK"/>
          <w:sz w:val="32"/>
          <w:szCs w:val="32"/>
          <w:lang w:val="en-US" w:eastAsia="zh-CN"/>
        </w:rPr>
        <w:t>部门</w:t>
      </w:r>
      <w:r>
        <w:rPr>
          <w:rFonts w:hint="eastAsia" w:ascii="方正黑体_GBK" w:eastAsia="方正黑体_GBK"/>
          <w:sz w:val="32"/>
          <w:szCs w:val="32"/>
        </w:rPr>
        <w:t>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一</w:t>
      </w: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bCs/>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负责文化、宣传、广播电视、体育、科技培训等方面服务工作；负责宣传文化体育阵地建设；负责组织开展文化娱乐和体育健身活动；负责辖区内文艺社团交流活动；负责民族民间非物质文化遗产搜集、整理、保护工作；负责辖区旅游资源普查、规划、整合、开发和相关保护工作；负责辖区内广播电视、电台节目的有关服务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bCs/>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lang w:val="zh-CN"/>
        </w:rPr>
      </w:pPr>
      <w:r>
        <w:rPr>
          <w:rFonts w:hint="eastAsia" w:ascii="方正仿宋_GBK" w:hAnsi="方正仿宋_GBK" w:eastAsia="方正仿宋_GBK" w:cs="方正仿宋_GBK"/>
          <w:sz w:val="32"/>
          <w:szCs w:val="32"/>
          <w:highlight w:val="none"/>
          <w:lang w:val="zh-CN"/>
        </w:rPr>
        <w:t>本单位为云阳县蔈草镇人民政府下属单位，无独立的机构设置。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lang w:val="zh-CN" w:eastAsia="zh-CN"/>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下属单位，无单位构成</w:t>
      </w:r>
      <w:r>
        <w:rPr>
          <w:rFonts w:hint="eastAsia" w:hAnsi="宋体" w:eastAsia="方正仿宋_GBK" w:cs="宋体"/>
          <w:color w:val="111111"/>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kern w:val="0"/>
          <w:sz w:val="32"/>
          <w:szCs w:val="32"/>
        </w:rPr>
      </w:pPr>
      <w:r>
        <w:rPr>
          <w:rFonts w:hint="eastAsia" w:ascii="方正黑体_GBK" w:eastAsia="方正黑体_GBK"/>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1.总体情况。</w:t>
      </w:r>
      <w:r>
        <w:rPr>
          <w:rFonts w:hint="eastAsia" w:ascii="方正仿宋_GBK" w:hAnsi="方正仿宋_GBK" w:eastAsia="方正仿宋_GBK" w:cs="方正仿宋_GBK"/>
          <w:sz w:val="32"/>
          <w:szCs w:val="32"/>
          <w:highlight w:val="none"/>
          <w:shd w:val="clear" w:color="auto" w:fill="auto"/>
          <w:lang w:val="en-US" w:eastAsia="zh-CN"/>
        </w:rPr>
        <w:t>2022年度收入总计64.92万元，支出总计64.92万元，年末结转和结余0万元。收支较上年决算数增加64.92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2.收入情况。</w:t>
      </w:r>
      <w:r>
        <w:rPr>
          <w:rFonts w:hint="eastAsia" w:ascii="方正仿宋_GBK" w:hAnsi="方正仿宋_GBK" w:eastAsia="方正仿宋_GBK" w:cs="方正仿宋_GBK"/>
          <w:sz w:val="32"/>
          <w:szCs w:val="32"/>
          <w:highlight w:val="none"/>
          <w:shd w:val="clear" w:color="auto" w:fill="auto"/>
          <w:lang w:val="en-US" w:eastAsia="zh-CN"/>
        </w:rPr>
        <w:t>2022年度收入合计64.92万元，其中财政拨款收入64.92万元，占100%，无年初结转和结余。较上年决算数增加64.92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楷体_GBK" w:hAnsi="方正楷体_GBK" w:eastAsia="方正楷体_GBK" w:cs="方正楷体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3.支出情况。</w:t>
      </w:r>
      <w:r>
        <w:rPr>
          <w:rFonts w:hint="eastAsia" w:ascii="方正仿宋_GBK" w:hAnsi="方正仿宋_GBK" w:eastAsia="方正仿宋_GBK" w:cs="方正仿宋_GBK"/>
          <w:sz w:val="32"/>
          <w:szCs w:val="32"/>
          <w:highlight w:val="none"/>
          <w:shd w:val="clear" w:color="auto" w:fill="auto"/>
          <w:lang w:val="en-US" w:eastAsia="zh-CN"/>
        </w:rPr>
        <w:t>2022年度支出合计64.92万元，基本支出64.92万元，占100%，无项目支出。较上年决算数增加64.92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4.结转结余情况。</w:t>
      </w:r>
      <w:r>
        <w:rPr>
          <w:rFonts w:hint="eastAsia" w:ascii="方正仿宋_GBK" w:hAnsi="方正仿宋_GBK" w:eastAsia="方正仿宋_GBK" w:cs="方正仿宋_GBK"/>
          <w:sz w:val="32"/>
          <w:szCs w:val="32"/>
          <w:highlight w:val="none"/>
          <w:shd w:val="clear" w:color="auto" w:fill="auto"/>
          <w:lang w:val="en-US" w:eastAsia="zh-CN"/>
        </w:rPr>
        <w:t>2022年度年末结转和结余0万元，2021年本单位纳入云阳县蔈草镇人民政府集中决算，未单独列决算，2022年新增为决算单位，上年决算数为0.00万元。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财政拨款收入总计64.92万元，支出总计64.92万元，年末结转和结余0万元。与2021年相比，财政拨款收支总计各增加64.92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1. 收入情况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2022年年终决算数64.92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一般公共预算</w:t>
      </w:r>
      <w:r>
        <w:rPr>
          <w:rFonts w:hint="eastAsia" w:ascii="方正仿宋_GBK" w:hAnsi="方正仿宋_GBK" w:eastAsia="方正仿宋_GBK" w:cs="方正仿宋_GBK"/>
          <w:sz w:val="32"/>
          <w:szCs w:val="32"/>
          <w:highlight w:val="none"/>
          <w:shd w:val="clear" w:color="auto" w:fill="auto"/>
          <w:lang w:val="en-US" w:eastAsia="zh-CN"/>
        </w:rPr>
        <w:t>财政拨款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64.88</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年初结转和结余0.05万元。较上年决算数增加64.92万元，主要原因是2021年本单位纳入云阳县蔈草镇人民政府集中决算，未单独列决算，2022年新增为决算单位，上年决算数为0.00万元。较年初预算数增加2.63万元，增长4.2%，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sz w:val="32"/>
          <w:szCs w:val="32"/>
          <w:highlight w:val="none"/>
          <w:shd w:val="clear" w:color="auto" w:fill="auto"/>
          <w:lang w:eastAsia="zh-CN"/>
        </w:rPr>
      </w:pPr>
      <w:r>
        <w:rPr>
          <w:rFonts w:hint="eastAsia" w:ascii="方正仿宋_GBK" w:hAnsi="方正仿宋_GBK" w:eastAsia="方正仿宋_GBK" w:cs="方正仿宋_GBK"/>
          <w:b/>
          <w:bCs/>
          <w:sz w:val="32"/>
          <w:szCs w:val="32"/>
          <w:highlight w:val="none"/>
          <w:shd w:val="clear" w:color="auto" w:fill="auto"/>
        </w:rPr>
        <w:t>2.支出情况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64.92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64.92</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万元，主要原因是2021年本单位纳入云阳县蔈草镇人民政府集中决算，未单独列决算，2022年新增为决算单位，上年决算数为0.00万元。较年初预算数增加</w:t>
      </w:r>
      <w:r>
        <w:rPr>
          <w:rFonts w:hint="eastAsia" w:ascii="方正仿宋_GBK" w:hAnsi="方正仿宋_GBK" w:eastAsia="方正仿宋_GBK" w:cs="方正仿宋_GBK"/>
          <w:sz w:val="32"/>
          <w:szCs w:val="32"/>
          <w:highlight w:val="none"/>
          <w:shd w:val="clear" w:color="auto" w:fill="auto"/>
          <w:lang w:val="en-US" w:eastAsia="zh-CN"/>
        </w:rPr>
        <w:t>2.63</w:t>
      </w:r>
      <w:r>
        <w:rPr>
          <w:rFonts w:hint="eastAsia" w:ascii="方正仿宋_GBK" w:hAnsi="方正仿宋_GBK" w:eastAsia="方正仿宋_GBK" w:cs="方正仿宋_GBK"/>
          <w:sz w:val="32"/>
          <w:szCs w:val="32"/>
          <w:highlight w:val="none"/>
          <w:shd w:val="clear" w:color="auto" w:fill="auto"/>
          <w:lang w:eastAsia="zh-CN"/>
        </w:rPr>
        <w:t>万元，增长</w:t>
      </w:r>
      <w:r>
        <w:rPr>
          <w:rFonts w:hint="eastAsia" w:ascii="方正仿宋_GBK" w:hAnsi="方正仿宋_GBK" w:eastAsia="方正仿宋_GBK" w:cs="方正仿宋_GBK"/>
          <w:sz w:val="32"/>
          <w:szCs w:val="32"/>
          <w:highlight w:val="none"/>
          <w:shd w:val="clear" w:color="auto" w:fill="auto"/>
          <w:lang w:val="en-US" w:eastAsia="zh-CN"/>
        </w:rPr>
        <w:t>4.2</w:t>
      </w:r>
      <w:r>
        <w:rPr>
          <w:rFonts w:hint="eastAsia" w:ascii="方正仿宋_GBK" w:hAnsi="方正仿宋_GBK" w:eastAsia="方正仿宋_GBK" w:cs="方正仿宋_GBK"/>
          <w:sz w:val="32"/>
          <w:szCs w:val="32"/>
          <w:highlight w:val="none"/>
          <w:shd w:val="clear" w:color="auto" w:fill="auto"/>
          <w:lang w:eastAsia="zh-CN"/>
        </w:rPr>
        <w:t>%，主要原因是人员工资调标。</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3.结转结余情况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2022年度年末一般公共预算财政拨款结转和结余</w:t>
      </w:r>
      <w:r>
        <w:rPr>
          <w:rFonts w:hint="eastAsia" w:ascii="方正仿宋_GBK" w:hAnsi="方正仿宋_GBK" w:eastAsia="方正仿宋_GBK" w:cs="方正仿宋_GBK"/>
          <w:sz w:val="32"/>
          <w:szCs w:val="32"/>
          <w:highlight w:val="none"/>
          <w:shd w:val="clear" w:color="auto" w:fill="auto"/>
          <w:lang w:val="en-US" w:eastAsia="zh-CN"/>
        </w:rPr>
        <w:t>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较上年决算数减少0.05万元，主要原因是2022年不涉及结转结余。</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eastAsia="方正仿宋_GBK"/>
          <w:sz w:val="32"/>
          <w:szCs w:val="32"/>
          <w:highlight w:val="none"/>
        </w:rPr>
      </w:pPr>
      <w:r>
        <w:rPr>
          <w:rFonts w:hint="eastAsia" w:ascii="方正仿宋_GBK" w:hAnsi="方正仿宋_GBK" w:eastAsia="方正仿宋_GBK" w:cs="方正仿宋_GBK"/>
          <w:b/>
          <w:bCs/>
          <w:sz w:val="32"/>
          <w:szCs w:val="32"/>
          <w:highlight w:val="none"/>
          <w:shd w:val="clear" w:color="auto" w:fill="auto"/>
          <w:lang w:val="en-US" w:eastAsia="zh-CN"/>
        </w:rPr>
        <w:t>4.比较情况。</w:t>
      </w:r>
      <w:r>
        <w:rPr>
          <w:rFonts w:hint="eastAsia" w:eastAsia="方正仿宋_GBK"/>
          <w:sz w:val="32"/>
          <w:szCs w:val="32"/>
          <w:highlight w:val="none"/>
        </w:rPr>
        <w:t>2022年一般公共预算本级支出</w:t>
      </w:r>
      <w:r>
        <w:rPr>
          <w:rFonts w:hint="eastAsia" w:eastAsia="方正仿宋_GBK"/>
          <w:sz w:val="32"/>
          <w:szCs w:val="32"/>
          <w:highlight w:val="none"/>
          <w:lang w:val="en-US" w:eastAsia="zh-CN"/>
        </w:rPr>
        <w:t>64.92</w:t>
      </w:r>
      <w:r>
        <w:rPr>
          <w:rFonts w:hint="eastAsia" w:eastAsia="方正仿宋_GBK"/>
          <w:sz w:val="32"/>
          <w:szCs w:val="32"/>
          <w:highlight w:val="none"/>
        </w:rPr>
        <w:t>万元，</w:t>
      </w:r>
      <w:r>
        <w:rPr>
          <w:rFonts w:hint="eastAsia" w:ascii="方正仿宋_GBK" w:hAnsi="方正仿宋_GBK" w:eastAsia="方正仿宋_GBK" w:cs="方正仿宋_GBK"/>
          <w:sz w:val="32"/>
          <w:szCs w:val="32"/>
          <w:highlight w:val="none"/>
          <w:shd w:val="clear" w:color="auto" w:fill="auto"/>
          <w:lang w:val="en-US" w:eastAsia="zh-CN"/>
        </w:rPr>
        <w:t>支出较年初预算数增加2.63万元，</w:t>
      </w:r>
      <w:r>
        <w:rPr>
          <w:rFonts w:hint="eastAsia" w:eastAsia="方正仿宋_GBK"/>
          <w:sz w:val="32"/>
          <w:szCs w:val="32"/>
          <w:highlight w:val="none"/>
        </w:rPr>
        <w:t>其主要构成为：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lang w:eastAsia="zh-CN"/>
        </w:rPr>
        <w:t>（</w:t>
      </w:r>
      <w:r>
        <w:rPr>
          <w:rFonts w:hint="eastAsia" w:eastAsia="方正仿宋_GBK"/>
          <w:sz w:val="32"/>
          <w:szCs w:val="32"/>
          <w:highlight w:val="none"/>
          <w:lang w:val="en-US" w:eastAsia="zh-CN"/>
        </w:rPr>
        <w:t>1</w:t>
      </w:r>
      <w:r>
        <w:rPr>
          <w:rFonts w:hint="eastAsia" w:eastAsia="方正仿宋_GBK"/>
          <w:sz w:val="32"/>
          <w:szCs w:val="32"/>
          <w:highlight w:val="none"/>
          <w:lang w:eastAsia="zh-CN"/>
        </w:rPr>
        <w:t>）</w:t>
      </w:r>
      <w:r>
        <w:rPr>
          <w:rFonts w:hint="eastAsia" w:eastAsia="方正仿宋_GBK"/>
          <w:sz w:val="32"/>
          <w:szCs w:val="32"/>
          <w:highlight w:val="none"/>
        </w:rPr>
        <w:t>文化旅游体育与传媒支出</w:t>
      </w:r>
      <w:r>
        <w:rPr>
          <w:rFonts w:hint="eastAsia" w:eastAsia="方正仿宋_GBK"/>
          <w:sz w:val="32"/>
          <w:szCs w:val="32"/>
          <w:highlight w:val="none"/>
          <w:lang w:val="en-US" w:eastAsia="zh-CN"/>
        </w:rPr>
        <w:t>49.81</w:t>
      </w:r>
      <w:r>
        <w:rPr>
          <w:rFonts w:hint="eastAsia" w:eastAsia="方正仿宋_GBK"/>
          <w:sz w:val="32"/>
          <w:szCs w:val="32"/>
          <w:highlight w:val="none"/>
        </w:rPr>
        <w:t>万元，</w:t>
      </w:r>
      <w:r>
        <w:rPr>
          <w:rFonts w:hint="eastAsia" w:ascii="方正仿宋_GBK" w:hAnsi="方正仿宋_GBK" w:eastAsia="方正仿宋_GBK" w:cs="方正仿宋_GBK"/>
          <w:sz w:val="32"/>
          <w:szCs w:val="32"/>
          <w:highlight w:val="none"/>
          <w:shd w:val="clear" w:color="auto" w:fill="auto"/>
          <w:lang w:val="en-US" w:eastAsia="zh-CN"/>
        </w:rPr>
        <w:t>占76.7%，较年初预算数增加2.21万元，增长4.6%，主要原因是人员工资调标，社保增加；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eastAsia="zh-CN"/>
        </w:rPr>
        <w:t>（</w:t>
      </w:r>
      <w:r>
        <w:rPr>
          <w:rFonts w:hint="eastAsia" w:eastAsia="方正仿宋_GBK"/>
          <w:sz w:val="32"/>
          <w:szCs w:val="32"/>
          <w:highlight w:val="none"/>
          <w:lang w:val="en-US" w:eastAsia="zh-CN"/>
        </w:rPr>
        <w:t>2</w:t>
      </w:r>
      <w:r>
        <w:rPr>
          <w:rFonts w:hint="eastAsia" w:eastAsia="方正仿宋_GBK"/>
          <w:sz w:val="32"/>
          <w:szCs w:val="32"/>
          <w:highlight w:val="none"/>
          <w:lang w:eastAsia="zh-CN"/>
        </w:rPr>
        <w:t>）</w:t>
      </w:r>
      <w:r>
        <w:rPr>
          <w:rFonts w:hint="eastAsia" w:eastAsia="方正仿宋_GBK"/>
          <w:sz w:val="32"/>
          <w:szCs w:val="32"/>
          <w:highlight w:val="none"/>
        </w:rPr>
        <w:t>社会保障和就业支出</w:t>
      </w:r>
      <w:r>
        <w:rPr>
          <w:rFonts w:hint="eastAsia" w:eastAsia="方正仿宋_GBK"/>
          <w:sz w:val="32"/>
          <w:szCs w:val="32"/>
          <w:highlight w:val="none"/>
          <w:lang w:val="en-US" w:eastAsia="zh-CN"/>
        </w:rPr>
        <w:t>8.46万元，</w:t>
      </w:r>
      <w:r>
        <w:rPr>
          <w:rFonts w:hint="eastAsia" w:ascii="方正仿宋_GBK" w:hAnsi="方正仿宋_GBK" w:eastAsia="方正仿宋_GBK" w:cs="方正仿宋_GBK"/>
          <w:sz w:val="32"/>
          <w:szCs w:val="32"/>
          <w:highlight w:val="none"/>
          <w:shd w:val="clear" w:color="auto" w:fill="auto"/>
          <w:lang w:val="en-US" w:eastAsia="zh-CN"/>
        </w:rPr>
        <w:t>占13.0%，较年初预算数增加0.13万元，增长1.6%，主要原因是人员工资调标，社保增加；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（3）</w:t>
      </w:r>
      <w:r>
        <w:rPr>
          <w:rFonts w:hint="eastAsia" w:eastAsia="方正仿宋_GBK"/>
          <w:sz w:val="32"/>
          <w:szCs w:val="32"/>
          <w:highlight w:val="none"/>
        </w:rPr>
        <w:t>卫生健康支出</w:t>
      </w:r>
      <w:r>
        <w:rPr>
          <w:rFonts w:hint="eastAsia" w:eastAsia="方正仿宋_GBK"/>
          <w:sz w:val="32"/>
          <w:szCs w:val="32"/>
          <w:highlight w:val="none"/>
          <w:lang w:val="en-US" w:eastAsia="zh-CN"/>
        </w:rPr>
        <w:t>3.44万元，</w:t>
      </w:r>
      <w:r>
        <w:rPr>
          <w:rFonts w:hint="eastAsia" w:ascii="方正仿宋_GBK" w:hAnsi="方正仿宋_GBK" w:eastAsia="方正仿宋_GBK" w:cs="方正仿宋_GBK"/>
          <w:sz w:val="32"/>
          <w:szCs w:val="32"/>
          <w:highlight w:val="none"/>
          <w:shd w:val="clear" w:color="auto" w:fill="auto"/>
          <w:lang w:val="en-US" w:eastAsia="zh-CN"/>
        </w:rPr>
        <w:t>占5.3%，较年初预算数增加0.09万元，增长2.7%，主要原因是人员工资调标，社保增加；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eastAsia="方正仿宋_GBK"/>
          <w:sz w:val="32"/>
          <w:szCs w:val="32"/>
          <w:highlight w:val="none"/>
          <w:lang w:val="en-US" w:eastAsia="zh-CN"/>
        </w:rPr>
        <w:t>（4）</w:t>
      </w:r>
      <w:r>
        <w:rPr>
          <w:rFonts w:hint="eastAsia" w:eastAsia="方正仿宋_GBK"/>
          <w:sz w:val="32"/>
          <w:szCs w:val="32"/>
          <w:highlight w:val="none"/>
        </w:rPr>
        <w:t>住房保障支出</w:t>
      </w:r>
      <w:r>
        <w:rPr>
          <w:rFonts w:hint="eastAsia" w:eastAsia="方正仿宋_GBK"/>
          <w:sz w:val="32"/>
          <w:szCs w:val="32"/>
          <w:highlight w:val="none"/>
          <w:lang w:val="en-US" w:eastAsia="zh-CN"/>
        </w:rPr>
        <w:t>3.21万元，</w:t>
      </w:r>
      <w:r>
        <w:rPr>
          <w:rFonts w:hint="eastAsia" w:ascii="方正仿宋_GBK" w:hAnsi="方正仿宋_GBK" w:eastAsia="方正仿宋_GBK" w:cs="方正仿宋_GBK"/>
          <w:sz w:val="32"/>
          <w:szCs w:val="32"/>
          <w:highlight w:val="none"/>
          <w:shd w:val="clear" w:color="auto" w:fill="auto"/>
          <w:lang w:val="en-US" w:eastAsia="zh-CN"/>
        </w:rPr>
        <w:t>占5.0%，较年初预算数增加0.3万元，增长10.0%，主要原因是人员工资调标，公积金基数上调</w:t>
      </w:r>
      <w:r>
        <w:rPr>
          <w:rFonts w:hint="eastAsia" w:eastAsia="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2022年度一般公共预算财政拨款基本支出</w:t>
      </w:r>
      <w:r>
        <w:rPr>
          <w:rFonts w:hint="eastAsia" w:eastAsia="方正仿宋_GBK"/>
          <w:sz w:val="32"/>
          <w:szCs w:val="32"/>
          <w:highlight w:val="none"/>
          <w:lang w:val="en-US" w:eastAsia="zh-CN"/>
        </w:rPr>
        <w:t>64.92</w:t>
      </w:r>
      <w:r>
        <w:rPr>
          <w:rFonts w:hint="eastAsia" w:ascii="方正仿宋_GBK" w:hAnsi="方正仿宋_GBK" w:eastAsia="方正仿宋_GBK" w:cs="方正仿宋_GBK"/>
          <w:sz w:val="32"/>
          <w:szCs w:val="32"/>
          <w:highlight w:val="none"/>
          <w:shd w:val="clear" w:color="auto" w:fill="auto"/>
          <w:lang w:val="en-US" w:eastAsia="zh-CN"/>
        </w:rPr>
        <w:t>万元。其中：人员经费64.16万元，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64.16</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主要包括主要包括职工统发工资、目标绩效、超额绩效、社会保险缴费及住房公积金等；公用经费0.76万元，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0.76</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主要包括工会经费和福利费，其他办公经费在机关列支。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（五）政府性基金预算收支决算情况说明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本单位2022年度无政府性基金预算收支。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sz w:val="30"/>
          <w:szCs w:val="30"/>
          <w:highlight w:val="none"/>
        </w:rPr>
      </w:pPr>
      <w:r>
        <w:rPr>
          <w:rFonts w:hint="eastAsia" w:ascii="方正黑体_GBK" w:eastAsia="方正黑体_GBK"/>
          <w:sz w:val="32"/>
          <w:szCs w:val="32"/>
          <w:highlight w:val="none"/>
        </w:rPr>
        <w:t xml:space="preserve">三、“三公”经费情况说明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lang w:val="en-US" w:eastAsia="zh-CN"/>
        </w:rPr>
      </w:pPr>
      <w:r>
        <w:rPr>
          <w:rFonts w:hint="eastAsia" w:ascii="方正楷体_GBK" w:hAnsi="方正楷体_GBK" w:eastAsia="方正楷体_GBK" w:cs="方正楷体_GBK"/>
          <w:sz w:val="32"/>
          <w:highlight w:val="none"/>
        </w:rPr>
        <w:t>（一）“三公”经费支出总体情况说明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按照决算列报口径，本单位2022年新增为决算单位，“三公”经费由政府机关本级进行核算，本单位不核算“三公”经费。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（二）“三公”经费分项支出情况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（三）“三公”经费实物量情况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四、其他需要说明的事项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本单位2022年无会议费和培训费支出。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截至2022年12月31日，本单位共有车辆0辆。单价100万元（含）以上设备（不含车辆）0台。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（四）政府采购支出情况说明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2022年度我单位未发生政府采购事项，无相关经费支出。</w:t>
      </w:r>
      <w:r>
        <w:rPr>
          <w:rFonts w:hint="eastAsia" w:eastAsia="方正仿宋_GBK" w:cs="宋体"/>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b/>
          <w:kern w:val="0"/>
          <w:sz w:val="32"/>
          <w:szCs w:val="32"/>
          <w:highlight w:val="none"/>
        </w:rPr>
      </w:pPr>
      <w:r>
        <w:rPr>
          <w:rFonts w:hint="eastAsia" w:ascii="方正黑体_GBK" w:hAnsi="宋体" w:eastAsia="方正黑体_GBK" w:cs="宋体"/>
          <w:kern w:val="0"/>
          <w:sz w:val="32"/>
          <w:szCs w:val="32"/>
          <w:highlight w:val="none"/>
        </w:rPr>
        <w:t>五、预算绩效管理情况说明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val="en-US" w:eastAsia="zh-CN"/>
        </w:rPr>
      </w:pPr>
      <w:r>
        <w:rPr>
          <w:rFonts w:hint="eastAsia" w:eastAsia="方正楷体_GBK"/>
          <w:color w:val="333333"/>
          <w:sz w:val="32"/>
          <w:szCs w:val="32"/>
          <w:highlight w:val="none"/>
        </w:rPr>
        <w:t>（一）</w:t>
      </w:r>
      <w:r>
        <w:rPr>
          <w:rFonts w:hint="eastAsia" w:eastAsia="方正楷体_GBK"/>
          <w:color w:val="333333"/>
          <w:kern w:val="2"/>
          <w:sz w:val="32"/>
          <w:szCs w:val="32"/>
          <w:highlight w:val="none"/>
          <w:lang w:val="en-US" w:eastAsia="zh-CN" w:bidi="ar-SA"/>
        </w:rPr>
        <w:t>预算绩效管理工作开展情况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val="en-US" w:eastAsia="zh-CN"/>
        </w:rPr>
      </w:pPr>
      <w:r>
        <w:rPr>
          <w:rFonts w:hint="eastAsia" w:eastAsia="方正仿宋_GBK" w:cs="宋体"/>
          <w:kern w:val="0"/>
          <w:sz w:val="32"/>
          <w:szCs w:val="32"/>
          <w:highlight w:val="none"/>
          <w:lang w:val="en-US" w:eastAsia="zh-CN"/>
        </w:rPr>
        <w:t>我单位属于政府下属事业单位，2022年度无项目支出，根据预算绩效管理要求，不进行项目预算绩效管理。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2.绩效自评报告或案例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3.关于绩效自评结果的说明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重点绩效评价结果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六、专业名词解释</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（一）财政拨款收入：</w:t>
      </w:r>
      <w:r>
        <w:rPr>
          <w:rFonts w:hint="eastAsia" w:ascii="方正仿宋_GBK" w:hAnsi="方正仿宋_GBK" w:eastAsia="方正仿宋_GBK" w:cs="方正仿宋_GBK"/>
          <w:color w:val="333333"/>
          <w:sz w:val="32"/>
          <w:szCs w:val="32"/>
          <w:highlight w:val="none"/>
        </w:rPr>
        <w:t>指本年度从本级财政部门取得的财政拨款，包括一般公共预算财政拨款和政府性基金预算财政拨款。</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（二）事业收入：</w:t>
      </w:r>
      <w:r>
        <w:rPr>
          <w:rFonts w:hint="eastAsia" w:ascii="方正仿宋_GBK" w:hAnsi="方正仿宋_GBK" w:eastAsia="方正仿宋_GBK" w:cs="方正仿宋_GBK"/>
          <w:color w:val="333333"/>
          <w:sz w:val="32"/>
          <w:szCs w:val="32"/>
          <w:highlight w:val="none"/>
        </w:rPr>
        <w:t>指事业单位开展专业业务活动及其辅助活动取得的现金流入；事业单位收到的财政专户实际核拨的教育收费等资金在此反映。</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（三）经营收入：</w:t>
      </w:r>
      <w:r>
        <w:rPr>
          <w:rFonts w:hint="eastAsia" w:ascii="方正仿宋_GBK" w:hAnsi="方正仿宋_GBK" w:eastAsia="方正仿宋_GBK" w:cs="方正仿宋_GBK"/>
          <w:color w:val="333333"/>
          <w:sz w:val="32"/>
          <w:szCs w:val="32"/>
          <w:highlight w:val="none"/>
        </w:rPr>
        <w:t>指事业单位在专业业务活动及其辅助活动之外开展非独立核算经营活动取得的现金流入。</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（四）其他收入：</w:t>
      </w:r>
      <w:r>
        <w:rPr>
          <w:rFonts w:hint="eastAsia" w:ascii="方正仿宋_GBK" w:hAnsi="方正仿宋_GBK" w:eastAsia="方正仿宋_GBK" w:cs="方正仿宋_GBK"/>
          <w:color w:val="333333"/>
          <w:sz w:val="32"/>
          <w:szCs w:val="32"/>
          <w:highlight w:val="none"/>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（五）使用非财政拨款结余：</w:t>
      </w:r>
      <w:r>
        <w:rPr>
          <w:rFonts w:hint="eastAsia" w:ascii="方正仿宋_GBK" w:hAnsi="方正仿宋_GBK" w:eastAsia="方正仿宋_GBK" w:cs="方正仿宋_GBK"/>
          <w:color w:val="333333"/>
          <w:sz w:val="32"/>
          <w:szCs w:val="32"/>
          <w:highlight w:val="none"/>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（六）年初结转和结余：</w:t>
      </w:r>
      <w:r>
        <w:rPr>
          <w:rFonts w:hint="eastAsia" w:ascii="方正仿宋_GBK" w:hAnsi="方正仿宋_GBK" w:eastAsia="方正仿宋_GBK" w:cs="方正仿宋_GBK"/>
          <w:color w:val="333333"/>
          <w:sz w:val="32"/>
          <w:szCs w:val="32"/>
          <w:highlight w:val="none"/>
        </w:rPr>
        <w:t>指单位上年结转本年使用的基本支出结转、项目支出结转和结余、经营结余。</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（七）结余分配：</w:t>
      </w:r>
      <w:r>
        <w:rPr>
          <w:rFonts w:hint="eastAsia" w:ascii="方正仿宋_GBK" w:hAnsi="方正仿宋_GBK" w:eastAsia="方正仿宋_GBK" w:cs="方正仿宋_GBK"/>
          <w:color w:val="333333"/>
          <w:sz w:val="32"/>
          <w:szCs w:val="32"/>
          <w:highlight w:val="none"/>
        </w:rPr>
        <w:t>指单位按照国家有关规定，缴纳所得税、提取专用基金、转入非财政拨款结余等当年结余的分配情况。</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（八）年末结转和结余：</w:t>
      </w:r>
      <w:r>
        <w:rPr>
          <w:rFonts w:hint="eastAsia" w:ascii="方正仿宋_GBK" w:hAnsi="方正仿宋_GBK" w:eastAsia="方正仿宋_GBK" w:cs="方正仿宋_GBK"/>
          <w:color w:val="333333"/>
          <w:sz w:val="32"/>
          <w:szCs w:val="32"/>
          <w:highlight w:val="none"/>
        </w:rPr>
        <w:t>指单位结转下年的基本支出结转、项目支出结转和结余、经营结余。</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（九）基本支出：</w:t>
      </w:r>
      <w:r>
        <w:rPr>
          <w:rFonts w:hint="eastAsia" w:ascii="方正仿宋_GBK" w:hAnsi="方正仿宋_GBK" w:eastAsia="方正仿宋_GBK" w:cs="方正仿宋_GBK"/>
          <w:color w:val="333333"/>
          <w:sz w:val="32"/>
          <w:szCs w:val="32"/>
          <w:highlight w:val="no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（十）项目支出：</w:t>
      </w:r>
      <w:r>
        <w:rPr>
          <w:rFonts w:hint="eastAsia" w:ascii="方正仿宋_GBK" w:hAnsi="方正仿宋_GBK" w:eastAsia="方正仿宋_GBK" w:cs="方正仿宋_GBK"/>
          <w:color w:val="333333"/>
          <w:sz w:val="32"/>
          <w:szCs w:val="32"/>
          <w:highlight w:val="none"/>
        </w:rPr>
        <w:t>指在基本支出之外为完成特定行政任务和事业发展目标所发生的支出。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（十一）经营支出：</w:t>
      </w:r>
      <w:r>
        <w:rPr>
          <w:rFonts w:hint="eastAsia" w:ascii="方正仿宋_GBK" w:hAnsi="方正仿宋_GBK" w:eastAsia="方正仿宋_GBK" w:cs="方正仿宋_GBK"/>
          <w:color w:val="333333"/>
          <w:sz w:val="32"/>
          <w:szCs w:val="32"/>
          <w:highlight w:val="none"/>
        </w:rPr>
        <w:t>指事业单位在专业业务活动及其辅助活动之外开展非独立核算经营活动发生的支出。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（十二）“三公”经费：</w:t>
      </w:r>
      <w:r>
        <w:rPr>
          <w:rFonts w:hint="eastAsia" w:ascii="方正仿宋_GBK" w:hAnsi="方正仿宋_GBK" w:eastAsia="方正仿宋_GBK" w:cs="方正仿宋_GBK"/>
          <w:color w:val="333333"/>
          <w:sz w:val="32"/>
          <w:szCs w:val="32"/>
          <w:highlight w:val="none"/>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（十三）机关运行经费：</w:t>
      </w:r>
      <w:r>
        <w:rPr>
          <w:rFonts w:hint="eastAsia" w:ascii="方正仿宋_GBK" w:hAnsi="方正仿宋_GBK" w:eastAsia="方正仿宋_GBK" w:cs="方正仿宋_GBK"/>
          <w:color w:val="333333"/>
          <w:sz w:val="32"/>
          <w:szCs w:val="32"/>
          <w:highlight w:val="no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（十四）工资福利支出（支出经济分类科目类级）：</w:t>
      </w:r>
      <w:r>
        <w:rPr>
          <w:rFonts w:hint="eastAsia" w:ascii="方正仿宋_GBK" w:hAnsi="方正仿宋_GBK" w:eastAsia="方正仿宋_GBK" w:cs="方正仿宋_GBK"/>
          <w:color w:val="333333"/>
          <w:sz w:val="32"/>
          <w:szCs w:val="32"/>
          <w:highlight w:val="none"/>
        </w:rPr>
        <w:t>反映单位开支的在职职工和编制外长期聘用人员的各类劳动报酬，以及为上述人员缴纳的各项社会保险费等。</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（十五）商品和服务支出（支出经济分类科目类级）：</w:t>
      </w:r>
      <w:r>
        <w:rPr>
          <w:rFonts w:hint="eastAsia" w:ascii="方正仿宋_GBK" w:hAnsi="方正仿宋_GBK" w:eastAsia="方正仿宋_GBK" w:cs="方正仿宋_GBK"/>
          <w:color w:val="333333"/>
          <w:sz w:val="32"/>
          <w:szCs w:val="32"/>
          <w:highlight w:val="none"/>
        </w:rPr>
        <w:t>反映单位购买商品和服务的支出（不包括用于购置固定资产的支出、战略性和应急储备支出）。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（十六）对个人和家庭的补助（支出经济分类科目类级）：</w:t>
      </w:r>
      <w:r>
        <w:rPr>
          <w:rFonts w:hint="eastAsia" w:ascii="方正仿宋_GBK" w:hAnsi="方正仿宋_GBK" w:eastAsia="方正仿宋_GBK" w:cs="方正仿宋_GBK"/>
          <w:color w:val="333333"/>
          <w:sz w:val="32"/>
          <w:szCs w:val="32"/>
          <w:highlight w:val="none"/>
        </w:rPr>
        <w:t>反映用于对个人和家庭的补助支出。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color w:val="333333"/>
          <w:sz w:val="32"/>
          <w:szCs w:val="32"/>
          <w:highlight w:val="none"/>
        </w:rPr>
      </w:pPr>
      <w:r>
        <w:rPr>
          <w:rFonts w:hint="eastAsia" w:ascii="方正楷体_GBK" w:hAnsi="方正楷体_GBK" w:eastAsia="方正楷体_GBK" w:cs="方正楷体_GBK"/>
          <w:color w:val="333333"/>
          <w:sz w:val="32"/>
          <w:szCs w:val="32"/>
          <w:highlight w:val="none"/>
        </w:rPr>
        <w:t>（十七）其他资本性支出（支出经济分类科目类级）：</w:t>
      </w:r>
      <w:r>
        <w:rPr>
          <w:rFonts w:hint="eastAsia" w:ascii="方正仿宋_GBK" w:hAnsi="方正仿宋_GBK" w:eastAsia="方正仿宋_GBK" w:cs="方正仿宋_GBK"/>
          <w:color w:val="333333"/>
          <w:sz w:val="32"/>
          <w:szCs w:val="32"/>
          <w:highlight w:val="none"/>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七、决算公开联系方式</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单位</w:t>
      </w:r>
      <w:r>
        <w:rPr>
          <w:rFonts w:hint="eastAsia" w:ascii="方正仿宋_GBK" w:eastAsia="方正仿宋_GBK"/>
          <w:sz w:val="32"/>
          <w:szCs w:val="32"/>
          <w:highlight w:val="none"/>
          <w:lang w:val="en-US" w:eastAsia="zh-CN"/>
        </w:rPr>
        <w:t>决</w:t>
      </w:r>
      <w:r>
        <w:rPr>
          <w:rFonts w:hint="eastAsia" w:ascii="方正仿宋_GBK" w:eastAsia="方正仿宋_GBK"/>
          <w:sz w:val="32"/>
          <w:szCs w:val="32"/>
          <w:highlight w:val="none"/>
        </w:rPr>
        <w:t>算公开联系人：牟将凤  联系方式：023-55328010</w:t>
      </w:r>
    </w:p>
    <w:bookmarkEnd w:id="0"/>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仿宋简体">
    <w:altName w:val="方正仿宋_GBK"/>
    <w:panose1 w:val="00000000000000000000"/>
    <w:charset w:val="00"/>
    <w:family w:val="script"/>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2hWbSAQAAhwMAAA4AAABkcnMv&#10;ZTJvRG9jLnhtbK1TS44TMRDdI3EHy3vSnUiDQpTOCBgNQkKANHAAx22nLfkn20l3OADcgBUb9pwr&#10;5+DZnc4www6xcVe5yq/eq6peXw9Gk4MIUTnb0PmspkRY7lpldw39/On22ZKSmJhtmXZWNPQoIr3e&#10;PH2y7v1KLFzndCsCAYiNq943tEvJr6oq8k4YFmfOC4ugdMGwBDfsqjawHuhGV4u6fl71LrQ+OC5i&#10;xO3NGKSbgi+l4OmDlFEkohsKbqmcoZzbfFabNVvtAvOd4mca7B9YGKYsil6gblhiZB/UX1BG8eCi&#10;k2nGnamclIqLogFq5vUjNXcd86JoQXOiv7Qp/j9Y/v7wMRDVYnaUWGYwotP3b6cfv04/v5J5vbjK&#10;Hep9XCHxziM1Da/c0NAU9mIKRdxn7YMMJn+hiiAF7T5eWiyGRDgu58vFclkjxBGbHJSo7p/7ENMb&#10;4QzJRkMDZlhayw7vYhpTp5RczbpbpXWZo7akb+iLK7B+EAG4tqiRdYxks5WG7XAWt3XtEdqwxyjY&#10;ufCFkh470VCLpaVEv7VoeV6fyQiTsZ0MZjkeojGUjObrBE8yHQGw90HtOmCPfiYX/ct9AvWiKNMZ&#10;OZxZYtqlJ+fNzOv0p1+y7v+f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bXaFZtIBAACH&#10;AwAADgAAAAAAAAABACAAAAA0AQAAZHJzL2Uyb0RvYy54bWxQSwUGAAAAAAYABgBZAQAAeAU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VsljUAQAAhwMAAA4AAABkcnMv&#10;ZTJvRG9jLnhtbK1TzY7TMBC+I/EOlu80aaRdlajuClgtQkKAtPAArmM3lvynsdukPAC8AScu3Hmu&#10;Pgdjp+mi3Rvi4sx4xt9838xkfTNaQw4SovaO0eWipkQ64Tvtdox++Xz3YkVJTNx13HgnGT3KSG82&#10;z5+th9DKxvfedBIIgrjYDoHRPqXQVlUUvbQ8LnyQDoPKg+UJXdhVHfAB0a2pmrq+rgYPXQAvZIx4&#10;ezsF6abgKyVF+qhUlIkYRpFbKieUc5vParPm7Q546LU40+D/wMJy7bDoBeqWJ072oJ9AWS3AR6/S&#10;QnhbeaW0kEUDqlnWj9Tc9zzIogWbE8OlTfH/wYoPh09AdMdoQ4njFkd0+vH99PP36dc3sqyb69yh&#10;IcQWE+8DpqbxtR8ZTbCXcyjifdY+KrD5i6oIpmC7j5cWyzERgZfLVbNa1RgSGJsdLFE9PA8Q01vp&#10;LckGo4AzLK3lh/cxTalzSq7m/J02pszRODIw+vKquSoPLhEENw5rZB0T2WylcTuexW19d0RtuMdY&#10;sPfwlZIBd4JRh0tLiXnnsOV5fWYDZmM7G9wJfIiNoWQy3yT0FDcRAfYB9K5H7MnPtGN4tU9IvSjK&#10;dCYOZ5Y47dKT82bmdfrbL1kP/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CVlbJY1AEA&#10;AIcDAAAOAAAAAAAAAAEAIAAAADQBAABkcnMvZTJvRG9jLnhtbFBLBQYAAAAABgAGAFkBAAB6BQAA&#10;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C748B"/>
    <w:multiLevelType w:val="singleLevel"/>
    <w:tmpl w:val="C88C74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370B7F"/>
    <w:rsid w:val="027060E5"/>
    <w:rsid w:val="035543C1"/>
    <w:rsid w:val="05C1448E"/>
    <w:rsid w:val="06C77AA2"/>
    <w:rsid w:val="07A34544"/>
    <w:rsid w:val="09823D8A"/>
    <w:rsid w:val="0A212893"/>
    <w:rsid w:val="0C0452A7"/>
    <w:rsid w:val="0C994F52"/>
    <w:rsid w:val="0CF53E87"/>
    <w:rsid w:val="0E002E10"/>
    <w:rsid w:val="0ED17937"/>
    <w:rsid w:val="0F5D6174"/>
    <w:rsid w:val="1016071E"/>
    <w:rsid w:val="10680E79"/>
    <w:rsid w:val="10AE7D44"/>
    <w:rsid w:val="12EA2F1A"/>
    <w:rsid w:val="19A33B21"/>
    <w:rsid w:val="1A7919B9"/>
    <w:rsid w:val="1C515D85"/>
    <w:rsid w:val="1CCA6151"/>
    <w:rsid w:val="1D437979"/>
    <w:rsid w:val="1D4708B1"/>
    <w:rsid w:val="1EF96BEA"/>
    <w:rsid w:val="20C07FC8"/>
    <w:rsid w:val="23960B08"/>
    <w:rsid w:val="24BD2ED0"/>
    <w:rsid w:val="25FF1317"/>
    <w:rsid w:val="26487E8F"/>
    <w:rsid w:val="26F21A37"/>
    <w:rsid w:val="28253784"/>
    <w:rsid w:val="2BC73FBA"/>
    <w:rsid w:val="2C715093"/>
    <w:rsid w:val="2C9D0F61"/>
    <w:rsid w:val="309C1B4C"/>
    <w:rsid w:val="30BE430D"/>
    <w:rsid w:val="31D038C6"/>
    <w:rsid w:val="338653DE"/>
    <w:rsid w:val="35521A2B"/>
    <w:rsid w:val="355E472E"/>
    <w:rsid w:val="35EA737B"/>
    <w:rsid w:val="384F5C7A"/>
    <w:rsid w:val="38BD3900"/>
    <w:rsid w:val="392E4EE4"/>
    <w:rsid w:val="3B0A6EB4"/>
    <w:rsid w:val="3B307A72"/>
    <w:rsid w:val="3C1860E9"/>
    <w:rsid w:val="3C265FAB"/>
    <w:rsid w:val="3E7869D9"/>
    <w:rsid w:val="40A13432"/>
    <w:rsid w:val="42E8144C"/>
    <w:rsid w:val="43991F2B"/>
    <w:rsid w:val="449E286C"/>
    <w:rsid w:val="47B87AF9"/>
    <w:rsid w:val="48C3403D"/>
    <w:rsid w:val="498D6EB3"/>
    <w:rsid w:val="4DAD2C90"/>
    <w:rsid w:val="4E4C4964"/>
    <w:rsid w:val="4E9B29A4"/>
    <w:rsid w:val="4E9D44D9"/>
    <w:rsid w:val="52C73605"/>
    <w:rsid w:val="52E5462F"/>
    <w:rsid w:val="53BD0CC2"/>
    <w:rsid w:val="54014B5F"/>
    <w:rsid w:val="540320EA"/>
    <w:rsid w:val="55CD6DBF"/>
    <w:rsid w:val="5611565E"/>
    <w:rsid w:val="56491B9C"/>
    <w:rsid w:val="565A5E3A"/>
    <w:rsid w:val="56C5095A"/>
    <w:rsid w:val="584366A5"/>
    <w:rsid w:val="5BEA616D"/>
    <w:rsid w:val="5CB40679"/>
    <w:rsid w:val="5D5A2A01"/>
    <w:rsid w:val="61D16983"/>
    <w:rsid w:val="653F3B2F"/>
    <w:rsid w:val="67A12AE1"/>
    <w:rsid w:val="68B1265B"/>
    <w:rsid w:val="6AB167E6"/>
    <w:rsid w:val="6B393361"/>
    <w:rsid w:val="6BA02BCD"/>
    <w:rsid w:val="6D3C304A"/>
    <w:rsid w:val="6E904287"/>
    <w:rsid w:val="6F762694"/>
    <w:rsid w:val="70C87CAA"/>
    <w:rsid w:val="72C81D24"/>
    <w:rsid w:val="733B0745"/>
    <w:rsid w:val="73772C48"/>
    <w:rsid w:val="740F2AC3"/>
    <w:rsid w:val="745909D3"/>
    <w:rsid w:val="759706ED"/>
    <w:rsid w:val="764519E3"/>
    <w:rsid w:val="76E84C12"/>
    <w:rsid w:val="77513E87"/>
    <w:rsid w:val="79E47009"/>
    <w:rsid w:val="7A640644"/>
    <w:rsid w:val="7AC53F39"/>
    <w:rsid w:val="7AD1285B"/>
    <w:rsid w:val="7D076909"/>
    <w:rsid w:val="7EE52062"/>
    <w:rsid w:val="7F7D4793"/>
    <w:rsid w:val="7F953C17"/>
    <w:rsid w:val="7FFCE5A7"/>
    <w:rsid w:val="F6BD56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customStyle="1" w:styleId="11">
    <w:name w:val="font21"/>
    <w:basedOn w:val="7"/>
    <w:qFormat/>
    <w:uiPriority w:val="0"/>
    <w:rPr>
      <w:rFonts w:hint="default" w:ascii="Times New Roman" w:hAnsi="Times New Roman" w:cs="Times New Roman"/>
      <w:color w:val="000000"/>
      <w:sz w:val="18"/>
      <w:szCs w:val="18"/>
      <w:u w:val="none"/>
    </w:rPr>
  </w:style>
  <w:style w:type="character" w:customStyle="1" w:styleId="12">
    <w:name w:val="批注框文本 Char"/>
    <w:link w:val="2"/>
    <w:semiHidden/>
    <w:qFormat/>
    <w:uiPriority w:val="99"/>
    <w:rPr>
      <w:kern w:val="2"/>
      <w:sz w:val="18"/>
      <w:szCs w:val="18"/>
    </w:rPr>
  </w:style>
  <w:style w:type="character" w:customStyle="1" w:styleId="13">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4">
    <w:name w:val="font41"/>
    <w:basedOn w:val="7"/>
    <w:qFormat/>
    <w:uiPriority w:val="0"/>
    <w:rPr>
      <w:rFonts w:hint="default" w:ascii="Times New Roman" w:hAnsi="Times New Roman" w:cs="Times New Roman"/>
      <w:color w:val="000000"/>
      <w:sz w:val="18"/>
      <w:szCs w:val="18"/>
      <w:u w:val="none"/>
    </w:rPr>
  </w:style>
  <w:style w:type="character" w:customStyle="1" w:styleId="15">
    <w:name w:val="font5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8</TotalTime>
  <ScaleCrop>false</ScaleCrop>
  <LinksUpToDate>false</LinksUpToDate>
  <CharactersWithSpaces>2979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2019-06-12T18:12:00Z</dcterms:created>
  <dc:creator>微软用户</dc:creator>
  <cp:lastModifiedBy>蔈草镇管理员</cp:lastModifiedBy>
  <cp:lastPrinted>2021-09-17T23:39:00Z</cp:lastPrinted>
  <dcterms:modified xsi:type="dcterms:W3CDTF">2023-12-01T12:39:36Z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