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80" w:rsidRDefault="001D3A80">
      <w:pPr>
        <w:spacing w:line="600" w:lineRule="atLeast"/>
        <w:jc w:val="center"/>
        <w:rPr>
          <w:rFonts w:ascii="方正仿宋_GBK" w:eastAsia="方正仿宋_GBK" w:hAnsi="方正仿宋_GBK" w:cs="方正仿宋_GBK"/>
          <w:sz w:val="32"/>
          <w:szCs w:val="32"/>
        </w:rPr>
      </w:pPr>
    </w:p>
    <w:p w:rsidR="001D3A80" w:rsidRDefault="001D3A80">
      <w:pPr>
        <w:spacing w:line="600" w:lineRule="atLeast"/>
        <w:jc w:val="center"/>
        <w:rPr>
          <w:rFonts w:ascii="方正仿宋_GBK" w:eastAsia="方正仿宋_GBK" w:hAnsi="方正仿宋_GBK" w:cs="方正仿宋_GBK"/>
          <w:sz w:val="32"/>
          <w:szCs w:val="32"/>
        </w:rPr>
      </w:pPr>
    </w:p>
    <w:p w:rsidR="001D3A80" w:rsidRDefault="000B1BED">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云阳县人民政府</w:t>
      </w:r>
    </w:p>
    <w:p w:rsidR="001D3A80" w:rsidRDefault="000B1BED">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关于印发江口镇人民政府承接市政府赋予的</w:t>
      </w:r>
    </w:p>
    <w:p w:rsidR="001D3A80" w:rsidRDefault="000B1BED">
      <w:pPr>
        <w:widowControl/>
        <w:spacing w:line="540" w:lineRule="exact"/>
        <w:jc w:val="center"/>
        <w:rPr>
          <w:rStyle w:val="a7"/>
          <w:rFonts w:ascii="方正小标宋_GBK" w:eastAsia="方正小标宋_GBK" w:hAnsi="方正小标宋_GBK" w:cs="方正小标宋_GBK"/>
          <w:b w:val="0"/>
          <w:sz w:val="44"/>
          <w:szCs w:val="44"/>
          <w:shd w:val="clear" w:color="auto" w:fill="FFFFFF"/>
        </w:rPr>
      </w:pPr>
      <w:r>
        <w:rPr>
          <w:rStyle w:val="a7"/>
          <w:rFonts w:ascii="方正小标宋_GBK" w:eastAsia="方正小标宋_GBK" w:hAnsi="方正小标宋_GBK" w:cs="方正小标宋_GBK" w:hint="eastAsia"/>
          <w:b w:val="0"/>
          <w:sz w:val="44"/>
          <w:szCs w:val="44"/>
          <w:shd w:val="clear" w:color="auto" w:fill="FFFFFF"/>
        </w:rPr>
        <w:t>县级行政权力清单的通知</w:t>
      </w:r>
    </w:p>
    <w:p w:rsidR="001D3A80" w:rsidRDefault="000B1BED">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云阳府规〔</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w:t>
      </w:r>
    </w:p>
    <w:p w:rsidR="001D3A80" w:rsidRDefault="001D3A80">
      <w:pPr>
        <w:spacing w:line="600" w:lineRule="atLeast"/>
        <w:jc w:val="center"/>
        <w:rPr>
          <w:rFonts w:ascii="宋体" w:eastAsia="宋体" w:hAnsi="宋体" w:cs="宋体"/>
          <w:sz w:val="44"/>
          <w:szCs w:val="44"/>
          <w:shd w:val="clear" w:color="auto" w:fill="FFFFFF"/>
        </w:rPr>
      </w:pPr>
    </w:p>
    <w:p w:rsidR="001D3A80" w:rsidRDefault="000B1BED">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各乡镇人民政府、街道办事处，县政府相关部门，有关单位：</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根据《重庆市人民政府关于赋予经济发达镇部分区县级经济社会管理权限的决定》（渝府发</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2020</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32</w:t>
      </w:r>
      <w:r>
        <w:rPr>
          <w:rFonts w:ascii="方正仿宋_GBK" w:eastAsia="方正仿宋_GBK" w:hAnsi="方正仿宋_GBK" w:cs="方正仿宋_GBK" w:hint="eastAsia"/>
          <w:kern w:val="0"/>
          <w:sz w:val="32"/>
          <w:szCs w:val="32"/>
          <w:shd w:val="clear" w:color="auto" w:fill="FFFFFF"/>
        </w:rPr>
        <w:t>号）文件精神，为贯彻落实中央、市关于深入推进经济发达镇行政管理体制改革的决策部署，推动基层治理体系和治理能力现代化，结合江口镇人民政府工作开展实际需要和承接能力，经县政府第</w:t>
      </w:r>
      <w:r>
        <w:rPr>
          <w:rFonts w:ascii="Times New Roman" w:eastAsia="方正仿宋_GBK" w:hAnsi="Times New Roman" w:cs="Times New Roman"/>
          <w:kern w:val="0"/>
          <w:sz w:val="32"/>
          <w:szCs w:val="32"/>
          <w:shd w:val="clear" w:color="auto" w:fill="FFFFFF"/>
        </w:rPr>
        <w:t>120</w:t>
      </w:r>
      <w:r>
        <w:rPr>
          <w:rFonts w:ascii="方正仿宋_GBK" w:eastAsia="方正仿宋_GBK" w:hAnsi="方正仿宋_GBK" w:cs="方正仿宋_GBK" w:hint="eastAsia"/>
          <w:kern w:val="0"/>
          <w:sz w:val="32"/>
          <w:szCs w:val="32"/>
          <w:shd w:val="clear" w:color="auto" w:fill="FFFFFF"/>
        </w:rPr>
        <w:t>次常务会议研究，确定江口镇人民政府承接市政府赋予的</w:t>
      </w:r>
      <w:r>
        <w:rPr>
          <w:rFonts w:ascii="Times New Roman" w:eastAsia="方正仿宋_GBK" w:hAnsi="Times New Roman" w:cs="Times New Roman"/>
          <w:kern w:val="0"/>
          <w:sz w:val="32"/>
          <w:szCs w:val="32"/>
          <w:shd w:val="clear" w:color="auto" w:fill="FFFFFF"/>
        </w:rPr>
        <w:t>269</w:t>
      </w:r>
      <w:r>
        <w:rPr>
          <w:rFonts w:ascii="方正仿宋_GBK" w:eastAsia="方正仿宋_GBK" w:hAnsi="方正仿宋_GBK" w:cs="方正仿宋_GBK" w:hint="eastAsia"/>
          <w:kern w:val="0"/>
          <w:sz w:val="32"/>
          <w:szCs w:val="32"/>
          <w:shd w:val="clear" w:color="auto" w:fill="FFFFFF"/>
        </w:rPr>
        <w:t>项县级行政权力，现将承接事项清单予以公布。就做好相关工作，具体要求如下：</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一、县级有关单位要加强对江口镇人民政府的业务培训和指导，明确相关行政权力下放后的运行程序、规则，在人员培训、网络及技术应用等方面予以保障，确保江口镇人民政府接得住、用得好。行政权力的下放要坚持“先立后破、不立不破”原则，</w:t>
      </w:r>
      <w:r>
        <w:rPr>
          <w:rFonts w:ascii="方正仿宋_GBK" w:eastAsia="方正仿宋_GBK" w:hAnsi="方正仿宋_GBK" w:cs="方正仿宋_GBK" w:hint="eastAsia"/>
          <w:kern w:val="0"/>
          <w:sz w:val="32"/>
          <w:szCs w:val="32"/>
          <w:shd w:val="clear" w:color="auto" w:fill="FFFFFF"/>
        </w:rPr>
        <w:lastRenderedPageBreak/>
        <w:t>在相关职责调整到位之前，各有关单位要继续按原职责规定做好各项工作。</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二、县级有关单位要主动与江口镇人民政府建立健全行政执法协调联动机制，积极协助其开展行政执法工作，并提供相应的业务指导和技术支持。</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三、江口镇人民政府要</w:t>
      </w:r>
      <w:r>
        <w:rPr>
          <w:rFonts w:ascii="方正仿宋_GBK" w:eastAsia="方正仿宋_GBK" w:hAnsi="方正仿宋_GBK" w:cs="方正仿宋_GBK" w:hint="eastAsia"/>
          <w:kern w:val="0"/>
          <w:sz w:val="32"/>
          <w:szCs w:val="32"/>
          <w:shd w:val="clear" w:color="auto" w:fill="FFFFFF"/>
        </w:rPr>
        <w:t>严格依法依规履行所承接的行政权力，全面落实行政执法公示制度、执法全过程记录制度、重大执法决定法制审核制度。</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四、强化工作分析和总结，对改革中出现的重要情况和重要问题要及时向县政府报告。</w:t>
      </w:r>
    </w:p>
    <w:p w:rsidR="001D3A80" w:rsidRDefault="000B1BED">
      <w:pPr>
        <w:spacing w:line="600" w:lineRule="exact"/>
        <w:ind w:firstLineChars="200" w:firstLine="6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五、本清单自</w:t>
      </w:r>
      <w:r>
        <w:rPr>
          <w:rFonts w:ascii="Times New Roman" w:eastAsia="方正仿宋_GBK" w:hAnsi="Times New Roman" w:cs="Times New Roman"/>
          <w:kern w:val="0"/>
          <w:sz w:val="32"/>
          <w:szCs w:val="32"/>
          <w:shd w:val="clear" w:color="auto" w:fill="FFFFFF"/>
        </w:rPr>
        <w:t>2021</w:t>
      </w:r>
      <w:r>
        <w:rPr>
          <w:rFonts w:ascii="方正仿宋_GBK" w:eastAsia="方正仿宋_GBK" w:hAnsi="方正仿宋_GBK" w:cs="方正仿宋_GBK" w:hint="eastAsia"/>
          <w:kern w:val="0"/>
          <w:sz w:val="32"/>
          <w:szCs w:val="32"/>
          <w:shd w:val="clear" w:color="auto" w:fill="FFFFFF"/>
        </w:rPr>
        <w:t>年</w:t>
      </w: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15</w:t>
      </w:r>
      <w:r>
        <w:rPr>
          <w:rFonts w:ascii="方正仿宋_GBK" w:eastAsia="方正仿宋_GBK" w:hAnsi="方正仿宋_GBK" w:cs="方正仿宋_GBK" w:hint="eastAsia"/>
          <w:kern w:val="0"/>
          <w:sz w:val="32"/>
          <w:szCs w:val="32"/>
          <w:shd w:val="clear" w:color="auto" w:fill="FFFFFF"/>
        </w:rPr>
        <w:t>日起施行。</w:t>
      </w:r>
    </w:p>
    <w:p w:rsidR="001D3A80" w:rsidRDefault="001D3A80">
      <w:pPr>
        <w:spacing w:line="600" w:lineRule="exact"/>
        <w:jc w:val="left"/>
        <w:rPr>
          <w:rFonts w:ascii="方正仿宋_GBK" w:eastAsia="方正仿宋_GBK" w:hAnsi="方正仿宋_GBK" w:cs="方正仿宋_GBK"/>
          <w:kern w:val="0"/>
          <w:sz w:val="32"/>
          <w:szCs w:val="32"/>
          <w:shd w:val="clear" w:color="auto" w:fill="FFFFFF"/>
        </w:rPr>
      </w:pPr>
    </w:p>
    <w:p w:rsidR="001D3A80" w:rsidRDefault="000B1BED">
      <w:pPr>
        <w:wordWrap w:val="0"/>
        <w:spacing w:line="600" w:lineRule="exact"/>
        <w:ind w:firstLineChars="200" w:firstLine="640"/>
        <w:jc w:val="left"/>
        <w:rPr>
          <w:rFonts w:ascii="方正仿宋_GBK" w:eastAsia="方正仿宋_GBK" w:hAnsi="方正仿宋_GBK" w:cs="方正仿宋_GBK"/>
          <w:kern w:val="0"/>
          <w:sz w:val="32"/>
          <w:szCs w:val="32"/>
          <w:shd w:val="clear" w:color="auto" w:fill="FFFFFF"/>
        </w:rPr>
      </w:pPr>
      <w:bookmarkStart w:id="0" w:name="_GoBack"/>
      <w:bookmarkEnd w:id="0"/>
      <w:r>
        <w:rPr>
          <w:rFonts w:ascii="方正仿宋_GBK" w:eastAsia="方正仿宋_GBK" w:hAnsi="方正仿宋_GBK" w:cs="方正仿宋_GBK" w:hint="eastAsia"/>
          <w:kern w:val="0"/>
          <w:sz w:val="32"/>
          <w:szCs w:val="32"/>
          <w:shd w:val="clear" w:color="auto" w:fill="FFFFFF"/>
        </w:rPr>
        <w:t>附件：江口镇人民政府承接市政府赋予的县级行政权力清单</w:t>
      </w:r>
    </w:p>
    <w:p w:rsidR="001D3A80" w:rsidRDefault="001D3A80">
      <w:pPr>
        <w:spacing w:line="600" w:lineRule="exact"/>
        <w:jc w:val="left"/>
        <w:rPr>
          <w:rFonts w:ascii="方正仿宋_GBK" w:eastAsia="方正仿宋_GBK" w:hAnsi="方正仿宋_GBK" w:cs="方正仿宋_GBK"/>
          <w:kern w:val="0"/>
          <w:sz w:val="32"/>
          <w:szCs w:val="32"/>
          <w:shd w:val="clear" w:color="auto" w:fill="FFFFFF"/>
        </w:rPr>
      </w:pPr>
    </w:p>
    <w:p w:rsidR="001D3A80" w:rsidRDefault="000B1BED">
      <w:pPr>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云阳县人民政府</w:t>
      </w:r>
      <w:r>
        <w:rPr>
          <w:rFonts w:ascii="方正仿宋_GBK" w:eastAsia="方正仿宋_GBK" w:hAnsi="方正仿宋_GBK" w:cs="方正仿宋_GBK" w:hint="eastAsia"/>
          <w:kern w:val="0"/>
          <w:sz w:val="32"/>
          <w:szCs w:val="32"/>
          <w:shd w:val="clear" w:color="auto" w:fill="FFFFFF"/>
        </w:rPr>
        <w:t xml:space="preserve"> </w:t>
      </w:r>
    </w:p>
    <w:p w:rsidR="001D3A80" w:rsidRDefault="00C51DA6">
      <w:pPr>
        <w:wordWrap w:val="0"/>
        <w:spacing w:line="600" w:lineRule="exact"/>
        <w:ind w:firstLineChars="1861" w:firstLine="5955"/>
        <w:jc w:val="right"/>
      </w:pPr>
      <w:r>
        <w:rPr>
          <w:rFonts w:ascii="Times New Roman" w:eastAsia="方正仿宋_GBK" w:hAnsi="Times New Roman" w:cs="Times New Roman" w:hint="eastAsia"/>
          <w:kern w:val="0"/>
          <w:sz w:val="32"/>
          <w:szCs w:val="32"/>
          <w:shd w:val="clear" w:color="auto" w:fill="FFFFFF"/>
        </w:rPr>
        <w:t xml:space="preserve">   </w:t>
      </w:r>
      <w:r w:rsidR="000B1BED">
        <w:rPr>
          <w:rFonts w:ascii="Times New Roman" w:eastAsia="方正仿宋_GBK" w:hAnsi="Times New Roman" w:cs="Times New Roman"/>
          <w:kern w:val="0"/>
          <w:sz w:val="32"/>
          <w:szCs w:val="32"/>
          <w:shd w:val="clear" w:color="auto" w:fill="FFFFFF"/>
        </w:rPr>
        <w:t>2021</w:t>
      </w:r>
      <w:r w:rsidR="000B1BED">
        <w:rPr>
          <w:rFonts w:ascii="方正仿宋_GBK" w:eastAsia="方正仿宋_GBK" w:hAnsi="方正仿宋_GBK" w:cs="方正仿宋_GBK" w:hint="eastAsia"/>
          <w:kern w:val="0"/>
          <w:sz w:val="32"/>
          <w:szCs w:val="32"/>
          <w:shd w:val="clear" w:color="auto" w:fill="FFFFFF"/>
        </w:rPr>
        <w:t>年</w:t>
      </w:r>
      <w:r w:rsidR="000B1BED">
        <w:rPr>
          <w:rFonts w:ascii="Times New Roman" w:eastAsia="方正仿宋_GBK" w:hAnsi="Times New Roman" w:cs="Times New Roman"/>
          <w:kern w:val="0"/>
          <w:sz w:val="32"/>
          <w:szCs w:val="32"/>
          <w:shd w:val="clear" w:color="auto" w:fill="FFFFFF"/>
        </w:rPr>
        <w:t>3</w:t>
      </w:r>
      <w:r w:rsidR="000B1BED">
        <w:rPr>
          <w:rFonts w:ascii="方正仿宋_GBK" w:eastAsia="方正仿宋_GBK" w:hAnsi="方正仿宋_GBK" w:cs="方正仿宋_GBK" w:hint="eastAsia"/>
          <w:kern w:val="0"/>
          <w:sz w:val="32"/>
          <w:szCs w:val="32"/>
          <w:shd w:val="clear" w:color="auto" w:fill="FFFFFF"/>
        </w:rPr>
        <w:t>月</w:t>
      </w:r>
      <w:r w:rsidR="000B1BED">
        <w:rPr>
          <w:rFonts w:ascii="Times New Roman" w:eastAsia="方正仿宋_GBK" w:hAnsi="Times New Roman" w:cs="Times New Roman"/>
          <w:kern w:val="0"/>
          <w:sz w:val="32"/>
          <w:szCs w:val="32"/>
          <w:shd w:val="clear" w:color="auto" w:fill="FFFFFF"/>
        </w:rPr>
        <w:t>12</w:t>
      </w:r>
      <w:r w:rsidR="000B1BED">
        <w:rPr>
          <w:rFonts w:ascii="方正仿宋_GBK" w:eastAsia="方正仿宋_GBK" w:hAnsi="方正仿宋_GBK" w:cs="方正仿宋_GBK" w:hint="eastAsia"/>
          <w:kern w:val="0"/>
          <w:sz w:val="32"/>
          <w:szCs w:val="32"/>
          <w:shd w:val="clear" w:color="auto" w:fill="FFFFFF"/>
        </w:rPr>
        <w:t>日</w:t>
      </w:r>
      <w:r w:rsidR="000B1BED">
        <w:rPr>
          <w:rFonts w:ascii="方正仿宋_GBK" w:eastAsia="方正仿宋_GBK" w:hAnsi="方正仿宋_GBK" w:cs="方正仿宋_GBK" w:hint="eastAsia"/>
          <w:kern w:val="0"/>
          <w:sz w:val="32"/>
          <w:szCs w:val="32"/>
          <w:shd w:val="clear" w:color="auto" w:fill="FFFFFF"/>
        </w:rPr>
        <w:t xml:space="preserve">  </w:t>
      </w:r>
    </w:p>
    <w:p w:rsidR="001D3A80" w:rsidRDefault="001D3A80">
      <w:pPr>
        <w:spacing w:line="600" w:lineRule="exact"/>
      </w:pPr>
    </w:p>
    <w:sectPr w:rsidR="001D3A80" w:rsidSect="001D3A8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ED" w:rsidRDefault="000B1BED" w:rsidP="001D3A80">
      <w:r>
        <w:separator/>
      </w:r>
    </w:p>
  </w:endnote>
  <w:endnote w:type="continuationSeparator" w:id="1">
    <w:p w:rsidR="000B1BED" w:rsidRDefault="000B1BED" w:rsidP="001D3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F8" w:rsidRDefault="00334F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80" w:rsidRDefault="001D3A80">
    <w:pPr>
      <w:pStyle w:val="a5"/>
      <w:ind w:leftChars="2280" w:left="4788" w:firstLineChars="2000" w:firstLine="6400"/>
      <w:rPr>
        <w:rFonts w:eastAsia="仿宋"/>
        <w:sz w:val="32"/>
        <w:szCs w:val="48"/>
      </w:rPr>
    </w:pPr>
    <w:r w:rsidRPr="001D3A8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D3A80" w:rsidRDefault="001D3A80">
                <w:pPr>
                  <w:pStyle w:val="a4"/>
                </w:pPr>
                <w:r>
                  <w:rPr>
                    <w:rFonts w:ascii="宋体" w:eastAsia="宋体" w:hAnsi="宋体" w:cs="宋体" w:hint="eastAsia"/>
                    <w:sz w:val="28"/>
                    <w:szCs w:val="28"/>
                  </w:rPr>
                  <w:fldChar w:fldCharType="begin"/>
                </w:r>
                <w:r w:rsidR="000B1BE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34FF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1D3A80" w:rsidRDefault="001D3A80">
    <w:pPr>
      <w:pStyle w:val="a5"/>
      <w:wordWrap w:val="0"/>
      <w:ind w:leftChars="1803" w:left="3786" w:firstLineChars="2312" w:firstLine="7398"/>
      <w:jc w:val="right"/>
      <w:rPr>
        <w:rFonts w:ascii="宋体" w:eastAsia="宋体" w:hAnsi="宋体" w:cs="宋体"/>
        <w:b/>
        <w:bCs/>
        <w:color w:val="005192"/>
        <w:sz w:val="28"/>
        <w:szCs w:val="44"/>
      </w:rPr>
    </w:pPr>
    <w:r w:rsidRPr="001D3A8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0B1BED">
      <w:rPr>
        <w:rFonts w:ascii="宋体" w:eastAsia="宋体" w:hAnsi="宋体" w:cs="宋体" w:hint="eastAsia"/>
        <w:b/>
        <w:bCs/>
        <w:color w:val="005192"/>
        <w:sz w:val="28"/>
        <w:szCs w:val="44"/>
      </w:rPr>
      <w:t>云</w:t>
    </w:r>
    <w:r w:rsidR="00334FF8">
      <w:rPr>
        <w:rFonts w:ascii="宋体" w:eastAsia="宋体" w:hAnsi="宋体" w:cs="宋体" w:hint="eastAsia"/>
        <w:b/>
        <w:bCs/>
        <w:color w:val="005192"/>
        <w:sz w:val="28"/>
        <w:szCs w:val="44"/>
      </w:rPr>
      <w:t>云</w:t>
    </w:r>
    <w:r w:rsidR="000B1BED">
      <w:rPr>
        <w:rFonts w:ascii="宋体" w:eastAsia="宋体" w:hAnsi="宋体" w:cs="宋体" w:hint="eastAsia"/>
        <w:b/>
        <w:bCs/>
        <w:color w:val="005192"/>
        <w:sz w:val="28"/>
        <w:szCs w:val="44"/>
      </w:rPr>
      <w:t>阳县人民政府办公室发布</w:t>
    </w:r>
    <w:r w:rsidR="000B1BED">
      <w:rPr>
        <w:rFonts w:ascii="宋体" w:eastAsia="宋体" w:hAnsi="宋体" w:cs="宋体" w:hint="eastAsia"/>
        <w:b/>
        <w:bCs/>
        <w:color w:val="005192"/>
        <w:sz w:val="28"/>
        <w:szCs w:val="44"/>
      </w:rPr>
      <w:t xml:space="preserve">     </w:t>
    </w:r>
  </w:p>
  <w:p w:rsidR="001D3A80" w:rsidRDefault="001D3A80">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F8" w:rsidRDefault="00334F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ED" w:rsidRDefault="000B1BED" w:rsidP="001D3A80">
      <w:r>
        <w:separator/>
      </w:r>
    </w:p>
  </w:footnote>
  <w:footnote w:type="continuationSeparator" w:id="1">
    <w:p w:rsidR="000B1BED" w:rsidRDefault="000B1BED" w:rsidP="001D3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F8" w:rsidRDefault="00334F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80" w:rsidRDefault="001D3A8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1D3A80" w:rsidRDefault="000B1BE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F8" w:rsidRDefault="00334FF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WQ5ZDVkMDZmNDY0YzM2M2IxOTlmNWE0MThlMzBhNjIifQ=="/>
  </w:docVars>
  <w:rsids>
    <w:rsidRoot w:val="00172A27"/>
    <w:rsid w:val="F05B4F69"/>
    <w:rsid w:val="F97D9566"/>
    <w:rsid w:val="FDFF411C"/>
    <w:rsid w:val="000B1BED"/>
    <w:rsid w:val="00172A27"/>
    <w:rsid w:val="001D3A80"/>
    <w:rsid w:val="00334FF8"/>
    <w:rsid w:val="00C51DA6"/>
    <w:rsid w:val="019E71BD"/>
    <w:rsid w:val="041C42DA"/>
    <w:rsid w:val="04B679C3"/>
    <w:rsid w:val="053C7F53"/>
    <w:rsid w:val="05F07036"/>
    <w:rsid w:val="06E00104"/>
    <w:rsid w:val="080F63D8"/>
    <w:rsid w:val="084F18AF"/>
    <w:rsid w:val="09341458"/>
    <w:rsid w:val="098254C2"/>
    <w:rsid w:val="0A766EDE"/>
    <w:rsid w:val="0AD64BE8"/>
    <w:rsid w:val="0B0912D7"/>
    <w:rsid w:val="0BFA2FE8"/>
    <w:rsid w:val="0E025194"/>
    <w:rsid w:val="152D2DCA"/>
    <w:rsid w:val="187168EA"/>
    <w:rsid w:val="196673CA"/>
    <w:rsid w:val="1B2F4AEE"/>
    <w:rsid w:val="1CF734C9"/>
    <w:rsid w:val="1DEC284C"/>
    <w:rsid w:val="1E6523AC"/>
    <w:rsid w:val="22440422"/>
    <w:rsid w:val="22BB4BBB"/>
    <w:rsid w:val="235F155B"/>
    <w:rsid w:val="25275B6D"/>
    <w:rsid w:val="2AEB3417"/>
    <w:rsid w:val="31A15F24"/>
    <w:rsid w:val="324A1681"/>
    <w:rsid w:val="36FB1DF0"/>
    <w:rsid w:val="395347B5"/>
    <w:rsid w:val="39A232A0"/>
    <w:rsid w:val="39E745AA"/>
    <w:rsid w:val="3B5A6BBB"/>
    <w:rsid w:val="3C103E7F"/>
    <w:rsid w:val="3EDA13A6"/>
    <w:rsid w:val="417B75E9"/>
    <w:rsid w:val="42F058B7"/>
    <w:rsid w:val="43191416"/>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CDF6C14"/>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A80"/>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1D3A80"/>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D3A80"/>
    <w:pPr>
      <w:jc w:val="left"/>
    </w:pPr>
  </w:style>
  <w:style w:type="paragraph" w:styleId="a4">
    <w:name w:val="footer"/>
    <w:basedOn w:val="a"/>
    <w:qFormat/>
    <w:rsid w:val="001D3A80"/>
    <w:pPr>
      <w:tabs>
        <w:tab w:val="center" w:pos="4153"/>
        <w:tab w:val="right" w:pos="8306"/>
      </w:tabs>
      <w:snapToGrid w:val="0"/>
      <w:jc w:val="left"/>
    </w:pPr>
    <w:rPr>
      <w:sz w:val="18"/>
    </w:rPr>
  </w:style>
  <w:style w:type="paragraph" w:styleId="a5">
    <w:name w:val="header"/>
    <w:basedOn w:val="a"/>
    <w:qFormat/>
    <w:rsid w:val="001D3A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1D3A80"/>
    <w:pPr>
      <w:spacing w:beforeAutospacing="1" w:afterAutospacing="1"/>
      <w:jc w:val="left"/>
    </w:pPr>
    <w:rPr>
      <w:rFonts w:cs="Times New Roman"/>
      <w:kern w:val="0"/>
      <w:sz w:val="24"/>
    </w:rPr>
  </w:style>
  <w:style w:type="character" w:styleId="a7">
    <w:name w:val="Strong"/>
    <w:basedOn w:val="a0"/>
    <w:qFormat/>
    <w:rsid w:val="001D3A80"/>
    <w:rPr>
      <w:b/>
      <w:bCs/>
    </w:rPr>
  </w:style>
  <w:style w:type="paragraph" w:customStyle="1" w:styleId="p0">
    <w:name w:val="p0"/>
    <w:basedOn w:val="a"/>
    <w:qFormat/>
    <w:rsid w:val="001D3A80"/>
    <w:pPr>
      <w:widowControl/>
    </w:pPr>
    <w:rPr>
      <w:rFonts w:ascii="Calibri" w:eastAsia="宋体" w:hAnsi="Calibri" w:cs="宋体"/>
      <w:kern w:val="0"/>
      <w:szCs w:val="32"/>
    </w:rPr>
  </w:style>
  <w:style w:type="paragraph" w:styleId="a8">
    <w:name w:val="Balloon Text"/>
    <w:basedOn w:val="a"/>
    <w:link w:val="Char"/>
    <w:rsid w:val="00C51DA6"/>
    <w:rPr>
      <w:sz w:val="18"/>
      <w:szCs w:val="18"/>
    </w:rPr>
  </w:style>
  <w:style w:type="character" w:customStyle="1" w:styleId="Char">
    <w:name w:val="批注框文本 Char"/>
    <w:basedOn w:val="a0"/>
    <w:link w:val="a8"/>
    <w:rsid w:val="00C51DA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3</cp:revision>
  <cp:lastPrinted>2022-05-12T00:46:00Z</cp:lastPrinted>
  <dcterms:created xsi:type="dcterms:W3CDTF">2021-09-11T02:41:00Z</dcterms:created>
  <dcterms:modified xsi:type="dcterms:W3CDTF">2022-06-12T05:30:00Z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