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40" w:lineRule="exact"/>
        <w:jc w:val="center"/>
        <w:rPr>
          <w:rFonts w:ascii="方正小标宋_GBK" w:hAnsi="方正小标宋_GBK" w:eastAsia="方正小标宋_GBK" w:cs="方正小标宋_GBK"/>
          <w:sz w:val="42"/>
          <w:szCs w:val="42"/>
        </w:rPr>
      </w:pPr>
    </w:p>
    <w:p>
      <w:pPr>
        <w:pStyle w:val="9"/>
        <w:widowControl/>
        <w:spacing w:beforeAutospacing="0" w:afterAutospacing="0" w:line="540" w:lineRule="exact"/>
        <w:jc w:val="center"/>
        <w:rPr>
          <w:rFonts w:ascii="方正小标宋_GBK" w:hAnsi="方正小标宋_GBK" w:eastAsia="方正小标宋_GBK" w:cs="方正小标宋_GBK"/>
          <w:sz w:val="42"/>
          <w:szCs w:val="42"/>
        </w:rPr>
      </w:pP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云阳县人民政府办公室</w:t>
      </w: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关于印发云阳县培育限额以上商贸企业三年</w:t>
      </w: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行动计划工作实施方案的通知</w:t>
      </w:r>
    </w:p>
    <w:p>
      <w:pPr>
        <w:pStyle w:val="9"/>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51</w:t>
      </w:r>
      <w:r>
        <w:rPr>
          <w:rFonts w:hint="eastAsia" w:ascii="方正仿宋_GBK" w:hAnsi="方正仿宋_GBK" w:eastAsia="方正仿宋_GBK" w:cs="方正仿宋_GBK"/>
          <w:sz w:val="32"/>
          <w:szCs w:val="32"/>
        </w:rPr>
        <w:t>号</w:t>
      </w: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600" w:lineRule="exact"/>
        <w:rPr>
          <w:rFonts w:ascii="仿宋" w:hAnsi="仿宋" w:eastAsia="仿宋" w:cs="仿宋"/>
          <w:sz w:val="31"/>
          <w:szCs w:val="31"/>
        </w:rPr>
      </w:pPr>
      <w:r>
        <w:rPr>
          <w:rFonts w:hint="eastAsia" w:ascii="方正仿宋_GBK" w:hAnsi="方正仿宋_GBK" w:eastAsia="方正仿宋_GBK" w:cs="方正仿宋_GBK"/>
          <w:sz w:val="32"/>
          <w:szCs w:val="32"/>
        </w:rPr>
        <w:t>各乡镇人民政府、街道办事处，县政府有关部门，有关单位</w:t>
      </w:r>
      <w:r>
        <w:rPr>
          <w:rFonts w:hint="eastAsia" w:ascii="仿宋" w:hAnsi="仿宋" w:eastAsia="仿宋" w:cs="仿宋"/>
          <w:sz w:val="31"/>
          <w:szCs w:val="31"/>
        </w:rPr>
        <w:t xml:space="preserve"> ：</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《云阳县培育限额以上商贸企业三年行动计划工作实施方案》已经县政府同意，现印发给你们，请认真贯彻执行。</w:t>
      </w:r>
    </w:p>
    <w:p>
      <w:pPr>
        <w:pStyle w:val="9"/>
        <w:widowControl/>
        <w:spacing w:beforeAutospacing="0" w:afterAutospacing="0" w:line="600" w:lineRule="exact"/>
        <w:rPr>
          <w:rFonts w:ascii="仿宋" w:hAnsi="仿宋" w:eastAsia="仿宋" w:cs="仿宋"/>
          <w:sz w:val="31"/>
          <w:szCs w:val="31"/>
        </w:rPr>
      </w:pPr>
    </w:p>
    <w:p>
      <w:pPr>
        <w:pStyle w:val="9"/>
        <w:widowControl/>
        <w:wordWrap w:val="0"/>
        <w:spacing w:beforeAutospacing="0" w:afterAutospacing="0" w:line="600" w:lineRule="exact"/>
        <w:ind w:right="420" w:right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云阳县人民政府办公室  </w:t>
      </w:r>
    </w:p>
    <w:p>
      <w:pPr>
        <w:pStyle w:val="9"/>
        <w:widowControl/>
        <w:wordWrap w:val="0"/>
        <w:spacing w:beforeAutospacing="0" w:afterAutospacing="0" w:line="600" w:lineRule="exact"/>
        <w:jc w:val="right"/>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23</w:t>
      </w:r>
      <w:r>
        <w:rPr>
          <w:rFonts w:hint="eastAsia" w:ascii="方正仿宋_GBK" w:hAnsi="方正仿宋_GBK" w:eastAsia="方正仿宋_GBK" w:cs="方正仿宋_GBK"/>
          <w:sz w:val="32"/>
          <w:szCs w:val="32"/>
        </w:rPr>
        <w:t>日</w:t>
      </w:r>
      <w:r>
        <w:rPr>
          <w:rFonts w:hint="eastAsia" w:ascii="仿宋" w:hAnsi="仿宋" w:eastAsia="仿宋" w:cs="仿宋"/>
          <w:sz w:val="31"/>
          <w:szCs w:val="31"/>
        </w:rPr>
        <w:t>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w:t>
      </w:r>
      <w:bookmarkStart w:id="0" w:name="_GoBack"/>
      <w:bookmarkEnd w:id="0"/>
      <w:r>
        <w:rPr>
          <w:rFonts w:hint="eastAsia" w:ascii="仿宋" w:hAnsi="仿宋" w:eastAsia="仿宋" w:cs="仿宋"/>
          <w:sz w:val="31"/>
          <w:szCs w:val="31"/>
        </w:rPr>
        <w:t xml:space="preserve">  </w:t>
      </w: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40" w:lineRule="exact"/>
        <w:rPr>
          <w:rFonts w:ascii="方正小标宋_GBK" w:hAnsi="方正小标宋_GBK" w:cs="方正小标宋_GBK"/>
          <w:sz w:val="44"/>
          <w:szCs w:val="44"/>
        </w:rPr>
      </w:pP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p>
    <w:p>
      <w:pPr>
        <w:pStyle w:val="9"/>
        <w:widowControl/>
        <w:spacing w:beforeAutospacing="0" w:afterAutospacing="0" w:line="540" w:lineRule="exact"/>
        <w:jc w:val="center"/>
        <w:rPr>
          <w:rFonts w:hint="eastAsia" w:ascii="方正小标宋_GBK" w:hAnsi="方正小标宋_GBK" w:eastAsia="方正小标宋_GBK" w:cs="方正小标宋_GBK"/>
          <w:sz w:val="44"/>
          <w:szCs w:val="44"/>
        </w:rPr>
      </w:pP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云阳县培育限额以上商贸企业三年行动</w:t>
      </w: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计划工作实施方案</w:t>
      </w: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为全面贯彻落实《中共中央国务院关于完善促进消费体制机制进一步激发居民消费潜力的若干意见》、《重庆市商务委员会关于印发消费升级行动计划（</w:t>
      </w:r>
      <w:r>
        <w:rPr>
          <w:rFonts w:hint="eastAsia" w:ascii="Times New Roman" w:hAnsi="Times New Roman" w:eastAsia="方正仿宋_GBK"/>
          <w:sz w:val="32"/>
          <w:szCs w:val="32"/>
        </w:rPr>
        <w:t>2018 — 2022</w:t>
      </w:r>
      <w:r>
        <w:rPr>
          <w:rFonts w:hint="eastAsia" w:ascii="方正仿宋_GBK" w:hAnsi="方正仿宋_GBK" w:eastAsia="方正仿宋_GBK" w:cs="方正仿宋_GBK"/>
          <w:sz w:val="32"/>
          <w:szCs w:val="32"/>
        </w:rPr>
        <w:t>）的知》（渝商务发 〔</w:t>
      </w:r>
      <w:r>
        <w:rPr>
          <w:rFonts w:hint="eastAsia"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62</w:t>
      </w:r>
      <w:r>
        <w:rPr>
          <w:rFonts w:hint="eastAsia" w:ascii="方正仿宋_GBK" w:hAnsi="方正仿宋_GBK" w:eastAsia="方正仿宋_GBK" w:cs="方正仿宋_GBK"/>
          <w:sz w:val="32"/>
          <w:szCs w:val="32"/>
        </w:rPr>
        <w:t>号）文件精神，充分发挥限额以上商贸流通企业的龙头带动作用，推动商贸流通企业扩规模、提档次、调结构，保障全县消费品市场持续健康发展，根据县委县政府工作部署，决定启动限额以上商贸企业三年行动计划。</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黑体_GBK" w:hAnsi="方正黑体_GBK" w:eastAsia="方正黑体_GBK" w:cs="方正黑体_GBK"/>
          <w:sz w:val="32"/>
          <w:szCs w:val="32"/>
          <w:shd w:val="clear" w:color="auto" w:fill="FFFFFF"/>
        </w:rPr>
        <w:t>一、现状及发展思路</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2014</w:t>
      </w:r>
      <w:r>
        <w:rPr>
          <w:rFonts w:hint="eastAsia" w:ascii="方正仿宋_GBK" w:hAnsi="方正仿宋_GBK" w:eastAsia="方正仿宋_GBK" w:cs="方正仿宋_GBK"/>
          <w:sz w:val="32"/>
          <w:szCs w:val="32"/>
        </w:rPr>
        <w:t>年，按照县委县政府工作部署要求，我县实施商贸主体三年“倍增计划”，每年发展重点商贸企业</w:t>
      </w:r>
      <w:r>
        <w:rPr>
          <w:rFonts w:hint="eastAsia" w:ascii="Times New Roman" w:hAnsi="Times New Roman" w:eastAsia="方正仿宋_GBK"/>
          <w:sz w:val="32"/>
          <w:szCs w:val="32"/>
        </w:rPr>
        <w:t>100</w:t>
      </w:r>
      <w:r>
        <w:rPr>
          <w:rFonts w:hint="eastAsia" w:ascii="方正仿宋_GBK" w:hAnsi="方正仿宋_GBK" w:eastAsia="方正仿宋_GBK" w:cs="方正仿宋_GBK"/>
          <w:sz w:val="32"/>
          <w:szCs w:val="32"/>
        </w:rPr>
        <w:t>家以上。目前，全县重点商贸单位已达到</w:t>
      </w:r>
      <w:r>
        <w:rPr>
          <w:rFonts w:hint="eastAsia" w:ascii="Times New Roman" w:hAnsi="Times New Roman" w:eastAsia="方正仿宋_GBK"/>
          <w:sz w:val="32"/>
          <w:szCs w:val="32"/>
        </w:rPr>
        <w:t>770</w:t>
      </w:r>
      <w:r>
        <w:rPr>
          <w:rFonts w:hint="eastAsia" w:ascii="方正仿宋_GBK" w:hAnsi="方正仿宋_GBK" w:eastAsia="方正仿宋_GBK" w:cs="方正仿宋_GBK"/>
          <w:sz w:val="32"/>
          <w:szCs w:val="32"/>
        </w:rPr>
        <w:t>家，进入国家“一套表”联网直报系统的限上商贸企业</w:t>
      </w:r>
      <w:r>
        <w:rPr>
          <w:rFonts w:hint="eastAsia" w:ascii="Times New Roman" w:hAnsi="Times New Roman" w:eastAsia="方正仿宋_GBK"/>
          <w:sz w:val="32"/>
          <w:szCs w:val="32"/>
        </w:rPr>
        <w:t>241</w:t>
      </w:r>
      <w:r>
        <w:rPr>
          <w:rFonts w:hint="eastAsia" w:ascii="方正仿宋_GBK" w:hAnsi="方正仿宋_GBK" w:eastAsia="方正仿宋_GBK" w:cs="方正仿宋_GBK"/>
          <w:sz w:val="32"/>
          <w:szCs w:val="32"/>
        </w:rPr>
        <w:t>家。</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2019</w:t>
      </w:r>
      <w:r>
        <w:rPr>
          <w:rFonts w:hint="eastAsia" w:ascii="方正仿宋_GBK" w:hAnsi="方正仿宋_GBK" w:eastAsia="方正仿宋_GBK" w:cs="方正仿宋_GBK"/>
          <w:sz w:val="32"/>
          <w:szCs w:val="32"/>
        </w:rPr>
        <w:t>年至</w:t>
      </w:r>
      <w:r>
        <w:rPr>
          <w:rFonts w:hint="eastAsia" w:ascii="Times New Roman" w:hAnsi="Times New Roman" w:eastAsia="方正仿宋_GBK"/>
          <w:sz w:val="32"/>
          <w:szCs w:val="32"/>
        </w:rPr>
        <w:t>2021</w:t>
      </w:r>
      <w:r>
        <w:rPr>
          <w:rFonts w:hint="eastAsia" w:ascii="方正仿宋_GBK" w:hAnsi="方正仿宋_GBK" w:eastAsia="方正仿宋_GBK" w:cs="方正仿宋_GBK"/>
          <w:sz w:val="32"/>
          <w:szCs w:val="32"/>
        </w:rPr>
        <w:t>年，全县商贸主体实施三年行动计划，按照“限上企业抓增长、上限企业抓入库、接近限额企业抓培育、新建企业抓督导”的思路，查漏纳新一批、挖潜提升一批、扶持壮大一批。主要建设大型专业市场，壮大批发企业主体，培育批发龙头企业；借助全域旅游发展，培育住餐限上企业；利用打造农村电子商务升级版机会，发展新零售限上企业。</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二、目标任务</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楷体_GBK" w:hAnsi="方正楷体_GBK" w:eastAsia="方正楷体_GBK" w:cs="方正楷体_GBK"/>
          <w:sz w:val="32"/>
          <w:szCs w:val="32"/>
          <w:shd w:val="clear" w:color="auto" w:fill="FFFFFF"/>
        </w:rPr>
        <w:t>（一）总体发展目标</w:t>
      </w:r>
      <w:r>
        <w:rPr>
          <w:rFonts w:hint="eastAsia" w:ascii="方正黑体_GBK" w:hAnsi="方正黑体_GBK" w:eastAsia="方正黑体_GBK" w:cs="方正黑体_GBK"/>
          <w:sz w:val="32"/>
          <w:szCs w:val="32"/>
          <w:shd w:val="clear" w:color="auto" w:fill="FFFFFF"/>
        </w:rPr>
        <w:t>：</w:t>
      </w:r>
      <w:r>
        <w:rPr>
          <w:rFonts w:hint="eastAsia" w:ascii="方正仿宋_GBK" w:hAnsi="方正仿宋_GBK" w:eastAsia="方正仿宋_GBK" w:cs="方正仿宋_GBK"/>
          <w:sz w:val="32"/>
          <w:szCs w:val="32"/>
        </w:rPr>
        <w:t>通过</w:t>
      </w: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年发展，力争到本届政府末社会消费品零售总额达到</w:t>
      </w:r>
      <w:r>
        <w:rPr>
          <w:rFonts w:hint="eastAsia" w:ascii="Times New Roman" w:hAnsi="Times New Roman" w:eastAsia="方正仿宋_GBK"/>
          <w:sz w:val="32"/>
          <w:szCs w:val="32"/>
        </w:rPr>
        <w:t>200</w:t>
      </w:r>
      <w:r>
        <w:rPr>
          <w:rFonts w:hint="eastAsia" w:ascii="方正仿宋_GBK" w:hAnsi="方正仿宋_GBK" w:eastAsia="方正仿宋_GBK" w:cs="方正仿宋_GBK"/>
          <w:sz w:val="32"/>
          <w:szCs w:val="32"/>
        </w:rPr>
        <w:t>亿元，批发和零售业销售额达到</w:t>
      </w:r>
      <w:r>
        <w:rPr>
          <w:rFonts w:hint="eastAsia" w:ascii="Times New Roman" w:hAnsi="Times New Roman" w:eastAsia="方正仿宋_GBK"/>
          <w:sz w:val="32"/>
          <w:szCs w:val="32"/>
        </w:rPr>
        <w:t>400</w:t>
      </w:r>
      <w:r>
        <w:rPr>
          <w:rFonts w:hint="eastAsia" w:ascii="方正仿宋_GBK" w:hAnsi="方正仿宋_GBK" w:eastAsia="方正仿宋_GBK" w:cs="方正仿宋_GBK"/>
          <w:sz w:val="32"/>
          <w:szCs w:val="32"/>
        </w:rPr>
        <w:t>亿元，住宿和餐饮业营业额达到</w:t>
      </w:r>
      <w:r>
        <w:rPr>
          <w:rFonts w:hint="eastAsia" w:ascii="Times New Roman" w:hAnsi="Times New Roman" w:eastAsia="方正仿宋_GBK"/>
          <w:sz w:val="32"/>
          <w:szCs w:val="32"/>
        </w:rPr>
        <w:t>55</w:t>
      </w:r>
      <w:r>
        <w:rPr>
          <w:rFonts w:hint="eastAsia" w:ascii="方正仿宋_GBK" w:hAnsi="方正仿宋_GBK" w:eastAsia="方正仿宋_GBK" w:cs="方正仿宋_GBK"/>
          <w:sz w:val="32"/>
          <w:szCs w:val="32"/>
        </w:rPr>
        <w:t>亿元，在本届政府初基础上实现翻番。</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楷体_GBK" w:hAnsi="方正楷体_GBK" w:eastAsia="方正楷体_GBK" w:cs="方正楷体_GBK"/>
          <w:sz w:val="32"/>
          <w:szCs w:val="32"/>
          <w:shd w:val="clear" w:color="auto" w:fill="FFFFFF"/>
        </w:rPr>
        <w:t>（二）重点商贸企业发展目标：</w:t>
      </w:r>
      <w:r>
        <w:rPr>
          <w:rFonts w:hint="eastAsia" w:ascii="方正仿宋_GBK" w:hAnsi="方正仿宋_GBK" w:eastAsia="方正仿宋_GBK" w:cs="方正仿宋_GBK"/>
          <w:sz w:val="32"/>
          <w:szCs w:val="32"/>
        </w:rPr>
        <w:t xml:space="preserve">每年新培育重点商贸企业 </w:t>
      </w:r>
      <w:r>
        <w:rPr>
          <w:rFonts w:hint="eastAsia" w:ascii="Times New Roman" w:hAnsi="Times New Roman" w:eastAsia="方正仿宋_GBK"/>
          <w:sz w:val="32"/>
          <w:szCs w:val="32"/>
        </w:rPr>
        <w:t>120</w:t>
      </w:r>
      <w:r>
        <w:rPr>
          <w:rFonts w:hint="eastAsia" w:ascii="方正仿宋_GBK" w:hAnsi="方正仿宋_GBK" w:eastAsia="方正仿宋_GBK" w:cs="方正仿宋_GBK"/>
          <w:sz w:val="32"/>
          <w:szCs w:val="32"/>
        </w:rPr>
        <w:t>家。通过</w:t>
      </w: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年发展，新培育重点商贸企业</w:t>
      </w:r>
      <w:r>
        <w:rPr>
          <w:rFonts w:hint="eastAsia" w:ascii="Times New Roman" w:hAnsi="Times New Roman" w:eastAsia="方正仿宋_GBK"/>
          <w:sz w:val="32"/>
          <w:szCs w:val="32"/>
        </w:rPr>
        <w:t>360</w:t>
      </w:r>
      <w:r>
        <w:rPr>
          <w:rFonts w:hint="eastAsia" w:ascii="方正仿宋_GBK" w:hAnsi="方正仿宋_GBK" w:eastAsia="方正仿宋_GBK" w:cs="方正仿宋_GBK"/>
          <w:sz w:val="32"/>
          <w:szCs w:val="32"/>
        </w:rPr>
        <w:t>家，到本届政府末全县重点商贸企业达到</w:t>
      </w:r>
      <w:r>
        <w:rPr>
          <w:rFonts w:hint="eastAsia" w:ascii="Times New Roman" w:hAnsi="Times New Roman" w:eastAsia="方正仿宋_GBK"/>
          <w:sz w:val="32"/>
          <w:szCs w:val="32"/>
        </w:rPr>
        <w:t>1130</w:t>
      </w:r>
      <w:r>
        <w:rPr>
          <w:rFonts w:hint="eastAsia" w:ascii="方正仿宋_GBK" w:hAnsi="方正仿宋_GBK" w:eastAsia="方正仿宋_GBK" w:cs="方正仿宋_GBK"/>
          <w:sz w:val="32"/>
          <w:szCs w:val="32"/>
        </w:rPr>
        <w:t>家</w:t>
      </w:r>
      <w:r>
        <w:rPr>
          <w:rFonts w:hint="eastAsia" w:ascii="仿宋" w:hAnsi="仿宋" w:eastAsia="仿宋" w:cs="仿宋"/>
          <w:sz w:val="31"/>
          <w:szCs w:val="31"/>
        </w:rPr>
        <w:t>。</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w:t>
      </w:r>
      <w:r>
        <w:rPr>
          <w:rFonts w:hint="eastAsia" w:ascii="方正楷体_GBK" w:hAnsi="方正楷体_GBK" w:eastAsia="方正楷体_GBK" w:cs="方正楷体_GBK"/>
          <w:sz w:val="32"/>
          <w:szCs w:val="32"/>
          <w:shd w:val="clear" w:color="auto" w:fill="FFFFFF"/>
        </w:rPr>
        <w:t>三）进入国家“一套表”联网直报系统目标</w:t>
      </w:r>
      <w:r>
        <w:rPr>
          <w:rFonts w:hint="eastAsia" w:ascii="方正黑体_GBK" w:hAnsi="方正黑体_GBK" w:eastAsia="方正黑体_GBK" w:cs="方正黑体_GBK"/>
          <w:sz w:val="32"/>
          <w:szCs w:val="32"/>
          <w:shd w:val="clear" w:color="auto" w:fill="FFFFFF"/>
        </w:rPr>
        <w:t>：</w:t>
      </w:r>
      <w:r>
        <w:rPr>
          <w:rFonts w:hint="eastAsia" w:ascii="方正仿宋_GBK" w:hAnsi="方正仿宋_GBK" w:eastAsia="方正仿宋_GBK" w:cs="方正仿宋_GBK"/>
          <w:sz w:val="32"/>
          <w:szCs w:val="32"/>
        </w:rPr>
        <w:t>每年新增进入国家“一套表”联网直报系统限上商贸企业35家。通过3年发展，新进入国家“一套表”联网直报系统限上商贸企业105家，到本届政府末全县进入国家“一套表”联网直报系统限上商贸企业力争达到320家以上。</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 、具体标准</w:t>
      </w:r>
    </w:p>
    <w:p>
      <w:pPr>
        <w:pStyle w:val="9"/>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（一）重点商贸企业</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 xml:space="preserve"> ．批发企业年商品销售额达到</w:t>
      </w:r>
      <w:r>
        <w:rPr>
          <w:rFonts w:hint="eastAsia" w:ascii="Times New Roman" w:hAnsi="Times New Roman" w:eastAsia="方正仿宋_GBK"/>
          <w:sz w:val="32"/>
          <w:szCs w:val="32"/>
        </w:rPr>
        <w:t>1000—2000</w:t>
      </w:r>
      <w:r>
        <w:rPr>
          <w:rFonts w:hint="eastAsia" w:ascii="方正仿宋_GBK" w:hAnsi="方正仿宋_GBK" w:eastAsia="方正仿宋_GBK" w:cs="方正仿宋_GBK"/>
          <w:sz w:val="32"/>
          <w:szCs w:val="32"/>
        </w:rPr>
        <w:t>万元；</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．零售企业年商品销售额达到</w:t>
      </w:r>
      <w:r>
        <w:rPr>
          <w:rFonts w:hint="eastAsia" w:ascii="Times New Roman" w:hAnsi="Times New Roman" w:eastAsia="方正仿宋_GBK"/>
          <w:sz w:val="32"/>
          <w:szCs w:val="32"/>
        </w:rPr>
        <w:t>300—500</w:t>
      </w:r>
      <w:r>
        <w:rPr>
          <w:rFonts w:hint="eastAsia" w:ascii="方正仿宋_GBK" w:hAnsi="方正仿宋_GBK" w:eastAsia="方正仿宋_GBK" w:cs="方正仿宋_GBK"/>
          <w:sz w:val="32"/>
          <w:szCs w:val="32"/>
        </w:rPr>
        <w:t>万元；</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3 ．</w:t>
      </w:r>
      <w:r>
        <w:rPr>
          <w:rFonts w:hint="eastAsia" w:ascii="方正仿宋_GBK" w:hAnsi="方正仿宋_GBK" w:eastAsia="方正仿宋_GBK" w:cs="方正仿宋_GBK"/>
          <w:sz w:val="32"/>
          <w:szCs w:val="32"/>
        </w:rPr>
        <w:t>住宿企业年营业额达到</w:t>
      </w:r>
      <w:r>
        <w:rPr>
          <w:rFonts w:hint="eastAsia" w:ascii="Times New Roman" w:hAnsi="Times New Roman" w:eastAsia="方正仿宋_GBK"/>
          <w:sz w:val="32"/>
          <w:szCs w:val="32"/>
        </w:rPr>
        <w:t>100—200</w:t>
      </w:r>
      <w:r>
        <w:rPr>
          <w:rFonts w:hint="eastAsia" w:ascii="方正仿宋_GBK" w:hAnsi="方正仿宋_GBK" w:eastAsia="方正仿宋_GBK" w:cs="方正仿宋_GBK"/>
          <w:sz w:val="32"/>
          <w:szCs w:val="32"/>
        </w:rPr>
        <w:t>万元；</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Times New Roman" w:hAnsi="Times New Roman" w:eastAsia="方正仿宋_GBK"/>
          <w:sz w:val="32"/>
          <w:szCs w:val="32"/>
        </w:rPr>
        <w:t xml:space="preserve">4 </w:t>
      </w:r>
      <w:r>
        <w:rPr>
          <w:rFonts w:hint="eastAsia" w:ascii="方正仿宋_GBK" w:hAnsi="方正仿宋_GBK" w:eastAsia="方正仿宋_GBK" w:cs="方正仿宋_GBK"/>
          <w:sz w:val="32"/>
          <w:szCs w:val="32"/>
        </w:rPr>
        <w:t>．餐饮企业年营业额达到</w:t>
      </w:r>
      <w:r>
        <w:rPr>
          <w:rFonts w:hint="eastAsia" w:ascii="Times New Roman" w:hAnsi="Times New Roman" w:eastAsia="方正仿宋_GBK"/>
          <w:sz w:val="32"/>
          <w:szCs w:val="32"/>
        </w:rPr>
        <w:t>100—200</w:t>
      </w:r>
      <w:r>
        <w:rPr>
          <w:rFonts w:hint="eastAsia" w:ascii="方正仿宋_GBK" w:hAnsi="方正仿宋_GBK" w:eastAsia="方正仿宋_GBK" w:cs="方正仿宋_GBK"/>
          <w:sz w:val="32"/>
          <w:szCs w:val="32"/>
        </w:rPr>
        <w:t>万元。</w:t>
      </w:r>
    </w:p>
    <w:p>
      <w:pPr>
        <w:pStyle w:val="9"/>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（二）国家“一套表”联网直报系统限上商贸企业</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sz w:val="32"/>
          <w:szCs w:val="32"/>
        </w:rPr>
        <w:t>．批发企业年商品销售额达到</w:t>
      </w:r>
      <w:r>
        <w:rPr>
          <w:rFonts w:hint="eastAsia" w:ascii="Times New Roman" w:hAnsi="Times New Roman" w:eastAsia="方正仿宋_GBK"/>
          <w:sz w:val="32"/>
          <w:szCs w:val="32"/>
        </w:rPr>
        <w:t>2000</w:t>
      </w:r>
      <w:r>
        <w:rPr>
          <w:rFonts w:hint="eastAsia" w:ascii="方正仿宋_GBK" w:hAnsi="方正仿宋_GBK" w:eastAsia="方正仿宋_GBK" w:cs="方正仿宋_GBK"/>
          <w:sz w:val="32"/>
          <w:szCs w:val="32"/>
        </w:rPr>
        <w:t>万元以上；</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．零售企业年商品销售额达到</w:t>
      </w:r>
      <w:r>
        <w:rPr>
          <w:rFonts w:hint="eastAsia" w:ascii="Times New Roman" w:hAnsi="Times New Roman" w:eastAsia="方正仿宋_GBK"/>
          <w:sz w:val="32"/>
          <w:szCs w:val="32"/>
        </w:rPr>
        <w:t>500</w:t>
      </w:r>
      <w:r>
        <w:rPr>
          <w:rFonts w:hint="eastAsia" w:ascii="方正仿宋_GBK" w:hAnsi="方正仿宋_GBK" w:eastAsia="方正仿宋_GBK" w:cs="方正仿宋_GBK"/>
          <w:sz w:val="32"/>
          <w:szCs w:val="32"/>
        </w:rPr>
        <w:t>万元以上；</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3 </w:t>
      </w:r>
      <w:r>
        <w:rPr>
          <w:rFonts w:hint="eastAsia" w:ascii="方正仿宋_GBK" w:hAnsi="方正仿宋_GBK" w:eastAsia="方正仿宋_GBK" w:cs="方正仿宋_GBK"/>
          <w:sz w:val="32"/>
          <w:szCs w:val="32"/>
        </w:rPr>
        <w:t>．住宿企业年营业额达到</w:t>
      </w:r>
      <w:r>
        <w:rPr>
          <w:rFonts w:hint="eastAsia" w:ascii="Times New Roman" w:hAnsi="Times New Roman" w:eastAsia="方正仿宋_GBK"/>
          <w:sz w:val="32"/>
          <w:szCs w:val="32"/>
        </w:rPr>
        <w:t>200</w:t>
      </w:r>
      <w:r>
        <w:rPr>
          <w:rFonts w:hint="eastAsia" w:ascii="方正仿宋_GBK" w:hAnsi="方正仿宋_GBK" w:eastAsia="方正仿宋_GBK" w:cs="方正仿宋_GBK"/>
          <w:sz w:val="32"/>
          <w:szCs w:val="32"/>
        </w:rPr>
        <w:t>万元以上；</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Times New Roman" w:hAnsi="Times New Roman" w:eastAsia="方正仿宋_GBK"/>
          <w:sz w:val="32"/>
          <w:szCs w:val="32"/>
        </w:rPr>
        <w:t xml:space="preserve">4 </w:t>
      </w:r>
      <w:r>
        <w:rPr>
          <w:rFonts w:hint="eastAsia" w:ascii="方正仿宋_GBK" w:hAnsi="方正仿宋_GBK" w:eastAsia="方正仿宋_GBK" w:cs="方正仿宋_GBK"/>
          <w:sz w:val="32"/>
          <w:szCs w:val="32"/>
        </w:rPr>
        <w:t>．餐饮企业年营业额达到</w:t>
      </w:r>
      <w:r>
        <w:rPr>
          <w:rFonts w:hint="eastAsia" w:ascii="Times New Roman" w:hAnsi="Times New Roman" w:eastAsia="方正仿宋_GBK"/>
          <w:sz w:val="32"/>
          <w:szCs w:val="32"/>
        </w:rPr>
        <w:t>200</w:t>
      </w:r>
      <w:r>
        <w:rPr>
          <w:rFonts w:hint="eastAsia" w:ascii="方正仿宋_GBK" w:hAnsi="方正仿宋_GBK" w:eastAsia="方正仿宋_GBK" w:cs="方正仿宋_GBK"/>
          <w:sz w:val="32"/>
          <w:szCs w:val="32"/>
        </w:rPr>
        <w:t>万元以上。</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四、补助政策</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对新培育的重点商贸企业、新申报并进入国家“一套表”联网直报系统的限上商贸企业按标准给予一次性补助。</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对新培育的重点商贸企业，县级财政给予每户</w:t>
      </w:r>
      <w:r>
        <w:rPr>
          <w:rFonts w:hint="eastAsia" w:ascii="Times New Roman" w:hAnsi="Times New Roman" w:eastAsia="方正仿宋_GBK"/>
          <w:sz w:val="32"/>
          <w:szCs w:val="32"/>
        </w:rPr>
        <w:t>0.5</w:t>
      </w:r>
      <w:r>
        <w:rPr>
          <w:rFonts w:hint="eastAsia" w:ascii="方正仿宋_GBK" w:hAnsi="方正仿宋_GBK" w:eastAsia="方正仿宋_GBK" w:cs="方正仿宋_GBK"/>
          <w:sz w:val="32"/>
          <w:szCs w:val="32"/>
        </w:rPr>
        <w:t>万元一次性补助。</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仿宋_GBK" w:hAnsi="方正仿宋_GBK" w:eastAsia="方正仿宋_GBK" w:cs="方正仿宋_GBK"/>
          <w:sz w:val="32"/>
          <w:szCs w:val="32"/>
        </w:rPr>
        <w:t>（二）对新申报并进入国家“一套表”联网直报系统的限上商贸企业，县级财政给予每户</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万元一次性补助。</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五、享受补助政策的条件</w:t>
      </w:r>
    </w:p>
    <w:p>
      <w:pPr>
        <w:pStyle w:val="9"/>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（一）基本条件</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 xml:space="preserve"> ．在市场监管部门登记注册为企业法人；</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．企业处于正常经营状态，发展态势较好，以企业上年度财务状况、纳税情况、社会保险金缴纳情况等为佐证；</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 xml:space="preserve"> ．企业信用良好，近一年内没有受到相关部门的行政处罚，未被列入国家企业信用信息公示系统中的“经营异常名录”、“严重违法失信企业名单”和国家税务总局“重大税收违法案件信息公布栏”名单。</w:t>
      </w:r>
    </w:p>
    <w:p>
      <w:pPr>
        <w:pStyle w:val="9"/>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（二）申报材料</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重点商贸企业申报材料：</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sz w:val="32"/>
          <w:szCs w:val="32"/>
        </w:rPr>
        <w:t>．云阳县培育重点商贸企业申请表（见附件</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．企业营业执照（证书）复印件。</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进入国家“一套表”联网直报系统限上商贸企业申报材料：</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sz w:val="32"/>
          <w:szCs w:val="32"/>
        </w:rPr>
        <w:t>．法人单位情况表；</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．营业执照（证书）复印件；</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3 </w:t>
      </w:r>
      <w:r>
        <w:rPr>
          <w:rFonts w:hint="eastAsia" w:ascii="方正仿宋_GBK" w:hAnsi="方正仿宋_GBK" w:eastAsia="方正仿宋_GBK" w:cs="方正仿宋_GBK"/>
          <w:sz w:val="32"/>
          <w:szCs w:val="32"/>
        </w:rPr>
        <w:t>．截止申报期最近</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个月加盖单位公章（或财务专用章）的利润表复印件；</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4 </w:t>
      </w:r>
      <w:r>
        <w:rPr>
          <w:rFonts w:hint="eastAsia" w:ascii="方正仿宋_GBK" w:hAnsi="方正仿宋_GBK" w:eastAsia="方正仿宋_GBK" w:cs="方正仿宋_GBK"/>
          <w:sz w:val="32"/>
          <w:szCs w:val="32"/>
        </w:rPr>
        <w:t>．打印并加盖税务部门和单位公章的《增值税纳税申报表》。</w:t>
      </w:r>
    </w:p>
    <w:p>
      <w:pPr>
        <w:pStyle w:val="9"/>
        <w:widowControl/>
        <w:spacing w:beforeAutospacing="0" w:afterAutospacing="0" w:line="60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（三）审批程序</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sz w:val="32"/>
          <w:szCs w:val="32"/>
        </w:rPr>
        <w:t>．企业向所在乡镇（街道）提交申报材料，经乡镇（街道）审核并加盖乡镇（街道）公章后报送县商务委；</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 xml:space="preserve">2 </w:t>
      </w:r>
      <w:r>
        <w:rPr>
          <w:rFonts w:hint="eastAsia" w:ascii="方正仿宋_GBK" w:hAnsi="方正仿宋_GBK" w:eastAsia="方正仿宋_GBK" w:cs="方正仿宋_GBK"/>
          <w:sz w:val="32"/>
          <w:szCs w:val="32"/>
        </w:rPr>
        <w:t>．县商务委根据乡镇（街道）提交的材料进行审查，对符合重点商贸企业条件的纳入限上商贸企业培育名单，兑现一次性补助政策；</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Times New Roman" w:hAnsi="Times New Roman" w:eastAsia="方正仿宋_GBK"/>
          <w:sz w:val="32"/>
          <w:szCs w:val="32"/>
        </w:rPr>
        <w:t xml:space="preserve">3 </w:t>
      </w:r>
      <w:r>
        <w:rPr>
          <w:rFonts w:hint="eastAsia" w:ascii="方正仿宋_GBK" w:hAnsi="方正仿宋_GBK" w:eastAsia="方正仿宋_GBK" w:cs="方正仿宋_GBK"/>
          <w:sz w:val="32"/>
          <w:szCs w:val="32"/>
        </w:rPr>
        <w:t>．对达到进入国家“一套表”联网直报系统标准的限上商贸企业，县商务委对企业申请材料进行初审后交县统计局复审，县统计局复核后上报重庆市统计局，待进入国家“一套表”联网直报系统后，兑现一次性补助政策。</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六、任务分解</w:t>
      </w:r>
    </w:p>
    <w:p>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根据全县限额以上商贸企业三年行动计划发展目标，以及各乡镇（街道）商贸发展基础、现状及条件，将发展任务分解到各乡镇（街道）（附件</w:t>
      </w: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 。</w:t>
      </w:r>
    </w:p>
    <w:p>
      <w:pPr>
        <w:pStyle w:val="9"/>
        <w:widowControl/>
        <w:spacing w:beforeAutospacing="0" w:afterAutospacing="0" w:line="60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七、工作要求</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楷体_GBK" w:hAnsi="方正楷体_GBK" w:eastAsia="方正楷体_GBK" w:cs="方正楷体_GBK"/>
          <w:sz w:val="32"/>
          <w:szCs w:val="32"/>
          <w:shd w:val="clear" w:color="auto" w:fill="FFFFFF"/>
        </w:rPr>
        <w:t>（一）加强领导。</w:t>
      </w:r>
      <w:r>
        <w:rPr>
          <w:rFonts w:hint="eastAsia" w:ascii="方正仿宋_GBK" w:hAnsi="方正仿宋_GBK" w:eastAsia="方正仿宋_GBK" w:cs="方正仿宋_GBK"/>
          <w:sz w:val="32"/>
          <w:szCs w:val="32"/>
        </w:rPr>
        <w:t>成立云阳县培育发展限额以上商贸企业三年行动计划领导小组。县政府分管副县长任组长，县政府办、县财政局、县商务委、县统计局、县市场监管局、县税务局、青龙街道、双江街道、盘龙街道、人和街道为成员单位，领导小组办公室下设在县商务委，县商务委主任兼任办公室主任，其他单位分管领导为成员。</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楷体_GBK" w:hAnsi="方正楷体_GBK" w:eastAsia="方正楷体_GBK" w:cs="方正楷体_GBK"/>
          <w:sz w:val="32"/>
          <w:szCs w:val="32"/>
          <w:shd w:val="clear" w:color="auto" w:fill="FFFFFF"/>
        </w:rPr>
        <w:t>（二）严格考核。</w:t>
      </w:r>
      <w:r>
        <w:rPr>
          <w:rFonts w:hint="eastAsia" w:ascii="方正仿宋_GBK" w:hAnsi="方正仿宋_GBK" w:eastAsia="方正仿宋_GBK" w:cs="方正仿宋_GBK"/>
          <w:sz w:val="32"/>
          <w:szCs w:val="32"/>
        </w:rPr>
        <w:t>限额以上商贸企业发展任务纳入了县对乡镇（街道）的年度经济工作考核内容。</w:t>
      </w:r>
    </w:p>
    <w:p>
      <w:pPr>
        <w:pStyle w:val="9"/>
        <w:widowControl/>
        <w:spacing w:beforeAutospacing="0" w:afterAutospacing="0" w:line="600" w:lineRule="exact"/>
        <w:ind w:firstLine="640" w:firstLineChars="200"/>
        <w:rPr>
          <w:rFonts w:ascii="仿宋" w:hAnsi="仿宋" w:eastAsia="仿宋" w:cs="仿宋"/>
          <w:sz w:val="31"/>
          <w:szCs w:val="31"/>
        </w:rPr>
      </w:pPr>
      <w:r>
        <w:rPr>
          <w:rFonts w:hint="eastAsia" w:ascii="方正楷体_GBK" w:hAnsi="方正楷体_GBK" w:eastAsia="方正楷体_GBK" w:cs="方正楷体_GBK"/>
          <w:sz w:val="32"/>
          <w:szCs w:val="32"/>
          <w:shd w:val="clear" w:color="auto" w:fill="FFFFFF"/>
        </w:rPr>
        <w:t>（三）按时申报。</w:t>
      </w:r>
      <w:r>
        <w:rPr>
          <w:rFonts w:hint="eastAsia" w:ascii="方正仿宋_GBK" w:hAnsi="方正仿宋_GBK" w:eastAsia="方正仿宋_GBK" w:cs="方正仿宋_GBK"/>
          <w:sz w:val="32"/>
          <w:szCs w:val="32"/>
        </w:rPr>
        <w:t>各乡镇（街道）每月</w:t>
      </w:r>
      <w:r>
        <w:rPr>
          <w:rFonts w:hint="eastAsia" w:ascii="Times New Roman" w:hAnsi="Times New Roman" w:eastAsia="方正仿宋_GBK"/>
          <w:sz w:val="32"/>
          <w:szCs w:val="32"/>
        </w:rPr>
        <w:t>20</w:t>
      </w:r>
      <w:r>
        <w:rPr>
          <w:rFonts w:hint="eastAsia" w:ascii="方正仿宋_GBK" w:hAnsi="方正仿宋_GBK" w:eastAsia="方正仿宋_GBK" w:cs="方正仿宋_GBK"/>
          <w:sz w:val="32"/>
          <w:szCs w:val="32"/>
        </w:rPr>
        <w:t>日前将申报材料上报县商务委（联系人：黄健，联系电话：</w:t>
      </w:r>
      <w:r>
        <w:rPr>
          <w:rFonts w:hint="eastAsia" w:ascii="Times New Roman" w:hAnsi="Times New Roman" w:eastAsia="方正仿宋_GBK"/>
          <w:sz w:val="32"/>
          <w:szCs w:val="32"/>
        </w:rPr>
        <w:t>55128372</w:t>
      </w:r>
      <w:r>
        <w:rPr>
          <w:rFonts w:hint="eastAsia" w:ascii="方正仿宋_GBK" w:hAnsi="方正仿宋_GBK" w:eastAsia="方正仿宋_GBK" w:cs="方正仿宋_GBK"/>
          <w:sz w:val="32"/>
          <w:szCs w:val="32"/>
        </w:rPr>
        <w:t>）。县商务委每季度通报一次各乡镇（街道）培育发展情况。</w:t>
      </w:r>
    </w:p>
    <w:p>
      <w:pPr>
        <w:pStyle w:val="9"/>
        <w:widowControl/>
        <w:spacing w:beforeAutospacing="0" w:afterAutospacing="0" w:line="600" w:lineRule="exact"/>
        <w:rPr>
          <w:rFonts w:ascii="仿宋" w:hAnsi="仿宋" w:eastAsia="仿宋" w:cs="仿宋"/>
          <w:sz w:val="31"/>
          <w:szCs w:val="31"/>
        </w:rPr>
      </w:pPr>
    </w:p>
    <w:p>
      <w:pPr>
        <w:pStyle w:val="9"/>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附件： </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云阳县培育重点商贸企业申请表</w:t>
      </w:r>
    </w:p>
    <w:p>
      <w:pPr>
        <w:pStyle w:val="9"/>
        <w:widowControl/>
        <w:spacing w:beforeAutospacing="0" w:afterAutospacing="0" w:line="600" w:lineRule="exact"/>
        <w:ind w:left="1056" w:leftChars="198" w:hanging="640" w:hanging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乡镇（街道）培育限额以上商贸企业三年行动计划目标任务表</w:t>
      </w: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p>
    <w:p>
      <w:pPr>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br w:type="page"/>
      </w:r>
    </w:p>
    <w:p>
      <w:pPr>
        <w:pStyle w:val="9"/>
        <w:widowControl/>
        <w:spacing w:beforeAutospacing="0" w:afterAutospacing="0" w:line="570" w:lineRule="atLeast"/>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附件 1</w:t>
      </w:r>
    </w:p>
    <w:p>
      <w:pPr>
        <w:pStyle w:val="9"/>
        <w:widowControl/>
        <w:spacing w:beforeAutospacing="0" w:afterAutospacing="0" w:line="570" w:lineRule="atLeast"/>
        <w:rPr>
          <w:rFonts w:ascii="仿宋" w:hAnsi="仿宋" w:eastAsia="仿宋" w:cs="仿宋"/>
          <w:sz w:val="32"/>
          <w:szCs w:val="32"/>
        </w:rPr>
      </w:pPr>
    </w:p>
    <w:p>
      <w:pPr>
        <w:pStyle w:val="9"/>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云阳县培育重点商贸企业申请表</w:t>
      </w: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570" w:lineRule="atLeast"/>
        <w:jc w:val="both"/>
        <w:rPr>
          <w:rFonts w:ascii="仿宋" w:hAnsi="仿宋" w:eastAsia="仿宋" w:cs="仿宋"/>
          <w:sz w:val="31"/>
          <w:szCs w:val="31"/>
        </w:rPr>
      </w:pPr>
      <w:r>
        <w:rPr>
          <w:rFonts w:hint="eastAsia" w:ascii="仿宋" w:hAnsi="仿宋" w:eastAsia="仿宋" w:cs="仿宋"/>
          <w:sz w:val="31"/>
          <w:szCs w:val="31"/>
        </w:rPr>
        <w:t>申请单位（公章）:</w:t>
      </w:r>
    </w:p>
    <w:tbl>
      <w:tblPr>
        <w:tblStyle w:val="10"/>
        <w:tblW w:w="9150" w:type="dxa"/>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15" w:type="dxa"/>
          <w:left w:w="15" w:type="dxa"/>
          <w:bottom w:w="15" w:type="dxa"/>
          <w:right w:w="15" w:type="dxa"/>
        </w:tblCellMar>
      </w:tblPr>
      <w:tblGrid>
        <w:gridCol w:w="3405"/>
        <w:gridCol w:w="1620"/>
        <w:gridCol w:w="1650"/>
        <w:gridCol w:w="24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企业名称</w:t>
            </w:r>
          </w:p>
        </w:tc>
        <w:tc>
          <w:tcPr>
            <w:tcW w:w="5745" w:type="dxa"/>
            <w:gridSpan w:val="3"/>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企业地址</w:t>
            </w:r>
          </w:p>
        </w:tc>
        <w:tc>
          <w:tcPr>
            <w:tcW w:w="5745" w:type="dxa"/>
            <w:gridSpan w:val="3"/>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法定代表人（负责人）</w:t>
            </w:r>
          </w:p>
        </w:tc>
        <w:tc>
          <w:tcPr>
            <w:tcW w:w="162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c>
          <w:tcPr>
            <w:tcW w:w="165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联系电话</w:t>
            </w:r>
          </w:p>
        </w:tc>
        <w:tc>
          <w:tcPr>
            <w:tcW w:w="2355"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企业联系人</w:t>
            </w:r>
          </w:p>
        </w:tc>
        <w:tc>
          <w:tcPr>
            <w:tcW w:w="162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c>
          <w:tcPr>
            <w:tcW w:w="165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联系电话</w:t>
            </w:r>
          </w:p>
        </w:tc>
        <w:tc>
          <w:tcPr>
            <w:tcW w:w="2355"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主营业务活动</w:t>
            </w:r>
          </w:p>
        </w:tc>
        <w:tc>
          <w:tcPr>
            <w:tcW w:w="5745" w:type="dxa"/>
            <w:gridSpan w:val="3"/>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成立日期</w:t>
            </w:r>
          </w:p>
        </w:tc>
        <w:tc>
          <w:tcPr>
            <w:tcW w:w="162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c>
          <w:tcPr>
            <w:tcW w:w="165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营业面积</w:t>
            </w:r>
          </w:p>
        </w:tc>
        <w:tc>
          <w:tcPr>
            <w:tcW w:w="2355"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年销售额</w:t>
            </w:r>
          </w:p>
        </w:tc>
        <w:tc>
          <w:tcPr>
            <w:tcW w:w="162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c>
          <w:tcPr>
            <w:tcW w:w="1650"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从业人员数</w:t>
            </w:r>
          </w:p>
        </w:tc>
        <w:tc>
          <w:tcPr>
            <w:tcW w:w="2355" w:type="dxa"/>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乡镇（街道）</w:t>
            </w:r>
          </w:p>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审核意见</w:t>
            </w:r>
          </w:p>
        </w:tc>
        <w:tc>
          <w:tcPr>
            <w:tcW w:w="5745" w:type="dxa"/>
            <w:gridSpan w:val="3"/>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r>
              <w:rPr>
                <w:rFonts w:hint="eastAsia" w:ascii="仿宋" w:hAnsi="仿宋" w:eastAsia="仿宋" w:cs="仿宋"/>
                <w:sz w:val="31"/>
                <w:szCs w:val="31"/>
              </w:rPr>
              <w:t>行业主管部门意见</w:t>
            </w:r>
          </w:p>
        </w:tc>
        <w:tc>
          <w:tcPr>
            <w:tcW w:w="5745" w:type="dxa"/>
            <w:gridSpan w:val="3"/>
            <w:shd w:val="clear" w:color="auto" w:fill="auto"/>
            <w:vAlign w:val="center"/>
          </w:tcPr>
          <w:p>
            <w:pPr>
              <w:pStyle w:val="9"/>
              <w:widowControl/>
              <w:spacing w:beforeAutospacing="0" w:afterAutospacing="0" w:line="570" w:lineRule="atLeast"/>
              <w:jc w:val="center"/>
              <w:rPr>
                <w:rFonts w:ascii="仿宋" w:hAnsi="仿宋" w:eastAsia="仿宋" w:cs="仿宋"/>
                <w:sz w:val="31"/>
                <w:szCs w:val="31"/>
              </w:rPr>
            </w:pPr>
          </w:p>
        </w:tc>
      </w:tr>
    </w:tbl>
    <w:p>
      <w:pPr>
        <w:wordWrap w:val="0"/>
        <w:spacing w:line="600" w:lineRule="exact"/>
        <w:ind w:firstLine="4998" w:firstLineChars="1562"/>
        <w:jc w:val="right"/>
        <w:rPr>
          <w:rFonts w:ascii="黑体" w:hAnsi="黑体" w:eastAsia="黑体" w:cs="黑体"/>
          <w:color w:val="333333"/>
          <w:sz w:val="32"/>
          <w:szCs w:val="32"/>
          <w:shd w:val="clear" w:color="auto" w:fill="FFFFFF"/>
        </w:rPr>
      </w:pPr>
    </w:p>
    <w:p>
      <w:pPr>
        <w:pStyle w:val="9"/>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pStyle w:val="9"/>
        <w:widowControl/>
        <w:spacing w:beforeAutospacing="0" w:afterAutospacing="0" w:line="570" w:lineRule="atLeast"/>
        <w:rPr>
          <w:rFonts w:ascii="仿宋" w:hAnsi="仿宋" w:eastAsia="仿宋" w:cs="仿宋"/>
          <w:sz w:val="31"/>
          <w:szCs w:val="31"/>
        </w:rPr>
      </w:pPr>
      <w:r>
        <w:rPr>
          <w:rFonts w:ascii="黑体" w:hAnsi="宋体" w:eastAsia="黑体" w:cs="黑体"/>
          <w:sz w:val="31"/>
          <w:szCs w:val="31"/>
        </w:rPr>
        <w:t>附件 2</w:t>
      </w:r>
    </w:p>
    <w:p>
      <w:pPr>
        <w:pStyle w:val="9"/>
        <w:widowControl/>
        <w:spacing w:beforeAutospacing="0" w:afterAutospacing="0" w:line="570" w:lineRule="atLeast"/>
        <w:rPr>
          <w:rFonts w:ascii="仿宋" w:hAnsi="仿宋" w:eastAsia="仿宋" w:cs="仿宋"/>
          <w:sz w:val="31"/>
          <w:szCs w:val="31"/>
        </w:rPr>
      </w:pPr>
    </w:p>
    <w:p>
      <w:pPr>
        <w:pStyle w:val="9"/>
        <w:widowControl/>
        <w:spacing w:beforeAutospacing="0" w:afterAutospacing="0" w:line="690" w:lineRule="atLeast"/>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乡镇（街道）培育限额以上商贸企业</w:t>
      </w:r>
    </w:p>
    <w:p>
      <w:pPr>
        <w:pStyle w:val="9"/>
        <w:widowControl/>
        <w:spacing w:beforeAutospacing="0" w:afterAutospacing="0" w:line="690" w:lineRule="atLeast"/>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三年行动计划目标任务表</w:t>
      </w:r>
    </w:p>
    <w:p>
      <w:pPr>
        <w:pStyle w:val="9"/>
        <w:widowControl/>
        <w:spacing w:beforeAutospacing="0" w:afterAutospacing="0" w:line="570" w:lineRule="atLeast"/>
        <w:rPr>
          <w:rFonts w:ascii="仿宋" w:hAnsi="仿宋" w:eastAsia="仿宋" w:cs="仿宋"/>
          <w:sz w:val="31"/>
          <w:szCs w:val="31"/>
        </w:rPr>
      </w:pPr>
    </w:p>
    <w:tbl>
      <w:tblPr>
        <w:tblStyle w:val="10"/>
        <w:tblW w:w="0" w:type="auto"/>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15" w:type="dxa"/>
          <w:left w:w="15" w:type="dxa"/>
          <w:bottom w:w="15" w:type="dxa"/>
          <w:right w:w="15" w:type="dxa"/>
        </w:tblCellMar>
      </w:tblPr>
      <w:tblGrid>
        <w:gridCol w:w="1782"/>
        <w:gridCol w:w="1500"/>
        <w:gridCol w:w="840"/>
        <w:gridCol w:w="840"/>
        <w:gridCol w:w="840"/>
        <w:gridCol w:w="5980"/>
        <w:gridCol w:w="2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3282" w:type="dxa"/>
            <w:gridSpan w:val="2"/>
            <w:vMerge w:val="restart"/>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乡镇（街道）</w:t>
            </w:r>
          </w:p>
          <w:p>
            <w:pPr>
              <w:pStyle w:val="9"/>
              <w:widowControl/>
              <w:spacing w:beforeAutospacing="0" w:afterAutospacing="0"/>
              <w:jc w:val="center"/>
              <w:rPr>
                <w:rFonts w:ascii="仿宋" w:hAnsi="仿宋" w:eastAsia="仿宋" w:cs="仿宋"/>
              </w:rPr>
            </w:pPr>
          </w:p>
        </w:tc>
        <w:tc>
          <w:tcPr>
            <w:tcW w:w="2520" w:type="dxa"/>
            <w:gridSpan w:val="3"/>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重点商贸企业</w:t>
            </w:r>
          </w:p>
        </w:tc>
        <w:tc>
          <w:tcPr>
            <w:tcW w:w="6220" w:type="dxa"/>
            <w:gridSpan w:val="2"/>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新进入国家 “一套表”联网直报系统指导总目标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82" w:type="dxa"/>
            <w:gridSpan w:val="2"/>
            <w:vMerge w:val="continue"/>
            <w:shd w:val="clear" w:color="auto" w:fill="auto"/>
            <w:vAlign w:val="center"/>
          </w:tcPr>
          <w:p>
            <w:pPr>
              <w:rPr>
                <w:rFonts w:ascii="宋体"/>
                <w:szCs w:val="21"/>
              </w:rPr>
            </w:pP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2019年</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2020年</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2021年</w:t>
            </w:r>
          </w:p>
        </w:tc>
        <w:tc>
          <w:tcPr>
            <w:tcW w:w="5980" w:type="dxa"/>
            <w:tcBorders>
              <w:left w:val="nil"/>
            </w:tcBorders>
            <w:shd w:val="clear" w:color="auto" w:fill="auto"/>
            <w:vAlign w:val="center"/>
          </w:tcPr>
          <w:p>
            <w:pPr>
              <w:rPr>
                <w:rFonts w:ascii="宋体"/>
                <w:szCs w:val="21"/>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82" w:type="dxa"/>
            <w:gridSpan w:val="2"/>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总目标任务数</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120</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120</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120</w:t>
            </w:r>
          </w:p>
        </w:tc>
        <w:tc>
          <w:tcPr>
            <w:tcW w:w="6220" w:type="dxa"/>
            <w:gridSpan w:val="2"/>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105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restart"/>
            <w:shd w:val="clear" w:color="auto" w:fill="auto"/>
            <w:vAlign w:val="center"/>
          </w:tcPr>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both"/>
              <w:rPr>
                <w:rFonts w:ascii="仿宋" w:hAnsi="仿宋" w:eastAsia="仿宋" w:cs="仿宋"/>
              </w:rPr>
            </w:pPr>
          </w:p>
          <w:p>
            <w:pPr>
              <w:pStyle w:val="9"/>
              <w:widowControl/>
              <w:spacing w:beforeAutospacing="0" w:afterAutospacing="0"/>
              <w:jc w:val="center"/>
              <w:rPr>
                <w:rFonts w:ascii="仿宋" w:hAnsi="仿宋" w:eastAsia="仿宋" w:cs="仿宋"/>
              </w:rPr>
            </w:pPr>
            <w:r>
              <w:rPr>
                <w:rFonts w:hint="eastAsia" w:ascii="仿宋" w:hAnsi="仿宋" w:eastAsia="仿宋" w:cs="仿宋"/>
              </w:rPr>
              <w:t>一类乡镇</w:t>
            </w: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青龙街道</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25</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25</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25</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20</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双江街道</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30</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30</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30</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23</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盘龙街道</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6</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6</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6</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5</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人和街道</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4</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4</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4</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4</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江口镇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6</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南溪镇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5</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凤鸣镇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4</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高阳镇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3</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平安镇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红狮镇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故陵镇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龙角镇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沙市镇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栖霞镇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restart"/>
            <w:shd w:val="clear" w:color="auto" w:fill="auto"/>
            <w:vAlign w:val="center"/>
          </w:tcPr>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p>
          <w:p>
            <w:pPr>
              <w:pStyle w:val="9"/>
              <w:widowControl/>
              <w:spacing w:beforeAutospacing="0" w:afterAutospacing="0"/>
              <w:jc w:val="center"/>
              <w:rPr>
                <w:rFonts w:ascii="仿宋" w:hAnsi="仿宋" w:eastAsia="仿宋" w:cs="仿宋"/>
              </w:rPr>
            </w:pPr>
            <w:r>
              <w:rPr>
                <w:rFonts w:hint="eastAsia" w:ascii="仿宋" w:hAnsi="仿宋" w:eastAsia="仿宋" w:cs="仿宋"/>
              </w:rPr>
              <w:t>二类乡镇</w:t>
            </w: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黄石镇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巴阳镇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渠马镇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双土镇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路阳镇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鱼泉镇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宝坪镇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农坝镇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桑坪镇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云阳镇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云安镇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双龙镇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清水土家族乡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水口镇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2</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restart"/>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三类乡镇</w:t>
            </w: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蔈草镇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泥溪镇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养鹿镇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后叶镇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龙洞镇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72" w:hRule="atLeast"/>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堰坪镇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大阳镇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耀灵镇</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洞鹿乡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上坝乡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新津乡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普安乡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石门乡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blCellSpacing w:w="0" w:type="dxa"/>
          <w:jc w:val="center"/>
        </w:trPr>
        <w:tc>
          <w:tcPr>
            <w:tcW w:w="1782" w:type="dxa"/>
            <w:vMerge w:val="continue"/>
            <w:shd w:val="clear" w:color="auto" w:fill="auto"/>
            <w:vAlign w:val="center"/>
          </w:tcPr>
          <w:p>
            <w:pPr>
              <w:rPr>
                <w:rFonts w:ascii="宋体"/>
                <w:szCs w:val="21"/>
              </w:rPr>
            </w:pPr>
          </w:p>
        </w:tc>
        <w:tc>
          <w:tcPr>
            <w:tcW w:w="150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外郎乡</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840" w:type="dxa"/>
            <w:shd w:val="clear" w:color="auto" w:fill="auto"/>
            <w:vAlign w:val="center"/>
          </w:tcPr>
          <w:p>
            <w:pPr>
              <w:pStyle w:val="9"/>
              <w:widowControl/>
              <w:spacing w:beforeAutospacing="0" w:afterAutospacing="0"/>
              <w:jc w:val="center"/>
              <w:rPr>
                <w:rFonts w:ascii="仿宋" w:hAnsi="仿宋" w:eastAsia="仿宋" w:cs="仿宋"/>
              </w:rPr>
            </w:pPr>
            <w:r>
              <w:rPr>
                <w:rFonts w:hint="eastAsia" w:ascii="仿宋" w:hAnsi="仿宋" w:eastAsia="仿宋" w:cs="仿宋"/>
              </w:rPr>
              <w:t>1</w:t>
            </w:r>
          </w:p>
        </w:tc>
        <w:tc>
          <w:tcPr>
            <w:tcW w:w="5980" w:type="dxa"/>
            <w:shd w:val="clear" w:color="auto" w:fill="auto"/>
            <w:vAlign w:val="center"/>
          </w:tcPr>
          <w:p>
            <w:pPr>
              <w:pStyle w:val="9"/>
              <w:widowControl/>
              <w:spacing w:beforeAutospacing="0" w:afterAutospacing="0"/>
              <w:jc w:val="center"/>
              <w:rPr>
                <w:rFonts w:ascii="仿宋" w:hAnsi="仿宋" w:eastAsia="仿宋" w:cs="仿宋"/>
              </w:rPr>
            </w:pPr>
          </w:p>
        </w:tc>
        <w:tc>
          <w:tcPr>
            <w:tcW w:w="240" w:type="dxa"/>
            <w:tcBorders>
              <w:left w:val="nil"/>
            </w:tcBorders>
            <w:shd w:val="clear" w:color="auto" w:fill="auto"/>
            <w:vAlign w:val="center"/>
          </w:tcPr>
          <w:p>
            <w:pPr>
              <w:rPr>
                <w:rFonts w:ascii="宋体"/>
                <w:szCs w:val="21"/>
              </w:rPr>
            </w:pPr>
          </w:p>
        </w:tc>
      </w:tr>
    </w:tbl>
    <w:p>
      <w:pPr>
        <w:pStyle w:val="9"/>
        <w:widowControl/>
        <w:shd w:val="clear" w:color="auto" w:fill="FFFFFF"/>
        <w:spacing w:beforeAutospacing="0" w:afterAutospacing="0"/>
        <w:ind w:firstLine="620" w:firstLineChars="20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84D909-D31E-44F9-91FB-F23B031DA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2" w:fontKey="{0A650259-1F8D-4B8C-99C7-3557AEA6409A}"/>
  </w:font>
  <w:font w:name="方正仿宋_GBK">
    <w:panose1 w:val="02000000000000000000"/>
    <w:charset w:val="86"/>
    <w:family w:val="script"/>
    <w:pitch w:val="default"/>
    <w:sig w:usb0="A00002BF" w:usb1="38CF7CFA" w:usb2="00082016" w:usb3="00000000" w:csb0="00040001" w:csb1="00000000"/>
    <w:embedRegular r:id="rId3" w:fontKey="{F6A9E60C-8BC3-42CF-9573-ADCA2FA429E1}"/>
  </w:font>
  <w:font w:name="仿宋">
    <w:panose1 w:val="02010609060101010101"/>
    <w:charset w:val="86"/>
    <w:family w:val="modern"/>
    <w:pitch w:val="default"/>
    <w:sig w:usb0="800002BF" w:usb1="38CF7CFA" w:usb2="00000016" w:usb3="00000000" w:csb0="00040001" w:csb1="00000000"/>
    <w:embedRegular r:id="rId4" w:fontKey="{C2469CC9-2C4F-4F39-8325-EBE3E86344B9}"/>
  </w:font>
  <w:font w:name="方正黑体_GBK">
    <w:panose1 w:val="03000509000000000000"/>
    <w:charset w:val="86"/>
    <w:family w:val="script"/>
    <w:pitch w:val="default"/>
    <w:sig w:usb0="00000001" w:usb1="080E0000" w:usb2="00000000" w:usb3="00000000" w:csb0="00040000" w:csb1="00000000"/>
    <w:embedRegular r:id="rId5" w:fontKey="{9C3DBA2E-46A9-4FC0-A89B-C8D275D8F10D}"/>
  </w:font>
  <w:font w:name="方正楷体_GBK">
    <w:panose1 w:val="03000509000000000000"/>
    <w:charset w:val="86"/>
    <w:family w:val="script"/>
    <w:pitch w:val="default"/>
    <w:sig w:usb0="00000001" w:usb1="080E0000" w:usb2="00000000" w:usb3="00000000" w:csb0="00040000" w:csb1="00000000"/>
    <w:embedRegular r:id="rId6" w:fontKey="{6AB7242C-BACA-4D0A-9561-855AEA36C0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w:pict>
        <v:line id="_x0000_s1031" o:spid="_x0000_s1031" o:spt="20" style="position:absolute;left:0pt;margin-left:0pt;margin-top:17.4pt;height:0.15pt;width:442.25pt;z-index:251660288;mso-width-relative:page;mso-height-relative:page;"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云阳县人民政府办公室发布 </w:t>
    </w:r>
  </w:p>
  <w:p>
    <w:pPr>
      <w:pStyle w:val="8"/>
      <w:wordWrap w:val="0"/>
      <w:ind w:left="4788" w:leftChars="2280" w:firstLine="5622" w:firstLineChars="2000"/>
      <w:jc w:val="center"/>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646.65pt;z-index:251662336;mso-width-relative:page;mso-height-relative:page;"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8"/>
      <w:ind w:left="2732" w:leftChars="1301" w:firstLine="6299" w:firstLineChars="2241"/>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云阳县人民政府办公室发布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0pt;width:648.5pt;z-index:251664384;mso-width-relative:page;mso-height-relative:page;"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xYzhlMWE4OTA3OThhNDc5MWE1ZDQzYjgyZmUwZGEifQ=="/>
  </w:docVars>
  <w:rsids>
    <w:rsidRoot w:val="00172A27"/>
    <w:rsid w:val="000D5D41"/>
    <w:rsid w:val="000E130D"/>
    <w:rsid w:val="00172A27"/>
    <w:rsid w:val="0081475E"/>
    <w:rsid w:val="019E71BD"/>
    <w:rsid w:val="049A1735"/>
    <w:rsid w:val="04B679C3"/>
    <w:rsid w:val="05F07036"/>
    <w:rsid w:val="06E00104"/>
    <w:rsid w:val="080F63D8"/>
    <w:rsid w:val="09341458"/>
    <w:rsid w:val="096F070E"/>
    <w:rsid w:val="098254C2"/>
    <w:rsid w:val="0A766EDE"/>
    <w:rsid w:val="0AD64BE8"/>
    <w:rsid w:val="0B0912D7"/>
    <w:rsid w:val="0BE23A13"/>
    <w:rsid w:val="0E025194"/>
    <w:rsid w:val="1357175D"/>
    <w:rsid w:val="152D2DCA"/>
    <w:rsid w:val="15EE2139"/>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3431C6"/>
    <w:rsid w:val="417B75E9"/>
    <w:rsid w:val="42F058B7"/>
    <w:rsid w:val="436109F6"/>
    <w:rsid w:val="441A38D4"/>
    <w:rsid w:val="4504239D"/>
    <w:rsid w:val="468102D8"/>
    <w:rsid w:val="4BC77339"/>
    <w:rsid w:val="4C9236C5"/>
    <w:rsid w:val="4E250A85"/>
    <w:rsid w:val="4FFD4925"/>
    <w:rsid w:val="505C172E"/>
    <w:rsid w:val="506405EA"/>
    <w:rsid w:val="50734513"/>
    <w:rsid w:val="52F46F0B"/>
    <w:rsid w:val="532B6A10"/>
    <w:rsid w:val="53D8014D"/>
    <w:rsid w:val="55E064E0"/>
    <w:rsid w:val="572C6D10"/>
    <w:rsid w:val="58412511"/>
    <w:rsid w:val="5B1A6154"/>
    <w:rsid w:val="5DC34279"/>
    <w:rsid w:val="5FCD688E"/>
    <w:rsid w:val="5FF9BDAA"/>
    <w:rsid w:val="608816D1"/>
    <w:rsid w:val="60EF4E7F"/>
    <w:rsid w:val="648B0A32"/>
    <w:rsid w:val="649753A5"/>
    <w:rsid w:val="665233C1"/>
    <w:rsid w:val="67E715CC"/>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2632</Words>
  <Characters>2746</Characters>
  <Lines>23</Lines>
  <Paragraphs>6</Paragraphs>
  <TotalTime>15</TotalTime>
  <ScaleCrop>false</ScaleCrop>
  <LinksUpToDate>false</LinksUpToDate>
  <CharactersWithSpaces>2797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文档存本地丢失不负责</cp:lastModifiedBy>
  <cp:lastPrinted>2022-05-11T16:46:00Z</cp:lastPrinted>
  <dcterms:modified xsi:type="dcterms:W3CDTF">2022-06-14T01:08:10Z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