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rPr>
          <w:rFonts w:ascii="Times New Roman" w:hAnsi="Times New Roman" w:eastAsia="方正黑体_GBK"/>
          <w:b w:val="0"/>
          <w:bCs/>
          <w:kern w:val="2"/>
          <w:sz w:val="32"/>
          <w:szCs w:val="32"/>
        </w:rPr>
      </w:pPr>
      <w:r>
        <w:rPr>
          <w:rFonts w:ascii="Times New Roman" w:hAnsi="Times New Roman" w:eastAsia="方正黑体_GBK"/>
          <w:b w:val="0"/>
          <w:bCs/>
          <w:kern w:val="2"/>
          <w:sz w:val="32"/>
          <w:szCs w:val="32"/>
        </w:rPr>
        <w:t>附件</w:t>
      </w:r>
      <w:r>
        <w:rPr>
          <w:rFonts w:hint="eastAsia" w:ascii="Times New Roman" w:hAnsi="Times New Roman" w:eastAsia="方正黑体_GBK"/>
          <w:b w:val="0"/>
          <w:bCs/>
          <w:kern w:val="2"/>
          <w:sz w:val="32"/>
          <w:szCs w:val="32"/>
        </w:rPr>
        <w:t>11</w:t>
      </w:r>
    </w:p>
    <w:p>
      <w:pPr>
        <w:spacing w:line="600" w:lineRule="exact"/>
        <w:jc w:val="center"/>
        <w:rPr>
          <w:rFonts w:eastAsia="方正小标宋_GBK"/>
          <w:sz w:val="44"/>
          <w:szCs w:val="44"/>
        </w:rPr>
      </w:pPr>
      <w:r>
        <w:rPr>
          <w:rFonts w:hint="eastAsia" w:eastAsia="方正小标宋_GBK"/>
          <w:sz w:val="44"/>
          <w:szCs w:val="44"/>
        </w:rPr>
        <w:t>云阳县</w:t>
      </w:r>
      <w:r>
        <w:rPr>
          <w:rFonts w:eastAsia="方正小标宋_GBK"/>
          <w:sz w:val="44"/>
          <w:szCs w:val="44"/>
        </w:rPr>
        <w:t>生态环境保护督察反馈交办问题</w:t>
      </w:r>
    </w:p>
    <w:p>
      <w:pPr>
        <w:spacing w:line="600" w:lineRule="exact"/>
        <w:jc w:val="center"/>
        <w:rPr>
          <w:rFonts w:eastAsia="方正小标宋_GBK"/>
          <w:sz w:val="44"/>
          <w:szCs w:val="44"/>
        </w:rPr>
      </w:pPr>
      <w:r>
        <w:rPr>
          <w:rFonts w:eastAsia="方正小标宋_GBK"/>
          <w:sz w:val="44"/>
          <w:szCs w:val="44"/>
        </w:rPr>
        <w:t>整改销号情况公示表</w:t>
      </w:r>
    </w:p>
    <w:p>
      <w:pPr>
        <w:pStyle w:val="2"/>
        <w:spacing w:before="0" w:after="0" w:line="600" w:lineRule="exact"/>
        <w:jc w:val="center"/>
        <w:rPr>
          <w:rFonts w:ascii="Times New Roman" w:hAnsi="Times New Roman"/>
        </w:rPr>
      </w:pPr>
      <w:r>
        <w:rPr>
          <w:rFonts w:ascii="Times New Roman" w:hAnsi="Times New Roman" w:eastAsia="方正仿宋_GBK"/>
          <w:b w:val="0"/>
          <w:bCs/>
          <w:sz w:val="28"/>
          <w:szCs w:val="28"/>
        </w:rPr>
        <w:t>（</w:t>
      </w:r>
      <w:r>
        <w:rPr>
          <w:rFonts w:hint="eastAsia" w:ascii="Times New Roman" w:hAnsi="Times New Roman" w:eastAsia="方正仿宋_GBK"/>
          <w:b w:val="0"/>
          <w:bCs/>
          <w:sz w:val="28"/>
          <w:szCs w:val="28"/>
        </w:rPr>
        <w:t>市</w:t>
      </w:r>
      <w:r>
        <w:rPr>
          <w:rFonts w:ascii="Times New Roman" w:hAnsi="Times New Roman" w:eastAsia="方正仿宋_GBK"/>
          <w:b w:val="0"/>
          <w:bCs/>
          <w:sz w:val="28"/>
          <w:szCs w:val="28"/>
        </w:rPr>
        <w:t>级整改任务模板）</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2009" w:type="dxa"/>
            <w:vAlign w:val="center"/>
          </w:tcPr>
          <w:p>
            <w:pPr>
              <w:snapToGrid w:val="0"/>
              <w:jc w:val="center"/>
              <w:rPr>
                <w:kern w:val="0"/>
              </w:rPr>
            </w:pPr>
            <w:r>
              <w:rPr>
                <w:rFonts w:eastAsia="方正黑体_GBK"/>
                <w:kern w:val="0"/>
                <w:sz w:val="24"/>
              </w:rPr>
              <w:t>整改任务概述</w:t>
            </w:r>
          </w:p>
        </w:tc>
        <w:tc>
          <w:tcPr>
            <w:tcW w:w="7051" w:type="dxa"/>
          </w:tcPr>
          <w:p>
            <w:pPr>
              <w:pStyle w:val="2"/>
              <w:keepNext/>
              <w:keepLines/>
              <w:pageBreakBefore w:val="0"/>
              <w:widowControl w:val="0"/>
              <w:kinsoku/>
              <w:wordWrap/>
              <w:overflowPunct/>
              <w:topLinePunct w:val="0"/>
              <w:autoSpaceDE/>
              <w:autoSpaceDN/>
              <w:bidi w:val="0"/>
              <w:adjustRightInd/>
              <w:snapToGrid/>
              <w:spacing w:before="0" w:after="0" w:line="460" w:lineRule="exact"/>
              <w:ind w:left="0" w:leftChars="0" w:right="0" w:rightChars="0" w:firstLine="480" w:firstLineChars="200"/>
              <w:jc w:val="both"/>
              <w:textAlignment w:val="auto"/>
              <w:outlineLvl w:val="0"/>
              <w:rPr>
                <w:rFonts w:ascii="Times New Roman" w:hAnsi="Times New Roman"/>
              </w:rPr>
            </w:pPr>
            <w:r>
              <w:rPr>
                <w:rFonts w:hint="eastAsia" w:eastAsia="方正楷体_GBK"/>
                <w:b w:val="0"/>
                <w:bCs/>
                <w:kern w:val="0"/>
                <w:sz w:val="24"/>
                <w:lang w:val="en-US" w:eastAsia="zh-CN"/>
              </w:rPr>
              <w:t>区县对水土保持方案未编制、措施未落实等违法违规行为的执法力度不够，目前仍以劝戒整改为主。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2009" w:type="dxa"/>
            <w:vAlign w:val="center"/>
          </w:tcPr>
          <w:p>
            <w:pPr>
              <w:snapToGrid w:val="0"/>
              <w:jc w:val="center"/>
              <w:rPr>
                <w:kern w:val="0"/>
              </w:rPr>
            </w:pPr>
            <w:r>
              <w:rPr>
                <w:rFonts w:eastAsia="方正黑体_GBK"/>
                <w:kern w:val="0"/>
                <w:sz w:val="24"/>
              </w:rPr>
              <w:t>整改责任单位</w:t>
            </w:r>
          </w:p>
        </w:tc>
        <w:tc>
          <w:tcPr>
            <w:tcW w:w="7051" w:type="dxa"/>
            <w:vAlign w:val="center"/>
          </w:tcPr>
          <w:p>
            <w:pPr>
              <w:pStyle w:val="2"/>
              <w:spacing w:before="0" w:after="0" w:line="600" w:lineRule="exact"/>
              <w:ind w:firstLine="480" w:firstLineChars="200"/>
              <w:outlineLvl w:val="0"/>
              <w:rPr>
                <w:rFonts w:hint="eastAsia" w:ascii="Times New Roman" w:hAnsi="Times New Roman" w:eastAsia="仿宋_GB2312"/>
                <w:lang w:eastAsia="zh-CN"/>
              </w:rPr>
            </w:pPr>
            <w:r>
              <w:rPr>
                <w:rFonts w:hint="eastAsia" w:eastAsia="方正楷体_GBK"/>
                <w:b w:val="0"/>
                <w:bCs/>
                <w:kern w:val="0"/>
                <w:sz w:val="24"/>
                <w:lang w:val="en-US" w:eastAsia="zh-CN"/>
              </w:rPr>
              <w:t>云阳县水利局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2009" w:type="dxa"/>
            <w:vAlign w:val="center"/>
          </w:tcPr>
          <w:p>
            <w:pPr>
              <w:snapToGrid w:val="0"/>
              <w:jc w:val="center"/>
              <w:rPr>
                <w:kern w:val="0"/>
              </w:rPr>
            </w:pPr>
            <w:r>
              <w:rPr>
                <w:rFonts w:eastAsia="方正黑体_GBK"/>
                <w:kern w:val="0"/>
                <w:sz w:val="24"/>
              </w:rPr>
              <w:t>整改目标</w:t>
            </w:r>
          </w:p>
        </w:tc>
        <w:tc>
          <w:tcPr>
            <w:tcW w:w="7051" w:type="dxa"/>
            <w:vAlign w:val="center"/>
          </w:tcPr>
          <w:p>
            <w:pPr>
              <w:pStyle w:val="2"/>
              <w:spacing w:before="0" w:after="0" w:line="600" w:lineRule="exact"/>
              <w:ind w:firstLine="480" w:firstLineChars="200"/>
              <w:outlineLvl w:val="0"/>
              <w:rPr>
                <w:rFonts w:ascii="Times New Roman" w:hAnsi="Times New Roman"/>
              </w:rPr>
            </w:pPr>
            <w:r>
              <w:rPr>
                <w:rFonts w:hint="eastAsia" w:ascii="方正楷体_GBK" w:hAnsi="方正楷体_GBK" w:eastAsia="方正楷体_GBK" w:cs="方正楷体_GBK"/>
                <w:b w:val="0"/>
                <w:bCs/>
                <w:color w:val="auto"/>
                <w:kern w:val="0"/>
                <w:sz w:val="24"/>
                <w:szCs w:val="24"/>
                <w:lang w:val="en-US" w:eastAsia="zh-CN"/>
              </w:rPr>
              <w:t>立行立改，长期坚持。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0" w:hRule="atLeast"/>
        </w:trPr>
        <w:tc>
          <w:tcPr>
            <w:tcW w:w="2009" w:type="dxa"/>
            <w:vAlign w:val="center"/>
          </w:tcPr>
          <w:p>
            <w:pPr>
              <w:snapToGrid w:val="0"/>
              <w:jc w:val="center"/>
              <w:rPr>
                <w:kern w:val="0"/>
              </w:rPr>
            </w:pPr>
            <w:r>
              <w:rPr>
                <w:rFonts w:eastAsia="方正黑体_GBK"/>
                <w:kern w:val="0"/>
                <w:sz w:val="24"/>
              </w:rPr>
              <w:t>整改措施及成效</w:t>
            </w:r>
          </w:p>
        </w:tc>
        <w:tc>
          <w:tcPr>
            <w:tcW w:w="7051" w:type="dxa"/>
          </w:tcPr>
          <w:p>
            <w:pPr>
              <w:pStyle w:val="2"/>
              <w:keepNext/>
              <w:keepLines/>
              <w:pageBreakBefore w:val="0"/>
              <w:widowControl w:val="0"/>
              <w:kinsoku/>
              <w:wordWrap/>
              <w:overflowPunct/>
              <w:topLinePunct w:val="0"/>
              <w:autoSpaceDE/>
              <w:autoSpaceDN/>
              <w:bidi w:val="0"/>
              <w:adjustRightInd/>
              <w:snapToGrid/>
              <w:spacing w:before="0" w:after="0" w:line="460" w:lineRule="exact"/>
              <w:ind w:left="0" w:leftChars="0" w:right="0" w:rightChars="0" w:firstLine="480" w:firstLineChars="200"/>
              <w:jc w:val="left"/>
              <w:textAlignment w:val="auto"/>
              <w:outlineLvl w:val="0"/>
              <w:rPr>
                <w:rFonts w:hint="eastAsia" w:ascii="方正楷体_GBK" w:hAnsi="方正楷体_GBK" w:eastAsia="方正楷体_GBK" w:cs="方正楷体_GBK"/>
                <w:b w:val="0"/>
                <w:bCs/>
                <w:i w:val="0"/>
                <w:color w:val="auto"/>
                <w:kern w:val="0"/>
                <w:sz w:val="24"/>
                <w:szCs w:val="24"/>
                <w:u w:val="none"/>
                <w:lang w:val="en-US" w:eastAsia="zh-CN" w:bidi="ar"/>
              </w:rPr>
            </w:pPr>
            <w:r>
              <w:rPr>
                <w:rFonts w:hint="eastAsia" w:ascii="方正楷体_GBK" w:hAnsi="方正楷体_GBK" w:eastAsia="方正楷体_GBK" w:cs="方正楷体_GBK"/>
                <w:b w:val="0"/>
                <w:bCs/>
                <w:i w:val="0"/>
                <w:color w:val="auto"/>
                <w:kern w:val="0"/>
                <w:sz w:val="24"/>
                <w:szCs w:val="24"/>
                <w:u w:val="none"/>
                <w:lang w:val="en-US" w:eastAsia="zh-CN" w:bidi="ar"/>
              </w:rPr>
              <w:t>印发了《云阳县水土保持委员会办公室关于加强生产建设项目水土保持全流程监管工作的通知》（云水保办〔2022〕3号），开展了2022年生产建设项目水土保持监督检查，加大排查力度，查处水土保持方案未编制、措施未落实等违法违规问题。</w:t>
            </w:r>
          </w:p>
          <w:p>
            <w:pPr>
              <w:pStyle w:val="2"/>
              <w:keepNext/>
              <w:keepLines/>
              <w:pageBreakBefore w:val="0"/>
              <w:widowControl w:val="0"/>
              <w:kinsoku/>
              <w:wordWrap/>
              <w:overflowPunct/>
              <w:topLinePunct w:val="0"/>
              <w:autoSpaceDE/>
              <w:autoSpaceDN/>
              <w:bidi w:val="0"/>
              <w:adjustRightInd/>
              <w:snapToGrid/>
              <w:spacing w:before="0" w:after="0" w:line="460" w:lineRule="exact"/>
              <w:ind w:left="0" w:leftChars="0" w:right="0" w:rightChars="0" w:firstLine="480" w:firstLineChars="200"/>
              <w:jc w:val="both"/>
              <w:textAlignment w:val="auto"/>
              <w:outlineLvl w:val="0"/>
              <w:rPr>
                <w:rFonts w:ascii="Times New Roman" w:hAnsi="Times New Roman"/>
              </w:rPr>
            </w:pPr>
            <w:r>
              <w:rPr>
                <w:rFonts w:hint="eastAsia" w:ascii="方正楷体_GBK" w:hAnsi="方正楷体_GBK" w:eastAsia="方正楷体_GBK" w:cs="方正楷体_GBK"/>
                <w:b w:val="0"/>
                <w:bCs/>
                <w:i w:val="0"/>
                <w:color w:val="auto"/>
                <w:kern w:val="0"/>
                <w:sz w:val="24"/>
                <w:szCs w:val="24"/>
                <w:u w:val="none"/>
                <w:lang w:val="en-US" w:eastAsia="zh-CN" w:bidi="ar"/>
              </w:rPr>
              <w:t>全面推进水土保持信用监管，依托市公共信用信息平台建立监管对象信用档案，建立完善水土保持行业信用评价标准，依法依规开展失信惩戒，促进生产建设项目水土保持市场主体依法履行水土流失防治义务的自觉性。对水土保持方案未编制、措施未落实造成重大水土流失等违法违规行为的生产建设项目作出了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2009" w:type="dxa"/>
            <w:vAlign w:val="center"/>
          </w:tcPr>
          <w:p>
            <w:pPr>
              <w:snapToGrid w:val="0"/>
              <w:jc w:val="center"/>
              <w:rPr>
                <w:kern w:val="0"/>
              </w:rPr>
            </w:pPr>
            <w:r>
              <w:rPr>
                <w:rFonts w:eastAsia="方正黑体_GBK"/>
                <w:kern w:val="0"/>
                <w:sz w:val="24"/>
              </w:rPr>
              <w:t>整改时间</w:t>
            </w:r>
          </w:p>
        </w:tc>
        <w:tc>
          <w:tcPr>
            <w:tcW w:w="7051" w:type="dxa"/>
            <w:vAlign w:val="center"/>
          </w:tcPr>
          <w:p>
            <w:pPr>
              <w:pStyle w:val="2"/>
              <w:spacing w:before="0" w:after="0" w:line="600" w:lineRule="exact"/>
              <w:jc w:val="center"/>
              <w:outlineLvl w:val="0"/>
              <w:rPr>
                <w:rFonts w:ascii="Times New Roman" w:hAnsi="Times New Roman"/>
              </w:rPr>
            </w:pPr>
            <w:r>
              <w:rPr>
                <w:rFonts w:hint="eastAsia" w:ascii="方正楷体_GBK" w:hAnsi="方正楷体_GBK" w:eastAsia="方正楷体_GBK" w:cs="方正楷体_GBK"/>
                <w:b w:val="0"/>
                <w:bCs/>
                <w:color w:val="auto"/>
                <w:kern w:val="0"/>
                <w:sz w:val="24"/>
                <w:szCs w:val="24"/>
                <w:lang w:val="en-US" w:eastAsia="zh-CN"/>
              </w:rPr>
              <w:t>2021</w:t>
            </w:r>
            <w:r>
              <w:rPr>
                <w:rFonts w:hint="eastAsia" w:ascii="方正楷体_GBK" w:hAnsi="方正楷体_GBK" w:eastAsia="方正楷体_GBK" w:cs="方正楷体_GBK"/>
                <w:b w:val="0"/>
                <w:bCs/>
                <w:color w:val="auto"/>
                <w:kern w:val="0"/>
                <w:sz w:val="24"/>
                <w:szCs w:val="24"/>
              </w:rPr>
              <w:t>年</w:t>
            </w:r>
            <w:r>
              <w:rPr>
                <w:rFonts w:hint="eastAsia" w:ascii="方正楷体_GBK" w:hAnsi="方正楷体_GBK" w:eastAsia="方正楷体_GBK" w:cs="方正楷体_GBK"/>
                <w:b w:val="0"/>
                <w:bCs/>
                <w:color w:val="auto"/>
                <w:kern w:val="0"/>
                <w:sz w:val="24"/>
                <w:szCs w:val="24"/>
                <w:lang w:val="en-US" w:eastAsia="zh-CN"/>
              </w:rPr>
              <w:t>7</w:t>
            </w:r>
            <w:bookmarkStart w:id="0" w:name="_GoBack"/>
            <w:bookmarkEnd w:id="0"/>
            <w:r>
              <w:rPr>
                <w:rFonts w:hint="eastAsia" w:ascii="方正楷体_GBK" w:hAnsi="方正楷体_GBK" w:eastAsia="方正楷体_GBK" w:cs="方正楷体_GBK"/>
                <w:b w:val="0"/>
                <w:bCs/>
                <w:color w:val="auto"/>
                <w:kern w:val="0"/>
                <w:sz w:val="24"/>
                <w:szCs w:val="24"/>
              </w:rPr>
              <w:t>月至</w:t>
            </w:r>
            <w:r>
              <w:rPr>
                <w:rFonts w:hint="eastAsia" w:ascii="方正楷体_GBK" w:hAnsi="方正楷体_GBK" w:eastAsia="方正楷体_GBK" w:cs="方正楷体_GBK"/>
                <w:b w:val="0"/>
                <w:bCs/>
                <w:color w:val="auto"/>
                <w:kern w:val="0"/>
                <w:sz w:val="24"/>
                <w:szCs w:val="24"/>
                <w:lang w:val="en-US" w:eastAsia="zh-CN"/>
              </w:rPr>
              <w:t>2022</w:t>
            </w:r>
            <w:r>
              <w:rPr>
                <w:rFonts w:hint="eastAsia" w:ascii="方正楷体_GBK" w:hAnsi="方正楷体_GBK" w:eastAsia="方正楷体_GBK" w:cs="方正楷体_GBK"/>
                <w:b w:val="0"/>
                <w:bCs/>
                <w:color w:val="auto"/>
                <w:kern w:val="0"/>
                <w:sz w:val="24"/>
                <w:szCs w:val="24"/>
              </w:rPr>
              <w:t>年</w:t>
            </w:r>
            <w:r>
              <w:rPr>
                <w:rFonts w:hint="eastAsia" w:ascii="方正楷体_GBK" w:hAnsi="方正楷体_GBK" w:eastAsia="方正楷体_GBK" w:cs="方正楷体_GBK"/>
                <w:b w:val="0"/>
                <w:bCs/>
                <w:color w:val="auto"/>
                <w:kern w:val="0"/>
                <w:sz w:val="24"/>
                <w:szCs w:val="24"/>
                <w:lang w:val="en-US" w:eastAsia="zh-CN"/>
              </w:rPr>
              <w:t>6</w:t>
            </w:r>
            <w:r>
              <w:rPr>
                <w:rFonts w:hint="eastAsia" w:ascii="方正楷体_GBK" w:hAnsi="方正楷体_GBK" w:eastAsia="方正楷体_GBK" w:cs="方正楷体_GBK"/>
                <w:b w:val="0"/>
                <w:bCs/>
                <w:color w:val="auto"/>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trPr>
        <w:tc>
          <w:tcPr>
            <w:tcW w:w="2009" w:type="dxa"/>
            <w:vAlign w:val="center"/>
          </w:tcPr>
          <w:p>
            <w:pPr>
              <w:snapToGrid w:val="0"/>
              <w:jc w:val="center"/>
              <w:rPr>
                <w:kern w:val="0"/>
              </w:rPr>
            </w:pPr>
            <w:r>
              <w:rPr>
                <w:rFonts w:eastAsia="方正黑体_GBK"/>
                <w:kern w:val="0"/>
                <w:sz w:val="24"/>
              </w:rPr>
              <w:t>社会监督联系人及电话</w:t>
            </w:r>
          </w:p>
        </w:tc>
        <w:tc>
          <w:tcPr>
            <w:tcW w:w="7051" w:type="dxa"/>
            <w:vAlign w:val="center"/>
          </w:tcPr>
          <w:p>
            <w:pPr>
              <w:pStyle w:val="2"/>
              <w:spacing w:before="0" w:after="0" w:line="600" w:lineRule="exact"/>
              <w:jc w:val="center"/>
              <w:outlineLvl w:val="0"/>
              <w:rPr>
                <w:rFonts w:ascii="Times New Roman" w:hAnsi="Times New Roman"/>
              </w:rPr>
            </w:pPr>
            <w:r>
              <w:rPr>
                <w:rFonts w:hint="eastAsia" w:ascii="方正楷体_GBK" w:hAnsi="方正楷体_GBK" w:eastAsia="方正楷体_GBK" w:cs="方正楷体_GBK"/>
                <w:b w:val="0"/>
                <w:bCs/>
                <w:color w:val="auto"/>
                <w:kern w:val="0"/>
                <w:sz w:val="24"/>
                <w:szCs w:val="24"/>
              </w:rPr>
              <w:t>熊敏55181535</w:t>
            </w:r>
          </w:p>
        </w:tc>
      </w:tr>
    </w:tbl>
    <w:p>
      <w:pPr>
        <w:snapToGrid w:val="0"/>
        <w:jc w:val="left"/>
        <w:rPr>
          <w:rFonts w:hint="eastAsia" w:ascii="方正楷体_GBK" w:hAnsi="方正楷体_GBK" w:eastAsia="方正楷体_GBK" w:cs="方正楷体_GBK"/>
          <w:b w:val="0"/>
          <w:bCs/>
          <w:i w:val="0"/>
          <w:color w:val="auto"/>
          <w:kern w:val="0"/>
          <w:sz w:val="24"/>
          <w:szCs w:val="24"/>
          <w:u w:val="none"/>
          <w:lang w:val="en-US" w:eastAsia="zh-CN" w:bidi="ar"/>
        </w:rPr>
      </w:pPr>
    </w:p>
    <w:p>
      <w:pPr>
        <w:snapToGrid w:val="0"/>
        <w:jc w:val="left"/>
      </w:pPr>
      <w:r>
        <w:rPr>
          <w:rFonts w:hint="eastAsia" w:ascii="方正楷体_GBK" w:hAnsi="方正楷体_GBK" w:eastAsia="方正楷体_GBK" w:cs="方正楷体_GBK"/>
          <w:b w:val="0"/>
          <w:bCs/>
          <w:i w:val="0"/>
          <w:color w:val="auto"/>
          <w:kern w:val="0"/>
          <w:sz w:val="24"/>
          <w:szCs w:val="24"/>
          <w:u w:val="none"/>
          <w:lang w:val="en-US" w:eastAsia="zh-CN" w:bidi="ar"/>
        </w:rPr>
        <w:t>备注：社会监督联系人须由县生态环境保护督查工作领导小组办公室有关人员担任。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font-weight : 400">
    <w:altName w:val="RomanS"/>
    <w:panose1 w:val="00000000000000000000"/>
    <w:charset w:val="00"/>
    <w:family w:val="auto"/>
    <w:pitch w:val="default"/>
    <w:sig w:usb0="00000000" w:usb1="00000000" w:usb2="00000000" w:usb3="00000000" w:csb0="00040001" w:csb1="00000000"/>
  </w:font>
  <w:font w:name="RomanS">
    <w:panose1 w:val="02000400000000000000"/>
    <w:charset w:val="00"/>
    <w:family w:val="auto"/>
    <w:pitch w:val="default"/>
    <w:sig w:usb0="00000207" w:usb1="00000000" w:usb2="00000000" w:usb3="00000000" w:csb0="000001FF" w:csb1="00000000"/>
  </w:font>
  <w:font w:name="方正仿宋_GB2312">
    <w:altName w:val="仿宋"/>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73A8C"/>
    <w:rsid w:val="41F14374"/>
    <w:rsid w:val="581B01E5"/>
    <w:rsid w:val="60573A8C"/>
    <w:rsid w:val="68D50B8E"/>
    <w:rsid w:val="79C33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table" w:styleId="5">
    <w:name w:val="Table Grid"/>
    <w:basedOn w:val="4"/>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2022-03-23T02:11:00Z</dcterms:created>
  <dc:creator>Administrator</dc:creator>
  <cp:lastModifiedBy>Administrator</cp:lastModifiedBy>
  <dcterms:modified xsi:type="dcterms:W3CDTF">2022-09-16T01:52:24Z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