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00" w:lineRule="exact"/>
        <w:rPr>
          <w:rFonts w:ascii="Times New Roman" w:hAnsi="Times New Roman" w:eastAsia="方正黑体_GBK"/>
          <w:b w:val="0"/>
          <w:bCs/>
          <w:kern w:val="2"/>
          <w:sz w:val="32"/>
          <w:szCs w:val="32"/>
        </w:rPr>
      </w:pPr>
      <w:r>
        <w:rPr>
          <w:rFonts w:ascii="Times New Roman" w:hAnsi="Times New Roman" w:eastAsia="方正黑体_GBK"/>
          <w:b w:val="0"/>
          <w:bCs/>
          <w:kern w:val="2"/>
          <w:sz w:val="32"/>
          <w:szCs w:val="32"/>
        </w:rPr>
        <w:t>附件</w:t>
      </w:r>
      <w:r>
        <w:rPr>
          <w:rFonts w:hint="eastAsia" w:ascii="Times New Roman" w:hAnsi="Times New Roman" w:eastAsia="方正黑体_GBK"/>
          <w:b w:val="0"/>
          <w:bCs/>
          <w:kern w:val="2"/>
          <w:sz w:val="32"/>
          <w:szCs w:val="32"/>
        </w:rPr>
        <w:t>11</w:t>
      </w:r>
    </w:p>
    <w:p>
      <w:pPr>
        <w:spacing w:line="600" w:lineRule="exact"/>
        <w:jc w:val="center"/>
        <w:rPr>
          <w:rFonts w:eastAsia="方正小标宋_GBK"/>
          <w:sz w:val="44"/>
          <w:szCs w:val="44"/>
        </w:rPr>
      </w:pPr>
      <w:r>
        <w:rPr>
          <w:rFonts w:hint="eastAsia" w:eastAsia="方正小标宋_GBK"/>
          <w:sz w:val="44"/>
          <w:szCs w:val="44"/>
        </w:rPr>
        <w:t>云阳县</w:t>
      </w:r>
      <w:r>
        <w:rPr>
          <w:rFonts w:eastAsia="方正小标宋_GBK"/>
          <w:sz w:val="44"/>
          <w:szCs w:val="44"/>
        </w:rPr>
        <w:t>生态环境保护督察反馈交办问题</w:t>
      </w:r>
    </w:p>
    <w:p>
      <w:pPr>
        <w:spacing w:line="600" w:lineRule="exact"/>
        <w:jc w:val="center"/>
        <w:rPr>
          <w:rFonts w:eastAsia="方正小标宋_GBK"/>
          <w:sz w:val="44"/>
          <w:szCs w:val="44"/>
        </w:rPr>
      </w:pPr>
      <w:r>
        <w:rPr>
          <w:rFonts w:eastAsia="方正小标宋_GBK"/>
          <w:sz w:val="44"/>
          <w:szCs w:val="44"/>
        </w:rPr>
        <w:t>整改销号情况公示表</w:t>
      </w:r>
    </w:p>
    <w:p>
      <w:pPr>
        <w:pStyle w:val="2"/>
        <w:spacing w:before="0" w:after="0" w:line="600" w:lineRule="exact"/>
        <w:jc w:val="center"/>
        <w:rPr>
          <w:rFonts w:ascii="Times New Roman" w:hAnsi="Times New Roman"/>
        </w:rPr>
      </w:pPr>
      <w:r>
        <w:rPr>
          <w:rFonts w:ascii="Times New Roman" w:hAnsi="Times New Roman" w:eastAsia="方正仿宋_GBK"/>
          <w:b w:val="0"/>
          <w:bCs/>
          <w:sz w:val="28"/>
          <w:szCs w:val="28"/>
        </w:rPr>
        <w:t>（</w:t>
      </w:r>
      <w:r>
        <w:rPr>
          <w:rFonts w:hint="eastAsia" w:ascii="Times New Roman" w:hAnsi="Times New Roman" w:eastAsia="方正仿宋_GBK"/>
          <w:b w:val="0"/>
          <w:bCs/>
          <w:sz w:val="28"/>
          <w:szCs w:val="28"/>
        </w:rPr>
        <w:t>市</w:t>
      </w:r>
      <w:r>
        <w:rPr>
          <w:rFonts w:ascii="Times New Roman" w:hAnsi="Times New Roman" w:eastAsia="方正仿宋_GBK"/>
          <w:b w:val="0"/>
          <w:bCs/>
          <w:sz w:val="28"/>
          <w:szCs w:val="28"/>
        </w:rPr>
        <w:t>级整改任务模板）</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2009" w:type="dxa"/>
            <w:vAlign w:val="center"/>
          </w:tcPr>
          <w:p>
            <w:pPr>
              <w:snapToGrid w:val="0"/>
              <w:jc w:val="center"/>
              <w:rPr>
                <w:kern w:val="0"/>
              </w:rPr>
            </w:pPr>
            <w:r>
              <w:rPr>
                <w:rFonts w:eastAsia="方正黑体_GBK"/>
                <w:kern w:val="0"/>
                <w:sz w:val="24"/>
              </w:rPr>
              <w:t>整改任务概述</w:t>
            </w:r>
          </w:p>
        </w:tc>
        <w:tc>
          <w:tcPr>
            <w:tcW w:w="7051" w:type="dxa"/>
            <w:vAlign w:val="center"/>
          </w:tcPr>
          <w:p>
            <w:pPr>
              <w:pStyle w:val="2"/>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480" w:firstLineChars="200"/>
              <w:jc w:val="both"/>
              <w:textAlignment w:val="auto"/>
              <w:outlineLvl w:val="0"/>
              <w:rPr>
                <w:rFonts w:ascii="Times New Roman" w:hAnsi="Times New Roman"/>
              </w:rPr>
            </w:pPr>
            <w:r>
              <w:rPr>
                <w:rFonts w:hint="eastAsia" w:ascii="方正楷体_GBK" w:hAnsi="方正楷体_GBK" w:eastAsia="方正楷体_GBK" w:cs="方正楷体_GBK"/>
                <w:b w:val="0"/>
                <w:bCs/>
                <w:color w:val="auto"/>
                <w:kern w:val="0"/>
                <w:sz w:val="24"/>
                <w:szCs w:val="24"/>
                <w:lang w:val="en-US" w:eastAsia="zh-CN"/>
              </w:rPr>
              <w:t>区县基本处于刚成立或刚恢复水土保持委员会阶段，尚未全面发挥组织和协调本行政区域内水土保持工作的作用。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2009" w:type="dxa"/>
            <w:vAlign w:val="center"/>
          </w:tcPr>
          <w:p>
            <w:pPr>
              <w:snapToGrid w:val="0"/>
              <w:jc w:val="center"/>
              <w:rPr>
                <w:kern w:val="0"/>
              </w:rPr>
            </w:pPr>
            <w:r>
              <w:rPr>
                <w:rFonts w:eastAsia="方正黑体_GBK"/>
                <w:kern w:val="0"/>
                <w:sz w:val="24"/>
              </w:rPr>
              <w:t>整改责任单位</w:t>
            </w:r>
          </w:p>
        </w:tc>
        <w:tc>
          <w:tcPr>
            <w:tcW w:w="7051" w:type="dxa"/>
            <w:vAlign w:val="center"/>
          </w:tcPr>
          <w:p>
            <w:pPr>
              <w:pStyle w:val="2"/>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480" w:firstLineChars="200"/>
              <w:jc w:val="both"/>
              <w:textAlignment w:val="auto"/>
              <w:outlineLvl w:val="0"/>
              <w:rPr>
                <w:rFonts w:hint="eastAsia" w:ascii="Times New Roman" w:hAnsi="Times New Roman" w:eastAsia="仿宋_GB2312"/>
                <w:lang w:eastAsia="zh-CN"/>
              </w:rPr>
            </w:pPr>
            <w:r>
              <w:rPr>
                <w:rFonts w:hint="eastAsia" w:eastAsia="方正楷体_GBK"/>
                <w:b w:val="0"/>
                <w:bCs/>
                <w:kern w:val="0"/>
                <w:sz w:val="24"/>
                <w:lang w:val="en-US" w:eastAsia="zh-CN"/>
              </w:rPr>
              <w:t>云阳县水利局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2009" w:type="dxa"/>
            <w:vAlign w:val="center"/>
          </w:tcPr>
          <w:p>
            <w:pPr>
              <w:snapToGrid w:val="0"/>
              <w:jc w:val="center"/>
              <w:rPr>
                <w:kern w:val="0"/>
              </w:rPr>
            </w:pPr>
            <w:r>
              <w:rPr>
                <w:rFonts w:eastAsia="方正黑体_GBK"/>
                <w:kern w:val="0"/>
                <w:sz w:val="24"/>
              </w:rPr>
              <w:t>整改目标</w:t>
            </w:r>
          </w:p>
        </w:tc>
        <w:tc>
          <w:tcPr>
            <w:tcW w:w="7051" w:type="dxa"/>
            <w:vAlign w:val="center"/>
          </w:tcPr>
          <w:p>
            <w:pPr>
              <w:pStyle w:val="2"/>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480" w:firstLineChars="200"/>
              <w:jc w:val="both"/>
              <w:textAlignment w:val="auto"/>
              <w:outlineLvl w:val="0"/>
              <w:rPr>
                <w:rFonts w:ascii="Times New Roman" w:hAnsi="Times New Roman"/>
              </w:rPr>
            </w:pPr>
            <w:r>
              <w:rPr>
                <w:rFonts w:hint="eastAsia" w:ascii="方正楷体_GBK" w:hAnsi="方正楷体_GBK" w:eastAsia="方正楷体_GBK" w:cs="方正楷体_GBK"/>
                <w:b w:val="0"/>
                <w:bCs/>
                <w:color w:val="auto"/>
                <w:kern w:val="0"/>
                <w:sz w:val="24"/>
                <w:szCs w:val="24"/>
                <w:lang w:val="en-US" w:eastAsia="zh-CN"/>
              </w:rPr>
              <w:t>全面发挥水土保持委员会组织和协调本行政区域内水土保持工作的作用。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0" w:hRule="atLeast"/>
        </w:trPr>
        <w:tc>
          <w:tcPr>
            <w:tcW w:w="2009" w:type="dxa"/>
            <w:vAlign w:val="center"/>
          </w:tcPr>
          <w:p>
            <w:pPr>
              <w:snapToGrid w:val="0"/>
              <w:jc w:val="center"/>
              <w:rPr>
                <w:kern w:val="0"/>
              </w:rPr>
            </w:pPr>
            <w:r>
              <w:rPr>
                <w:rFonts w:eastAsia="方正黑体_GBK"/>
                <w:kern w:val="0"/>
                <w:sz w:val="24"/>
              </w:rPr>
              <w:t>整改措施及成效</w:t>
            </w:r>
          </w:p>
        </w:tc>
        <w:tc>
          <w:tcPr>
            <w:tcW w:w="7051" w:type="dxa"/>
          </w:tcPr>
          <w:p>
            <w:pPr>
              <w:pStyle w:val="2"/>
              <w:spacing w:before="0" w:after="0" w:line="400" w:lineRule="exact"/>
              <w:ind w:firstLine="480" w:firstLineChars="200"/>
              <w:jc w:val="left"/>
              <w:outlineLvl w:val="0"/>
              <w:rPr>
                <w:rFonts w:hint="eastAsia" w:eastAsia="方正楷体_GBK"/>
                <w:b w:val="0"/>
                <w:bCs/>
                <w:kern w:val="0"/>
                <w:sz w:val="24"/>
                <w:lang w:val="en-US" w:eastAsia="zh-CN"/>
              </w:rPr>
            </w:pPr>
            <w:r>
              <w:rPr>
                <w:rFonts w:hint="eastAsia" w:eastAsia="方正楷体_GBK"/>
                <w:b w:val="0"/>
                <w:bCs/>
                <w:kern w:val="0"/>
                <w:sz w:val="24"/>
                <w:lang w:val="en-US" w:eastAsia="zh-CN"/>
              </w:rPr>
              <w:t>1991年，《云阳县人民政府关于成立云阳县水土保持委员会的通知 》（云府发〔1991〕09号），《中共云阳县委办公室云阳县人民政府办公室关于印发云阳县议事协调机构和联席会议名单的通知》（云阳委办〔2019〕21号），进一步确定云阳县水土保持委员会的作用，《云阳县水土保持委员会职责和工作制度》（云水保委〔2022〕1号），明确了云阳县水土保持委员会具体工作职责是组织和协调本行政区域内水土保持工作。</w:t>
            </w:r>
          </w:p>
          <w:p>
            <w:pPr>
              <w:pStyle w:val="2"/>
              <w:keepNext/>
              <w:keepLines/>
              <w:pageBreakBefore w:val="0"/>
              <w:widowControl w:val="0"/>
              <w:kinsoku/>
              <w:wordWrap/>
              <w:overflowPunct/>
              <w:topLinePunct w:val="0"/>
              <w:autoSpaceDE/>
              <w:autoSpaceDN/>
              <w:bidi w:val="0"/>
              <w:adjustRightInd/>
              <w:snapToGrid/>
              <w:spacing w:before="0" w:after="0" w:line="460" w:lineRule="exact"/>
              <w:ind w:left="0" w:leftChars="0" w:right="0" w:rightChars="0" w:firstLine="480" w:firstLineChars="200"/>
              <w:jc w:val="both"/>
              <w:textAlignment w:val="auto"/>
              <w:outlineLvl w:val="0"/>
              <w:rPr>
                <w:rFonts w:ascii="Times New Roman" w:hAnsi="Times New Roman"/>
              </w:rPr>
            </w:pPr>
            <w:r>
              <w:rPr>
                <w:rFonts w:hint="eastAsia" w:eastAsia="方正楷体_GBK"/>
                <w:b w:val="0"/>
                <w:bCs/>
                <w:kern w:val="0"/>
                <w:sz w:val="24"/>
                <w:lang w:val="en-US" w:eastAsia="zh-CN"/>
              </w:rPr>
              <w:t>明确了云阳县水土保持委员会具体工作职责是组织和协调本行政区域内的水土保持工作，全面发挥了水土保持委员会组织和协调本行政区域内水土保持工作的作用。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2009" w:type="dxa"/>
            <w:vAlign w:val="center"/>
          </w:tcPr>
          <w:p>
            <w:pPr>
              <w:snapToGrid w:val="0"/>
              <w:jc w:val="center"/>
              <w:rPr>
                <w:kern w:val="0"/>
              </w:rPr>
            </w:pPr>
            <w:r>
              <w:rPr>
                <w:rFonts w:eastAsia="方正黑体_GBK"/>
                <w:kern w:val="0"/>
                <w:sz w:val="24"/>
              </w:rPr>
              <w:t>整改时间</w:t>
            </w:r>
          </w:p>
        </w:tc>
        <w:tc>
          <w:tcPr>
            <w:tcW w:w="7051" w:type="dxa"/>
            <w:vAlign w:val="center"/>
          </w:tcPr>
          <w:p>
            <w:pPr>
              <w:pStyle w:val="2"/>
              <w:spacing w:before="0" w:after="0" w:line="600" w:lineRule="exact"/>
              <w:jc w:val="center"/>
              <w:outlineLvl w:val="0"/>
              <w:rPr>
                <w:rFonts w:ascii="Times New Roman" w:hAnsi="Times New Roman"/>
              </w:rPr>
            </w:pPr>
            <w:r>
              <w:rPr>
                <w:rFonts w:hint="eastAsia" w:ascii="方正楷体_GBK" w:hAnsi="方正楷体_GBK" w:eastAsia="方正楷体_GBK" w:cs="方正楷体_GBK"/>
                <w:b w:val="0"/>
                <w:bCs/>
                <w:color w:val="auto"/>
                <w:kern w:val="0"/>
                <w:sz w:val="24"/>
                <w:szCs w:val="24"/>
                <w:lang w:val="en-US" w:eastAsia="zh-CN"/>
              </w:rPr>
              <w:t>2021</w:t>
            </w:r>
            <w:r>
              <w:rPr>
                <w:rFonts w:hint="eastAsia" w:ascii="方正楷体_GBK" w:hAnsi="方正楷体_GBK" w:eastAsia="方正楷体_GBK" w:cs="方正楷体_GBK"/>
                <w:b w:val="0"/>
                <w:bCs/>
                <w:color w:val="auto"/>
                <w:kern w:val="0"/>
                <w:sz w:val="24"/>
                <w:szCs w:val="24"/>
              </w:rPr>
              <w:t>年</w:t>
            </w:r>
            <w:r>
              <w:rPr>
                <w:rFonts w:hint="eastAsia" w:ascii="方正楷体_GBK" w:hAnsi="方正楷体_GBK" w:eastAsia="方正楷体_GBK" w:cs="方正楷体_GBK"/>
                <w:b w:val="0"/>
                <w:bCs/>
                <w:color w:val="auto"/>
                <w:kern w:val="0"/>
                <w:sz w:val="24"/>
                <w:szCs w:val="24"/>
                <w:lang w:val="en-US" w:eastAsia="zh-CN"/>
              </w:rPr>
              <w:t>7</w:t>
            </w:r>
            <w:r>
              <w:rPr>
                <w:rFonts w:hint="eastAsia" w:ascii="方正楷体_GBK" w:hAnsi="方正楷体_GBK" w:eastAsia="方正楷体_GBK" w:cs="方正楷体_GBK"/>
                <w:b w:val="0"/>
                <w:bCs/>
                <w:color w:val="auto"/>
                <w:kern w:val="0"/>
                <w:sz w:val="24"/>
                <w:szCs w:val="24"/>
              </w:rPr>
              <w:t>月至</w:t>
            </w:r>
            <w:r>
              <w:rPr>
                <w:rFonts w:hint="eastAsia" w:ascii="方正楷体_GBK" w:hAnsi="方正楷体_GBK" w:eastAsia="方正楷体_GBK" w:cs="方正楷体_GBK"/>
                <w:b w:val="0"/>
                <w:bCs/>
                <w:color w:val="auto"/>
                <w:kern w:val="0"/>
                <w:sz w:val="24"/>
                <w:szCs w:val="24"/>
                <w:lang w:val="en-US" w:eastAsia="zh-CN"/>
              </w:rPr>
              <w:t>2022</w:t>
            </w:r>
            <w:r>
              <w:rPr>
                <w:rFonts w:hint="eastAsia" w:ascii="方正楷体_GBK" w:hAnsi="方正楷体_GBK" w:eastAsia="方正楷体_GBK" w:cs="方正楷体_GBK"/>
                <w:b w:val="0"/>
                <w:bCs/>
                <w:color w:val="auto"/>
                <w:kern w:val="0"/>
                <w:sz w:val="24"/>
                <w:szCs w:val="24"/>
              </w:rPr>
              <w:t>年</w:t>
            </w:r>
            <w:r>
              <w:rPr>
                <w:rFonts w:hint="eastAsia" w:ascii="方正楷体_GBK" w:hAnsi="方正楷体_GBK" w:eastAsia="方正楷体_GBK" w:cs="方正楷体_GBK"/>
                <w:b w:val="0"/>
                <w:bCs/>
                <w:color w:val="auto"/>
                <w:kern w:val="0"/>
                <w:sz w:val="24"/>
                <w:szCs w:val="24"/>
                <w:lang w:val="en-US" w:eastAsia="zh-CN"/>
              </w:rPr>
              <w:t>6</w:t>
            </w:r>
            <w:r>
              <w:rPr>
                <w:rFonts w:hint="eastAsia" w:ascii="方正楷体_GBK" w:hAnsi="方正楷体_GBK" w:eastAsia="方正楷体_GBK" w:cs="方正楷体_GBK"/>
                <w:b w:val="0"/>
                <w:bCs/>
                <w:color w:val="auto"/>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trPr>
        <w:tc>
          <w:tcPr>
            <w:tcW w:w="2009" w:type="dxa"/>
            <w:vAlign w:val="center"/>
          </w:tcPr>
          <w:p>
            <w:pPr>
              <w:snapToGrid w:val="0"/>
              <w:jc w:val="center"/>
              <w:rPr>
                <w:kern w:val="0"/>
              </w:rPr>
            </w:pPr>
            <w:r>
              <w:rPr>
                <w:rFonts w:eastAsia="方正黑体_GBK"/>
                <w:kern w:val="0"/>
                <w:sz w:val="24"/>
              </w:rPr>
              <w:t>社会监督联系人及电话</w:t>
            </w:r>
          </w:p>
        </w:tc>
        <w:tc>
          <w:tcPr>
            <w:tcW w:w="7051" w:type="dxa"/>
            <w:vAlign w:val="center"/>
          </w:tcPr>
          <w:p>
            <w:pPr>
              <w:pStyle w:val="2"/>
              <w:spacing w:before="0" w:after="0" w:line="600" w:lineRule="exact"/>
              <w:jc w:val="center"/>
              <w:outlineLvl w:val="0"/>
              <w:rPr>
                <w:rFonts w:ascii="Times New Roman" w:hAnsi="Times New Roman"/>
              </w:rPr>
            </w:pPr>
            <w:r>
              <w:rPr>
                <w:rFonts w:hint="eastAsia" w:ascii="方正楷体_GBK" w:hAnsi="方正楷体_GBK" w:eastAsia="方正楷体_GBK" w:cs="方正楷体_GBK"/>
                <w:b w:val="0"/>
                <w:bCs/>
                <w:color w:val="auto"/>
                <w:kern w:val="0"/>
                <w:sz w:val="24"/>
                <w:szCs w:val="24"/>
              </w:rPr>
              <w:t>熊敏55181535</w:t>
            </w:r>
          </w:p>
        </w:tc>
      </w:tr>
    </w:tbl>
    <w:p>
      <w:pPr>
        <w:pStyle w:val="2"/>
        <w:spacing w:before="0" w:after="0" w:line="400" w:lineRule="exact"/>
        <w:jc w:val="left"/>
        <w:outlineLvl w:val="0"/>
        <w:rPr>
          <w:rFonts w:hint="eastAsia" w:eastAsia="方正楷体_GBK"/>
          <w:b w:val="0"/>
          <w:bCs/>
          <w:kern w:val="0"/>
          <w:sz w:val="24"/>
          <w:lang w:val="en-US" w:eastAsia="zh-CN"/>
        </w:rPr>
      </w:pPr>
    </w:p>
    <w:p>
      <w:pPr>
        <w:pStyle w:val="2"/>
        <w:spacing w:before="0" w:after="0" w:line="400" w:lineRule="exact"/>
        <w:jc w:val="left"/>
        <w:outlineLvl w:val="0"/>
        <w:rPr>
          <w:rFonts w:hint="eastAsia" w:eastAsia="方正楷体_GBK"/>
          <w:b w:val="0"/>
          <w:bCs/>
          <w:kern w:val="0"/>
          <w:sz w:val="24"/>
          <w:lang w:val="en-US" w:eastAsia="zh-CN"/>
        </w:rPr>
      </w:pPr>
      <w:r>
        <w:rPr>
          <w:rFonts w:hint="eastAsia" w:eastAsia="方正楷体_GBK"/>
          <w:b w:val="0"/>
          <w:bCs/>
          <w:kern w:val="0"/>
          <w:sz w:val="24"/>
          <w:lang w:val="en-US" w:eastAsia="zh-CN"/>
        </w:rPr>
        <w:t>备注：社会监督联系人须由县生态环境保护督查工作领导小组办公室有关人员担任。</w:t>
      </w:r>
    </w:p>
    <w:p>
      <w:pPr>
        <w:pStyle w:val="2"/>
        <w:spacing w:before="0" w:after="0" w:line="400" w:lineRule="exact"/>
        <w:ind w:firstLine="480" w:firstLineChars="200"/>
        <w:jc w:val="left"/>
        <w:outlineLvl w:val="0"/>
        <w:rPr>
          <w:rFonts w:hint="eastAsia" w:eastAsia="方正楷体_GBK"/>
          <w:b w:val="0"/>
          <w:bCs/>
          <w:kern w:val="0"/>
          <w:sz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font-weight : 400">
    <w:altName w:val="RomanS"/>
    <w:panose1 w:val="00000000000000000000"/>
    <w:charset w:val="00"/>
    <w:family w:val="auto"/>
    <w:pitch w:val="default"/>
    <w:sig w:usb0="00000000" w:usb1="00000000" w:usb2="00000000" w:usb3="00000000" w:csb0="00040001" w:csb1="00000000"/>
  </w:font>
  <w:font w:name="RomanS">
    <w:panose1 w:val="02000400000000000000"/>
    <w:charset w:val="00"/>
    <w:family w:val="auto"/>
    <w:pitch w:val="default"/>
    <w:sig w:usb0="00000207" w:usb1="00000000" w:usb2="00000000" w:usb3="00000000" w:csb0="000001FF" w:csb1="00000000"/>
  </w:font>
  <w:font w:name="方正仿宋_GB2312">
    <w:altName w:val="仿宋"/>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73A8C"/>
    <w:rsid w:val="10AC489D"/>
    <w:rsid w:val="2D2E53AF"/>
    <w:rsid w:val="48303E25"/>
    <w:rsid w:val="60484B51"/>
    <w:rsid w:val="60573A8C"/>
    <w:rsid w:val="795C59E7"/>
    <w:rsid w:val="7C472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b/>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table" w:styleId="5">
    <w:name w:val="Table Grid"/>
    <w:basedOn w:val="4"/>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2022-03-23T02:11:00Z</dcterms:created>
  <dc:creator>Administrator</dc:creator>
  <cp:lastModifiedBy>Administrator</cp:lastModifiedBy>
  <dcterms:modified xsi:type="dcterms:W3CDTF">2022-09-16T02:00:59Z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