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rPr>
          <w:rFonts w:ascii="Times New Roman" w:hAnsi="Times New Roman" w:eastAsia="方正黑体_GBK"/>
          <w:b w:val="0"/>
          <w:bCs/>
          <w:kern w:val="2"/>
          <w:sz w:val="32"/>
          <w:szCs w:val="32"/>
        </w:rPr>
      </w:pPr>
      <w:r>
        <w:rPr>
          <w:rFonts w:ascii="Times New Roman" w:hAnsi="Times New Roman" w:eastAsia="方正黑体_GBK"/>
          <w:b w:val="0"/>
          <w:bCs/>
          <w:kern w:val="2"/>
          <w:sz w:val="32"/>
          <w:szCs w:val="32"/>
        </w:rPr>
        <w:t>附件</w:t>
      </w:r>
      <w:r>
        <w:rPr>
          <w:rFonts w:hint="eastAsia" w:ascii="Times New Roman" w:hAnsi="Times New Roman" w:eastAsia="方正黑体_GBK"/>
          <w:b w:val="0"/>
          <w:bCs/>
          <w:kern w:val="2"/>
          <w:sz w:val="32"/>
          <w:szCs w:val="32"/>
        </w:rPr>
        <w:t>11</w:t>
      </w:r>
    </w:p>
    <w:p>
      <w:pPr>
        <w:spacing w:line="600" w:lineRule="exact"/>
        <w:jc w:val="center"/>
        <w:rPr>
          <w:rFonts w:eastAsia="方正小标宋_GBK"/>
          <w:sz w:val="44"/>
          <w:szCs w:val="44"/>
        </w:rPr>
      </w:pPr>
      <w:r>
        <w:rPr>
          <w:rFonts w:hint="eastAsia" w:eastAsia="方正小标宋_GBK"/>
          <w:sz w:val="44"/>
          <w:szCs w:val="44"/>
        </w:rPr>
        <w:t>云阳县</w:t>
      </w:r>
      <w:r>
        <w:rPr>
          <w:rFonts w:eastAsia="方正小标宋_GBK"/>
          <w:sz w:val="44"/>
          <w:szCs w:val="44"/>
        </w:rPr>
        <w:t>生态环境保护督察反馈交办问题</w:t>
      </w:r>
    </w:p>
    <w:p>
      <w:pPr>
        <w:spacing w:line="600" w:lineRule="exact"/>
        <w:jc w:val="center"/>
        <w:rPr>
          <w:rFonts w:eastAsia="方正小标宋_GBK"/>
          <w:sz w:val="44"/>
          <w:szCs w:val="44"/>
        </w:rPr>
      </w:pPr>
      <w:r>
        <w:rPr>
          <w:rFonts w:eastAsia="方正小标宋_GBK"/>
          <w:sz w:val="44"/>
          <w:szCs w:val="44"/>
        </w:rPr>
        <w:t>整改销号情况公示表</w:t>
      </w:r>
    </w:p>
    <w:p>
      <w:pPr>
        <w:pStyle w:val="2"/>
        <w:spacing w:before="0" w:after="0" w:line="600" w:lineRule="exact"/>
        <w:jc w:val="center"/>
        <w:rPr>
          <w:rFonts w:ascii="Times New Roman" w:hAnsi="Times New Roman"/>
        </w:rPr>
      </w:pPr>
      <w:r>
        <w:rPr>
          <w:rFonts w:ascii="Times New Roman" w:hAnsi="Times New Roman" w:eastAsia="方正仿宋_GBK"/>
          <w:b w:val="0"/>
          <w:bCs/>
          <w:sz w:val="28"/>
          <w:szCs w:val="28"/>
        </w:rPr>
        <w:t>（</w:t>
      </w:r>
      <w:r>
        <w:rPr>
          <w:rFonts w:hint="eastAsia" w:ascii="Times New Roman" w:hAnsi="Times New Roman" w:eastAsia="方正仿宋_GBK"/>
          <w:b w:val="0"/>
          <w:bCs/>
          <w:sz w:val="28"/>
          <w:szCs w:val="28"/>
        </w:rPr>
        <w:t>市</w:t>
      </w:r>
      <w:r>
        <w:rPr>
          <w:rFonts w:ascii="Times New Roman" w:hAnsi="Times New Roman" w:eastAsia="方正仿宋_GBK"/>
          <w:b w:val="0"/>
          <w:bCs/>
          <w:sz w:val="28"/>
          <w:szCs w:val="28"/>
        </w:rPr>
        <w:t>级整改任务模板）</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09" w:type="dxa"/>
            <w:vAlign w:val="center"/>
          </w:tcPr>
          <w:p>
            <w:pPr>
              <w:snapToGrid w:val="0"/>
              <w:jc w:val="center"/>
              <w:rPr>
                <w:kern w:val="0"/>
              </w:rPr>
            </w:pPr>
            <w:r>
              <w:rPr>
                <w:rFonts w:eastAsia="方正黑体_GBK"/>
                <w:kern w:val="0"/>
                <w:sz w:val="24"/>
              </w:rPr>
              <w:t>整改任务概述</w:t>
            </w:r>
          </w:p>
        </w:tc>
        <w:tc>
          <w:tcPr>
            <w:tcW w:w="7051" w:type="dxa"/>
            <w:vAlign w:val="center"/>
          </w:tcPr>
          <w:p>
            <w:pPr>
              <w:pStyle w:val="2"/>
              <w:keepNext/>
              <w:keepLines/>
              <w:pageBreakBefore w:val="0"/>
              <w:widowControl w:val="0"/>
              <w:kinsoku/>
              <w:wordWrap/>
              <w:overflowPunct/>
              <w:topLinePunct w:val="0"/>
              <w:autoSpaceDE/>
              <w:autoSpaceDN/>
              <w:bidi w:val="0"/>
              <w:adjustRightInd/>
              <w:snapToGrid/>
              <w:spacing w:before="0" w:after="0" w:line="320" w:lineRule="exact"/>
              <w:ind w:left="0" w:leftChars="0" w:right="0" w:rightChars="0" w:firstLine="480" w:firstLineChars="200"/>
              <w:jc w:val="both"/>
              <w:textAlignment w:val="auto"/>
              <w:outlineLvl w:val="0"/>
              <w:rPr>
                <w:rFonts w:ascii="Times New Roman" w:hAnsi="Times New Roman"/>
              </w:rPr>
            </w:pPr>
            <w:r>
              <w:rPr>
                <w:rFonts w:hint="eastAsia" w:eastAsia="方正楷体_GBK"/>
                <w:b w:val="0"/>
                <w:bCs/>
                <w:kern w:val="0"/>
                <w:sz w:val="24"/>
                <w:lang w:val="en-US" w:eastAsia="zh-CN"/>
              </w:rPr>
              <w:t>区县仍然存在“水土保持仅是水利部门一家的事”的旧观念，工作主动性不强。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09" w:type="dxa"/>
            <w:vAlign w:val="center"/>
          </w:tcPr>
          <w:p>
            <w:pPr>
              <w:snapToGrid w:val="0"/>
              <w:jc w:val="center"/>
              <w:rPr>
                <w:kern w:val="0"/>
              </w:rPr>
            </w:pPr>
            <w:r>
              <w:rPr>
                <w:rFonts w:eastAsia="方正黑体_GBK"/>
                <w:kern w:val="0"/>
                <w:sz w:val="24"/>
              </w:rPr>
              <w:t>整改责任单位</w:t>
            </w:r>
          </w:p>
        </w:tc>
        <w:tc>
          <w:tcPr>
            <w:tcW w:w="7051" w:type="dxa"/>
            <w:vAlign w:val="center"/>
          </w:tcPr>
          <w:p>
            <w:pPr>
              <w:pStyle w:val="2"/>
              <w:keepNext/>
              <w:keepLines/>
              <w:pageBreakBefore w:val="0"/>
              <w:widowControl w:val="0"/>
              <w:kinsoku/>
              <w:wordWrap/>
              <w:overflowPunct/>
              <w:topLinePunct w:val="0"/>
              <w:autoSpaceDE/>
              <w:autoSpaceDN/>
              <w:bidi w:val="0"/>
              <w:adjustRightInd/>
              <w:snapToGrid/>
              <w:spacing w:before="0" w:after="0" w:line="320" w:lineRule="exact"/>
              <w:ind w:left="0" w:leftChars="0" w:right="0" w:rightChars="0" w:firstLine="480" w:firstLineChars="200"/>
              <w:jc w:val="both"/>
              <w:textAlignment w:val="auto"/>
              <w:outlineLvl w:val="0"/>
              <w:rPr>
                <w:rFonts w:hint="eastAsia" w:ascii="Times New Roman" w:hAnsi="Times New Roman" w:eastAsia="仿宋_GB2312"/>
                <w:lang w:eastAsia="zh-CN"/>
              </w:rPr>
            </w:pPr>
            <w:r>
              <w:rPr>
                <w:rFonts w:hint="eastAsia" w:eastAsia="方正楷体_GBK"/>
                <w:b w:val="0"/>
                <w:bCs/>
                <w:kern w:val="0"/>
                <w:sz w:val="24"/>
                <w:lang w:val="en-US" w:eastAsia="zh-CN"/>
              </w:rPr>
              <w:t>云阳县水利局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09" w:type="dxa"/>
            <w:vAlign w:val="center"/>
          </w:tcPr>
          <w:p>
            <w:pPr>
              <w:snapToGrid w:val="0"/>
              <w:jc w:val="center"/>
              <w:rPr>
                <w:kern w:val="0"/>
              </w:rPr>
            </w:pPr>
            <w:r>
              <w:rPr>
                <w:rFonts w:eastAsia="方正黑体_GBK"/>
                <w:kern w:val="0"/>
                <w:sz w:val="24"/>
              </w:rPr>
              <w:t>整改目标</w:t>
            </w:r>
          </w:p>
        </w:tc>
        <w:tc>
          <w:tcPr>
            <w:tcW w:w="7051" w:type="dxa"/>
            <w:vAlign w:val="center"/>
          </w:tcPr>
          <w:p>
            <w:pPr>
              <w:pStyle w:val="2"/>
              <w:keepNext/>
              <w:keepLines/>
              <w:pageBreakBefore w:val="0"/>
              <w:widowControl w:val="0"/>
              <w:kinsoku/>
              <w:wordWrap/>
              <w:overflowPunct/>
              <w:topLinePunct w:val="0"/>
              <w:autoSpaceDE/>
              <w:autoSpaceDN/>
              <w:bidi w:val="0"/>
              <w:adjustRightInd/>
              <w:snapToGrid/>
              <w:spacing w:before="0" w:after="0" w:line="320" w:lineRule="exact"/>
              <w:ind w:left="0" w:leftChars="0" w:right="0" w:rightChars="0" w:firstLine="480" w:firstLineChars="200"/>
              <w:jc w:val="both"/>
              <w:textAlignment w:val="auto"/>
              <w:outlineLvl w:val="0"/>
              <w:rPr>
                <w:rFonts w:ascii="Times New Roman" w:hAnsi="Times New Roman"/>
              </w:rPr>
            </w:pPr>
            <w:r>
              <w:rPr>
                <w:rFonts w:hint="eastAsia" w:ascii="方正楷体_GBK" w:hAnsi="方正楷体_GBK" w:eastAsia="方正楷体_GBK" w:cs="方正楷体_GBK"/>
                <w:b w:val="0"/>
                <w:bCs/>
                <w:i w:val="0"/>
                <w:color w:val="auto"/>
                <w:kern w:val="0"/>
                <w:sz w:val="24"/>
                <w:szCs w:val="24"/>
                <w:u w:val="none"/>
                <w:lang w:val="en-US" w:eastAsia="zh-CN" w:bidi="ar"/>
              </w:rPr>
              <w:t>加强水土保持宣传，提升各级各部门水土保持工作主动性。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jc w:val="center"/>
        </w:trPr>
        <w:tc>
          <w:tcPr>
            <w:tcW w:w="2009" w:type="dxa"/>
            <w:vAlign w:val="center"/>
          </w:tcPr>
          <w:p>
            <w:pPr>
              <w:snapToGrid w:val="0"/>
              <w:jc w:val="center"/>
              <w:rPr>
                <w:kern w:val="0"/>
              </w:rPr>
            </w:pPr>
            <w:r>
              <w:rPr>
                <w:rFonts w:eastAsia="方正黑体_GBK"/>
                <w:kern w:val="0"/>
                <w:sz w:val="24"/>
              </w:rPr>
              <w:t>整改措施及成效</w:t>
            </w:r>
          </w:p>
        </w:tc>
        <w:tc>
          <w:tcPr>
            <w:tcW w:w="7051" w:type="dxa"/>
          </w:tcPr>
          <w:p>
            <w:pPr>
              <w:pStyle w:val="2"/>
              <w:keepNext/>
              <w:keepLines/>
              <w:pageBreakBefore w:val="0"/>
              <w:widowControl w:val="0"/>
              <w:kinsoku/>
              <w:wordWrap/>
              <w:overflowPunct/>
              <w:topLinePunct w:val="0"/>
              <w:autoSpaceDE/>
              <w:autoSpaceDN/>
              <w:bidi w:val="0"/>
              <w:adjustRightInd/>
              <w:snapToGrid/>
              <w:spacing w:before="0" w:after="0" w:line="320" w:lineRule="exact"/>
              <w:ind w:left="0" w:leftChars="0" w:right="0" w:rightChars="0" w:firstLine="480" w:firstLineChars="200"/>
              <w:jc w:val="left"/>
              <w:textAlignment w:val="auto"/>
              <w:outlineLvl w:val="0"/>
              <w:rPr>
                <w:rFonts w:hint="eastAsia" w:eastAsia="方正楷体_GBK"/>
                <w:b w:val="0"/>
                <w:bCs/>
                <w:kern w:val="0"/>
                <w:sz w:val="24"/>
                <w:lang w:val="en-US" w:eastAsia="zh-CN"/>
              </w:rPr>
            </w:pPr>
            <w:r>
              <w:rPr>
                <w:rFonts w:hint="eastAsia" w:eastAsia="方正楷体_GBK"/>
                <w:b w:val="0"/>
                <w:bCs/>
                <w:kern w:val="0"/>
                <w:sz w:val="24"/>
                <w:lang w:val="en-US" w:eastAsia="zh-CN"/>
              </w:rPr>
              <w:t>一是印发《云阳县水土保持委员会办公室关于进一步落实生产建设项目水土保持“三同时”制度的通知》和《云阳县水利局关于规范水利行政审批服务工作的函》，落实生产建设项目水土保持“三同时”制度、水土流失综合治理、水土保持监测和监督及法律责任等方面内容。二是印发《水土保持法律法规汇编》和《生产建设项目水土保持方案审批服务指南》等宣传资料300余册，通过节点日期宣传活动和日常监管发放。三是在生产建设项目事中监管过程中举办水土保持法律法规微讲座。进一步加强县政府系统领导干部、乡镇部门、重点行业项目业主和广大人民群众的水土保持意识。</w:t>
            </w:r>
          </w:p>
          <w:p>
            <w:pPr>
              <w:pStyle w:val="2"/>
              <w:keepNext/>
              <w:keepLines/>
              <w:pageBreakBefore w:val="0"/>
              <w:widowControl w:val="0"/>
              <w:kinsoku/>
              <w:wordWrap/>
              <w:overflowPunct/>
              <w:topLinePunct w:val="0"/>
              <w:autoSpaceDE/>
              <w:autoSpaceDN/>
              <w:bidi w:val="0"/>
              <w:adjustRightInd/>
              <w:snapToGrid/>
              <w:spacing w:before="0" w:after="0" w:line="320" w:lineRule="exact"/>
              <w:ind w:left="0" w:leftChars="0" w:right="0" w:rightChars="0" w:firstLine="480" w:firstLineChars="200"/>
              <w:jc w:val="both"/>
              <w:textAlignment w:val="auto"/>
              <w:outlineLvl w:val="0"/>
              <w:rPr>
                <w:rFonts w:ascii="Times New Roman" w:hAnsi="Times New Roman"/>
              </w:rPr>
            </w:pPr>
            <w:r>
              <w:rPr>
                <w:rFonts w:hint="eastAsia" w:eastAsia="方正楷体_GBK"/>
                <w:b w:val="0"/>
                <w:bCs/>
                <w:kern w:val="0"/>
                <w:sz w:val="24"/>
                <w:lang w:val="en-US" w:eastAsia="zh-CN"/>
              </w:rPr>
              <w:t>通过以上措施，建立完善了县级水土保持全链条监管信息共享平台。县发展改革委、县经济信息委、县交通局、县规划自然资源局、县生态环境局、县住房城乡建委、县城市管理局、县交通局等各类生产建设项目投资和行业主管部门，以《国家发展改革委关于加强投资数据资源共享持续深化投资审批“一网通办”的指导意见》和市政府关于政务服务事项“全渝通办”的工作要求，全面推进政务服务事项网上办理，将生产建设项目审批（备案、核准）、选址意见（用地规划许可）、施工许可、开工备案、完工、竣工验收、水土保持方案审批、水土保持补偿费缴纳、水土保持设施验收等数据通过市政务数据资源共享系统实时共享，确保监管信息全过程全覆盖，实现生产建设项目水土保持事前事中事后全流程监管信息安全高效优质的互通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09" w:type="dxa"/>
            <w:vAlign w:val="center"/>
          </w:tcPr>
          <w:p>
            <w:pPr>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rPr>
                <w:kern w:val="0"/>
              </w:rPr>
            </w:pPr>
            <w:r>
              <w:rPr>
                <w:rFonts w:eastAsia="方正黑体_GBK"/>
                <w:kern w:val="0"/>
                <w:sz w:val="24"/>
              </w:rPr>
              <w:t>整改时间</w:t>
            </w:r>
          </w:p>
        </w:tc>
        <w:tc>
          <w:tcPr>
            <w:tcW w:w="7051" w:type="dxa"/>
            <w:vAlign w:val="center"/>
          </w:tcPr>
          <w:p>
            <w:pPr>
              <w:pStyle w:val="2"/>
              <w:pageBreakBefore w:val="0"/>
              <w:widowControl w:val="0"/>
              <w:kinsoku/>
              <w:wordWrap/>
              <w:overflowPunct/>
              <w:topLinePunct w:val="0"/>
              <w:autoSpaceDE/>
              <w:autoSpaceDN/>
              <w:bidi w:val="0"/>
              <w:adjustRightInd/>
              <w:spacing w:before="0" w:after="0" w:line="320" w:lineRule="exact"/>
              <w:ind w:left="0" w:leftChars="0" w:right="0" w:rightChars="0" w:firstLine="0" w:firstLineChars="0"/>
              <w:jc w:val="center"/>
              <w:textAlignment w:val="auto"/>
              <w:outlineLvl w:val="0"/>
              <w:rPr>
                <w:rFonts w:ascii="Times New Roman" w:hAnsi="Times New Roman"/>
              </w:rPr>
            </w:pPr>
            <w:r>
              <w:rPr>
                <w:rFonts w:hint="eastAsia" w:ascii="方正楷体_GBK" w:hAnsi="方正楷体_GBK" w:eastAsia="方正楷体_GBK" w:cs="方正楷体_GBK"/>
                <w:b w:val="0"/>
                <w:bCs/>
                <w:color w:val="auto"/>
                <w:kern w:val="0"/>
                <w:sz w:val="24"/>
                <w:szCs w:val="24"/>
                <w:lang w:val="en-US" w:eastAsia="zh-CN"/>
              </w:rPr>
              <w:t>2021</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7</w:t>
            </w:r>
            <w:r>
              <w:rPr>
                <w:rFonts w:hint="eastAsia" w:ascii="方正楷体_GBK" w:hAnsi="方正楷体_GBK" w:eastAsia="方正楷体_GBK" w:cs="方正楷体_GBK"/>
                <w:b w:val="0"/>
                <w:bCs/>
                <w:color w:val="auto"/>
                <w:kern w:val="0"/>
                <w:sz w:val="24"/>
                <w:szCs w:val="24"/>
              </w:rPr>
              <w:t>月至</w:t>
            </w:r>
            <w:bookmarkStart w:id="0" w:name="_GoBack"/>
            <w:bookmarkEnd w:id="0"/>
            <w:r>
              <w:rPr>
                <w:rFonts w:hint="eastAsia" w:ascii="方正楷体_GBK" w:hAnsi="方正楷体_GBK" w:eastAsia="方正楷体_GBK" w:cs="方正楷体_GBK"/>
                <w:b w:val="0"/>
                <w:bCs/>
                <w:color w:val="auto"/>
                <w:kern w:val="0"/>
                <w:sz w:val="24"/>
                <w:szCs w:val="24"/>
                <w:lang w:val="en-US" w:eastAsia="zh-CN"/>
              </w:rPr>
              <w:t>2022</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6</w:t>
            </w:r>
            <w:r>
              <w:rPr>
                <w:rFonts w:hint="eastAsia" w:ascii="方正楷体_GBK" w:hAnsi="方正楷体_GBK" w:eastAsia="方正楷体_GBK" w:cs="方正楷体_GBK"/>
                <w:b w:val="0"/>
                <w:bCs/>
                <w:color w:val="auto"/>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09" w:type="dxa"/>
            <w:vAlign w:val="center"/>
          </w:tcPr>
          <w:p>
            <w:pPr>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rPr>
                <w:kern w:val="0"/>
              </w:rPr>
            </w:pPr>
            <w:r>
              <w:rPr>
                <w:rFonts w:eastAsia="方正黑体_GBK"/>
                <w:kern w:val="0"/>
                <w:sz w:val="24"/>
              </w:rPr>
              <w:t>社会监督联系人及电话</w:t>
            </w:r>
          </w:p>
        </w:tc>
        <w:tc>
          <w:tcPr>
            <w:tcW w:w="7051" w:type="dxa"/>
            <w:vAlign w:val="center"/>
          </w:tcPr>
          <w:p>
            <w:pPr>
              <w:pStyle w:val="2"/>
              <w:pageBreakBefore w:val="0"/>
              <w:widowControl w:val="0"/>
              <w:kinsoku/>
              <w:wordWrap/>
              <w:overflowPunct/>
              <w:topLinePunct w:val="0"/>
              <w:autoSpaceDE/>
              <w:autoSpaceDN/>
              <w:bidi w:val="0"/>
              <w:adjustRightInd/>
              <w:spacing w:before="0" w:after="0" w:line="320" w:lineRule="exact"/>
              <w:ind w:left="0" w:leftChars="0" w:right="0" w:rightChars="0" w:firstLine="0" w:firstLineChars="0"/>
              <w:jc w:val="center"/>
              <w:textAlignment w:val="auto"/>
              <w:outlineLvl w:val="0"/>
              <w:rPr>
                <w:rFonts w:ascii="Times New Roman" w:hAnsi="Times New Roman"/>
              </w:rPr>
            </w:pPr>
            <w:r>
              <w:rPr>
                <w:rFonts w:hint="eastAsia" w:ascii="方正楷体_GBK" w:hAnsi="方正楷体_GBK" w:eastAsia="方正楷体_GBK" w:cs="方正楷体_GBK"/>
                <w:b w:val="0"/>
                <w:bCs/>
                <w:color w:val="auto"/>
                <w:kern w:val="0"/>
                <w:sz w:val="24"/>
                <w:szCs w:val="24"/>
              </w:rPr>
              <w:t>熊敏55181535</w:t>
            </w:r>
          </w:p>
        </w:tc>
      </w:tr>
    </w:tbl>
    <w:p>
      <w:pPr>
        <w:snapToGrid w:val="0"/>
        <w:jc w:val="left"/>
        <w:rPr>
          <w:rFonts w:hint="eastAsia" w:ascii="Calibri" w:hAnsi="Calibri" w:eastAsia="方正楷体_GBK" w:cs="Times New Roman"/>
          <w:b w:val="0"/>
          <w:bCs/>
          <w:kern w:val="0"/>
          <w:sz w:val="24"/>
          <w:szCs w:val="24"/>
          <w:lang w:val="en-US" w:eastAsia="zh-CN" w:bidi="ar-SA"/>
        </w:rPr>
      </w:pPr>
    </w:p>
    <w:p>
      <w:pPr>
        <w:snapToGrid w:val="0"/>
        <w:jc w:val="left"/>
        <w:rPr>
          <w:rFonts w:hint="eastAsia" w:ascii="Calibri" w:hAnsi="Calibri" w:eastAsia="方正楷体_GBK" w:cs="Times New Roman"/>
          <w:b w:val="0"/>
          <w:bCs/>
          <w:kern w:val="0"/>
          <w:sz w:val="24"/>
          <w:szCs w:val="24"/>
          <w:lang w:val="en-US" w:eastAsia="zh-CN" w:bidi="ar-SA"/>
        </w:rPr>
      </w:pPr>
      <w:r>
        <w:rPr>
          <w:rFonts w:hint="eastAsia" w:ascii="Calibri" w:hAnsi="Calibri" w:eastAsia="方正楷体_GBK" w:cs="Times New Roman"/>
          <w:b w:val="0"/>
          <w:bCs/>
          <w:kern w:val="0"/>
          <w:sz w:val="24"/>
          <w:szCs w:val="24"/>
          <w:lang w:val="en-US" w:eastAsia="zh-CN" w:bidi="ar-SA"/>
        </w:rPr>
        <w:t>备注：社会监督联系人须由县生态环境保护督查工作领导小组办公室有关人员担任。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font-weight : 400">
    <w:altName w:val="RomanS"/>
    <w:panose1 w:val="00000000000000000000"/>
    <w:charset w:val="00"/>
    <w:family w:val="auto"/>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方正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73A8C"/>
    <w:rsid w:val="0C27449B"/>
    <w:rsid w:val="1B63790E"/>
    <w:rsid w:val="314A3EE5"/>
    <w:rsid w:val="5688046E"/>
    <w:rsid w:val="60573A8C"/>
    <w:rsid w:val="6113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b/>
      <w:kern w:val="44"/>
      <w:sz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2022-03-23T02:11:00Z</dcterms:created>
  <dc:creator>Administrator</dc:creator>
  <cp:lastModifiedBy>Administrator</cp:lastModifiedBy>
  <dcterms:modified xsi:type="dcterms:W3CDTF">2022-09-16T02:07:22Z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