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云阳县民政局</w:t>
      </w:r>
    </w:p>
    <w:p>
      <w:pPr>
        <w:keepNext w:val="0"/>
        <w:keepLines w:val="0"/>
        <w:pageBreakBefore w:val="0"/>
        <w:widowControl w:val="0"/>
        <w:kinsoku/>
        <w:wordWrap/>
        <w:overflowPunct/>
        <w:topLinePunct w:val="0"/>
        <w:autoSpaceDE/>
        <w:autoSpaceDN/>
        <w:bidi w:val="0"/>
        <w:spacing w:line="64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云阳县财政局</w:t>
      </w:r>
    </w:p>
    <w:p>
      <w:pPr>
        <w:keepNext w:val="0"/>
        <w:keepLines w:val="0"/>
        <w:pageBreakBefore w:val="0"/>
        <w:widowControl w:val="0"/>
        <w:kinsoku/>
        <w:wordWrap/>
        <w:overflowPunct/>
        <w:topLinePunct w:val="0"/>
        <w:autoSpaceDE/>
        <w:autoSpaceDN/>
        <w:bidi w:val="0"/>
        <w:spacing w:line="640" w:lineRule="exact"/>
        <w:jc w:val="center"/>
        <w:textAlignment w:val="auto"/>
        <w:rPr>
          <w:rFonts w:hint="eastAsia" w:ascii="Times New Roman" w:hAnsi="Times New Roman" w:eastAsia="方正小标宋_GBK"/>
          <w:lang w:eastAsia="zh-CN"/>
        </w:rPr>
      </w:pPr>
      <w:r>
        <w:rPr>
          <w:rFonts w:hint="eastAsia" w:ascii="Times New Roman" w:hAnsi="Times New Roman" w:eastAsia="方正小标宋_GBK" w:cs="方正小标宋_GBK"/>
          <w:sz w:val="44"/>
          <w:szCs w:val="44"/>
          <w:lang w:val="en-US" w:eastAsia="zh-CN"/>
        </w:rPr>
        <w:t>云阳县残疾人联合会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jc w:val="center"/>
        <w:textAlignment w:val="auto"/>
        <w:rPr>
          <w:rFonts w:hint="eastAsia"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关于做好经济困难失能老年人等群体</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jc w:val="center"/>
        <w:textAlignment w:val="auto"/>
        <w:rPr>
          <w:rFonts w:hint="eastAsia"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集中照护服务工作的通知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sz w:val="36"/>
          <w:szCs w:val="20"/>
        </w:rPr>
      </w:pPr>
      <w:r>
        <w:rPr>
          <w:rFonts w:hint="eastAsia" w:ascii="Times New Roman" w:hAnsi="Times New Roman" w:eastAsia="方正仿宋_GBK" w:cs="方正仿宋_GBK"/>
          <w:b w:val="0"/>
          <w:bCs w:val="0"/>
          <w:color w:val="auto"/>
          <w:spacing w:val="0"/>
          <w:w w:val="100"/>
          <w:kern w:val="2"/>
          <w:sz w:val="32"/>
          <w:szCs w:val="32"/>
          <w:u w:val="none"/>
          <w:lang w:val="en-US" w:eastAsia="zh-CN" w:bidi="ar-SA"/>
        </w:rPr>
        <w:t>云阳民发〔2025〕55号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各乡镇人民政府、街道办事处</w:t>
      </w:r>
      <w:r>
        <w:rPr>
          <w:rFonts w:hint="default" w:ascii="Times New Roman" w:hAnsi="Times New Roman" w:eastAsia="方正仿宋_GBK" w:cs="Times New Roman"/>
          <w:color w:val="auto"/>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sz w:val="32"/>
          <w:szCs w:val="32"/>
        </w:rPr>
      </w:pPr>
      <w:r>
        <w:rPr>
          <w:rFonts w:ascii="Times New Roman" w:hAnsi="Times New Roman" w:eastAsia="方正仿宋_GBK" w:cs="方正仿宋_GBK"/>
          <w:color w:val="000000"/>
          <w:kern w:val="0"/>
          <w:sz w:val="32"/>
          <w:szCs w:val="32"/>
          <w:lang w:val="en-US" w:eastAsia="zh-CN" w:bidi="ar"/>
        </w:rPr>
        <w:t>为贯彻落实积极应对人口老龄化国家战略，强化服务类社会</w:t>
      </w:r>
      <w:r>
        <w:rPr>
          <w:rFonts w:hint="eastAsia" w:ascii="Times New Roman" w:hAnsi="Times New Roman" w:eastAsia="方正仿宋_GBK" w:cs="方正仿宋_GBK"/>
          <w:color w:val="000000"/>
          <w:kern w:val="0"/>
          <w:sz w:val="32"/>
          <w:szCs w:val="32"/>
          <w:lang w:val="en-US" w:eastAsia="zh-CN" w:bidi="ar"/>
        </w:rPr>
        <w:t>救助与老年人福利有效衔接，推动集中照护服务政策更多更公平惠及经济困难老年人，构建可持续、可推广的经济困难失能老年人等群体集中照护服务模式和保障机制。根据《民政部财政部关于做好经济困难失能老年人等群体集中照护服务工作的通知》（民发〔</w:t>
      </w:r>
      <w:r>
        <w:rPr>
          <w:rFonts w:hint="default" w:ascii="Times New Roman" w:hAnsi="Times New Roman" w:eastAsia="方正仿宋_GBK" w:cs="方正仿宋_GBK"/>
          <w:color w:val="000000"/>
          <w:kern w:val="0"/>
          <w:sz w:val="32"/>
          <w:szCs w:val="32"/>
          <w:lang w:val="en-US" w:eastAsia="zh-CN" w:bidi="ar"/>
        </w:rPr>
        <w:t>2024</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73</w:t>
      </w:r>
      <w:r>
        <w:rPr>
          <w:rFonts w:hint="eastAsia" w:ascii="Times New Roman" w:hAnsi="Times New Roman" w:eastAsia="方正仿宋_GBK" w:cs="方正仿宋_GBK"/>
          <w:color w:val="000000"/>
          <w:kern w:val="0"/>
          <w:sz w:val="32"/>
          <w:szCs w:val="32"/>
          <w:lang w:val="en-US" w:eastAsia="zh-CN" w:bidi="ar"/>
        </w:rPr>
        <w:t>号）和《重庆市民政局重庆市财政局重庆市残疾人联合会关于做好经济困难失能老年人等群体集中照护服务工作的通知》（渝民</w:t>
      </w:r>
      <w:r>
        <w:rPr>
          <w:rFonts w:ascii="Times New Roman" w:hAnsi="Times New Roman" w:eastAsia="方正仿宋_GBK" w:cs="方正仿宋_GBK"/>
          <w:color w:val="000000"/>
          <w:kern w:val="0"/>
          <w:sz w:val="32"/>
          <w:szCs w:val="32"/>
          <w:lang w:val="en-US" w:eastAsia="zh-CN" w:bidi="ar"/>
        </w:rPr>
        <w:t>规〔</w:t>
      </w:r>
      <w:r>
        <w:rPr>
          <w:rFonts w:hint="default" w:ascii="Times New Roman" w:hAnsi="Times New Roman" w:eastAsia="宋体" w:cs="Times New Roman"/>
          <w:color w:val="000000"/>
          <w:kern w:val="0"/>
          <w:sz w:val="32"/>
          <w:szCs w:val="32"/>
          <w:lang w:val="en-US" w:eastAsia="zh-CN" w:bidi="ar"/>
        </w:rPr>
        <w:t>2025</w:t>
      </w:r>
      <w:r>
        <w:rPr>
          <w:rFonts w:hint="eastAsia" w:ascii="Times New Roman" w:hAnsi="Times New Roman" w:eastAsia="方正仿宋_GBK" w:cs="方正仿宋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Times New Roman" w:hAnsi="Times New Roman" w:eastAsia="方正仿宋_GBK" w:cs="方正仿宋_GBK"/>
          <w:color w:val="000000"/>
          <w:kern w:val="0"/>
          <w:sz w:val="32"/>
          <w:szCs w:val="32"/>
          <w:lang w:val="en-US" w:eastAsia="zh-CN" w:bidi="ar"/>
        </w:rPr>
        <w:t>号</w:t>
      </w:r>
      <w:r>
        <w:rPr>
          <w:rFonts w:hint="eastAsia" w:ascii="Times New Roman" w:hAnsi="Times New Roman" w:cs="方正仿宋_GBK"/>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要求，</w:t>
      </w:r>
      <w:r>
        <w:rPr>
          <w:rFonts w:hint="eastAsia" w:ascii="Times New Roman" w:hAnsi="Times New Roman" w:eastAsia="方正仿宋_GBK" w:cs="方正仿宋_GBK"/>
          <w:color w:val="000000"/>
          <w:kern w:val="0"/>
          <w:sz w:val="32"/>
          <w:szCs w:val="32"/>
          <w:lang w:val="en-US" w:eastAsia="zh-CN" w:bidi="ar"/>
        </w:rPr>
        <w:t>在全县范围内</w:t>
      </w:r>
      <w:r>
        <w:rPr>
          <w:rFonts w:hint="eastAsia" w:ascii="Times New Roman" w:hAnsi="Times New Roman" w:eastAsia="方正仿宋_GBK" w:cs="方正仿宋_GBK"/>
          <w:color w:val="000000"/>
          <w:kern w:val="0"/>
          <w:sz w:val="32"/>
          <w:szCs w:val="32"/>
          <w:lang w:val="en-US" w:eastAsia="zh-CN" w:bidi="ar"/>
        </w:rPr>
        <w:t>组织开展支持经济困难失能老年人等群体集中照护服务工作。现就有关事项通知如下。</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default" w:ascii="Times New Roman" w:hAnsi="Times New Roman" w:eastAsia="方正黑体_GBK" w:cs="Times New Roman"/>
          <w:color w:val="auto"/>
          <w:sz w:val="32"/>
          <w:szCs w:val="32"/>
        </w:rPr>
        <w:t>一、</w:t>
      </w:r>
      <w:r>
        <w:rPr>
          <w:rFonts w:ascii="Times New Roman" w:hAnsi="Times New Roman" w:eastAsia="方正黑体_GBK" w:cs="方正黑体_GBK"/>
          <w:color w:val="000000"/>
          <w:kern w:val="0"/>
          <w:sz w:val="32"/>
          <w:szCs w:val="32"/>
          <w:lang w:val="en-US" w:eastAsia="zh-CN" w:bidi="ar"/>
        </w:rPr>
        <w:t>对象范围</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（一）经济困难失能老年人。</w:t>
      </w:r>
      <w:r>
        <w:rPr>
          <w:rFonts w:ascii="Times New Roman" w:hAnsi="Times New Roman" w:eastAsia="方正仿宋_GBK" w:cs="方正仿宋_GBK"/>
          <w:color w:val="000000"/>
          <w:kern w:val="0"/>
          <w:sz w:val="32"/>
          <w:szCs w:val="32"/>
          <w:lang w:val="en-US" w:eastAsia="zh-CN" w:bidi="ar"/>
        </w:rPr>
        <w:t>纳入最低生活保障范围，自愿</w:t>
      </w:r>
      <w:r>
        <w:rPr>
          <w:rFonts w:hint="eastAsia" w:ascii="Times New Roman" w:hAnsi="Times New Roman" w:eastAsia="方正仿宋_GBK" w:cs="方正仿宋_GBK"/>
          <w:color w:val="000000"/>
          <w:kern w:val="0"/>
          <w:sz w:val="32"/>
          <w:szCs w:val="32"/>
          <w:lang w:val="en-US" w:eastAsia="zh-CN" w:bidi="ar"/>
        </w:rPr>
        <w:t>入住养老机构的失能老年人（经评估为中度失能、重度失能、完全失能、年龄在</w:t>
      </w:r>
      <w:r>
        <w:rPr>
          <w:rFonts w:hint="default" w:ascii="Times New Roman" w:hAnsi="Times New Roman" w:eastAsia="宋体" w:cs="Times New Roman"/>
          <w:color w:val="000000"/>
          <w:kern w:val="0"/>
          <w:sz w:val="32"/>
          <w:szCs w:val="32"/>
          <w:lang w:val="en-US" w:eastAsia="zh-CN" w:bidi="ar"/>
        </w:rPr>
        <w:t>60</w:t>
      </w:r>
      <w:r>
        <w:rPr>
          <w:rFonts w:hint="eastAsia" w:ascii="Times New Roman" w:hAnsi="Times New Roman" w:eastAsia="方正仿宋_GBK" w:cs="方正仿宋_GBK"/>
          <w:color w:val="000000"/>
          <w:kern w:val="0"/>
          <w:sz w:val="32"/>
          <w:szCs w:val="32"/>
          <w:lang w:val="en-US" w:eastAsia="zh-CN" w:bidi="ar"/>
        </w:rPr>
        <w:t>周岁及以上的老年人）和高龄老年人（年龄在</w:t>
      </w:r>
      <w:r>
        <w:rPr>
          <w:rFonts w:hint="default" w:ascii="Times New Roman" w:hAnsi="Times New Roman" w:eastAsia="宋体" w:cs="Times New Roman"/>
          <w:color w:val="000000"/>
          <w:kern w:val="0"/>
          <w:sz w:val="32"/>
          <w:szCs w:val="32"/>
          <w:lang w:val="en-US" w:eastAsia="zh-CN" w:bidi="ar"/>
        </w:rPr>
        <w:t>80</w:t>
      </w:r>
      <w:r>
        <w:rPr>
          <w:rFonts w:hint="eastAsia" w:ascii="Times New Roman" w:hAnsi="Times New Roman" w:eastAsia="方正仿宋_GBK" w:cs="方正仿宋_GBK"/>
          <w:color w:val="000000"/>
          <w:kern w:val="0"/>
          <w:sz w:val="32"/>
          <w:szCs w:val="32"/>
          <w:lang w:val="en-US" w:eastAsia="zh-CN" w:bidi="ar"/>
        </w:rPr>
        <w:t>周岁及以上的老年人）。</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（二）重度残疾人。</w:t>
      </w:r>
      <w:r>
        <w:rPr>
          <w:rFonts w:hint="eastAsia" w:ascii="Times New Roman" w:hAnsi="Times New Roman" w:eastAsia="方正仿宋_GBK" w:cs="方正仿宋_GBK"/>
          <w:color w:val="000000"/>
          <w:kern w:val="0"/>
          <w:sz w:val="32"/>
          <w:szCs w:val="32"/>
          <w:lang w:val="en-US" w:eastAsia="zh-CN" w:bidi="ar"/>
        </w:rPr>
        <w:t>“老年父母（年龄在</w:t>
      </w:r>
      <w:r>
        <w:rPr>
          <w:rFonts w:hint="default" w:ascii="Times New Roman" w:hAnsi="Times New Roman" w:eastAsia="宋体" w:cs="Times New Roman"/>
          <w:color w:val="000000"/>
          <w:kern w:val="0"/>
          <w:sz w:val="32"/>
          <w:szCs w:val="32"/>
          <w:lang w:val="en-US" w:eastAsia="zh-CN" w:bidi="ar"/>
        </w:rPr>
        <w:t>60</w:t>
      </w:r>
      <w:r>
        <w:rPr>
          <w:rFonts w:hint="eastAsia" w:ascii="Times New Roman" w:hAnsi="Times New Roman" w:eastAsia="方正仿宋_GBK" w:cs="方正仿宋_GBK"/>
          <w:color w:val="000000"/>
          <w:kern w:val="0"/>
          <w:sz w:val="32"/>
          <w:szCs w:val="32"/>
          <w:lang w:val="en-US" w:eastAsia="zh-CN" w:bidi="ar"/>
        </w:rPr>
        <w:t>周岁及以上的老年人）</w:t>
      </w:r>
      <w:r>
        <w:rPr>
          <w:rFonts w:hint="default" w:ascii="Times New Roman" w:hAnsi="Times New Roman" w:eastAsia="宋体" w:cs="Times New Roman"/>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残疾子女”家庭中纳入最低生活保障范围、自愿入住养老机构的重度残疾人（包含残疾程度为一级、二级的残疾人，三级、四级智力残疾人）。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kern w:val="2"/>
          <w:sz w:val="32"/>
          <w:szCs w:val="32"/>
          <w:lang w:val="en-US" w:eastAsia="zh-CN" w:bidi="ar-SA"/>
        </w:rPr>
        <w:t>二、</w:t>
      </w:r>
      <w:r>
        <w:rPr>
          <w:rFonts w:hint="eastAsia" w:ascii="Times New Roman" w:hAnsi="Times New Roman" w:eastAsia="方正黑体_GBK" w:cs="Times New Roman"/>
          <w:color w:val="auto"/>
          <w:sz w:val="32"/>
          <w:szCs w:val="32"/>
          <w:lang w:eastAsia="zh-CN"/>
        </w:rPr>
        <w:t>补助标准</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ascii="Times New Roman" w:hAnsi="Times New Roman" w:eastAsia="方正仿宋_GBK" w:cs="方正仿宋_GBK"/>
          <w:color w:val="000000"/>
          <w:kern w:val="0"/>
          <w:sz w:val="32"/>
          <w:szCs w:val="32"/>
          <w:lang w:val="en-US" w:eastAsia="zh-CN" w:bidi="ar"/>
        </w:rPr>
        <w:t>按照分层分类社会救助体系总体要求，合</w:t>
      </w:r>
      <w:r>
        <w:rPr>
          <w:rFonts w:hint="eastAsia" w:ascii="Times New Roman" w:hAnsi="Times New Roman" w:eastAsia="方正仿宋_GBK" w:cs="方正仿宋_GBK"/>
          <w:color w:val="000000"/>
          <w:kern w:val="0"/>
          <w:sz w:val="32"/>
          <w:szCs w:val="32"/>
          <w:lang w:val="en-US" w:eastAsia="zh-CN" w:bidi="ar"/>
        </w:rPr>
        <w:t>理确定经济困难失能老年人等群体集中照护服务标准和补助标准。遵循以下原则。</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（一）集中</w:t>
      </w:r>
      <w:r>
        <w:rPr>
          <w:rFonts w:hint="eastAsia" w:ascii="Times New Roman" w:hAnsi="Times New Roman" w:eastAsia="方正仿宋_GBK" w:cs="方正仿宋_GBK"/>
          <w:color w:val="000000"/>
          <w:kern w:val="0"/>
          <w:sz w:val="32"/>
          <w:szCs w:val="32"/>
          <w:lang w:val="en-US" w:eastAsia="zh-CN" w:bidi="ar"/>
        </w:rPr>
        <w:t>照护服务标准原则上不得超过本县特困人员基本生活标准和全护理照料补贴的总额。</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（二）补助标准按照集中照护服务标准与本县最</w:t>
      </w:r>
      <w:r>
        <w:rPr>
          <w:rFonts w:hint="eastAsia" w:ascii="Times New Roman" w:hAnsi="Times New Roman" w:eastAsia="方正仿宋_GBK" w:cs="方正仿宋_GBK"/>
          <w:color w:val="000000"/>
          <w:kern w:val="0"/>
          <w:sz w:val="32"/>
          <w:szCs w:val="32"/>
          <w:lang w:val="en-US" w:eastAsia="zh-CN" w:bidi="ar"/>
        </w:rPr>
        <w:t>低生活保障标准的差额确定，并相应扣除经济困难失能老年人的养老服务补贴和残疾人“两项补贴”。</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cs="方正仿宋_GBK"/>
          <w:color w:val="000000"/>
          <w:kern w:val="0"/>
          <w:sz w:val="32"/>
          <w:szCs w:val="32"/>
          <w:lang w:val="en-US" w:eastAsia="zh-CN" w:bidi="ar"/>
        </w:rPr>
        <w:t>（三）享受长期护理保险人员已经通过基金支付基本护理服务费用的，不纳入补助范围。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三、工作流程</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ascii="Times New Roman" w:hAnsi="Times New Roman" w:eastAsia="方正楷体_GBK" w:cs="方正楷体_GBK"/>
          <w:color w:val="000000"/>
          <w:kern w:val="0"/>
          <w:sz w:val="32"/>
          <w:szCs w:val="32"/>
          <w:lang w:val="en-US" w:eastAsia="zh-CN" w:bidi="ar"/>
        </w:rPr>
        <w:t>（一）自愿申请</w:t>
      </w:r>
      <w:r>
        <w:rPr>
          <w:rFonts w:ascii="Times New Roman" w:hAnsi="Times New Roman" w:eastAsia="方正仿宋_GBK" w:cs="方正仿宋_GBK"/>
          <w:color w:val="000000"/>
          <w:kern w:val="0"/>
          <w:sz w:val="32"/>
          <w:szCs w:val="32"/>
          <w:lang w:val="en-US" w:eastAsia="zh-CN" w:bidi="ar"/>
        </w:rPr>
        <w:t>。经济困难失能老年人等群体可根据自身情</w:t>
      </w:r>
      <w:r>
        <w:rPr>
          <w:rFonts w:hint="eastAsia" w:ascii="Times New Roman" w:hAnsi="Times New Roman" w:eastAsia="方正仿宋_GBK" w:cs="方正仿宋_GBK"/>
          <w:color w:val="000000"/>
          <w:kern w:val="0"/>
          <w:sz w:val="32"/>
          <w:szCs w:val="32"/>
          <w:lang w:val="en-US" w:eastAsia="zh-CN" w:bidi="ar"/>
        </w:rPr>
        <w:t>况和个人意愿选择入住养老机构，并向户籍所在地的乡镇（街道）申请。同时，通过常态化探访关爱或能力评估等途径发现符合条件的老年人，可指导其按意愿向户籍所在地的乡镇（街道）申请。乡镇（街道）接到申请后，在</w:t>
      </w:r>
      <w:r>
        <w:rPr>
          <w:rFonts w:hint="default" w:ascii="Times New Roman" w:hAnsi="Times New Roman" w:eastAsia="宋体" w:cs="Times New Roman"/>
          <w:color w:val="000000"/>
          <w:kern w:val="0"/>
          <w:sz w:val="32"/>
          <w:szCs w:val="32"/>
          <w:lang w:val="en-US" w:eastAsia="zh-CN" w:bidi="ar"/>
        </w:rPr>
        <w:t>10</w:t>
      </w:r>
      <w:r>
        <w:rPr>
          <w:rFonts w:hint="eastAsia" w:ascii="Times New Roman" w:hAnsi="Times New Roman" w:eastAsia="方正仿宋_GBK" w:cs="方正仿宋_GBK"/>
          <w:color w:val="000000"/>
          <w:kern w:val="0"/>
          <w:sz w:val="32"/>
          <w:szCs w:val="32"/>
          <w:lang w:val="en-US" w:eastAsia="zh-CN" w:bidi="ar"/>
        </w:rPr>
        <w:t>个工作日内进行初审并汇总报送县</w:t>
      </w:r>
      <w:r>
        <w:rPr>
          <w:rFonts w:hint="eastAsia" w:ascii="Times New Roman" w:hAnsi="Times New Roman" w:eastAsia="方正仿宋_GBK" w:cs="方正仿宋_GBK"/>
          <w:color w:val="000000"/>
          <w:kern w:val="0"/>
          <w:sz w:val="32"/>
          <w:szCs w:val="32"/>
          <w:lang w:val="en-US" w:eastAsia="zh-CN" w:bidi="ar"/>
        </w:rPr>
        <w:t>民政局。</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（二）能力评估</w:t>
      </w:r>
      <w:r>
        <w:rPr>
          <w:rFonts w:hint="eastAsia" w:ascii="Times New Roman" w:hAnsi="Times New Roman" w:eastAsia="方正仿宋_GBK" w:cs="方正仿宋_GBK"/>
          <w:color w:val="000000"/>
          <w:kern w:val="0"/>
          <w:sz w:val="32"/>
          <w:szCs w:val="32"/>
          <w:lang w:val="en-US" w:eastAsia="zh-CN" w:bidi="ar"/>
        </w:rPr>
        <w:t>。县</w:t>
      </w:r>
      <w:r>
        <w:rPr>
          <w:rFonts w:hint="eastAsia" w:ascii="Times New Roman" w:hAnsi="Times New Roman" w:eastAsia="方正仿宋_GBK" w:cs="方正仿宋_GBK"/>
          <w:color w:val="000000"/>
          <w:kern w:val="0"/>
          <w:sz w:val="32"/>
          <w:szCs w:val="32"/>
          <w:lang w:val="en-US" w:eastAsia="zh-CN" w:bidi="ar"/>
        </w:rPr>
        <w:t>民政局在收到申请</w:t>
      </w:r>
      <w:r>
        <w:rPr>
          <w:rFonts w:hint="eastAsia" w:ascii="Times New Roman" w:hAnsi="Times New Roman" w:eastAsia="方正仿宋_GBK" w:cs="方正仿宋_GBK"/>
          <w:color w:val="000000"/>
          <w:kern w:val="0"/>
          <w:sz w:val="32"/>
          <w:szCs w:val="32"/>
          <w:lang w:val="en-US" w:eastAsia="zh-CN" w:bidi="ar"/>
        </w:rPr>
        <w:t>后</w:t>
      </w:r>
      <w:r>
        <w:rPr>
          <w:rFonts w:hint="default" w:ascii="Times New Roman" w:hAnsi="Times New Roman" w:eastAsia="宋体" w:cs="Times New Roman"/>
          <w:color w:val="000000"/>
          <w:kern w:val="0"/>
          <w:sz w:val="32"/>
          <w:szCs w:val="32"/>
          <w:lang w:val="en-US" w:eastAsia="zh-CN" w:bidi="ar"/>
        </w:rPr>
        <w:t>10</w:t>
      </w:r>
      <w:r>
        <w:rPr>
          <w:rFonts w:hint="eastAsia" w:ascii="Times New Roman" w:hAnsi="Times New Roman" w:eastAsia="方正仿宋_GBK" w:cs="方正仿宋_GBK"/>
          <w:color w:val="000000"/>
          <w:kern w:val="0"/>
          <w:sz w:val="32"/>
          <w:szCs w:val="32"/>
          <w:lang w:val="en-US" w:eastAsia="zh-CN" w:bidi="ar"/>
        </w:rPr>
        <w:t>个工作日内根据《老年人能力评估规范》（</w:t>
      </w:r>
      <w:r>
        <w:rPr>
          <w:rFonts w:hint="default" w:ascii="Times New Roman" w:hAnsi="Times New Roman" w:eastAsia="宋体" w:cs="Times New Roman"/>
          <w:color w:val="000000"/>
          <w:kern w:val="0"/>
          <w:sz w:val="32"/>
          <w:szCs w:val="32"/>
          <w:lang w:val="en-US" w:eastAsia="zh-CN" w:bidi="ar"/>
        </w:rPr>
        <w:t>GB/T 42195-2022</w:t>
      </w:r>
      <w:r>
        <w:rPr>
          <w:rFonts w:hint="eastAsia" w:ascii="Times New Roman" w:hAnsi="Times New Roman" w:eastAsia="方正仿宋_GBK" w:cs="方正仿宋_GBK"/>
          <w:color w:val="000000"/>
          <w:kern w:val="0"/>
          <w:sz w:val="32"/>
          <w:szCs w:val="32"/>
          <w:lang w:val="en-US" w:eastAsia="zh-CN" w:bidi="ar"/>
        </w:rPr>
        <w:t xml:space="preserve">），依法组织开展评估，确定老年人评估等级。 </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（三）入住机构。</w:t>
      </w:r>
      <w:r>
        <w:rPr>
          <w:rFonts w:hint="eastAsia" w:ascii="Times New Roman" w:hAnsi="Times New Roman" w:eastAsia="方正仿宋_GBK" w:cs="方正仿宋_GBK"/>
          <w:color w:val="000000"/>
          <w:kern w:val="0"/>
          <w:sz w:val="32"/>
          <w:szCs w:val="32"/>
          <w:lang w:val="en-US" w:eastAsia="zh-CN" w:bidi="ar"/>
        </w:rPr>
        <w:t>经评估确定为符合条件的人员，应按照就近便捷原则，选择申请入住县</w:t>
      </w:r>
      <w:r>
        <w:rPr>
          <w:rFonts w:hint="eastAsia" w:ascii="Times New Roman" w:hAnsi="Times New Roman" w:eastAsia="方正仿宋_GBK" w:cs="方正仿宋_GBK"/>
          <w:color w:val="000000"/>
          <w:kern w:val="0"/>
          <w:sz w:val="32"/>
          <w:szCs w:val="32"/>
          <w:lang w:val="en-US" w:eastAsia="zh-CN" w:bidi="ar"/>
        </w:rPr>
        <w:t>民政局公布</w:t>
      </w:r>
      <w:r>
        <w:rPr>
          <w:rFonts w:hint="eastAsia" w:ascii="Times New Roman" w:hAnsi="Times New Roman" w:eastAsia="方正仿宋_GBK" w:cs="方正仿宋_GBK"/>
          <w:color w:val="000000"/>
          <w:kern w:val="0"/>
          <w:sz w:val="32"/>
          <w:szCs w:val="32"/>
          <w:lang w:val="en-US" w:eastAsia="zh-CN" w:bidi="ar"/>
        </w:rPr>
        <w:t>的养老机构。养老机构、本人或其代理人、乡镇（街道）要签订三方协议，明确责任义务，确定照护服务等级、收费标准、缴费方式和出入院管理等内容。</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（四）申领补助。</w:t>
      </w:r>
      <w:r>
        <w:rPr>
          <w:rFonts w:hint="eastAsia" w:ascii="Times New Roman" w:hAnsi="Times New Roman" w:eastAsia="方正仿宋_GBK" w:cs="方正仿宋_GBK"/>
          <w:color w:val="000000"/>
          <w:kern w:val="0"/>
          <w:sz w:val="32"/>
          <w:szCs w:val="32"/>
          <w:lang w:val="en-US" w:eastAsia="zh-CN" w:bidi="ar"/>
        </w:rPr>
        <w:t>符合条件的人员或其代理人可以在入住养老机构满</w:t>
      </w:r>
      <w:r>
        <w:rPr>
          <w:rFonts w:hint="default" w:ascii="Times New Roman" w:hAnsi="Times New Roman" w:eastAsia="宋体" w:cs="Times New Roman"/>
          <w:color w:val="000000"/>
          <w:kern w:val="0"/>
          <w:sz w:val="32"/>
          <w:szCs w:val="32"/>
          <w:lang w:val="en-US" w:eastAsia="zh-CN" w:bidi="ar"/>
        </w:rPr>
        <w:t>30</w:t>
      </w:r>
      <w:r>
        <w:rPr>
          <w:rFonts w:hint="eastAsia" w:ascii="Times New Roman" w:hAnsi="Times New Roman" w:eastAsia="方正仿宋_GBK" w:cs="方正仿宋_GBK"/>
          <w:color w:val="000000"/>
          <w:kern w:val="0"/>
          <w:sz w:val="32"/>
          <w:szCs w:val="32"/>
          <w:lang w:val="en-US" w:eastAsia="zh-CN" w:bidi="ar"/>
        </w:rPr>
        <w:t>日后，持服务协议和有效缴费凭证（或机构同意缓缴证明），填写《经济困难失能老年人等群体集中照护服务补助申请表》（附件），向户籍所在地的乡镇（街道）申请补助，县民政</w:t>
      </w:r>
      <w:r>
        <w:rPr>
          <w:rFonts w:hint="eastAsia" w:ascii="Times New Roman" w:hAnsi="Times New Roman" w:cs="方正仿宋_GBK"/>
          <w:color w:val="000000"/>
          <w:kern w:val="0"/>
          <w:sz w:val="32"/>
          <w:szCs w:val="32"/>
          <w:lang w:val="en-US" w:eastAsia="zh-CN" w:bidi="ar"/>
        </w:rPr>
        <w:t>局</w:t>
      </w:r>
      <w:r>
        <w:rPr>
          <w:rFonts w:hint="eastAsia" w:ascii="Times New Roman" w:hAnsi="Times New Roman" w:eastAsia="方正仿宋_GBK" w:cs="方正仿宋_GBK"/>
          <w:color w:val="000000"/>
          <w:kern w:val="0"/>
          <w:sz w:val="32"/>
          <w:szCs w:val="32"/>
          <w:lang w:val="en-US" w:eastAsia="zh-CN" w:bidi="ar"/>
        </w:rPr>
        <w:t>审核。</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（五）复核审批。</w:t>
      </w:r>
      <w:r>
        <w:rPr>
          <w:rFonts w:hint="eastAsia" w:ascii="Times New Roman" w:hAnsi="Times New Roman" w:eastAsia="方正仿宋_GBK" w:cs="方正仿宋_GBK"/>
          <w:color w:val="000000"/>
          <w:kern w:val="0"/>
          <w:sz w:val="32"/>
          <w:szCs w:val="32"/>
          <w:lang w:val="en-US" w:eastAsia="zh-CN" w:bidi="ar"/>
        </w:rPr>
        <w:t>县民</w:t>
      </w:r>
      <w:r>
        <w:rPr>
          <w:rFonts w:hint="eastAsia" w:ascii="Times New Roman" w:hAnsi="Times New Roman" w:eastAsia="方正仿宋_GBK" w:cs="方正仿宋_GBK"/>
          <w:color w:val="000000"/>
          <w:kern w:val="0"/>
          <w:sz w:val="32"/>
          <w:szCs w:val="32"/>
          <w:lang w:val="en-US" w:eastAsia="zh-CN" w:bidi="ar"/>
        </w:rPr>
        <w:t>政局对申请对象实际入住养老机构及收费标准，已享受最低生活保障、养老服务</w:t>
      </w:r>
      <w:r>
        <w:rPr>
          <w:rFonts w:hint="eastAsia" w:ascii="Times New Roman" w:hAnsi="Times New Roman" w:eastAsia="方正仿宋_GBK" w:cs="方正仿宋_GBK"/>
          <w:color w:val="000000"/>
          <w:kern w:val="0"/>
          <w:sz w:val="32"/>
          <w:szCs w:val="32"/>
          <w:lang w:val="en-US" w:eastAsia="zh-CN" w:bidi="ar"/>
        </w:rPr>
        <w:t>补贴和残疾人“两项补贴”等情况进行审核。经审核符合条件的，通过线上或线下方式进行为期</w:t>
      </w:r>
      <w:r>
        <w:rPr>
          <w:rFonts w:hint="default" w:ascii="Times New Roman" w:hAnsi="Times New Roman" w:eastAsia="宋体" w:cs="Times New Roman"/>
          <w:color w:val="000000"/>
          <w:kern w:val="0"/>
          <w:sz w:val="32"/>
          <w:szCs w:val="32"/>
          <w:lang w:val="en-US" w:eastAsia="zh-CN" w:bidi="ar"/>
        </w:rPr>
        <w:t>5</w:t>
      </w:r>
      <w:r>
        <w:rPr>
          <w:rFonts w:hint="eastAsia" w:ascii="Times New Roman" w:hAnsi="Times New Roman" w:eastAsia="方正仿宋_GBK" w:cs="方正仿宋_GBK"/>
          <w:color w:val="000000"/>
          <w:kern w:val="0"/>
          <w:sz w:val="32"/>
          <w:szCs w:val="32"/>
          <w:lang w:val="en-US" w:eastAsia="zh-CN" w:bidi="ar"/>
        </w:rPr>
        <w:t>天的公示，公示无异议后作出予以补助的决定，同时确定补助金额。经审核不符合条件的，作出不予补助的决定，同时书面告知申请对象。</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（六）资金发放</w:t>
      </w:r>
      <w:r>
        <w:rPr>
          <w:rFonts w:hint="eastAsia" w:ascii="Times New Roman" w:hAnsi="Times New Roman" w:eastAsia="方正仿宋_GBK" w:cs="方正仿宋_GBK"/>
          <w:color w:val="000000"/>
          <w:kern w:val="0"/>
          <w:sz w:val="32"/>
          <w:szCs w:val="32"/>
          <w:lang w:val="en-US" w:eastAsia="zh-CN" w:bidi="ar"/>
        </w:rPr>
        <w:t>。符合条件的人员入住养老机构后，应按月缴纳养老机构服务费。补助金从入住养老机构当月起算，于次月按月支付到申请对象本人账户。</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（七）动态管理</w:t>
      </w:r>
      <w:r>
        <w:rPr>
          <w:rFonts w:hint="eastAsia" w:ascii="Times New Roman" w:hAnsi="Times New Roman" w:eastAsia="方正仿宋_GBK" w:cs="方正仿宋_GBK"/>
          <w:color w:val="000000"/>
          <w:kern w:val="0"/>
          <w:sz w:val="32"/>
          <w:szCs w:val="32"/>
          <w:lang w:val="en-US" w:eastAsia="zh-CN" w:bidi="ar"/>
        </w:rPr>
        <w:t>。补助对象自愿退出的，从退出的次月停发补助金。补助对象不再是低保对象，处于渐退期内的，应继续发放补助金，并于渐退期结束后次月停发补助金。养老机构要建立服务对象动态管理机制和核查制度，每月核查一次。补助对象身体状况发生变化的，养老机构应及时</w:t>
      </w:r>
      <w:r>
        <w:rPr>
          <w:rFonts w:hint="eastAsia" w:ascii="Times New Roman" w:hAnsi="Times New Roman" w:eastAsia="方正仿宋_GBK" w:cs="方正仿宋_GBK"/>
          <w:color w:val="000000"/>
          <w:kern w:val="0"/>
          <w:sz w:val="32"/>
          <w:szCs w:val="32"/>
          <w:lang w:val="en-US" w:eastAsia="zh-CN" w:bidi="ar"/>
        </w:rPr>
        <w:t>向县民政局报告。县民政局</w:t>
      </w:r>
      <w:r>
        <w:rPr>
          <w:rFonts w:hint="eastAsia" w:ascii="Times New Roman" w:hAnsi="Times New Roman" w:eastAsia="方正仿宋_GBK" w:cs="方正仿宋_GBK"/>
          <w:color w:val="000000"/>
          <w:kern w:val="0"/>
          <w:sz w:val="32"/>
          <w:szCs w:val="32"/>
          <w:lang w:val="en-US" w:eastAsia="zh-CN" w:bidi="ar"/>
        </w:rPr>
        <w:t>及时组织能力评估，并根据评估结果调整补助金额。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w:t>
      </w:r>
      <w:r>
        <w:rPr>
          <w:rFonts w:hint="eastAsia" w:ascii="Times New Roman" w:hAnsi="Times New Roman" w:eastAsia="方正黑体_GBK" w:cs="Times New Roman"/>
          <w:color w:val="auto"/>
          <w:sz w:val="32"/>
          <w:szCs w:val="32"/>
          <w:lang w:eastAsia="zh-CN"/>
        </w:rPr>
        <w:t>资金</w:t>
      </w:r>
      <w:r>
        <w:rPr>
          <w:rFonts w:hint="default" w:ascii="Times New Roman" w:hAnsi="Times New Roman" w:eastAsia="方正黑体_GBK" w:cs="Times New Roman"/>
          <w:color w:val="auto"/>
          <w:sz w:val="32"/>
          <w:szCs w:val="32"/>
        </w:rPr>
        <w:t>管理</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ascii="Times New Roman" w:hAnsi="Times New Roman" w:eastAsia="方正楷体_GBK" w:cs="方正楷体_GBK"/>
          <w:color w:val="000000"/>
          <w:kern w:val="0"/>
          <w:sz w:val="32"/>
          <w:szCs w:val="32"/>
          <w:lang w:val="en-US" w:eastAsia="zh-CN" w:bidi="ar"/>
        </w:rPr>
        <w:t>（一）资金保障。</w:t>
      </w:r>
      <w:r>
        <w:rPr>
          <w:rFonts w:ascii="Times New Roman" w:hAnsi="Times New Roman" w:eastAsia="方正仿宋_GBK" w:cs="方正仿宋_GBK"/>
          <w:color w:val="000000"/>
          <w:kern w:val="0"/>
          <w:sz w:val="32"/>
          <w:szCs w:val="32"/>
          <w:lang w:val="en-US" w:eastAsia="zh-CN" w:bidi="ar"/>
        </w:rPr>
        <w:t>支持经济困难失能老年人等群体集中照护</w:t>
      </w:r>
      <w:r>
        <w:rPr>
          <w:rFonts w:hint="eastAsia" w:ascii="Times New Roman" w:hAnsi="Times New Roman" w:eastAsia="方正仿宋_GBK" w:cs="方正仿宋_GBK"/>
          <w:color w:val="000000"/>
          <w:kern w:val="0"/>
          <w:sz w:val="32"/>
          <w:szCs w:val="32"/>
          <w:lang w:val="en-US" w:eastAsia="zh-CN" w:bidi="ar"/>
        </w:rPr>
        <w:t>服务，主要通过中央财政困难群众救助补助资金渠道安排资金，对入住养老机构的经济困难失能老年人等群体给予补助。</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hint="eastAsia" w:ascii="Times New Roman" w:hAnsi="Times New Roman" w:cs="方正仿宋_GBK"/>
          <w:color w:val="000000"/>
          <w:kern w:val="0"/>
          <w:sz w:val="32"/>
          <w:szCs w:val="32"/>
          <w:lang w:val="en-US" w:eastAsia="zh-CN" w:bidi="ar"/>
        </w:rPr>
      </w:pPr>
      <w:r>
        <w:rPr>
          <w:rFonts w:hint="eastAsia" w:ascii="Times New Roman" w:hAnsi="Times New Roman" w:eastAsia="方正楷体_GBK" w:cs="方正楷体_GBK"/>
          <w:color w:val="000000"/>
          <w:kern w:val="0"/>
          <w:sz w:val="32"/>
          <w:szCs w:val="32"/>
          <w:lang w:val="en-US" w:eastAsia="zh-CN" w:bidi="ar"/>
        </w:rPr>
        <w:t>（二）</w:t>
      </w:r>
      <w:r>
        <w:rPr>
          <w:rFonts w:hint="eastAsia" w:ascii="Times New Roman" w:hAnsi="Times New Roman" w:eastAsia="方正楷体_GBK" w:cs="方正楷体_GBK"/>
          <w:color w:val="000000"/>
          <w:kern w:val="0"/>
          <w:sz w:val="32"/>
          <w:szCs w:val="32"/>
          <w:lang w:val="en-US" w:eastAsia="zh-CN" w:bidi="ar"/>
        </w:rPr>
        <w:t>分配原则。</w:t>
      </w:r>
      <w:r>
        <w:rPr>
          <w:rFonts w:hint="eastAsia" w:ascii="Times New Roman" w:hAnsi="Times New Roman" w:eastAsia="方正仿宋_GBK" w:cs="方正仿宋_GBK"/>
          <w:color w:val="000000"/>
          <w:kern w:val="0"/>
          <w:sz w:val="32"/>
          <w:szCs w:val="32"/>
          <w:lang w:val="en-US" w:eastAsia="zh-CN" w:bidi="ar"/>
        </w:rPr>
        <w:t>补助资金采取因素分配法，主要</w:t>
      </w:r>
      <w:r>
        <w:rPr>
          <w:rFonts w:hint="eastAsia" w:ascii="Times New Roman" w:hAnsi="Times New Roman" w:eastAsia="方正仿宋_GBK" w:cs="方正仿宋_GBK"/>
          <w:color w:val="000000"/>
          <w:kern w:val="0"/>
          <w:sz w:val="32"/>
          <w:szCs w:val="32"/>
          <w:lang w:val="en-US" w:eastAsia="zh-CN" w:bidi="ar"/>
        </w:rPr>
        <w:t>考虑各养老机构经济困难失能老年人等群体集中照护人数和工作绩效</w:t>
      </w:r>
      <w:r>
        <w:rPr>
          <w:rFonts w:hint="eastAsia" w:ascii="Times New Roman" w:hAnsi="Times New Roman" w:eastAsia="方正仿宋_GBK" w:cs="方正仿宋_GBK"/>
          <w:color w:val="000000"/>
          <w:kern w:val="0"/>
          <w:sz w:val="32"/>
          <w:szCs w:val="32"/>
          <w:lang w:val="en-US" w:eastAsia="zh-CN" w:bidi="ar"/>
        </w:rPr>
        <w:t>因素。</w:t>
      </w:r>
    </w:p>
    <w:p>
      <w:pPr>
        <w:keepNext w:val="0"/>
        <w:keepLines w:val="0"/>
        <w:pageBreakBefore w:val="0"/>
        <w:widowControl w:val="0"/>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（三）绩效考核。</w:t>
      </w:r>
      <w:r>
        <w:rPr>
          <w:rFonts w:hint="eastAsia" w:ascii="Times New Roman" w:hAnsi="Times New Roman" w:eastAsia="方正仿宋_GBK" w:cs="方正仿宋_GBK"/>
          <w:color w:val="000000"/>
          <w:kern w:val="0"/>
          <w:sz w:val="32"/>
          <w:szCs w:val="32"/>
          <w:lang w:val="en-US" w:eastAsia="zh-CN" w:bidi="ar"/>
        </w:rPr>
        <w:t>县</w:t>
      </w:r>
      <w:r>
        <w:rPr>
          <w:rFonts w:hint="eastAsia" w:ascii="Times New Roman" w:hAnsi="Times New Roman" w:eastAsia="方正仿宋_GBK" w:cs="方正仿宋_GBK"/>
          <w:color w:val="000000"/>
          <w:kern w:val="0"/>
          <w:sz w:val="32"/>
          <w:szCs w:val="32"/>
          <w:lang w:val="en-US" w:eastAsia="zh-CN" w:bidi="ar"/>
        </w:rPr>
        <w:t>财政局会</w:t>
      </w:r>
      <w:r>
        <w:rPr>
          <w:rFonts w:hint="eastAsia" w:ascii="Times New Roman" w:hAnsi="Times New Roman" w:eastAsia="方正仿宋_GBK" w:cs="方正仿宋_GBK"/>
          <w:color w:val="000000"/>
          <w:kern w:val="0"/>
          <w:sz w:val="32"/>
          <w:szCs w:val="32"/>
          <w:lang w:val="en-US" w:eastAsia="zh-CN" w:bidi="ar"/>
        </w:rPr>
        <w:t>同县民政局对补助资</w:t>
      </w:r>
      <w:r>
        <w:rPr>
          <w:rFonts w:hint="eastAsia" w:ascii="Times New Roman" w:hAnsi="Times New Roman" w:eastAsia="方正仿宋_GBK" w:cs="方正仿宋_GBK"/>
          <w:color w:val="000000"/>
          <w:kern w:val="0"/>
          <w:sz w:val="32"/>
          <w:szCs w:val="32"/>
          <w:lang w:val="en-US" w:eastAsia="zh-CN" w:bidi="ar"/>
        </w:rPr>
        <w:t>金实施全过程进行绩效管理，并定期组织开展绩效考核评价。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五、机构管理</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ascii="Times New Roman" w:hAnsi="Times New Roman" w:eastAsia="方正楷体_GBK" w:cs="方正楷体_GBK"/>
          <w:color w:val="000000"/>
          <w:kern w:val="0"/>
          <w:sz w:val="32"/>
          <w:szCs w:val="32"/>
          <w:lang w:val="en-US" w:eastAsia="zh-CN" w:bidi="ar"/>
        </w:rPr>
        <w:t>（一）质量管理</w:t>
      </w:r>
      <w:r>
        <w:rPr>
          <w:rFonts w:ascii="Times New Roman" w:hAnsi="Times New Roman" w:eastAsia="方正仿宋_GBK" w:cs="方正仿宋_GBK"/>
          <w:color w:val="000000"/>
          <w:kern w:val="0"/>
          <w:sz w:val="32"/>
          <w:szCs w:val="32"/>
          <w:lang w:val="en-US" w:eastAsia="zh-CN" w:bidi="ar"/>
        </w:rPr>
        <w:t>。收住经济困难失能老年人等群体的养</w:t>
      </w:r>
      <w:r>
        <w:rPr>
          <w:rFonts w:hint="eastAsia" w:ascii="Times New Roman" w:hAnsi="Times New Roman" w:eastAsia="方正仿宋_GBK" w:cs="方正仿宋_GBK"/>
          <w:color w:val="000000"/>
          <w:kern w:val="0"/>
          <w:sz w:val="32"/>
          <w:szCs w:val="32"/>
          <w:lang w:val="en-US" w:eastAsia="zh-CN" w:bidi="ar"/>
        </w:rPr>
        <w:t>老机构，应满足《养老机构服务安全基本规范》强制性标准要求并具有收住中度失能及以上老年人的服务条件。要健全完善管理制度，统一服务标准和规范，改善照护服务条件，不得对收住的经济困难失能老年人等群体采取分灶吃饭、分区隔离等做法区别对待。养老机构同时收住特困供养人员的，不得降低特困供养服务水平和质量。</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（二）信息管理</w:t>
      </w:r>
      <w:r>
        <w:rPr>
          <w:rFonts w:hint="eastAsia" w:ascii="Times New Roman" w:hAnsi="Times New Roman" w:eastAsia="方正仿宋_GBK" w:cs="方正仿宋_GBK"/>
          <w:color w:val="000000"/>
          <w:kern w:val="0"/>
          <w:sz w:val="32"/>
          <w:szCs w:val="32"/>
          <w:lang w:val="en-US" w:eastAsia="zh-CN" w:bidi="ar"/>
        </w:rPr>
        <w:t>。养老机构应将经济困难失能老年人等群体入住和服务情况及时录入养老服务信息系统，并对接低收入人口动态监测信息平台。</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楷体_GBK"/>
          <w:color w:val="000000"/>
          <w:kern w:val="0"/>
          <w:sz w:val="32"/>
          <w:szCs w:val="32"/>
          <w:lang w:val="en-US" w:eastAsia="zh-CN" w:bidi="ar"/>
        </w:rPr>
        <w:t>（三）公示管理</w:t>
      </w:r>
      <w:r>
        <w:rPr>
          <w:rFonts w:hint="eastAsia" w:ascii="Times New Roman" w:hAnsi="Times New Roman" w:eastAsia="方正仿宋_GBK" w:cs="方正仿宋_GBK"/>
          <w:color w:val="000000"/>
          <w:kern w:val="0"/>
          <w:sz w:val="32"/>
          <w:szCs w:val="32"/>
          <w:lang w:val="en-US" w:eastAsia="zh-CN" w:bidi="ar"/>
        </w:rPr>
        <w:t>。县民政</w:t>
      </w:r>
      <w:r>
        <w:rPr>
          <w:rFonts w:hint="eastAsia" w:ascii="Times New Roman" w:hAnsi="Times New Roman" w:eastAsia="方正仿宋_GBK" w:cs="方正仿宋_GBK"/>
          <w:color w:val="000000"/>
          <w:kern w:val="0"/>
          <w:sz w:val="32"/>
          <w:szCs w:val="32"/>
          <w:lang w:val="en-US" w:eastAsia="zh-CN" w:bidi="ar"/>
        </w:rPr>
        <w:t>局要主动公示</w:t>
      </w:r>
      <w:r>
        <w:rPr>
          <w:rFonts w:hint="eastAsia" w:ascii="Times New Roman" w:hAnsi="Times New Roman" w:eastAsia="方正仿宋_GBK" w:cs="方正仿宋_GBK"/>
          <w:color w:val="000000"/>
          <w:kern w:val="0"/>
          <w:sz w:val="32"/>
          <w:szCs w:val="32"/>
          <w:lang w:val="en-US" w:eastAsia="zh-CN" w:bidi="ar"/>
        </w:rPr>
        <w:t>符合条件的养老机构名单和相关信息，协助有意愿的经济困难失能老年人等群体选择适合的养老机构。</w:t>
      </w:r>
    </w:p>
    <w:p>
      <w:pPr>
        <w:keepNext w:val="0"/>
        <w:keepLines w:val="0"/>
        <w:pageBreakBefore w:val="0"/>
        <w:widowControl w:val="0"/>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（四）安全管理</w:t>
      </w:r>
      <w:r>
        <w:rPr>
          <w:rFonts w:hint="eastAsia" w:ascii="Times New Roman" w:hAnsi="Times New Roman" w:eastAsia="方正仿宋_GBK" w:cs="方正仿宋_GBK"/>
          <w:color w:val="000000"/>
          <w:kern w:val="0"/>
          <w:sz w:val="32"/>
          <w:szCs w:val="32"/>
          <w:lang w:val="en-US" w:eastAsia="zh-CN" w:bidi="ar"/>
        </w:rPr>
        <w:t>。压紧压实养老机构第一责任人主体责任，县民政</w:t>
      </w:r>
      <w:r>
        <w:rPr>
          <w:rFonts w:hint="eastAsia" w:ascii="Times New Roman" w:hAnsi="Times New Roman" w:eastAsia="方正仿宋_GBK" w:cs="方正仿宋_GBK"/>
          <w:color w:val="000000"/>
          <w:kern w:val="0"/>
          <w:sz w:val="32"/>
          <w:szCs w:val="32"/>
          <w:lang w:val="en-US" w:eastAsia="zh-CN" w:bidi="ar"/>
        </w:rPr>
        <w:t>局要督</w:t>
      </w:r>
      <w:r>
        <w:rPr>
          <w:rFonts w:hint="eastAsia" w:ascii="Times New Roman" w:hAnsi="Times New Roman" w:eastAsia="方正仿宋_GBK" w:cs="方正仿宋_GBK"/>
          <w:color w:val="000000"/>
          <w:kern w:val="0"/>
          <w:sz w:val="32"/>
          <w:szCs w:val="32"/>
          <w:lang w:val="en-US" w:eastAsia="zh-CN" w:bidi="ar"/>
        </w:rPr>
        <w:t>促指导养老机构严格执行消防安全、食品安全、人身安全、特种设备管理等制度规定，落实风险隐患排查整治要求，确保养老机构安全平稳运行。</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（五）强化绩效管理</w:t>
      </w:r>
      <w:r>
        <w:rPr>
          <w:rFonts w:hint="eastAsia" w:ascii="Times New Roman" w:hAnsi="Times New Roman" w:eastAsia="方正仿宋_GBK" w:cs="方正仿宋_GBK"/>
          <w:color w:val="000000"/>
          <w:kern w:val="0"/>
          <w:sz w:val="32"/>
          <w:szCs w:val="32"/>
          <w:lang w:val="en-US" w:eastAsia="zh-CN" w:bidi="ar"/>
        </w:rPr>
        <w:t>。县民政</w:t>
      </w:r>
      <w:r>
        <w:rPr>
          <w:rFonts w:hint="eastAsia" w:ascii="Times New Roman" w:hAnsi="Times New Roman" w:eastAsia="方正仿宋_GBK" w:cs="方正仿宋_GBK"/>
          <w:color w:val="000000"/>
          <w:kern w:val="0"/>
          <w:sz w:val="32"/>
          <w:szCs w:val="32"/>
          <w:lang w:val="en-US" w:eastAsia="zh-CN" w:bidi="ar"/>
        </w:rPr>
        <w:t>局要</w:t>
      </w:r>
      <w:r>
        <w:rPr>
          <w:rFonts w:hint="eastAsia" w:ascii="Times New Roman" w:hAnsi="Times New Roman" w:eastAsia="方正仿宋_GBK" w:cs="方正仿宋_GBK"/>
          <w:color w:val="000000"/>
          <w:kern w:val="0"/>
          <w:sz w:val="32"/>
          <w:szCs w:val="32"/>
          <w:lang w:val="en-US" w:eastAsia="zh-CN" w:bidi="ar"/>
        </w:rPr>
        <w:t>定期对收住经济困难失能老年人等群体的养老机构进行绩效考核，考核指标包括但不限于收住对象人数、对象满意度等。结合绩效考核结果，在绩效因素资金总量中对养老机构发放绩效补助，绩效补贴总额不得超过当地向经济困难失能老年人等群体实际发放集中照护补助金总额的</w:t>
      </w:r>
      <w:r>
        <w:rPr>
          <w:rFonts w:hint="default" w:ascii="Times New Roman" w:hAnsi="Times New Roman" w:eastAsia="宋体" w:cs="Times New Roman"/>
          <w:color w:val="000000"/>
          <w:kern w:val="0"/>
          <w:sz w:val="32"/>
          <w:szCs w:val="32"/>
          <w:lang w:val="en-US" w:eastAsia="zh-CN" w:bidi="ar"/>
        </w:rPr>
        <w:t>30%</w:t>
      </w:r>
      <w:r>
        <w:rPr>
          <w:rFonts w:hint="eastAsia" w:ascii="Times New Roman" w:hAnsi="Times New Roman" w:eastAsia="方正仿宋_GBK" w:cs="方正仿宋_GBK"/>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rPr>
        <w:t>、工作要求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方正仿宋_GBK" w:cs="方正仿宋_GBK"/>
          <w:sz w:val="32"/>
          <w:szCs w:val="32"/>
        </w:rPr>
      </w:pPr>
      <w:r>
        <w:rPr>
          <w:rFonts w:ascii="Times New Roman" w:hAnsi="Times New Roman" w:eastAsia="方正楷体_GBK" w:cs="方正楷体_GBK"/>
          <w:color w:val="000000"/>
          <w:kern w:val="0"/>
          <w:sz w:val="32"/>
          <w:szCs w:val="32"/>
          <w:lang w:val="en-US" w:eastAsia="zh-CN" w:bidi="ar"/>
        </w:rPr>
        <w:t>（一）加强工作协同。</w:t>
      </w:r>
      <w:r>
        <w:rPr>
          <w:rFonts w:hint="default" w:ascii="Times New Roman" w:hAnsi="Times New Roman" w:eastAsia="方正仿宋_GBK" w:cs="Times New Roman"/>
          <w:color w:val="auto"/>
          <w:sz w:val="32"/>
          <w:szCs w:val="32"/>
          <w:lang w:val="en-US" w:eastAsia="zh-CN"/>
        </w:rPr>
        <w:t>各乡镇人民政府（街道办事处）要高度重视</w:t>
      </w:r>
      <w:r>
        <w:rPr>
          <w:rFonts w:hint="default" w:ascii="Times New Roman" w:hAnsi="Times New Roman" w:eastAsia="方正仿宋_GBK" w:cs="Times New Roman"/>
          <w:color w:val="auto"/>
          <w:sz w:val="32"/>
          <w:szCs w:val="32"/>
        </w:rPr>
        <w:t>支持经济困难失能老年人集中照护服务工作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加强工作领导，层</w:t>
      </w:r>
      <w:r>
        <w:rPr>
          <w:rFonts w:hint="eastAsia" w:ascii="Times New Roman" w:hAnsi="Times New Roman" w:eastAsia="方正仿宋_GBK" w:cs="方正仿宋_GBK"/>
          <w:color w:val="auto"/>
          <w:sz w:val="32"/>
          <w:szCs w:val="32"/>
          <w:lang w:val="en-US" w:eastAsia="zh-CN"/>
        </w:rPr>
        <w:t>层压实责任，精心组织实施，督促辖区内养老机构做好经济困难失能老人照护工作，确保工作顺利开展。</w:t>
      </w:r>
      <w:r>
        <w:rPr>
          <w:rFonts w:hint="eastAsia" w:ascii="Times New Roman" w:hAnsi="Times New Roman" w:eastAsia="方正仿宋_GBK" w:cs="方正仿宋_GBK"/>
          <w:color w:val="000000"/>
          <w:kern w:val="0"/>
          <w:sz w:val="32"/>
          <w:szCs w:val="32"/>
          <w:lang w:val="en-US" w:eastAsia="zh-CN" w:bidi="ar"/>
        </w:rPr>
        <w:t>县民政局、县财政</w:t>
      </w:r>
      <w:r>
        <w:rPr>
          <w:rFonts w:hint="eastAsia" w:ascii="Times New Roman" w:hAnsi="Times New Roman" w:eastAsia="方正仿宋_GBK" w:cs="方正仿宋_GBK"/>
          <w:color w:val="000000"/>
          <w:kern w:val="0"/>
          <w:sz w:val="32"/>
          <w:szCs w:val="32"/>
          <w:lang w:val="en-US" w:eastAsia="zh-CN" w:bidi="ar"/>
        </w:rPr>
        <w:t>局统筹制定补助资金分配、使用和管理办法，细化业务流程、权责事项和工作规范，建立对相关养老机构的激励约束机制。县民政局要加强社会救助和养老服务业务协同、数据共享和政策衔接，有序推进服务类社会救助发展。养老服务职能科室负责做好集中照护服务对象资格审核，加强对养老机构的监督管理，组织开展老年人能力评估，指导养老机构提供集中照护服务，对养老机构服务质量和效果开展跟踪监测。社会救助职能科室负责做好最低生活保障审核认定工作，会同养老服务职能科室确定经济困难老年人等群体集中照护服务对象范围、认定条件、服务标准。县民政局每年按照新纳入100%和存量5%随机抽取的比例，对各乡镇（街道）开展的集中照护对象审核认定工作以及养老机构服务质量等进行抽查。县财政局会同县民政局做好集中照护服务对象补助分配、支付、监管工作。县残疾人联合会要主动共享残疾人信息，积极引导符合条件的残疾人家庭入住养老机构。</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（二）加强制度衔接。</w:t>
      </w:r>
      <w:r>
        <w:rPr>
          <w:rFonts w:hint="eastAsia" w:ascii="Times New Roman" w:hAnsi="Times New Roman" w:eastAsia="方正仿宋_GBK" w:cs="方正仿宋_GBK"/>
          <w:color w:val="000000"/>
          <w:kern w:val="0"/>
          <w:sz w:val="32"/>
          <w:szCs w:val="32"/>
          <w:lang w:val="en-US" w:eastAsia="zh-CN" w:bidi="ar"/>
        </w:rPr>
        <w:t>县</w:t>
      </w:r>
      <w:r>
        <w:rPr>
          <w:rFonts w:hint="eastAsia" w:ascii="Times New Roman" w:hAnsi="Times New Roman" w:eastAsia="方正仿宋_GBK" w:cs="方正仿宋_GBK"/>
          <w:color w:val="000000"/>
          <w:kern w:val="0"/>
          <w:sz w:val="32"/>
          <w:szCs w:val="32"/>
          <w:lang w:val="en-US" w:eastAsia="zh-CN" w:bidi="ar"/>
        </w:rPr>
        <w:t>属相关</w:t>
      </w:r>
      <w:r>
        <w:rPr>
          <w:rFonts w:hint="eastAsia" w:ascii="Times New Roman" w:hAnsi="Times New Roman" w:eastAsia="方正仿宋_GBK" w:cs="方正仿宋_GBK"/>
          <w:color w:val="000000"/>
          <w:kern w:val="0"/>
          <w:sz w:val="32"/>
          <w:szCs w:val="32"/>
          <w:lang w:val="en-US" w:eastAsia="zh-CN" w:bidi="ar"/>
        </w:rPr>
        <w:t>部门要将经济困难失能老年人等群体集中照护服务纳入服务类社会救助清单，统筹做好与最低生活保障、特困人员救助供养、基本养老服务等社会救助、社会福利政策以及医疗保险、长期护理保险等社会保险制度的有效衔接，避免资源错配和重复浪费。特困人员供养服务机构要在优先满足特困人员集中供养需求的基础上，为经济困难失能老年人等群体提供集中照护服务。</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（三）加强数字赋能。</w:t>
      </w:r>
      <w:r>
        <w:rPr>
          <w:rFonts w:hint="default" w:ascii="Times New Roman" w:hAnsi="Times New Roman" w:eastAsia="方正仿宋_GBK" w:cs="Times New Roman"/>
          <w:color w:val="auto"/>
          <w:sz w:val="32"/>
          <w:szCs w:val="32"/>
          <w:lang w:val="en-US" w:eastAsia="zh-CN"/>
        </w:rPr>
        <w:t>县</w:t>
      </w:r>
      <w:r>
        <w:rPr>
          <w:rFonts w:hint="eastAsia" w:ascii="Times New Roman" w:hAnsi="Times New Roman" w:eastAsia="方正仿宋_GBK" w:cs="方正仿宋_GBK"/>
          <w:color w:val="auto"/>
          <w:sz w:val="32"/>
          <w:szCs w:val="32"/>
          <w:lang w:val="en-US" w:eastAsia="zh-CN"/>
        </w:rPr>
        <w:t>民政局要</w:t>
      </w:r>
      <w:r>
        <w:rPr>
          <w:rFonts w:hint="eastAsia" w:ascii="Times New Roman" w:hAnsi="Times New Roman" w:eastAsia="方正仿宋_GBK" w:cs="方正仿宋_GBK"/>
          <w:color w:val="000000"/>
          <w:kern w:val="0"/>
          <w:sz w:val="32"/>
          <w:szCs w:val="32"/>
          <w:lang w:val="en-US" w:eastAsia="zh-CN" w:bidi="ar"/>
        </w:rPr>
        <w:t>依托低收入人口动态监测信息平台和养老服务信息平台共享数据、整合资源，加强协同</w:t>
      </w:r>
      <w:r>
        <w:rPr>
          <w:rFonts w:hint="eastAsia" w:ascii="Times New Roman" w:hAnsi="Times New Roman" w:eastAsia="方正仿宋_GBK" w:cs="方正仿宋_GBK"/>
          <w:color w:val="000000"/>
          <w:kern w:val="0"/>
          <w:sz w:val="32"/>
          <w:szCs w:val="32"/>
          <w:lang w:val="en-US" w:eastAsia="zh-CN" w:bidi="ar"/>
        </w:rPr>
        <w:t>、赋能基层，开展委托代办、线上申请审核等便民服务，实现数字赋能便利化、供需对接精准化、服务监管智慧化。</w:t>
      </w:r>
      <w:r>
        <w:rPr>
          <w:rFonts w:hint="eastAsia" w:ascii="Times New Roman" w:hAnsi="Times New Roman" w:eastAsia="方正仿宋_GBK" w:cs="方正仿宋_GBK"/>
          <w:color w:val="000000"/>
          <w:kern w:val="0"/>
          <w:sz w:val="32"/>
          <w:szCs w:val="32"/>
          <w:lang w:val="en-US" w:eastAsia="zh-CN" w:bidi="ar"/>
        </w:rPr>
        <w:t>各乡镇（街道）</w:t>
      </w:r>
      <w:r>
        <w:rPr>
          <w:rFonts w:hint="eastAsia" w:ascii="Times New Roman" w:hAnsi="Times New Roman" w:eastAsia="方正仿宋_GBK" w:cs="方正仿宋_GBK"/>
          <w:color w:val="000000"/>
          <w:kern w:val="0"/>
          <w:sz w:val="32"/>
          <w:szCs w:val="32"/>
          <w:lang w:val="en-US" w:eastAsia="zh-CN" w:bidi="ar"/>
        </w:rPr>
        <w:t>于每年</w:t>
      </w:r>
      <w:r>
        <w:rPr>
          <w:rFonts w:hint="default" w:ascii="Times New Roman" w:hAnsi="Times New Roman" w:eastAsia="宋体" w:cs="Times New Roman"/>
          <w:color w:val="000000"/>
          <w:kern w:val="0"/>
          <w:sz w:val="32"/>
          <w:szCs w:val="32"/>
          <w:lang w:val="en-US" w:eastAsia="zh-CN" w:bidi="ar"/>
        </w:rPr>
        <w:t>1</w:t>
      </w:r>
      <w:r>
        <w:rPr>
          <w:rFonts w:hint="eastAsia" w:ascii="Times New Roman" w:hAnsi="Times New Roman" w:eastAsia="方正仿宋_GBK" w:cs="方正仿宋_GBK"/>
          <w:color w:val="000000"/>
          <w:kern w:val="0"/>
          <w:sz w:val="32"/>
          <w:szCs w:val="32"/>
          <w:lang w:val="en-US" w:eastAsia="zh-CN" w:bidi="ar"/>
        </w:rPr>
        <w:t>月</w:t>
      </w:r>
      <w:r>
        <w:rPr>
          <w:rFonts w:hint="eastAsia" w:ascii="Times New Roman" w:hAnsi="Times New Roman" w:eastAsia="宋体" w:cs="Times New Roman"/>
          <w:color w:val="000000"/>
          <w:kern w:val="0"/>
          <w:sz w:val="32"/>
          <w:szCs w:val="32"/>
          <w:lang w:val="en-US" w:eastAsia="zh-CN" w:bidi="ar"/>
        </w:rPr>
        <w:t>20</w:t>
      </w:r>
      <w:r>
        <w:rPr>
          <w:rFonts w:hint="eastAsia" w:ascii="Times New Roman" w:hAnsi="Times New Roman" w:eastAsia="方正仿宋_GBK" w:cs="方正仿宋_GBK"/>
          <w:color w:val="000000"/>
          <w:kern w:val="0"/>
          <w:sz w:val="32"/>
          <w:szCs w:val="32"/>
          <w:lang w:val="en-US" w:eastAsia="zh-CN" w:bidi="ar"/>
        </w:rPr>
        <w:t>日前向</w:t>
      </w:r>
      <w:r>
        <w:rPr>
          <w:rFonts w:hint="eastAsia" w:ascii="Times New Roman" w:hAnsi="Times New Roman" w:eastAsia="方正仿宋_GBK" w:cs="方正仿宋_GBK"/>
          <w:color w:val="000000"/>
          <w:kern w:val="0"/>
          <w:sz w:val="32"/>
          <w:szCs w:val="32"/>
          <w:lang w:val="en-US" w:eastAsia="zh-CN" w:bidi="ar"/>
        </w:rPr>
        <w:t>县民政</w:t>
      </w:r>
      <w:r>
        <w:rPr>
          <w:rFonts w:hint="eastAsia" w:ascii="Times New Roman" w:hAnsi="Times New Roman" w:eastAsia="方正仿宋_GBK" w:cs="方正仿宋_GBK"/>
          <w:color w:val="000000"/>
          <w:kern w:val="0"/>
          <w:sz w:val="32"/>
          <w:szCs w:val="32"/>
          <w:lang w:val="en-US" w:eastAsia="zh-CN" w:bidi="ar"/>
        </w:rPr>
        <w:t>局报送经济困难失能老年人等群体集中</w:t>
      </w:r>
      <w:r>
        <w:rPr>
          <w:rFonts w:hint="eastAsia" w:ascii="Times New Roman" w:hAnsi="Times New Roman" w:cs="方正仿宋_GBK"/>
          <w:color w:val="000000"/>
          <w:kern w:val="0"/>
          <w:sz w:val="32"/>
          <w:szCs w:val="32"/>
          <w:lang w:val="en-US" w:eastAsia="zh-CN" w:bidi="ar"/>
        </w:rPr>
        <w:t>照</w:t>
      </w:r>
      <w:r>
        <w:rPr>
          <w:rFonts w:hint="eastAsia" w:ascii="Times New Roman" w:hAnsi="Times New Roman" w:eastAsia="方正仿宋_GBK" w:cs="方正仿宋_GBK"/>
          <w:color w:val="000000"/>
          <w:kern w:val="0"/>
          <w:sz w:val="32"/>
          <w:szCs w:val="32"/>
          <w:lang w:val="en-US" w:eastAsia="zh-CN" w:bidi="ar"/>
        </w:rPr>
        <w:t xml:space="preserve">护服务补助申请情况。 </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（四）加强宣传引导。</w:t>
      </w:r>
      <w:r>
        <w:rPr>
          <w:rFonts w:hint="eastAsia" w:ascii="Times New Roman" w:hAnsi="Times New Roman" w:eastAsia="方正仿宋_GBK" w:cs="方正仿宋_GBK"/>
          <w:color w:val="000000"/>
          <w:kern w:val="0"/>
          <w:sz w:val="32"/>
          <w:szCs w:val="32"/>
          <w:lang w:val="en-US" w:eastAsia="zh-CN" w:bidi="ar"/>
        </w:rPr>
        <w:t>各乡镇人民政府、街道办事处要主动做好政策宣传，准确解读政策，认真摸排本辖区符合条件的老年人、残疾人，并建好台账，确保受益群众应享尽</w:t>
      </w:r>
      <w:r>
        <w:rPr>
          <w:rFonts w:hint="eastAsia" w:ascii="Times New Roman" w:hAnsi="Times New Roman" w:eastAsia="方正仿宋_GBK" w:cs="方正仿宋_GBK"/>
          <w:color w:val="000000"/>
          <w:kern w:val="0"/>
          <w:sz w:val="32"/>
          <w:szCs w:val="32"/>
          <w:lang w:val="en-US" w:eastAsia="zh-CN" w:bidi="ar"/>
        </w:rPr>
        <w:t xml:space="preserve">享。鼓励社会力量举办的养老机构主动承担社会责任，引导慈善组织、志愿者、行业组织等参与经济困难失能老年人等群体集中照护服务工作，对在工作推进中遇到的突出困难和问题要及时上报。 </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楷体_GBK" w:cs="方正楷体_GBK"/>
          <w:color w:val="000000"/>
          <w:kern w:val="0"/>
          <w:sz w:val="32"/>
          <w:szCs w:val="32"/>
          <w:lang w:val="en-US" w:eastAsia="zh-CN" w:bidi="ar"/>
        </w:rPr>
        <w:t>（五）加强资金监管。</w:t>
      </w:r>
      <w:r>
        <w:rPr>
          <w:rFonts w:hint="eastAsia" w:ascii="Times New Roman" w:hAnsi="Times New Roman" w:eastAsia="方正仿宋_GBK" w:cs="方正仿宋_GBK"/>
          <w:color w:val="000000"/>
          <w:kern w:val="0"/>
          <w:sz w:val="32"/>
          <w:szCs w:val="32"/>
          <w:lang w:val="en-US" w:eastAsia="zh-CN" w:bidi="ar"/>
        </w:rPr>
        <w:t xml:space="preserve">中央财政补助资金纳入困难群众救助 </w:t>
      </w:r>
    </w:p>
    <w:p>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ascii="Times New Roman" w:hAnsi="Times New Roman"/>
          <w:sz w:val="32"/>
          <w:szCs w:val="32"/>
        </w:rPr>
      </w:pPr>
      <w:r>
        <w:rPr>
          <w:rFonts w:hint="eastAsia" w:ascii="Times New Roman" w:hAnsi="Times New Roman" w:eastAsia="方正仿宋_GBK" w:cs="方正仿宋_GBK"/>
          <w:color w:val="000000"/>
          <w:kern w:val="0"/>
          <w:sz w:val="32"/>
          <w:szCs w:val="32"/>
          <w:lang w:val="en-US" w:eastAsia="zh-CN" w:bidi="ar"/>
        </w:rPr>
        <w:t>补助资金</w:t>
      </w:r>
      <w:r>
        <w:rPr>
          <w:rFonts w:hint="eastAsia" w:ascii="Times New Roman" w:hAnsi="Times New Roman" w:eastAsia="方正仿宋_GBK" w:cs="方正仿宋_GBK"/>
          <w:color w:val="000000"/>
          <w:kern w:val="0"/>
          <w:sz w:val="32"/>
          <w:szCs w:val="32"/>
          <w:lang w:val="en-US" w:eastAsia="zh-CN" w:bidi="ar"/>
        </w:rPr>
        <w:t>实行统</w:t>
      </w:r>
      <w:r>
        <w:rPr>
          <w:rFonts w:hint="eastAsia" w:ascii="Times New Roman" w:hAnsi="Times New Roman" w:eastAsia="方正仿宋_GBK" w:cs="方正仿宋_GBK"/>
          <w:color w:val="000000"/>
          <w:kern w:val="0"/>
          <w:sz w:val="32"/>
          <w:szCs w:val="32"/>
          <w:lang w:val="en-US" w:eastAsia="zh-CN" w:bidi="ar"/>
        </w:rPr>
        <w:t>一监管、分账管理。</w:t>
      </w:r>
      <w:r>
        <w:rPr>
          <w:rFonts w:hint="default" w:ascii="Times New Roman" w:hAnsi="Times New Roman" w:eastAsia="方正仿宋_GBK" w:cs="Times New Roman"/>
          <w:color w:val="auto"/>
          <w:sz w:val="32"/>
          <w:szCs w:val="32"/>
          <w:lang w:val="en-US" w:eastAsia="zh-CN"/>
        </w:rPr>
        <w:t>各乡镇（街道）严格审批流程，</w:t>
      </w:r>
      <w:r>
        <w:rPr>
          <w:rFonts w:hint="default" w:ascii="Times New Roman" w:hAnsi="Times New Roman" w:eastAsia="方正仿宋_GBK" w:cs="Times New Roman"/>
          <w:color w:val="auto"/>
          <w:sz w:val="32"/>
          <w:szCs w:val="32"/>
        </w:rPr>
        <w:t>确保申报资料的真实性。</w:t>
      </w:r>
      <w:r>
        <w:rPr>
          <w:rFonts w:hint="eastAsia" w:ascii="Times New Roman" w:hAnsi="Times New Roman" w:eastAsia="方正仿宋_GBK" w:cs="方正仿宋_GBK"/>
          <w:color w:val="000000"/>
          <w:kern w:val="0"/>
          <w:sz w:val="32"/>
          <w:szCs w:val="32"/>
          <w:lang w:val="en-US" w:eastAsia="zh-CN" w:bidi="ar"/>
        </w:rPr>
        <w:t>县民政局、县财政局</w:t>
      </w:r>
      <w:r>
        <w:rPr>
          <w:rFonts w:hint="eastAsia" w:ascii="Times New Roman" w:hAnsi="Times New Roman" w:eastAsia="方正仿宋_GBK" w:cs="方正仿宋_GBK"/>
          <w:color w:val="000000"/>
          <w:kern w:val="0"/>
          <w:sz w:val="32"/>
          <w:szCs w:val="32"/>
          <w:lang w:val="en-US" w:eastAsia="zh-CN" w:bidi="ar"/>
        </w:rPr>
        <w:t>对实施目标、支持对象、资金使用、信息公开等开展全流程监管和绩效评价，定期开展检查，高度重视资金安全，严格遵守财经纪律，确保申报资料的真实性、审批程序的规范性、资金支付的合规性，不得提前支付、超额支付</w:t>
      </w:r>
      <w:r>
        <w:rPr>
          <w:rFonts w:hint="eastAsia" w:ascii="Times New Roman" w:hAnsi="Times New Roman" w:cs="方正仿宋_GBK"/>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确保资金管理规范和使用高效。要建立中央财政支持经济困难失能老年人集中照护服务工作问题举报奖励机制，加强社会监督。发现套取骗取、挤占挪用、截留或滞留财政资金等违反财经纪律行为，以及滥用职权、玩忽职守、徇私舞弊等违法违规行为，依照《财政违法行为处罚处分条例》《中央财政困难群众救助补助资金管理办法》等规定，依法追究相应责任，并按规定追回相关补助资金；涉嫌犯罪的，依法移送有关机关处理</w:t>
      </w:r>
      <w:r>
        <w:rPr>
          <w:rFonts w:hint="eastAsia" w:ascii="Times New Roman" w:hAnsi="Times New Roman" w:cs="方正仿宋_GBK"/>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造成严重不良社会影响的，将予以通报批评。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color w:val="auto"/>
          <w:kern w:val="2"/>
          <w:sz w:val="32"/>
          <w:szCs w:val="32"/>
          <w:lang w:val="en-US" w:eastAsia="zh-CN" w:bidi="ar-SA"/>
        </w:rPr>
        <w:t>此通</w:t>
      </w:r>
      <w:r>
        <w:rPr>
          <w:rFonts w:hint="eastAsia" w:ascii="Times New Roman" w:hAnsi="Times New Roman" w:eastAsia="方正仿宋_GBK" w:cs="方正仿宋_GBK"/>
          <w:b w:val="0"/>
          <w:color w:val="auto"/>
          <w:kern w:val="2"/>
          <w:sz w:val="32"/>
          <w:szCs w:val="32"/>
          <w:lang w:val="en-US" w:eastAsia="zh-CN" w:bidi="ar-SA"/>
        </w:rPr>
        <w:t>知自印</w:t>
      </w:r>
      <w:r>
        <w:rPr>
          <w:rFonts w:hint="default" w:ascii="Times New Roman" w:hAnsi="Times New Roman" w:eastAsia="方正仿宋_GBK" w:cs="Times New Roman"/>
          <w:b w:val="0"/>
          <w:color w:val="auto"/>
          <w:kern w:val="2"/>
          <w:sz w:val="32"/>
          <w:szCs w:val="32"/>
          <w:lang w:val="en-US" w:eastAsia="zh-CN" w:bidi="ar-SA"/>
        </w:rPr>
        <w:t>发之日起执行。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24" w:firstLineChars="195"/>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经济困难失能老年人集中照护服务救助申请表</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1600" w:leftChars="0" w:firstLine="0" w:firstLineChars="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方正仿宋_GBK"/>
          <w:color w:val="auto"/>
          <w:sz w:val="32"/>
          <w:szCs w:val="32"/>
          <w:lang w:val="en-US" w:eastAsia="zh-CN"/>
        </w:rPr>
        <w:t>云阳县</w:t>
      </w:r>
      <w:r>
        <w:rPr>
          <w:rFonts w:hint="eastAsia" w:ascii="Times New Roman" w:hAnsi="Times New Roman" w:eastAsia="方正仿宋_GBK" w:cs="方正仿宋_GBK"/>
          <w:color w:val="auto"/>
          <w:sz w:val="32"/>
          <w:szCs w:val="32"/>
        </w:rPr>
        <w:t>经济</w:t>
      </w:r>
      <w:r>
        <w:rPr>
          <w:rFonts w:hint="default" w:ascii="Times New Roman" w:hAnsi="Times New Roman" w:eastAsia="方正仿宋_GBK" w:cs="Times New Roman"/>
          <w:color w:val="auto"/>
          <w:sz w:val="32"/>
          <w:szCs w:val="32"/>
        </w:rPr>
        <w:t>困难失能老年人集中照护服务救助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1920"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申请汇总表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3200" w:firstLineChars="1000"/>
        <w:textAlignment w:val="auto"/>
        <w:rPr>
          <w:rFonts w:hint="default" w:ascii="Times New Roman" w:hAnsi="Times New Roman"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highlight w:val="none"/>
          <w:lang w:val="en-US" w:eastAsia="zh-CN"/>
        </w:rPr>
        <w:t>云阳县</w:t>
      </w:r>
      <w:r>
        <w:rPr>
          <w:rFonts w:hint="eastAsia" w:ascii="Times New Roman" w:hAnsi="Times New Roman" w:eastAsia="方正仿宋_GBK" w:cs="方正仿宋_GBK"/>
          <w:color w:val="auto"/>
          <w:sz w:val="32"/>
          <w:szCs w:val="32"/>
          <w:highlight w:val="none"/>
        </w:rPr>
        <w:t>民政局</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highlight w:val="none"/>
          <w:lang w:val="en-US" w:eastAsia="zh-CN"/>
        </w:rPr>
        <w:t>云阳县财政局</w:t>
      </w:r>
    </w:p>
    <w:p>
      <w:pPr>
        <w:keepNext w:val="0"/>
        <w:keepLines w:val="0"/>
        <w:pageBreakBefore w:val="0"/>
        <w:widowControl w:val="0"/>
        <w:tabs>
          <w:tab w:val="left" w:pos="709"/>
        </w:tabs>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 xml:space="preserve">                             </w:t>
      </w:r>
    </w:p>
    <w:p>
      <w:pPr>
        <w:keepNext w:val="0"/>
        <w:keepLines w:val="0"/>
        <w:pageBreakBefore w:val="0"/>
        <w:widowControl w:val="0"/>
        <w:tabs>
          <w:tab w:val="left" w:pos="709"/>
        </w:tabs>
        <w:kinsoku/>
        <w:wordWrap/>
        <w:overflowPunct/>
        <w:topLinePunct w:val="0"/>
        <w:autoSpaceDE/>
        <w:autoSpaceDN/>
        <w:bidi w:val="0"/>
        <w:adjustRightInd w:val="0"/>
        <w:snapToGrid w:val="0"/>
        <w:spacing w:beforeAutospacing="0" w:afterAutospacing="0" w:line="560" w:lineRule="exact"/>
        <w:ind w:left="0" w:firstLine="5120" w:firstLineChars="16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云阳县残疾人联合会</w:t>
      </w:r>
    </w:p>
    <w:p>
      <w:pPr>
        <w:keepNext w:val="0"/>
        <w:keepLines w:val="0"/>
        <w:pageBreakBefore w:val="0"/>
        <w:widowControl w:val="0"/>
        <w:tabs>
          <w:tab w:val="left" w:pos="709"/>
        </w:tabs>
        <w:kinsoku/>
        <w:wordWrap/>
        <w:overflowPunct/>
        <w:topLinePunct w:val="0"/>
        <w:autoSpaceDE/>
        <w:autoSpaceDN/>
        <w:bidi w:val="0"/>
        <w:adjustRightInd w:val="0"/>
        <w:snapToGrid w:val="0"/>
        <w:spacing w:beforeAutospacing="0" w:afterAutospacing="0" w:line="560" w:lineRule="exact"/>
        <w:ind w:left="0" w:firstLine="5120" w:firstLineChars="16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14</w:t>
      </w:r>
      <w:r>
        <w:rPr>
          <w:rFonts w:hint="eastAsia" w:ascii="Times New Roman" w:hAnsi="Times New Roman" w:eastAsia="方正仿宋_GBK" w:cs="方正仿宋_GBK"/>
          <w:color w:val="auto"/>
          <w:sz w:val="32"/>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黑体_GBK" w:cs="Times New Roman"/>
          <w:color w:val="auto"/>
          <w:sz w:val="32"/>
          <w:szCs w:val="32"/>
        </w:rPr>
      </w:pPr>
      <w:r>
        <w:rPr>
          <w:rFonts w:hint="eastAsia" w:ascii="Times New Roman" w:hAnsi="Times New Roman" w:eastAsia="方正仿宋_GBK" w:cs="Times New Roman"/>
          <w:kern w:val="2"/>
          <w:sz w:val="32"/>
          <w:lang w:val="en-US" w:eastAsia="zh-CN" w:bidi="ar-SA"/>
        </w:rPr>
        <w:t>（此件公开发布）</w:t>
      </w:r>
    </w:p>
    <w:p>
      <w:pPr>
        <w:keepNext w:val="0"/>
        <w:keepLines w:val="0"/>
        <w:pageBreakBefore w:val="0"/>
        <w:kinsoku/>
        <w:wordWrap/>
        <w:overflowPunct w:val="0"/>
        <w:topLinePunct w:val="0"/>
        <w:bidi w:val="0"/>
        <w:adjustRightInd w:val="0"/>
        <w:snapToGrid w:val="0"/>
        <w:spacing w:line="600" w:lineRule="exact"/>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kinsoku/>
        <w:wordWrap/>
        <w:overflowPunct w:val="0"/>
        <w:topLinePunct w:val="0"/>
        <w:bidi w:val="0"/>
        <w:adjustRightInd w:val="0"/>
        <w:snapToGrid w:val="0"/>
        <w:spacing w:line="600" w:lineRule="exact"/>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kinsoku/>
        <w:wordWrap/>
        <w:overflowPunct w:val="0"/>
        <w:topLinePunct w:val="0"/>
        <w:bidi w:val="0"/>
        <w:adjustRightInd w:val="0"/>
        <w:snapToGrid w:val="0"/>
        <w:spacing w:line="600" w:lineRule="exact"/>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kinsoku/>
        <w:wordWrap/>
        <w:overflowPunct w:val="0"/>
        <w:topLinePunct w:val="0"/>
        <w:bidi w:val="0"/>
        <w:adjustRightInd w:val="0"/>
        <w:snapToGrid w:val="0"/>
        <w:spacing w:line="600" w:lineRule="exact"/>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kinsoku/>
        <w:wordWrap/>
        <w:overflowPunct w:val="0"/>
        <w:topLinePunct w:val="0"/>
        <w:bidi w:val="0"/>
        <w:adjustRightInd w:val="0"/>
        <w:snapToGrid w:val="0"/>
        <w:spacing w:line="600" w:lineRule="exact"/>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kinsoku/>
        <w:wordWrap/>
        <w:overflowPunct w:val="0"/>
        <w:topLinePunct w:val="0"/>
        <w:bidi w:val="0"/>
        <w:adjustRightInd w:val="0"/>
        <w:snapToGrid w:val="0"/>
        <w:spacing w:line="600" w:lineRule="exact"/>
        <w:textAlignment w:val="auto"/>
        <w:rPr>
          <w:rFonts w:hint="default" w:ascii="Times New Roman" w:hAnsi="Times New Roman" w:eastAsia="方正仿宋_GBK" w:cs="Times New Roman"/>
          <w:color w:val="000000"/>
          <w:sz w:val="32"/>
          <w:szCs w:val="32"/>
          <w:lang w:eastAsia="zh-CN"/>
        </w:rPr>
      </w:pPr>
    </w:p>
    <w:p>
      <w:pPr>
        <w:rPr>
          <w:rFonts w:hint="default" w:ascii="Times New Roman" w:hAnsi="Times New Roman" w:eastAsia="方正小标宋_GBK" w:cs="Times New Roman"/>
          <w:color w:val="auto"/>
          <w:kern w:val="2"/>
          <w:sz w:val="36"/>
          <w:szCs w:val="36"/>
          <w:lang w:val="en-US" w:eastAsia="zh-CN" w:bidi="ar-SA"/>
        </w:rPr>
      </w:pPr>
      <w:r>
        <w:rPr>
          <w:rFonts w:hint="default" w:ascii="Times New Roman" w:hAnsi="Times New Roman" w:eastAsia="方正黑体_GBK" w:cs="Times New Roman"/>
          <w:color w:val="auto"/>
          <w:sz w:val="32"/>
          <w:szCs w:val="32"/>
        </w:rPr>
        <w:t>附件1</w:t>
      </w:r>
    </w:p>
    <w:p>
      <w:pPr>
        <w:pStyle w:val="2"/>
        <w:keepNext w:val="0"/>
        <w:keepLines w:val="0"/>
        <w:pageBreakBefore w:val="0"/>
        <w:widowControl w:val="0"/>
        <w:kinsoku/>
        <w:wordWrap/>
        <w:overflowPunct/>
        <w:topLinePunct w:val="0"/>
        <w:autoSpaceDE/>
        <w:autoSpaceDN/>
        <w:bidi w:val="0"/>
        <w:adjustRightInd/>
        <w:snapToGrid/>
        <w:spacing w:afterLines="50" w:line="500" w:lineRule="exact"/>
        <w:jc w:val="center"/>
        <w:textAlignment w:val="auto"/>
        <w:rPr>
          <w:rFonts w:hint="default" w:ascii="Times New Roman" w:hAnsi="Times New Roman" w:eastAsia="方正小标宋_GBK" w:cs="Times New Roman"/>
          <w:color w:val="auto"/>
          <w:kern w:val="2"/>
          <w:sz w:val="36"/>
          <w:szCs w:val="36"/>
        </w:rPr>
      </w:pPr>
      <w:r>
        <w:rPr>
          <w:rFonts w:hint="default" w:ascii="Times New Roman" w:hAnsi="Times New Roman" w:eastAsia="方正小标宋_GBK" w:cs="Times New Roman"/>
          <w:color w:val="auto"/>
          <w:kern w:val="2"/>
          <w:sz w:val="36"/>
          <w:szCs w:val="36"/>
          <w:lang w:val="en-US" w:eastAsia="zh-CN" w:bidi="ar-SA"/>
        </w:rPr>
        <w:t>经济困难失能老年人</w:t>
      </w:r>
      <w:r>
        <w:rPr>
          <w:rFonts w:hint="eastAsia" w:ascii="Times New Roman" w:hAnsi="Times New Roman" w:eastAsia="方正小标宋_GBK" w:cs="Times New Roman"/>
          <w:color w:val="auto"/>
          <w:kern w:val="2"/>
          <w:sz w:val="36"/>
          <w:szCs w:val="36"/>
          <w:lang w:val="en-US" w:eastAsia="zh-CN" w:bidi="ar-SA"/>
        </w:rPr>
        <w:t>等群体</w:t>
      </w:r>
      <w:r>
        <w:rPr>
          <w:rFonts w:hint="default" w:ascii="Times New Roman" w:hAnsi="Times New Roman" w:eastAsia="方正小标宋_GBK" w:cs="Times New Roman"/>
          <w:color w:val="auto"/>
          <w:kern w:val="2"/>
          <w:sz w:val="36"/>
          <w:szCs w:val="36"/>
        </w:rPr>
        <w:t>集中照护服务救助申请表</w:t>
      </w:r>
    </w:p>
    <w:tbl>
      <w:tblPr>
        <w:tblStyle w:val="12"/>
        <w:tblW w:w="9141" w:type="dxa"/>
        <w:jc w:val="center"/>
        <w:tblLayout w:type="fixed"/>
        <w:tblCellMar>
          <w:top w:w="0" w:type="dxa"/>
          <w:left w:w="108" w:type="dxa"/>
          <w:bottom w:w="0" w:type="dxa"/>
          <w:right w:w="108" w:type="dxa"/>
        </w:tblCellMar>
      </w:tblPr>
      <w:tblGrid>
        <w:gridCol w:w="890"/>
        <w:gridCol w:w="2137"/>
        <w:gridCol w:w="900"/>
        <w:gridCol w:w="1190"/>
        <w:gridCol w:w="1159"/>
        <w:gridCol w:w="1650"/>
        <w:gridCol w:w="1215"/>
      </w:tblGrid>
      <w:tr>
        <w:tblPrEx>
          <w:tblCellMar>
            <w:top w:w="0" w:type="dxa"/>
            <w:left w:w="108" w:type="dxa"/>
            <w:bottom w:w="0" w:type="dxa"/>
            <w:right w:w="108" w:type="dxa"/>
          </w:tblCellMar>
        </w:tblPrEx>
        <w:trPr>
          <w:trHeight w:val="409" w:hRule="exact"/>
          <w:jc w:val="center"/>
        </w:trPr>
        <w:tc>
          <w:tcPr>
            <w:tcW w:w="8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default" w:ascii="Times New Roman" w:hAnsi="Times New Roman" w:eastAsia="方正楷体_GBK" w:cs="Times New Roman"/>
                <w:color w:val="auto"/>
                <w:sz w:val="21"/>
                <w:szCs w:val="21"/>
              </w:rPr>
            </w:pPr>
            <w:bookmarkStart w:id="0" w:name="_GoBack" w:colFirst="1" w:colLast="6"/>
            <w:r>
              <w:rPr>
                <w:rFonts w:hint="default" w:ascii="Times New Roman" w:hAnsi="Times New Roman" w:eastAsia="方正楷体_GBK" w:cs="Times New Roman"/>
                <w:color w:val="auto"/>
                <w:kern w:val="0"/>
                <w:sz w:val="21"/>
                <w:szCs w:val="21"/>
              </w:rPr>
              <w:t>申请人情况</w:t>
            </w: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姓名</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性别</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民族</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40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身份证号码</w:t>
            </w:r>
          </w:p>
        </w:tc>
        <w:tc>
          <w:tcPr>
            <w:tcW w:w="324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联系电话</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40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户籍地址</w:t>
            </w:r>
          </w:p>
        </w:tc>
        <w:tc>
          <w:tcPr>
            <w:tcW w:w="6114"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40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现居住地</w:t>
            </w:r>
          </w:p>
        </w:tc>
        <w:tc>
          <w:tcPr>
            <w:tcW w:w="6114"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40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申请对象类型</w:t>
            </w:r>
          </w:p>
        </w:tc>
        <w:tc>
          <w:tcPr>
            <w:tcW w:w="6114" w:type="dxa"/>
            <w:gridSpan w:val="5"/>
            <w:tcBorders>
              <w:top w:val="single" w:color="000000" w:sz="4" w:space="0"/>
              <w:left w:val="single" w:color="000000" w:sz="4" w:space="0"/>
              <w:bottom w:val="single" w:color="000000" w:sz="4" w:space="0"/>
              <w:right w:val="single" w:color="000000" w:sz="4" w:space="0"/>
            </w:tcBorders>
            <w:noWrap/>
            <w:vAlign w:val="center"/>
          </w:tcPr>
          <w:p>
            <w:pPr>
              <w:widowControl/>
              <w:tabs>
                <w:tab w:val="left" w:pos="667"/>
                <w:tab w:val="center" w:pos="3009"/>
              </w:tabs>
              <w:spacing w:line="360" w:lineRule="exact"/>
              <w:jc w:val="both"/>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sym w:font="Wingdings" w:char="00A8"/>
            </w:r>
            <w:r>
              <w:rPr>
                <w:rFonts w:hint="eastAsia" w:ascii="方正仿宋_GBK" w:hAnsi="方正仿宋_GBK" w:eastAsia="方正仿宋_GBK" w:cs="方正仿宋_GBK"/>
                <w:color w:val="auto"/>
                <w:sz w:val="21"/>
                <w:szCs w:val="21"/>
                <w:lang w:eastAsia="zh-CN"/>
              </w:rPr>
              <w:t>经济困难失能老年人；</w:t>
            </w:r>
            <w:r>
              <w:rPr>
                <w:rFonts w:hint="eastAsia" w:ascii="方正仿宋_GBK" w:hAnsi="方正仿宋_GBK" w:eastAsia="方正仿宋_GBK" w:cs="方正仿宋_GBK"/>
                <w:color w:val="auto"/>
                <w:sz w:val="21"/>
                <w:szCs w:val="21"/>
                <w:lang w:eastAsia="zh-CN"/>
              </w:rPr>
              <w:sym w:font="Wingdings" w:char="00A8"/>
            </w:r>
            <w:r>
              <w:rPr>
                <w:rFonts w:hint="eastAsia" w:ascii="方正仿宋_GBK" w:hAnsi="方正仿宋_GBK" w:eastAsia="方正仿宋_GBK" w:cs="方正仿宋_GBK"/>
                <w:color w:val="auto"/>
                <w:sz w:val="21"/>
                <w:szCs w:val="21"/>
                <w:lang w:eastAsia="zh-CN"/>
              </w:rPr>
              <w:tab/>
            </w:r>
            <w:r>
              <w:rPr>
                <w:rFonts w:hint="eastAsia" w:ascii="方正仿宋_GBK" w:hAnsi="方正仿宋_GBK" w:eastAsia="方正仿宋_GBK" w:cs="方正仿宋_GBK"/>
                <w:color w:val="auto"/>
                <w:sz w:val="21"/>
                <w:szCs w:val="21"/>
                <w:lang w:eastAsia="zh-CN"/>
              </w:rPr>
              <w:t>高龄老年人；</w:t>
            </w:r>
            <w:r>
              <w:rPr>
                <w:rFonts w:hint="eastAsia" w:ascii="方正仿宋_GBK" w:hAnsi="方正仿宋_GBK" w:eastAsia="方正仿宋_GBK" w:cs="方正仿宋_GBK"/>
                <w:color w:val="auto"/>
                <w:sz w:val="21"/>
                <w:szCs w:val="21"/>
                <w:lang w:eastAsia="zh-CN"/>
              </w:rPr>
              <w:sym w:font="Wingdings" w:char="00A8"/>
            </w:r>
            <w:r>
              <w:rPr>
                <w:rFonts w:hint="eastAsia" w:ascii="方正仿宋_GBK" w:hAnsi="方正仿宋_GBK" w:eastAsia="方正仿宋_GBK" w:cs="方正仿宋_GBK"/>
                <w:color w:val="auto"/>
                <w:sz w:val="21"/>
                <w:szCs w:val="21"/>
                <w:lang w:eastAsia="zh-CN"/>
              </w:rPr>
              <w:t>重度残疾人</w:t>
            </w:r>
          </w:p>
        </w:tc>
      </w:tr>
      <w:tr>
        <w:tblPrEx>
          <w:tblCellMar>
            <w:top w:w="0" w:type="dxa"/>
            <w:left w:w="108" w:type="dxa"/>
            <w:bottom w:w="0" w:type="dxa"/>
            <w:right w:w="108" w:type="dxa"/>
          </w:tblCellMar>
        </w:tblPrEx>
        <w:trPr>
          <w:trHeight w:val="40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能力评估结果</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hint="eastAsia" w:ascii="方正仿宋_GBK" w:hAnsi="方正仿宋_GBK" w:eastAsia="方正仿宋_GBK" w:cs="方正仿宋_GBK"/>
                <w:color w:val="auto"/>
                <w:sz w:val="21"/>
                <w:szCs w:val="21"/>
              </w:rPr>
            </w:pPr>
          </w:p>
        </w:tc>
        <w:tc>
          <w:tcPr>
            <w:tcW w:w="119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评估机构</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hint="eastAsia" w:ascii="方正仿宋_GBK" w:hAnsi="方正仿宋_GBK" w:eastAsia="方正仿宋_GBK" w:cs="方正仿宋_GBK"/>
                <w:color w:val="auto"/>
                <w:sz w:val="21"/>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评估时间</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1095"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本地集中供养特困人员基本生活标准及全护理照料标准的总和</w:t>
            </w:r>
          </w:p>
        </w:tc>
        <w:tc>
          <w:tcPr>
            <w:tcW w:w="324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入住机构名称</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79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sz w:val="21"/>
                <w:szCs w:val="21"/>
              </w:rPr>
              <w:t>已享受的行政给付</w:t>
            </w:r>
          </w:p>
        </w:tc>
        <w:tc>
          <w:tcPr>
            <w:tcW w:w="6114"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合计元（</w:t>
            </w:r>
            <w:r>
              <w:rPr>
                <w:rFonts w:hint="eastAsia" w:ascii="方正仿宋_GBK" w:hAnsi="方正仿宋_GBK" w:eastAsia="方正仿宋_GBK" w:cs="方正仿宋_GBK"/>
                <w:color w:val="auto"/>
                <w:sz w:val="21"/>
                <w:szCs w:val="21"/>
              </w:rPr>
              <w:t>最低生活保障金</w:t>
            </w:r>
            <w:r>
              <w:rPr>
                <w:rFonts w:hint="eastAsia" w:ascii="方正仿宋_GBK" w:hAnsi="方正仿宋_GBK" w:eastAsia="方正仿宋_GBK" w:cs="方正仿宋_GBK"/>
                <w:color w:val="auto"/>
                <w:sz w:val="21"/>
                <w:szCs w:val="21"/>
                <w:lang w:val="en-US" w:eastAsia="zh-CN"/>
              </w:rPr>
              <w:t xml:space="preserve">   元</w:t>
            </w:r>
            <w:r>
              <w:rPr>
                <w:rFonts w:hint="eastAsia" w:ascii="方正仿宋_GBK" w:hAnsi="方正仿宋_GBK" w:eastAsia="方正仿宋_GBK" w:cs="方正仿宋_GBK"/>
                <w:color w:val="auto"/>
                <w:sz w:val="21"/>
                <w:szCs w:val="21"/>
              </w:rPr>
              <w:t>；残疾人</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两项补贴</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 xml:space="preserve">   元</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eastAsia="zh-CN"/>
              </w:rPr>
              <w:t>养老服务补贴元）。</w:t>
            </w:r>
          </w:p>
        </w:tc>
      </w:tr>
      <w:tr>
        <w:tblPrEx>
          <w:tblCellMar>
            <w:top w:w="0" w:type="dxa"/>
            <w:left w:w="108" w:type="dxa"/>
            <w:bottom w:w="0" w:type="dxa"/>
            <w:right w:w="108" w:type="dxa"/>
          </w:tblCellMar>
        </w:tblPrEx>
        <w:trPr>
          <w:trHeight w:val="409" w:hRule="exact"/>
          <w:jc w:val="center"/>
        </w:trPr>
        <w:tc>
          <w:tcPr>
            <w:tcW w:w="8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default" w:ascii="Times New Roman" w:hAnsi="Times New Roman" w:eastAsia="方正楷体_GBK" w:cs="Times New Roman"/>
                <w:color w:val="auto"/>
                <w:sz w:val="21"/>
                <w:szCs w:val="21"/>
              </w:rPr>
            </w:pPr>
            <w:r>
              <w:rPr>
                <w:rFonts w:hint="default" w:ascii="Times New Roman" w:hAnsi="Times New Roman" w:eastAsia="方正楷体_GBK" w:cs="Times New Roman"/>
                <w:color w:val="auto"/>
                <w:kern w:val="0"/>
                <w:sz w:val="21"/>
                <w:szCs w:val="21"/>
              </w:rPr>
              <w:t>代理人情况</w:t>
            </w: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姓名</w:t>
            </w:r>
          </w:p>
        </w:tc>
        <w:tc>
          <w:tcPr>
            <w:tcW w:w="324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联系电话</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40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身份证号码</w:t>
            </w:r>
          </w:p>
        </w:tc>
        <w:tc>
          <w:tcPr>
            <w:tcW w:w="324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与申请人关系</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409"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方正楷体_GBK" w:cs="Times New Roman"/>
                <w:color w:val="auto"/>
                <w:sz w:val="21"/>
                <w:szCs w:val="21"/>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现居住地</w:t>
            </w:r>
          </w:p>
        </w:tc>
        <w:tc>
          <w:tcPr>
            <w:tcW w:w="6114"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eastAsia" w:ascii="方正仿宋_GBK" w:hAnsi="方正仿宋_GBK" w:eastAsia="方正仿宋_GBK" w:cs="方正仿宋_GBK"/>
                <w:color w:val="auto"/>
                <w:sz w:val="21"/>
                <w:szCs w:val="21"/>
              </w:rPr>
            </w:pPr>
          </w:p>
        </w:tc>
      </w:tr>
      <w:tr>
        <w:tblPrEx>
          <w:tblCellMar>
            <w:top w:w="0" w:type="dxa"/>
            <w:left w:w="108" w:type="dxa"/>
            <w:bottom w:w="0" w:type="dxa"/>
            <w:right w:w="108" w:type="dxa"/>
          </w:tblCellMar>
        </w:tblPrEx>
        <w:trPr>
          <w:trHeight w:val="1828" w:hRule="exac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default" w:ascii="Times New Roman" w:hAnsi="Times New Roman" w:eastAsia="方正楷体_GBK" w:cs="Times New Roman"/>
                <w:color w:val="auto"/>
                <w:sz w:val="21"/>
                <w:szCs w:val="21"/>
              </w:rPr>
            </w:pPr>
            <w:r>
              <w:rPr>
                <w:rFonts w:hint="default" w:ascii="Times New Roman" w:hAnsi="Times New Roman" w:eastAsia="方正楷体_GBK" w:cs="Times New Roman"/>
                <w:color w:val="auto"/>
                <w:sz w:val="21"/>
                <w:szCs w:val="21"/>
              </w:rPr>
              <w:t>申请人意见</w:t>
            </w:r>
          </w:p>
        </w:tc>
        <w:tc>
          <w:tcPr>
            <w:tcW w:w="8251" w:type="dxa"/>
            <w:gridSpan w:val="6"/>
            <w:tcBorders>
              <w:top w:val="single" w:color="000000" w:sz="4" w:space="0"/>
              <w:left w:val="single" w:color="000000" w:sz="4" w:space="0"/>
              <w:bottom w:val="single" w:color="000000" w:sz="4" w:space="0"/>
              <w:right w:val="single" w:color="000000" w:sz="4" w:space="0"/>
            </w:tcBorders>
            <w:noWrap/>
            <w:vAlign w:val="center"/>
          </w:tcPr>
          <w:p>
            <w:pPr>
              <w:snapToGrid w:val="0"/>
              <w:spacing w:line="300" w:lineRule="exact"/>
              <w:ind w:firstLine="420" w:firstLineChars="200"/>
              <w:jc w:val="left"/>
              <w:rPr>
                <w:rFonts w:hint="eastAsia" w:ascii="方正仿宋_GBK" w:hAnsi="方正仿宋_GBK" w:eastAsia="方正仿宋_GBK" w:cs="方正仿宋_GBK"/>
                <w:bCs/>
                <w:color w:val="auto"/>
                <w:sz w:val="21"/>
                <w:szCs w:val="21"/>
              </w:rPr>
            </w:pPr>
          </w:p>
          <w:p>
            <w:pPr>
              <w:snapToGrid w:val="0"/>
              <w:spacing w:line="300" w:lineRule="exact"/>
              <w:ind w:firstLine="420" w:firstLineChars="200"/>
              <w:jc w:val="left"/>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自愿申请集中照护服务，保证以上信息及提交的材料真实有效。</w:t>
            </w:r>
          </w:p>
          <w:p>
            <w:pPr>
              <w:snapToGrid w:val="0"/>
              <w:spacing w:line="300" w:lineRule="exact"/>
              <w:ind w:firstLine="3780" w:firstLineChars="1800"/>
              <w:jc w:val="left"/>
              <w:rPr>
                <w:rFonts w:hint="eastAsia" w:ascii="方正仿宋_GBK" w:hAnsi="方正仿宋_GBK" w:eastAsia="方正仿宋_GBK" w:cs="方正仿宋_GBK"/>
                <w:bCs/>
                <w:color w:val="auto"/>
                <w:sz w:val="21"/>
                <w:szCs w:val="21"/>
              </w:rPr>
            </w:pPr>
          </w:p>
          <w:p>
            <w:pPr>
              <w:snapToGrid w:val="0"/>
              <w:spacing w:line="300" w:lineRule="exact"/>
              <w:ind w:firstLine="3780" w:firstLineChars="1800"/>
              <w:jc w:val="left"/>
              <w:rPr>
                <w:rFonts w:hint="eastAsia" w:ascii="方正仿宋_GBK" w:hAnsi="方正仿宋_GBK" w:eastAsia="方正仿宋_GBK" w:cs="方正仿宋_GBK"/>
                <w:bCs/>
                <w:color w:val="auto"/>
                <w:sz w:val="21"/>
                <w:szCs w:val="21"/>
              </w:rPr>
            </w:pPr>
          </w:p>
          <w:p>
            <w:pPr>
              <w:snapToGrid w:val="0"/>
              <w:spacing w:line="300" w:lineRule="exact"/>
              <w:ind w:firstLine="3780" w:firstLineChars="1800"/>
              <w:jc w:val="left"/>
              <w:rPr>
                <w:rFonts w:hint="eastAsia" w:ascii="方正仿宋_GBK" w:hAnsi="方正仿宋_GBK" w:eastAsia="方正仿宋_GBK" w:cs="方正仿宋_GBK"/>
                <w:bCs/>
                <w:color w:val="auto"/>
                <w:sz w:val="21"/>
                <w:szCs w:val="21"/>
                <w:lang w:val="en-US" w:eastAsia="zh-CN"/>
              </w:rPr>
            </w:pPr>
            <w:r>
              <w:rPr>
                <w:rFonts w:hint="eastAsia" w:ascii="方正仿宋_GBK" w:hAnsi="方正仿宋_GBK" w:eastAsia="方正仿宋_GBK" w:cs="方正仿宋_GBK"/>
                <w:bCs/>
                <w:color w:val="auto"/>
                <w:sz w:val="21"/>
                <w:szCs w:val="21"/>
              </w:rPr>
              <w:t xml:space="preserve">申请人（代理人）签字：                     </w:t>
            </w:r>
            <w:r>
              <w:rPr>
                <w:rFonts w:hint="eastAsia" w:ascii="方正仿宋_GBK" w:hAnsi="方正仿宋_GBK" w:eastAsia="方正仿宋_GBK" w:cs="方正仿宋_GBK"/>
                <w:bCs/>
                <w:color w:val="auto"/>
                <w:sz w:val="21"/>
                <w:szCs w:val="21"/>
                <w:lang w:val="en-US" w:eastAsia="zh-CN"/>
              </w:rPr>
              <w:t xml:space="preserve">                     </w:t>
            </w:r>
          </w:p>
          <w:p>
            <w:pPr>
              <w:snapToGrid w:val="0"/>
              <w:spacing w:line="30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Cs/>
                <w:color w:val="auto"/>
                <w:sz w:val="21"/>
                <w:szCs w:val="21"/>
                <w:lang w:val="en-US" w:eastAsia="zh-CN"/>
              </w:rPr>
              <w:t xml:space="preserve">                                             </w:t>
            </w:r>
            <w:r>
              <w:rPr>
                <w:rFonts w:hint="eastAsia" w:ascii="方正仿宋_GBK" w:hAnsi="方正仿宋_GBK" w:eastAsia="方正仿宋_GBK" w:cs="方正仿宋_GBK"/>
                <w:bCs/>
                <w:color w:val="auto"/>
                <w:sz w:val="21"/>
                <w:szCs w:val="21"/>
              </w:rPr>
              <w:t>年</w:t>
            </w:r>
            <w:r>
              <w:rPr>
                <w:rFonts w:hint="eastAsia" w:ascii="方正仿宋_GBK" w:hAnsi="方正仿宋_GBK" w:eastAsia="方正仿宋_GBK" w:cs="方正仿宋_GBK"/>
                <w:bCs/>
                <w:color w:val="auto"/>
                <w:sz w:val="21"/>
                <w:szCs w:val="21"/>
                <w:lang w:val="en-US" w:eastAsia="zh-CN"/>
              </w:rPr>
              <w:t xml:space="preserve">   </w:t>
            </w:r>
            <w:r>
              <w:rPr>
                <w:rFonts w:hint="eastAsia" w:ascii="方正仿宋_GBK" w:hAnsi="方正仿宋_GBK" w:eastAsia="方正仿宋_GBK" w:cs="方正仿宋_GBK"/>
                <w:bCs/>
                <w:color w:val="auto"/>
                <w:sz w:val="21"/>
                <w:szCs w:val="21"/>
              </w:rPr>
              <w:t>月</w:t>
            </w:r>
            <w:r>
              <w:rPr>
                <w:rFonts w:hint="eastAsia" w:ascii="方正仿宋_GBK" w:hAnsi="方正仿宋_GBK" w:eastAsia="方正仿宋_GBK" w:cs="方正仿宋_GBK"/>
                <w:bCs/>
                <w:color w:val="auto"/>
                <w:sz w:val="21"/>
                <w:szCs w:val="21"/>
                <w:lang w:val="en-US" w:eastAsia="zh-CN"/>
              </w:rPr>
              <w:t xml:space="preserve">     </w:t>
            </w:r>
            <w:r>
              <w:rPr>
                <w:rFonts w:hint="eastAsia" w:ascii="方正仿宋_GBK" w:hAnsi="方正仿宋_GBK" w:eastAsia="方正仿宋_GBK" w:cs="方正仿宋_GBK"/>
                <w:bCs/>
                <w:color w:val="auto"/>
                <w:sz w:val="21"/>
                <w:szCs w:val="21"/>
              </w:rPr>
              <w:t>日</w:t>
            </w:r>
          </w:p>
        </w:tc>
      </w:tr>
      <w:tr>
        <w:tblPrEx>
          <w:tblCellMar>
            <w:top w:w="0" w:type="dxa"/>
            <w:left w:w="108" w:type="dxa"/>
            <w:bottom w:w="0" w:type="dxa"/>
            <w:right w:w="108" w:type="dxa"/>
          </w:tblCellMar>
        </w:tblPrEx>
        <w:trPr>
          <w:trHeight w:val="149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default" w:ascii="Times New Roman" w:hAnsi="Times New Roman" w:eastAsia="方正楷体_GBK" w:cs="Times New Roman"/>
                <w:color w:val="auto"/>
                <w:sz w:val="21"/>
                <w:szCs w:val="21"/>
              </w:rPr>
            </w:pPr>
            <w:r>
              <w:rPr>
                <w:rFonts w:hint="default" w:ascii="Times New Roman" w:hAnsi="Times New Roman" w:eastAsia="方正楷体_GBK" w:cs="Times New Roman"/>
                <w:color w:val="auto"/>
                <w:kern w:val="0"/>
                <w:sz w:val="21"/>
                <w:szCs w:val="21"/>
              </w:rPr>
              <w:t>乡镇（街道）</w:t>
            </w:r>
            <w:r>
              <w:rPr>
                <w:rFonts w:hint="default" w:ascii="Times New Roman" w:hAnsi="Times New Roman" w:eastAsia="方正楷体_GBK" w:cs="Times New Roman"/>
                <w:color w:val="auto"/>
                <w:kern w:val="0"/>
                <w:sz w:val="21"/>
                <w:szCs w:val="21"/>
                <w:lang w:val="en-US" w:eastAsia="zh-CN"/>
              </w:rPr>
              <w:t>审核</w:t>
            </w:r>
            <w:r>
              <w:rPr>
                <w:rFonts w:hint="default" w:ascii="Times New Roman" w:hAnsi="Times New Roman" w:eastAsia="方正楷体_GBK" w:cs="Times New Roman"/>
                <w:color w:val="auto"/>
                <w:kern w:val="0"/>
                <w:sz w:val="21"/>
                <w:szCs w:val="21"/>
              </w:rPr>
              <w:t>意见</w:t>
            </w:r>
          </w:p>
        </w:tc>
        <w:tc>
          <w:tcPr>
            <w:tcW w:w="8251" w:type="dxa"/>
            <w:gridSpan w:val="6"/>
            <w:tcBorders>
              <w:top w:val="single" w:color="000000" w:sz="4" w:space="0"/>
              <w:left w:val="single" w:color="000000" w:sz="4" w:space="0"/>
              <w:bottom w:val="single" w:color="000000" w:sz="4" w:space="0"/>
              <w:right w:val="single" w:color="000000" w:sz="4" w:space="0"/>
            </w:tcBorders>
            <w:noWrap/>
            <w:vAlign w:val="center"/>
          </w:tcPr>
          <w:p>
            <w:pPr>
              <w:snapToGrid w:val="0"/>
              <w:spacing w:line="280" w:lineRule="exact"/>
              <w:ind w:firstLine="420" w:firstLineChars="200"/>
              <w:jc w:val="left"/>
              <w:rPr>
                <w:rFonts w:hint="eastAsia" w:ascii="方正仿宋_GBK" w:hAnsi="方正仿宋_GBK" w:eastAsia="方正仿宋_GBK" w:cs="方正仿宋_GBK"/>
                <w:bCs/>
                <w:color w:val="auto"/>
                <w:sz w:val="21"/>
                <w:szCs w:val="21"/>
              </w:rPr>
            </w:pPr>
          </w:p>
          <w:p>
            <w:pPr>
              <w:snapToGrid w:val="0"/>
              <w:spacing w:line="280" w:lineRule="exact"/>
              <w:ind w:firstLine="420" w:firstLineChars="200"/>
              <w:jc w:val="left"/>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经核实，为我辖区低保对象属实，符合经济困难失能老年人集中照护服务条件。</w:t>
            </w:r>
          </w:p>
          <w:p>
            <w:pPr>
              <w:snapToGrid w:val="0"/>
              <w:spacing w:line="280" w:lineRule="exact"/>
              <w:jc w:val="left"/>
              <w:rPr>
                <w:rFonts w:hint="eastAsia" w:ascii="方正仿宋_GBK" w:hAnsi="方正仿宋_GBK" w:eastAsia="方正仿宋_GBK" w:cs="方正仿宋_GBK"/>
                <w:bCs/>
                <w:color w:val="auto"/>
                <w:sz w:val="21"/>
                <w:szCs w:val="21"/>
              </w:rPr>
            </w:pPr>
          </w:p>
          <w:p>
            <w:pPr>
              <w:snapToGrid w:val="0"/>
              <w:spacing w:line="280" w:lineRule="exact"/>
              <w:ind w:firstLine="2730" w:firstLineChars="1300"/>
              <w:jc w:val="left"/>
              <w:rPr>
                <w:rFonts w:hint="eastAsia" w:ascii="方正仿宋_GBK" w:hAnsi="方正仿宋_GBK" w:eastAsia="方正仿宋_GBK" w:cs="方正仿宋_GBK"/>
                <w:bCs/>
                <w:color w:val="auto"/>
                <w:sz w:val="21"/>
                <w:szCs w:val="21"/>
              </w:rPr>
            </w:pPr>
          </w:p>
          <w:p>
            <w:pPr>
              <w:snapToGrid w:val="0"/>
              <w:spacing w:line="280" w:lineRule="exact"/>
              <w:ind w:firstLine="2730" w:firstLineChars="1300"/>
              <w:jc w:val="left"/>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乡镇人民政府（街道办事处）（盖章）</w:t>
            </w:r>
          </w:p>
          <w:p>
            <w:pPr>
              <w:widowControl/>
              <w:spacing w:line="28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Cs/>
                <w:color w:val="auto"/>
                <w:sz w:val="21"/>
                <w:szCs w:val="21"/>
              </w:rPr>
              <w:t>负责人：               经办人：              年     月    日</w:t>
            </w:r>
          </w:p>
        </w:tc>
      </w:tr>
      <w:tr>
        <w:tblPrEx>
          <w:tblCellMar>
            <w:top w:w="0" w:type="dxa"/>
            <w:left w:w="108" w:type="dxa"/>
            <w:bottom w:w="0" w:type="dxa"/>
            <w:right w:w="108" w:type="dxa"/>
          </w:tblCellMar>
        </w:tblPrEx>
        <w:trPr>
          <w:trHeight w:val="1191"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default" w:ascii="Times New Roman" w:hAnsi="Times New Roman" w:eastAsia="方正楷体_GBK" w:cs="Times New Roman"/>
                <w:color w:val="auto"/>
                <w:sz w:val="21"/>
                <w:szCs w:val="21"/>
              </w:rPr>
            </w:pPr>
            <w:r>
              <w:rPr>
                <w:rFonts w:hint="default" w:ascii="Times New Roman" w:hAnsi="Times New Roman" w:eastAsia="方正楷体_GBK" w:cs="Times New Roman"/>
                <w:color w:val="auto"/>
                <w:kern w:val="0"/>
                <w:sz w:val="21"/>
                <w:szCs w:val="21"/>
              </w:rPr>
              <w:t>县民政部门审批意见</w:t>
            </w:r>
          </w:p>
        </w:tc>
        <w:tc>
          <w:tcPr>
            <w:tcW w:w="8251" w:type="dxa"/>
            <w:gridSpan w:val="6"/>
            <w:tcBorders>
              <w:top w:val="single" w:color="000000" w:sz="4" w:space="0"/>
              <w:left w:val="single" w:color="000000" w:sz="4" w:space="0"/>
              <w:bottom w:val="single" w:color="000000" w:sz="4" w:space="0"/>
              <w:right w:val="single" w:color="000000" w:sz="4" w:space="0"/>
            </w:tcBorders>
            <w:noWrap/>
            <w:vAlign w:val="center"/>
          </w:tcPr>
          <w:p>
            <w:pPr>
              <w:tabs>
                <w:tab w:val="left" w:pos="629"/>
              </w:tabs>
              <w:snapToGrid w:val="0"/>
              <w:spacing w:line="280" w:lineRule="exact"/>
              <w:ind w:firstLine="420" w:firstLineChars="200"/>
              <w:jc w:val="left"/>
              <w:rPr>
                <w:rFonts w:hint="eastAsia" w:ascii="方正仿宋_GBK" w:hAnsi="方正仿宋_GBK" w:eastAsia="方正仿宋_GBK" w:cs="方正仿宋_GBK"/>
                <w:bCs/>
                <w:color w:val="auto"/>
                <w:sz w:val="21"/>
                <w:szCs w:val="21"/>
              </w:rPr>
            </w:pPr>
          </w:p>
          <w:p>
            <w:pPr>
              <w:tabs>
                <w:tab w:val="left" w:pos="629"/>
              </w:tabs>
              <w:snapToGrid w:val="0"/>
              <w:spacing w:line="280" w:lineRule="exact"/>
              <w:ind w:firstLine="420" w:firstLineChars="200"/>
              <w:jc w:val="left"/>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经审查，同意该对象自</w:t>
            </w:r>
            <w:r>
              <w:rPr>
                <w:rFonts w:hint="eastAsia" w:ascii="方正仿宋_GBK" w:hAnsi="方正仿宋_GBK" w:eastAsia="方正仿宋_GBK" w:cs="方正仿宋_GBK"/>
                <w:bCs/>
                <w:color w:val="auto"/>
                <w:sz w:val="21"/>
                <w:szCs w:val="21"/>
                <w:lang w:val="en-US" w:eastAsia="zh-CN"/>
              </w:rPr>
              <w:t xml:space="preserve">    </w:t>
            </w:r>
            <w:r>
              <w:rPr>
                <w:rFonts w:hint="eastAsia" w:ascii="方正仿宋_GBK" w:hAnsi="方正仿宋_GBK" w:eastAsia="方正仿宋_GBK" w:cs="方正仿宋_GBK"/>
                <w:bCs/>
                <w:color w:val="auto"/>
                <w:sz w:val="21"/>
                <w:szCs w:val="21"/>
              </w:rPr>
              <w:t>年</w:t>
            </w:r>
            <w:r>
              <w:rPr>
                <w:rFonts w:hint="eastAsia" w:ascii="方正仿宋_GBK" w:hAnsi="方正仿宋_GBK" w:eastAsia="方正仿宋_GBK" w:cs="方正仿宋_GBK"/>
                <w:bCs/>
                <w:color w:val="auto"/>
                <w:sz w:val="21"/>
                <w:szCs w:val="21"/>
                <w:lang w:val="en-US" w:eastAsia="zh-CN"/>
              </w:rPr>
              <w:t xml:space="preserve">  </w:t>
            </w:r>
            <w:r>
              <w:rPr>
                <w:rFonts w:hint="eastAsia" w:ascii="方正仿宋_GBK" w:hAnsi="方正仿宋_GBK" w:eastAsia="方正仿宋_GBK" w:cs="方正仿宋_GBK"/>
                <w:bCs/>
                <w:color w:val="auto"/>
                <w:sz w:val="21"/>
                <w:szCs w:val="21"/>
              </w:rPr>
              <w:t>月</w:t>
            </w:r>
            <w:r>
              <w:rPr>
                <w:rFonts w:hint="eastAsia" w:ascii="方正仿宋_GBK" w:hAnsi="方正仿宋_GBK" w:eastAsia="方正仿宋_GBK" w:cs="方正仿宋_GBK"/>
                <w:bCs/>
                <w:color w:val="auto"/>
                <w:sz w:val="21"/>
                <w:szCs w:val="21"/>
                <w:lang w:val="en-US" w:eastAsia="zh-CN"/>
              </w:rPr>
              <w:t xml:space="preserve">  </w:t>
            </w:r>
            <w:r>
              <w:rPr>
                <w:rFonts w:hint="eastAsia" w:ascii="方正仿宋_GBK" w:hAnsi="方正仿宋_GBK" w:eastAsia="方正仿宋_GBK" w:cs="方正仿宋_GBK"/>
                <w:bCs/>
                <w:color w:val="auto"/>
                <w:sz w:val="21"/>
                <w:szCs w:val="21"/>
              </w:rPr>
              <w:t>日起进行集中照护，给予救助</w:t>
            </w:r>
            <w:r>
              <w:rPr>
                <w:rFonts w:hint="eastAsia" w:ascii="方正仿宋_GBK" w:hAnsi="方正仿宋_GBK" w:eastAsia="方正仿宋_GBK" w:cs="方正仿宋_GBK"/>
                <w:bCs/>
                <w:color w:val="auto"/>
                <w:sz w:val="21"/>
                <w:szCs w:val="21"/>
                <w:lang w:val="en-US" w:eastAsia="zh-CN"/>
              </w:rPr>
              <w:t xml:space="preserve">    </w:t>
            </w:r>
            <w:r>
              <w:rPr>
                <w:rFonts w:hint="eastAsia" w:ascii="方正仿宋_GBK" w:hAnsi="方正仿宋_GBK" w:eastAsia="方正仿宋_GBK" w:cs="方正仿宋_GBK"/>
                <w:bCs/>
                <w:color w:val="auto"/>
                <w:sz w:val="21"/>
                <w:szCs w:val="21"/>
              </w:rPr>
              <w:t>元/月。</w:t>
            </w:r>
          </w:p>
          <w:p>
            <w:pPr>
              <w:snapToGrid w:val="0"/>
              <w:spacing w:line="280" w:lineRule="exact"/>
              <w:ind w:firstLine="4410" w:firstLineChars="2100"/>
              <w:jc w:val="left"/>
              <w:rPr>
                <w:rFonts w:hint="eastAsia" w:ascii="方正仿宋_GBK" w:hAnsi="方正仿宋_GBK" w:eastAsia="方正仿宋_GBK" w:cs="方正仿宋_GBK"/>
                <w:bCs/>
                <w:color w:val="auto"/>
                <w:sz w:val="21"/>
                <w:szCs w:val="21"/>
              </w:rPr>
            </w:pPr>
          </w:p>
          <w:p>
            <w:pPr>
              <w:snapToGrid w:val="0"/>
              <w:spacing w:line="280" w:lineRule="exact"/>
              <w:ind w:firstLine="4410" w:firstLineChars="2100"/>
              <w:jc w:val="left"/>
              <w:rPr>
                <w:rFonts w:hint="eastAsia" w:ascii="方正仿宋_GBK" w:hAnsi="方正仿宋_GBK" w:eastAsia="方正仿宋_GBK" w:cs="方正仿宋_GBK"/>
                <w:bCs/>
                <w:color w:val="auto"/>
                <w:sz w:val="21"/>
                <w:szCs w:val="21"/>
              </w:rPr>
            </w:pPr>
          </w:p>
          <w:p>
            <w:pPr>
              <w:snapToGrid w:val="0"/>
              <w:spacing w:line="280" w:lineRule="exact"/>
              <w:ind w:firstLine="4410" w:firstLineChars="2100"/>
              <w:jc w:val="left"/>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县民政局（盖章）</w:t>
            </w:r>
          </w:p>
          <w:p>
            <w:pPr>
              <w:widowControl/>
              <w:spacing w:line="28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Cs/>
                <w:color w:val="auto"/>
                <w:sz w:val="21"/>
                <w:szCs w:val="21"/>
              </w:rPr>
              <w:t>负责人：               经办人：              年     月    日</w:t>
            </w:r>
          </w:p>
        </w:tc>
      </w:tr>
      <w:bookmarkEnd w:id="0"/>
    </w:tbl>
    <w:p>
      <w:pPr>
        <w:pStyle w:val="2"/>
        <w:spacing w:after="0" w:line="240" w:lineRule="exact"/>
        <w:rPr>
          <w:rFonts w:hint="default" w:ascii="Times New Roman" w:hAnsi="Times New Roman" w:eastAsia="方正仿宋_GBK" w:cs="Times New Roman"/>
          <w:color w:val="auto"/>
          <w:sz w:val="24"/>
          <w:szCs w:val="24"/>
        </w:rPr>
      </w:pPr>
    </w:p>
    <w:p>
      <w:pPr>
        <w:pStyle w:val="2"/>
        <w:spacing w:after="0" w:line="24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注：此表一式二份，乡镇（街道）、区县民政部门各一份</w:t>
      </w:r>
    </w:p>
    <w:p>
      <w:pPr>
        <w:pStyle w:val="2"/>
        <w:spacing w:after="0" w:line="240" w:lineRule="exact"/>
        <w:rPr>
          <w:rFonts w:hint="default" w:ascii="Times New Roman" w:hAnsi="Times New Roman" w:eastAsia="方正仿宋_GBK" w:cs="Times New Roman"/>
          <w:color w:val="auto"/>
          <w:sz w:val="24"/>
          <w:szCs w:val="24"/>
        </w:rPr>
        <w:sectPr>
          <w:headerReference r:id="rId3" w:type="default"/>
          <w:footerReference r:id="rId4" w:type="default"/>
          <w:footerReference r:id="rId5" w:type="even"/>
          <w:pgSz w:w="11906" w:h="16838"/>
          <w:pgMar w:top="2098" w:right="1531" w:bottom="1984" w:left="1531" w:header="851" w:footer="1474" w:gutter="0"/>
          <w:pgNumType w:fmt="decimal" w:start="1"/>
          <w:cols w:space="720" w:num="1"/>
          <w:docGrid w:type="lines" w:linePitch="312" w:charSpace="0"/>
        </w:sectPr>
      </w:pPr>
    </w:p>
    <w:p>
      <w:pPr>
        <w:rPr>
          <w:rFonts w:hint="default" w:ascii="Times New Roman" w:hAnsi="Times New Roman" w:eastAsia="方正黑体_GBK" w:cs="Times New Roman"/>
          <w:color w:val="auto"/>
          <w:sz w:val="36"/>
          <w:szCs w:val="36"/>
        </w:rPr>
      </w:pPr>
      <w:r>
        <w:rPr>
          <w:rFonts w:hint="default" w:ascii="Times New Roman" w:hAnsi="Times New Roman" w:eastAsia="方正黑体_GBK" w:cs="Times New Roman"/>
          <w:color w:val="auto"/>
          <w:sz w:val="32"/>
          <w:szCs w:val="32"/>
        </w:rPr>
        <w:t>附件2</w:t>
      </w:r>
    </w:p>
    <w:p>
      <w:pPr>
        <w:pStyle w:val="2"/>
        <w:jc w:val="center"/>
        <w:rPr>
          <w:rFonts w:hint="default" w:ascii="Times New Roman" w:hAnsi="Times New Roman" w:eastAsia="方正仿宋_GBK" w:cs="Times New Roman"/>
          <w:color w:val="auto"/>
          <w:sz w:val="36"/>
          <w:szCs w:val="36"/>
        </w:rPr>
      </w:pPr>
      <w:r>
        <w:rPr>
          <w:rFonts w:hint="eastAsia" w:ascii="Times New Roman" w:hAnsi="Times New Roman" w:eastAsia="方正小标宋_GBK" w:cs="Times New Roman"/>
          <w:color w:val="auto"/>
          <w:kern w:val="2"/>
          <w:sz w:val="36"/>
          <w:szCs w:val="36"/>
          <w:lang w:val="en-US" w:eastAsia="zh-CN"/>
        </w:rPr>
        <w:t>云阳</w:t>
      </w:r>
      <w:r>
        <w:rPr>
          <w:rFonts w:hint="default" w:ascii="Times New Roman" w:hAnsi="Times New Roman" w:eastAsia="方正小标宋_GBK" w:cs="Times New Roman"/>
          <w:color w:val="auto"/>
          <w:kern w:val="2"/>
          <w:sz w:val="36"/>
          <w:szCs w:val="36"/>
          <w:lang w:val="en-US" w:eastAsia="zh-CN"/>
        </w:rPr>
        <w:t>县</w:t>
      </w:r>
      <w:r>
        <w:rPr>
          <w:rFonts w:hint="default" w:ascii="Times New Roman" w:hAnsi="Times New Roman" w:eastAsia="方正小标宋_GBK" w:cs="Times New Roman"/>
          <w:color w:val="auto"/>
          <w:kern w:val="2"/>
          <w:sz w:val="36"/>
          <w:szCs w:val="36"/>
        </w:rPr>
        <w:t>经济困难失能老年人</w:t>
      </w:r>
      <w:r>
        <w:rPr>
          <w:rFonts w:hint="eastAsia" w:ascii="Times New Roman" w:hAnsi="Times New Roman" w:eastAsia="方正小标宋_GBK" w:cs="Times New Roman"/>
          <w:color w:val="auto"/>
          <w:kern w:val="2"/>
          <w:sz w:val="36"/>
          <w:szCs w:val="36"/>
          <w:lang w:val="en-US" w:eastAsia="zh-CN"/>
        </w:rPr>
        <w:t>等群体</w:t>
      </w:r>
      <w:r>
        <w:rPr>
          <w:rFonts w:hint="default" w:ascii="Times New Roman" w:hAnsi="Times New Roman" w:eastAsia="方正小标宋_GBK" w:cs="Times New Roman"/>
          <w:color w:val="auto"/>
          <w:kern w:val="2"/>
          <w:sz w:val="36"/>
          <w:szCs w:val="36"/>
        </w:rPr>
        <w:t>集中照护服务救助申请汇总表</w:t>
      </w:r>
    </w:p>
    <w:tbl>
      <w:tblPr>
        <w:tblStyle w:val="13"/>
        <w:tblW w:w="14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64"/>
        <w:gridCol w:w="664"/>
        <w:gridCol w:w="664"/>
        <w:gridCol w:w="1109"/>
        <w:gridCol w:w="1109"/>
        <w:gridCol w:w="957"/>
        <w:gridCol w:w="817"/>
        <w:gridCol w:w="665"/>
        <w:gridCol w:w="665"/>
        <w:gridCol w:w="665"/>
        <w:gridCol w:w="664"/>
        <w:gridCol w:w="832"/>
        <w:gridCol w:w="661"/>
        <w:gridCol w:w="649"/>
        <w:gridCol w:w="673"/>
        <w:gridCol w:w="649"/>
        <w:gridCol w:w="627"/>
        <w:gridCol w:w="661"/>
        <w:gridCol w:w="661"/>
        <w:gridCol w:w="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387"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序号</w:t>
            </w:r>
          </w:p>
        </w:tc>
        <w:tc>
          <w:tcPr>
            <w:tcW w:w="664"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申请人姓名</w:t>
            </w:r>
          </w:p>
        </w:tc>
        <w:tc>
          <w:tcPr>
            <w:tcW w:w="664"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性别</w:t>
            </w:r>
          </w:p>
        </w:tc>
        <w:tc>
          <w:tcPr>
            <w:tcW w:w="664"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出生年月</w:t>
            </w:r>
          </w:p>
        </w:tc>
        <w:tc>
          <w:tcPr>
            <w:tcW w:w="1109"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身份证</w:t>
            </w:r>
          </w:p>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号码</w:t>
            </w:r>
          </w:p>
        </w:tc>
        <w:tc>
          <w:tcPr>
            <w:tcW w:w="1109"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户籍地</w:t>
            </w:r>
          </w:p>
        </w:tc>
        <w:tc>
          <w:tcPr>
            <w:tcW w:w="957"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现居</w:t>
            </w:r>
          </w:p>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住地</w:t>
            </w:r>
          </w:p>
        </w:tc>
        <w:tc>
          <w:tcPr>
            <w:tcW w:w="817"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联系电话</w:t>
            </w:r>
          </w:p>
        </w:tc>
        <w:tc>
          <w:tcPr>
            <w:tcW w:w="665"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申请时间</w:t>
            </w:r>
          </w:p>
        </w:tc>
        <w:tc>
          <w:tcPr>
            <w:tcW w:w="665"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能力评估结果</w:t>
            </w:r>
          </w:p>
        </w:tc>
        <w:tc>
          <w:tcPr>
            <w:tcW w:w="665" w:type="dxa"/>
            <w:noWrap/>
            <w:vAlign w:val="center"/>
          </w:tcPr>
          <w:p>
            <w:pPr>
              <w:pStyle w:val="2"/>
              <w:spacing w:after="0"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评估</w:t>
            </w:r>
          </w:p>
          <w:p>
            <w:pPr>
              <w:pStyle w:val="2"/>
              <w:spacing w:after="0"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机构</w:t>
            </w:r>
          </w:p>
        </w:tc>
        <w:tc>
          <w:tcPr>
            <w:tcW w:w="664" w:type="dxa"/>
            <w:noWrap/>
            <w:vAlign w:val="center"/>
          </w:tcPr>
          <w:p>
            <w:pPr>
              <w:pStyle w:val="2"/>
              <w:spacing w:after="0"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评估</w:t>
            </w:r>
          </w:p>
          <w:p>
            <w:pPr>
              <w:pStyle w:val="2"/>
              <w:spacing w:after="0"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时间</w:t>
            </w:r>
          </w:p>
        </w:tc>
        <w:tc>
          <w:tcPr>
            <w:tcW w:w="832"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0"/>
                <w:szCs w:val="20"/>
              </w:rPr>
              <w:t>本地集中供养特困人员基本生活标准及全护理照料标准的总和</w:t>
            </w:r>
          </w:p>
        </w:tc>
        <w:tc>
          <w:tcPr>
            <w:tcW w:w="661"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入住机构名称</w:t>
            </w:r>
          </w:p>
        </w:tc>
        <w:tc>
          <w:tcPr>
            <w:tcW w:w="649"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收费标准</w:t>
            </w:r>
          </w:p>
        </w:tc>
        <w:tc>
          <w:tcPr>
            <w:tcW w:w="673"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入住机构时间</w:t>
            </w:r>
          </w:p>
        </w:tc>
        <w:tc>
          <w:tcPr>
            <w:tcW w:w="649"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入住机构时长</w:t>
            </w:r>
          </w:p>
        </w:tc>
        <w:tc>
          <w:tcPr>
            <w:tcW w:w="627"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0"/>
                <w:szCs w:val="20"/>
              </w:rPr>
              <w:t>已享受的行政给付合计</w:t>
            </w:r>
          </w:p>
        </w:tc>
        <w:tc>
          <w:tcPr>
            <w:tcW w:w="661"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每月救助金额</w:t>
            </w:r>
          </w:p>
        </w:tc>
        <w:tc>
          <w:tcPr>
            <w:tcW w:w="661"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年度救助总额</w:t>
            </w:r>
          </w:p>
        </w:tc>
        <w:tc>
          <w:tcPr>
            <w:tcW w:w="448" w:type="dxa"/>
            <w:noWrap/>
            <w:vAlign w:val="center"/>
          </w:tcPr>
          <w:p>
            <w:pPr>
              <w:pStyle w:val="2"/>
              <w:spacing w:line="240" w:lineRule="exact"/>
              <w:jc w:val="center"/>
              <w:rPr>
                <w:rFonts w:hint="default" w:ascii="Times New Roman" w:hAnsi="Times New Roman" w:eastAsia="方正楷体_GBK" w:cs="Times New Roman"/>
                <w:color w:val="auto"/>
                <w:sz w:val="22"/>
                <w:szCs w:val="22"/>
              </w:rPr>
            </w:pPr>
            <w:r>
              <w:rPr>
                <w:rFonts w:hint="default" w:ascii="Times New Roman" w:hAnsi="Times New Roman" w:eastAsia="方正楷体_GBK" w:cs="Times New Roman"/>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87"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664"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664"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664"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1109"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1109"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957"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817"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665"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665" w:type="dxa"/>
            <w:noWrap/>
            <w:vAlign w:val="center"/>
          </w:tcPr>
          <w:p>
            <w:pPr>
              <w:pStyle w:val="2"/>
              <w:spacing w:line="360" w:lineRule="exact"/>
              <w:jc w:val="center"/>
              <w:rPr>
                <w:rFonts w:hint="default" w:ascii="Times New Roman" w:hAnsi="Times New Roman" w:eastAsia="方正仿宋_GBK" w:cs="Times New Roman"/>
                <w:color w:val="auto"/>
                <w:sz w:val="24"/>
                <w:szCs w:val="24"/>
              </w:rPr>
            </w:pPr>
          </w:p>
        </w:tc>
        <w:tc>
          <w:tcPr>
            <w:tcW w:w="665"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64"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832"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61"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49"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73"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49"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27"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61"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661"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c>
          <w:tcPr>
            <w:tcW w:w="448" w:type="dxa"/>
            <w:noWrap/>
            <w:vAlign w:val="center"/>
          </w:tcPr>
          <w:p>
            <w:pPr>
              <w:pStyle w:val="2"/>
              <w:spacing w:line="440" w:lineRule="exact"/>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7"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957" w:type="dxa"/>
            <w:noWrap/>
            <w:vAlign w:val="center"/>
          </w:tcPr>
          <w:p>
            <w:pPr>
              <w:pStyle w:val="2"/>
              <w:jc w:val="center"/>
              <w:rPr>
                <w:rFonts w:hint="default" w:ascii="Times New Roman" w:hAnsi="Times New Roman" w:eastAsia="方正仿宋_GBK" w:cs="Times New Roman"/>
                <w:color w:val="auto"/>
                <w:sz w:val="24"/>
                <w:szCs w:val="24"/>
              </w:rPr>
            </w:pPr>
          </w:p>
        </w:tc>
        <w:tc>
          <w:tcPr>
            <w:tcW w:w="817"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832"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73"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27"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448" w:type="dxa"/>
            <w:noWrap/>
            <w:vAlign w:val="center"/>
          </w:tcPr>
          <w:p>
            <w:pPr>
              <w:pStyle w:val="2"/>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7"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957" w:type="dxa"/>
            <w:noWrap/>
            <w:vAlign w:val="center"/>
          </w:tcPr>
          <w:p>
            <w:pPr>
              <w:pStyle w:val="2"/>
              <w:jc w:val="center"/>
              <w:rPr>
                <w:rFonts w:hint="default" w:ascii="Times New Roman" w:hAnsi="Times New Roman" w:eastAsia="方正仿宋_GBK" w:cs="Times New Roman"/>
                <w:color w:val="auto"/>
                <w:sz w:val="24"/>
                <w:szCs w:val="24"/>
              </w:rPr>
            </w:pPr>
          </w:p>
        </w:tc>
        <w:tc>
          <w:tcPr>
            <w:tcW w:w="817"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832"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73"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27"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448" w:type="dxa"/>
            <w:noWrap/>
            <w:vAlign w:val="center"/>
          </w:tcPr>
          <w:p>
            <w:pPr>
              <w:pStyle w:val="2"/>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7"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957" w:type="dxa"/>
            <w:noWrap/>
            <w:vAlign w:val="center"/>
          </w:tcPr>
          <w:p>
            <w:pPr>
              <w:pStyle w:val="2"/>
              <w:jc w:val="center"/>
              <w:rPr>
                <w:rFonts w:hint="default" w:ascii="Times New Roman" w:hAnsi="Times New Roman" w:eastAsia="方正仿宋_GBK" w:cs="Times New Roman"/>
                <w:color w:val="auto"/>
                <w:sz w:val="24"/>
                <w:szCs w:val="24"/>
              </w:rPr>
            </w:pPr>
          </w:p>
        </w:tc>
        <w:tc>
          <w:tcPr>
            <w:tcW w:w="817"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832"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73"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27"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448" w:type="dxa"/>
            <w:noWrap/>
            <w:vAlign w:val="center"/>
          </w:tcPr>
          <w:p>
            <w:pPr>
              <w:pStyle w:val="2"/>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7"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1109" w:type="dxa"/>
            <w:noWrap/>
            <w:vAlign w:val="center"/>
          </w:tcPr>
          <w:p>
            <w:pPr>
              <w:pStyle w:val="2"/>
              <w:jc w:val="center"/>
              <w:rPr>
                <w:rFonts w:hint="default" w:ascii="Times New Roman" w:hAnsi="Times New Roman" w:eastAsia="方正仿宋_GBK" w:cs="Times New Roman"/>
                <w:color w:val="auto"/>
                <w:sz w:val="24"/>
                <w:szCs w:val="24"/>
              </w:rPr>
            </w:pPr>
          </w:p>
        </w:tc>
        <w:tc>
          <w:tcPr>
            <w:tcW w:w="957" w:type="dxa"/>
            <w:noWrap/>
            <w:vAlign w:val="center"/>
          </w:tcPr>
          <w:p>
            <w:pPr>
              <w:pStyle w:val="2"/>
              <w:jc w:val="center"/>
              <w:rPr>
                <w:rFonts w:hint="default" w:ascii="Times New Roman" w:hAnsi="Times New Roman" w:eastAsia="方正仿宋_GBK" w:cs="Times New Roman"/>
                <w:color w:val="auto"/>
                <w:sz w:val="24"/>
                <w:szCs w:val="24"/>
              </w:rPr>
            </w:pPr>
          </w:p>
        </w:tc>
        <w:tc>
          <w:tcPr>
            <w:tcW w:w="817"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5" w:type="dxa"/>
            <w:noWrap/>
            <w:vAlign w:val="center"/>
          </w:tcPr>
          <w:p>
            <w:pPr>
              <w:pStyle w:val="2"/>
              <w:jc w:val="center"/>
              <w:rPr>
                <w:rFonts w:hint="default" w:ascii="Times New Roman" w:hAnsi="Times New Roman" w:eastAsia="方正仿宋_GBK" w:cs="Times New Roman"/>
                <w:color w:val="auto"/>
                <w:sz w:val="24"/>
                <w:szCs w:val="24"/>
              </w:rPr>
            </w:pPr>
          </w:p>
        </w:tc>
        <w:tc>
          <w:tcPr>
            <w:tcW w:w="664" w:type="dxa"/>
            <w:noWrap/>
            <w:vAlign w:val="center"/>
          </w:tcPr>
          <w:p>
            <w:pPr>
              <w:pStyle w:val="2"/>
              <w:jc w:val="center"/>
              <w:rPr>
                <w:rFonts w:hint="default" w:ascii="Times New Roman" w:hAnsi="Times New Roman" w:eastAsia="方正仿宋_GBK" w:cs="Times New Roman"/>
                <w:color w:val="auto"/>
                <w:sz w:val="24"/>
                <w:szCs w:val="24"/>
              </w:rPr>
            </w:pPr>
          </w:p>
        </w:tc>
        <w:tc>
          <w:tcPr>
            <w:tcW w:w="832"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73" w:type="dxa"/>
            <w:noWrap/>
            <w:vAlign w:val="center"/>
          </w:tcPr>
          <w:p>
            <w:pPr>
              <w:pStyle w:val="2"/>
              <w:jc w:val="center"/>
              <w:rPr>
                <w:rFonts w:hint="default" w:ascii="Times New Roman" w:hAnsi="Times New Roman" w:eastAsia="方正仿宋_GBK" w:cs="Times New Roman"/>
                <w:color w:val="auto"/>
                <w:sz w:val="24"/>
                <w:szCs w:val="24"/>
              </w:rPr>
            </w:pPr>
          </w:p>
        </w:tc>
        <w:tc>
          <w:tcPr>
            <w:tcW w:w="649" w:type="dxa"/>
            <w:noWrap/>
            <w:vAlign w:val="center"/>
          </w:tcPr>
          <w:p>
            <w:pPr>
              <w:pStyle w:val="2"/>
              <w:jc w:val="center"/>
              <w:rPr>
                <w:rFonts w:hint="default" w:ascii="Times New Roman" w:hAnsi="Times New Roman" w:eastAsia="方正仿宋_GBK" w:cs="Times New Roman"/>
                <w:color w:val="auto"/>
                <w:sz w:val="24"/>
                <w:szCs w:val="24"/>
              </w:rPr>
            </w:pPr>
          </w:p>
        </w:tc>
        <w:tc>
          <w:tcPr>
            <w:tcW w:w="627"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661" w:type="dxa"/>
            <w:noWrap/>
            <w:vAlign w:val="center"/>
          </w:tcPr>
          <w:p>
            <w:pPr>
              <w:pStyle w:val="2"/>
              <w:jc w:val="center"/>
              <w:rPr>
                <w:rFonts w:hint="default" w:ascii="Times New Roman" w:hAnsi="Times New Roman" w:eastAsia="方正仿宋_GBK" w:cs="Times New Roman"/>
                <w:color w:val="auto"/>
                <w:sz w:val="24"/>
                <w:szCs w:val="24"/>
              </w:rPr>
            </w:pPr>
          </w:p>
        </w:tc>
        <w:tc>
          <w:tcPr>
            <w:tcW w:w="448" w:type="dxa"/>
            <w:noWrap/>
            <w:vAlign w:val="center"/>
          </w:tcPr>
          <w:p>
            <w:pPr>
              <w:pStyle w:val="2"/>
              <w:jc w:val="center"/>
              <w:rPr>
                <w:rFonts w:hint="default" w:ascii="Times New Roman" w:hAnsi="Times New Roman" w:eastAsia="方正仿宋_GBK" w:cs="Times New Roman"/>
                <w:color w:val="auto"/>
                <w:sz w:val="24"/>
                <w:szCs w:val="24"/>
              </w:rPr>
            </w:pPr>
          </w:p>
        </w:tc>
      </w:tr>
    </w:tbl>
    <w:p>
      <w:pPr>
        <w:keepNext w:val="0"/>
        <w:keepLines w:val="0"/>
        <w:pageBreakBefore w:val="0"/>
        <w:kinsoku/>
        <w:wordWrap/>
        <w:overflowPunct w:val="0"/>
        <w:topLinePunct w:val="0"/>
        <w:bidi w:val="0"/>
        <w:adjustRightInd w:val="0"/>
        <w:snapToGrid w:val="0"/>
        <w:spacing w:line="600" w:lineRule="exact"/>
        <w:textAlignment w:val="auto"/>
        <w:rPr>
          <w:rFonts w:hint="default" w:ascii="Times New Roman" w:hAnsi="Times New Roman" w:eastAsia="方正仿宋_GBK" w:cs="Times New Roman"/>
          <w:color w:val="000000"/>
          <w:sz w:val="32"/>
          <w:szCs w:val="32"/>
          <w:lang w:eastAsia="zh-CN"/>
        </w:rPr>
      </w:pPr>
    </w:p>
    <w:sectPr>
      <w:headerReference r:id="rId6" w:type="default"/>
      <w:footerReference r:id="rId7" w:type="default"/>
      <w:pgSz w:w="16838" w:h="11906" w:orient="landscape"/>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imes New Roman" w:hAnsi="Times New Roman"/>
        <w:sz w:val="28"/>
        <w:szCs w:val="28"/>
      </w:rPr>
    </w:pPr>
    <w:r>
      <w:rPr>
        <w:sz w:val="28"/>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zHzX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MfNcdAgAAKwQAAA4AAAAAAAAAAQAgAAAANQEAAGRycy9lMm9Eb2MueG1sUEsF&#10;BgAAAAAGAAYAWQEAAMQFAAAAAA==&#10;">
              <v:fill on="f" focussize="0,0"/>
              <v:stroke on="f" weight="0.5pt"/>
              <v:imagedata o:title=""/>
              <o:lock v:ext="edit" aspectratio="f"/>
              <v:textbox inset="0mm,0mm,0mm,0mm" style="mso-fit-shape-to-text:t;">
                <w:txbxContent>
                  <w:p>
                    <w:pPr>
                      <w:pStyle w:val="8"/>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sz w:val="32"/>
      </w:rPr>
    </w:pPr>
    <w:r>
      <w:rPr>
        <w:color w:val="FAFAFA"/>
        <w:sz w:val="32"/>
      </w:rPr>
      <mc:AlternateContent>
        <mc:Choice Requires="wps">
          <w:drawing>
            <wp:anchor distT="0" distB="0" distL="114300" distR="114300" simplePos="0" relativeHeight="251709440" behindDoc="0" locked="0" layoutInCell="1" allowOverlap="1">
              <wp:simplePos x="0" y="0"/>
              <wp:positionH relativeFrom="column">
                <wp:posOffset>-201295</wp:posOffset>
              </wp:positionH>
              <wp:positionV relativeFrom="paragraph">
                <wp:posOffset>232410</wp:posOffset>
              </wp:positionV>
              <wp:extent cx="9111615" cy="27940"/>
              <wp:effectExtent l="0" t="10795" r="13335" b="18415"/>
              <wp:wrapNone/>
              <wp:docPr id="64" name="直接连接符 64"/>
              <wp:cNvGraphicFramePr/>
              <a:graphic xmlns:a="http://schemas.openxmlformats.org/drawingml/2006/main">
                <a:graphicData uri="http://schemas.microsoft.com/office/word/2010/wordprocessingShape">
                  <wps:wsp>
                    <wps:cNvCnPr/>
                    <wps:spPr>
                      <a:xfrm flipV="true">
                        <a:off x="0" y="0"/>
                        <a:ext cx="9111615" cy="2794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5.85pt;margin-top:18.3pt;height:2.2pt;width:717.45pt;z-index:251709440;mso-width-relative:page;mso-height-relative:page;" filled="f" stroked="t" coordsize="21600,21600" o:gfxdata="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NRCoH2AAAAAoBAAAPAAAAAAAAAAEAIAAAADgAAABkcnMvZG93bnJldi54bWxQ&#10;SwECFAAUAAAACACHTuJAJ61KKeEBAACFAwAADgAAAAAAAAABACAAAAA9AQAAZHJzL2Uyb0RvYy54&#10;bWxQSwUGAAAAAAYABgBZAQAAkAUAAAAA&#10;">
              <v:fill on="f" focussize="0,0"/>
              <v:stroke weight="1.75pt" color="#005192" miterlimit="8" joinstyle="miter"/>
              <v:imagedata o:title=""/>
              <o:lock v:ext="edit" aspectratio="f"/>
            </v:line>
          </w:pict>
        </mc:Fallback>
      </mc:AlternateContent>
    </w:r>
    <w:r>
      <w:rPr>
        <w:sz w:val="32"/>
      </w:rPr>
      <mc:AlternateContent>
        <mc:Choice Requires="wps">
          <w:drawing>
            <wp:anchor distT="0" distB="0" distL="114300" distR="114300" simplePos="0" relativeHeight="2517104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04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XS+4QSICAAA5BAAADgAAAAAAAAABACAAAAA1AQAAZHJzL2Uyb0RvYy54&#10;bWxQSwUGAAAAAAYABgBZAQAAyQ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p>
    <w:pPr>
      <w:pStyle w:val="10"/>
      <w:ind w:left="4788" w:leftChars="2280" w:firstLine="6400" w:firstLineChars="2000"/>
      <w:rPr>
        <w:sz w:val="32"/>
      </w:rPr>
    </w:pPr>
  </w:p>
  <w:p>
    <w:pPr>
      <w:pStyle w:val="10"/>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云阳县民政局发布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-2540</wp:posOffset>
              </wp:positionH>
              <wp:positionV relativeFrom="paragraph">
                <wp:posOffset>462280</wp:posOffset>
              </wp:positionV>
              <wp:extent cx="5615940" cy="0"/>
              <wp:effectExtent l="0" t="10795" r="3810" b="17780"/>
              <wp:wrapNone/>
              <wp:docPr id="70" name="直接连接符 70"/>
              <wp:cNvGraphicFramePr/>
              <a:graphic xmlns:a="http://schemas.openxmlformats.org/drawingml/2006/main">
                <a:graphicData uri="http://schemas.microsoft.com/office/word/2010/wordprocessingShape">
                  <wps:wsp>
                    <wps:cNvCnPr/>
                    <wps:spPr>
                      <a:xfrm>
                        <a:off x="4133850" y="864870"/>
                        <a:ext cx="561594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442.2pt;z-index:251717632;mso-width-relative:page;mso-height-relative:page;" filled="f" stroked="t" coordsize="21600,21600" o:gfxdata="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GLsrHTAAAABwEAAA8AAAAAAAAAAQAgAAAAOAAAAGRycy9kb3ducmV2LnhtbFBLAQIUABQA&#10;AAAIAIdO4kCHtRpD3wEAAH8DAAAOAAAAAAAAAAEAIAAAADgBAABkcnMvZTJvRG9jLnhtbFBLBQYA&#10;AAAABgAGAFkBAACJ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71" name="图片 7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 name="图片 7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云阳县民政局</w:t>
    </w:r>
    <w:r>
      <w:rPr>
        <w:rFonts w:hint="eastAsia" w:ascii="宋体" w:hAnsi="宋体" w:eastAsia="宋体" w:cs="宋体"/>
        <w:b/>
        <w:bCs/>
        <w:color w:val="005192"/>
        <w:sz w:val="32"/>
        <w:szCs w:val="32"/>
      </w:rPr>
      <w:t>规范性文件</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-2540</wp:posOffset>
              </wp:positionH>
              <wp:positionV relativeFrom="paragraph">
                <wp:posOffset>462280</wp:posOffset>
              </wp:positionV>
              <wp:extent cx="5615940" cy="0"/>
              <wp:effectExtent l="0" t="10795" r="3810" b="17780"/>
              <wp:wrapNone/>
              <wp:docPr id="61" name="直接连接符 61"/>
              <wp:cNvGraphicFramePr/>
              <a:graphic xmlns:a="http://schemas.openxmlformats.org/drawingml/2006/main">
                <a:graphicData uri="http://schemas.microsoft.com/office/word/2010/wordprocessingShape">
                  <wps:wsp>
                    <wps:cNvCnPr/>
                    <wps:spPr>
                      <a:xfrm>
                        <a:off x="4133850" y="864870"/>
                        <a:ext cx="561594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442.2pt;z-index:251708416;mso-width-relative:page;mso-height-relative:page;" filled="f" stroked="t" coordsize="21600,21600" o:gfxdata="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GLsrHTAAAABwEAAA8AAAAAAAAAAQAgAAAAOAAAAGRycy9kb3ducmV2LnhtbFBLAQIUABQA&#10;AAAIAIdO4kCk1sn33wEAAH8DAAAOAAAAAAAAAAEAIAAAADgBAABkcnMvZTJvRG9jLnhtbFBLBQYA&#10;AAAABgAGAFkBAACJ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62" name="图片 62"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 name="图片 62"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云阳县民政局</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6BE5F"/>
    <w:multiLevelType w:val="singleLevel"/>
    <w:tmpl w:val="D9F6BE5F"/>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E39"/>
    <w:rsid w:val="000A2A0C"/>
    <w:rsid w:val="00131BA1"/>
    <w:rsid w:val="00172A27"/>
    <w:rsid w:val="001959E3"/>
    <w:rsid w:val="00221929"/>
    <w:rsid w:val="002850F0"/>
    <w:rsid w:val="00315074"/>
    <w:rsid w:val="004C1EA7"/>
    <w:rsid w:val="004D0248"/>
    <w:rsid w:val="005A2D7B"/>
    <w:rsid w:val="006F29EB"/>
    <w:rsid w:val="006F2F34"/>
    <w:rsid w:val="00861760"/>
    <w:rsid w:val="009F0CE4"/>
    <w:rsid w:val="00A567D2"/>
    <w:rsid w:val="00A91676"/>
    <w:rsid w:val="00B02D56"/>
    <w:rsid w:val="00B0510B"/>
    <w:rsid w:val="00B84172"/>
    <w:rsid w:val="00C61096"/>
    <w:rsid w:val="00D20235"/>
    <w:rsid w:val="00D429AD"/>
    <w:rsid w:val="00D54DC1"/>
    <w:rsid w:val="00E51CD0"/>
    <w:rsid w:val="00E74745"/>
    <w:rsid w:val="00F93D3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A74038"/>
    <w:rsid w:val="1CF734C9"/>
    <w:rsid w:val="1DEC284C"/>
    <w:rsid w:val="1E6523AC"/>
    <w:rsid w:val="1FFFCB12"/>
    <w:rsid w:val="22440422"/>
    <w:rsid w:val="22BB4BBB"/>
    <w:rsid w:val="25EB1AF4"/>
    <w:rsid w:val="2DD05FE1"/>
    <w:rsid w:val="2EAE3447"/>
    <w:rsid w:val="31A15F24"/>
    <w:rsid w:val="333B7202"/>
    <w:rsid w:val="36FB1DF0"/>
    <w:rsid w:val="381D0F6D"/>
    <w:rsid w:val="395347B5"/>
    <w:rsid w:val="39A232A0"/>
    <w:rsid w:val="39E745AA"/>
    <w:rsid w:val="3B5A6BBB"/>
    <w:rsid w:val="3CA154E3"/>
    <w:rsid w:val="3EDA13A6"/>
    <w:rsid w:val="3FF56C14"/>
    <w:rsid w:val="41115CA8"/>
    <w:rsid w:val="417B75E9"/>
    <w:rsid w:val="42430A63"/>
    <w:rsid w:val="42F058B7"/>
    <w:rsid w:val="436109F6"/>
    <w:rsid w:val="441A38D4"/>
    <w:rsid w:val="4504239D"/>
    <w:rsid w:val="455C7052"/>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CC41BBD"/>
    <w:rsid w:val="6D0E3F22"/>
    <w:rsid w:val="6F7FDAC7"/>
    <w:rsid w:val="6FCEC359"/>
    <w:rsid w:val="72CF0534"/>
    <w:rsid w:val="744E4660"/>
    <w:rsid w:val="753355A2"/>
    <w:rsid w:val="753BF76B"/>
    <w:rsid w:val="759F1C61"/>
    <w:rsid w:val="769F2DE8"/>
    <w:rsid w:val="76FDEB7C"/>
    <w:rsid w:val="77FB4874"/>
    <w:rsid w:val="79C65162"/>
    <w:rsid w:val="79EE7E31"/>
    <w:rsid w:val="7AEA0FB4"/>
    <w:rsid w:val="7C9011D9"/>
    <w:rsid w:val="7DC651C5"/>
    <w:rsid w:val="7FCC2834"/>
    <w:rsid w:val="92DD1CEF"/>
    <w:rsid w:val="BD9D1569"/>
    <w:rsid w:val="EBDDA9D0"/>
    <w:rsid w:val="EDE79E28"/>
    <w:rsid w:val="F05B4F69"/>
    <w:rsid w:val="F7F902F6"/>
    <w:rsid w:val="F97D9566"/>
    <w:rsid w:val="FDFF411C"/>
    <w:rsid w:val="FF67D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ascii="宋体" w:hAnsi="宋体" w:eastAsia="宋体"/>
      <w:b/>
      <w:kern w:val="44"/>
      <w:sz w:val="48"/>
      <w:szCs w:val="48"/>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center"/>
    </w:pPr>
    <w:rPr>
      <w:rFonts w:ascii="方正小标宋_GBK" w:hAnsi="Times New Roman" w:eastAsia="方正小标宋_GBK" w:cs="Times New Roman"/>
      <w:kern w:val="2"/>
      <w:sz w:val="44"/>
      <w:lang w:val="en-US" w:eastAsia="zh-CN" w:bidi="ar-SA"/>
    </w:rPr>
  </w:style>
  <w:style w:type="paragraph" w:styleId="3">
    <w:name w:val="toc 5"/>
    <w:basedOn w:val="1"/>
    <w:next w:val="1"/>
    <w:qFormat/>
    <w:uiPriority w:val="0"/>
    <w:pPr>
      <w:widowControl w:val="0"/>
      <w:spacing w:line="600" w:lineRule="exact"/>
      <w:ind w:firstLine="200" w:firstLineChars="200"/>
      <w:jc w:val="left"/>
    </w:pPr>
    <w:rPr>
      <w:rFonts w:ascii="方正黑体_GBK" w:hAnsi="Times New Roman" w:eastAsia="方正黑体_GBK" w:cs="Times New Roman"/>
      <w:kern w:val="2"/>
      <w:sz w:val="32"/>
      <w:szCs w:val="32"/>
      <w:lang w:val="en-US" w:eastAsia="zh-CN" w:bidi="ar-SA"/>
    </w:rPr>
  </w:style>
  <w:style w:type="paragraph" w:styleId="6">
    <w:name w:val="annotation text"/>
    <w:basedOn w:val="1"/>
    <w:qFormat/>
    <w:uiPriority w:val="0"/>
    <w:pPr>
      <w:jc w:val="left"/>
    </w:pPr>
  </w:style>
  <w:style w:type="paragraph" w:styleId="7">
    <w:name w:val="Balloon Text"/>
    <w:basedOn w:val="1"/>
    <w:link w:val="19"/>
    <w:qFormat/>
    <w:uiPriority w:val="0"/>
    <w:rPr>
      <w:sz w:val="18"/>
      <w:szCs w:val="18"/>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rPr>
      <w:rFonts w:cs="宋体"/>
      <w:color w:val="000000"/>
      <w:sz w:val="36"/>
      <w:szCs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paragraph" w:customStyle="1" w:styleId="17">
    <w:name w:val="Char Char3"/>
    <w:qFormat/>
    <w:uiPriority w:val="99"/>
    <w:pPr>
      <w:widowControl w:val="0"/>
      <w:spacing w:after="160" w:line="240" w:lineRule="exact"/>
    </w:pPr>
    <w:rPr>
      <w:rFonts w:ascii="Calibri" w:hAnsi="Calibri" w:eastAsia="宋体" w:cs="Times New Roman"/>
      <w:kern w:val="2"/>
      <w:sz w:val="21"/>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0">
    <w:name w:val="font4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4"/>
      <w:szCs w:val="24"/>
      <w:u w:val="single"/>
    </w:rPr>
  </w:style>
  <w:style w:type="character" w:customStyle="1" w:styleId="22">
    <w:name w:val="font21"/>
    <w:basedOn w:val="14"/>
    <w:qFormat/>
    <w:uiPriority w:val="0"/>
    <w:rPr>
      <w:rFonts w:hint="eastAsia" w:ascii="宋体" w:hAnsi="宋体" w:eastAsia="宋体" w:cs="宋体"/>
      <w:color w:val="000000"/>
      <w:sz w:val="24"/>
      <w:szCs w:val="24"/>
      <w:u w:val="none"/>
    </w:rPr>
  </w:style>
  <w:style w:type="character" w:customStyle="1" w:styleId="23">
    <w:name w:val="font81"/>
    <w:basedOn w:val="14"/>
    <w:qFormat/>
    <w:uiPriority w:val="0"/>
    <w:rPr>
      <w:rFonts w:hint="eastAsia" w:ascii="宋体" w:hAnsi="宋体" w:eastAsia="宋体" w:cs="宋体"/>
      <w:color w:val="000000"/>
      <w:sz w:val="24"/>
      <w:szCs w:val="24"/>
      <w:u w:val="single"/>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4295</Words>
  <Characters>4336</Characters>
  <Lines>1</Lines>
  <Paragraphs>1</Paragraphs>
  <TotalTime>29</TotalTime>
  <ScaleCrop>false</ScaleCrop>
  <LinksUpToDate>false</LinksUpToDate>
  <CharactersWithSpaces>4605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usermzjbgs</cp:lastModifiedBy>
  <cp:lastPrinted>2022-11-09T08:32:00Z</cp:lastPrinted>
  <dcterms:modified xsi:type="dcterms:W3CDTF">2025-08-15T10:12:31Z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89C61D226F0D4A988856640E342EE929_13</vt:lpwstr>
  </property>
  <property fmtid="{D5CDD505-2E9C-101B-9397-08002B2CF9AE}" pid="4" name="KSOTemplateDocerSaveRecord">
    <vt:lpwstr>eyJoZGlkIjoiMjM0MGExZmExYTExNzJjOGUxMGJlZWVlMjVhNjZiMGQiLCJ1c2VySWQiOiIyODgzMzI0NTAifQ==</vt:lpwstr>
  </property>
</Properties>
</file>