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sz w:val="32"/>
          <w:szCs w:val="32"/>
        </w:rPr>
      </w:pPr>
      <w:r>
        <mc:AlternateContent>
          <mc:Choice Requires="wps">
            <w:drawing>
              <wp:anchor distT="0" distB="0" distL="114300" distR="114300" simplePos="0" relativeHeight="251664384" behindDoc="0" locked="0" layoutInCell="1" allowOverlap="1">
                <wp:simplePos x="0" y="0"/>
                <wp:positionH relativeFrom="column">
                  <wp:posOffset>5169535</wp:posOffset>
                </wp:positionH>
                <wp:positionV relativeFrom="paragraph">
                  <wp:posOffset>-669290</wp:posOffset>
                </wp:positionV>
                <wp:extent cx="602615" cy="450215"/>
                <wp:effectExtent l="0" t="0" r="6985" b="6985"/>
                <wp:wrapNone/>
                <wp:docPr id="5" name="文本框 5"/>
                <wp:cNvGraphicFramePr/>
                <a:graphic xmlns:a="http://schemas.openxmlformats.org/drawingml/2006/main">
                  <a:graphicData uri="http://schemas.microsoft.com/office/word/2010/wordprocessingShape">
                    <wps:wsp>
                      <wps:cNvSpPr txBox="1"/>
                      <wps:spPr>
                        <a:xfrm>
                          <a:off x="0" y="0"/>
                          <a:ext cx="657225" cy="504825"/>
                        </a:xfrm>
                        <a:prstGeom prst="rect">
                          <a:avLst/>
                        </a:prstGeom>
                        <a:solidFill>
                          <a:srgbClr val="FFFFFF"/>
                        </a:solidFill>
                        <a:ln w="6350">
                          <a:noFill/>
                        </a:ln>
                        <a:effectLst/>
                      </wps:spPr>
                      <wps:txbx>
                        <w:txbxContent>
                          <w:p>
                            <w:pPr>
                              <w:rPr>
                                <w:rFonts w:hint="eastAsia" w:ascii="方正楷体_GBK" w:hAnsi="方正楷体_GBK" w:eastAsia="方正楷体_GBK" w:cs="方正楷体_GBK"/>
                                <w:sz w:val="36"/>
                                <w:szCs w:val="36"/>
                                <w:lang w:val="en-US" w:eastAsia="zh-CN"/>
                              </w:rPr>
                            </w:pPr>
                            <w:r>
                              <w:rPr>
                                <w:rFonts w:hint="eastAsia" w:ascii="方正楷体_GBK" w:hAnsi="方正楷体_GBK" w:eastAsia="方正楷体_GBK" w:cs="方正楷体_GBK"/>
                                <w:sz w:val="36"/>
                                <w:szCs w:val="36"/>
                                <w:lang w:val="en-US" w:eastAsia="zh-CN"/>
                              </w:rPr>
                              <w:t>A类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05pt;margin-top:-52.7pt;height:35.45pt;width:47.45pt;z-index:251664384;mso-width-relative:page;mso-height-relative:page;" fillcolor="#FFFFFF" filled="t" stroked="f" coordsize="21600,21600" o:gfxdata="UEsDBAoAAAAAAIdO4kAAAAAAAAAAAAAAAAAEAAAAZHJzL1BLAwQUAAAACACHTuJACw6XCNcAAAAM&#10;AQAADwAAAGRycy9kb3ducmV2LnhtbE2Py07DMBBF90j8gzVI7FrbkKI2jdMFElsk+lq7sYmj2uPI&#10;dp9fz7CC5cwc3Tm3WV2DZ2eb8hBRgZwKYBa7aAbsFWw3H5M5sFw0Gu0jWgU3m2HVPj40ujbxgl/2&#10;vC49oxDMtVbgShlrznPnbNB5GkeLdPuOKehCY+q5SfpC4cHzFyHeeNAD0genR/vubHdcn4KCfR/u&#10;+50ckzPBV/h5v222cVDq+UmKJbBir+UPhl99UoeWnA7xhCYzr2AuK0mogokUswoYIQuxoHoHWr1W&#10;M+Btw/+XaH8AUEsDBBQAAAAIAIdO4kBmRFSuUgIAAJwEAAAOAAAAZHJzL2Uyb0RvYy54bWytVMGO&#10;0zAQvSPxD5bvNG1pl6VquiqtipBW7EoFcXYdp7Fke4ztNikfAH/AiQt3vqvfwdhJu2XhsAdycGY8&#10;kzczb2YyvWm0InvhvAST00GvT4kwHApptjn9+GH14poSH5gpmAIjcnoQnt7Mnj+b1nYihlCBKoQj&#10;CGL8pLY5rUKwkyzzvBKa+R5YYdBYgtMsoOq2WeFYjehaZcN+/yqrwRXWARfe4+2yNdIO0T0FEMpS&#10;crEEvtPChBbVCcUCluQraT2dpWzLUvBwV5ZeBKJyipWGdGIQlDfxzGZTNtk6ZivJuxTYU1J4VJNm&#10;0mDQM9SSBUZ2Tv4FpSV34KEMPQ46awtJjGAVg/4jbtYVsyLVglR7eybd/z9Y/n5/74gscjqmxDCN&#10;DT9+/3b88ev48ysZR3pq6yfotbboF5o30ODQnO49Xsaqm9Lp+MZ6CNqR3MOZXNEEwvHyavxqOMQg&#10;HE3j/ugaZUTPHj62zoe3AjSJQk4d9i5Ryva3PrSuJ5cYy4OSxUoqlRS33SyUI3uGfV6lp0P/w00Z&#10;UmMmL8f9hGwgft9CKxNxRBqZLl6svK0wSqHZNB0dGygOyIaDdpy85SuJOd8yH+6Zw/lBAnDDwh0e&#10;pQIMCZ1ESQXuy7/uoz+2Fa2U1DiPOfWfd8wJStQ7gw1/PRiN4gAnZYRcouIuLZtLi9npBSAVA9xl&#10;y5MY/YM6iaUD/QkXcR6jookZjrFzGk7iIrRbgovMxXyenHBkLQu3Zm15hI6EGZjvApQyNSjS1HKD&#10;jY0KDm1qcbdgcSsu9eT18FOZ/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LDpcI1wAAAAwBAAAP&#10;AAAAAAAAAAEAIAAAACIAAABkcnMvZG93bnJldi54bWxQSwECFAAUAAAACACHTuJAZkRUrlICAACc&#10;BAAADgAAAAAAAAABACAAAAAmAQAAZHJzL2Uyb0RvYy54bWxQSwUGAAAAAAYABgBZAQAA6gUAAAAA&#10;">
                <v:fill on="t" focussize="0,0"/>
                <v:stroke on="f" weight="0.5pt"/>
                <v:imagedata o:title=""/>
                <o:lock v:ext="edit" aspectratio="f"/>
                <v:textbox>
                  <w:txbxContent>
                    <w:p>
                      <w:pPr>
                        <w:rPr>
                          <w:rFonts w:hint="eastAsia" w:ascii="方正楷体_GBK" w:hAnsi="方正楷体_GBK" w:eastAsia="方正楷体_GBK" w:cs="方正楷体_GBK"/>
                          <w:sz w:val="36"/>
                          <w:szCs w:val="36"/>
                          <w:lang w:val="en-US" w:eastAsia="zh-CN"/>
                        </w:rPr>
                      </w:pPr>
                      <w:r>
                        <w:rPr>
                          <w:rFonts w:hint="eastAsia" w:ascii="方正楷体_GBK" w:hAnsi="方正楷体_GBK" w:eastAsia="方正楷体_GBK" w:cs="方正楷体_GBK"/>
                          <w:sz w:val="36"/>
                          <w:szCs w:val="36"/>
                          <w:lang w:val="en-US" w:eastAsia="zh-CN"/>
                        </w:rPr>
                        <w:t>A类</w:t>
                      </w:r>
                    </w:p>
                  </w:txbxContent>
                </v:textbox>
              </v:shape>
            </w:pict>
          </mc:Fallback>
        </mc:AlternateContent>
      </w:r>
      <w:r>
        <w:pict>
          <v:shape id="AutoShape 2" o:spid="_x0000_s2051" o:spt="136" type="#_x0000_t136" style="position:absolute;left:0pt;margin-top:87.9pt;height:51pt;width:425.2pt;mso-position-horizontal:center;mso-position-horizontal-relative:page;mso-position-vertical-relative:page;z-index:251662336;mso-width-relative:page;mso-height-relative:page;" fillcolor="#FF0000" filled="t" stroked="f" coordsize="21600,21600" adj="10800">
            <v:path/>
            <v:fill on="t" color2="#FFFFFF" focussize="0,0"/>
            <v:stroke on="f"/>
            <v:imagedata o:title=""/>
            <o:lock v:ext="edit" aspectratio="f"/>
            <v:textpath on="t" fitshape="t" fitpath="t" trim="t" xscale="f" string="云阳县金融工作服务中心"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sz w:val="32"/>
          <w:szCs w:val="32"/>
        </w:rPr>
      </w:pPr>
      <w:r>
        <mc:AlternateContent>
          <mc:Choice Requires="wps">
            <w:drawing>
              <wp:anchor distT="0" distB="0" distL="114300" distR="114300" simplePos="0" relativeHeight="251663360" behindDoc="0" locked="0" layoutInCell="1" allowOverlap="1">
                <wp:simplePos x="0" y="0"/>
                <wp:positionH relativeFrom="page">
                  <wp:posOffset>713105</wp:posOffset>
                </wp:positionH>
                <wp:positionV relativeFrom="page">
                  <wp:posOffset>1984375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15pt;margin-top:156.25pt;height:0pt;width:481.9pt;mso-position-horizontal-relative:page;mso-position-vertical-relative:page;z-index:251663360;mso-width-relative:page;mso-height-relative:page;" filled="f" stroked="t" coordsize="21600,21600" o:gfxdata="UEsDBAoAAAAAAIdO4kAAAAAAAAAAAAAAAAAEAAAAZHJzL1BLAwQUAAAACACHTuJAhX9jq9kAAAAM&#10;AQAADwAAAGRycy9kb3ducmV2LnhtbE2Py2rDMBBF94X+g5hCdo0kB7vFtZxFwV2UQEjSRZaKNbVN&#10;rZFryXl9fRUotMs7c7hzpliebc+OOPrOkQI5F8CQamc6ahR87KrHZ2A+aDK6d4QKLuhhWd7fFTo3&#10;7kQbPG5Dw2IJ+VwraEMYcs593aLVfu4GpLj7dKPVIcax4WbUp1hue54IkXGrO4oXWj3ga4v113ay&#10;Cr7NZZW+b66VfavcPqz3UxbSSanZgxQvwAKewx8MN/2oDmV0OriJjGd9zDJZRFTBQiYpsBshnjIJ&#10;7PA74mXB/z9R/gBQSwMEFAAAAAgAh07iQH6xtlL1AQAA7QMAAA4AAABkcnMvZTJvRG9jLnhtbK1T&#10;S44TMRDdI3EHy3vSySAF1EpnFhPCBkEkhgNU/Elb+CeXJ51cggsgsYMVS/bchpljUO7uCcOwyYJe&#10;uMt2+VW95+fF5cFZtlcJTfANn02mnCkvgjR+1/AP1+tnLznDDF6CDV41/KiQXy6fPll0sVYXoQ1W&#10;qsQIxGPdxYa3Oce6qlC0ygFOQlSeNnVIDjJN066SCTpCd7a6mE7nVReSjCkIhUirq2GTj4jpHMCg&#10;tRFqFcSNUz4PqElZyEQJWxORL/tutVYiv9MaVWa24cQ09yMVoXhbxmq5gHqXILZGjC3AOS084uTA&#10;eCp6glpBBnaTzD9QzogUMOg8EcFVA5FeEWIxmz7S5n0LUfVcSGqMJ9Hx/8GKt/tNYkaSEzjz4OjC&#10;bz//+PXp693PLzTefv/GZkWkLmJNuVd+k8YZxk0qjA86ufInLuzQC3s8CasOmQlanM+I3XPSXNzv&#10;VX8OxoT5tQqOlaDh1vjCGWrYv8FMxSj1PqUsW8+6hr+Yk5cID8iBmm6eQheJRaZ7/HjdjreBwRq5&#10;NtaWg5h22yub2B7IC+v1lL7CjOD/Siu1VoDtkNdvDS5pFchXXrJ8jKSSp8fBSydOSc6sordUIgKE&#10;OoOx52RSaevLAdU7daRbpB7ELdE2yGOveVVm5IK+49GxxWYP5xQ/fKX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V/Y6vZAAAADAEAAA8AAAAAAAAAAQAgAAAAIgAAAGRycy9kb3ducmV2LnhtbFBL&#10;AQIUABQAAAAIAIdO4kB+sbZS9QEAAO0DAAAOAAAAAAAAAAEAIAAAACgBAABkcnMvZTJvRG9jLnht&#10;bFBLBQYAAAAABgAGAFkBAACPBQ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云阳金融函〔</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hint="eastAsia" w:ascii="Times New Roman" w:hAnsi="Times New Roman" w:eastAsia="方正仿宋_GBK"/>
          <w:sz w:val="32"/>
          <w:szCs w:val="32"/>
          <w:lang w:val="en-US" w:eastAsia="zh-CN"/>
        </w:rPr>
        <w:t>13</w:t>
      </w:r>
      <w:r>
        <w:rPr>
          <w:rFonts w:hint="eastAsia"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云阳县金融工作服务中心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rPr>
        <w:t>关于县第十八届人大三次会议073号建议的复函</w:t>
      </w:r>
    </w:p>
    <w:p>
      <w:pPr>
        <w:spacing w:line="578" w:lineRule="exact"/>
        <w:ind w:firstLine="640" w:firstLineChars="200"/>
        <w:rPr>
          <w:rFonts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张立建代表：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您提出的《关于支持小微企业发展的建议》（第73号）收悉。经研究办理，现答复如下：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小微企业作为推动我县经济发展的重要动力，是经济发展的“助推器”，居民就业的“蓄水池”，一直以来，县委县政府高度重视小微企业发展，从政策引导、金融扶持、信用建设等多维度入手，力促我县小微企业在严峻的宏观经济形势下保持稳定向好态势。</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一、我县支持小微企业发展的工作成效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（一）政策宣传引导有真招。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rPr>
        <w:sectPr>
          <w:pgSz w:w="11906" w:h="16838"/>
          <w:pgMar w:top="2098" w:right="1531" w:bottom="1417" w:left="1531" w:header="851" w:footer="1474" w:gutter="0"/>
          <w:pgNumType w:fmt="decimal" w:start="2"/>
          <w:cols w:space="425" w:num="1"/>
          <w:docGrid w:type="lines" w:linePitch="312" w:charSpace="0"/>
        </w:sect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1918335</wp:posOffset>
                </wp:positionV>
                <wp:extent cx="5832475" cy="7620"/>
                <wp:effectExtent l="0" t="5080" r="15875" b="25400"/>
                <wp:wrapNone/>
                <wp:docPr id="3" name="直线 10"/>
                <wp:cNvGraphicFramePr/>
                <a:graphic xmlns:a="http://schemas.openxmlformats.org/drawingml/2006/main">
                  <a:graphicData uri="http://schemas.microsoft.com/office/word/2010/wordprocessingShape">
                    <wps:wsp>
                      <wps:cNvCnPr/>
                      <wps:spPr>
                        <a:xfrm flipV="1">
                          <a:off x="873760" y="9989185"/>
                          <a:ext cx="5832475" cy="762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y;margin-left:-8.5pt;margin-top:151.05pt;height:0.6pt;width:459.25pt;z-index:251660288;mso-width-relative:page;mso-height-relative:page;" filled="f" stroked="t" coordsize="21600,21600" o:gfxdata="UEsDBAoAAAAAAIdO4kAAAAAAAAAAAAAAAAAEAAAAZHJzL1BLAwQUAAAACACHTuJA+JHC7doAAAAL&#10;AQAADwAAAGRycy9kb3ducmV2LnhtbE2PwU7DMAyG70i8Q2QkbluSgmCUppOYtAs7TBsgOLptaAuN&#10;UzXZ2r093mkcbX/6/f3ZcnKdONohtJ4M6LkCYan0VUu1gfe39WwBIkSkCjtP1sDJBljm11cZppUf&#10;aWeP+1gLDqGQooEmxj6VMpSNdRjmvrfEt28/OIw8DrWsBhw53HUyUepBOmyJPzTY21Vjy9/9wRl4&#10;XW8/5dgvVqcv/NiUm59dMW1fjLm90eoZRLRTvMBw1md1yNmp8AeqgugMzPSjZtTAXaK4AxNPSt+D&#10;KM6bRIHMM/m/Q/4HUEsDBBQAAAAIAIdO4kDGORqZCAIAAAMEAAAOAAAAZHJzL2Uyb0RvYy54bWyt&#10;UzuO2zAQ7QPkDgT7WP5/BMtbrOM0QWIgyfY0RUoE+AOHtuyz5Bqp0uQ4e40MKWd3s2lcRAUx5Azf&#10;zHt6XN+djSYnEUA5W9HRYEiJsNzVyjYV/fZ1925JCURma6adFRW9CKB3m7dv1p0vxdi1TtciEASx&#10;UHa+om2MviwK4K0wDAbOC4tJ6YJhEbehKerAOkQ3uhgPh/Oic6H2wXEBgKfbPkmviOEWQCel4mLr&#10;+NEIG3vUIDSLSAla5YFu8rRSCh4/SwkiEl1RZBrzik0wPqS12KxZ2QTmW8WvI7BbRnjFyTBlsekT&#10;1JZFRo5B/QNlFA8OnIwD7kzRE8mKIIvR8JU2X1rmReaCUoN/Eh3+Hyz/dNoHouqKTiixzOAPf/z+&#10;4/HnLzLK4nQeSqy5t/uAUqUd+H1ITM8yGCK18g/ooswd2ZBzRZeLyWKO+l4qulotV6PlrFdZnCPh&#10;mJ8tJ+PpYkYJx4rFfJz7FD1gAvYB4gfhDElBRbWySQNWstNHiDgElv4pScfakq6i0+l0hj05Q0dK&#10;dAKGxiMrsE2+DE6reqe0TlcgNId7HciJoSt2uyF+aUQE/qssddkyaPu6nOqZtILV721N4sWjXhaf&#10;CU0zGFFTogW+qhRlZ0Wm9C2V2FrbNJrInr0SfZY7RQdXX/BfHX1QTYvCjPLMKYPeyNNffZzM93KP&#10;8cu3u/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HC7doAAAALAQAADwAAAAAAAAABACAAAAAi&#10;AAAAZHJzL2Rvd25yZXYueG1sUEsBAhQAFAAAAAgAh07iQMY5GpkIAgAAAwQAAA4AAAAAAAAAAQAg&#10;AAAAKQEAAGRycy9lMm9Eb2MueG1sUEsFBgAAAAAGAAYAWQEAAKMFAAAAAA==&#10;">
                <v:fill on="f" focussize="0,0"/>
                <v:stroke weight="3.5pt" color="#FF0000" joinstyle="round"/>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1882775</wp:posOffset>
                </wp:positionV>
                <wp:extent cx="5825490" cy="7620"/>
                <wp:effectExtent l="0" t="6350" r="3810" b="14605"/>
                <wp:wrapNone/>
                <wp:docPr id="6" name="直线 11"/>
                <wp:cNvGraphicFramePr/>
                <a:graphic xmlns:a="http://schemas.openxmlformats.org/drawingml/2006/main">
                  <a:graphicData uri="http://schemas.microsoft.com/office/word/2010/wordprocessingShape">
                    <wps:wsp>
                      <wps:cNvCnPr/>
                      <wps:spPr>
                        <a:xfrm flipV="1">
                          <a:off x="874395" y="9937750"/>
                          <a:ext cx="5825490" cy="762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flip:y;margin-left:-8.25pt;margin-top:148.25pt;height:0.6pt;width:458.7pt;z-index:251661312;mso-width-relative:page;mso-height-relative:page;" filled="f" stroked="t" coordsize="21600,21600" o:gfxdata="UEsDBAoAAAAAAIdO4kAAAAAAAAAAAAAAAAAEAAAAZHJzL1BLAwQUAAAACACHTuJAjudrHtkAAAAL&#10;AQAADwAAAGRycy9kb3ducmV2LnhtbE2Py2rDMBBF94X+g5hAd4lkhxrbtRxIoYtmU/Iga8VSbRFp&#10;ZCQ5Tv++yqpdzszhzrnN5m4NuSkftEMO2YoBUdg5qbHncDp+LEsgIQqUwjhUHH5UgE37/NSIWroZ&#10;9+p2iD1JIRhqwWGIcawpDd2grAgrNypMt2/nrYhp9D2VXswp3BqaM1ZQKzSmD4MY1fuguuthshx2&#10;ez1/5cfqLKZdiUb325P/3HL+ssjYG5Co7vEPhod+Uoc2OV3chDIQw2GZFa8J5bDO8gJIIirGKiCX&#10;x2ZdAm0b+r9D+wtQSwMEFAAAAAgAh07iQFVZOscIAgAAAwQAAA4AAABkcnMvZTJvRG9jLnhtbK1T&#10;O47bMBDtA+QOBPtYsnf9EyxvsY7TBMkCm6Sn+ZEI8AcObdlnyTVSpclx9hoZSspis2lcRIUw5Azf&#10;zHt83NydrSEnGUF7V9PppKREOu6Fdk1Nv37Zv1tRAok5wYx3sqYXCfRu+/bNpguVnPnWGyEjQRAH&#10;VRdq2qYUqqIA3krLYOKDdJhUPlqWcBmbQkTWIbo1xawsF0XnowjRcwmAu7shSUfEeA2gV0pzufP8&#10;aKVLA2qUhiWkBK0OQLf9tEpJnj4rBTIRU1Nkmvo/NsH4kP/FdsOqJrLQaj6OwK4Z4RUny7TDps9Q&#10;O5YYOUb9D5TVPHrwKk24t8VApFcEWUzLV9o8tizIngtKDeFZdPh/sPzT6SESLWq6oMQxixf+9P3H&#10;089fZDrN4nQBKqy5dw9xXEF4iJnpWUVLlNHhG7qo545syLmmq+XtzXpOyaWm6/XNcjkfVZbnRDjm&#10;56vZ/HaNF8CxYrmY9eliAMzAIUL6IL0lOaip0S5rwCp2+ggJh8DSPyV52zjS4QSzZZkhGTpSoRMw&#10;tAFZgWv6w+CNFnttTD4CsTncm0hODF2x35f4Za4I/FdZ7rJj0A51fWrwSyuZeO8ESZeAejl8JjTP&#10;YKWgxEh8VTlCQFYlps01ldjauHxA9p4diWbxB7lzdPDignd1DFE3LQrT30+RM+iNfvrRx9l8L9cY&#10;v3y7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52se2QAAAAsBAAAPAAAAAAAAAAEAIAAAACIA&#10;AABkcnMvZG93bnJldi54bWxQSwECFAAUAAAACACHTuJAVVk6xwgCAAADBAAADgAAAAAAAAABACAA&#10;AAAoAQAAZHJzL2Uyb0RvYy54bWxQSwUGAAAAAAYABgBZAQAAogUAAAAA&#10;">
                <v:fill on="f" focussize="0,0"/>
                <v:stroke weight="1pt" color="#FF0000" joinstyle="round"/>
                <v:imagedata o:title=""/>
                <o:lock v:ext="edit" aspectratio="f"/>
              </v:line>
            </w:pict>
          </mc:Fallback>
        </mc:AlternateContent>
      </w:r>
      <w:r>
        <w:rPr>
          <w:rFonts w:hint="eastAsia" w:ascii="Times New Roman" w:hAnsi="Times New Roman" w:eastAsia="方正仿宋_GBK" w:cs="方正仿宋_GBK"/>
          <w:sz w:val="32"/>
          <w:szCs w:val="32"/>
        </w:rPr>
        <w:t>1. 惠企政策一站汇聚。对国家、市级、县内已出台的所有稳企惠企政策进行了全面梳理，包括税收减免、金融信贷、社保就业、产业扶持和其他纾困政策等五大类，明确每项政策的办理要件、办理流程、办理地点、咨询方式等内容。今年已将《支持</w:t>
      </w: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个体工商户和中小微企业发展十二条措施》（渝府办发〔2022〕122号）、《重庆市人民政府办公厅关于印发重庆市进一步支持市场主体发展推动经济企稳恢复提振政策措施的通知》（渝府办发〔2023〕17号）所有政策解析，在汇编成册的同时，通过“云上营商·政策通”平台进行“一站”汇集，经过多轮补充调整，稳企惠企政策已从最初的179条，动态调至现有的220余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惠企事项一键匹配。针对企业对政策如何查询挖掘，使之与企业匹配等问题，围绕企业全生命周期的组织形式、成立年限、行业分类、经营行为、纳税情况等核心数据，使用“云上营商·政策通”对企业进行精准画像，在此基础上，对各类稳企惠企政策的适用对象、条件、奖补内容、政策层级等内容进行分类和标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（二）金融支持实体有力度。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金融政策扶持力度加大。2022年，通过“贷款贴息”，分21批入库企业449家，享受贴息108笔3386.6万元，累计贴息554笔9031万元。通过“担保支持”，对在云注册企业的担保费率全面降低到1%及以下水平，全年为企业节省585万元担保费用。通过“应急转贷”，帮助企业减轻贷款周转压力4.8亿元，应急转贷使用费率至0.1‰。通过“延期还本付息”，为2230余家企业延期展期续贷15.3亿元。通过“阶段性减息”，为7702家普惠小微贷款阶段性减息593.16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金融供给支持不断加码。2022年，聚焦产业链加大信贷投放，全年发放工业贷款7.72亿元，同比增长14.84%，高于全县贷款发放额增速20.49个百分点。面向10家专精特新企业发放1.66亿元，11家专精特新企业获贷率91%；面向19家国家高新技术企业发放2.79亿元，29家国家高新技术企业获贷率66%；面向68家规模以上工业企业发放贷款7.26亿元，128家规模以上工业企业获贷率53%；面向48家科技型企业发放贷款3.58亿元，115家科技型企业获贷率42%。聚焦中小微企业加大信贷支持，推动普惠小微企业贷款余额达60.13亿元，同比增速16.6%，高于各项贷款增速10.71个百分点；发放中小微企业贷款52.69亿元，同比增长32.5%。聚焦重大项目加大信贷支持，推动国有企业融资规范管理，发放国有企业重大项目贷款58笔12.1亿元，单位固定资产贷款同比增长20.14%，高于各项贷款增速14.24个百分点。积极对接引入金融支持，积极向上争取再贷款切块额度达12亿元，同比增加4亿元，同比增长50%，居渝东北6县第一。成功发放全国首单政策性金融基金8亿元，运用专项再贷款支持涉农和小微企业3932户11.99亿元，同比增长46.89%</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（三）信用体系建设有成效。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信用监管作用不断加强。组织召开提高全县A级纳税人占比专项工作推进会，不断提升A级纳税人等守信激励主体名单占比。开展“屡禁不止、屡罚不改”严重违法失信行为专项治理，不断增强企业诚信意识，以信用为基础的新型监管机制基本建立，联合奖惩大格局逐步形成。</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惠民便企作用不断彰显。按照国家和市级关于加强信用信息共享应用促进中小微企业融资工作的决策部署，召开全县“信易贷”工作推进会，发动各级政府、金融机构力量，县域内市场主体政策知晓率达100%。在“信易贷”平台注册企业6726家，发布融资需求1.4亿元，有效订单46个、授信金额8700余万元，有效缓解企业融资难、融资贵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三农”信用体系不断构建。探索数字赋能“三农”信用，开展“三农”大数据建档试点，归集涉农信息93项、1380余万条，在全市打造了“三农”信用体系建设工作样板。在“信用重庆”微信公众号上发表宣传稿1篇，在国家发展改革委“地方好经验、好做法、好建议”专刊《发展改革情况通报》上稿1篇。依托我县归集的“三农”信用数据，“三农”信易贷产品“惠农e贷（信易e贷）”（农行）和“裕农快贷”（建行）于5月12日正式上线，目前两家银行总授信金额超过300万元，实际贷款金额突破100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（四）服务企业举措有创新。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驻企服务线上线下协同开展。县内分部门、单位共设有驻企服务员658名，上门为企业提供全过程服务，定时解企业需求，帮助企业排忧解难。</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金融创新服务日益提升。2022年，政银企融资服务迈上新台阶，成功建立5个中小企业集聚区政银企融资对接机制；积极开展政银企对接，为24家企业现场签约8.87亿元；动态梳理重点领域企业融资诉求，成功协助解决115家企业融资问题；创新推出金融7×24小时服务监督热线，向银行推送市场主体4112户，为2013户发放46.11亿元。金融创新取得新突破，创新“信用+三农+金融”模式，贷款年利率从4.25%下降至3.75%，授信额度覆盖率从不足1%上升至42.2%，平均授信额度由2200元提高到6500元。上市辅导培育取得新进展，成功引导并推荐三峡云海药业、宏霖食品、金田塑业3家企业成功纳入市级拟上市企业后备库企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（五）担保机构增信有提升。</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pacing w:val="6"/>
          <w:sz w:val="32"/>
          <w:szCs w:val="32"/>
        </w:rPr>
      </w:pPr>
      <w:r>
        <w:rPr>
          <w:rFonts w:hint="eastAsia" w:ascii="Times New Roman" w:hAnsi="Times New Roman" w:eastAsia="方正仿宋_GBK" w:cs="方正仿宋_GBK"/>
          <w:sz w:val="32"/>
          <w:szCs w:val="32"/>
        </w:rPr>
        <w:t xml:space="preserve">1. </w:t>
      </w:r>
      <w:r>
        <w:rPr>
          <w:rFonts w:hint="eastAsia" w:ascii="Times New Roman" w:hAnsi="Times New Roman" w:eastAsia="方正仿宋_GBK" w:cs="方正仿宋_GBK"/>
          <w:spacing w:val="6"/>
          <w:sz w:val="32"/>
          <w:szCs w:val="32"/>
        </w:rPr>
        <w:t>机构认证不断提升。云阳县兴农担保公司2020年被确定为全市首批29家区县级政府性融资担保机构之一，2021年顺利成为全市32家政府性融资担保机构中，首批与市再担保公司签署再担保合作协议的16家能够对接国家融资担保基金的政府性融资担保机构之一，成功成为国家融资担保基金和市级代偿补偿资金支持的对象，进一步增强了云阳兴农担保公司担保能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融资担保助企发展。云阳县兴农担保公司坚守准公共定位、聚焦支小支农主业，特别加大对困难行业中小微企业和个体工商户提供融资担保支持，新增融资担保业务百分之百是小微企业和“三农”主体，2022年兴农担保新增融资类担保共209笔(其中续保132笔，新增77笔9683.86万元)，担保额91905万元。全面落实担保费减免政策，主动降费让利，目前所有小微企业和“三农”主体的担保费已全部按1%的费率收取，2022年共为企业节省585万元担保费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二、下一步工作打算</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您此次提出的建议对我们的工作非常有帮助。在今后的工作中，我们将坚持以服务实体经济为目标导向，围绕“3+10+X”现代化产业链，聚焦小微企业，实施融资总量提升行动，为山区库区强县富民注入更多金融资源，推动实体经济融资实现“增量、降价、提质、扩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（一）多管齐下，拓展融资渠道。</w:t>
      </w:r>
      <w:r>
        <w:rPr>
          <w:rFonts w:hint="eastAsia" w:ascii="Times New Roman" w:hAnsi="Times New Roman" w:eastAsia="方正仿宋_GBK" w:cs="方正仿宋_GBK"/>
          <w:kern w:val="0"/>
          <w:sz w:val="32"/>
          <w:szCs w:val="32"/>
        </w:rPr>
        <w:t>加快推进融资方式的转变，实现主要由银行间接融资向通过企业上市、挂牌、发行债券等直接融资方式的转变，解决企业融资来源单一、融资时间限制、抵押物不足等问题。用好用活各项惠企政策，引金融活水强化扶持力度。强化政府增信、风险铺底合作，持续发挥财政资金杠杆放大效应，撬动信贷投放。提升融资担保机构实力，发挥担保融资作用，为能够正常经营、有发展潜力的中小微企业兜底风险，帮助他们摆脱困境。加快改善基金运作方式，寻找更符合云阳产业发展的基金运行模式，充分发挥基金“四两拨千斤”作用。引导实体经济通过股权融资、股份改造、挂牌上市开展直接融资。引导中小微实体经济企业抱团发展，通过商会担保或者企业之间相互帮助的方式来解决融资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（二）整合资源，打破信息壁垒。</w:t>
      </w:r>
      <w:r>
        <w:rPr>
          <w:rFonts w:hint="eastAsia" w:ascii="Times New Roman" w:hAnsi="Times New Roman" w:eastAsia="方正仿宋_GBK" w:cs="方正仿宋_GBK"/>
          <w:kern w:val="0"/>
          <w:sz w:val="32"/>
          <w:szCs w:val="32"/>
        </w:rPr>
        <w:t>运用数字化畅通政银企对接渠道，以“云上·企业·家”平台为抓手，整合金融资源，实时发布金融服务政策、各类金融产品，满足各类企业多层次的融资需求，实现金融产品服务送达更快捷、匹配更精准、兑现更暖心。以“长江绿融通”绿色金融大数据综合服务系统为协同，推送绿色低碳、碳减排支持工具等多类项目给银行机构，促进绿色融资精准对接。深化“政银企”融资对接服务，持续开展民营企业金融服务能力提升行动，促进企业与金融机构精准对接，实现融资对接全覆盖。抓好“1+5+N”金融服务港湾建设，实现金融与实体经济互相促进、融合发展。强化银企“线上+线下”双向联动，加强融资平台宣传推广运用，不断提升市场主体知晓度、使用率和覆盖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（三）分类服务，提升企业获得感。</w:t>
      </w:r>
      <w:r>
        <w:rPr>
          <w:rFonts w:hint="eastAsia" w:ascii="Times New Roman" w:hAnsi="Times New Roman" w:eastAsia="方正仿宋_GBK" w:cs="方正仿宋_GBK"/>
          <w:kern w:val="0"/>
          <w:sz w:val="32"/>
          <w:szCs w:val="32"/>
        </w:rPr>
        <w:t>聚焦优化营商环境“改革求变”、云阳辨识度“惠民有感”、对外开放“提能升级”，分类提升金融服务。强化金融服务配套功能，提高金融基础设施服务能力，加快构建智能化、现代化的金融基础设施体系。持续梯度培育创新主体，进一步扩充完善农村金融组织体系的服务功能。坚持民生导向大力发展普惠金融，推动金融机构服务重心下沉，加强对小微企业、乡村振兴和偏远地区金融服务，提升金融服务的普惠性、精准性。坚持以“我为企业找政策”为抓手，深入开展送金融政策、产品上门服务；强化融资对接服务能力，提高企业和受困人群的金融服务质效，提升获得感。</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（四）坚持引导，增强核心竞争力。</w:t>
      </w:r>
      <w:r>
        <w:rPr>
          <w:rFonts w:hint="eastAsia" w:ascii="Times New Roman" w:hAnsi="Times New Roman" w:eastAsia="方正仿宋_GBK" w:cs="方正仿宋_GBK"/>
          <w:kern w:val="0"/>
          <w:sz w:val="32"/>
          <w:szCs w:val="32"/>
        </w:rPr>
        <w:t>积极引导中小微企业要规范经营，加强管理，优化企业内部管理机制，规范财务制度，提高信息透明度和企业信誉度，与银行形成良性互动；要加大自主创新能力，积极调整产品结构，加快产业转型升级，增强企业核心竞争力，着力改善中小微企业自身融资条件，实现从“我要找银行贷”到“银行找我贷”的转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此复函已经</w:t>
      </w:r>
      <w:r>
        <w:rPr>
          <w:rFonts w:hint="eastAsia" w:ascii="Times New Roman" w:hAnsi="Times New Roman" w:eastAsia="方正仿宋_GBK"/>
          <w:sz w:val="32"/>
          <w:szCs w:val="32"/>
        </w:rPr>
        <w:t>主持工作牟继承副</w:t>
      </w:r>
      <w:r>
        <w:rPr>
          <w:rFonts w:ascii="Times New Roman" w:hAnsi="Times New Roman" w:eastAsia="方正仿宋_GBK"/>
          <w:sz w:val="32"/>
          <w:szCs w:val="32"/>
        </w:rPr>
        <w:t>主任审签。对以上答复您有什么意见，请填写在回执上寄给</w:t>
      </w:r>
      <w:r>
        <w:rPr>
          <w:rFonts w:hint="eastAsia" w:ascii="Times New Roman" w:hAnsi="Times New Roman" w:eastAsia="方正仿宋_GBK"/>
          <w:sz w:val="32"/>
          <w:szCs w:val="32"/>
        </w:rPr>
        <w:t>县人大常委会人代工委</w:t>
      </w:r>
      <w:r>
        <w:rPr>
          <w:rFonts w:ascii="Times New Roman" w:hAnsi="Times New Roman" w:eastAsia="方正仿宋_GBK"/>
          <w:sz w:val="32"/>
          <w:szCs w:val="32"/>
        </w:rPr>
        <w:t>，以便进一步改进工作。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78" w:lineRule="exact"/>
        <w:ind w:firstLine="4640" w:firstLineChars="145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云阳县金融工作服务中心</w:t>
      </w:r>
    </w:p>
    <w:p>
      <w:pPr>
        <w:keepNext w:val="0"/>
        <w:keepLines w:val="0"/>
        <w:pageBreakBefore w:val="0"/>
        <w:kinsoku/>
        <w:wordWrap/>
        <w:overflowPunct/>
        <w:topLinePunct w:val="0"/>
        <w:autoSpaceDE/>
        <w:autoSpaceDN/>
        <w:bidi w:val="0"/>
        <w:adjustRightInd/>
        <w:snapToGrid/>
        <w:spacing w:line="578" w:lineRule="exact"/>
        <w:ind w:firstLine="5280" w:firstLineChars="165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（联系电话：18223989713</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联系人：方娅霏）</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p>
    <w:p>
      <w:pPr>
        <w:spacing w:line="480" w:lineRule="exact"/>
        <w:rPr>
          <w:rFonts w:hint="eastAsia" w:ascii="Times New Roman" w:hAnsi="Times New Roman" w:eastAsia="方正仿宋_GBK"/>
          <w:sz w:val="32"/>
          <w:szCs w:val="32"/>
        </w:rPr>
      </w:pPr>
      <w:bookmarkStart w:id="0" w:name="_GoBack"/>
      <w:bookmarkEnd w:id="0"/>
    </w:p>
    <w:p>
      <w:pPr>
        <w:spacing w:line="480" w:lineRule="exact"/>
        <w:rPr>
          <w:rFonts w:hint="eastAsia" w:ascii="Times New Roman" w:hAnsi="Times New Roman" w:eastAsia="方正仿宋_GBK"/>
          <w:sz w:val="32"/>
          <w:szCs w:val="32"/>
        </w:rPr>
      </w:pPr>
    </w:p>
    <w:p>
      <w:pPr>
        <w:spacing w:line="600" w:lineRule="exact"/>
        <w:ind w:left="1260" w:leftChars="200" w:hanging="840" w:hangingChars="300"/>
        <w:rPr>
          <w:rFonts w:hint="eastAsia" w:ascii="Times New Roman" w:hAnsi="Times New Roman" w:eastAsia="方正仿宋_GBK"/>
          <w:sz w:val="28"/>
          <w:szCs w:val="28"/>
        </w:rPr>
      </w:pPr>
      <w:r>
        <w:rPr>
          <w:rFonts w:hint="eastAsia" w:ascii="Times New Roman" w:hAnsi="Times New Roman" w:eastAsia="方正仿宋_GBK"/>
          <w:sz w:val="28"/>
          <w:szCs w:val="28"/>
        </w:rPr>
        <w:t>抄送：县委督查办，县政府督查办，县人大常委会人代工委。</w:t>
      </w:r>
    </w:p>
    <w:sectPr>
      <w:footerReference r:id="rId3" w:type="default"/>
      <w:pgSz w:w="11906" w:h="16838"/>
      <w:pgMar w:top="2098" w:right="1531" w:bottom="1417" w:left="1531" w:header="851" w:footer="34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DgwNmZlMDUxZDNkYmQ1MTA2ZDYzYzkwNzJiMmMifQ=="/>
  </w:docVars>
  <w:rsids>
    <w:rsidRoot w:val="009D5632"/>
    <w:rsid w:val="00172590"/>
    <w:rsid w:val="0032077C"/>
    <w:rsid w:val="009D5632"/>
    <w:rsid w:val="00BD28A1"/>
    <w:rsid w:val="00F62F2D"/>
    <w:rsid w:val="052319A6"/>
    <w:rsid w:val="09D75F63"/>
    <w:rsid w:val="0C267346"/>
    <w:rsid w:val="11D8133D"/>
    <w:rsid w:val="12F87BA1"/>
    <w:rsid w:val="1DDB0DAE"/>
    <w:rsid w:val="1F5512AF"/>
    <w:rsid w:val="204A2D10"/>
    <w:rsid w:val="207E6F00"/>
    <w:rsid w:val="21EB1616"/>
    <w:rsid w:val="24DA6813"/>
    <w:rsid w:val="25235EB1"/>
    <w:rsid w:val="28BE164B"/>
    <w:rsid w:val="29AB656F"/>
    <w:rsid w:val="32085366"/>
    <w:rsid w:val="33344B69"/>
    <w:rsid w:val="33974AEA"/>
    <w:rsid w:val="3CEA279F"/>
    <w:rsid w:val="474A22AA"/>
    <w:rsid w:val="48FE7742"/>
    <w:rsid w:val="492E03B4"/>
    <w:rsid w:val="51A6301D"/>
    <w:rsid w:val="58655F91"/>
    <w:rsid w:val="59447AB5"/>
    <w:rsid w:val="5C527C79"/>
    <w:rsid w:val="5C8527D0"/>
    <w:rsid w:val="5FC47C57"/>
    <w:rsid w:val="5FE81301"/>
    <w:rsid w:val="62FE04A2"/>
    <w:rsid w:val="6C7D068A"/>
    <w:rsid w:val="6C90221A"/>
    <w:rsid w:val="72A50E1A"/>
    <w:rsid w:val="747F1E3B"/>
    <w:rsid w:val="74B46920"/>
    <w:rsid w:val="7D7E2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Times New Roman" w:eastAsia="仿宋_GB2312" w:cs="Times New Roman"/>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unhideWhenUsed/>
    <w:qFormat/>
    <w:uiPriority w:val="99"/>
    <w:pPr>
      <w:ind w:firstLine="420"/>
    </w:pPr>
  </w:style>
  <w:style w:type="character" w:styleId="8">
    <w:name w:val="page number"/>
    <w:basedOn w:val="7"/>
    <w:qFormat/>
    <w:uiPriority w:val="0"/>
  </w:style>
  <w:style w:type="paragraph" w:customStyle="1" w:styleId="9">
    <w:name w:val="Char Char Char Char Char Char Char"/>
    <w:basedOn w:val="1"/>
    <w:qFormat/>
    <w:uiPriority w:val="0"/>
    <w:rPr>
      <w:rFonts w:eastAsia="宋体"/>
    </w:rPr>
  </w:style>
  <w:style w:type="paragraph" w:customStyle="1" w:styleId="10">
    <w:name w:val="D正文"/>
    <w:basedOn w:val="5"/>
    <w:qFormat/>
    <w:uiPriority w:val="0"/>
    <w:pPr>
      <w:widowControl/>
      <w:spacing w:before="100" w:beforeAutospacing="1" w:after="100" w:afterAutospacing="1"/>
      <w:jc w:val="left"/>
    </w:pPr>
    <w:rPr>
      <w:rFonts w:ascii="Arial" w:hAnsi="Arial" w:eastAsia="方正仿宋_GBK"/>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3807</Words>
  <Characters>4088</Characters>
  <Lines>29</Lines>
  <Paragraphs>8</Paragraphs>
  <TotalTime>18</TotalTime>
  <ScaleCrop>false</ScaleCrop>
  <LinksUpToDate>false</LinksUpToDate>
  <CharactersWithSpaces>4099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2023-06-20T07:40:00Z</dcterms:created>
  <dc:creator>asus</dc:creator>
  <cp:lastModifiedBy>粥</cp:lastModifiedBy>
  <cp:lastPrinted>2023-06-14T08:10:00Z</cp:lastPrinted>
  <dcterms:modified xsi:type="dcterms:W3CDTF">2023-07-13T03:04:05Z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32591C91A5FF4083B9F4A11B9091BD8B_13</vt:lpwstr>
  </property>
</Properties>
</file>