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6E4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60" w:type="dxa"/>
            <w:noWrap w:val="0"/>
            <w:vAlign w:val="center"/>
          </w:tcPr>
          <w:p w14:paraId="47E4DE4D"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 w14:paraId="38A2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60" w:type="dxa"/>
            <w:noWrap w:val="0"/>
            <w:vAlign w:val="center"/>
          </w:tcPr>
          <w:p w14:paraId="6D21022C"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 w14:paraId="7BAA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060" w:type="dxa"/>
            <w:noWrap w:val="0"/>
            <w:vAlign w:val="center"/>
          </w:tcPr>
          <w:p w14:paraId="0B8752FD"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 w14:paraId="791B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9060" w:type="dxa"/>
            <w:noWrap w:val="0"/>
            <w:vAlign w:val="center"/>
          </w:tcPr>
          <w:p w14:paraId="25A103BD">
            <w:pPr>
              <w:jc w:val="center"/>
              <w:rPr>
                <w:rFonts w:hint="eastAsia" w:ascii="Times New Roman" w:hAnsi="Times New Roman" w:eastAsia="宋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FF0000"/>
                <w:w w:val="80"/>
                <w:sz w:val="100"/>
                <w:szCs w:val="100"/>
                <w:vertAlign w:val="baseline"/>
                <w:lang w:eastAsia="zh-CN"/>
              </w:rPr>
              <w:t>中共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FF0000"/>
                <w:w w:val="80"/>
                <w:sz w:val="100"/>
                <w:szCs w:val="100"/>
                <w:vertAlign w:val="baseline"/>
                <w:lang w:val="en-US" w:eastAsia="zh-CN"/>
              </w:rPr>
              <w:t>人和街道工作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FF0000"/>
                <w:w w:val="80"/>
                <w:sz w:val="100"/>
                <w:szCs w:val="100"/>
                <w:vertAlign w:val="baseline"/>
                <w:lang w:eastAsia="zh-CN"/>
              </w:rPr>
              <w:t>委员会</w:t>
            </w:r>
          </w:p>
        </w:tc>
      </w:tr>
      <w:tr w14:paraId="424D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060" w:type="dxa"/>
            <w:noWrap w:val="0"/>
            <w:vAlign w:val="center"/>
          </w:tcPr>
          <w:p w14:paraId="3A6F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3" w:firstLine="0"/>
              <w:jc w:val="center"/>
              <w:textAlignment w:val="baseline"/>
              <w:rPr>
                <w:rFonts w:hint="default" w:ascii="Times New Roman" w:hAnsi="Times New Roman" w:eastAsia="方正楷体_GBK" w:cs="Times New Roman"/>
                <w:b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人和街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委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文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〔202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〕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号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签发人：</w:t>
            </w:r>
            <w:r>
              <w:rPr>
                <w:rFonts w:hint="eastAsia" w:eastAsia="方正楷体_GBK" w:cs="方正楷体_GBK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吴  俊</w:t>
            </w:r>
            <w:bookmarkStart w:id="0" w:name="_GoBack"/>
            <w:bookmarkEnd w:id="0"/>
          </w:p>
          <w:p w14:paraId="5154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_GBK" w:cs="方正小标宋_GBK"/>
                <w:b/>
                <w:bCs/>
                <w:color w:val="FF0000"/>
                <w:w w:val="65"/>
                <w:sz w:val="130"/>
                <w:szCs w:val="130"/>
                <w:vertAlign w:val="baseline"/>
                <w:lang w:eastAsia="zh-CN"/>
              </w:rPr>
            </w:pPr>
            <w:r>
              <w:rPr>
                <w:rFonts w:ascii="Times New Roman" w:hAnsi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210820</wp:posOffset>
                      </wp:positionV>
                      <wp:extent cx="2592070" cy="635"/>
                      <wp:effectExtent l="0" t="13970" r="17780" b="234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2070" cy="635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2.5pt;margin-top:16.6pt;height:0.05pt;width:204.1pt;z-index:251661312;mso-width-relative:page;mso-height-relative:page;" filled="f" stroked="t" coordsize="21600,21600" o:gfxdata="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QaKl1wAAAAkBAAAPAAAAAAAAAAEAIAAAACIAAABkcnMvZG93bnJldi54bWxQ&#10;SwECFAAUAAAACACHTuJA9jlX/PgBAADnAwAADgAAAAAAAAABACAAAAAmAQAAZHJzL2Uyb0RvYy54&#10;bWxQSwUGAAAAAAYABgBZAQAAkAUAAAAA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191770</wp:posOffset>
                      </wp:positionV>
                      <wp:extent cx="2592070" cy="1016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2070" cy="1016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15.1pt;height:0.8pt;width:204.1pt;z-index:251660288;mso-width-relative:page;mso-height-relative:page;" filled="f" stroked="t" coordsize="21600,21600" o:gfxdata="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ks/1tgAAAAIAQAADwAAAAAAAAABACAAAAAiAAAAZHJzL2Rvd25yZXYu&#10;eG1sUEsBAhQAFAAAAAgAh07iQP+pR4/7AQAA6QMAAA4AAAAAAAAAAQAgAAAAJwEAAGRycy9lMm9E&#10;b2MueG1sUEsFBgAAAAAGAAYAWQEAAJQ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FF0000"/>
                <w:kern w:val="0"/>
                <w:sz w:val="52"/>
                <w:szCs w:val="52"/>
              </w:rPr>
              <w:t>★</w:t>
            </w:r>
          </w:p>
        </w:tc>
      </w:tr>
    </w:tbl>
    <w:p w14:paraId="4D9C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中共云阳县人和街道工作委员会</w:t>
      </w:r>
    </w:p>
    <w:p w14:paraId="605B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97"/>
          <w:kern w:val="0"/>
          <w:sz w:val="44"/>
          <w:szCs w:val="44"/>
          <w:fitText w:val="6160" w:id="42018858"/>
          <w:lang w:val="en-US" w:eastAsia="zh-CN"/>
        </w:rPr>
        <w:t>云阳县人和街道办事</w:t>
      </w:r>
      <w:r>
        <w:rPr>
          <w:rFonts w:hint="eastAsia" w:ascii="Times New Roman" w:hAnsi="Times New Roman" w:eastAsia="方正小标宋_GBK" w:cs="方正小标宋_GBK"/>
          <w:spacing w:val="7"/>
          <w:kern w:val="0"/>
          <w:sz w:val="44"/>
          <w:szCs w:val="44"/>
          <w:fitText w:val="6160" w:id="42018858"/>
          <w:lang w:val="en-US" w:eastAsia="zh-CN"/>
        </w:rPr>
        <w:t>处</w:t>
      </w:r>
    </w:p>
    <w:p w14:paraId="54C1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人和街道202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年度法治政府建设情况报告</w:t>
      </w:r>
    </w:p>
    <w:p w14:paraId="494670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/>
        </w:rPr>
      </w:pPr>
    </w:p>
    <w:p w14:paraId="5C89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 w:eastAsia="方正仿宋_GBK" w:cs="Times New Roman"/>
        </w:rPr>
        <w:t>县委、县政府：</w:t>
      </w:r>
    </w:p>
    <w:p w14:paraId="5858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2025年以来，在县委、县政府的坚强领导下，人和街道坚持以习近平新时代中国特色社会主义思想为指导，深入学习贯彻习近平法治思想，全面落实党的二十大及二十届三中、四中全会精神，紧扣推进国家治理体系和治理能力现代化总目标，立足成渝</w:t>
      </w:r>
      <w:r>
        <w:rPr>
          <w:rFonts w:hint="eastAsia" w:cs="Times New Roman"/>
          <w:lang w:val="en-US" w:eastAsia="zh-CN"/>
        </w:rPr>
        <w:t>地区</w:t>
      </w:r>
      <w:r>
        <w:rPr>
          <w:rFonts w:hint="default" w:ascii="Times New Roman" w:hAnsi="Times New Roman" w:eastAsia="方正仿宋_GBK" w:cs="Times New Roman"/>
        </w:rPr>
        <w:t>双城经济圈建设等战略部署，持续深化法治政府建设实践，在制度完善、执法规范、服务优化、治理升级等方面取得阶段性成效，为街道经济社会高质量发展筑牢法治根基。</w:t>
      </w:r>
    </w:p>
    <w:p w14:paraId="0401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一、202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</w:rPr>
        <w:t>年推进法治政府建设的主要举措和成效</w:t>
      </w:r>
    </w:p>
    <w:p w14:paraId="0BEA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（一）深化习近平法治思想学习践行</w:t>
      </w:r>
    </w:p>
    <w:p w14:paraId="59CB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强化系统学习。将习近平法治思想纳入街道党工委理论学习中心组学习重点，全年开展专题学习3次；组织街道及村（社区）干部开展集中学习8次，覆盖500余人次，推动法治思维入脑入心。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创新宣传载体。优化14支法治宣传队伍，吸纳法律工作者、退休干部等力量，开展法治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六进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精准宣传12场次。深化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每日微普法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模式，新增法治短视频、案例解读直播等形式，全年推送普法内容360余条，覆盖群众2万余人次。</w:t>
      </w:r>
      <w:r>
        <w:rPr>
          <w:rFonts w:hint="eastAsia" w:cs="Times New Roman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</w:rPr>
        <w:t>聚焦实践转化。围绕电信网络诈骗、物业管理新规等群众关切，开展专题法治讲座6场，现场解答咨询400余件。立足中心工作，梳理配套法律法规清单3类28项，为重点项目推进提供精准法治服务。</w:t>
      </w:r>
    </w:p>
    <w:p w14:paraId="2A6E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（二）优化政府机构职能运行</w:t>
      </w:r>
    </w:p>
    <w:p w14:paraId="38C7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完善执法体系。深化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法定执法+赋权执法+委托执法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综合模式，动态调整执法事项清单</w:t>
      </w:r>
      <w:r>
        <w:rPr>
          <w:rFonts w:hint="eastAsia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法定执法事项优化为</w:t>
      </w:r>
      <w:r>
        <w:rPr>
          <w:rFonts w:hint="eastAsia" w:cs="Times New Roman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</w:rPr>
        <w:t>项，赋权行政执法事项更新为</w:t>
      </w:r>
      <w:r>
        <w:rPr>
          <w:rFonts w:hint="eastAsia" w:cs="Times New Roman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</w:rPr>
        <w:t>项，明确执法边界与协作流程。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厚植营商环境。升级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1＋13＋N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助企模式，建立企业法治需求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清单式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服务机制，开展优化营商环境法治宣讲4场次，覆盖企业80余家。严格落实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首违不罚、轻微免罚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清单2.0版，推行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柔性监管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，全年开展企业合规指导30余次，解决实际问题18件。</w:t>
      </w:r>
    </w:p>
    <w:p w14:paraId="6142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（三）健全依法行政制度体系</w:t>
      </w:r>
    </w:p>
    <w:p w14:paraId="3FB7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严格执行规范性文件全流程管理，建立动态调整机制。全年制发党内规范性文件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件、行政规范性文件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</w:rPr>
        <w:t>件，报备率、及时率、规范率均为100%。开展专项清理工作，废止过时文件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件，确保制度体系与发展需求同频。</w:t>
      </w:r>
    </w:p>
    <w:p w14:paraId="5167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（四）规范行政决策程序机制</w:t>
      </w:r>
    </w:p>
    <w:p w14:paraId="319F4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强化决策管控。严格落实民主集中制，对涉及群众利益的重大决策开展事前调研评估，通过座谈会、网络征询等形式收集意见建议50余条，风险评估覆盖率达100%。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深化法律顾问作用。续聘四正律师事务所律师担任法律顾问，全程参与行政决策、合同审查等工作，全年审查工程合同32份，参与重要文件起草4次，调解重大矛盾纠纷5次，实现决策合法性审查全覆盖。</w:t>
      </w:r>
    </w:p>
    <w:p w14:paraId="65D8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（五）推进规范公正文明执法</w:t>
      </w:r>
    </w:p>
    <w:p w14:paraId="7DF6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强化执法协同。优化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综合执法+联合执法+协作执法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机制，联合城乡建委、公安等部门开展跨领域执法15次，执法人员双人持证上岗率保持100%。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精准开展监管。制定年度执法检查计划，对辖区72家工商贸企业实施分级分类监管，开展专项检查30余次，实现风险隐患精准防控。</w:t>
      </w:r>
    </w:p>
    <w:p w14:paraId="58799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（六）完善突发事件应对体系</w:t>
      </w:r>
    </w:p>
    <w:p w14:paraId="53C3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优化预案体系。修订完善防汛抗旱、安全生产等应急预案6个，构建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总体预案+专项预案+现场处置方案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三级预案体系，提升预案针对性和可操作性。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强化能力建设。组织民兵、消防等力量开展实战化应急演练22场次，涵盖火灾扑救、地质灾害疏散等场景，参与人员800余人次，应急处置能力持续增强。</w:t>
      </w:r>
    </w:p>
    <w:p w14:paraId="1A97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（七）深化矛盾纠纷多元化解</w:t>
      </w:r>
    </w:p>
    <w:p w14:paraId="7245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加强</w:t>
      </w:r>
      <w:r>
        <w:rPr>
          <w:rFonts w:hint="eastAsia" w:ascii="Times New Roman" w:hAnsi="Times New Roman" w:eastAsia="方正仿宋_GBK" w:cs="Times New Roman"/>
        </w:rPr>
        <w:t>调解委员会职能作用，录入人民调解系统矛盾纠纷</w:t>
      </w:r>
      <w:r>
        <w:rPr>
          <w:rFonts w:hint="eastAsia" w:cs="Times New Roman"/>
          <w:lang w:val="en-US" w:eastAsia="zh-CN"/>
        </w:rPr>
        <w:t>125</w:t>
      </w:r>
      <w:r>
        <w:rPr>
          <w:rFonts w:hint="eastAsia" w:ascii="Times New Roman" w:hAnsi="Times New Roman" w:eastAsia="方正仿宋_GBK" w:cs="Times New Roman"/>
        </w:rPr>
        <w:t>起。推动乡风文明积分制建设，</w:t>
      </w:r>
      <w:r>
        <w:rPr>
          <w:rFonts w:hint="eastAsia" w:cs="Times New Roman"/>
          <w:lang w:val="en-US" w:eastAsia="zh-CN"/>
        </w:rPr>
        <w:t>推动四</w:t>
      </w:r>
      <w:r>
        <w:rPr>
          <w:rFonts w:hint="eastAsia" w:ascii="Times New Roman" w:hAnsi="Times New Roman" w:eastAsia="方正仿宋_GBK" w:cs="Times New Roman"/>
        </w:rPr>
        <w:t>治融合，各村（社区）配齐专业法律顾问，培养法律明白人</w:t>
      </w:r>
      <w:r>
        <w:rPr>
          <w:rFonts w:hint="eastAsia" w:ascii="Times New Roman" w:hAnsi="Times New Roman" w:eastAsia="方正仿宋_GBK" w:cs="Times New Roman"/>
          <w:lang w:val="en-US" w:eastAsia="zh-CN"/>
        </w:rPr>
        <w:t>199</w:t>
      </w:r>
      <w:r>
        <w:rPr>
          <w:rFonts w:hint="eastAsia" w:ascii="Times New Roman" w:hAnsi="Times New Roman" w:eastAsia="方正仿宋_GBK" w:cs="Times New Roman"/>
        </w:rPr>
        <w:t>人</w:t>
      </w:r>
      <w:r>
        <w:rPr>
          <w:rFonts w:hint="eastAsia" w:cs="Times New Roman"/>
          <w:lang w:eastAsia="zh-CN"/>
        </w:rPr>
        <w:t>，</w:t>
      </w:r>
      <w:r>
        <w:rPr>
          <w:rFonts w:hint="eastAsia" w:ascii="Times New Roman" w:hAnsi="Times New Roman" w:eastAsia="方正仿宋_GBK" w:cs="Times New Roman"/>
        </w:rPr>
        <w:t>智慧村居法律顾问服务平台注册</w:t>
      </w:r>
      <w:r>
        <w:rPr>
          <w:rFonts w:hint="eastAsia" w:cs="Times New Roman"/>
          <w:lang w:val="en-US" w:eastAsia="zh-CN"/>
        </w:rPr>
        <w:t>2815</w:t>
      </w:r>
      <w:r>
        <w:rPr>
          <w:rFonts w:hint="eastAsia" w:ascii="Times New Roman" w:hAnsi="Times New Roman" w:eastAsia="方正仿宋_GBK" w:cs="Times New Roman"/>
        </w:rPr>
        <w:t>人，服务次数</w:t>
      </w:r>
      <w:r>
        <w:rPr>
          <w:rFonts w:hint="eastAsia" w:cs="Times New Roman"/>
          <w:lang w:val="en-US" w:eastAsia="zh-CN"/>
        </w:rPr>
        <w:t>550</w:t>
      </w:r>
      <w:r>
        <w:rPr>
          <w:rFonts w:hint="eastAsia" w:ascii="Times New Roman" w:hAnsi="Times New Roman" w:eastAsia="方正仿宋_GBK" w:cs="Times New Roman"/>
        </w:rPr>
        <w:t>次。通过赶场日发放法治宣传单</w:t>
      </w:r>
      <w:r>
        <w:rPr>
          <w:rFonts w:hint="eastAsia" w:cs="Times New Roman"/>
          <w:lang w:val="en-US" w:eastAsia="zh-CN"/>
        </w:rPr>
        <w:t>5000</w:t>
      </w:r>
      <w:r>
        <w:rPr>
          <w:rFonts w:hint="eastAsia" w:ascii="Times New Roman" w:hAnsi="Times New Roman" w:eastAsia="方正仿宋_GBK" w:cs="Times New Roman"/>
        </w:rPr>
        <w:t>余张，广泛宣传民法典等法律法规，引导群众通过正确的途径维护自身权益，有力维护我</w:t>
      </w:r>
      <w:r>
        <w:rPr>
          <w:rFonts w:hint="eastAsia" w:cs="Times New Roman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</w:rPr>
        <w:t>平安稳定。</w:t>
      </w:r>
    </w:p>
    <w:p w14:paraId="39E9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（八）健全行政权力监督体系</w:t>
      </w:r>
    </w:p>
    <w:p w14:paraId="5634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强化纪工委、人大工委等监督合力，支持各类监督主体依法履职。全年办理人大代表建议办结率、满意率均达100%。聚焦重大决策、重点项目等关键领域，开展专项监督检查4次，未收到司法、检察建议书及行政复议建议，无行政败诉和纠错案件。</w:t>
      </w:r>
    </w:p>
    <w:p w14:paraId="6F3F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（九）推进数字法治政府建设</w:t>
      </w:r>
    </w:p>
    <w:p w14:paraId="6C03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141</w:t>
      </w:r>
      <w:r>
        <w:rPr>
          <w:rFonts w:hint="eastAsia" w:cs="Times New Roman"/>
          <w:lang w:eastAsia="zh-CN"/>
        </w:rPr>
        <w:t>”</w:t>
      </w:r>
      <w:r>
        <w:rPr>
          <w:rFonts w:hint="eastAsia" w:ascii="Times New Roman" w:hAnsi="Times New Roman" w:eastAsia="方正仿宋_GBK" w:cs="Times New Roman"/>
        </w:rPr>
        <w:t>平台高效运行，</w:t>
      </w:r>
      <w:r>
        <w:rPr>
          <w:rFonts w:hint="eastAsia" w:cs="Times New Roman"/>
          <w:lang w:val="en-US" w:eastAsia="zh-CN"/>
        </w:rPr>
        <w:t>累计走访重点人员52403人次，</w:t>
      </w:r>
      <w:r>
        <w:rPr>
          <w:rFonts w:hint="eastAsia" w:ascii="Times New Roman" w:hAnsi="Times New Roman" w:eastAsia="方正仿宋_GBK" w:cs="Times New Roman"/>
        </w:rPr>
        <w:t>按期完成率、重点人员配置率关注率动态保持100%。依托渝快政</w:t>
      </w:r>
      <w:r>
        <w:rPr>
          <w:rFonts w:hint="eastAsia" w:cs="Times New Roman"/>
          <w:lang w:eastAsia="zh-CN"/>
        </w:rPr>
        <w:t>“</w:t>
      </w:r>
      <w:r>
        <w:rPr>
          <w:rFonts w:hint="eastAsia" w:ascii="Times New Roman" w:hAnsi="Times New Roman" w:eastAsia="方正仿宋_GBK" w:cs="Times New Roman"/>
        </w:rPr>
        <w:t>执法+监督”一体化数字集成应用，开展日常巡查检查、进行简易处罚和普通处罚程序办理，与县级执法部门的行政执法和相关行政管理信息共享，便于跟进处理，避免重复执法和监管空白。</w:t>
      </w:r>
    </w:p>
    <w:p w14:paraId="4528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（十）完善法治建设推进机制</w:t>
      </w:r>
    </w:p>
    <w:p w14:paraId="4A10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强化阵地建设。投入资金升级凤岭村法治文化馆等设施，新增2个村（社区）法治宣传角，扩建</w:t>
      </w:r>
      <w:r>
        <w:rPr>
          <w:rFonts w:hint="eastAsia" w:cs="Times New Roman"/>
          <w:lang w:val="en-US" w:eastAsia="zh-CN"/>
        </w:rPr>
        <w:t>村社区</w:t>
      </w:r>
      <w:r>
        <w:rPr>
          <w:rFonts w:hint="default" w:ascii="Times New Roman" w:hAnsi="Times New Roman" w:eastAsia="方正仿宋_GBK" w:cs="Times New Roman"/>
        </w:rPr>
        <w:t>法治广场</w:t>
      </w:r>
      <w:r>
        <w:rPr>
          <w:rFonts w:hint="eastAsia" w:cs="Times New Roman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</w:rPr>
        <w:t>，形成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中心阵地+多点辐射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的法治文化传播格局。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深化法治培训。建立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日常培训+专题集训+实战演练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三位一体培训体系，开展法律法规培训10场次，组织学法考法3次，参与率、合格率均达100%。</w:t>
      </w:r>
      <w:r>
        <w:rPr>
          <w:rFonts w:hint="eastAsia" w:cs="Times New Roman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</w:rPr>
        <w:t>压实考核责任。将法治政府建设纳入党工委、办事处年度重点工作，列入主要领导年终述职和干部考核核心内容，建立问题整改台账，开展常态化调度，确保任务落地见效。</w:t>
      </w:r>
    </w:p>
    <w:p w14:paraId="3EC6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</w:rPr>
      </w:pPr>
      <w:r>
        <w:rPr>
          <w:rFonts w:hint="default" w:ascii="方正黑体_GBK" w:hAnsi="方正黑体_GBK" w:eastAsia="方正黑体_GBK" w:cs="方正黑体_GBK"/>
          <w:b w:val="0"/>
          <w:bCs w:val="0"/>
        </w:rPr>
        <w:t>二、党政主要负责人落实法治政府建设第一责任人职责情况</w:t>
      </w:r>
    </w:p>
    <w:p w14:paraId="17E7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街道党政主要负责人切实履行法治建设第一责任人职责，将法治政府建设摆在全局突出位置，坚持亲自部署、过问、协调、督办。一是高位统筹推进，全年召开法治政府建设专题党</w:t>
      </w:r>
      <w:r>
        <w:rPr>
          <w:rFonts w:hint="eastAsia" w:cs="Times New Roman"/>
          <w:lang w:val="en-US" w:eastAsia="zh-CN"/>
        </w:rPr>
        <w:t>工</w:t>
      </w:r>
      <w:r>
        <w:rPr>
          <w:rFonts w:hint="default" w:ascii="Times New Roman" w:hAnsi="Times New Roman" w:eastAsia="方正仿宋_GBK" w:cs="Times New Roman"/>
        </w:rPr>
        <w:t>委会5次，研究解决难点问题8个，推动法治建设与中心工作同部署、同落实、同考核。二是健全学法决策机制，完善党工委中心组学法制度，带头参加法治培训4次，严格执行重大事项合法性审查制度，确保决策于法有据。三是强化督促落实，将依法履职情况纳入干部绩效考核核心指标，开展法治建设专项督查2次，推动各级干部运用法治思维和方式开展工作。</w:t>
      </w:r>
    </w:p>
    <w:p w14:paraId="219F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</w:rPr>
      </w:pPr>
      <w:r>
        <w:rPr>
          <w:rFonts w:hint="default" w:ascii="方正黑体_GBK" w:hAnsi="方正黑体_GBK" w:eastAsia="方正黑体_GBK" w:cs="方正黑体_GBK"/>
          <w:b w:val="0"/>
          <w:bCs w:val="0"/>
        </w:rPr>
        <w:t>三、2025年推进法治政府建设存在的不足和原因</w:t>
      </w:r>
    </w:p>
    <w:p w14:paraId="5FB1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一是法治专业力量薄弱，街道执法队伍中法律专业背景人员占比不足30%，部分干部运用法治手段破解复杂问题的能力有待提升，专业化培训针对性需加强。二是法治宣传精准度不够，普法内容与不同群体需求匹配度不高，针对青少年、老年人等特定群体的定制化宣传不足，新媒体普法传播力、影响力需提升。三是数字法治应用深度不足，智慧监管平台数据共享和分析应用不充分</w:t>
      </w:r>
      <w:r>
        <w:rPr>
          <w:rFonts w:hint="eastAsia" w:cs="Times New Roman"/>
          <w:lang w:eastAsia="zh-CN"/>
        </w:rPr>
        <w:t>。</w:t>
      </w:r>
    </w:p>
    <w:p w14:paraId="2042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</w:rPr>
      </w:pPr>
      <w:r>
        <w:rPr>
          <w:rFonts w:hint="default" w:ascii="方正黑体_GBK" w:hAnsi="方正黑体_GBK" w:eastAsia="方正黑体_GBK" w:cs="方正黑体_GBK"/>
          <w:b w:val="0"/>
          <w:bCs w:val="0"/>
        </w:rPr>
        <w:t>四、2026年推进法治政府建设的工作安排</w:t>
      </w:r>
    </w:p>
    <w:p w14:paraId="5DC1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（一）深化法治素养提升工程</w:t>
      </w:r>
    </w:p>
    <w:p w14:paraId="71D5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实施执法队伍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专业化培育计划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，招录法律专业人才2-3名，开展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法治骨干训练营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4期，组织跨区域交流学习2次。建立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法治导师帮带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机制，通过案例研讨、实战演练等强化法治思维实践应用。</w:t>
      </w:r>
    </w:p>
    <w:p w14:paraId="6BCF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lang w:val="en-US" w:eastAsia="zh-CN"/>
        </w:rPr>
        <w:t>二</w:t>
      </w:r>
      <w:r>
        <w:rPr>
          <w:rFonts w:hint="default" w:ascii="方正楷体_GB2312" w:hAnsi="方正楷体_GB2312" w:eastAsia="方正楷体_GB2312" w:cs="方正楷体_GB2312"/>
          <w:b w:val="0"/>
          <w:bCs w:val="0"/>
        </w:rPr>
        <w:t>）健全矛盾纠纷化解机制</w:t>
      </w:r>
    </w:p>
    <w:p w14:paraId="4C9D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拓展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一站式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矛盾纠纷调解中心功能，吸纳心理咨询师、行业专家等加入调解队伍，建立跨领域调解协作机制。深化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法律明白人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队伍建设，开展业务培训4次，提升基层矛盾源头化解能力，力争纠纷化解平均时限缩短20%。</w:t>
      </w:r>
    </w:p>
    <w:p w14:paraId="048F0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 w:val="0"/>
          <w:bCs w:val="0"/>
        </w:rPr>
        <w:t>）优化法治建设保障体系</w:t>
      </w:r>
    </w:p>
    <w:p w14:paraId="385F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加大法治建设资金投入，新增1-2个标准化法治文化阵地，完善执法装备配置。健全考核评价机制，细化考核指标，强化结果运用，推动法治政府建设各项任务落地见效，为街道高质量发展提供更坚实的法治保障。</w:t>
      </w:r>
    </w:p>
    <w:p w14:paraId="10C8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</w:p>
    <w:p w14:paraId="7932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中共云阳县人和街道工作委员会  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</w:rPr>
        <w:t>云阳县人和街道办事处</w:t>
      </w:r>
    </w:p>
    <w:p w14:paraId="38CF6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年12月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</w:rPr>
        <w:t>日</w:t>
      </w:r>
    </w:p>
    <w:p w14:paraId="584B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 w14:paraId="6A902FB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</w:rPr>
        <w:sectPr>
          <w:footerReference r:id="rId3" w:type="default"/>
          <w:pgSz w:w="11906" w:h="16838"/>
          <w:pgMar w:top="1984" w:right="1446" w:bottom="1644" w:left="1446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0C59C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</w:rPr>
      </w:pPr>
    </w:p>
    <w:p w14:paraId="18F7CD5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</w:rPr>
      </w:pPr>
    </w:p>
    <w:p w14:paraId="3CAC24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AC1566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5F53BC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9D837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3545A6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CF0895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E465D9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58DCE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B56F93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F5A4F1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C404B1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1D93D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1DED59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AACCAD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7DAB17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8A6CCE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0F94C3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3904FD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3F0164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570A6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347A24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6D31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D8ED7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B8787D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1C6E1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EFB3A5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E0C4B9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AA946A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B6DE1E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DD752E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0EEB07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92A60A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E51BA8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3BE10A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  <w:sectPr>
          <w:footerReference r:id="rId4" w:type="default"/>
          <w:pgSz w:w="11906" w:h="16838"/>
          <w:pgMar w:top="1984" w:right="1446" w:bottom="1644" w:left="1446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3D000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8CEB9B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F7976E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0A419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222EB1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48F070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06F1C4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D0C35E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B32613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CDF0A7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BD919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0569C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80902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D4580A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DE5648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10481A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F446CC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28EF6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E8355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9E73F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864E90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8FEBE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11058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91D9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0CD71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6B1C79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2B59BD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1F158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68B78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4BF1A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4B124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54388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066EFC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235B3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033FF3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4F505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502FB4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3BDEA2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12C537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78075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1CC04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tbl>
      <w:tblPr>
        <w:tblStyle w:val="14"/>
        <w:tblpPr w:leftFromText="180" w:rightFromText="180" w:vertAnchor="text" w:horzAnchor="page" w:tblpX="1621" w:tblpY="705"/>
        <w:tblOverlap w:val="never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63914F1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5CE1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抄送：</w:t>
            </w:r>
            <w:r>
              <w:rPr>
                <w:rFonts w:hint="eastAsia" w:ascii="Times New Roman" w:hAnsi="Times New Roman"/>
                <w:sz w:val="28"/>
                <w:szCs w:val="18"/>
              </w:rPr>
              <w:t>县委依法治县办</w:t>
            </w:r>
            <w:r>
              <w:rPr>
                <w:rFonts w:hint="eastAsia" w:ascii="Times New Roman" w:hAnsi="Times New Roman"/>
                <w:sz w:val="28"/>
                <w:szCs w:val="18"/>
                <w:lang w:eastAsia="zh-CN"/>
              </w:rPr>
              <w:t>。</w:t>
            </w:r>
          </w:p>
        </w:tc>
      </w:tr>
      <w:tr w14:paraId="5B449E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631C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云阳县人和街道基层治理综合指挥办公室  202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年12月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日印发</w:t>
            </w:r>
          </w:p>
        </w:tc>
      </w:tr>
    </w:tbl>
    <w:p w14:paraId="68D3FE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sectPr>
      <w:footerReference r:id="rId5" w:type="default"/>
      <w:pgSz w:w="11906" w:h="16838"/>
      <w:pgMar w:top="1984" w:right="1446" w:bottom="1644" w:left="1446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A22B20B-0565-446F-8CCD-48B49245D8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C0DC676-86CA-490E-8D31-E42CA757330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925E35-1579-4CE6-BD1B-C38832D0E98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651148-99EE-4F10-AA31-D117120D950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8EFE6CB-D8BF-4D3E-AD6D-4D0BC9EF05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4F82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25BD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25BD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jc w:val="right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7EB9E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3A4F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MzFmYzlkY2MzMWU1MTE5YmZmNzM2Nzk5NDdiMmMifQ=="/>
  </w:docVars>
  <w:rsids>
    <w:rsidRoot w:val="7DEF006A"/>
    <w:rsid w:val="007D4B67"/>
    <w:rsid w:val="00B65685"/>
    <w:rsid w:val="026F5C91"/>
    <w:rsid w:val="02B80F0A"/>
    <w:rsid w:val="0361265C"/>
    <w:rsid w:val="037858C3"/>
    <w:rsid w:val="043D6C25"/>
    <w:rsid w:val="05A36F5B"/>
    <w:rsid w:val="063F6C84"/>
    <w:rsid w:val="066B12CB"/>
    <w:rsid w:val="072941D0"/>
    <w:rsid w:val="0AAE5BDB"/>
    <w:rsid w:val="0AB02A1B"/>
    <w:rsid w:val="0AB1211B"/>
    <w:rsid w:val="0BC32105"/>
    <w:rsid w:val="0C654F6B"/>
    <w:rsid w:val="0D1B1ACD"/>
    <w:rsid w:val="0F234C69"/>
    <w:rsid w:val="0F6239E3"/>
    <w:rsid w:val="11CF30B6"/>
    <w:rsid w:val="11F50B3F"/>
    <w:rsid w:val="128C0385"/>
    <w:rsid w:val="12C157D3"/>
    <w:rsid w:val="13367288"/>
    <w:rsid w:val="14101C60"/>
    <w:rsid w:val="14A45444"/>
    <w:rsid w:val="14D964F6"/>
    <w:rsid w:val="174D7E4B"/>
    <w:rsid w:val="19037FE5"/>
    <w:rsid w:val="19556FF4"/>
    <w:rsid w:val="19E576EB"/>
    <w:rsid w:val="1ADB24C8"/>
    <w:rsid w:val="1B326960"/>
    <w:rsid w:val="1B48621A"/>
    <w:rsid w:val="1BEF4851"/>
    <w:rsid w:val="1BF50F18"/>
    <w:rsid w:val="1CBD66FD"/>
    <w:rsid w:val="1DB573D4"/>
    <w:rsid w:val="1E364EB6"/>
    <w:rsid w:val="1ED015A4"/>
    <w:rsid w:val="1F665A54"/>
    <w:rsid w:val="20112FE8"/>
    <w:rsid w:val="20116770"/>
    <w:rsid w:val="20684BD2"/>
    <w:rsid w:val="20CA48D9"/>
    <w:rsid w:val="217C0935"/>
    <w:rsid w:val="2265761B"/>
    <w:rsid w:val="22706CB3"/>
    <w:rsid w:val="233A2855"/>
    <w:rsid w:val="23894DB3"/>
    <w:rsid w:val="23A6613D"/>
    <w:rsid w:val="24107A5A"/>
    <w:rsid w:val="265F42F2"/>
    <w:rsid w:val="27FD5707"/>
    <w:rsid w:val="288E2F8A"/>
    <w:rsid w:val="28B766F6"/>
    <w:rsid w:val="28D3286B"/>
    <w:rsid w:val="299D58EC"/>
    <w:rsid w:val="29B11398"/>
    <w:rsid w:val="29E17ECF"/>
    <w:rsid w:val="2A111E36"/>
    <w:rsid w:val="2B395AE8"/>
    <w:rsid w:val="2B4801A3"/>
    <w:rsid w:val="2B503AE4"/>
    <w:rsid w:val="2B7E6F39"/>
    <w:rsid w:val="2BD63915"/>
    <w:rsid w:val="2D6212DE"/>
    <w:rsid w:val="2DC07DFB"/>
    <w:rsid w:val="2EA35FE7"/>
    <w:rsid w:val="2FFB336C"/>
    <w:rsid w:val="310535C3"/>
    <w:rsid w:val="32B36180"/>
    <w:rsid w:val="330469DC"/>
    <w:rsid w:val="33770294"/>
    <w:rsid w:val="351729F7"/>
    <w:rsid w:val="35E11568"/>
    <w:rsid w:val="36560E06"/>
    <w:rsid w:val="366F23BE"/>
    <w:rsid w:val="3697747C"/>
    <w:rsid w:val="37AC054B"/>
    <w:rsid w:val="383C09C6"/>
    <w:rsid w:val="38FB4358"/>
    <w:rsid w:val="39EF604D"/>
    <w:rsid w:val="39FC040D"/>
    <w:rsid w:val="3A192D6D"/>
    <w:rsid w:val="3B2F65C0"/>
    <w:rsid w:val="3B8701AA"/>
    <w:rsid w:val="3D265AB2"/>
    <w:rsid w:val="3D9372DA"/>
    <w:rsid w:val="3DA94408"/>
    <w:rsid w:val="3E014244"/>
    <w:rsid w:val="3EC3774B"/>
    <w:rsid w:val="40AD2461"/>
    <w:rsid w:val="41097DCA"/>
    <w:rsid w:val="41650688"/>
    <w:rsid w:val="41DD6D76"/>
    <w:rsid w:val="43681B01"/>
    <w:rsid w:val="43D06249"/>
    <w:rsid w:val="44903E41"/>
    <w:rsid w:val="452E1696"/>
    <w:rsid w:val="46804174"/>
    <w:rsid w:val="46A165C4"/>
    <w:rsid w:val="4799373F"/>
    <w:rsid w:val="482D4296"/>
    <w:rsid w:val="48BF5533"/>
    <w:rsid w:val="48C20A74"/>
    <w:rsid w:val="4968161B"/>
    <w:rsid w:val="4C4874E2"/>
    <w:rsid w:val="4CAE37E9"/>
    <w:rsid w:val="4CD945DE"/>
    <w:rsid w:val="4DA150FB"/>
    <w:rsid w:val="4DBD0F8C"/>
    <w:rsid w:val="4E143B1F"/>
    <w:rsid w:val="4E487C6D"/>
    <w:rsid w:val="4E4F2DA9"/>
    <w:rsid w:val="4E8D00B7"/>
    <w:rsid w:val="4F277882"/>
    <w:rsid w:val="4FB761B8"/>
    <w:rsid w:val="4FC43323"/>
    <w:rsid w:val="531B4FFA"/>
    <w:rsid w:val="53B2517B"/>
    <w:rsid w:val="547215A0"/>
    <w:rsid w:val="549A7421"/>
    <w:rsid w:val="579D6AE2"/>
    <w:rsid w:val="58E77090"/>
    <w:rsid w:val="590B1E03"/>
    <w:rsid w:val="59637709"/>
    <w:rsid w:val="5A3A490E"/>
    <w:rsid w:val="5A867B53"/>
    <w:rsid w:val="5A9C7376"/>
    <w:rsid w:val="5C5B6DBD"/>
    <w:rsid w:val="5E4F5AE6"/>
    <w:rsid w:val="5EB033F0"/>
    <w:rsid w:val="5F4B3119"/>
    <w:rsid w:val="604C539B"/>
    <w:rsid w:val="60790CD5"/>
    <w:rsid w:val="60E455D3"/>
    <w:rsid w:val="63585341"/>
    <w:rsid w:val="63A93F4F"/>
    <w:rsid w:val="64122457"/>
    <w:rsid w:val="64606D37"/>
    <w:rsid w:val="66DB1226"/>
    <w:rsid w:val="671A7DB4"/>
    <w:rsid w:val="6951757E"/>
    <w:rsid w:val="69DA7573"/>
    <w:rsid w:val="6ACF2E50"/>
    <w:rsid w:val="6ADA35A3"/>
    <w:rsid w:val="6B2E00B9"/>
    <w:rsid w:val="6D152276"/>
    <w:rsid w:val="6D8E278A"/>
    <w:rsid w:val="6E90129F"/>
    <w:rsid w:val="6F451933"/>
    <w:rsid w:val="6FA04DBB"/>
    <w:rsid w:val="6FCE2827"/>
    <w:rsid w:val="6FDE1DAE"/>
    <w:rsid w:val="6FFA68EB"/>
    <w:rsid w:val="7124116A"/>
    <w:rsid w:val="714874B8"/>
    <w:rsid w:val="71804EA4"/>
    <w:rsid w:val="71BE59CD"/>
    <w:rsid w:val="72BB3CBA"/>
    <w:rsid w:val="7375655F"/>
    <w:rsid w:val="7419513C"/>
    <w:rsid w:val="743E2DF5"/>
    <w:rsid w:val="753A5273"/>
    <w:rsid w:val="75B570E6"/>
    <w:rsid w:val="76377AFB"/>
    <w:rsid w:val="76BD44A5"/>
    <w:rsid w:val="76EE6F2F"/>
    <w:rsid w:val="770162B4"/>
    <w:rsid w:val="77796881"/>
    <w:rsid w:val="77980A6E"/>
    <w:rsid w:val="77AD62C7"/>
    <w:rsid w:val="77F82164"/>
    <w:rsid w:val="78ED2953"/>
    <w:rsid w:val="790501DB"/>
    <w:rsid w:val="794E5888"/>
    <w:rsid w:val="797502F9"/>
    <w:rsid w:val="79BD0E09"/>
    <w:rsid w:val="7B0A3A1A"/>
    <w:rsid w:val="7B4056A4"/>
    <w:rsid w:val="7C2974EF"/>
    <w:rsid w:val="7C38005C"/>
    <w:rsid w:val="7C4A4A2C"/>
    <w:rsid w:val="7C633C0D"/>
    <w:rsid w:val="7D866517"/>
    <w:rsid w:val="7D8B70AB"/>
    <w:rsid w:val="7DEB7B49"/>
    <w:rsid w:val="7DEF006A"/>
    <w:rsid w:val="7E0155BF"/>
    <w:rsid w:val="7E044260"/>
    <w:rsid w:val="7E492AC2"/>
    <w:rsid w:val="7E6E2528"/>
    <w:rsid w:val="7EA57CAD"/>
    <w:rsid w:val="7F1B26B0"/>
    <w:rsid w:val="BCFEE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autoSpaceDE w:val="0"/>
      <w:autoSpaceDN w:val="0"/>
      <w:spacing w:line="413" w:lineRule="auto"/>
      <w:jc w:val="left"/>
      <w:outlineLvl w:val="1"/>
    </w:pPr>
    <w:rPr>
      <w:rFonts w:ascii="Arial" w:hAnsi="Arial" w:eastAsia="黑体" w:cs="方正仿宋_GBK"/>
      <w:b/>
      <w:kern w:val="0"/>
      <w:sz w:val="3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styleId="3">
    <w:name w:val="Body Text Indent"/>
    <w:basedOn w:val="1"/>
    <w:unhideWhenUsed/>
    <w:qFormat/>
    <w:uiPriority w:val="99"/>
    <w:pPr>
      <w:ind w:firstLine="720"/>
    </w:pPr>
    <w:rPr>
      <w:rFonts w:ascii="仿宋_GB2312" w:eastAsia="仿宋_GB2312"/>
      <w:sz w:val="32"/>
    </w:rPr>
  </w:style>
  <w:style w:type="paragraph" w:styleId="5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index 6"/>
    <w:basedOn w:val="1"/>
    <w:next w:val="1"/>
    <w:autoRedefine/>
    <w:unhideWhenUsed/>
    <w:qFormat/>
    <w:uiPriority w:val="99"/>
    <w:pPr>
      <w:ind w:left="1000" w:leftChars="1000"/>
    </w:pPr>
  </w:style>
  <w:style w:type="paragraph" w:styleId="7">
    <w:name w:val="Body Text"/>
    <w:basedOn w:val="1"/>
    <w:next w:val="8"/>
    <w:autoRedefine/>
    <w:unhideWhenUsed/>
    <w:qFormat/>
    <w:uiPriority w:val="99"/>
  </w:style>
  <w:style w:type="paragraph" w:styleId="8">
    <w:name w:val="Balloon Text"/>
    <w:basedOn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autoRedefine/>
    <w:unhideWhenUsed/>
    <w:qFormat/>
    <w:uiPriority w:val="99"/>
    <w:pPr>
      <w:widowControl w:val="0"/>
      <w:spacing w:after="120" w:line="480" w:lineRule="auto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1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16">
    <w:name w:val="page number"/>
    <w:autoRedefine/>
    <w:qFormat/>
    <w:uiPriority w:val="0"/>
    <w:rPr>
      <w:rFonts w:ascii="Calibri" w:hAnsi="Calibri" w:eastAsia="宋体" w:cs="Times New Roman"/>
    </w:rPr>
  </w:style>
  <w:style w:type="paragraph" w:customStyle="1" w:styleId="17">
    <w:name w:val="索引 51"/>
    <w:basedOn w:val="1"/>
    <w:next w:val="1"/>
    <w:autoRedefine/>
    <w:qFormat/>
    <w:uiPriority w:val="0"/>
    <w:pPr>
      <w:ind w:left="1680"/>
    </w:pPr>
    <w:rPr>
      <w:rFonts w:eastAsia="方正仿宋_GBK"/>
      <w:sz w:val="32"/>
      <w:szCs w:val="22"/>
    </w:rPr>
  </w:style>
  <w:style w:type="character" w:customStyle="1" w:styleId="18">
    <w:name w:val="font5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19">
    <w:name w:val="font31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20">
    <w:name w:val="font0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single"/>
    </w:rPr>
  </w:style>
  <w:style w:type="character" w:customStyle="1" w:styleId="21">
    <w:name w:val="font11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22">
    <w:name w:val="font81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single"/>
    </w:rPr>
  </w:style>
  <w:style w:type="character" w:customStyle="1" w:styleId="23">
    <w:name w:val="font132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2906</Words>
  <Characters>3005</Characters>
  <Lines>0</Lines>
  <Paragraphs>0</Paragraphs>
  <TotalTime>19</TotalTime>
  <ScaleCrop>false</ScaleCrop>
  <LinksUpToDate>false</LinksUpToDate>
  <CharactersWithSpaces>3064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2022-01-14T11:12:00Z</dcterms:created>
  <dc:creator>wx</dc:creator>
  <cp:lastModifiedBy>Январь</cp:lastModifiedBy>
  <cp:lastPrinted>2024-01-17T15:13:00Z</cp:lastPrinted>
  <dcterms:modified xsi:type="dcterms:W3CDTF">2026-02-25T01:36:43Z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D36F45E76FF540D1827F5C3E719D16DE_13</vt:lpwstr>
  </property>
  <property fmtid="{D5CDD505-2E9C-101B-9397-08002B2CF9AE}" pid="4" name="KSOTemplateDocerSaveRecord">
    <vt:lpwstr>eyJoZGlkIjoiZjZlMzFmYzlkY2MzMWU1MTE5YmZmNzM2Nzk5NDdiMmMiLCJ1c2VySWQiOiIzNzgwODY0NjQifQ==</vt:lpwstr>
  </property>
</Properties>
</file>