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中共云阳县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泥溪镇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委员会</w:t>
      </w:r>
    </w:p>
    <w:p>
      <w:pPr>
        <w:spacing w:line="720" w:lineRule="exact"/>
        <w:jc w:val="center"/>
        <w:rPr>
          <w:rFonts w:ascii="方正小标宋_GBK" w:hAnsi="方正小标宋_GBK" w:eastAsia="方正小标宋_GBK" w:cs="方正小标宋_GBK"/>
          <w:spacing w:val="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28"/>
          <w:sz w:val="44"/>
          <w:szCs w:val="44"/>
        </w:rPr>
        <w:t>云阳县</w:t>
      </w:r>
      <w:r>
        <w:rPr>
          <w:rFonts w:hint="eastAsia" w:ascii="方正小标宋_GBK" w:hAnsi="方正小标宋_GBK" w:eastAsia="方正小标宋_GBK" w:cs="方正小标宋_GBK"/>
          <w:spacing w:val="28"/>
          <w:sz w:val="44"/>
          <w:szCs w:val="44"/>
          <w:lang w:eastAsia="zh-CN"/>
        </w:rPr>
        <w:t>泥溪镇</w:t>
      </w:r>
      <w:r>
        <w:rPr>
          <w:rFonts w:hint="eastAsia" w:ascii="方正小标宋_GBK" w:hAnsi="方正小标宋_GBK" w:eastAsia="方正小标宋_GBK" w:cs="方正小标宋_GBK"/>
          <w:spacing w:val="28"/>
          <w:sz w:val="44"/>
          <w:szCs w:val="44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baseline"/>
        <w:rPr>
          <w:rFonts w:hint="eastAsia"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</w:rPr>
        <w:t>年法治政府建设情况的报告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righ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，</w:t>
      </w:r>
      <w:r>
        <w:rPr>
          <w:rFonts w:hint="eastAsia" w:ascii="方正仿宋_GBK"/>
          <w:sz w:val="32"/>
          <w:szCs w:val="32"/>
        </w:rPr>
        <w:t>泥溪镇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坚持以习近平法治思想为指导，在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</w:t>
      </w:r>
      <w:r>
        <w:rPr>
          <w:rFonts w:hint="eastAsia" w:cs="Times New Roman"/>
          <w:sz w:val="32"/>
          <w:szCs w:val="32"/>
          <w:lang w:eastAsia="zh-CN"/>
        </w:rPr>
        <w:t>领导下、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委依法治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办的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指导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下，</w:t>
      </w:r>
      <w:r>
        <w:rPr>
          <w:rFonts w:hint="eastAsia" w:ascii="方正仿宋_GBK"/>
          <w:sz w:val="32"/>
          <w:szCs w:val="32"/>
        </w:rPr>
        <w:t>按照</w:t>
      </w:r>
      <w:r>
        <w:rPr>
          <w:rFonts w:hint="eastAsia"/>
          <w:sz w:val="32"/>
          <w:szCs w:val="32"/>
        </w:rPr>
        <w:t>全县法治政府建设的总体要求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 w:ascii="方正仿宋_GBK"/>
          <w:sz w:val="32"/>
          <w:szCs w:val="32"/>
        </w:rPr>
        <w:t>全面推进法治政府建设，</w:t>
      </w:r>
      <w:r>
        <w:rPr>
          <w:rFonts w:hint="eastAsia"/>
          <w:szCs w:val="32"/>
          <w:lang w:eastAsia="zh-CN"/>
        </w:rPr>
        <w:t>不断提升</w:t>
      </w:r>
      <w:r>
        <w:rPr>
          <w:rFonts w:hint="eastAsia"/>
          <w:szCs w:val="32"/>
        </w:rPr>
        <w:t>法治政府建设水平，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稳步提升辖区法治化水平。</w:t>
      </w:r>
      <w:r>
        <w:rPr>
          <w:rFonts w:hint="eastAsia" w:ascii="方正仿宋_GBK"/>
          <w:sz w:val="32"/>
          <w:szCs w:val="32"/>
        </w:rPr>
        <w:t>现将</w:t>
      </w:r>
      <w:r>
        <w:rPr>
          <w:rFonts w:hint="default" w:ascii="Times New Roman" w:hAnsi="Times New Roman" w:cs="Times New Roman"/>
          <w:sz w:val="32"/>
          <w:szCs w:val="32"/>
        </w:rPr>
        <w:t>泥溪镇202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 w:val="32"/>
          <w:szCs w:val="32"/>
        </w:rPr>
        <w:t>法治</w:t>
      </w:r>
      <w:r>
        <w:rPr>
          <w:rFonts w:hint="eastAsia" w:ascii="方正仿宋_GBK"/>
          <w:sz w:val="32"/>
          <w:szCs w:val="32"/>
        </w:rPr>
        <w:t>政府建设情况报告如下：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8" w:lineRule="exact"/>
        <w:ind w:firstLine="632" w:firstLineChars="200"/>
        <w:textAlignment w:val="auto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</w:rPr>
        <w:t>一、202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4</w:t>
      </w:r>
      <w:r>
        <w:rPr>
          <w:rFonts w:hint="eastAsia" w:ascii="方正黑体_GBK" w:eastAsia="方正黑体_GBK"/>
          <w:sz w:val="32"/>
          <w:szCs w:val="32"/>
        </w:rPr>
        <w:t>年法治</w:t>
      </w:r>
      <w:r>
        <w:rPr>
          <w:rFonts w:hint="eastAsia" w:ascii="方正黑体_GBK" w:eastAsia="方正黑体_GBK"/>
          <w:sz w:val="32"/>
          <w:szCs w:val="32"/>
          <w:lang w:eastAsia="zh-CN"/>
        </w:rPr>
        <w:t>政府</w:t>
      </w:r>
      <w:r>
        <w:rPr>
          <w:rFonts w:hint="eastAsia" w:ascii="方正黑体_GBK" w:eastAsia="方正黑体_GBK"/>
          <w:sz w:val="32"/>
          <w:szCs w:val="32"/>
        </w:rPr>
        <w:t>建设</w:t>
      </w:r>
      <w:r>
        <w:rPr>
          <w:rFonts w:hint="eastAsia" w:ascii="方正黑体_GBK" w:eastAsia="方正黑体_GBK"/>
          <w:sz w:val="32"/>
          <w:szCs w:val="32"/>
          <w:lang w:eastAsia="zh-CN"/>
        </w:rPr>
        <w:t>主要举措及成效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Chars="0" w:right="0" w:rightChars="0"/>
        <w:textAlignment w:val="auto"/>
        <w:outlineLvl w:val="3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  <w:t xml:space="preserve">    （一）坚持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政治引领，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强化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法治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理论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学习。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将法治学习纳入镇党委中心组重要学习内容，将法治政府建设纳入年度工作计划，统一安排部署，定期召开理论学习研讨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会2次，提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高领导干部依法行政能力。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制定学法计划。组织镇、村干部通过集中学习、专题讲座等形式，开展《习近平法治思想学习纲要》《信访工作条例》等专题学法活动2次，增强干部法治意识和依法履职能力。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用好学法平台。组织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67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名干部通过学法考试平台参加线上的法律法规学习考试，坚持学法用法，提升法治素养。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8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DFDFE"/>
          <w:lang w:val="en-US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（二）突出领导核心，确保责任精准落地。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shd w:val="clear" w:color="auto" w:fill="FDFDFE"/>
          <w:lang w:eastAsia="zh-CN"/>
        </w:rPr>
        <w:t>一是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DFDFE"/>
          <w:lang w:eastAsia="zh-CN"/>
        </w:rPr>
        <w:t>加强领导。实行主要领导负总责，分管领导抓具体，及时调整充实社会治安综合治理和平安建设领导小组，定期召开综治工作会议、扫黑除恶宣传、意识形态工作等专项会议，研究部署、指导、协调推动我辖区综治和平安建设工作。今年来，召开专题党委会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DFDFE"/>
          <w:lang w:val="en-US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DFDFE"/>
          <w:lang w:eastAsia="zh-CN"/>
        </w:rPr>
        <w:t>次，研究安排部署平安法治相关工作。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shd w:val="clear" w:color="auto" w:fill="FDFDFE"/>
          <w:lang w:eastAsia="zh-CN"/>
        </w:rPr>
        <w:t>二是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DFDFE"/>
          <w:lang w:eastAsia="zh-CN"/>
        </w:rPr>
        <w:t>明确责任。按照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DFDFE"/>
          <w:lang w:val="en-US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DFDFE"/>
          <w:lang w:eastAsia="zh-CN"/>
        </w:rPr>
        <w:t>属地管理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DFDFE"/>
          <w:lang w:val="en-US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DFDFE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DFDFE"/>
          <w:lang w:val="en-US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DFDFE"/>
          <w:lang w:eastAsia="zh-CN"/>
        </w:rPr>
        <w:t>谁主管谁负责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DFDFE"/>
          <w:lang w:val="en-US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DFDFE"/>
          <w:lang w:eastAsia="zh-CN"/>
        </w:rPr>
        <w:t>原则，立足我镇实际，建立了各级责任制，逐级签订了《综治平安建设责任书》，使综治平安建设工作做到了责任到岗、责任到人。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shd w:val="clear" w:color="auto" w:fill="FDFDFE"/>
          <w:lang w:eastAsia="zh-CN"/>
        </w:rPr>
        <w:t>三是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DFDFE"/>
          <w:lang w:eastAsia="zh-CN"/>
        </w:rPr>
        <w:t>完善机制。建立健全督导检查机制，对各村（社区）的社会治安综合治理和平安建设工作进行全面、细致的检查，及时发现并整改存在问题</w:t>
      </w:r>
      <w:r>
        <w:rPr>
          <w:rFonts w:hint="eastAsia" w:ascii="Times New Roman" w:hAnsi="Times New Roman" w:cs="Times New Roman"/>
          <w:sz w:val="32"/>
          <w:szCs w:val="32"/>
          <w:shd w:val="clear" w:color="auto" w:fill="FDFDFE"/>
          <w:lang w:val="en-US" w:eastAsia="zh-CN"/>
        </w:rPr>
        <w:t>12个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DFDF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（三）提高治理能力，服务社会事业发展。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"/>
        </w:rPr>
        <w:t>一是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落实合规审查。聘请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 w:bidi="ar"/>
        </w:rPr>
        <w:t>重庆洲同律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师事务所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>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镇及下辖村、社区提供法律顾问服务，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年参与重大行政行为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件，参与处置重大矛盾纠纷和案件、信访案件共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件，共把关审查合同、提供法律意见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 w:bidi="ar"/>
        </w:rPr>
        <w:t>16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份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>，办理行政复议案件1件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完善政务公开，依据权力清单全面公开政府职能，推进信息化，2024年公示重大决策2项。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"/>
        </w:rPr>
        <w:t>三是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强化文件管理。建立规范性文件制定协调机制，动态清理文件库，优化政府机构职能，深化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"/>
        </w:rPr>
        <w:t>机关内设机构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改革，实行行政许可清单管理。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"/>
        </w:rPr>
        <w:t>四是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严格规范执法。实施行政执法质量提升计划，完善执法事项清单，加强案例指导，推广柔性执法。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/>
        <w:rPr>
          <w:rFonts w:hint="default" w:ascii="Times New Roman" w:hAnsi="方正仿宋_GBK" w:eastAsia="方正仿宋_GBK" w:cs="方正仿宋_GBK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shd w:val="clear" w:color="auto" w:fill="FFFFFF"/>
          <w:lang w:eastAsia="zh-CN"/>
        </w:rPr>
        <w:t>（四）守护群众安全，推动乡村治理升级。</w:t>
      </w:r>
      <w:r>
        <w:rPr>
          <w:rFonts w:hint="default" w:ascii="Times New Roman" w:hAnsi="方正仿宋_GBK" w:eastAsia="方正仿宋_GBK" w:cs="方正仿宋_GBK"/>
          <w:b/>
          <w:bCs/>
          <w:kern w:val="2"/>
          <w:sz w:val="32"/>
          <w:szCs w:val="32"/>
          <w:shd w:val="clear" w:color="auto" w:fill="FFFFFF"/>
          <w:lang w:val="en-US" w:eastAsia="zh-CN" w:bidi="ar-SA"/>
        </w:rPr>
        <w:t>一是</w:t>
      </w:r>
      <w:r>
        <w:rPr>
          <w:rFonts w:hint="default" w:ascii="Times New Roman" w:hAnsi="方正仿宋_GBK" w:eastAsia="方正仿宋_GBK" w:cs="方正仿宋_GBK"/>
          <w:kern w:val="2"/>
          <w:sz w:val="32"/>
          <w:szCs w:val="32"/>
          <w:shd w:val="clear" w:color="auto" w:fill="FFFFFF"/>
          <w:lang w:val="en-US" w:eastAsia="zh-CN" w:bidi="ar-SA"/>
        </w:rPr>
        <w:t>专项整治深入实施。以“三大行动”为指引，全面排查消防、野外用火、烟花爆竹等隐患，整改问题37个。开展燃气安全及重大事故隐患排查，检查企业2家。加强农村交通执法，处理违法行为383起，罚款1.611万元，有效改善农村交通陋习。</w:t>
      </w:r>
      <w:r>
        <w:rPr>
          <w:rFonts w:hint="default" w:ascii="Times New Roman" w:hAnsi="方正仿宋_GBK" w:eastAsia="方正仿宋_GBK" w:cs="方正仿宋_GBK"/>
          <w:b/>
          <w:bCs/>
          <w:kern w:val="2"/>
          <w:sz w:val="32"/>
          <w:szCs w:val="32"/>
          <w:shd w:val="clear" w:color="auto" w:fill="FFFFFF"/>
          <w:lang w:val="en-US" w:eastAsia="zh-CN" w:bidi="ar-SA"/>
        </w:rPr>
        <w:t>二是</w:t>
      </w:r>
      <w:r>
        <w:rPr>
          <w:rFonts w:hint="default" w:ascii="Times New Roman" w:hAnsi="方正仿宋_GBK" w:eastAsia="方正仿宋_GBK" w:cs="方正仿宋_GBK"/>
          <w:kern w:val="2"/>
          <w:sz w:val="32"/>
          <w:szCs w:val="32"/>
          <w:shd w:val="clear" w:color="auto" w:fill="FFFFFF"/>
          <w:lang w:val="en-US" w:eastAsia="zh-CN" w:bidi="ar-SA"/>
        </w:rPr>
        <w:t>社会安全得到加强。利用重要时点开展安全宣传教育，组织应急演练1次，落实应急疏散演练2次。动态管理重点人员，完善服务方案158个，落实随访制度，确保社会稳定。</w:t>
      </w:r>
      <w:r>
        <w:rPr>
          <w:rFonts w:hint="default" w:ascii="Times New Roman" w:hAnsi="方正仿宋_GBK" w:eastAsia="方正仿宋_GBK" w:cs="方正仿宋_GBK"/>
          <w:b/>
          <w:bCs/>
          <w:kern w:val="2"/>
          <w:sz w:val="32"/>
          <w:szCs w:val="32"/>
          <w:shd w:val="clear" w:color="auto" w:fill="FFFFFF"/>
          <w:lang w:val="en-US" w:eastAsia="zh-CN" w:bidi="ar-SA"/>
        </w:rPr>
        <w:t>三是</w:t>
      </w:r>
      <w:r>
        <w:rPr>
          <w:rFonts w:hint="default" w:ascii="Times New Roman" w:hAnsi="方正仿宋_GBK" w:eastAsia="方正仿宋_GBK" w:cs="方正仿宋_GBK"/>
          <w:kern w:val="2"/>
          <w:sz w:val="32"/>
          <w:szCs w:val="32"/>
          <w:shd w:val="clear" w:color="auto" w:fill="FFFFFF"/>
          <w:lang w:val="en-US" w:eastAsia="zh-CN" w:bidi="ar-SA"/>
        </w:rPr>
        <w:t>矛盾化解成效显著。建立矛盾纠纷一体化解机制，统筹调解资源，建立问题台账11个，调解化解纠纷114件次。加强反诈宣传，上门劝阻20余次，发放资料1000余份，严打电信网络诈骗。镇党委会研究平安稳定工作5次，领导接访下访88件次，信访调解案件办结率100%。</w:t>
      </w:r>
      <w:r>
        <w:rPr>
          <w:rFonts w:hint="default" w:ascii="Times New Roman" w:hAnsi="方正仿宋_GBK" w:eastAsia="方正仿宋_GBK" w:cs="方正仿宋_GBK"/>
          <w:b/>
          <w:bCs/>
          <w:kern w:val="2"/>
          <w:sz w:val="32"/>
          <w:szCs w:val="32"/>
          <w:shd w:val="clear" w:color="auto" w:fill="FFFFFF"/>
          <w:lang w:val="en-US" w:eastAsia="zh-CN" w:bidi="ar-SA"/>
        </w:rPr>
        <w:t>四是</w:t>
      </w:r>
      <w:r>
        <w:rPr>
          <w:rFonts w:hint="default" w:ascii="Times New Roman" w:hAnsi="方正仿宋_GBK" w:eastAsia="方正仿宋_GBK" w:cs="方正仿宋_GBK"/>
          <w:kern w:val="2"/>
          <w:sz w:val="32"/>
          <w:szCs w:val="32"/>
          <w:shd w:val="clear" w:color="auto" w:fill="FFFFFF"/>
          <w:lang w:val="en-US" w:eastAsia="zh-CN" w:bidi="ar-SA"/>
        </w:rPr>
        <w:t>突发事件应对有力。加强群防群治机制，完善应急处置体系，推动村居依法参与。制定各类应急预案9个，细化处置方案，组织演练培训6场，提高应对法治化、规范化水平，加强风险管控，减少事件发生。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/>
        <w:rPr>
          <w:rFonts w:hint="eastAsia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shd w:val="clear" w:color="auto" w:fill="FFFFFF"/>
          <w:lang w:val="en-US" w:eastAsia="zh-CN" w:bidi="ar-SA"/>
        </w:rPr>
        <w:t>（五）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创新治理模式，共推共建共治共享。</w:t>
      </w:r>
      <w:r>
        <w:rPr>
          <w:rFonts w:hint="eastAsia" w:ascii="方正仿宋_GBK" w:hAnsi="方正仿宋_GBK" w:cs="方正仿宋_GBK"/>
          <w:b/>
          <w:bCs/>
          <w:color w:val="000000"/>
          <w:sz w:val="32"/>
          <w:szCs w:val="32"/>
          <w:shd w:val="clear" w:color="auto" w:fill="FFFFFF"/>
          <w:lang w:eastAsia="zh-CN"/>
        </w:rPr>
        <w:t>一是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治理能力显著提升。</w:t>
      </w:r>
      <w:r>
        <w:rPr>
          <w:rFonts w:hint="eastAsia" w:ascii="Times New Roman" w:hAnsi="方正仿宋_GBK" w:eastAsia="方正仿宋_GBK" w:cs="方正仿宋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构建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val="en-US"/>
        </w:rPr>
        <w:t>“</w:t>
      </w:r>
      <w:r>
        <w:rPr>
          <w:rFonts w:hint="eastAsia" w:ascii="Times New Roman" w:hAnsi="方正仿宋_GBK" w:eastAsia="方正仿宋_GBK" w:cs="方正仿宋_GBK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自</w:t>
      </w:r>
      <w:r>
        <w:rPr>
          <w:rFonts w:hint="eastAsia" w:ascii="Times New Roman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治、法治、智治、德治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/>
        </w:rPr>
        <w:t>”</w:t>
      </w:r>
      <w:r>
        <w:rPr>
          <w:rFonts w:hint="eastAsia" w:ascii="Times New Roman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相结合的乡村治理体系，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开展“我和百姓聊聊法”活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/>
        </w:rPr>
        <w:t>11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场，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充分发挥“泥香调解室”“红白理事会”等村（居）民自治组织作用，</w:t>
      </w:r>
      <w:r>
        <w:rPr>
          <w:rFonts w:hint="eastAsia" w:ascii="Times New Roman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协调解决邻里纠纷、基础设施破旧等民生问题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Times New Roman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件，真正将矛盾化解在基层。</w:t>
      </w:r>
      <w:r>
        <w:rPr>
          <w:rFonts w:hint="eastAsia" w:ascii="方正仿宋_GBK" w:hAnsi="方正仿宋_GBK" w:cs="方正仿宋_GBK"/>
          <w:b/>
          <w:bCs/>
          <w:color w:val="000000"/>
          <w:kern w:val="2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shd w:val="clear" w:color="auto" w:fill="FFFFFF"/>
          <w:lang w:eastAsia="zh-CN"/>
        </w:rPr>
        <w:t>是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shd w:val="clear" w:color="auto" w:fill="FFFFFF"/>
          <w:lang w:eastAsia="zh-CN"/>
        </w:rPr>
        <w:t>乡风文明大幅改善。</w:t>
      </w:r>
      <w:r>
        <w:rPr>
          <w:rFonts w:hint="eastAsia" w:ascii="Times New Roman" w:hAnsi="方正仿宋_GBK" w:eastAsia="方正仿宋_GBK" w:cs="方正仿宋_GBK"/>
          <w:b w:val="0"/>
          <w:bCs w:val="0"/>
          <w:kern w:val="2"/>
          <w:sz w:val="32"/>
          <w:szCs w:val="32"/>
          <w:shd w:val="clear" w:color="auto" w:fill="FFFFFF"/>
          <w:lang w:eastAsia="zh-CN"/>
        </w:rPr>
        <w:t>完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shd w:val="clear" w:color="auto" w:fill="FFFFFF"/>
          <w:lang w:eastAsia="zh-CN"/>
        </w:rPr>
        <w:t>善村规民约、院落公约，开展移风易俗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/>
        </w:rPr>
        <w:t>“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shd w:val="clear" w:color="auto" w:fill="FFFFFF"/>
          <w:lang w:eastAsia="zh-CN"/>
        </w:rPr>
        <w:t>十抵制十提倡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/>
        </w:rPr>
        <w:t>”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shd w:val="clear" w:color="auto" w:fill="FFFFFF"/>
          <w:lang w:eastAsia="zh-CN"/>
        </w:rPr>
        <w:t>活动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/>
        </w:rPr>
        <w:t>10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shd w:val="clear" w:color="auto" w:fill="FFFFFF"/>
          <w:lang w:eastAsia="zh-CN"/>
        </w:rPr>
        <w:t>次，持续推进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/>
        </w:rPr>
        <w:t>“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shd w:val="clear" w:color="auto" w:fill="FFFFFF"/>
          <w:lang w:eastAsia="zh-CN"/>
        </w:rPr>
        <w:t>云阳好人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/>
        </w:rPr>
        <w:t>”“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shd w:val="clear" w:color="auto" w:fill="FFFFFF"/>
          <w:lang w:eastAsia="zh-CN"/>
        </w:rPr>
        <w:t>最美庭院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/>
        </w:rPr>
        <w:t>”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shd w:val="clear" w:color="auto" w:fill="FFFFFF"/>
          <w:lang w:eastAsia="zh-CN"/>
        </w:rPr>
        <w:t>等先进典型评选活动，选树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/>
        </w:rPr>
        <w:t>“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shd w:val="clear" w:color="auto" w:fill="FFFFFF"/>
          <w:lang w:eastAsia="zh-CN"/>
        </w:rPr>
        <w:t>云阳好人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/>
        </w:rPr>
        <w:t>”4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shd w:val="clear" w:color="auto" w:fill="FFFFFF"/>
          <w:lang w:eastAsia="zh-CN"/>
        </w:rPr>
        <w:t>个，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/>
        </w:rPr>
        <w:t>“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shd w:val="clear" w:color="auto" w:fill="FFFFFF"/>
          <w:lang w:eastAsia="zh-CN"/>
        </w:rPr>
        <w:t>最美庭院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/>
        </w:rPr>
        <w:t>”1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shd w:val="clear" w:color="auto" w:fill="FFFFFF"/>
          <w:lang w:eastAsia="zh-CN"/>
        </w:rPr>
        <w:t>个。深化乡村文化供给提升行动，开展文化进村活动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/>
        </w:rPr>
        <w:t>4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shd w:val="clear" w:color="auto" w:fill="FFFFFF"/>
          <w:lang w:eastAsia="zh-CN"/>
        </w:rPr>
        <w:t>场。</w:t>
      </w:r>
      <w:r>
        <w:rPr>
          <w:rFonts w:hint="eastAsia" w:ascii="Times New Roman" w:hAnsi="方正仿宋_GBK" w:cs="方正仿宋_GBK"/>
          <w:b/>
          <w:bCs/>
          <w:kern w:val="2"/>
          <w:sz w:val="32"/>
          <w:szCs w:val="32"/>
          <w:shd w:val="clear" w:color="auto" w:fill="FFFFFF"/>
          <w:lang w:eastAsia="zh-CN"/>
        </w:rPr>
        <w:t>三是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法治宣传教育深入人心</w:t>
      </w:r>
      <w:r>
        <w:rPr>
          <w:rFonts w:hint="eastAsia" w:ascii="方正仿宋_GBK" w:hAnsi="Times New Roman" w:cs="Times New Roman"/>
          <w:sz w:val="32"/>
          <w:szCs w:val="32"/>
          <w:lang w:eastAsia="zh-CN"/>
        </w:rPr>
        <w:t>。</w:t>
      </w:r>
      <w:r>
        <w:rPr>
          <w:rFonts w:hint="eastAsia" w:ascii="方正仿宋_GBK"/>
          <w:sz w:val="32"/>
          <w:szCs w:val="32"/>
        </w:rPr>
        <w:t>利用党员冬春训的机会，对全镇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cs="Times New Roman"/>
          <w:sz w:val="32"/>
          <w:szCs w:val="32"/>
        </w:rPr>
        <w:t>多名党员干部分进行法治授课。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cs="Times New Roman"/>
          <w:sz w:val="32"/>
          <w:szCs w:val="32"/>
        </w:rPr>
        <w:t>平安办、派出所等部门开展国际禁毒日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宪法宣传周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法律进乡村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宣传</w:t>
      </w:r>
      <w:r>
        <w:rPr>
          <w:rFonts w:hint="default" w:ascii="Times New Roman" w:hAnsi="Times New Roman" w:cs="Times New Roman"/>
          <w:sz w:val="32"/>
          <w:szCs w:val="32"/>
        </w:rPr>
        <w:t>活动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3场次</w:t>
      </w:r>
      <w:r>
        <w:rPr>
          <w:rFonts w:hint="default" w:ascii="Times New Roman" w:hAnsi="Times New Roman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通过悬挂横幅、发放宣传册、举办讲座等形式，普及法律知识，增强村民法治观念，提高广大干部群众法治意识。</w:t>
      </w:r>
      <w:r>
        <w:rPr>
          <w:rFonts w:hint="default" w:ascii="Times New Roman" w:hAnsi="Times New Roman" w:cs="Times New Roman"/>
          <w:sz w:val="32"/>
          <w:szCs w:val="32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 w:val="32"/>
          <w:szCs w:val="32"/>
        </w:rPr>
        <w:t>年累计发放各类宣传资料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300</w:t>
      </w:r>
      <w:r>
        <w:rPr>
          <w:rFonts w:hint="default" w:ascii="Times New Roman" w:hAnsi="Times New Roman" w:cs="Times New Roman"/>
          <w:sz w:val="32"/>
          <w:szCs w:val="32"/>
        </w:rPr>
        <w:t>余份，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法治宣传覆盖党员干部、</w:t>
      </w:r>
      <w:r>
        <w:rPr>
          <w:rFonts w:hint="default" w:ascii="Times New Roman" w:hAnsi="Times New Roman" w:cs="Times New Roman"/>
          <w:sz w:val="32"/>
          <w:szCs w:val="32"/>
        </w:rPr>
        <w:t>群众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余人</w:t>
      </w:r>
      <w:r>
        <w:rPr>
          <w:rFonts w:hint="default" w:ascii="Times New Roman" w:hAnsi="Times New Roman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32" w:firstLineChars="200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  <w:lang w:val="en-US" w:eastAsia="zh-CN"/>
        </w:rPr>
        <w:t>二、主要负责人履行“第一责任人”责任情况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32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shd w:val="clear" w:color="auto" w:fill="FFFFFF"/>
          <w:vertAlign w:val="baseline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color="auto" w:fill="FFFFFF"/>
          <w:vertAlign w:val="baseline"/>
          <w:lang w:val="en-US" w:eastAsia="zh-CN"/>
        </w:rPr>
        <w:t>推动学习宣传贯彻习近平法治思想走深走实。深入学习贯彻习近平法治思想，纳入党委理论学习中心组学习内容，开展集体学习研讨。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shd w:val="clear" w:color="auto" w:fill="FFFFFF"/>
          <w:vertAlign w:val="baseline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color="auto" w:fill="FFFFFF"/>
          <w:vertAlign w:val="baseline"/>
          <w:lang w:val="en-US" w:eastAsia="zh-CN"/>
        </w:rPr>
        <w:t>认真履行推进法治建设第一责任人职责，将法治政府建设摆在全局重要位置，坚持以身作则、以上率下，多次主持召开党委会专题研究行政执法、营造法治化营商环境等工作，推动法治政府建设各项任务落地落实。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shd w:val="clear" w:color="auto" w:fill="FFFFFF"/>
          <w:vertAlign w:val="baseline"/>
          <w:lang w:val="en-US" w:eastAsia="zh-CN"/>
        </w:rPr>
        <w:t>三是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color="auto" w:fill="FFFFFF"/>
          <w:vertAlign w:val="baseline"/>
          <w:lang w:val="en-US" w:eastAsia="zh-CN"/>
        </w:rPr>
        <w:t>对标对表抓好法治政府建设重点任务落实。按照</w:t>
      </w:r>
      <w:r>
        <w:rPr>
          <w:rFonts w:hint="eastAsia" w:ascii="方正仿宋_GBK" w:hAnsi="方正仿宋_GBK" w:eastAsia="方正仿宋_GBK" w:cs="方正仿宋_GBK"/>
          <w:szCs w:val="32"/>
        </w:rPr>
        <w:t>全县法治政府建设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目标任务，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color="auto" w:fill="FFFFFF"/>
          <w:vertAlign w:val="baseline"/>
          <w:lang w:val="en-US" w:eastAsia="zh-CN"/>
        </w:rPr>
        <w:t>召开法治政府建设推进会议，推进全镇法治政府建设任务，清单化、责任化、时限化推进重点工作落实。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shd w:val="clear" w:color="auto" w:fill="FFFFFF"/>
          <w:vertAlign w:val="baseline"/>
          <w:lang w:val="en-US" w:eastAsia="zh-CN"/>
        </w:rPr>
        <w:t>四是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加强行政执法队伍专业化建设。进一步完善行政执法公示、告知等制度，完善执法程序和行政执法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机制，加强对行政执法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科室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及其执法人员行使职权和履行法定义务情况的监督、考核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深化依法行政工作。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32" w:firstLineChars="200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黑体_GBK" w:hAnsi="Calibri" w:eastAsia="方正黑体_GBK" w:cs="Times New Roman"/>
          <w:sz w:val="32"/>
          <w:szCs w:val="32"/>
          <w:lang w:eastAsia="zh-CN"/>
        </w:rPr>
        <w:t>三、法治政府</w:t>
      </w:r>
      <w:r>
        <w:rPr>
          <w:rFonts w:hint="eastAsia" w:ascii="方正黑体_GBK" w:hAnsi="Calibri" w:eastAsia="方正黑体_GBK" w:cs="Times New Roman"/>
          <w:sz w:val="32"/>
          <w:szCs w:val="32"/>
        </w:rPr>
        <w:t>建</w:t>
      </w:r>
      <w:r>
        <w:rPr>
          <w:rFonts w:hint="eastAsia" w:ascii="方正黑体_GBK" w:eastAsia="方正黑体_GBK"/>
          <w:sz w:val="32"/>
          <w:szCs w:val="32"/>
        </w:rPr>
        <w:t>设存在的</w:t>
      </w:r>
      <w:r>
        <w:rPr>
          <w:rFonts w:hint="eastAsia" w:ascii="方正黑体_GBK" w:eastAsia="方正黑体_GBK"/>
          <w:sz w:val="32"/>
          <w:szCs w:val="32"/>
          <w:lang w:eastAsia="zh-CN"/>
        </w:rPr>
        <w:t>不足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32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32"/>
          <w:szCs w:val="32"/>
          <w:shd w:val="clear" w:color="auto" w:fill="FFFFFF"/>
          <w:vertAlign w:val="baseline"/>
          <w:lang w:val="en-US" w:eastAsia="zh-CN"/>
        </w:rPr>
        <w:t>我镇在法治政府建设方面虽然取得了一定的成绩，但还有一定的差距，主要表现在以下几个方面：一是应对重点领域复杂法律问题能力有待提高；二是精准行政执法的覆盖面有待提高；三是法治宣传创新不足。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  <w:t>主要原因是：一是</w:t>
      </w:r>
      <w:r>
        <w:rPr>
          <w:rFonts w:hint="eastAsia" w:ascii="Times New Roman" w:hAnsi="Times New Roman" w:cs="Times New Roman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  <w:t>镇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  <w:t>村缺乏专业的法律人才；二是缺乏专业的行政执法培训，执法人员的法律素养有待提高。三是普法人员年龄偏大，缺乏有活力的年轻法律人才。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32" w:firstLineChars="200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四</w:t>
      </w:r>
      <w:r>
        <w:rPr>
          <w:rFonts w:hint="eastAsia" w:ascii="方正黑体_GBK" w:eastAsia="方正黑体_GBK"/>
          <w:sz w:val="32"/>
          <w:szCs w:val="32"/>
        </w:rPr>
        <w:t>、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2025年</w:t>
      </w:r>
      <w:r>
        <w:rPr>
          <w:rFonts w:hint="eastAsia" w:ascii="方正黑体_GBK" w:eastAsia="方正黑体_GBK"/>
          <w:sz w:val="32"/>
          <w:szCs w:val="32"/>
        </w:rPr>
        <w:t>工作</w:t>
      </w:r>
      <w:r>
        <w:rPr>
          <w:rFonts w:hint="eastAsia" w:ascii="方正黑体_GBK" w:eastAsia="方正黑体_GBK"/>
          <w:sz w:val="32"/>
          <w:szCs w:val="32"/>
          <w:lang w:eastAsia="zh-CN"/>
        </w:rPr>
        <w:t>安排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32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  <w:t>加强党对法治政府建设工作的领导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32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  <w:t>全面落实党政主要负责人履行法治建设第一责任人职责，坚持党管法治建设全方面、全过程，压实法治建设工作责任制，常态化开展依法办事督察，牢牢掌握法治建设、依法治</w:t>
      </w:r>
      <w:r>
        <w:rPr>
          <w:rFonts w:hint="eastAsia" w:ascii="Times New Roman" w:hAnsi="Times New Roman" w:cs="Times New Roman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  <w:t>镇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  <w:t>的领导核心地位。切实发挥党委在推进法治建设中的领导核心作用，定期听取有关工作汇报，及时研究解决有关重大问题，将法治建设纳入</w:t>
      </w:r>
      <w:r>
        <w:rPr>
          <w:rFonts w:hint="eastAsia" w:ascii="Times New Roman" w:hAnsi="Times New Roman" w:cs="Times New Roman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  <w:t>镇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  <w:t>发展总体规划和年度工作计划，与经济社会发展同部署、同推进。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32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  <w:t>深化法治与服务型政府融合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32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  <w:t>坚持发挥法治政府主体作用和引领带头作用，坚持依法行政、行政公开，推进法治建设与服务型政府建设深度融合，以法治保障政府职能转变，提质增效。深化法治建设与经济建设相融合。全面推行依法治</w:t>
      </w:r>
      <w:r>
        <w:rPr>
          <w:rFonts w:hint="eastAsia" w:ascii="Times New Roman" w:hAnsi="Times New Roman" w:cs="Times New Roman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  <w:t>镇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  <w:t>，推动重大项目立项、表决、决策各项流程更加合法合规，以法治保障项目落地，促进全</w:t>
      </w:r>
      <w:r>
        <w:rPr>
          <w:rFonts w:hint="eastAsia" w:ascii="Times New Roman" w:hAnsi="Times New Roman" w:cs="Times New Roman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  <w:t>镇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  <w:t>经济发展。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32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  <w:t>扎实抓好法治宣传活动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948" w:firstLineChars="300"/>
        <w:rPr>
          <w:rFonts w:hint="eastAsia" w:ascii="Times New Roman" w:hAnsi="Times New Roman" w:eastAsia="方正仿宋_GBK" w:cs="Times New Roman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  <w:t>一是加大宣传覆盖面，深入开展法律宣传活动，利用重大节日进行普法宣传，不断拓展宣传覆盖面。二是通过加强农村法治教育</w:t>
      </w:r>
      <w:r>
        <w:rPr>
          <w:rFonts w:hint="eastAsia" w:ascii="Times New Roman" w:hAnsi="Times New Roman" w:cs="Times New Roman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  <w:t>展板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  <w:t>、法律图书角等形式开展普法工作，真正把服务人民、提高群众法律素质、切实维护人民的根本利益作为法治工作的出发点和落脚点。</w:t>
      </w: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4266" w:firstLineChars="1350"/>
        <w:rPr>
          <w:rFonts w:hint="eastAsia" w:ascii="方正仿宋_GBK"/>
          <w:sz w:val="32"/>
          <w:szCs w:val="32"/>
        </w:rPr>
      </w:pPr>
      <w:r>
        <w:rPr>
          <w:rFonts w:hint="eastAsia" w:ascii="方正仿宋_GBK"/>
          <w:sz w:val="32"/>
          <w:szCs w:val="32"/>
        </w:rPr>
        <w:t xml:space="preserve">中共云阳县泥溪镇委员会 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4424" w:firstLineChars="1400"/>
        <w:rPr>
          <w:rFonts w:hint="eastAsia" w:ascii="方正仿宋_GBK"/>
          <w:sz w:val="32"/>
          <w:szCs w:val="32"/>
        </w:rPr>
      </w:pPr>
      <w:r>
        <w:rPr>
          <w:rFonts w:hint="eastAsia" w:ascii="方正仿宋_GBK"/>
          <w:sz w:val="32"/>
          <w:szCs w:val="32"/>
        </w:rPr>
        <w:t>云阳县泥溪镇人民政府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056" w:firstLineChars="1600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/>
          <w:sz w:val="32"/>
          <w:szCs w:val="32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 w:val="32"/>
          <w:szCs w:val="32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cs="Times New Roman"/>
          <w:sz w:val="32"/>
          <w:szCs w:val="32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cs="Times New Roman"/>
          <w:sz w:val="32"/>
          <w:szCs w:val="32"/>
        </w:rPr>
        <w:t xml:space="preserve">日 </w:t>
      </w:r>
    </w:p>
    <w:p>
      <w:pPr>
        <w:snapToGrid w:val="0"/>
        <w:spacing w:line="40" w:lineRule="exact"/>
        <w:ind w:firstLine="632" w:firstLineChars="200"/>
        <w:rPr>
          <w:rFonts w:hint="eastAsia" w:ascii="方正仿宋_GBK"/>
          <w:sz w:val="32"/>
          <w:szCs w:val="32"/>
        </w:rPr>
      </w:pPr>
    </w:p>
    <w:p>
      <w:pPr>
        <w:snapToGrid w:val="0"/>
        <w:spacing w:line="40" w:lineRule="exact"/>
        <w:ind w:firstLine="632" w:firstLineChars="200"/>
        <w:rPr>
          <w:rFonts w:hint="eastAsia" w:ascii="方正仿宋_GBK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7560" w:firstLineChars="2700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>—</w:t>
    </w:r>
    <w:r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t xml:space="preserve"> 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</w:rPr>
      <w:t>1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t xml:space="preserve"> </w: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280" w:firstLineChars="100"/>
      <w:rPr>
        <w:sz w:val="28"/>
      </w:rPr>
    </w:pPr>
    <w:r>
      <w:rPr>
        <w:rStyle w:val="12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2"/>
        <w:rFonts w:hint="eastAsia"/>
        <w:sz w:val="28"/>
      </w:rPr>
      <w:t>―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1686CD"/>
    <w:multiLevelType w:val="singleLevel"/>
    <w:tmpl w:val="931686C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evenAndOddHeaders w:val="1"/>
  <w:drawingGridHorizontalSpacing w:val="315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7A80"/>
    <w:rsid w:val="000A20A6"/>
    <w:rsid w:val="0066786C"/>
    <w:rsid w:val="0075409C"/>
    <w:rsid w:val="00835C47"/>
    <w:rsid w:val="00B067B3"/>
    <w:rsid w:val="00D4557A"/>
    <w:rsid w:val="15D30B91"/>
    <w:rsid w:val="2A4F139B"/>
    <w:rsid w:val="36932A6C"/>
    <w:rsid w:val="4C74538D"/>
    <w:rsid w:val="50E9CD65"/>
    <w:rsid w:val="68FEB50A"/>
    <w:rsid w:val="6FFF1D10"/>
    <w:rsid w:val="71FAA1C7"/>
    <w:rsid w:val="75DDC89F"/>
    <w:rsid w:val="777DA8FD"/>
    <w:rsid w:val="77DF6207"/>
    <w:rsid w:val="7BF47DA5"/>
    <w:rsid w:val="7BFBCC62"/>
    <w:rsid w:val="7C5F816B"/>
    <w:rsid w:val="7D7F384F"/>
    <w:rsid w:val="7EF2A9E3"/>
    <w:rsid w:val="7F7A4213"/>
    <w:rsid w:val="7F9D7DB6"/>
    <w:rsid w:val="7FBAB833"/>
    <w:rsid w:val="7FD3A236"/>
    <w:rsid w:val="7FE1CDEF"/>
    <w:rsid w:val="7FEFA5B9"/>
    <w:rsid w:val="BE9FC9C5"/>
    <w:rsid w:val="DDFF331F"/>
    <w:rsid w:val="DFDF3D07"/>
    <w:rsid w:val="E2AA8EA2"/>
    <w:rsid w:val="E477418F"/>
    <w:rsid w:val="F357421F"/>
    <w:rsid w:val="F5EC2289"/>
    <w:rsid w:val="F7132747"/>
    <w:rsid w:val="FD8BD375"/>
    <w:rsid w:val="FDBF3748"/>
    <w:rsid w:val="FDBFD6A8"/>
    <w:rsid w:val="FF4B6686"/>
    <w:rsid w:val="FF75B59D"/>
    <w:rsid w:val="FFDDFC89"/>
    <w:rsid w:val="FFF69C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</w:style>
  <w:style w:type="paragraph" w:styleId="4">
    <w:name w:val="Body Text"/>
    <w:basedOn w:val="1"/>
    <w:next w:val="5"/>
    <w:qFormat/>
    <w:uiPriority w:val="0"/>
    <w:pPr>
      <w:spacing w:after="120"/>
    </w:pPr>
    <w:rPr>
      <w:rFonts w:eastAsia="宋体"/>
      <w:sz w:val="21"/>
      <w:szCs w:val="21"/>
    </w:rPr>
  </w:style>
  <w:style w:type="paragraph" w:styleId="5">
    <w:name w:val="toc 5"/>
    <w:basedOn w:val="1"/>
    <w:next w:val="1"/>
    <w:qFormat/>
    <w:uiPriority w:val="0"/>
    <w:pPr>
      <w:ind w:left="1680" w:leftChars="800"/>
    </w:pPr>
    <w:rPr>
      <w:rFonts w:eastAsia="方正仿宋_GBK"/>
      <w:sz w:val="32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qFormat/>
    <w:uiPriority w:val="0"/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7</Words>
  <Characters>43</Characters>
  <Lines>1</Lines>
  <Paragraphs>1</Paragraphs>
  <TotalTime>5</TotalTime>
  <ScaleCrop>false</ScaleCrop>
  <LinksUpToDate>false</LinksUpToDate>
  <CharactersWithSpaces>49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2023-01-26T07:34:00Z</dcterms:created>
  <dc:creator>Lenovo User</dc:creator>
  <cp:lastModifiedBy>boot</cp:lastModifiedBy>
  <cp:lastPrinted>2024-11-24T23:40:00Z</cp:lastPrinted>
  <dcterms:modified xsi:type="dcterms:W3CDTF">2025-01-09T15:22:28Z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1B5C18C22CA502D731FF75679CCB5EAF</vt:lpwstr>
  </property>
</Properties>
</file>