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B92367">
      <w:pPr>
        <w:spacing w:line="580" w:lineRule="exact"/>
        <w:rPr>
          <w:rFonts w:ascii="Times New Roman" w:hAnsi="Times New Roman" w:eastAsia="方正仿宋_GBK" w:cs="Times New Roman"/>
          <w:sz w:val="32"/>
          <w:szCs w:val="32"/>
        </w:rPr>
      </w:pPr>
    </w:p>
    <w:p w14:paraId="6F9435C1">
      <w:pPr>
        <w:spacing w:line="580" w:lineRule="exact"/>
        <w:rPr>
          <w:rFonts w:ascii="Times New Roman" w:hAnsi="Times New Roman" w:eastAsia="方正仿宋_GBK" w:cs="Times New Roman"/>
          <w:sz w:val="32"/>
          <w:szCs w:val="32"/>
        </w:rPr>
      </w:pPr>
    </w:p>
    <w:p w14:paraId="299A8324">
      <w:pPr>
        <w:spacing w:line="580" w:lineRule="exact"/>
        <w:rPr>
          <w:rFonts w:ascii="Times New Roman" w:hAnsi="Times New Roman" w:eastAsia="方正仿宋_GBK" w:cs="Times New Roman"/>
          <w:sz w:val="32"/>
          <w:szCs w:val="32"/>
        </w:rPr>
      </w:pPr>
    </w:p>
    <w:p w14:paraId="2C2A656F">
      <w:pPr>
        <w:spacing w:line="580" w:lineRule="exact"/>
        <w:rPr>
          <w:rFonts w:ascii="Times New Roman" w:hAnsi="Times New Roman" w:eastAsia="方正仿宋_GBK" w:cs="Times New Roman"/>
          <w:sz w:val="32"/>
          <w:szCs w:val="32"/>
        </w:rPr>
      </w:pPr>
    </w:p>
    <w:p w14:paraId="4F27783C">
      <w:pPr>
        <w:spacing w:line="580" w:lineRule="exact"/>
        <w:rPr>
          <w:rFonts w:ascii="Times New Roman" w:hAnsi="Times New Roman" w:eastAsia="方正仿宋_GBK" w:cs="Times New Roman"/>
          <w:sz w:val="32"/>
          <w:szCs w:val="32"/>
        </w:rPr>
      </w:pPr>
    </w:p>
    <w:p w14:paraId="33F51C98">
      <w:pPr>
        <w:spacing w:line="580" w:lineRule="exact"/>
        <w:rPr>
          <w:rFonts w:ascii="Times New Roman" w:hAnsi="Times New Roman" w:eastAsia="方正仿宋_GBK" w:cs="Times New Roman"/>
          <w:sz w:val="32"/>
          <w:szCs w:val="32"/>
        </w:rPr>
      </w:pPr>
    </w:p>
    <w:p w14:paraId="4ACB6514">
      <w:pPr>
        <w:spacing w:line="580" w:lineRule="exact"/>
        <w:rPr>
          <w:rFonts w:ascii="Times New Roman" w:hAnsi="Times New Roman" w:eastAsia="方正仿宋_GBK" w:cs="Times New Roman"/>
          <w:sz w:val="32"/>
          <w:szCs w:val="32"/>
        </w:rPr>
      </w:pPr>
    </w:p>
    <w:p w14:paraId="4CAFB8F1">
      <w:pPr>
        <w:spacing w:line="580" w:lineRule="exact"/>
        <w:jc w:val="center"/>
        <w:rPr>
          <w:rFonts w:ascii="Times New Roman" w:hAnsi="Times New Roman" w:eastAsia="方正仿宋_GBK" w:cs="Times New Roman"/>
          <w:sz w:val="32"/>
          <w:szCs w:val="32"/>
        </w:rPr>
      </w:pPr>
      <w:r>
        <w:rPr>
          <w:rFonts w:ascii="Times New Roman" w:hAnsi="Times New Roman" w:eastAsia="方正仿宋_GBK" w:cs="Times New Roman"/>
          <w:sz w:val="32"/>
          <w:szCs w:val="32"/>
        </w:rPr>
        <w:t>农坝府发〔202</w:t>
      </w:r>
      <w:r>
        <w:rPr>
          <w:rFonts w:hint="eastAsia" w:ascii="Times New Roman" w:hAnsi="Times New Roman" w:eastAsia="方正仿宋_GBK" w:cs="Times New Roman"/>
          <w:sz w:val="32"/>
          <w:szCs w:val="32"/>
        </w:rPr>
        <w:t>2</w:t>
      </w:r>
      <w:r>
        <w:rPr>
          <w:rFonts w:ascii="Times New Roman" w:hAnsi="Times New Roman" w:eastAsia="方正仿宋_GBK" w:cs="Times New Roman"/>
          <w:sz w:val="32"/>
          <w:szCs w:val="32"/>
        </w:rPr>
        <w:t>〕</w:t>
      </w:r>
      <w:r>
        <w:rPr>
          <w:rFonts w:hint="eastAsia" w:ascii="Times New Roman" w:hAnsi="Times New Roman" w:eastAsia="方正仿宋_GBK" w:cs="Times New Roman"/>
          <w:sz w:val="32"/>
          <w:szCs w:val="32"/>
        </w:rPr>
        <w:t>48</w:t>
      </w:r>
      <w:r>
        <w:rPr>
          <w:rFonts w:ascii="Times New Roman" w:hAnsi="Times New Roman" w:eastAsia="方正仿宋_GBK" w:cs="Times New Roman"/>
          <w:sz w:val="32"/>
          <w:szCs w:val="32"/>
        </w:rPr>
        <w:t>号</w:t>
      </w:r>
    </w:p>
    <w:p w14:paraId="71E0638F">
      <w:pPr>
        <w:spacing w:line="580" w:lineRule="exact"/>
        <w:jc w:val="center"/>
        <w:rPr>
          <w:rFonts w:ascii="Times New Roman" w:hAnsi="Times New Roman" w:eastAsia="方正仿宋_GBK" w:cs="Times New Roman"/>
          <w:sz w:val="32"/>
          <w:szCs w:val="32"/>
        </w:rPr>
      </w:pPr>
    </w:p>
    <w:p w14:paraId="4ADB73F2">
      <w:pPr>
        <w:spacing w:line="580" w:lineRule="exact"/>
        <w:jc w:val="center"/>
        <w:rPr>
          <w:rFonts w:ascii="Times New Roman" w:hAnsi="Times New Roman" w:eastAsia="方正仿宋_GBK" w:cs="Times New Roman"/>
          <w:sz w:val="32"/>
          <w:szCs w:val="32"/>
        </w:rPr>
      </w:pPr>
    </w:p>
    <w:p w14:paraId="528E2320">
      <w:pPr>
        <w:spacing w:line="720" w:lineRule="exact"/>
        <w:jc w:val="center"/>
        <w:rPr>
          <w:rFonts w:ascii="方正小标宋_GBK" w:hAnsi="方正小标宋_GBK" w:eastAsia="方正小标宋_GBK" w:cs="方正小标宋_GBK"/>
          <w:sz w:val="44"/>
          <w:szCs w:val="44"/>
        </w:rPr>
      </w:pPr>
      <w:bookmarkStart w:id="0" w:name="_Hlk50396340"/>
      <w:r>
        <w:rPr>
          <w:rFonts w:hint="eastAsia" w:ascii="方正小标宋_GBK" w:hAnsi="方正小标宋_GBK" w:eastAsia="方正小标宋_GBK" w:cs="方正小标宋_GBK"/>
          <w:sz w:val="44"/>
          <w:szCs w:val="44"/>
        </w:rPr>
        <w:t>农坝镇人民政府</w:t>
      </w:r>
    </w:p>
    <w:bookmarkEnd w:id="0"/>
    <w:p w14:paraId="6761D780">
      <w:pPr>
        <w:spacing w:line="720" w:lineRule="exact"/>
        <w:contextualSpacing/>
        <w:jc w:val="center"/>
        <w:rPr>
          <w:rFonts w:ascii="Times New Roman" w:hAnsi="Times New Roman" w:eastAsia="方正小标宋_GBK"/>
          <w:color w:val="000000"/>
          <w:sz w:val="44"/>
          <w:szCs w:val="44"/>
        </w:rPr>
      </w:pPr>
      <w:r>
        <w:rPr>
          <w:rFonts w:hint="eastAsia" w:ascii="Times New Roman" w:hAnsi="Times New Roman" w:eastAsia="方正小标宋_GBK"/>
          <w:color w:val="000000"/>
          <w:sz w:val="44"/>
          <w:szCs w:val="44"/>
        </w:rPr>
        <w:t>关于开展两三轮摩托车和二三四轮电动车突出交通违法行为集中攻坚整治行动的通知</w:t>
      </w:r>
    </w:p>
    <w:p w14:paraId="1D4277D1">
      <w:pPr>
        <w:spacing w:line="578" w:lineRule="exact"/>
        <w:ind w:firstLine="420" w:firstLineChars="200"/>
        <w:rPr>
          <w:rFonts w:ascii="方正仿宋_GBK" w:hAnsi="Times New Roman" w:eastAsia="方正仿宋_GBK"/>
          <w:color w:val="000000"/>
          <w:szCs w:val="32"/>
        </w:rPr>
      </w:pPr>
    </w:p>
    <w:p w14:paraId="4EC70DBD">
      <w:pPr>
        <w:spacing w:line="578" w:lineRule="exact"/>
        <w:rPr>
          <w:rFonts w:ascii="Times New Roman" w:hAnsi="Times New Roman" w:eastAsia="方正仿宋_GBK" w:cs="Times New Roman"/>
          <w:sz w:val="32"/>
          <w:szCs w:val="32"/>
        </w:rPr>
      </w:pPr>
      <w:r>
        <w:rPr>
          <w:rFonts w:ascii="Times New Roman" w:hAnsi="Times New Roman" w:eastAsia="方正仿宋_GBK" w:cs="Times New Roman"/>
          <w:sz w:val="32"/>
          <w:szCs w:val="32"/>
        </w:rPr>
        <w:t>各村（社区），镇属各单位，机关各室（所、站、中心、大队）：</w:t>
      </w:r>
    </w:p>
    <w:p w14:paraId="1E6A1EDD">
      <w:pPr>
        <w:widowControl/>
        <w:shd w:val="clear" w:color="auto" w:fill="FFFFFF"/>
        <w:autoSpaceDE w:val="0"/>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为进一步规范我镇摩托车、电动车行停秩序，降低摩托车、电动车交通事故风险，切实提升我镇交通出行环境和城市品质形象，按照《云阳县道路交通安全办公室关于开展两三轮摩托车和二三四轮电动车突出交通违法行为集中攻坚整治行动的通知》（云道安办〔2022〕59号）要求，从即日起，在全镇范围内开展为期5个月的两三轮摩托车和二三四轮电动车突出交通违法行为集中攻坚整治行动，特制定本方案。</w:t>
      </w:r>
    </w:p>
    <w:p w14:paraId="6FD55652">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一、整治时间</w:t>
      </w:r>
    </w:p>
    <w:p w14:paraId="32E33719">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2022年10月15日至2023年3月31日。</w:t>
      </w:r>
    </w:p>
    <w:p w14:paraId="0BF1A6B1">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二、组织领导</w:t>
      </w:r>
    </w:p>
    <w:p w14:paraId="4ADE105F">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成立全镇攻坚行动领导小组，由镇长余游海同志任组长，安全生产分管领导胡开林同志、农坝派出所所长赵浩深同志任副组长，领导小组下设办公室在镇道安办（简称整治办），由胡开林同志兼任办公室主任，负责攻坚行动方案制定、统筹协调、组织指挥、督导检查等工作。</w:t>
      </w:r>
    </w:p>
    <w:p w14:paraId="030C40EA">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三、整治内容</w:t>
      </w:r>
    </w:p>
    <w:p w14:paraId="00CF8A6C">
      <w:pPr>
        <w:spacing w:line="578" w:lineRule="exact"/>
        <w:ind w:firstLine="640" w:firstLineChars="200"/>
        <w:rPr>
          <w:rFonts w:ascii="Times New Roman" w:hAnsi="Times New Roman" w:eastAsia="方正仿宋_GBK" w:cs="Times New Roman"/>
          <w:sz w:val="32"/>
          <w:szCs w:val="32"/>
        </w:rPr>
      </w:pPr>
      <w:r>
        <w:rPr>
          <w:rFonts w:ascii="Times New Roman" w:hAnsi="方正楷体_GBK" w:eastAsia="方正楷体_GBK" w:cs="Times New Roman"/>
          <w:sz w:val="32"/>
          <w:szCs w:val="32"/>
        </w:rPr>
        <w:t>（一）重点车型：</w:t>
      </w:r>
      <w:r>
        <w:rPr>
          <w:rFonts w:ascii="Times New Roman" w:hAnsi="Times New Roman" w:eastAsia="方正仿宋_GBK" w:cs="Times New Roman"/>
          <w:sz w:val="32"/>
          <w:szCs w:val="32"/>
        </w:rPr>
        <w:t>两、三轮摩托车以及二三四轮电动车 。</w:t>
      </w:r>
    </w:p>
    <w:p w14:paraId="17D6B710">
      <w:pPr>
        <w:spacing w:line="578" w:lineRule="exact"/>
        <w:ind w:firstLine="640" w:firstLineChars="200"/>
        <w:rPr>
          <w:rFonts w:ascii="Times New Roman" w:hAnsi="Times New Roman" w:eastAsia="方正仿宋_GBK" w:cs="Times New Roman"/>
          <w:sz w:val="32"/>
          <w:szCs w:val="32"/>
        </w:rPr>
      </w:pPr>
      <w:r>
        <w:rPr>
          <w:rFonts w:ascii="Times New Roman" w:hAnsi="方正楷体_GBK" w:eastAsia="方正楷体_GBK" w:cs="Times New Roman"/>
          <w:sz w:val="32"/>
          <w:szCs w:val="32"/>
        </w:rPr>
        <w:t>（二）重点违法：</w:t>
      </w:r>
      <w:r>
        <w:rPr>
          <w:rFonts w:ascii="Times New Roman" w:hAnsi="Times New Roman" w:eastAsia="方正仿宋_GBK" w:cs="Times New Roman"/>
          <w:sz w:val="32"/>
          <w:szCs w:val="32"/>
        </w:rPr>
        <w:t>摩托车电动车涉牌涉证、飙车炸街、酒驾醉驾、不佩戴安全头盔、超员、飙车、噪音扰民、乱停、违规加装遮阳伞或雨棚、电动车违规载人等突出违法行为。</w:t>
      </w:r>
    </w:p>
    <w:p w14:paraId="03AFF65B">
      <w:pPr>
        <w:spacing w:line="578" w:lineRule="exact"/>
        <w:ind w:firstLine="640" w:firstLineChars="200"/>
        <w:rPr>
          <w:rFonts w:ascii="Times New Roman" w:hAnsi="Times New Roman" w:eastAsia="方正黑体_GBK" w:cs="Times New Roman"/>
          <w:sz w:val="32"/>
          <w:szCs w:val="32"/>
        </w:rPr>
      </w:pPr>
      <w:r>
        <w:rPr>
          <w:rFonts w:ascii="Times New Roman" w:hAnsi="方正楷体_GBK" w:eastAsia="方正楷体_GBK" w:cs="Times New Roman"/>
          <w:sz w:val="32"/>
          <w:szCs w:val="32"/>
        </w:rPr>
        <w:t>（三）重点路段：</w:t>
      </w:r>
      <w:r>
        <w:rPr>
          <w:rFonts w:ascii="Times New Roman" w:hAnsi="Times New Roman" w:eastAsia="方正仿宋_GBK" w:cs="Times New Roman"/>
          <w:sz w:val="32"/>
          <w:szCs w:val="32"/>
        </w:rPr>
        <w:t>场镇道路。</w:t>
      </w:r>
    </w:p>
    <w:p w14:paraId="357EA920">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四、工作目标</w:t>
      </w:r>
    </w:p>
    <w:p w14:paraId="0AF98A4C">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通过开展突出交通违法集中攻坚整治行动，力争实现</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六个一批</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和</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两减少一下降一提升</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工作目标（即：督促一批无牌车辆上牌，监督一批车辆购买保险，纠正一批摩托车电动车违规加装遮阳伞违规行为，规范设置一批摩托车电动车停车位，查处教育一批车主和驾驶人，暂扣、报废一批违法车辆；二三轮摩托车和二三四轮电动车违法违规行为明显减少，摩托车</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飙车炸街</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、噪声扰民警情舆情明显减少，涉摩涉电交通事故明显下降，守法率明显提升。</w:t>
      </w:r>
    </w:p>
    <w:p w14:paraId="3BFC014E">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五、工作步骤</w:t>
      </w:r>
    </w:p>
    <w:p w14:paraId="6A2365BD">
      <w:pPr>
        <w:tabs>
          <w:tab w:val="left" w:pos="201"/>
        </w:tabs>
        <w:spacing w:line="578" w:lineRule="exact"/>
        <w:ind w:firstLine="640" w:firstLineChars="200"/>
        <w:rPr>
          <w:rFonts w:hint="eastAsia" w:ascii="Times New Roman" w:hAnsi="方正楷体_GBK" w:eastAsia="方正楷体_GBK" w:cs="Times New Roman"/>
          <w:color w:val="000000"/>
          <w:sz w:val="32"/>
          <w:szCs w:val="32"/>
        </w:rPr>
      </w:pPr>
      <w:r>
        <w:rPr>
          <w:rFonts w:ascii="Times New Roman" w:hAnsi="方正楷体_GBK" w:eastAsia="方正楷体_GBK" w:cs="Times New Roman"/>
          <w:color w:val="000000"/>
          <w:sz w:val="32"/>
          <w:szCs w:val="32"/>
        </w:rPr>
        <w:t>（一）调查摸底阶段（即日起至</w:t>
      </w:r>
      <w:r>
        <w:rPr>
          <w:rFonts w:ascii="Times New Roman" w:hAnsi="Times New Roman" w:eastAsia="方正楷体_GBK" w:cs="Times New Roman"/>
          <w:color w:val="000000"/>
          <w:sz w:val="32"/>
          <w:szCs w:val="32"/>
        </w:rPr>
        <w:t>11</w:t>
      </w:r>
      <w:r>
        <w:rPr>
          <w:rFonts w:ascii="Times New Roman" w:hAnsi="方正楷体_GBK" w:eastAsia="方正楷体_GBK" w:cs="Times New Roman"/>
          <w:color w:val="000000"/>
          <w:sz w:val="32"/>
          <w:szCs w:val="32"/>
        </w:rPr>
        <w:t>月</w:t>
      </w:r>
      <w:r>
        <w:rPr>
          <w:rFonts w:ascii="Times New Roman" w:hAnsi="Times New Roman" w:eastAsia="方正楷体_GBK" w:cs="Times New Roman"/>
          <w:color w:val="000000"/>
          <w:sz w:val="32"/>
          <w:szCs w:val="32"/>
        </w:rPr>
        <w:t>30</w:t>
      </w:r>
      <w:r>
        <w:rPr>
          <w:rFonts w:ascii="Times New Roman" w:hAnsi="方正楷体_GBK" w:eastAsia="方正楷体_GBK" w:cs="Times New Roman"/>
          <w:color w:val="000000"/>
          <w:sz w:val="32"/>
          <w:szCs w:val="32"/>
        </w:rPr>
        <w:t>日）</w:t>
      </w:r>
    </w:p>
    <w:p w14:paraId="4DCBD9BB">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全面收集二三轮摩托车以及二三四轮电动车底数。</w:t>
      </w:r>
    </w:p>
    <w:p w14:paraId="4E53FB61">
      <w:pPr>
        <w:tabs>
          <w:tab w:val="left" w:pos="201"/>
        </w:tabs>
        <w:spacing w:line="578" w:lineRule="exact"/>
        <w:ind w:firstLine="640" w:firstLineChars="200"/>
        <w:rPr>
          <w:rFonts w:hint="eastAsia" w:ascii="Times New Roman" w:hAnsi="方正楷体_GBK" w:eastAsia="方正楷体_GBK" w:cs="Times New Roman"/>
          <w:color w:val="000000"/>
          <w:sz w:val="32"/>
          <w:szCs w:val="32"/>
        </w:rPr>
      </w:pPr>
      <w:r>
        <w:rPr>
          <w:rFonts w:ascii="Times New Roman" w:hAnsi="方正楷体_GBK" w:eastAsia="方正楷体_GBK" w:cs="Times New Roman"/>
          <w:color w:val="000000"/>
          <w:sz w:val="32"/>
          <w:szCs w:val="32"/>
        </w:rPr>
        <w:t>（二）宣传动员阶段（即日起至</w:t>
      </w:r>
      <w:r>
        <w:rPr>
          <w:rFonts w:ascii="Times New Roman" w:hAnsi="Times New Roman" w:eastAsia="方正楷体_GBK" w:cs="Times New Roman"/>
          <w:color w:val="000000"/>
          <w:sz w:val="32"/>
          <w:szCs w:val="32"/>
        </w:rPr>
        <w:t>11</w:t>
      </w:r>
      <w:r>
        <w:rPr>
          <w:rFonts w:ascii="Times New Roman" w:hAnsi="方正楷体_GBK" w:eastAsia="方正楷体_GBK" w:cs="Times New Roman"/>
          <w:color w:val="000000"/>
          <w:sz w:val="32"/>
          <w:szCs w:val="32"/>
        </w:rPr>
        <w:t>月</w:t>
      </w:r>
      <w:r>
        <w:rPr>
          <w:rFonts w:ascii="Times New Roman" w:hAnsi="Times New Roman" w:eastAsia="方正楷体_GBK" w:cs="Times New Roman"/>
          <w:color w:val="000000"/>
          <w:sz w:val="32"/>
          <w:szCs w:val="32"/>
        </w:rPr>
        <w:t>30</w:t>
      </w:r>
      <w:r>
        <w:rPr>
          <w:rFonts w:ascii="Times New Roman" w:hAnsi="方正楷体_GBK" w:eastAsia="方正楷体_GBK" w:cs="Times New Roman"/>
          <w:color w:val="000000"/>
          <w:sz w:val="32"/>
          <w:szCs w:val="32"/>
        </w:rPr>
        <w:t>日）</w:t>
      </w:r>
    </w:p>
    <w:p w14:paraId="0B72B8AA">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采取形式多样的宣传方式，形成铺天盖地宣传氛围，为集中攻坚整治行动营造良好的舆论氛围。</w:t>
      </w:r>
    </w:p>
    <w:p w14:paraId="373956C6">
      <w:pPr>
        <w:tabs>
          <w:tab w:val="left" w:pos="201"/>
        </w:tabs>
        <w:spacing w:line="578" w:lineRule="exact"/>
        <w:ind w:firstLine="640" w:firstLineChars="200"/>
        <w:rPr>
          <w:rFonts w:hint="eastAsia" w:ascii="Times New Roman" w:hAnsi="方正楷体_GBK" w:eastAsia="方正楷体_GBK" w:cs="Times New Roman"/>
          <w:color w:val="000000"/>
          <w:sz w:val="32"/>
          <w:szCs w:val="32"/>
        </w:rPr>
      </w:pPr>
      <w:r>
        <w:rPr>
          <w:rFonts w:ascii="Times New Roman" w:hAnsi="方正楷体_GBK" w:eastAsia="方正楷体_GBK" w:cs="Times New Roman"/>
          <w:color w:val="000000"/>
          <w:sz w:val="32"/>
          <w:szCs w:val="32"/>
        </w:rPr>
        <w:t>（三）执法整治阶段（</w:t>
      </w:r>
      <w:r>
        <w:rPr>
          <w:rFonts w:ascii="Times New Roman" w:hAnsi="Times New Roman" w:eastAsia="方正楷体_GBK" w:cs="Times New Roman"/>
          <w:color w:val="000000"/>
          <w:sz w:val="32"/>
          <w:szCs w:val="32"/>
        </w:rPr>
        <w:t>2022</w:t>
      </w:r>
      <w:r>
        <w:rPr>
          <w:rFonts w:ascii="Times New Roman" w:hAnsi="方正楷体_GBK" w:eastAsia="方正楷体_GBK" w:cs="Times New Roman"/>
          <w:color w:val="000000"/>
          <w:sz w:val="32"/>
          <w:szCs w:val="32"/>
        </w:rPr>
        <w:t>年</w:t>
      </w:r>
      <w:r>
        <w:rPr>
          <w:rFonts w:ascii="Times New Roman" w:hAnsi="Times New Roman" w:eastAsia="方正楷体_GBK" w:cs="Times New Roman"/>
          <w:color w:val="000000"/>
          <w:sz w:val="32"/>
          <w:szCs w:val="32"/>
        </w:rPr>
        <w:t>11</w:t>
      </w:r>
      <w:r>
        <w:rPr>
          <w:rFonts w:ascii="Times New Roman" w:hAnsi="方正楷体_GBK" w:eastAsia="方正楷体_GBK" w:cs="Times New Roman"/>
          <w:color w:val="000000"/>
          <w:sz w:val="32"/>
          <w:szCs w:val="32"/>
        </w:rPr>
        <w:t>月</w:t>
      </w:r>
      <w:r>
        <w:rPr>
          <w:rFonts w:ascii="Times New Roman" w:hAnsi="Times New Roman" w:eastAsia="方正楷体_GBK" w:cs="Times New Roman"/>
          <w:color w:val="000000"/>
          <w:sz w:val="32"/>
          <w:szCs w:val="32"/>
        </w:rPr>
        <w:t>1</w:t>
      </w:r>
      <w:r>
        <w:rPr>
          <w:rFonts w:ascii="Times New Roman" w:hAnsi="方正楷体_GBK" w:eastAsia="方正楷体_GBK" w:cs="Times New Roman"/>
          <w:color w:val="000000"/>
          <w:sz w:val="32"/>
          <w:szCs w:val="32"/>
        </w:rPr>
        <w:t>日至</w:t>
      </w:r>
      <w:r>
        <w:rPr>
          <w:rFonts w:ascii="Times New Roman" w:hAnsi="Times New Roman" w:eastAsia="方正楷体_GBK" w:cs="Times New Roman"/>
          <w:color w:val="000000"/>
          <w:sz w:val="32"/>
          <w:szCs w:val="32"/>
        </w:rPr>
        <w:t>2023</w:t>
      </w:r>
      <w:r>
        <w:rPr>
          <w:rFonts w:ascii="Times New Roman" w:hAnsi="方正楷体_GBK" w:eastAsia="方正楷体_GBK" w:cs="Times New Roman"/>
          <w:color w:val="000000"/>
          <w:sz w:val="32"/>
          <w:szCs w:val="32"/>
        </w:rPr>
        <w:t>年</w:t>
      </w:r>
      <w:r>
        <w:rPr>
          <w:rFonts w:ascii="Times New Roman" w:hAnsi="Times New Roman" w:eastAsia="方正楷体_GBK" w:cs="Times New Roman"/>
          <w:color w:val="000000"/>
          <w:sz w:val="32"/>
          <w:szCs w:val="32"/>
        </w:rPr>
        <w:t>2</w:t>
      </w:r>
      <w:r>
        <w:rPr>
          <w:rFonts w:ascii="Times New Roman" w:hAnsi="方正楷体_GBK" w:eastAsia="方正楷体_GBK" w:cs="Times New Roman"/>
          <w:color w:val="000000"/>
          <w:sz w:val="32"/>
          <w:szCs w:val="32"/>
        </w:rPr>
        <w:t>月底）</w:t>
      </w:r>
    </w:p>
    <w:p w14:paraId="1474E4C8">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对摩托车电动车各类违法违规行为，采取警告、教育学习、罚款处罚、拖移暂扣车辆、强制报废手段，综合施策，全力提升守法率，规范通行秩序。</w:t>
      </w:r>
    </w:p>
    <w:p w14:paraId="09C96B5C">
      <w:pPr>
        <w:tabs>
          <w:tab w:val="left" w:pos="201"/>
        </w:tabs>
        <w:spacing w:line="578" w:lineRule="exact"/>
        <w:ind w:firstLine="640" w:firstLineChars="200"/>
        <w:rPr>
          <w:rFonts w:hint="eastAsia" w:ascii="Times New Roman" w:hAnsi="方正楷体_GBK" w:eastAsia="方正楷体_GBK" w:cs="Times New Roman"/>
          <w:color w:val="000000"/>
          <w:sz w:val="32"/>
          <w:szCs w:val="32"/>
        </w:rPr>
      </w:pPr>
      <w:r>
        <w:rPr>
          <w:rFonts w:ascii="Times New Roman" w:hAnsi="方正楷体_GBK" w:eastAsia="方正楷体_GBK" w:cs="Times New Roman"/>
          <w:color w:val="000000"/>
          <w:sz w:val="32"/>
          <w:szCs w:val="32"/>
        </w:rPr>
        <w:t>（四）总结提升阶段（</w:t>
      </w:r>
      <w:r>
        <w:rPr>
          <w:rFonts w:ascii="Times New Roman" w:hAnsi="Times New Roman" w:eastAsia="方正楷体_GBK" w:cs="Times New Roman"/>
          <w:color w:val="000000"/>
          <w:sz w:val="32"/>
          <w:szCs w:val="32"/>
        </w:rPr>
        <w:t>2023</w:t>
      </w:r>
      <w:r>
        <w:rPr>
          <w:rFonts w:ascii="Times New Roman" w:hAnsi="方正楷体_GBK" w:eastAsia="方正楷体_GBK" w:cs="Times New Roman"/>
          <w:color w:val="000000"/>
          <w:sz w:val="32"/>
          <w:szCs w:val="32"/>
        </w:rPr>
        <w:t>年</w:t>
      </w:r>
      <w:r>
        <w:rPr>
          <w:rFonts w:ascii="Times New Roman" w:hAnsi="Times New Roman" w:eastAsia="方正楷体_GBK" w:cs="Times New Roman"/>
          <w:color w:val="000000"/>
          <w:sz w:val="32"/>
          <w:szCs w:val="32"/>
        </w:rPr>
        <w:t>3</w:t>
      </w:r>
      <w:r>
        <w:rPr>
          <w:rFonts w:ascii="Times New Roman" w:hAnsi="方正楷体_GBK" w:eastAsia="方正楷体_GBK" w:cs="Times New Roman"/>
          <w:color w:val="000000"/>
          <w:sz w:val="32"/>
          <w:szCs w:val="32"/>
        </w:rPr>
        <w:t>月</w:t>
      </w:r>
      <w:r>
        <w:rPr>
          <w:rFonts w:ascii="Times New Roman" w:hAnsi="Times New Roman" w:eastAsia="方正楷体_GBK" w:cs="Times New Roman"/>
          <w:color w:val="000000"/>
          <w:sz w:val="32"/>
          <w:szCs w:val="32"/>
        </w:rPr>
        <w:t>1</w:t>
      </w:r>
      <w:r>
        <w:rPr>
          <w:rFonts w:ascii="Times New Roman" w:hAnsi="方正楷体_GBK" w:eastAsia="方正楷体_GBK" w:cs="Times New Roman"/>
          <w:color w:val="000000"/>
          <w:sz w:val="32"/>
          <w:szCs w:val="32"/>
        </w:rPr>
        <w:t>日至</w:t>
      </w:r>
      <w:r>
        <w:rPr>
          <w:rFonts w:ascii="Times New Roman" w:hAnsi="Times New Roman" w:eastAsia="方正楷体_GBK" w:cs="Times New Roman"/>
          <w:color w:val="000000"/>
          <w:sz w:val="32"/>
          <w:szCs w:val="32"/>
        </w:rPr>
        <w:t>3</w:t>
      </w:r>
      <w:r>
        <w:rPr>
          <w:rFonts w:ascii="Times New Roman" w:hAnsi="方正楷体_GBK" w:eastAsia="方正楷体_GBK" w:cs="Times New Roman"/>
          <w:color w:val="000000"/>
          <w:sz w:val="32"/>
          <w:szCs w:val="32"/>
        </w:rPr>
        <w:t>月</w:t>
      </w:r>
      <w:r>
        <w:rPr>
          <w:rFonts w:ascii="Times New Roman" w:hAnsi="Times New Roman" w:eastAsia="方正楷体_GBK" w:cs="Times New Roman"/>
          <w:color w:val="000000"/>
          <w:sz w:val="32"/>
          <w:szCs w:val="32"/>
        </w:rPr>
        <w:t>31</w:t>
      </w:r>
      <w:r>
        <w:rPr>
          <w:rFonts w:ascii="Times New Roman" w:hAnsi="方正楷体_GBK" w:eastAsia="方正楷体_GBK" w:cs="Times New Roman"/>
          <w:color w:val="000000"/>
          <w:sz w:val="32"/>
          <w:szCs w:val="32"/>
        </w:rPr>
        <w:t>日）</w:t>
      </w:r>
    </w:p>
    <w:p w14:paraId="4F137139">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总结经验，不断完善整治措施，固化机制，长效常治。</w:t>
      </w:r>
    </w:p>
    <w:p w14:paraId="225D07B4">
      <w:pPr>
        <w:spacing w:line="578" w:lineRule="exact"/>
        <w:ind w:firstLine="640" w:firstLineChars="200"/>
        <w:rPr>
          <w:rFonts w:ascii="Times New Roman" w:hAnsi="Times New Roman" w:eastAsia="方正黑体_GBK" w:cs="Times New Roman"/>
          <w:sz w:val="32"/>
          <w:szCs w:val="32"/>
        </w:rPr>
      </w:pPr>
      <w:r>
        <w:rPr>
          <w:rFonts w:ascii="Times New Roman" w:hAnsi="Times New Roman" w:eastAsia="方正黑体_GBK" w:cs="Times New Roman"/>
          <w:sz w:val="32"/>
          <w:szCs w:val="32"/>
        </w:rPr>
        <w:t>六、工作措施</w:t>
      </w:r>
    </w:p>
    <w:p w14:paraId="15F1E079">
      <w:pPr>
        <w:tabs>
          <w:tab w:val="left" w:pos="201"/>
        </w:tabs>
        <w:spacing w:line="578" w:lineRule="exact"/>
        <w:ind w:firstLine="640" w:firstLineChars="200"/>
        <w:rPr>
          <w:rFonts w:ascii="Times New Roman" w:hAnsi="Times New Roman" w:eastAsia="方正楷体_GBK" w:cs="Times New Roman"/>
          <w:color w:val="000000"/>
          <w:sz w:val="32"/>
          <w:szCs w:val="32"/>
        </w:rPr>
      </w:pPr>
      <w:r>
        <w:rPr>
          <w:rFonts w:ascii="Times New Roman" w:hAnsi="方正楷体_GBK" w:eastAsia="方正楷体_GBK" w:cs="Times New Roman"/>
          <w:color w:val="000000"/>
          <w:sz w:val="32"/>
          <w:szCs w:val="32"/>
        </w:rPr>
        <w:t>（一）调查摸底，建立台账</w:t>
      </w:r>
    </w:p>
    <w:p w14:paraId="31D3AA9F">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themeColor="text1"/>
          <w:sz w:val="32"/>
          <w:szCs w:val="32"/>
        </w:rPr>
        <w:t>对管辖范围内无号牌的二三四轮电动车的基本情况（含车主或者驾驶人姓名、住址、身份证号码、电话等）</w:t>
      </w:r>
      <w:r>
        <w:rPr>
          <w:rFonts w:ascii="Times New Roman" w:hAnsi="Times New Roman" w:eastAsia="方正仿宋_GBK" w:cs="Times New Roman"/>
          <w:color w:val="000000"/>
          <w:sz w:val="32"/>
          <w:szCs w:val="32"/>
        </w:rPr>
        <w:t>逐一进行调查摸底，建立基础工作台账，做到情况清、底数明，并逐车逐人签订安全出行守法承诺书；排查辖区电动车销售企业，督促企业做好销售登记，并每月向镇道安办报送，并建好工作台账。</w:t>
      </w:r>
    </w:p>
    <w:p w14:paraId="6F1D9A49">
      <w:pPr>
        <w:tabs>
          <w:tab w:val="left" w:pos="201"/>
        </w:tabs>
        <w:spacing w:line="578" w:lineRule="exact"/>
        <w:ind w:firstLine="640" w:firstLineChars="200"/>
        <w:rPr>
          <w:rFonts w:ascii="Times New Roman" w:hAnsi="Times New Roman" w:eastAsia="方正楷体_GBK" w:cs="Times New Roman"/>
          <w:color w:val="000000"/>
          <w:sz w:val="32"/>
          <w:szCs w:val="32"/>
        </w:rPr>
      </w:pPr>
      <w:r>
        <w:rPr>
          <w:rFonts w:ascii="Times New Roman" w:hAnsi="方正楷体_GBK" w:eastAsia="方正楷体_GBK" w:cs="Times New Roman"/>
          <w:color w:val="000000"/>
          <w:sz w:val="32"/>
          <w:szCs w:val="32"/>
        </w:rPr>
        <w:t>（二）宣传动员，营造氛围</w:t>
      </w:r>
    </w:p>
    <w:p w14:paraId="3568B1DA">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宣传主题：</w:t>
      </w:r>
      <w:r>
        <w:rPr>
          <w:rFonts w:ascii="Times New Roman" w:hAnsi="Times New Roman" w:eastAsia="方正仿宋_GBK" w:cs="Times New Roman"/>
          <w:bCs/>
          <w:color w:val="000000"/>
          <w:sz w:val="32"/>
          <w:szCs w:val="32"/>
        </w:rPr>
        <w:t>二轮电动车：</w:t>
      </w:r>
      <w:r>
        <w:rPr>
          <w:rFonts w:ascii="Times New Roman" w:hAnsi="Times New Roman" w:eastAsia="方正仿宋_GBK" w:cs="Times New Roman"/>
          <w:color w:val="000000"/>
          <w:sz w:val="32"/>
          <w:szCs w:val="32"/>
        </w:rPr>
        <w:t>戴头盔、限一人、有保险、靠右行、不打伞、不乱停</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bCs/>
          <w:color w:val="000000"/>
          <w:sz w:val="32"/>
          <w:szCs w:val="32"/>
        </w:rPr>
        <w:t>三轮电动车：</w:t>
      </w:r>
      <w:r>
        <w:rPr>
          <w:rFonts w:ascii="Times New Roman" w:hAnsi="Times New Roman" w:eastAsia="方正仿宋_GBK" w:cs="Times New Roman"/>
          <w:color w:val="000000"/>
          <w:sz w:val="32"/>
          <w:szCs w:val="32"/>
        </w:rPr>
        <w:t>戴头盔、限一人、有保险、靠右行、不乱停、不加装雨棚</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bCs/>
          <w:color w:val="000000"/>
          <w:sz w:val="32"/>
          <w:szCs w:val="32"/>
        </w:rPr>
        <w:t>四轮电动车：</w:t>
      </w:r>
      <w:r>
        <w:rPr>
          <w:rFonts w:ascii="Times New Roman" w:hAnsi="Times New Roman" w:eastAsia="方正仿宋_GBK" w:cs="Times New Roman"/>
          <w:color w:val="000000"/>
          <w:sz w:val="32"/>
          <w:szCs w:val="32"/>
        </w:rPr>
        <w:t>限一人、有保险、靠右行、不乱停</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bCs/>
          <w:color w:val="000000"/>
          <w:sz w:val="32"/>
          <w:szCs w:val="32"/>
        </w:rPr>
        <w:t>二轮摩托车：</w:t>
      </w:r>
      <w:r>
        <w:rPr>
          <w:rFonts w:ascii="Times New Roman" w:hAnsi="Times New Roman" w:eastAsia="方正仿宋_GBK" w:cs="Times New Roman"/>
          <w:color w:val="000000"/>
          <w:sz w:val="32"/>
          <w:szCs w:val="32"/>
        </w:rPr>
        <w:t>戴头盔、不超员、有保险、靠右行</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bCs/>
          <w:color w:val="000000"/>
          <w:sz w:val="32"/>
          <w:szCs w:val="32"/>
        </w:rPr>
        <w:t>三轮摩托车：</w:t>
      </w:r>
      <w:r>
        <w:rPr>
          <w:rFonts w:ascii="Times New Roman" w:hAnsi="Times New Roman" w:eastAsia="方正仿宋_GBK" w:cs="Times New Roman"/>
          <w:color w:val="000000"/>
          <w:sz w:val="32"/>
          <w:szCs w:val="32"/>
        </w:rPr>
        <w:t>戴头盔、限一人、有保险、靠右行。</w:t>
      </w:r>
    </w:p>
    <w:p w14:paraId="3D8F2E4F">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具体措施：围绕宣传主题制作并悬挂5条以上宣传横幅标语，在辖区主干道、人口较为集中的村社进行悬挂；每月至少组织召开1次辖区摩托车、电动车车主或驾驶人交通安全工作例会，通报辖区交通安全形势，讲清说明摩托车、电动车违规载人、超速、无牌无证等违法危害以及处罚后果；充分借助赶集日，在人口较多、车辆停放较为集中的区域设置宣传点，向群众、驾驶人散发宣传资料，引导群众共同抵制，形成社会共治的氛围。</w:t>
      </w:r>
    </w:p>
    <w:p w14:paraId="44DCA5DF">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楷体_GBK" w:cs="Times New Roman"/>
          <w:color w:val="000000" w:themeColor="text1"/>
          <w:sz w:val="32"/>
          <w:szCs w:val="32"/>
        </w:rPr>
        <w:t>（三）强力开展执法整治，规范车辆通行秩序</w:t>
      </w:r>
    </w:p>
    <w:p w14:paraId="12483515">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强化研判，精准勤务安排。镇道安办要结合辖区实际，摸清辖区电动车出行规律，合理安排路面勤务，明确集中攻坚整治行动的重点时间、重点路段、重点违法行为。</w:t>
      </w:r>
    </w:p>
    <w:p w14:paraId="63063F37">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2.</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紧盯关键节点，加强路面管控。一是精准安排重点时段勤务。江口公巡中队、镇道安办、农坝派出所针对学生集中上放学时段，突出显性用警，加强秩序维护力量，重点在15时—17时，在摩托车、电动车必经的行驶线路上设置管控点，对违法行为进行查处劝导，镇道安办、江口公巡中队每周开展1—2次早查、夜查；二是强化农村道路管控。江口公巡中队、镇道安办针对赶集日、农村红白喜事、季节变换群众外出劳作、节假日郊游旅游踏青访友等重点时段，要弹性安排勤务，每周开展2至3次集中检查。镇（街道）道安办每周星期五下午</w:t>
      </w:r>
      <w:r>
        <w:rPr>
          <w:rFonts w:hint="eastAsia" w:ascii="Times New Roman" w:hAnsi="Times New Roman" w:eastAsia="方正仿宋_GBK" w:cs="Times New Roman"/>
          <w:color w:val="000000"/>
          <w:sz w:val="32"/>
          <w:szCs w:val="32"/>
          <w:lang w:val="en-US" w:eastAsia="zh-CN"/>
        </w:rPr>
        <w:t>5</w:t>
      </w:r>
      <w:bookmarkStart w:id="1" w:name="_GoBack"/>
      <w:bookmarkEnd w:id="1"/>
      <w:r>
        <w:rPr>
          <w:rFonts w:ascii="Times New Roman" w:hAnsi="Times New Roman" w:eastAsia="方正仿宋_GBK" w:cs="Times New Roman"/>
          <w:color w:val="000000"/>
          <w:sz w:val="32"/>
          <w:szCs w:val="32"/>
        </w:rPr>
        <w:t>时前，向</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整治办</w:t>
      </w:r>
      <w:r>
        <w:rPr>
          <w:rFonts w:hint="eastAsia" w:ascii="Times New Roman" w:hAnsi="Times New Roman" w:eastAsia="方正仿宋_GBK" w:cs="Times New Roman"/>
          <w:color w:val="000000"/>
          <w:sz w:val="32"/>
          <w:szCs w:val="32"/>
        </w:rPr>
        <w:t>”</w:t>
      </w:r>
      <w:r>
        <w:rPr>
          <w:rFonts w:ascii="Times New Roman" w:hAnsi="Times New Roman" w:eastAsia="方正仿宋_GBK" w:cs="Times New Roman"/>
          <w:color w:val="000000"/>
          <w:sz w:val="32"/>
          <w:szCs w:val="32"/>
        </w:rPr>
        <w:t>报送下周勤务。</w:t>
      </w:r>
    </w:p>
    <w:p w14:paraId="5827AD05">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3.</w:t>
      </w:r>
      <w:r>
        <w:rPr>
          <w:rFonts w:hint="eastAsia" w:ascii="Times New Roman" w:hAnsi="Times New Roman" w:eastAsia="方正仿宋_GBK" w:cs="Times New Roman"/>
          <w:color w:val="000000"/>
          <w:sz w:val="32"/>
          <w:szCs w:val="32"/>
        </w:rPr>
        <w:t xml:space="preserve"> </w:t>
      </w:r>
      <w:r>
        <w:rPr>
          <w:rFonts w:ascii="Times New Roman" w:hAnsi="Times New Roman" w:eastAsia="方正仿宋_GBK" w:cs="Times New Roman"/>
          <w:color w:val="000000"/>
          <w:sz w:val="32"/>
          <w:szCs w:val="32"/>
        </w:rPr>
        <w:t>强力开展综合整治，规范车辆通行秩序。根据《电动车查处指导意见》，江口公巡中队、镇道安办、农坝派出所要加强联系，开展联合执法，每周开展一次不少于3小时综合整治，要采取集中攻坚整治+分散治理、流动巡逻+固定设卡等方式，对摩托车电动车突出违法行为，严管重罚。</w:t>
      </w:r>
    </w:p>
    <w:p w14:paraId="2E5B17D1">
      <w:pPr>
        <w:tabs>
          <w:tab w:val="left" w:pos="201"/>
        </w:tabs>
        <w:spacing w:line="578" w:lineRule="exact"/>
        <w:ind w:firstLine="640" w:firstLineChars="200"/>
        <w:rPr>
          <w:rFonts w:ascii="Times New Roman" w:hAnsi="Times New Roman" w:eastAsia="方正黑体_GBK" w:cs="Times New Roman"/>
          <w:color w:val="000000"/>
          <w:sz w:val="32"/>
          <w:szCs w:val="32"/>
        </w:rPr>
      </w:pPr>
      <w:r>
        <w:rPr>
          <w:rFonts w:ascii="Times New Roman" w:hAnsi="方正黑体_GBK" w:eastAsia="方正黑体_GBK" w:cs="Times New Roman"/>
          <w:color w:val="000000"/>
          <w:sz w:val="32"/>
          <w:szCs w:val="32"/>
        </w:rPr>
        <w:t>七、工作要求</w:t>
      </w:r>
    </w:p>
    <w:p w14:paraId="7F2AE384">
      <w:pPr>
        <w:tabs>
          <w:tab w:val="left" w:pos="201"/>
        </w:tabs>
        <w:spacing w:line="578" w:lineRule="exact"/>
        <w:ind w:firstLine="640" w:firstLineChars="200"/>
        <w:rPr>
          <w:rFonts w:hint="eastAsia" w:ascii="Times New Roman" w:hAnsi="方正楷体_GBK" w:eastAsia="方正楷体_GBK" w:cs="Times New Roman"/>
          <w:color w:val="000000"/>
          <w:sz w:val="32"/>
          <w:szCs w:val="32"/>
        </w:rPr>
      </w:pPr>
      <w:r>
        <w:rPr>
          <w:rFonts w:ascii="Times New Roman" w:hAnsi="方正楷体_GBK" w:eastAsia="方正楷体_GBK" w:cs="Times New Roman"/>
          <w:color w:val="000000"/>
          <w:sz w:val="32"/>
          <w:szCs w:val="32"/>
        </w:rPr>
        <w:t>（一）提高思想认识</w:t>
      </w:r>
    </w:p>
    <w:p w14:paraId="0E559312">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 xml:space="preserve">各单位要充分认识此项工作的重要性和必要性，切实强化组织领导，精心组织部署，狠抓各项工作措施落实。 </w:t>
      </w:r>
    </w:p>
    <w:p w14:paraId="00559665">
      <w:pPr>
        <w:tabs>
          <w:tab w:val="left" w:pos="201"/>
        </w:tabs>
        <w:spacing w:line="578" w:lineRule="exact"/>
        <w:ind w:firstLine="640" w:firstLineChars="200"/>
        <w:rPr>
          <w:rFonts w:hint="eastAsia" w:ascii="Times New Roman" w:hAnsi="方正楷体_GBK" w:eastAsia="方正楷体_GBK" w:cs="Times New Roman"/>
          <w:color w:val="000000"/>
          <w:sz w:val="32"/>
          <w:szCs w:val="32"/>
        </w:rPr>
      </w:pPr>
      <w:r>
        <w:rPr>
          <w:rFonts w:ascii="Times New Roman" w:hAnsi="方正楷体_GBK" w:eastAsia="方正楷体_GBK" w:cs="Times New Roman"/>
          <w:color w:val="000000"/>
          <w:sz w:val="32"/>
          <w:szCs w:val="32"/>
        </w:rPr>
        <w:t>（二）规范执勤执法</w:t>
      </w:r>
    </w:p>
    <w:p w14:paraId="054CB3DF">
      <w:pPr>
        <w:tabs>
          <w:tab w:val="left" w:pos="201"/>
        </w:tabs>
        <w:spacing w:line="578" w:lineRule="exact"/>
        <w:ind w:firstLine="640" w:firstLineChars="200"/>
        <w:rPr>
          <w:rFonts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各执勤人员既要严格依法执法执勤，又要坚持理性、平和、文明、规范执法，讲究执法方式，最大限度最求执法效果、政治效果、社会效果、法理情相统一。严禁暴力执法、过激执法、过度执法，严禁随意呵斥、调侃当事人。执法过程要使用执法记录仪全程不间断摄录，确保执法活动有据可查、全程可回溯，严禁因执法工作激化矛盾，带来负面涉警舆情事件等。</w:t>
      </w:r>
    </w:p>
    <w:p w14:paraId="4C930D81">
      <w:pPr>
        <w:spacing w:line="578" w:lineRule="exact"/>
        <w:ind w:firstLine="640" w:firstLineChars="200"/>
        <w:rPr>
          <w:rFonts w:hint="eastAsia" w:ascii="Times New Roman" w:hAnsi="方正楷体_GBK" w:eastAsia="方正楷体_GBK" w:cs="Times New Roman"/>
          <w:color w:val="000000"/>
          <w:sz w:val="32"/>
          <w:szCs w:val="32"/>
        </w:rPr>
      </w:pPr>
      <w:r>
        <w:rPr>
          <w:rFonts w:ascii="Times New Roman" w:hAnsi="方正楷体_GBK" w:eastAsia="方正楷体_GBK" w:cs="Times New Roman"/>
          <w:color w:val="000000"/>
          <w:sz w:val="32"/>
          <w:szCs w:val="32"/>
        </w:rPr>
        <w:t>（三）做好信息报送</w:t>
      </w:r>
    </w:p>
    <w:p w14:paraId="293AD79B">
      <w:pPr>
        <w:spacing w:line="578" w:lineRule="exact"/>
        <w:ind w:firstLine="640" w:firstLineChars="200"/>
        <w:rPr>
          <w:rFonts w:hint="eastAsia" w:ascii="Times New Roman" w:hAnsi="Times New Roman" w:eastAsia="方正仿宋_GBK" w:cs="Times New Roman"/>
          <w:color w:val="000000"/>
          <w:sz w:val="32"/>
          <w:szCs w:val="32"/>
        </w:rPr>
      </w:pPr>
      <w:r>
        <w:rPr>
          <w:rFonts w:ascii="Times New Roman" w:hAnsi="Times New Roman" w:eastAsia="方正仿宋_GBK" w:cs="Times New Roman"/>
          <w:color w:val="000000"/>
          <w:sz w:val="32"/>
          <w:szCs w:val="32"/>
        </w:rPr>
        <w:t>镇道安办落实专人，把握时间节点，按时报送相关表册信息。</w:t>
      </w:r>
    </w:p>
    <w:p w14:paraId="6C27CBFD">
      <w:pPr>
        <w:spacing w:line="578" w:lineRule="exact"/>
        <w:ind w:firstLine="640" w:firstLineChars="200"/>
        <w:rPr>
          <w:rFonts w:ascii="Times New Roman" w:hAnsi="Times New Roman" w:eastAsia="方正仿宋_GBK" w:cs="Times New Roman"/>
          <w:sz w:val="32"/>
          <w:szCs w:val="32"/>
        </w:rPr>
      </w:pPr>
    </w:p>
    <w:p w14:paraId="1C30A94F">
      <w:pPr>
        <w:spacing w:line="578" w:lineRule="exact"/>
        <w:ind w:firstLine="4320" w:firstLineChars="1350"/>
        <w:rPr>
          <w:rFonts w:ascii="Times New Roman" w:hAnsi="Times New Roman" w:eastAsia="方正仿宋_GBK" w:cs="Times New Roman"/>
          <w:sz w:val="32"/>
          <w:szCs w:val="32"/>
        </w:rPr>
      </w:pPr>
      <w:r>
        <w:rPr>
          <w:rFonts w:ascii="Times New Roman" w:hAnsi="方正仿宋_GBK" w:eastAsia="方正仿宋_GBK" w:cs="Times New Roman"/>
          <w:sz w:val="32"/>
          <w:szCs w:val="32"/>
        </w:rPr>
        <w:t>农坝镇人民政府</w:t>
      </w:r>
    </w:p>
    <w:p w14:paraId="594DF727">
      <w:pPr>
        <w:spacing w:line="578" w:lineRule="exact"/>
        <w:ind w:firstLine="5120" w:firstLineChars="1600"/>
        <w:rPr>
          <w:rFonts w:ascii="Times New Roman" w:hAnsi="Times New Roman" w:eastAsia="方正仿宋_GBK" w:cs="Times New Roman"/>
          <w:sz w:val="32"/>
          <w:szCs w:val="32"/>
        </w:rPr>
      </w:pPr>
      <w:r>
        <w:rPr>
          <w:rFonts w:ascii="Times New Roman" w:hAnsi="Times New Roman" w:eastAsia="方正仿宋_GBK" w:cs="Times New Roman"/>
          <w:sz w:val="32"/>
          <w:szCs w:val="32"/>
        </w:rPr>
        <w:t>2022</w:t>
      </w:r>
      <w:r>
        <w:rPr>
          <w:rFonts w:ascii="Times New Roman" w:hAnsi="方正仿宋_GBK" w:eastAsia="方正仿宋_GBK" w:cs="Times New Roman"/>
          <w:sz w:val="32"/>
          <w:szCs w:val="32"/>
        </w:rPr>
        <w:t>年</w:t>
      </w:r>
      <w:r>
        <w:rPr>
          <w:rFonts w:ascii="Times New Roman" w:hAnsi="Times New Roman" w:eastAsia="方正仿宋_GBK" w:cs="Times New Roman"/>
          <w:sz w:val="32"/>
          <w:szCs w:val="32"/>
        </w:rPr>
        <w:t>11</w:t>
      </w:r>
      <w:r>
        <w:rPr>
          <w:rFonts w:ascii="Times New Roman" w:hAnsi="方正仿宋_GBK" w:eastAsia="方正仿宋_GBK" w:cs="Times New Roman"/>
          <w:sz w:val="32"/>
          <w:szCs w:val="32"/>
        </w:rPr>
        <w:t>月</w:t>
      </w:r>
      <w:r>
        <w:rPr>
          <w:rFonts w:ascii="Times New Roman" w:hAnsi="Times New Roman" w:eastAsia="方正仿宋_GBK" w:cs="Times New Roman"/>
          <w:sz w:val="32"/>
          <w:szCs w:val="32"/>
        </w:rPr>
        <w:t>16</w:t>
      </w:r>
      <w:r>
        <w:rPr>
          <w:rFonts w:ascii="Times New Roman" w:hAnsi="方正仿宋_GBK" w:eastAsia="方正仿宋_GBK" w:cs="Times New Roman"/>
          <w:sz w:val="32"/>
          <w:szCs w:val="32"/>
        </w:rPr>
        <w:t>日</w:t>
      </w:r>
      <w:r>
        <w:rPr>
          <w:rFonts w:ascii="Times New Roman" w:hAnsi="Times New Roman" w:eastAsia="方正仿宋_GBK" w:cs="Times New Roman"/>
          <w:sz w:val="32"/>
          <w:szCs w:val="32"/>
        </w:rPr>
        <w:t xml:space="preserve">       </w:t>
      </w:r>
    </w:p>
    <w:p w14:paraId="3F4FB38D">
      <w:pPr>
        <w:pStyle w:val="5"/>
        <w:spacing w:line="578" w:lineRule="exact"/>
        <w:ind w:firstLine="654"/>
        <w:rPr>
          <w:rFonts w:hint="default" w:ascii="方正仿宋_GBK" w:hAnsi="Times New Roman" w:eastAsia="方正仿宋_GBK"/>
          <w:sz w:val="32"/>
          <w:szCs w:val="32"/>
        </w:rPr>
      </w:pPr>
    </w:p>
    <w:tbl>
      <w:tblPr>
        <w:tblStyle w:val="13"/>
        <w:tblpPr w:horzAnchor="margin" w:tblpYSpec="bottom"/>
        <w:tblOverlap w:val="never"/>
        <w:tblW w:w="5000" w:type="pct"/>
        <w:tblInd w:w="0" w:type="dxa"/>
        <w:tblBorders>
          <w:top w:val="single" w:color="auto" w:sz="12" w:space="0"/>
          <w:left w:val="none" w:color="auto" w:sz="0" w:space="0"/>
          <w:bottom w:val="single" w:color="auto" w:sz="12" w:space="0"/>
          <w:right w:val="none" w:color="auto" w:sz="0" w:space="0"/>
          <w:insideH w:val="single" w:color="auto" w:sz="6" w:space="0"/>
          <w:insideV w:val="single" w:color="FF0000" w:sz="6" w:space="0"/>
        </w:tblBorders>
        <w:tblLayout w:type="autofit"/>
        <w:tblCellMar>
          <w:top w:w="0" w:type="dxa"/>
          <w:left w:w="108" w:type="dxa"/>
          <w:bottom w:w="0" w:type="dxa"/>
          <w:right w:w="108" w:type="dxa"/>
        </w:tblCellMar>
      </w:tblPr>
      <w:tblGrid>
        <w:gridCol w:w="9060"/>
      </w:tblGrid>
      <w:tr w14:paraId="58A412AB">
        <w:tblPrEx>
          <w:tblBorders>
            <w:top w:val="single" w:color="auto" w:sz="12" w:space="0"/>
            <w:left w:val="none" w:color="auto" w:sz="0" w:space="0"/>
            <w:bottom w:val="single" w:color="auto" w:sz="12" w:space="0"/>
            <w:right w:val="none" w:color="auto" w:sz="0" w:space="0"/>
            <w:insideH w:val="single" w:color="auto" w:sz="6" w:space="0"/>
            <w:insideV w:val="single" w:color="FF0000" w:sz="6" w:space="0"/>
          </w:tblBorders>
          <w:tblCellMar>
            <w:top w:w="0" w:type="dxa"/>
            <w:left w:w="108" w:type="dxa"/>
            <w:bottom w:w="0" w:type="dxa"/>
            <w:right w:w="108" w:type="dxa"/>
          </w:tblCellMar>
        </w:tblPrEx>
        <w:trPr>
          <w:trHeight w:val="572" w:hRule="atLeast"/>
        </w:trPr>
        <w:tc>
          <w:tcPr>
            <w:tcW w:w="9060" w:type="dxa"/>
          </w:tcPr>
          <w:p w14:paraId="5F80A72F">
            <w:pPr>
              <w:tabs>
                <w:tab w:val="left" w:pos="8471"/>
              </w:tabs>
              <w:spacing w:line="600" w:lineRule="exact"/>
              <w:ind w:right="320" w:firstLine="280" w:firstLineChars="100"/>
              <w:jc w:val="left"/>
              <w:rPr>
                <w:rFonts w:ascii="方正仿宋_GBK" w:hAnsi="方正仿宋_GBK" w:eastAsia="方正仿宋_GBK" w:cs="方正仿宋_GBK"/>
                <w:sz w:val="32"/>
                <w:szCs w:val="32"/>
              </w:rPr>
            </w:pPr>
            <w:r>
              <w:rPr>
                <w:rFonts w:hint="eastAsia" w:ascii="方正仿宋_GBK" w:hAnsi="方正仿宋_GBK" w:eastAsia="方正仿宋_GBK" w:cs="方正仿宋_GBK"/>
                <w:sz w:val="28"/>
                <w:szCs w:val="32"/>
              </w:rPr>
              <w:t>农坝镇党政办公室                       2022年11月16日印发</w:t>
            </w:r>
            <w:r>
              <w:rPr>
                <w:rFonts w:hint="eastAsia" w:ascii="方正仿宋_GBK" w:hAnsi="方正仿宋_GBK" w:eastAsia="方正仿宋_GBK" w:cs="方正仿宋_GBK"/>
                <w:sz w:val="32"/>
                <w:szCs w:val="32"/>
              </w:rPr>
              <w:t xml:space="preserve">  </w:t>
            </w:r>
          </w:p>
        </w:tc>
      </w:tr>
    </w:tbl>
    <w:p w14:paraId="585C2A62">
      <w:pPr>
        <w:pStyle w:val="5"/>
        <w:spacing w:line="578" w:lineRule="exact"/>
        <w:ind w:firstLine="5132" w:firstLineChars="1604"/>
        <w:rPr>
          <w:rFonts w:hint="default" w:ascii="方正仿宋_GBK" w:hAnsi="Times New Roman" w:eastAsia="方正仿宋_GBK"/>
          <w:sz w:val="32"/>
          <w:szCs w:val="32"/>
        </w:rPr>
      </w:pPr>
    </w:p>
    <w:sectPr>
      <w:footerReference r:id="rId3" w:type="default"/>
      <w:footerReference r:id="rId4" w:type="even"/>
      <w:type w:val="continuous"/>
      <w:pgSz w:w="11906" w:h="16838"/>
      <w:pgMar w:top="2098" w:right="1531" w:bottom="1985" w:left="1531" w:header="851" w:footer="1474"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Arial Unicode MS">
    <w:altName w:val="Arial"/>
    <w:panose1 w:val="00000000000000000000"/>
    <w:charset w:val="00"/>
    <w:family w:val="auto"/>
    <w:pitch w:val="default"/>
    <w:sig w:usb0="00000000" w:usb1="00000000" w:usb2="00000000" w:usb3="00000000" w:csb0="00000000" w:csb1="00000000"/>
  </w:font>
  <w:font w:name="Courier New">
    <w:panose1 w:val="02070309020205020404"/>
    <w:charset w:val="00"/>
    <w:family w:val="modern"/>
    <w:pitch w:val="default"/>
    <w:sig w:usb0="E0002E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41F803">
    <w:pPr>
      <w:pStyle w:val="8"/>
      <w:numPr>
        <w:ilvl w:val="0"/>
        <w:numId w:val="1"/>
      </w:numPr>
      <w:jc w:val="right"/>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5</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295C29">
    <w:pPr>
      <w:pStyle w:val="8"/>
      <w:numPr>
        <w:ilvl w:val="0"/>
        <w:numId w:val="2"/>
      </w:num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6</w:t>
    </w:r>
    <w:r>
      <w:rPr>
        <w:rFonts w:asciiTheme="minorEastAsia" w:hAnsiTheme="minorEastAsia"/>
        <w:sz w:val="28"/>
        <w:szCs w:val="28"/>
      </w:rPr>
      <w:fldChar w:fldCharType="end"/>
    </w:r>
    <w:r>
      <w:rPr>
        <w:rFonts w:hint="eastAsia" w:asciiTheme="minorEastAsia" w:hAnsiTheme="minorEastAsia"/>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8AC03B6"/>
    <w:multiLevelType w:val="multilevel"/>
    <w:tmpl w:val="28AC03B6"/>
    <w:lvl w:ilvl="0" w:tentative="0">
      <w:start w:val="2"/>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3D94096B"/>
    <w:multiLevelType w:val="multilevel"/>
    <w:tmpl w:val="3D94096B"/>
    <w:lvl w:ilvl="0" w:tentative="0">
      <w:start w:val="1"/>
      <w:numFmt w:val="bullet"/>
      <w:lvlText w:val="—"/>
      <w:lvlJc w:val="left"/>
      <w:pPr>
        <w:ind w:left="360" w:hanging="360"/>
      </w:pPr>
      <w:rPr>
        <w:rFonts w:hint="eastAsia" w:ascii="宋体" w:hAnsi="宋体" w:eastAsia="宋体" w:cstheme="minorBidi"/>
        <w:sz w:val="28"/>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A2D6F"/>
    <w:rsid w:val="0001118A"/>
    <w:rsid w:val="000134F3"/>
    <w:rsid w:val="0002197E"/>
    <w:rsid w:val="000369F8"/>
    <w:rsid w:val="00040ABA"/>
    <w:rsid w:val="000514DF"/>
    <w:rsid w:val="00053E61"/>
    <w:rsid w:val="0006735A"/>
    <w:rsid w:val="00077277"/>
    <w:rsid w:val="0008187D"/>
    <w:rsid w:val="000822F2"/>
    <w:rsid w:val="000A1D22"/>
    <w:rsid w:val="000A2AFB"/>
    <w:rsid w:val="000E48F4"/>
    <w:rsid w:val="000E7112"/>
    <w:rsid w:val="001135FD"/>
    <w:rsid w:val="001A6810"/>
    <w:rsid w:val="00206709"/>
    <w:rsid w:val="002155A1"/>
    <w:rsid w:val="002640F4"/>
    <w:rsid w:val="0027021F"/>
    <w:rsid w:val="0027142A"/>
    <w:rsid w:val="0028169B"/>
    <w:rsid w:val="002C4AA8"/>
    <w:rsid w:val="002C64AE"/>
    <w:rsid w:val="00345E32"/>
    <w:rsid w:val="003545A4"/>
    <w:rsid w:val="00366280"/>
    <w:rsid w:val="003717C9"/>
    <w:rsid w:val="003909FF"/>
    <w:rsid w:val="00397775"/>
    <w:rsid w:val="003A1722"/>
    <w:rsid w:val="003D0737"/>
    <w:rsid w:val="00413792"/>
    <w:rsid w:val="004327F0"/>
    <w:rsid w:val="00453B5D"/>
    <w:rsid w:val="004605B6"/>
    <w:rsid w:val="004660B7"/>
    <w:rsid w:val="004C6D11"/>
    <w:rsid w:val="004E558F"/>
    <w:rsid w:val="005113EB"/>
    <w:rsid w:val="005145A4"/>
    <w:rsid w:val="00525700"/>
    <w:rsid w:val="00596C72"/>
    <w:rsid w:val="005A3CC6"/>
    <w:rsid w:val="005B4822"/>
    <w:rsid w:val="005C36BD"/>
    <w:rsid w:val="005C6914"/>
    <w:rsid w:val="005D5401"/>
    <w:rsid w:val="005E1FA5"/>
    <w:rsid w:val="005E38F7"/>
    <w:rsid w:val="005E7325"/>
    <w:rsid w:val="005F11B5"/>
    <w:rsid w:val="005F7FBE"/>
    <w:rsid w:val="006433D4"/>
    <w:rsid w:val="0065350C"/>
    <w:rsid w:val="00654244"/>
    <w:rsid w:val="00665C5E"/>
    <w:rsid w:val="00691C38"/>
    <w:rsid w:val="006A58EA"/>
    <w:rsid w:val="006F0A9F"/>
    <w:rsid w:val="007325F8"/>
    <w:rsid w:val="00737785"/>
    <w:rsid w:val="0074073D"/>
    <w:rsid w:val="0077181B"/>
    <w:rsid w:val="007814DD"/>
    <w:rsid w:val="00794BD0"/>
    <w:rsid w:val="00794BF3"/>
    <w:rsid w:val="007D5904"/>
    <w:rsid w:val="007F0450"/>
    <w:rsid w:val="007F11F4"/>
    <w:rsid w:val="008218F6"/>
    <w:rsid w:val="00846A75"/>
    <w:rsid w:val="00886613"/>
    <w:rsid w:val="008922D5"/>
    <w:rsid w:val="008A2D6F"/>
    <w:rsid w:val="008A5085"/>
    <w:rsid w:val="008E4540"/>
    <w:rsid w:val="008F704E"/>
    <w:rsid w:val="00910E82"/>
    <w:rsid w:val="00911EE4"/>
    <w:rsid w:val="009303E0"/>
    <w:rsid w:val="009335D5"/>
    <w:rsid w:val="0095459E"/>
    <w:rsid w:val="00961739"/>
    <w:rsid w:val="00976221"/>
    <w:rsid w:val="00982075"/>
    <w:rsid w:val="00994449"/>
    <w:rsid w:val="009A7478"/>
    <w:rsid w:val="009C7EE0"/>
    <w:rsid w:val="009E0BB8"/>
    <w:rsid w:val="00A27124"/>
    <w:rsid w:val="00A614CC"/>
    <w:rsid w:val="00A75DED"/>
    <w:rsid w:val="00A86E2C"/>
    <w:rsid w:val="00AB4BBC"/>
    <w:rsid w:val="00AB507A"/>
    <w:rsid w:val="00AB7188"/>
    <w:rsid w:val="00B048B9"/>
    <w:rsid w:val="00B15896"/>
    <w:rsid w:val="00B33248"/>
    <w:rsid w:val="00B54499"/>
    <w:rsid w:val="00B67541"/>
    <w:rsid w:val="00B7569B"/>
    <w:rsid w:val="00B96A6D"/>
    <w:rsid w:val="00BB52FA"/>
    <w:rsid w:val="00BE50DE"/>
    <w:rsid w:val="00C266B1"/>
    <w:rsid w:val="00C636CE"/>
    <w:rsid w:val="00C66591"/>
    <w:rsid w:val="00C72FB3"/>
    <w:rsid w:val="00C816D1"/>
    <w:rsid w:val="00C81AFF"/>
    <w:rsid w:val="00C9516C"/>
    <w:rsid w:val="00CA1322"/>
    <w:rsid w:val="00CB292A"/>
    <w:rsid w:val="00CB6285"/>
    <w:rsid w:val="00CB633B"/>
    <w:rsid w:val="00CB6C38"/>
    <w:rsid w:val="00CE3166"/>
    <w:rsid w:val="00D07F9B"/>
    <w:rsid w:val="00D32023"/>
    <w:rsid w:val="00D63DF9"/>
    <w:rsid w:val="00D67976"/>
    <w:rsid w:val="00D92D81"/>
    <w:rsid w:val="00DB4E64"/>
    <w:rsid w:val="00DD46F4"/>
    <w:rsid w:val="00DF7419"/>
    <w:rsid w:val="00E00793"/>
    <w:rsid w:val="00E2152D"/>
    <w:rsid w:val="00E2200B"/>
    <w:rsid w:val="00E24A9C"/>
    <w:rsid w:val="00E53E35"/>
    <w:rsid w:val="00E63AB9"/>
    <w:rsid w:val="00E855DD"/>
    <w:rsid w:val="00E94272"/>
    <w:rsid w:val="00EF1A85"/>
    <w:rsid w:val="00EF5D4B"/>
    <w:rsid w:val="00F31A5B"/>
    <w:rsid w:val="00F47869"/>
    <w:rsid w:val="00F5151D"/>
    <w:rsid w:val="00F81F8B"/>
    <w:rsid w:val="00FA6043"/>
    <w:rsid w:val="00FB75C3"/>
    <w:rsid w:val="00FE7C86"/>
    <w:rsid w:val="346A1EAE"/>
    <w:rsid w:val="53BD53D6"/>
    <w:rsid w:val="6BB7422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3">
    <w:name w:val="Body Text"/>
    <w:link w:val="23"/>
    <w:qFormat/>
    <w:uiPriority w:val="0"/>
    <w:pPr>
      <w:widowControl w:val="0"/>
      <w:spacing w:after="120"/>
      <w:jc w:val="both"/>
    </w:pPr>
    <w:rPr>
      <w:rFonts w:ascii="Times New Roman" w:hAnsi="Times New Roman" w:eastAsia="宋体" w:cs="Times New Roman"/>
      <w:kern w:val="2"/>
      <w:sz w:val="32"/>
      <w:szCs w:val="24"/>
      <w:lang w:val="en-US" w:eastAsia="zh-CN" w:bidi="ar-SA"/>
    </w:rPr>
  </w:style>
  <w:style w:type="paragraph" w:styleId="4">
    <w:name w:val="Body Text Indent"/>
    <w:basedOn w:val="1"/>
    <w:link w:val="24"/>
    <w:qFormat/>
    <w:uiPriority w:val="0"/>
    <w:pPr>
      <w:spacing w:after="120"/>
      <w:ind w:left="420" w:leftChars="200"/>
    </w:pPr>
  </w:style>
  <w:style w:type="paragraph" w:styleId="5">
    <w:name w:val="Plain Text"/>
    <w:basedOn w:val="1"/>
    <w:link w:val="26"/>
    <w:qFormat/>
    <w:uiPriority w:val="0"/>
    <w:rPr>
      <w:rFonts w:hint="eastAsia" w:ascii="宋体" w:hAnsi="Courier New" w:eastAsia="宋体" w:cs="Times New Roman"/>
    </w:rPr>
  </w:style>
  <w:style w:type="paragraph" w:styleId="6">
    <w:name w:val="Date"/>
    <w:basedOn w:val="1"/>
    <w:next w:val="1"/>
    <w:link w:val="20"/>
    <w:qFormat/>
    <w:uiPriority w:val="0"/>
    <w:pPr>
      <w:ind w:left="100" w:leftChars="2500"/>
    </w:pPr>
  </w:style>
  <w:style w:type="paragraph" w:styleId="7">
    <w:name w:val="Balloon Text"/>
    <w:basedOn w:val="1"/>
    <w:link w:val="28"/>
    <w:uiPriority w:val="0"/>
    <w:rPr>
      <w:sz w:val="18"/>
      <w:szCs w:val="18"/>
    </w:rPr>
  </w:style>
  <w:style w:type="paragraph" w:styleId="8">
    <w:name w:val="footer"/>
    <w:basedOn w:val="1"/>
    <w:link w:val="16"/>
    <w:qFormat/>
    <w:uiPriority w:val="0"/>
    <w:pPr>
      <w:tabs>
        <w:tab w:val="center" w:pos="4153"/>
        <w:tab w:val="right" w:pos="8306"/>
      </w:tabs>
      <w:snapToGrid w:val="0"/>
      <w:jc w:val="left"/>
    </w:pPr>
    <w:rPr>
      <w:sz w:val="18"/>
    </w:rPr>
  </w:style>
  <w:style w:type="paragraph" w:styleId="9">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1">
    <w:name w:val="Body Text First Indent 2"/>
    <w:basedOn w:val="4"/>
    <w:link w:val="25"/>
    <w:uiPriority w:val="0"/>
    <w:pPr>
      <w:ind w:firstLine="420" w:firstLineChars="200"/>
    </w:p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basedOn w:val="14"/>
    <w:qFormat/>
    <w:uiPriority w:val="0"/>
    <w:rPr>
      <w:b/>
    </w:rPr>
  </w:style>
  <w:style w:type="character" w:customStyle="1" w:styleId="16">
    <w:name w:val="页脚 Char"/>
    <w:basedOn w:val="14"/>
    <w:link w:val="8"/>
    <w:qFormat/>
    <w:uiPriority w:val="0"/>
    <w:rPr>
      <w:kern w:val="2"/>
      <w:sz w:val="18"/>
      <w:szCs w:val="24"/>
    </w:rPr>
  </w:style>
  <w:style w:type="paragraph" w:customStyle="1" w:styleId="17">
    <w:name w:val="索引 51"/>
    <w:basedOn w:val="1"/>
    <w:next w:val="1"/>
    <w:qFormat/>
    <w:uiPriority w:val="0"/>
    <w:pPr>
      <w:ind w:left="1680"/>
    </w:pPr>
    <w:rPr>
      <w:rFonts w:ascii="Calibri" w:hAnsi="Calibri" w:eastAsia="宋体" w:cs="Calibri"/>
      <w:szCs w:val="21"/>
    </w:rPr>
  </w:style>
  <w:style w:type="paragraph" w:customStyle="1" w:styleId="18">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9">
    <w:name w:val="列出段落1"/>
    <w:basedOn w:val="1"/>
    <w:qFormat/>
    <w:uiPriority w:val="0"/>
    <w:pPr>
      <w:ind w:firstLine="200" w:firstLineChars="200"/>
    </w:pPr>
    <w:rPr>
      <w:rFonts w:ascii="Times New Roman" w:hAnsi="Times New Roman" w:eastAsia="宋体" w:cs="Times New Roman"/>
    </w:rPr>
  </w:style>
  <w:style w:type="character" w:customStyle="1" w:styleId="20">
    <w:name w:val="日期 Char"/>
    <w:basedOn w:val="14"/>
    <w:link w:val="6"/>
    <w:uiPriority w:val="0"/>
    <w:rPr>
      <w:kern w:val="2"/>
      <w:sz w:val="21"/>
      <w:szCs w:val="24"/>
    </w:rPr>
  </w:style>
  <w:style w:type="character" w:customStyle="1" w:styleId="21">
    <w:name w:val="font11"/>
    <w:basedOn w:val="14"/>
    <w:qFormat/>
    <w:uiPriority w:val="0"/>
    <w:rPr>
      <w:rFonts w:hint="eastAsia" w:ascii="宋体" w:hAnsi="宋体" w:eastAsia="宋体" w:cs="宋体"/>
      <w:color w:val="000000"/>
      <w:sz w:val="24"/>
      <w:szCs w:val="24"/>
      <w:u w:val="none"/>
    </w:rPr>
  </w:style>
  <w:style w:type="character" w:customStyle="1" w:styleId="22">
    <w:name w:val="font21"/>
    <w:basedOn w:val="14"/>
    <w:qFormat/>
    <w:uiPriority w:val="0"/>
    <w:rPr>
      <w:rFonts w:hint="eastAsia" w:ascii="宋体" w:hAnsi="宋体" w:eastAsia="宋体" w:cs="宋体"/>
      <w:color w:val="000000"/>
      <w:sz w:val="24"/>
      <w:szCs w:val="24"/>
      <w:u w:val="single"/>
    </w:rPr>
  </w:style>
  <w:style w:type="character" w:customStyle="1" w:styleId="23">
    <w:name w:val="正文文本 Char"/>
    <w:basedOn w:val="14"/>
    <w:link w:val="3"/>
    <w:uiPriority w:val="0"/>
    <w:rPr>
      <w:rFonts w:ascii="Times New Roman" w:hAnsi="Times New Roman" w:eastAsia="宋体" w:cs="Times New Roman"/>
      <w:kern w:val="2"/>
      <w:sz w:val="32"/>
      <w:szCs w:val="24"/>
    </w:rPr>
  </w:style>
  <w:style w:type="character" w:customStyle="1" w:styleId="24">
    <w:name w:val="正文文本缩进 Char"/>
    <w:basedOn w:val="14"/>
    <w:link w:val="4"/>
    <w:qFormat/>
    <w:uiPriority w:val="0"/>
    <w:rPr>
      <w:kern w:val="2"/>
      <w:sz w:val="21"/>
      <w:szCs w:val="24"/>
    </w:rPr>
  </w:style>
  <w:style w:type="character" w:customStyle="1" w:styleId="25">
    <w:name w:val="正文首行缩进 2 Char"/>
    <w:basedOn w:val="24"/>
    <w:link w:val="11"/>
    <w:uiPriority w:val="0"/>
  </w:style>
  <w:style w:type="character" w:customStyle="1" w:styleId="26">
    <w:name w:val="纯文本 Char"/>
    <w:basedOn w:val="14"/>
    <w:link w:val="5"/>
    <w:qFormat/>
    <w:uiPriority w:val="0"/>
    <w:rPr>
      <w:rFonts w:ascii="宋体" w:hAnsi="Courier New" w:eastAsia="宋体" w:cs="Times New Roman"/>
      <w:kern w:val="2"/>
      <w:sz w:val="21"/>
      <w:szCs w:val="24"/>
    </w:rPr>
  </w:style>
  <w:style w:type="paragraph" w:customStyle="1" w:styleId="27">
    <w:name w:val="首行缩进"/>
    <w:basedOn w:val="1"/>
    <w:qFormat/>
    <w:uiPriority w:val="0"/>
    <w:pPr>
      <w:spacing w:line="360" w:lineRule="auto"/>
      <w:ind w:firstLine="480" w:firstLineChars="200"/>
    </w:pPr>
    <w:rPr>
      <w:rFonts w:ascii="宋体" w:hAnsi="宋体" w:cs="宋体"/>
      <w:kern w:val="0"/>
      <w:sz w:val="24"/>
    </w:rPr>
  </w:style>
  <w:style w:type="character" w:customStyle="1" w:styleId="28">
    <w:name w:val="批注框文本 Char"/>
    <w:basedOn w:val="14"/>
    <w:link w:val="7"/>
    <w:uiPriority w:val="0"/>
    <w:rPr>
      <w:kern w:val="2"/>
      <w:sz w:val="18"/>
      <w:szCs w:val="18"/>
    </w:rPr>
  </w:style>
  <w:style w:type="paragraph" w:customStyle="1" w:styleId="29">
    <w:name w:val="p0"/>
    <w:basedOn w:val="1"/>
    <w:qFormat/>
    <w:uiPriority w:val="0"/>
    <w:pPr>
      <w:widowControl/>
    </w:pPr>
    <w:rPr>
      <w:rFonts w:ascii="Times New Roman" w:hAnsi="Times New Roman" w:eastAsia="方正仿宋_GBK" w:cs="Times New Roman"/>
      <w:kern w:val="0"/>
      <w:sz w:val="32"/>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6</Pages>
  <Words>2243</Words>
  <Characters>2296</Characters>
  <Lines>16</Lines>
  <Paragraphs>4</Paragraphs>
  <TotalTime>99</TotalTime>
  <ScaleCrop>false</ScaleCrop>
  <LinksUpToDate>false</LinksUpToDate>
  <CharactersWithSpaces>2335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2022-09-08T09:05:00Z</dcterms:created>
  <dc:creator>Administrator</dc:creator>
  <cp:lastModifiedBy>鱼丸粗面</cp:lastModifiedBy>
  <cp:lastPrinted>2022-11-16T08:45:00Z</cp:lastPrinted>
  <dcterms:modified xsi:type="dcterms:W3CDTF">2025-03-26T01:41:07Z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F7FE71FF691848D9A24737BFD7D38498</vt:lpwstr>
  </property>
  <property fmtid="{D5CDD505-2E9C-101B-9397-08002B2CF9AE}" pid="4" name="KSOTemplateDocerSaveRecord">
    <vt:lpwstr>eyJoZGlkIjoiODc1ODY5ODY1OWNiMDA5MjJhOTU4YjVlZTY0N2MwMTkiLCJ1c2VySWQiOiIyNzUyNTk2MTIifQ==</vt:lpwstr>
  </property>
</Properties>
</file>