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720" w:lineRule="exact"/>
        <w:jc w:val="center"/>
        <w:textAlignment w:val="auto"/>
        <w:rPr>
          <w:rFonts w:hint="eastAsia" w:ascii="方正小标宋_GBK" w:hAnsi="方正小标宋_GBK" w:eastAsia="方正小标宋_GBK" w:cs="方正小标宋_GBK"/>
          <w:spacing w:val="-11"/>
          <w:sz w:val="44"/>
          <w:szCs w:val="44"/>
          <w:lang w:eastAsia="zh-CN"/>
        </w:rPr>
      </w:pPr>
    </w:p>
    <w:p>
      <w:pPr>
        <w:keepNext w:val="0"/>
        <w:keepLines w:val="0"/>
        <w:pageBreakBefore w:val="0"/>
        <w:widowControl w:val="0"/>
        <w:kinsoku/>
        <w:wordWrap/>
        <w:overflowPunct w:val="0"/>
        <w:topLinePunct w:val="0"/>
        <w:autoSpaceDE/>
        <w:autoSpaceDN/>
        <w:bidi w:val="0"/>
        <w:adjustRightInd w:val="0"/>
        <w:snapToGrid w:val="0"/>
        <w:spacing w:line="720" w:lineRule="exact"/>
        <w:jc w:val="center"/>
        <w:textAlignment w:val="auto"/>
        <w:rPr>
          <w:rFonts w:hint="eastAsia" w:ascii="方正小标宋_GBK" w:hAnsi="方正小标宋_GBK" w:eastAsia="方正小标宋_GBK" w:cs="方正小标宋_GBK"/>
          <w:spacing w:val="-11"/>
          <w:sz w:val="44"/>
          <w:szCs w:val="44"/>
          <w:lang w:eastAsia="zh-CN"/>
        </w:rPr>
      </w:pPr>
    </w:p>
    <w:p>
      <w:pPr>
        <w:keepNext w:val="0"/>
        <w:keepLines w:val="0"/>
        <w:pageBreakBefore w:val="0"/>
        <w:widowControl w:val="0"/>
        <w:kinsoku/>
        <w:wordWrap/>
        <w:overflowPunct w:val="0"/>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spacing w:val="-11"/>
          <w:sz w:val="44"/>
          <w:szCs w:val="44"/>
          <w:lang w:eastAsia="zh-CN"/>
        </w:rPr>
      </w:pPr>
      <w:r>
        <w:rPr>
          <w:rFonts w:hint="eastAsia" w:ascii="方正小标宋_GBK" w:hAnsi="方正小标宋_GBK" w:eastAsia="方正小标宋_GBK" w:cs="方正小标宋_GBK"/>
          <w:spacing w:val="-11"/>
          <w:sz w:val="44"/>
          <w:szCs w:val="44"/>
          <w:lang w:eastAsia="zh-CN"/>
        </w:rPr>
        <w:t>后叶镇人民政府</w:t>
      </w:r>
    </w:p>
    <w:p>
      <w:pPr>
        <w:keepNext w:val="0"/>
        <w:keepLines w:val="0"/>
        <w:pageBreakBefore w:val="0"/>
        <w:widowControl w:val="0"/>
        <w:kinsoku/>
        <w:wordWrap/>
        <w:overflowPunct w:val="0"/>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spacing w:val="-11"/>
          <w:sz w:val="44"/>
          <w:szCs w:val="44"/>
        </w:rPr>
      </w:pPr>
      <w:r>
        <w:rPr>
          <w:rFonts w:hint="eastAsia" w:ascii="方正小标宋_GBK" w:hAnsi="方正小标宋_GBK" w:eastAsia="方正小标宋_GBK" w:cs="方正小标宋_GBK"/>
          <w:spacing w:val="-11"/>
          <w:sz w:val="44"/>
          <w:szCs w:val="44"/>
        </w:rPr>
        <w:t>关于印发《</w:t>
      </w:r>
      <w:r>
        <w:rPr>
          <w:rFonts w:hint="eastAsia" w:ascii="方正小标宋_GBK" w:hAnsi="方正小标宋_GBK" w:eastAsia="方正小标宋_GBK" w:cs="方正小标宋_GBK"/>
          <w:spacing w:val="-11"/>
          <w:sz w:val="44"/>
          <w:szCs w:val="44"/>
          <w:lang w:eastAsia="zh-CN"/>
        </w:rPr>
        <w:t>后叶镇</w:t>
      </w:r>
      <w:r>
        <w:rPr>
          <w:rFonts w:hint="eastAsia" w:ascii="方正小标宋_GBK" w:hAnsi="方正小标宋_GBK" w:eastAsia="方正小标宋_GBK" w:cs="方正小标宋_GBK"/>
          <w:spacing w:val="-11"/>
          <w:sz w:val="44"/>
          <w:szCs w:val="44"/>
        </w:rPr>
        <w:t>提升群众认可度“八个一”</w:t>
      </w:r>
    </w:p>
    <w:p>
      <w:pPr>
        <w:keepNext w:val="0"/>
        <w:keepLines w:val="0"/>
        <w:pageBreakBefore w:val="0"/>
        <w:widowControl w:val="0"/>
        <w:kinsoku/>
        <w:wordWrap/>
        <w:overflowPunct w:val="0"/>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spacing w:val="17"/>
          <w:sz w:val="44"/>
          <w:szCs w:val="44"/>
        </w:rPr>
      </w:pPr>
      <w:r>
        <w:rPr>
          <w:rFonts w:hint="eastAsia" w:ascii="方正小标宋_GBK" w:hAnsi="方正小标宋_GBK" w:eastAsia="方正小标宋_GBK" w:cs="方正小标宋_GBK"/>
          <w:spacing w:val="17"/>
          <w:sz w:val="44"/>
          <w:szCs w:val="44"/>
        </w:rPr>
        <w:t>专项行动工作方案》的通知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仿宋_GBK" w:eastAsia="方正仿宋_GBK"/>
          <w:sz w:val="32"/>
          <w:szCs w:val="32"/>
          <w:highlight w:val="yellow"/>
        </w:rPr>
      </w:pPr>
      <w:r>
        <w:rPr>
          <w:rFonts w:hint="eastAsia" w:ascii="方正仿宋_GBK" w:eastAsia="方正仿宋_GBK"/>
          <w:sz w:val="32"/>
          <w:szCs w:val="32"/>
          <w:highlight w:val="none"/>
        </w:rPr>
        <w:t>后叶</w:t>
      </w:r>
      <w:r>
        <w:rPr>
          <w:rFonts w:hint="eastAsia" w:ascii="方正仿宋_GBK" w:eastAsia="方正仿宋_GBK"/>
          <w:sz w:val="32"/>
          <w:szCs w:val="32"/>
          <w:highlight w:val="none"/>
          <w:lang w:eastAsia="zh-CN"/>
        </w:rPr>
        <w:t>府</w:t>
      </w:r>
      <w:r>
        <w:rPr>
          <w:rFonts w:hint="eastAsia" w:ascii="方正仿宋_GBK" w:eastAsia="方正仿宋_GBK"/>
          <w:sz w:val="32"/>
          <w:szCs w:val="32"/>
          <w:highlight w:val="none"/>
          <w:lang w:val="en-US" w:eastAsia="zh-CN"/>
        </w:rPr>
        <w:t>发</w:t>
      </w:r>
      <w:r>
        <w:rPr>
          <w:rFonts w:ascii="方正仿宋_GBK" w:eastAsia="方正仿宋_GBK"/>
          <w:sz w:val="32"/>
          <w:szCs w:val="32"/>
          <w:highlight w:val="none"/>
        </w:rPr>
        <w:t>〔</w:t>
      </w:r>
      <w:r>
        <w:rPr>
          <w:rFonts w:hint="default" w:ascii="Times New Roman" w:hAnsi="Times New Roman" w:eastAsia="方正仿宋_GBK" w:cs="Times New Roman"/>
          <w:sz w:val="32"/>
          <w:szCs w:val="32"/>
          <w:highlight w:val="none"/>
        </w:rPr>
        <w:t>20</w:t>
      </w:r>
      <w:r>
        <w:rPr>
          <w:rFonts w:hint="default" w:ascii="Times New Roman" w:hAnsi="Times New Roman" w:eastAsia="方正仿宋_GBK" w:cs="Times New Roman"/>
          <w:sz w:val="32"/>
          <w:szCs w:val="32"/>
          <w:highlight w:val="none"/>
          <w:lang w:val="en-US" w:eastAsia="zh-CN"/>
        </w:rPr>
        <w:t>22</w:t>
      </w:r>
      <w:r>
        <w:rPr>
          <w:rFonts w:ascii="方正仿宋_GBK" w:eastAsia="方正仿宋_GBK"/>
          <w:sz w:val="32"/>
          <w:szCs w:val="32"/>
          <w:highlight w:val="none"/>
        </w:rPr>
        <w:t>〕</w:t>
      </w:r>
      <w:r>
        <w:rPr>
          <w:rFonts w:hint="default" w:ascii="Times New Roman" w:hAnsi="Times New Roman" w:eastAsia="方正仿宋_GBK" w:cs="Times New Roman"/>
          <w:sz w:val="32"/>
          <w:szCs w:val="32"/>
          <w:highlight w:val="none"/>
          <w:lang w:val="en-US" w:eastAsia="zh-CN"/>
        </w:rPr>
        <w:t>78</w:t>
      </w:r>
      <w:r>
        <w:rPr>
          <w:rFonts w:hint="eastAsia" w:ascii="方正仿宋_GBK" w:eastAsia="方正仿宋_GBK"/>
          <w:sz w:val="32"/>
          <w:szCs w:val="32"/>
          <w:highlight w:val="none"/>
        </w:rPr>
        <w:t>号</w:t>
      </w:r>
    </w:p>
    <w:p>
      <w:pPr>
        <w:keepNext w:val="0"/>
        <w:keepLines w:val="0"/>
        <w:pageBreakBefore w:val="0"/>
        <w:widowControl w:val="0"/>
        <w:kinsoku/>
        <w:wordWrap/>
        <w:overflowPunct/>
        <w:topLinePunct w:val="0"/>
        <w:autoSpaceDE/>
        <w:autoSpaceDN/>
        <w:bidi w:val="0"/>
        <w:spacing w:line="600" w:lineRule="exact"/>
        <w:textAlignment w:val="auto"/>
        <w:rPr>
          <w:rFonts w:ascii="方正仿宋_GBK" w:hAnsi="Calibri"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各</w:t>
      </w:r>
      <w:r>
        <w:rPr>
          <w:rFonts w:hint="eastAsia" w:ascii="方正仿宋_GBK" w:hAnsi="方正仿宋_GBK" w:eastAsia="方正仿宋_GBK" w:cs="方正仿宋_GBK"/>
          <w:kern w:val="0"/>
          <w:sz w:val="32"/>
          <w:szCs w:val="32"/>
          <w:lang w:eastAsia="zh-CN"/>
        </w:rPr>
        <w:t>村（社区）</w:t>
      </w:r>
      <w:r>
        <w:rPr>
          <w:rFonts w:hint="eastAsia" w:ascii="方正仿宋_GBK" w:hAnsi="方正仿宋_GBK" w:eastAsia="方正仿宋_GBK" w:cs="方正仿宋_GBK"/>
          <w:kern w:val="2"/>
          <w:sz w:val="32"/>
          <w:szCs w:val="32"/>
          <w:lang w:val="en-US" w:eastAsia="zh-CN" w:bidi="ar-SA"/>
        </w:rPr>
        <w:t>，机关各科室</w:t>
      </w:r>
      <w:r>
        <w:rPr>
          <w:rFonts w:hint="eastAsia" w:ascii="方正仿宋_GBK" w:hAnsi="方正仿宋_GBK" w:eastAsia="方正仿宋_GBK" w:cs="方正仿宋_GBK"/>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rPr>
      </w:pPr>
      <w:r>
        <w:rPr>
          <w:rFonts w:hint="eastAsia" w:ascii="方正仿宋_GBK" w:hAnsi="方正仿宋_GBK" w:eastAsia="方正仿宋_GBK" w:cs="方正仿宋_GBK"/>
          <w:kern w:val="0"/>
          <w:sz w:val="32"/>
          <w:szCs w:val="32"/>
          <w:lang w:val="en-US" w:eastAsia="zh-CN"/>
        </w:rPr>
        <w:t>根据</w:t>
      </w:r>
      <w:r>
        <w:rPr>
          <w:rFonts w:hint="eastAsia" w:ascii="方正仿宋_GBK" w:hAnsi="方正仿宋_GBK" w:eastAsia="方正仿宋_GBK" w:cs="方正仿宋_GBK"/>
          <w:kern w:val="0"/>
          <w:sz w:val="32"/>
          <w:szCs w:val="32"/>
          <w:lang w:eastAsia="zh-CN"/>
        </w:rPr>
        <w:t>《中共云阳县委农村工作暨实施乡村振兴战略领导小组巩固拓展脱贫攻坚成果工作专班办公室关于印发</w:t>
      </w:r>
      <w:r>
        <w:rPr>
          <w:rFonts w:hint="eastAsia" w:ascii="方正仿宋_GBK" w:hAnsi="方正仿宋_GBK" w:eastAsia="方正仿宋_GBK" w:cs="方正仿宋_GBK"/>
          <w:kern w:val="0"/>
          <w:sz w:val="32"/>
          <w:szCs w:val="32"/>
          <w:lang w:val="en-US" w:eastAsia="zh-CN"/>
        </w:rPr>
        <w:t>&lt;</w:t>
      </w:r>
      <w:r>
        <w:rPr>
          <w:rFonts w:hint="eastAsia" w:ascii="方正仿宋_GBK" w:hAnsi="方正仿宋_GBK" w:eastAsia="方正仿宋_GBK" w:cs="方正仿宋_GBK"/>
          <w:kern w:val="0"/>
          <w:sz w:val="32"/>
          <w:szCs w:val="32"/>
          <w:lang w:eastAsia="zh-CN"/>
        </w:rPr>
        <w:t>云阳县提升群众认可度“八个一”专项行动工作方案</w:t>
      </w:r>
      <w:r>
        <w:rPr>
          <w:rFonts w:hint="eastAsia" w:ascii="方正仿宋_GBK" w:hAnsi="方正仿宋_GBK" w:eastAsia="方正仿宋_GBK" w:cs="方正仿宋_GBK"/>
          <w:kern w:val="0"/>
          <w:sz w:val="32"/>
          <w:szCs w:val="32"/>
          <w:lang w:val="en-US" w:eastAsia="zh-CN"/>
        </w:rPr>
        <w:t>&gt;</w:t>
      </w:r>
      <w:r>
        <w:rPr>
          <w:rFonts w:hint="eastAsia" w:ascii="方正仿宋_GBK" w:hAnsi="方正仿宋_GBK" w:eastAsia="方正仿宋_GBK" w:cs="方正仿宋_GBK"/>
          <w:kern w:val="0"/>
          <w:sz w:val="32"/>
          <w:szCs w:val="32"/>
          <w:lang w:eastAsia="zh-CN"/>
        </w:rPr>
        <w:t>的通知》（云巩固专办发〔</w:t>
      </w:r>
      <w:r>
        <w:rPr>
          <w:rFonts w:hint="default" w:ascii="Times New Roman" w:hAnsi="Times New Roman" w:eastAsia="方正仿宋_GBK" w:cs="Times New Roman"/>
          <w:kern w:val="0"/>
          <w:sz w:val="32"/>
          <w:szCs w:val="32"/>
          <w:lang w:eastAsia="zh-CN"/>
        </w:rPr>
        <w:t>2022</w:t>
      </w:r>
      <w:r>
        <w:rPr>
          <w:rFonts w:hint="eastAsia" w:ascii="方正仿宋_GBK" w:hAnsi="方正仿宋_GBK" w:eastAsia="方正仿宋_GBK" w:cs="方正仿宋_GBK"/>
          <w:kern w:val="0"/>
          <w:sz w:val="32"/>
          <w:szCs w:val="32"/>
          <w:lang w:eastAsia="zh-CN"/>
        </w:rPr>
        <w:t>〕</w:t>
      </w:r>
      <w:r>
        <w:rPr>
          <w:rFonts w:hint="default" w:ascii="Times New Roman" w:hAnsi="Times New Roman" w:eastAsia="方正仿宋_GBK" w:cs="Times New Roman"/>
          <w:kern w:val="0"/>
          <w:sz w:val="32"/>
          <w:szCs w:val="32"/>
          <w:lang w:val="en-US" w:eastAsia="zh-CN"/>
        </w:rPr>
        <w:t>5</w:t>
      </w:r>
      <w:r>
        <w:rPr>
          <w:rFonts w:hint="eastAsia" w:ascii="方正仿宋_GBK" w:hAnsi="方正仿宋_GBK" w:eastAsia="方正仿宋_GBK" w:cs="方正仿宋_GBK"/>
          <w:kern w:val="0"/>
          <w:sz w:val="32"/>
          <w:szCs w:val="32"/>
          <w:lang w:eastAsia="zh-CN"/>
        </w:rPr>
        <w:t>号）文件要求，结合我镇实际，制定《后叶镇</w:t>
      </w:r>
      <w:r>
        <w:rPr>
          <w:rFonts w:hint="eastAsia" w:ascii="方正仿宋_GBK" w:hAnsi="方正仿宋_GBK" w:eastAsia="方正仿宋_GBK" w:cs="方正仿宋_GBK"/>
          <w:kern w:val="0"/>
          <w:sz w:val="32"/>
          <w:szCs w:val="32"/>
        </w:rPr>
        <w:t>提升群众认可度“八个一”专项行动工作方案》</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已经</w:t>
      </w:r>
      <w:r>
        <w:rPr>
          <w:rFonts w:hint="eastAsia" w:ascii="方正仿宋_GBK" w:hAnsi="方正仿宋_GBK" w:eastAsia="方正仿宋_GBK" w:cs="方正仿宋_GBK"/>
          <w:kern w:val="0"/>
          <w:sz w:val="32"/>
          <w:szCs w:val="32"/>
          <w:lang w:eastAsia="zh-CN"/>
        </w:rPr>
        <w:t>镇党委、政府</w:t>
      </w:r>
      <w:r>
        <w:rPr>
          <w:rFonts w:hint="eastAsia" w:ascii="方正仿宋_GBK" w:hAnsi="方正仿宋_GBK" w:eastAsia="方正仿宋_GBK" w:cs="方正仿宋_GBK"/>
          <w:kern w:val="2"/>
          <w:sz w:val="32"/>
          <w:szCs w:val="32"/>
          <w:lang w:val="en-US" w:eastAsia="zh-CN" w:bidi="ar-SA"/>
        </w:rPr>
        <w:t>同意</w:t>
      </w:r>
      <w:r>
        <w:rPr>
          <w:rFonts w:hint="eastAsia" w:ascii="方正仿宋_GBK" w:hAnsi="方正仿宋_GBK" w:eastAsia="方正仿宋_GBK" w:cs="方正仿宋_GBK"/>
          <w:kern w:val="0"/>
          <w:sz w:val="32"/>
          <w:szCs w:val="32"/>
        </w:rPr>
        <w:t>，现印发给你们</w:t>
      </w:r>
      <w:r>
        <w:rPr>
          <w:rFonts w:hint="eastAsia" w:ascii="方正仿宋_GBK" w:hAnsi="方正仿宋_GBK" w:eastAsia="方正仿宋_GBK" w:cs="方正仿宋_GBK"/>
          <w:kern w:val="2"/>
          <w:sz w:val="32"/>
          <w:szCs w:val="32"/>
          <w:lang w:val="en-US" w:eastAsia="zh-CN" w:bidi="ar-SA"/>
        </w:rPr>
        <w:t>，请遵照执行。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default" w:ascii="方正仿宋_GBK" w:hAnsi="方正仿宋_GBK" w:eastAsia="方正仿宋_GBK" w:cs="方正仿宋_GBK"/>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420" w:rightChars="200" w:firstLine="0" w:firstLineChars="0"/>
        <w:jc w:val="righ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lang w:eastAsia="zh-CN"/>
        </w:rPr>
        <w:t>后叶镇人民政府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                               </w:t>
      </w:r>
      <w:r>
        <w:rPr>
          <w:rFonts w:hint="default" w:ascii="Times New Roman" w:hAnsi="Times New Roman" w:eastAsia="方正仿宋_GBK" w:cs="Times New Roman"/>
          <w:sz w:val="32"/>
          <w:szCs w:val="32"/>
          <w:highlight w:val="none"/>
        </w:rPr>
        <w:t>20</w:t>
      </w:r>
      <w:r>
        <w:rPr>
          <w:rFonts w:hint="default" w:ascii="Times New Roman" w:hAnsi="Times New Roman" w:eastAsia="方正仿宋_GBK" w:cs="Times New Roman"/>
          <w:sz w:val="32"/>
          <w:szCs w:val="32"/>
          <w:highlight w:val="none"/>
          <w:lang w:val="en-US" w:eastAsia="zh-CN"/>
        </w:rPr>
        <w:t>22</w:t>
      </w:r>
      <w:r>
        <w:rPr>
          <w:rFonts w:hint="eastAsia" w:ascii="方正仿宋_GBK" w:hAnsi="方正仿宋_GBK" w:eastAsia="方正仿宋_GBK" w:cs="方正仿宋_GBK"/>
          <w:sz w:val="32"/>
          <w:szCs w:val="32"/>
          <w:highlight w:val="none"/>
        </w:rPr>
        <w:t>年</w:t>
      </w:r>
      <w:r>
        <w:rPr>
          <w:rFonts w:hint="default" w:ascii="Times New Roman" w:hAnsi="Times New Roman" w:eastAsia="方正仿宋_GBK" w:cs="Times New Roman"/>
          <w:sz w:val="32"/>
          <w:szCs w:val="32"/>
          <w:highlight w:val="none"/>
          <w:lang w:val="en-US" w:eastAsia="zh-CN"/>
        </w:rPr>
        <w:t>1</w:t>
      </w:r>
      <w:r>
        <w:rPr>
          <w:rFonts w:hint="eastAsia" w:ascii="Times New Roman" w:hAnsi="Times New Roman" w:eastAsia="方正仿宋_GBK" w:cs="Times New Roman"/>
          <w:sz w:val="32"/>
          <w:szCs w:val="32"/>
          <w:highlight w:val="none"/>
          <w:lang w:val="en-US" w:eastAsia="zh-CN"/>
        </w:rPr>
        <w:t>0</w:t>
      </w:r>
      <w:r>
        <w:rPr>
          <w:rFonts w:hint="eastAsia" w:ascii="方正仿宋_GBK" w:hAnsi="方正仿宋_GBK" w:eastAsia="方正仿宋_GBK" w:cs="方正仿宋_GBK"/>
          <w:sz w:val="32"/>
          <w:szCs w:val="32"/>
          <w:highlight w:val="none"/>
        </w:rPr>
        <w:t>月</w:t>
      </w:r>
      <w:r>
        <w:rPr>
          <w:rFonts w:hint="eastAsia" w:ascii="Times New Roman" w:hAnsi="Times New Roman" w:eastAsia="方正仿宋_GBK" w:cs="Times New Roman"/>
          <w:sz w:val="32"/>
          <w:szCs w:val="32"/>
          <w:highlight w:val="none"/>
          <w:lang w:val="en-US" w:eastAsia="zh-CN"/>
        </w:rPr>
        <w:t>31</w:t>
      </w:r>
      <w:r>
        <w:rPr>
          <w:rFonts w:hint="eastAsia" w:ascii="方正仿宋_GBK" w:hAnsi="方正仿宋_GBK" w:eastAsia="方正仿宋_GBK" w:cs="方正仿宋_GBK"/>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default" w:ascii="方正仿宋_GBK" w:hAnsi="方正仿宋_GBK" w:eastAsia="方正仿宋_GBK" w:cs="方正仿宋_GBK"/>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val="0"/>
        <w:snapToGrid w:val="0"/>
        <w:spacing w:line="600" w:lineRule="exact"/>
        <w:jc w:val="left"/>
        <w:textAlignment w:val="auto"/>
        <w:rPr>
          <w:rFonts w:ascii="方正小标宋_GBK" w:hAnsi="方正小标宋_GBK" w:eastAsia="方正小标宋_GBK" w:cs="方正小标宋_GBK"/>
          <w:spacing w:val="17"/>
          <w:sz w:val="44"/>
          <w:szCs w:val="44"/>
        </w:rPr>
      </w:pP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pacing w:val="17"/>
          <w:sz w:val="44"/>
          <w:szCs w:val="44"/>
          <w:lang w:eastAsia="zh-CN"/>
        </w:rPr>
      </w:pP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pacing w:val="17"/>
          <w:sz w:val="44"/>
          <w:szCs w:val="44"/>
        </w:rPr>
      </w:pPr>
      <w:r>
        <w:rPr>
          <w:rFonts w:hint="eastAsia" w:ascii="方正小标宋_GBK" w:hAnsi="方正小标宋_GBK" w:eastAsia="方正小标宋_GBK" w:cs="方正小标宋_GBK"/>
          <w:spacing w:val="17"/>
          <w:sz w:val="44"/>
          <w:szCs w:val="44"/>
          <w:lang w:eastAsia="zh-CN"/>
        </w:rPr>
        <w:t>后叶镇</w:t>
      </w:r>
      <w:r>
        <w:rPr>
          <w:rFonts w:hint="eastAsia" w:ascii="方正小标宋_GBK" w:hAnsi="方正小标宋_GBK" w:eastAsia="方正小标宋_GBK" w:cs="方正小标宋_GBK"/>
          <w:spacing w:val="17"/>
          <w:sz w:val="44"/>
          <w:szCs w:val="44"/>
        </w:rPr>
        <w:t>提升群众认可度“八个一”</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ascii="方正小标宋_GBK" w:hAnsi="方正小标宋_GBK" w:eastAsia="方正小标宋_GBK" w:cs="方正小标宋_GBK"/>
          <w:spacing w:val="17"/>
          <w:sz w:val="44"/>
          <w:szCs w:val="44"/>
        </w:rPr>
      </w:pPr>
      <w:r>
        <w:rPr>
          <w:rFonts w:hint="eastAsia" w:ascii="方正小标宋_GBK" w:hAnsi="方正小标宋_GBK" w:eastAsia="方正小标宋_GBK" w:cs="方正小标宋_GBK"/>
          <w:spacing w:val="17"/>
          <w:sz w:val="44"/>
          <w:szCs w:val="44"/>
        </w:rPr>
        <w:t>专项行动工作方案</w:t>
      </w:r>
    </w:p>
    <w:p>
      <w:pPr>
        <w:pStyle w:val="5"/>
        <w:keepNext w:val="0"/>
        <w:keepLines w:val="0"/>
        <w:pageBreakBefore w:val="0"/>
        <w:widowControl w:val="0"/>
        <w:kinsoku/>
        <w:wordWrap/>
        <w:overflowPunct/>
        <w:topLinePunct w:val="0"/>
        <w:autoSpaceDE/>
        <w:autoSpaceDN/>
        <w:bidi w:val="0"/>
        <w:spacing w:line="600" w:lineRule="exact"/>
        <w:ind w:left="0" w:right="0"/>
        <w:textAlignment w:val="auto"/>
        <w:rPr>
          <w:rFonts w:hint="eastAsia" w:asciiTheme="minorEastAsia" w:hAnsiTheme="minorEastAsia" w:eastAsiaTheme="minorEastAsia" w:cstheme="minorEastAsia"/>
          <w:snapToGrid w:val="0"/>
          <w:sz w:val="33"/>
          <w:szCs w:val="33"/>
        </w:rPr>
      </w:pPr>
    </w:p>
    <w:p>
      <w:pPr>
        <w:pStyle w:val="9"/>
        <w:keepNext w:val="0"/>
        <w:keepLines w:val="0"/>
        <w:widowControl/>
        <w:suppressLineNumbers w:val="0"/>
        <w:spacing w:before="0" w:beforeAutospacing="0" w:after="0" w:afterAutospacing="0" w:line="600" w:lineRule="atLeast"/>
        <w:ind w:left="0" w:right="0" w:firstLine="645"/>
        <w:jc w:val="both"/>
        <w:rPr>
          <w:rFonts w:ascii="Calibri" w:hAnsi="Calibri" w:cs="Calibri"/>
          <w:i w:val="0"/>
          <w:caps w:val="0"/>
          <w:color w:val="000000"/>
          <w:spacing w:val="0"/>
          <w:sz w:val="21"/>
          <w:szCs w:val="21"/>
        </w:rPr>
      </w:pPr>
      <w:r>
        <w:rPr>
          <w:rFonts w:ascii="方正仿宋_GBK" w:hAnsi="方正仿宋_GBK" w:eastAsia="方正仿宋_GBK" w:cs="方正仿宋_GBK"/>
          <w:i w:val="0"/>
          <w:caps w:val="0"/>
          <w:color w:val="000000"/>
          <w:spacing w:val="0"/>
          <w:sz w:val="31"/>
          <w:szCs w:val="31"/>
        </w:rPr>
        <w:t>为深入贯彻落实习近平总书记关于“三农”工作的重要论述和巩固拓展脱贫攻坚成果、全面推进乡村振兴的重要讲话及指示批示精神，践行以人民为中心</w:t>
      </w:r>
      <w:bookmarkStart w:id="0" w:name="_GoBack"/>
      <w:bookmarkEnd w:id="0"/>
      <w:r>
        <w:rPr>
          <w:rFonts w:ascii="方正仿宋_GBK" w:hAnsi="方正仿宋_GBK" w:eastAsia="方正仿宋_GBK" w:cs="方正仿宋_GBK"/>
          <w:i w:val="0"/>
          <w:caps w:val="0"/>
          <w:color w:val="000000"/>
          <w:spacing w:val="0"/>
          <w:sz w:val="31"/>
          <w:szCs w:val="31"/>
        </w:rPr>
        <w:t>的发展思想，聚焦解民忧、纾民困、暖民心，全力化解疫情灾情等不利影响，坚决把脱贫攻坚成果巩固住、拓展好，全面提升群众认可度，特制定</w:t>
      </w:r>
      <w:r>
        <w:rPr>
          <w:rFonts w:hint="eastAsia" w:ascii="方正仿宋_GBK" w:hAnsi="方正仿宋_GBK" w:eastAsia="方正仿宋_GBK" w:cs="方正仿宋_GBK"/>
          <w:i w:val="0"/>
          <w:caps w:val="0"/>
          <w:color w:val="000000"/>
          <w:spacing w:val="0"/>
          <w:sz w:val="31"/>
          <w:szCs w:val="31"/>
        </w:rPr>
        <w:t>此工作方案。</w:t>
      </w:r>
    </w:p>
    <w:p>
      <w:pPr>
        <w:pStyle w:val="9"/>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caps w:val="0"/>
          <w:color w:val="000000"/>
          <w:spacing w:val="0"/>
          <w:sz w:val="21"/>
          <w:szCs w:val="21"/>
        </w:rPr>
      </w:pPr>
      <w:r>
        <w:rPr>
          <w:rFonts w:ascii="方正黑体_GBK" w:hAnsi="方正黑体_GBK" w:eastAsia="方正黑体_GBK" w:cs="方正黑体_GBK"/>
          <w:i w:val="0"/>
          <w:caps w:val="0"/>
          <w:color w:val="000000"/>
          <w:spacing w:val="0"/>
          <w:sz w:val="31"/>
          <w:szCs w:val="31"/>
        </w:rPr>
        <w:t>一、总体思路</w:t>
      </w:r>
    </w:p>
    <w:p>
      <w:pPr>
        <w:pStyle w:val="9"/>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以习近平新时代中国特色社会主义思想为指导，全面贯彻党的二十大精神，充分发挥农村基层党组织战斗堡垒作用，进一步改进工作作风，全镇上下凝心聚力，以“帮助理顺关系，促和谐；帮助理顺观念，促发展；帮助理顺思路，促振兴”为载体，感党恩、跟党走，开展喜看家乡新变化，共话家乡新发展，暖民心、促振兴，干部在身边走访活动。密切党群、干群关系，推动乡村治理体系和治理能力现代化建设，凝聚全面推进乡村振兴强大合力，提高巩固拓展脱贫攻坚成果同乡村振兴有效衔接工作的群众认可度、满意度。</w:t>
      </w:r>
    </w:p>
    <w:p>
      <w:pPr>
        <w:pStyle w:val="9"/>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caps w:val="0"/>
          <w:color w:val="000000"/>
          <w:spacing w:val="0"/>
          <w:sz w:val="21"/>
          <w:szCs w:val="21"/>
        </w:rPr>
      </w:pPr>
      <w:r>
        <w:rPr>
          <w:rFonts w:hint="eastAsia" w:ascii="方正黑体_GBK" w:hAnsi="方正黑体_GBK" w:eastAsia="方正黑体_GBK" w:cs="方正黑体_GBK"/>
          <w:i w:val="0"/>
          <w:caps w:val="0"/>
          <w:color w:val="000000"/>
          <w:spacing w:val="0"/>
          <w:sz w:val="31"/>
          <w:szCs w:val="31"/>
        </w:rPr>
        <w:t>二、组织领导</w:t>
      </w:r>
    </w:p>
    <w:p>
      <w:pPr>
        <w:pStyle w:val="9"/>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成立全镇巩固拓展脱贫攻坚成果群众认可度提升行动专项工作组，由镇长为组长，各驻村领导为成员，专项工作组下设办公室在县乡村振兴办，由党委副书记担任办公室主任，相关科室人员为办公室成员，负责统筹群众满意度提升行动协调、指导、督促工作，明确行业职责分工，推动工作落地落实。</w:t>
      </w:r>
    </w:p>
    <w:p>
      <w:pPr>
        <w:pStyle w:val="9"/>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caps w:val="0"/>
          <w:color w:val="000000"/>
          <w:spacing w:val="0"/>
          <w:sz w:val="21"/>
          <w:szCs w:val="21"/>
        </w:rPr>
      </w:pPr>
      <w:r>
        <w:rPr>
          <w:rFonts w:hint="eastAsia" w:ascii="方正黑体_GBK" w:hAnsi="方正黑体_GBK" w:eastAsia="方正黑体_GBK" w:cs="方正黑体_GBK"/>
          <w:i w:val="0"/>
          <w:caps w:val="0"/>
          <w:color w:val="000000"/>
          <w:spacing w:val="0"/>
          <w:sz w:val="31"/>
          <w:szCs w:val="31"/>
        </w:rPr>
        <w:t>三、主要任务及责任分工</w:t>
      </w:r>
    </w:p>
    <w:p>
      <w:pPr>
        <w:pStyle w:val="9"/>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重点围绕群众对帮扶干部、驻村工作队工作是否认可，对本村基础设施和公共服务设施改善是否满意，对所享受的帮扶政策是否知晓，“两不愁三保障”措施是否落地四个方面，实施“八个一”专项行动。</w:t>
      </w:r>
    </w:p>
    <w:p>
      <w:pPr>
        <w:pStyle w:val="9"/>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caps w:val="0"/>
          <w:color w:val="000000"/>
          <w:spacing w:val="0"/>
          <w:sz w:val="21"/>
          <w:szCs w:val="21"/>
        </w:rPr>
      </w:pPr>
      <w:r>
        <w:rPr>
          <w:rFonts w:ascii="方正楷体_GBK" w:hAnsi="方正楷体_GBK" w:eastAsia="方正楷体_GBK" w:cs="方正楷体_GBK"/>
          <w:i w:val="0"/>
          <w:caps w:val="0"/>
          <w:color w:val="000000"/>
          <w:spacing w:val="0"/>
          <w:sz w:val="31"/>
          <w:szCs w:val="31"/>
        </w:rPr>
        <w:t>（一）</w:t>
      </w:r>
      <w:r>
        <w:rPr>
          <w:rFonts w:hint="eastAsia" w:ascii="方正楷体_GBK" w:hAnsi="方正楷体_GBK" w:eastAsia="方正楷体_GBK" w:cs="方正楷体_GBK"/>
          <w:i w:val="0"/>
          <w:caps w:val="0"/>
          <w:color w:val="000000"/>
          <w:spacing w:val="0"/>
          <w:sz w:val="31"/>
          <w:szCs w:val="31"/>
        </w:rPr>
        <w:t>常态化开展大走访活动。</w:t>
      </w:r>
      <w:r>
        <w:rPr>
          <w:rFonts w:hint="eastAsia" w:ascii="方正仿宋_GBK" w:hAnsi="方正仿宋_GBK" w:eastAsia="方正仿宋_GBK" w:cs="方正仿宋_GBK"/>
          <w:i w:val="0"/>
          <w:caps w:val="0"/>
          <w:color w:val="000000"/>
          <w:spacing w:val="0"/>
          <w:sz w:val="31"/>
          <w:szCs w:val="31"/>
        </w:rPr>
        <w:t>坚持“五级书记遍访”机制，</w:t>
      </w:r>
      <w:r>
        <w:rPr>
          <w:rFonts w:hint="default" w:ascii="Times New Roman" w:hAnsi="Times New Roman" w:cs="Times New Roman"/>
          <w:i w:val="0"/>
          <w:caps w:val="0"/>
          <w:color w:val="000000"/>
          <w:spacing w:val="0"/>
          <w:sz w:val="31"/>
          <w:szCs w:val="31"/>
        </w:rPr>
        <w:t>2022</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cs="Times New Roman"/>
          <w:i w:val="0"/>
          <w:caps w:val="0"/>
          <w:color w:val="000000"/>
          <w:spacing w:val="0"/>
          <w:sz w:val="31"/>
          <w:szCs w:val="31"/>
        </w:rPr>
        <w:t>12</w:t>
      </w:r>
      <w:r>
        <w:rPr>
          <w:rFonts w:hint="eastAsia" w:ascii="方正仿宋_GBK" w:hAnsi="方正仿宋_GBK" w:eastAsia="方正仿宋_GBK" w:cs="方正仿宋_GBK"/>
          <w:i w:val="0"/>
          <w:caps w:val="0"/>
          <w:color w:val="000000"/>
          <w:spacing w:val="0"/>
          <w:sz w:val="31"/>
          <w:szCs w:val="31"/>
        </w:rPr>
        <w:t>月前集中开展一次遍访活动</w:t>
      </w:r>
      <w:r>
        <w:rPr>
          <w:rFonts w:hint="eastAsia" w:ascii="方正楷体_GBK" w:hAnsi="方正楷体_GBK" w:eastAsia="方正楷体_GBK" w:cs="方正楷体_GBK"/>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周二为固定走访日</w:t>
      </w:r>
      <w:r>
        <w:rPr>
          <w:rFonts w:hint="eastAsia" w:ascii="方正楷体_GBK" w:hAnsi="方正楷体_GBK" w:eastAsia="方正楷体_GBK" w:cs="方正楷体_GBK"/>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结合第一轮“大走访大排查大整改”行动和中期评估、日常暗查暗访发现问题；村（社区）党组织书记、驻村第一书记遍访脱贫户、监测户。落实干部“包片+包村+包户”走访帮扶制度，开展防止返贫监测帮扶第二轮走访排查工作。</w:t>
      </w:r>
      <w:r>
        <w:rPr>
          <w:rFonts w:hint="default" w:ascii="Times New Roman" w:hAnsi="Times New Roman" w:cs="Times New Roman"/>
          <w:i w:val="0"/>
          <w:caps w:val="0"/>
          <w:color w:val="000000"/>
          <w:spacing w:val="0"/>
          <w:sz w:val="31"/>
          <w:szCs w:val="31"/>
        </w:rPr>
        <w:t>2022</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cs="Times New Roman"/>
          <w:i w:val="0"/>
          <w:caps w:val="0"/>
          <w:color w:val="000000"/>
          <w:spacing w:val="0"/>
          <w:sz w:val="31"/>
          <w:szCs w:val="31"/>
        </w:rPr>
        <w:t>11</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日前全覆盖入户走访脱贫户、监测户和低保户、大病户、特困户，重点排查有返贫风险的农户是否按规范纳入监测、“两不愁三保障”及饮水安全是否巩固、家庭收入是否持续稳定、产业发展是否建立利益联结机制、乡村建设是否明显改善等方面，逐项、逐户、逐人走访排查，更新录入信息。</w:t>
      </w:r>
      <w:r>
        <w:rPr>
          <w:rFonts w:hint="default" w:ascii="Times New Roman" w:hAnsi="Times New Roman" w:cs="Times New Roman"/>
          <w:i w:val="0"/>
          <w:caps w:val="0"/>
          <w:color w:val="000000"/>
          <w:spacing w:val="0"/>
          <w:sz w:val="31"/>
          <w:szCs w:val="31"/>
        </w:rPr>
        <w:t>2022</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cs="Times New Roman"/>
          <w:i w:val="0"/>
          <w:caps w:val="0"/>
          <w:color w:val="000000"/>
          <w:spacing w:val="0"/>
          <w:sz w:val="31"/>
          <w:szCs w:val="31"/>
        </w:rPr>
        <w:t>11</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cs="Times New Roman"/>
          <w:i w:val="0"/>
          <w:caps w:val="0"/>
          <w:color w:val="000000"/>
          <w:spacing w:val="0"/>
          <w:sz w:val="31"/>
          <w:szCs w:val="31"/>
        </w:rPr>
        <w:t>8</w:t>
      </w:r>
      <w:r>
        <w:rPr>
          <w:rFonts w:hint="eastAsia" w:ascii="方正仿宋_GBK" w:hAnsi="方正仿宋_GBK" w:eastAsia="方正仿宋_GBK" w:cs="方正仿宋_GBK"/>
          <w:i w:val="0"/>
          <w:caps w:val="0"/>
          <w:color w:val="000000"/>
          <w:spacing w:val="0"/>
          <w:sz w:val="31"/>
          <w:szCs w:val="31"/>
        </w:rPr>
        <w:t>日前，完成新识别监测户、风险消除户信息采集。</w:t>
      </w:r>
      <w:r>
        <w:rPr>
          <w:rFonts w:hint="default" w:ascii="Times New Roman" w:hAnsi="Times New Roman" w:cs="Times New Roman"/>
          <w:i w:val="0"/>
          <w:caps w:val="0"/>
          <w:color w:val="000000"/>
          <w:spacing w:val="0"/>
          <w:sz w:val="31"/>
          <w:szCs w:val="31"/>
        </w:rPr>
        <w:t>2022</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cs="Times New Roman"/>
          <w:i w:val="0"/>
          <w:caps w:val="0"/>
          <w:color w:val="000000"/>
          <w:spacing w:val="0"/>
          <w:sz w:val="31"/>
          <w:szCs w:val="31"/>
        </w:rPr>
        <w:t>11</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cs="Times New Roman"/>
          <w:i w:val="0"/>
          <w:caps w:val="0"/>
          <w:color w:val="000000"/>
          <w:spacing w:val="0"/>
          <w:sz w:val="31"/>
          <w:szCs w:val="31"/>
        </w:rPr>
        <w:t>18</w:t>
      </w:r>
      <w:r>
        <w:rPr>
          <w:rFonts w:hint="eastAsia" w:ascii="方正仿宋_GBK" w:hAnsi="方正仿宋_GBK" w:eastAsia="方正仿宋_GBK" w:cs="方正仿宋_GBK"/>
          <w:i w:val="0"/>
          <w:caps w:val="0"/>
          <w:color w:val="000000"/>
          <w:spacing w:val="0"/>
          <w:sz w:val="31"/>
          <w:szCs w:val="31"/>
        </w:rPr>
        <w:t>日前，完成乡村建设村级信息和脱贫户、监测户信息采集，以及脱贫户、监测户年度信息采集更新和国扶系统录入。</w:t>
      </w:r>
      <w:r>
        <w:rPr>
          <w:rFonts w:hint="default" w:ascii="Times New Roman" w:hAnsi="Times New Roman" w:cs="Times New Roman"/>
          <w:i w:val="0"/>
          <w:caps w:val="0"/>
          <w:color w:val="000000"/>
          <w:spacing w:val="0"/>
          <w:sz w:val="31"/>
          <w:szCs w:val="31"/>
        </w:rPr>
        <w:t>2023</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cs="Times New Roman"/>
          <w:i w:val="0"/>
          <w:caps w:val="0"/>
          <w:color w:val="000000"/>
          <w:spacing w:val="0"/>
          <w:sz w:val="31"/>
          <w:szCs w:val="31"/>
        </w:rPr>
        <w:t>18</w:t>
      </w:r>
      <w:r>
        <w:rPr>
          <w:rFonts w:hint="eastAsia" w:ascii="方正仿宋_GBK" w:hAnsi="方正仿宋_GBK" w:eastAsia="方正仿宋_GBK" w:cs="方正仿宋_GBK"/>
          <w:i w:val="0"/>
          <w:caps w:val="0"/>
          <w:color w:val="000000"/>
          <w:spacing w:val="0"/>
          <w:sz w:val="31"/>
          <w:szCs w:val="31"/>
        </w:rPr>
        <w:t>日前，完成乡村建设所有农户信息采集。根据发现问题的风险程度分类梳理，结合农户现状和发展需求，能够立即解决的，实时开展帮扶解决，需持续跟踪整改的，建立问题台账，制定工作措施，明确帮扶责任人和完成时限，及时跟进协调解决，以问题、目标和结果为导向，倒逼责任、政策、工作精准落实。</w:t>
      </w:r>
    </w:p>
    <w:p>
      <w:pPr>
        <w:pStyle w:val="9"/>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（二）召开一次村民代表恳谈会。</w:t>
      </w:r>
      <w:r>
        <w:rPr>
          <w:rFonts w:hint="eastAsia" w:ascii="方正仿宋_GBK" w:hAnsi="方正仿宋_GBK" w:eastAsia="方正仿宋_GBK" w:cs="方正仿宋_GBK"/>
          <w:i w:val="0"/>
          <w:caps w:val="0"/>
          <w:color w:val="000000"/>
          <w:spacing w:val="0"/>
          <w:sz w:val="31"/>
          <w:szCs w:val="31"/>
        </w:rPr>
        <w:t>由各村（社区）结合驻村工作队、镇级派出相关负责同志到每个村，召开</w:t>
      </w:r>
      <w:r>
        <w:rPr>
          <w:rFonts w:hint="default" w:ascii="Times New Roman" w:hAnsi="Times New Roman"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次村民代表恳谈会，邀请村里德高望重长者、村民小组组长、平时对村党组织意见较大的村民等方面代表参会，充分听取群众意见和呼声。会前，组织村干部、驻村工作队、帮扶干部深入村组、农户院坝、田间地头，收集村情民意，并对村民意见建议进行梳理，确保准备充分。会中，要让干部与村民代表“零距离”接触，“零障碍”交流，一起唠家常、话发展、听民声、问民计，让村民代表逐一发表意见建议。对村民代表提出的合理意见建议，能立即解决的现场解决；暂时解决不了的，做出承诺限期解决。会后，形成会议纪要，明确相关事项的责任清单、任务清单，做到件件有着落、事事有回音，形成“征求、恳谈、解决、反馈”的格局。通过召开恳谈会，深入了解民意，分析发展形势，进一步改进工作作风，密切干群关系，确保任何时候村民家里事有人管、发生困难有人帮。</w:t>
      </w:r>
    </w:p>
    <w:p>
      <w:pPr>
        <w:pStyle w:val="9"/>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（三）解决一批群众“急难愁盼”问题。</w:t>
      </w:r>
      <w:r>
        <w:rPr>
          <w:rFonts w:hint="eastAsia" w:ascii="方正仿宋_GBK" w:hAnsi="方正仿宋_GBK" w:eastAsia="方正仿宋_GBK" w:cs="方正仿宋_GBK"/>
          <w:i w:val="0"/>
          <w:caps w:val="0"/>
          <w:color w:val="000000"/>
          <w:spacing w:val="0"/>
          <w:sz w:val="31"/>
          <w:szCs w:val="31"/>
        </w:rPr>
        <w:t>认真梳理、核实群众反映的“急难愁盼”问题，按轻重缓急进行归类建档。在充分征求群众意见、沟通交流的基础上，制定整改计划台账，明确整改责任、整改时限、整改标准和整改内容，集中各类资源为群众解决一批实际问题。一是围绕农村基础设施提档升级，解决好入户便道、农村路网改善等问题。二是围绕农村人居环境整治提升，启动村庄清洁行动秋冬季战役，各村（社区）要结合后叶镇“三帮三促”干部在身边活动，开展集中整治</w:t>
      </w:r>
      <w:r>
        <w:rPr>
          <w:rFonts w:hint="eastAsia" w:ascii="方正楷体_GBK" w:hAnsi="方正楷体_GBK" w:eastAsia="方正楷体_GBK" w:cs="方正楷体_GBK"/>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以“户户搞卫生，村村换新颜”为主题，组织村（社区）集中力量开展一次农村人居环境整治活动，重点抓好农村路边、河边、沟边、房边等区域的乱堆乱放、乱搭乱建、乱排乱流等问题。切实改善农村人居环境、扮靓村容村貌。三是围绕防止规模性返贫、增加群众收入等方面，结合县级公益性岗位，优先安置弱劳力、半劳力和无法外出、无业可就的脱贫人口及监测对象，促进群众就近就业。联系产业园业主，完善产业园联农带农机制，完善土地流转细则，带动农户在就近产业园务工。四是围绕巩固“两不愁三保障”成果，解决好住房、医疗、饮水等问题。常态化开展走访，发现一户，解决一户，动态清零一户，符合纳入监测的，必须按操作流程纳入监测，确保无漏评。五是围绕今年灾情、疫情突出问题，解决群众应对疫情影响和抗灾减灾恢复生产实际困难，用好“小额信贷”“富民贷”等金融政策。通过走访和院坝会，宣传小额信贷”“富民贷”政策，及时将有意愿申请贷款的人员资料提交给银行。</w:t>
      </w:r>
    </w:p>
    <w:p>
      <w:pPr>
        <w:pStyle w:val="9"/>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（四）化解一批矛盾纠纷。</w:t>
      </w:r>
      <w:r>
        <w:rPr>
          <w:rFonts w:hint="eastAsia" w:ascii="方正仿宋_GBK" w:hAnsi="方正仿宋_GBK" w:eastAsia="方正仿宋_GBK" w:cs="方正仿宋_GBK"/>
          <w:i w:val="0"/>
          <w:caps w:val="0"/>
          <w:color w:val="000000"/>
          <w:spacing w:val="0"/>
          <w:sz w:val="31"/>
          <w:szCs w:val="31"/>
        </w:rPr>
        <w:t>一是理顺干群关系。重点关注脱贫户、监测户、孤寡老人、贫困学生等弱势群体，开展人文关怀行动，通过走访慰问，将党和政府的关怀送到群众家中。（具体要求：按照“三看两问一判断”的方法、“两不愁三保障”的标准，再判断是否应纳入监测户）。收集群众对镇村干部工作作风评价及对镇村级发展规划的意见建议。二是理顺邻里关系。开展邻里互评行动，营造互帮互助氛围。号召全体在家农户养成良好的生活习惯，确保房前屋后杂物不乱堆、畜禽不乱跑，沿途不见白色垃圾。（具体要求：按照热爱集体、家庭和睦、孝顺父母、讲究卫生、勤劳友善五个方面进行邻里互评，本次邻里互评结果将作为年底评比活动重要参考）。三是调解一批日常积怨。开展矛盾纠纷排查走访，重点排查掌握历史遗留矛盾、经济纠纷、家庭纠纷等矛盾纠纷，深入分析原因，制定解决方案，加强思想教育引导，争取各方理解包容。同时，请乡贤人士为调解员，请退休“老法官”“老公安”等为乡村法律顾问，运用群众的办法去解决群众的问题，将矛盾纠纷化解在公堂之外。四是查处一批违法乱纪人和事。村党组织主动衔接司法调解、仲裁、行政裁决、行政复议、诉讼等司法力量，充分发挥法治震慑作用，对一些多年无理取闹上访、常年不尽赡养义务、经常家暴触犯法律的人和事，严肃依法依规查处一批。五是建立重大矛盾纠纷回访机制。对于调解成功的矛盾纠纷，由专人及时回访，防止调而不解、解而不和，推动建设充满活力、和谐有序的善治乡村。</w:t>
      </w:r>
    </w:p>
    <w:p>
      <w:pPr>
        <w:pStyle w:val="9"/>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（五）解读一次民生政策。</w:t>
      </w:r>
      <w:r>
        <w:rPr>
          <w:rFonts w:hint="eastAsia" w:ascii="方正仿宋_GBK" w:hAnsi="方正仿宋_GBK" w:eastAsia="方正仿宋_GBK" w:cs="方正仿宋_GBK"/>
          <w:i w:val="0"/>
          <w:caps w:val="0"/>
          <w:color w:val="000000"/>
          <w:spacing w:val="0"/>
          <w:sz w:val="31"/>
          <w:szCs w:val="31"/>
        </w:rPr>
        <w:t>参照《重庆市巩固拓展脱贫攻坚成果同乡村振兴有效衔接应知应会手册》、《云阳县巩固脱贫攻坚成果到人到户政策要点汇编》，通过漫画宣传手册、政策口袋书、政策解读会、院坝会、村务公示栏、宣传标语等群众喜闻乐见的形式，将相关政策进行一次翔实、系统、权威的解读，帮助群众梳理掌握自身享受的各类政策，打通政策落地的最后一公里，让群众能广泛知晓，基层干部能准确把握，人人都成为政策的明白人，个个都是政策执行的监督者，防止群众由于对政策不了解产生心理不平衡，干部对政策理解有偏差导致执行不公正，影响群众认可度。充分发挥村落中新乡贤作用，让他们既成为政策执行的带头人，又能为群众解疑释惑，让群众去做群众的工作，提升群众的获得感、幸福感。</w:t>
      </w:r>
    </w:p>
    <w:p>
      <w:pPr>
        <w:pStyle w:val="9"/>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（六）召开一次村民小组院坝会。</w:t>
      </w:r>
      <w:r>
        <w:rPr>
          <w:rFonts w:hint="default" w:ascii="Times New Roman" w:hAnsi="Times New Roman" w:cs="Times New Roman"/>
          <w:i w:val="0"/>
          <w:caps w:val="0"/>
          <w:color w:val="000000"/>
          <w:spacing w:val="0"/>
          <w:sz w:val="31"/>
          <w:szCs w:val="31"/>
        </w:rPr>
        <w:t>11</w:t>
      </w:r>
      <w:r>
        <w:rPr>
          <w:rFonts w:hint="eastAsia" w:ascii="方正仿宋_GBK" w:hAnsi="方正仿宋_GBK" w:eastAsia="方正仿宋_GBK" w:cs="方正仿宋_GBK"/>
          <w:i w:val="0"/>
          <w:caps w:val="0"/>
          <w:color w:val="000000"/>
          <w:spacing w:val="0"/>
          <w:sz w:val="31"/>
          <w:szCs w:val="31"/>
        </w:rPr>
        <w:t>月底前，各驻村领导、村支两委、驻村工作队深入到每个村（居）民小组，召开</w:t>
      </w:r>
      <w:r>
        <w:rPr>
          <w:rFonts w:hint="default" w:ascii="Times New Roman" w:hAnsi="Times New Roman"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次院坝会，着重做好</w:t>
      </w:r>
      <w:r>
        <w:rPr>
          <w:rFonts w:hint="default" w:ascii="Times New Roman" w:hAnsi="Times New Roman"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件事。一是通报年度工作成效情况。村（社区）党组织书记、驻村第一书记重点围绕巩固拓展脱贫攻坚成果、解决群众急难愁盼、提升工作作风、民生实事项目，诉说过去五年的重大变化（如集镇“白改黑”项目、管网工程、向阳水库及改扩建项目等）等方面工作情况现场述职，一一回应政策兑现情况、矛盾纠纷化解情况和群众“急难愁盼”问题解决情况，提升群众对村（社区）党组织的满意度和认可度。二是收集发展建议。通过介绍村情村况、发展规划，引导村民代表踊跃</w:t>
      </w:r>
      <w:r>
        <w:rPr>
          <w:rFonts w:hint="eastAsia" w:ascii="方正仿宋_GBK" w:hAnsi="方正仿宋_GBK" w:eastAsia="方正仿宋_GBK" w:cs="方正仿宋_GBK"/>
          <w:i w:val="0"/>
          <w:caps w:val="0"/>
          <w:color w:val="000000"/>
          <w:spacing w:val="0"/>
          <w:sz w:val="31"/>
          <w:szCs w:val="31"/>
          <w:lang w:eastAsia="zh-CN"/>
        </w:rPr>
        <w:t>建</w:t>
      </w:r>
      <w:r>
        <w:rPr>
          <w:rFonts w:hint="eastAsia" w:ascii="方正仿宋_GBK" w:hAnsi="方正仿宋_GBK" w:eastAsia="方正仿宋_GBK" w:cs="方正仿宋_GBK"/>
          <w:i w:val="0"/>
          <w:caps w:val="0"/>
          <w:color w:val="000000"/>
          <w:spacing w:val="0"/>
          <w:sz w:val="31"/>
          <w:szCs w:val="31"/>
        </w:rPr>
        <w:t>言献策，同群众探讨未来的发展规划，分享目前的建设动态，将符合村情实际、群众认可的发展建议纳入</w:t>
      </w:r>
      <w:r>
        <w:rPr>
          <w:rFonts w:hint="default" w:ascii="Times New Roman" w:hAnsi="Times New Roman" w:cs="Times New Roman"/>
          <w:i w:val="0"/>
          <w:caps w:val="0"/>
          <w:color w:val="000000"/>
          <w:spacing w:val="0"/>
          <w:sz w:val="31"/>
          <w:szCs w:val="31"/>
        </w:rPr>
        <w:t>2023</w:t>
      </w:r>
      <w:r>
        <w:rPr>
          <w:rFonts w:hint="eastAsia" w:ascii="方正仿宋_GBK" w:hAnsi="方正仿宋_GBK" w:eastAsia="方正仿宋_GBK" w:cs="方正仿宋_GBK"/>
          <w:i w:val="0"/>
          <w:caps w:val="0"/>
          <w:color w:val="000000"/>
          <w:spacing w:val="0"/>
          <w:sz w:val="31"/>
          <w:szCs w:val="31"/>
        </w:rPr>
        <w:t>年度村（社区）建设计划，推动“村务百姓拿主意，发展群众唱主角”，激发村民自治活力。三是回引本土人才。利用院坝会对在外务工返乡人员进行政策宣传，打好“乡情牌”“乡愁牌”,明确专人“一对一”联系、“点对点”回引有意向返乡创业就业人员，为乡村发展注入新鲜血液。</w:t>
      </w:r>
    </w:p>
    <w:p>
      <w:pPr>
        <w:pStyle w:val="9"/>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（七）形成一批接地气的村规民约。</w:t>
      </w:r>
      <w:r>
        <w:rPr>
          <w:rFonts w:hint="eastAsia" w:ascii="方正仿宋_GBK" w:hAnsi="方正仿宋_GBK" w:eastAsia="方正仿宋_GBK" w:cs="方正仿宋_GBK"/>
          <w:i w:val="0"/>
          <w:caps w:val="0"/>
          <w:color w:val="000000"/>
          <w:spacing w:val="0"/>
          <w:sz w:val="31"/>
          <w:szCs w:val="31"/>
        </w:rPr>
        <w:t>充分发挥村规民约在农村基层社会治理中的约束作用，深化村民自治实践，加强和改进乡村治理。强化党组织领导和把关，以村（社区）或者社（组）为单元，组织最广泛的村民参与，充分酝酿讨论，将村民最关心、最迫切需要解决的问题，用村民自发形成的村规民约来规范约束。拟定的村规民约要用群众的语言，将移风易俗、邻里和谐、尊老爱幼、勤俭节约、志愿服务、人居环境整治、乡村建设等内容纳入，积极倡导不办无事宴席、喜事新办、白事简办，对高价彩礼、大操大办、攀比浪费等不良风气进行规范限制。村规民约初稿形成后要几上几下，广泛征求村民小组及其他利益相关组织意见建议，修改完善，确保真正体现绝大多数群众意愿心声。要采取召开村民会议的方式，由本村三分之二以上村民代表对村规民约条款进行表决，经参加人员过半数同意通过、按下手印后，进行合法性审查备案。新制定的村规民约要及时张榜公布并印制传单分发到户，确保“我制定、我承诺、我执行”。同时，发挥红白理事会、道德评议会、乡贤评理堂等群众组织作用，建立健全村规民约监督奖惩机制，注重精神鼓励为主和物质奖励为辅相结合，着力解决有规不依、违约不究、执行不力和变形走样、走偏跑调等问题。</w:t>
      </w:r>
    </w:p>
    <w:p>
      <w:pPr>
        <w:pStyle w:val="9"/>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（八）选树一批各领域先进典型。</w:t>
      </w:r>
      <w:r>
        <w:rPr>
          <w:rFonts w:hint="eastAsia" w:ascii="方正仿宋_GBK" w:hAnsi="方正仿宋_GBK" w:eastAsia="方正仿宋_GBK" w:cs="方正仿宋_GBK"/>
          <w:i w:val="0"/>
          <w:caps w:val="0"/>
          <w:color w:val="000000"/>
          <w:spacing w:val="0"/>
          <w:sz w:val="31"/>
          <w:szCs w:val="31"/>
        </w:rPr>
        <w:t>广泛开展农村道德模范、感动人物、身边好人、最美人物、新时代好少年和文明村镇、文明家庭等评选活动，培树一批“过得硬、立得住、叫得响”的农民身边的道德典型，用榜样的力量感召人。各村（社区）在村公示栏设立红黑榜，多渠道多形式广泛宣传，用身边的典型教育人、引导人，激发群众内生动力。各村（社区）广泛开展清洁户、整洁庭院、赡养老人、邻里和谐等各类评比活动，探索推行上光荣榜、登曝光台等方式，引导村民改变不良生活习惯，让好人受到尊重，让陋习得以摒弃，形成积极向上向善乡村治理环境。积极探索建立乡贤回乡工作机制，鼓励引导本土走出去的离退休干部、教师、医生等新乡贤，返乡定居、创业养老，发挥新乡贤的示范引领作用。</w:t>
      </w:r>
    </w:p>
    <w:p>
      <w:pPr>
        <w:pStyle w:val="9"/>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caps w:val="0"/>
          <w:color w:val="000000"/>
          <w:spacing w:val="0"/>
          <w:sz w:val="21"/>
          <w:szCs w:val="21"/>
        </w:rPr>
      </w:pPr>
      <w:r>
        <w:rPr>
          <w:rFonts w:hint="eastAsia" w:ascii="方正黑体_GBK" w:hAnsi="方正黑体_GBK" w:eastAsia="方正黑体_GBK" w:cs="方正黑体_GBK"/>
          <w:i w:val="0"/>
          <w:caps w:val="0"/>
          <w:color w:val="000000"/>
          <w:spacing w:val="0"/>
          <w:sz w:val="31"/>
          <w:szCs w:val="31"/>
        </w:rPr>
        <w:t>四、工作要求</w:t>
      </w:r>
    </w:p>
    <w:p>
      <w:pPr>
        <w:pStyle w:val="9"/>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（一）加强组织领导。</w:t>
      </w:r>
      <w:r>
        <w:rPr>
          <w:rFonts w:hint="eastAsia" w:ascii="方正仿宋_GBK" w:hAnsi="方正仿宋_GBK" w:eastAsia="方正仿宋_GBK" w:cs="方正仿宋_GBK"/>
          <w:i w:val="0"/>
          <w:caps w:val="0"/>
          <w:color w:val="000000"/>
          <w:spacing w:val="0"/>
          <w:sz w:val="31"/>
          <w:szCs w:val="31"/>
        </w:rPr>
        <w:t>提升群众认可度是贯彻落实习近平总书记关于“让脱贫成效真正获得群众认可、经得起实践和历史检验”重要指示精神的必要举措，是巩固拓展脱贫攻坚成果的重要内容，是国家每年考核评估一个重要指标。各村（社区）要高度重视，认清群众的认可度越高，巩固拓展脱贫攻坚成果同乡村振兴有效衔接工作的动力和后劲就越足，要把提升群众认可度作为检验基层工作作风的重要载体，作为巩固拓展脱贫攻坚成果工作专班的重要内容，作为巩固拓展脱贫攻坚成果同乡村振兴有效衔接的一项日常工作抓紧抓好抓出成效。</w:t>
      </w:r>
    </w:p>
    <w:p>
      <w:pPr>
        <w:pStyle w:val="9"/>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（二）把握工作节奏。</w:t>
      </w:r>
      <w:r>
        <w:rPr>
          <w:rFonts w:hint="eastAsia" w:ascii="方正仿宋_GBK" w:hAnsi="方正仿宋_GBK" w:eastAsia="方正仿宋_GBK" w:cs="方正仿宋_GBK"/>
          <w:i w:val="0"/>
          <w:caps w:val="0"/>
          <w:color w:val="000000"/>
          <w:spacing w:val="0"/>
          <w:sz w:val="31"/>
          <w:szCs w:val="31"/>
        </w:rPr>
        <w:t>各村（社区）结合“八个一”专项行动具体实施方案和“三帮三促”活动，分层做好宣传动员、责任分工、人员组织等工作。</w:t>
      </w:r>
      <w:r>
        <w:rPr>
          <w:rFonts w:hint="default" w:ascii="Times New Roman" w:hAnsi="Times New Roman" w:cs="Times New Roman"/>
          <w:i w:val="0"/>
          <w:caps w:val="0"/>
          <w:color w:val="000000"/>
          <w:spacing w:val="0"/>
          <w:sz w:val="31"/>
          <w:szCs w:val="31"/>
        </w:rPr>
        <w:t>11</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日起，按照“八个一”专项行动要求，逐项组织开展工作。</w:t>
      </w:r>
      <w:r>
        <w:rPr>
          <w:rFonts w:hint="default" w:ascii="Times New Roman" w:hAnsi="Times New Roman" w:cs="Times New Roman"/>
          <w:i w:val="0"/>
          <w:caps w:val="0"/>
          <w:color w:val="000000"/>
          <w:spacing w:val="0"/>
          <w:sz w:val="31"/>
          <w:szCs w:val="31"/>
        </w:rPr>
        <w:t>11</w:t>
      </w:r>
      <w:r>
        <w:rPr>
          <w:rFonts w:hint="eastAsia" w:ascii="方正仿宋_GBK" w:hAnsi="方正仿宋_GBK" w:eastAsia="方正仿宋_GBK" w:cs="方正仿宋_GBK"/>
          <w:i w:val="0"/>
          <w:caps w:val="0"/>
          <w:color w:val="000000"/>
          <w:spacing w:val="0"/>
          <w:sz w:val="31"/>
          <w:szCs w:val="31"/>
        </w:rPr>
        <w:t>月下旬为总结提高阶段，各村（社区）对“八个一”专项行动进行总结梳理。</w:t>
      </w:r>
    </w:p>
    <w:p>
      <w:pPr>
        <w:pStyle w:val="9"/>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（三）注重统筹协调。</w:t>
      </w:r>
      <w:r>
        <w:rPr>
          <w:rFonts w:hint="eastAsia" w:ascii="方正仿宋_GBK" w:hAnsi="方正仿宋_GBK" w:eastAsia="方正仿宋_GBK" w:cs="方正仿宋_GBK"/>
          <w:i w:val="0"/>
          <w:caps w:val="0"/>
          <w:color w:val="000000"/>
          <w:spacing w:val="0"/>
          <w:sz w:val="31"/>
          <w:szCs w:val="31"/>
        </w:rPr>
        <w:t>成立后叶镇巩固拓展脱贫攻坚成果群众认可度提升行动专项工作组，由镇长为组长，负责统筹群众满意度提升行动协调、指导、督促工作；各驻村领导为成员，要在各村（社区）研究工作、解决问题、推动落实，结合实际，逐一细化分工、明确责任，确保工作更加有的放矢，务求取得实实在在成效。要与后叶镇干部在身边“三帮三促”活动结合起来开展，不额外增加工作负担，又达到活动效果和上级要求。</w:t>
      </w:r>
    </w:p>
    <w:p>
      <w:pPr>
        <w:pStyle w:val="9"/>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（四）严格考核督导。</w:t>
      </w:r>
      <w:r>
        <w:rPr>
          <w:rFonts w:hint="eastAsia" w:ascii="方正仿宋_GBK" w:hAnsi="方正仿宋_GBK" w:eastAsia="方正仿宋_GBK" w:cs="方正仿宋_GBK"/>
          <w:i w:val="0"/>
          <w:caps w:val="0"/>
          <w:color w:val="000000"/>
          <w:spacing w:val="0"/>
          <w:sz w:val="31"/>
          <w:szCs w:val="31"/>
        </w:rPr>
        <w:t>将提升群众认可度工作纳入镇级年度考核评估内容，在对群众认可度电话调查基础上，把“八个一”专项行动具体落实推进情况作为一项评估内容，重点评估领导是否有力、方案是否科学、推进是否有序，确保专项行动真正落到实处、见到实效。</w:t>
      </w:r>
    </w:p>
    <w:p>
      <w:pPr>
        <w:pStyle w:val="9"/>
        <w:keepNext w:val="0"/>
        <w:keepLines w:val="0"/>
        <w:widowControl/>
        <w:suppressLineNumbers w:val="0"/>
        <w:spacing w:before="0" w:beforeAutospacing="0" w:after="0" w:afterAutospacing="0" w:line="600" w:lineRule="atLeast"/>
        <w:ind w:left="0" w:right="0" w:firstLine="645"/>
        <w:jc w:val="both"/>
        <w:rPr>
          <w:rFonts w:hint="default" w:ascii="Calibri" w:hAnsi="Calibri" w:cs="Calibri"/>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（五）营造浓厚氛围。</w:t>
      </w:r>
      <w:r>
        <w:rPr>
          <w:rFonts w:hint="eastAsia" w:ascii="方正仿宋_GBK" w:hAnsi="方正仿宋_GBK" w:eastAsia="方正仿宋_GBK" w:cs="方正仿宋_GBK"/>
          <w:i w:val="0"/>
          <w:caps w:val="0"/>
          <w:color w:val="000000"/>
          <w:spacing w:val="0"/>
          <w:sz w:val="31"/>
          <w:szCs w:val="31"/>
        </w:rPr>
        <w:t>提升群众认可度不是一朝一夕、一蹴而就、一劳永逸的事情，要久久为功、持续用力。各村（社区）结合“八个一”专项行动、“三帮三促”活动，常态化开展走访和院坝会，要用群众喜闻乐见、善于接受的方式推动工作落实。要加强舆论引导，及时回应群众关切，不断提高群众政策的知晓度、工作的参与感，努力营造全社会关心支持巩固拓展脱贫攻坚成果同乡村振兴有效衔接的良好氛围。</w:t>
      </w:r>
    </w:p>
    <w:p>
      <w:pPr>
        <w:pStyle w:val="9"/>
        <w:keepNext w:val="0"/>
        <w:keepLines w:val="0"/>
        <w:widowControl/>
        <w:suppressLineNumbers w:val="0"/>
        <w:spacing w:before="0" w:beforeAutospacing="0" w:after="0" w:afterAutospacing="0" w:line="600" w:lineRule="atLeast"/>
        <w:ind w:left="0" w:right="0" w:firstLine="0"/>
        <w:jc w:val="both"/>
        <w:rPr>
          <w:rFonts w:hint="eastAsia"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  </w:t>
      </w:r>
    </w:p>
    <w:sectPr>
      <w:footerReference r:id="rId3" w:type="default"/>
      <w:footerReference r:id="rId4" w:type="even"/>
      <w:pgSz w:w="11906" w:h="16838"/>
      <w:pgMar w:top="1962" w:right="1474" w:bottom="1848"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思源宋体">
    <w:panose1 w:val="020205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8"/>
        <w:szCs w:val="28"/>
      </w:rPr>
    </w:pPr>
    <w:r>
      <w:rPr>
        <w:sz w:val="28"/>
      </w:rPr>
      <w:pict>
        <v:shape id="_x0000_s4097" o:spid="_x0000_s4097"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pPr>
                  <w:pStyle w:val="7"/>
                </w:pPr>
              </w:p>
            </w:txbxContent>
          </v:textbox>
        </v:shape>
      </w:pict>
    </w:r>
    <w:r>
      <w:rPr>
        <w:sz w:val="28"/>
      </w:rPr>
      <w:pict>
        <v:shape id="_x0000_s4099" o:spid="_x0000_s4099" o:spt="202" type="#_x0000_t202" style="position:absolute;left:0pt;margin-top:0.75pt;height:144pt;width:144pt;mso-position-horizontal:outside;mso-position-horizontal-relative:margin;mso-wrap-style:none;z-index:251659264;mso-width-relative:page;mso-height-relative:page;" filled="f" stroked="f" coordsize="21600,21600" o:gfxdata="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3k7T9sLVA3CpkSOS6B4brdDsm57Z&#10;3uRnEHOm6wxv+aZC8i3z4YE5tAIejGEJ91gKaZDE9BYlpXFf/3Ue41EheCmp0VoZ1ZgkSuQHjcoB&#10;MAyGG4z9YOijujPo1TGG0PLWxAUX5GAWzqgvmKBVzAEX0xyZMhoG8y507Y0J5GK1aoOO1lWHsruA&#10;vrMsbPXO8pgmCunt6hggZqtxFKhTpdcNnddWqZ+S2Np/7tuopz/D8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X2KYs0wAAAAYBAAAPAAAAAAAAAAEAIAAAACIAAABkcnMvZG93bnJldi54bWxQSwEC&#10;FAAUAAAACACHTuJAf46tETICAABhBAAADgAAAAAAAAABACAAAAAiAQAAZHJzL2Uyb0RvYy54bWxQ&#10;SwUGAAAAAAYABgBZAQAAxgUAAAAA&#10;">
          <v:path/>
          <v:fill on="f" focussize="0,0"/>
          <v:stroke on="f" weight="0.5pt" joinstyle="miter"/>
          <v:imagedata o:title=""/>
          <o:lock v:ext="edit"/>
          <v:textbox inset="0mm,0mm,0mm,0mm" style="mso-fit-shape-to-text:t;">
            <w:txbxContent>
              <w:p>
                <w:pPr>
                  <w:pStyle w:val="7"/>
                  <w:wordWrap w:val="0"/>
                  <w:jc w:val="right"/>
                  <w:rPr>
                    <w:rFonts w:ascii="宋体" w:hAnsi="宋体" w:eastAsia="宋体" w:cs="宋体"/>
                    <w:sz w:val="28"/>
                    <w:szCs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100" o:spid="_x0000_s4100"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RiMmY5ODBmYWU3Njc2MjcxNjgxZWRjMDAyODEyODAifQ=="/>
  </w:docVars>
  <w:rsids>
    <w:rsidRoot w:val="00D93519"/>
    <w:rsid w:val="00292892"/>
    <w:rsid w:val="00502617"/>
    <w:rsid w:val="00546E2B"/>
    <w:rsid w:val="008137BF"/>
    <w:rsid w:val="00951FEC"/>
    <w:rsid w:val="00A22B6C"/>
    <w:rsid w:val="00A701AC"/>
    <w:rsid w:val="00AA6DD6"/>
    <w:rsid w:val="00B4129A"/>
    <w:rsid w:val="00D93519"/>
    <w:rsid w:val="02E17112"/>
    <w:rsid w:val="079F5497"/>
    <w:rsid w:val="086E3C5D"/>
    <w:rsid w:val="09CB0698"/>
    <w:rsid w:val="0F700EAB"/>
    <w:rsid w:val="117900F2"/>
    <w:rsid w:val="1DF65E5E"/>
    <w:rsid w:val="1E9675D8"/>
    <w:rsid w:val="21BC3427"/>
    <w:rsid w:val="23B37B41"/>
    <w:rsid w:val="3FB928FC"/>
    <w:rsid w:val="3FB969DD"/>
    <w:rsid w:val="40FA4E7B"/>
    <w:rsid w:val="42841B69"/>
    <w:rsid w:val="47AC176F"/>
    <w:rsid w:val="484B3A68"/>
    <w:rsid w:val="4A850FF8"/>
    <w:rsid w:val="4F3776A4"/>
    <w:rsid w:val="50B320D8"/>
    <w:rsid w:val="52E90DF5"/>
    <w:rsid w:val="53ED1D49"/>
    <w:rsid w:val="53EDD36D"/>
    <w:rsid w:val="5F64242D"/>
    <w:rsid w:val="5FA21BC8"/>
    <w:rsid w:val="64025D70"/>
    <w:rsid w:val="657EC2D1"/>
    <w:rsid w:val="67C81B4F"/>
    <w:rsid w:val="70DD2762"/>
    <w:rsid w:val="77297DE4"/>
    <w:rsid w:val="7C2D5C29"/>
    <w:rsid w:val="9D567932"/>
    <w:rsid w:val="AC7EEA56"/>
    <w:rsid w:val="EFE1D3E1"/>
    <w:rsid w:val="FD1DEE5F"/>
    <w:rsid w:val="FDFD1D01"/>
    <w:rsid w:val="FDFF6662"/>
    <w:rsid w:val="FEF6B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customStyle="1" w:styleId="3">
    <w:name w:val="TOC 51"/>
    <w:basedOn w:val="1"/>
    <w:next w:val="1"/>
    <w:unhideWhenUsed/>
    <w:qFormat/>
    <w:uiPriority w:val="39"/>
    <w:pPr>
      <w:spacing w:line="600" w:lineRule="exact"/>
      <w:ind w:firstLine="200" w:firstLineChars="200"/>
      <w:jc w:val="left"/>
    </w:pPr>
    <w:rPr>
      <w:rFonts w:ascii="方正黑体_GBK" w:eastAsia="方正黑体_GBK"/>
    </w:rPr>
  </w:style>
  <w:style w:type="paragraph" w:styleId="5">
    <w:name w:val="Normal Indent"/>
    <w:basedOn w:val="1"/>
    <w:next w:val="1"/>
    <w:qFormat/>
    <w:uiPriority w:val="0"/>
    <w:pPr>
      <w:ind w:firstLine="567"/>
    </w:pPr>
  </w:style>
  <w:style w:type="paragraph" w:styleId="6">
    <w:name w:val="toc 5"/>
    <w:basedOn w:val="1"/>
    <w:next w:val="1"/>
    <w:unhideWhenUsed/>
    <w:qFormat/>
    <w:uiPriority w:val="39"/>
    <w:pPr>
      <w:ind w:left="1680" w:leftChars="800"/>
    </w:pPr>
    <w:rPr>
      <w:rFonts w:ascii="Calibri" w:hAnsi="Calibri" w:eastAsia="宋体"/>
      <w:szCs w:val="22"/>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2">
    <w:name w:val="BodyText"/>
    <w:basedOn w:val="1"/>
    <w:next w:val="13"/>
    <w:qFormat/>
    <w:uiPriority w:val="99"/>
  </w:style>
  <w:style w:type="paragraph" w:customStyle="1" w:styleId="13">
    <w:name w:val="TOC5"/>
    <w:basedOn w:val="1"/>
    <w:next w:val="1"/>
    <w:qFormat/>
    <w:uiPriority w:val="0"/>
    <w:pPr>
      <w:spacing w:line="600" w:lineRule="exact"/>
      <w:ind w:firstLine="200" w:firstLineChars="200"/>
      <w:textAlignment w:val="baseline"/>
    </w:pPr>
    <w:rPr>
      <w:rFonts w:ascii="方正黑体_GBK" w:eastAsia="方正黑体_GBK"/>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customShpInfo spid="_x0000_s4099"/>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5420</Words>
  <Characters>5463</Characters>
  <Lines>43</Lines>
  <Paragraphs>12</Paragraphs>
  <TotalTime>24</TotalTime>
  <ScaleCrop>false</ScaleCrop>
  <LinksUpToDate>false</LinksUpToDate>
  <CharactersWithSpaces>5558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2022-10-10T09:39:00Z</dcterms:created>
  <dc:creator>Administrator</dc:creator>
  <cp:lastModifiedBy>user</cp:lastModifiedBy>
  <cp:lastPrinted>2022-11-13T11:12:00Z</cp:lastPrinted>
  <dcterms:modified xsi:type="dcterms:W3CDTF">2024-12-04T15:32:19Z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47361F8C320A43A1B17D299F674F52D9</vt:lpwstr>
  </property>
</Properties>
</file>