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D65FB">
      <w:pPr>
        <w:spacing w:line="580" w:lineRule="exact"/>
        <w:jc w:val="center"/>
        <w:outlineLvl w:val="0"/>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 xml:space="preserve"> </w:t>
      </w:r>
    </w:p>
    <w:p w14:paraId="1A2011BA">
      <w:pPr>
        <w:spacing w:line="580" w:lineRule="exact"/>
        <w:jc w:val="center"/>
        <w:outlineLvl w:val="0"/>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 xml:space="preserve"> </w:t>
      </w:r>
    </w:p>
    <w:p w14:paraId="5F4A4EF6">
      <w:pPr>
        <w:spacing w:line="580" w:lineRule="exact"/>
        <w:jc w:val="center"/>
        <w:outlineLvl w:val="0"/>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 xml:space="preserve"> </w:t>
      </w:r>
    </w:p>
    <w:p w14:paraId="1EE70B03">
      <w:pPr>
        <w:spacing w:line="580" w:lineRule="exact"/>
        <w:jc w:val="center"/>
        <w:outlineLvl w:val="0"/>
        <w:rPr>
          <w:rFonts w:ascii="Times New Roman" w:hAnsi="Times New Roman" w:eastAsia="方正小标宋_GBK" w:cs="Times New Roman"/>
          <w:sz w:val="36"/>
          <w:szCs w:val="36"/>
        </w:rPr>
      </w:pPr>
      <w:bookmarkStart w:id="0" w:name="_Toc20564"/>
      <w:r>
        <w:rPr>
          <w:rFonts w:hint="eastAsia" w:ascii="Times New Roman" w:hAnsi="Times New Roman" w:eastAsia="方正小标宋_GBK" w:cs="Times New Roman"/>
          <w:sz w:val="36"/>
          <w:szCs w:val="36"/>
        </w:rPr>
        <w:t xml:space="preserve"> </w:t>
      </w:r>
      <w:bookmarkEnd w:id="0"/>
    </w:p>
    <w:p w14:paraId="4AE9156C">
      <w:pPr>
        <w:spacing w:line="580" w:lineRule="exact"/>
        <w:jc w:val="center"/>
        <w:rPr>
          <w:rFonts w:ascii="Times New Roman" w:hAnsi="Times New Roman" w:eastAsia="方正小标宋_GBK" w:cs="Times New Roman"/>
          <w:sz w:val="36"/>
          <w:szCs w:val="36"/>
        </w:rPr>
      </w:pPr>
    </w:p>
    <w:p w14:paraId="21C109DB">
      <w:pPr>
        <w:spacing w:line="580" w:lineRule="exact"/>
        <w:jc w:val="center"/>
        <w:rPr>
          <w:rFonts w:ascii="Times New Roman" w:hAnsi="Times New Roman" w:eastAsia="方正小标宋_GBK" w:cs="Times New Roman"/>
          <w:sz w:val="36"/>
          <w:szCs w:val="36"/>
        </w:rPr>
      </w:pPr>
    </w:p>
    <w:p w14:paraId="72BA49E5">
      <w:pPr>
        <w:spacing w:line="580" w:lineRule="exact"/>
        <w:jc w:val="center"/>
        <w:rPr>
          <w:rFonts w:ascii="Times New Roman" w:hAnsi="Times New Roman" w:eastAsia="方正小标宋_GBK" w:cs="Times New Roman"/>
          <w:sz w:val="36"/>
          <w:szCs w:val="36"/>
        </w:rPr>
      </w:pPr>
    </w:p>
    <w:p w14:paraId="6811F102">
      <w:pPr>
        <w:spacing w:line="580" w:lineRule="exact"/>
        <w:ind w:firstLine="320" w:firstLineChars="100"/>
        <w:outlineLvl w:val="0"/>
        <w:rPr>
          <w:rFonts w:ascii="方正楷体_GBK" w:hAnsi="Times New Roman" w:eastAsia="方正仿宋_GBK" w:cs="Times New Roman"/>
          <w:sz w:val="32"/>
          <w:szCs w:val="32"/>
        </w:rPr>
      </w:pPr>
      <w:bookmarkStart w:id="1" w:name="_Toc22167"/>
      <w:r>
        <w:rPr>
          <w:rFonts w:ascii="Times New Roman" w:hAnsi="Times New Roman" w:eastAsia="方正仿宋_GBK" w:cs="Times New Roman"/>
          <w:sz w:val="32"/>
          <w:szCs w:val="32"/>
        </w:rPr>
        <w:t>故陵</w:t>
      </w:r>
      <w:r>
        <w:rPr>
          <w:rFonts w:hint="eastAsia" w:ascii="Times New Roman" w:hAnsi="Times New Roman" w:eastAsia="方正仿宋_GBK" w:cs="Times New Roman"/>
          <w:sz w:val="32"/>
          <w:szCs w:val="32"/>
        </w:rPr>
        <w:t>委文</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签发人：</w:t>
      </w:r>
      <w:bookmarkEnd w:id="1"/>
      <w:r>
        <w:rPr>
          <w:rFonts w:hint="eastAsia" w:ascii="方正楷体_GBK" w:hAnsi="Times New Roman" w:eastAsia="方正楷体_GBK" w:cs="Times New Roman"/>
          <w:sz w:val="32"/>
          <w:szCs w:val="32"/>
        </w:rPr>
        <w:t>谢盛  张术清</w:t>
      </w:r>
    </w:p>
    <w:p w14:paraId="3121CCE1">
      <w:pPr>
        <w:spacing w:line="580" w:lineRule="exact"/>
        <w:jc w:val="center"/>
        <w:rPr>
          <w:rFonts w:ascii="Times New Roman" w:hAnsi="Times New Roman" w:eastAsia="方正小标宋_GBK" w:cs="Times New Roman"/>
          <w:sz w:val="36"/>
          <w:szCs w:val="36"/>
        </w:rPr>
      </w:pPr>
    </w:p>
    <w:p w14:paraId="4F1F98B9">
      <w:pPr>
        <w:pStyle w:val="2"/>
        <w:spacing w:after="0" w:line="580" w:lineRule="exact"/>
        <w:rPr>
          <w:rFonts w:ascii="Times New Roman" w:hAnsi="Times New Roman"/>
        </w:rPr>
      </w:pPr>
    </w:p>
    <w:p w14:paraId="415B0023">
      <w:pPr>
        <w:spacing w:line="720" w:lineRule="exact"/>
        <w:jc w:val="center"/>
        <w:rPr>
          <w:rFonts w:ascii="Times New Roman" w:hAnsi="Times New Roman" w:eastAsia="方正小标宋_GBK"/>
          <w:sz w:val="44"/>
          <w:szCs w:val="44"/>
        </w:rPr>
      </w:pPr>
      <w:bookmarkStart w:id="2" w:name="_Toc26346"/>
      <w:r>
        <w:rPr>
          <w:rFonts w:ascii="Times New Roman" w:eastAsia="方正小标宋_GBK"/>
          <w:sz w:val="44"/>
          <w:szCs w:val="44"/>
        </w:rPr>
        <w:t>中共云阳县故陵镇委员会</w:t>
      </w:r>
    </w:p>
    <w:p w14:paraId="1C823A56">
      <w:pPr>
        <w:spacing w:line="720" w:lineRule="exact"/>
        <w:jc w:val="center"/>
        <w:rPr>
          <w:rFonts w:ascii="Times New Roman" w:hAnsi="Times New Roman" w:eastAsia="方正小标宋_GBK"/>
          <w:w w:val="115"/>
          <w:sz w:val="44"/>
          <w:szCs w:val="44"/>
        </w:rPr>
      </w:pPr>
      <w:r>
        <w:rPr>
          <w:rFonts w:ascii="Times New Roman" w:eastAsia="方正小标宋_GBK"/>
          <w:w w:val="115"/>
          <w:sz w:val="44"/>
          <w:szCs w:val="44"/>
        </w:rPr>
        <w:t>云阳县故陵镇人民政府</w:t>
      </w:r>
    </w:p>
    <w:bookmarkEnd w:id="2"/>
    <w:p w14:paraId="3EC374CF">
      <w:pPr>
        <w:spacing w:line="720" w:lineRule="exact"/>
        <w:ind w:firstLine="1100" w:firstLineChars="250"/>
        <w:jc w:val="left"/>
        <w:outlineLvl w:val="0"/>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关于2022年法治政府建设情况的报告</w:t>
      </w:r>
    </w:p>
    <w:p w14:paraId="5E1514DF">
      <w:pPr>
        <w:spacing w:line="578" w:lineRule="exact"/>
        <w:ind w:firstLine="1100" w:firstLineChars="25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 xml:space="preserve"> </w:t>
      </w:r>
    </w:p>
    <w:p w14:paraId="32D4BE86">
      <w:pPr>
        <w:spacing w:line="578" w:lineRule="exac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县委、县政府：</w:t>
      </w:r>
    </w:p>
    <w:p w14:paraId="2EBB23A5">
      <w:pPr>
        <w:spacing w:line="578"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2022年，在县委、县政府的正确领导下，在全面依法治县委员会的具体指导下，故陵镇坚持以习近平新时代中国特色社会主义思想为指导，推动学习宣传贯彻习近平法治思想走深走实，对照《2022年全县法治政府建设工作要点》（云阳府发〔2022〕10号）目标任务，加强组织领导，扎实推进我镇法治建设，现将2022年法治政府建设情况报告如下：</w:t>
      </w:r>
    </w:p>
    <w:p w14:paraId="23A33755">
      <w:pPr>
        <w:spacing w:line="578" w:lineRule="exact"/>
        <w:ind w:left="-420" w:leftChars="-200" w:firstLine="800" w:firstLineChars="250"/>
        <w:outlineLvl w:val="0"/>
        <w:rPr>
          <w:rFonts w:ascii="Times New Roman" w:hAnsi="方正黑体_GBK" w:eastAsia="方正黑体_GBK" w:cs="方正黑体_GBK"/>
          <w:sz w:val="32"/>
          <w:szCs w:val="32"/>
        </w:rPr>
      </w:pPr>
      <w:bookmarkStart w:id="3" w:name="_Toc14465"/>
      <w:r>
        <w:rPr>
          <w:rFonts w:hint="eastAsia" w:ascii="Times New Roman" w:hAnsi="方正黑体_GBK" w:eastAsia="方正黑体_GBK" w:cs="方正黑体_GBK"/>
          <w:sz w:val="32"/>
          <w:szCs w:val="32"/>
        </w:rPr>
        <w:t>一、2022年</w:t>
      </w:r>
      <w:bookmarkEnd w:id="3"/>
      <w:r>
        <w:rPr>
          <w:rFonts w:hint="eastAsia" w:ascii="Times New Roman" w:hAnsi="方正黑体_GBK" w:eastAsia="方正黑体_GBK" w:cs="方正黑体_GBK"/>
          <w:sz w:val="32"/>
          <w:szCs w:val="32"/>
        </w:rPr>
        <w:t>推进法治政府建设的主要举措和成效</w:t>
      </w:r>
    </w:p>
    <w:p w14:paraId="56DDCB2E">
      <w:pPr>
        <w:spacing w:line="578" w:lineRule="exact"/>
        <w:ind w:left="-420" w:leftChars="-200" w:firstLine="640" w:firstLineChars="200"/>
        <w:outlineLvl w:val="1"/>
        <w:rPr>
          <w:rFonts w:ascii="Times New Roman" w:hAnsi="Times New Roman" w:eastAsia="方正楷体_GBK" w:cs="楷体"/>
          <w:sz w:val="32"/>
          <w:szCs w:val="32"/>
        </w:rPr>
      </w:pPr>
      <w:bookmarkStart w:id="4" w:name="_Toc24956"/>
      <w:r>
        <w:rPr>
          <w:rFonts w:hint="eastAsia" w:ascii="Times New Roman" w:hAnsi="Times New Roman" w:eastAsia="方正楷体_GBK" w:cs="楷体"/>
          <w:sz w:val="32"/>
          <w:szCs w:val="32"/>
        </w:rPr>
        <w:t>（一）</w:t>
      </w:r>
      <w:bookmarkEnd w:id="4"/>
      <w:r>
        <w:rPr>
          <w:rFonts w:hint="eastAsia" w:ascii="Times New Roman" w:hAnsi="Times New Roman" w:eastAsia="方正楷体_GBK" w:cs="楷体"/>
          <w:sz w:val="32"/>
          <w:szCs w:val="32"/>
        </w:rPr>
        <w:t>学习贯彻习近平法治思想，统筹谋划法治政府建设</w:t>
      </w:r>
    </w:p>
    <w:p w14:paraId="6CFE9EE4">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今年以来，故陵镇广泛开展习近平法治思想学习培训。一是全面贯彻落实习近平法治思想和中央全面依法治国工作会议精神及县委全面依法治县工作会议精神。二是通过召开党委会、理论学习中心组学习会、干部职工会等形式把习近平法治思想作为干部学习的重点课程。三是加强法治队伍建设，共培养法律明白人130人，有力的推进了习近平法治思想进机关、进企业、进校园、进社区、进农村。</w:t>
      </w:r>
    </w:p>
    <w:p w14:paraId="08077F3A">
      <w:pPr>
        <w:spacing w:line="578" w:lineRule="exact"/>
        <w:ind w:left="-420" w:leftChars="-200" w:firstLine="640" w:firstLineChars="200"/>
        <w:outlineLvl w:val="1"/>
        <w:rPr>
          <w:rFonts w:ascii="Times New Roman" w:hAnsi="Times New Roman" w:eastAsia="方正楷体_GBK" w:cs="楷体"/>
          <w:sz w:val="32"/>
          <w:szCs w:val="32"/>
        </w:rPr>
      </w:pPr>
      <w:bookmarkStart w:id="5" w:name="_Toc26809"/>
      <w:r>
        <w:rPr>
          <w:rFonts w:hint="eastAsia" w:ascii="Times New Roman" w:hAnsi="Times New Roman" w:eastAsia="方正楷体_GBK" w:cs="楷体"/>
          <w:sz w:val="32"/>
          <w:szCs w:val="32"/>
        </w:rPr>
        <w:t>（二）</w:t>
      </w:r>
      <w:bookmarkEnd w:id="5"/>
      <w:r>
        <w:rPr>
          <w:rFonts w:hint="eastAsia" w:ascii="Times New Roman" w:hAnsi="Times New Roman" w:eastAsia="方正楷体_GBK" w:cs="楷体"/>
          <w:sz w:val="32"/>
          <w:szCs w:val="32"/>
        </w:rPr>
        <w:t>健全政府机构职能体系，持续提高依法执政水平</w:t>
      </w:r>
    </w:p>
    <w:p w14:paraId="3BBBC5B4">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故陵镇党委政府高度重视法治建设，镇党委、政府把法治创建工作纳入了重要议事日程。一是成立了以镇党委书记为组长，镇长、政法委员为副组长，其他班子成员为成员的法治政府建设工作领导小组。二是完善工作运行机制，将每项重点任务详细分解，明确了法治政府创建工作的主要任务和目标。三是成立了以蒋水清同志为组长的督查小组，负责督查镇党委、政府交办的各项中心工作，对镇党委、政府重大决策和重要工作部署进行督办催办、检查成效，有效的提高了各科室及村（社区）的办事效率。</w:t>
      </w:r>
    </w:p>
    <w:p w14:paraId="2BDABC83">
      <w:pPr>
        <w:spacing w:line="578" w:lineRule="exact"/>
        <w:ind w:left="-420" w:leftChars="-200" w:firstLine="640" w:firstLineChars="200"/>
        <w:outlineLvl w:val="1"/>
        <w:rPr>
          <w:rFonts w:ascii="Times New Roman" w:hAnsi="Times New Roman" w:eastAsia="方正楷体_GBK" w:cs="楷体"/>
          <w:sz w:val="32"/>
          <w:szCs w:val="32"/>
        </w:rPr>
      </w:pPr>
      <w:bookmarkStart w:id="6" w:name="_Toc31267"/>
      <w:r>
        <w:rPr>
          <w:rFonts w:hint="eastAsia" w:ascii="Times New Roman" w:hAnsi="Times New Roman" w:eastAsia="方正楷体_GBK" w:cs="楷体"/>
          <w:sz w:val="32"/>
          <w:szCs w:val="32"/>
        </w:rPr>
        <w:t>（三）健全依法行政制度体系，着力提升政务服务水平</w:t>
      </w:r>
    </w:p>
    <w:p w14:paraId="3ACD0FF9">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政务服务是一个单位的窗口，故陵镇着力简化办事程序，提高工作效率和服务水平，体现为民、便民、利民和建设“责任、阳光、高效、廉政”单位形象的平台，政务服务也是党组织和党员干部践行“全心全意为人民服务”宗旨的具体体现。同时，在村（社区）推行周末值班制度方便群众办事。多措并举，不断提升服务水平。</w:t>
      </w:r>
    </w:p>
    <w:p w14:paraId="02F174E5">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为提高政务公开工作效率,确保政府信息公开工作依法、有序进行，故陵镇制定了《故陵镇政府信息公开制度》，不断加强政务公开工作组织领导，完善政务公开工作机制，推动政务公开标准化规范化发展，认真落实政务公开的各项内容，依法行政，努力构造阳光型政府。</w:t>
      </w:r>
    </w:p>
    <w:bookmarkEnd w:id="6"/>
    <w:p w14:paraId="34870795">
      <w:pPr>
        <w:spacing w:line="578" w:lineRule="exact"/>
        <w:ind w:left="-420" w:leftChars="-200" w:firstLine="640" w:firstLineChars="200"/>
        <w:outlineLvl w:val="1"/>
        <w:rPr>
          <w:rFonts w:ascii="Times New Roman" w:hAnsi="方正仿宋_GBK" w:eastAsia="方正仿宋_GBK" w:cs="方正仿宋_GBK"/>
          <w:sz w:val="32"/>
          <w:szCs w:val="32"/>
        </w:rPr>
      </w:pPr>
      <w:bookmarkStart w:id="7" w:name="_Toc13838"/>
      <w:r>
        <w:rPr>
          <w:rFonts w:hint="eastAsia" w:ascii="Times New Roman" w:hAnsi="方正仿宋_GBK" w:eastAsia="方正仿宋_GBK" w:cs="方正仿宋_GBK"/>
          <w:sz w:val="32"/>
          <w:szCs w:val="32"/>
        </w:rPr>
        <w:t>为提高群众的法律意识，故陵镇广泛开展政策宣传工作，充分利用赶场时间组织集中宣传活动。在</w:t>
      </w:r>
      <w:r>
        <w:rPr>
          <w:rFonts w:hint="eastAsia" w:ascii="Times New Roman" w:hAnsi="方正仿宋_GBK" w:eastAsia="方正仿宋_GBK" w:cs="方正仿宋_GBK"/>
          <w:sz w:val="32"/>
          <w:szCs w:val="32"/>
          <w:lang w:eastAsia="zh-CN"/>
        </w:rPr>
        <w:t>“4·15”全民国家安全教育日</w:t>
      </w:r>
      <w:bookmarkStart w:id="11" w:name="_GoBack"/>
      <w:bookmarkEnd w:id="11"/>
      <w:r>
        <w:rPr>
          <w:rFonts w:hint="eastAsia" w:ascii="Times New Roman" w:hAnsi="方正仿宋_GBK" w:eastAsia="方正仿宋_GBK" w:cs="方正仿宋_GBK"/>
          <w:sz w:val="32"/>
          <w:szCs w:val="32"/>
        </w:rPr>
        <w:t>、6月26日国际禁毒日、</w:t>
      </w:r>
      <w:r>
        <w:rPr>
          <w:rFonts w:hint="eastAsia" w:ascii="Times New Roman" w:hAnsi="方正仿宋_GBK" w:eastAsia="方正仿宋_GBK" w:cs="方正仿宋_GBK"/>
          <w:sz w:val="32"/>
          <w:szCs w:val="32"/>
          <w:lang w:eastAsia="zh-CN"/>
        </w:rPr>
        <w:t>“12·4”国家宪法日</w:t>
      </w:r>
      <w:r>
        <w:rPr>
          <w:rFonts w:hint="eastAsia" w:ascii="Times New Roman" w:hAnsi="方正仿宋_GBK" w:eastAsia="方正仿宋_GBK" w:cs="方正仿宋_GBK"/>
          <w:sz w:val="32"/>
          <w:szCs w:val="32"/>
        </w:rPr>
        <w:t>等重要法定节点，组织司法所、派出所等有关单位进行集中宣传活动，通过发放海报、LED屏播放视频等方式向民众普及法律知识，并在各个村（社区）张贴标语、制作宣传专栏，让普法宣传充分融入广大群众的日常生活。通过漫画折页、口袋书、手提袋、挂历、围裙等多种载体进行宣传。用这些贴近群众生活、群众喜闻乐见的方式，引导和帮助群众树立法治意识，凝聚法治正能量，传播法治精神，真正做到把法治宣传教育融入百姓生活，推动法治政府建设工作高质量发展。</w:t>
      </w:r>
    </w:p>
    <w:p w14:paraId="6C3A5AA1">
      <w:pPr>
        <w:spacing w:line="578" w:lineRule="exact"/>
        <w:ind w:left="-420" w:leftChars="-200" w:firstLine="640" w:firstLineChars="200"/>
        <w:outlineLvl w:val="1"/>
        <w:rPr>
          <w:rFonts w:ascii="Times New Roman" w:hAnsi="Times New Roman" w:eastAsia="方正楷体_GBK" w:cs="楷体"/>
          <w:sz w:val="32"/>
          <w:szCs w:val="32"/>
        </w:rPr>
      </w:pPr>
      <w:r>
        <w:rPr>
          <w:rFonts w:hint="eastAsia" w:ascii="Times New Roman" w:hAnsi="Times New Roman" w:eastAsia="方正楷体_GBK" w:cs="楷体"/>
          <w:sz w:val="32"/>
          <w:szCs w:val="32"/>
        </w:rPr>
        <w:t>（四）健全行政决策制度体系，不断提升行政决策公信力</w:t>
      </w:r>
    </w:p>
    <w:p w14:paraId="7CBA5514">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故陵镇深入推进法律顾问制度建设，按照云阳县关于推进政府法律顾问制度工作的要求，通过与云阳县龙脊律师事务所签定协议，优化法律服务，遇有重要法律事务，由律师为相关事项提供法律服务。对重大决策、重要事项听取法律顾问的意见，签订合同、处理纠纷时，由律师帮忙把关审核合同及协议。扎实推进法律顾问制度落实，充分发挥法律顾问在重大行政决策中的积极作用。</w:t>
      </w:r>
    </w:p>
    <w:p w14:paraId="3197F5B2">
      <w:pPr>
        <w:spacing w:line="578" w:lineRule="exact"/>
        <w:ind w:left="-420" w:leftChars="-200" w:firstLine="640" w:firstLineChars="200"/>
        <w:outlineLvl w:val="1"/>
        <w:rPr>
          <w:rFonts w:ascii="Times New Roman" w:hAnsi="Times New Roman" w:eastAsia="方正仿宋_GBK" w:cs="Times New Roman"/>
          <w:sz w:val="32"/>
          <w:szCs w:val="32"/>
        </w:rPr>
      </w:pPr>
      <w:r>
        <w:rPr>
          <w:rFonts w:hint="eastAsia" w:ascii="Times New Roman" w:hAnsi="方正仿宋_GBK" w:eastAsia="方正仿宋_GBK" w:cs="方正仿宋_GBK"/>
          <w:sz w:val="32"/>
          <w:szCs w:val="32"/>
        </w:rPr>
        <w:t>同时，故陵镇加强行政决策执行和评估，完善行政决策执行机制，决策机关在决策中明确执行主体、执行目标、执行时限、执行反馈等内容。完善执行主体向决策机关报告决策执行情况机制，充分发挥法治督察作用，适时评估重大行政决策落实情况，强化评估结果的运用。重大行政决策一经作出，未经法定程序不得随意变更或者停止执行。严格落实重大行政决策终身责任追究制度和责任倒查机制。严格落实《重大行政决策程序暂行规定》，确保所有重大行政决策都严格履行合法性审查和集体讨论决定程序。</w:t>
      </w:r>
    </w:p>
    <w:p w14:paraId="095A164C">
      <w:pPr>
        <w:spacing w:line="578" w:lineRule="exact"/>
        <w:ind w:left="-420" w:leftChars="-200" w:firstLine="640" w:firstLineChars="200"/>
        <w:outlineLvl w:val="1"/>
        <w:rPr>
          <w:rFonts w:ascii="Times New Roman" w:hAnsi="Times New Roman" w:eastAsia="方正楷体_GBK" w:cs="楷体"/>
          <w:sz w:val="32"/>
          <w:szCs w:val="32"/>
        </w:rPr>
      </w:pPr>
      <w:r>
        <w:rPr>
          <w:rFonts w:hint="eastAsia" w:ascii="Times New Roman" w:hAnsi="Times New Roman" w:eastAsia="方正楷体_GBK" w:cs="楷体"/>
          <w:sz w:val="32"/>
          <w:szCs w:val="32"/>
        </w:rPr>
        <w:t>（五）</w:t>
      </w:r>
      <w:bookmarkEnd w:id="7"/>
      <w:r>
        <w:rPr>
          <w:rFonts w:hint="eastAsia" w:ascii="Times New Roman" w:hAnsi="Times New Roman" w:eastAsia="方正楷体_GBK" w:cs="楷体"/>
          <w:sz w:val="32"/>
          <w:szCs w:val="32"/>
        </w:rPr>
        <w:t>健全行政执法工作体系，全面推进严格规范公正文明执法</w:t>
      </w:r>
    </w:p>
    <w:p w14:paraId="1271FC55">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加强综合行政执法队伍建设，形成了各司其职、各负其责的工作格局。持续加强食品药品、生态环境、城市管理、卫生健康、安全生产、互联网服务等关系人民群众切身利益的重点领域执法，加大对违法行为处罚力度。</w:t>
      </w:r>
    </w:p>
    <w:p w14:paraId="0791477B">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为深入贯彻落实行政执法“三项制度”工作要求，结合工作实际，全面推行行政执法公示制度、执法全过程记录制度、重大执法决定法制审核制度，专门召开工作部署会议，成立了领导小组，制定了具体实施方案和工作措施，落实责任科室和工作职责，积极开展了“三项制度”培训学习和宣传工作，以促进行政执法公开透明、合法规范为目标，将“三项制度”的落实作为依法行政的重要抓手，持续稳步推进。</w:t>
      </w:r>
    </w:p>
    <w:p w14:paraId="01CD8E9E">
      <w:pPr>
        <w:spacing w:line="578" w:lineRule="exact"/>
        <w:ind w:left="-420" w:leftChars="-200" w:firstLine="640" w:firstLineChars="200"/>
        <w:outlineLvl w:val="1"/>
        <w:rPr>
          <w:rFonts w:ascii="Times New Roman" w:hAnsi="Times New Roman" w:eastAsia="方正楷体_GBK" w:cs="楷体"/>
          <w:sz w:val="32"/>
          <w:szCs w:val="32"/>
        </w:rPr>
      </w:pPr>
      <w:r>
        <w:rPr>
          <w:rFonts w:hint="eastAsia" w:ascii="Times New Roman" w:hAnsi="Times New Roman" w:eastAsia="方正楷体_GBK" w:cs="楷体"/>
          <w:sz w:val="32"/>
          <w:szCs w:val="32"/>
        </w:rPr>
        <w:t>（六）健全突发事件应对体系，依法预防处置重大突发事件</w:t>
      </w:r>
    </w:p>
    <w:p w14:paraId="3ABCEE49">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按照“安全第一、预防为主、综合治理”的原则，为了积极应对可能发生的安全事故，事发时能迅速、有效地组织和实施救援，防止事故蔓延、扩大，最大限度的减少人员伤亡和财产损失，保障人民的生命和财产安全，维护正常的社会秩序，故陵镇成立了安全生产事故应急救援领导小组。一旦发生安全生产事故时，以领导小组为基础，设立事故现场应急救援指挥部。组长和总指挥长由镇党委书记担任；副组长和副总指挥长由镇长担任；成员由党政办、派出所、应急办、综合行政执法办、卫生院、各村（社区）、应急分队等部门主要负责人组成。领导小组下设应急救援指挥中心作为常设机构。应急救援指挥中心设在镇党政办公室，应急救援指挥中心主任由应急办主任担任。</w:t>
      </w:r>
    </w:p>
    <w:p w14:paraId="27539568">
      <w:pPr>
        <w:spacing w:line="578" w:lineRule="exact"/>
        <w:ind w:left="-420" w:leftChars="-200" w:firstLine="640" w:firstLineChars="200"/>
        <w:outlineLvl w:val="1"/>
        <w:rPr>
          <w:rFonts w:ascii="Times New Roman" w:hAnsi="Times New Roman" w:eastAsia="方正楷体_GBK" w:cs="楷体"/>
          <w:sz w:val="32"/>
          <w:szCs w:val="32"/>
        </w:rPr>
      </w:pPr>
      <w:r>
        <w:rPr>
          <w:rFonts w:hint="eastAsia" w:ascii="Times New Roman" w:hAnsi="Times New Roman" w:eastAsia="方正楷体_GBK" w:cs="楷体"/>
          <w:sz w:val="32"/>
          <w:szCs w:val="32"/>
        </w:rPr>
        <w:t>（七）健全社会矛盾纠纷行政预防调处化解体系，提升基层治理能力</w:t>
      </w:r>
    </w:p>
    <w:p w14:paraId="395065D3">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聚焦解决基层法治领域突出问题，健全自治、法治、德治相结合的基层治理体系，推行“一长两员”自治模式，完善村规民约，打造了“枫桥经验”示范村2个，7村1社区均配备法律顾问，成立了村级矛盾调解室，完善了矛盾调解机制，抓好民间纠纷转化为刑事案件、群体性事件、极端案件的防范化解工作和信访积案、陈年老案等“疑难杂症”调解工作。今年以来，故陵镇共排查出各种矛盾纠纷178余件，成功调解178余件，调解成功率100%。有效地维护了社会安全稳定。</w:t>
      </w:r>
    </w:p>
    <w:p w14:paraId="4DE2B98F">
      <w:pPr>
        <w:spacing w:line="578" w:lineRule="exact"/>
        <w:ind w:left="-420" w:leftChars="-200" w:firstLine="640" w:firstLineChars="200"/>
        <w:outlineLvl w:val="1"/>
        <w:rPr>
          <w:rFonts w:ascii="Times New Roman" w:hAnsi="Times New Roman" w:eastAsia="方正楷体_GBK" w:cs="楷体"/>
          <w:sz w:val="32"/>
          <w:szCs w:val="32"/>
        </w:rPr>
      </w:pPr>
      <w:r>
        <w:rPr>
          <w:rFonts w:hint="eastAsia" w:ascii="Times New Roman" w:hAnsi="Times New Roman" w:eastAsia="方正楷体_GBK" w:cs="楷体"/>
          <w:sz w:val="32"/>
          <w:szCs w:val="32"/>
        </w:rPr>
        <w:t>（八）健全行政权力制约和监督体系，加强行政机关依法行政监督</w:t>
      </w:r>
    </w:p>
    <w:p w14:paraId="2B7BD4E1">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政府公信力来自阳光行政，法定职责必须为、法无授权不可为。在镇、村日常工作中，坚持公开、公示常态化，以政府更加公开透明来赢得人民群众的理解、信任和支持。积极利用新媒体、新技术完善民意调查机制。全面严格实行行政执法公示、执法过程全记录、重大执法决定审核制度，依法保障被执法人的相关权利。</w:t>
      </w:r>
      <w:bookmarkStart w:id="8" w:name="_Toc5392"/>
      <w:r>
        <w:rPr>
          <w:rFonts w:hint="eastAsia" w:ascii="Times New Roman" w:hAnsi="方正仿宋_GBK" w:eastAsia="方正仿宋_GBK" w:cs="方正仿宋_GBK"/>
          <w:sz w:val="32"/>
          <w:szCs w:val="32"/>
        </w:rPr>
        <w:t>同时加强对村（社区）集体经济组织运行情况监督，定期组织财务人员与纪检干部审核集体经济组织财务状况。推动村级监督委员会履职尽责，定期检查村（社区）“四议两公开”制度执行情况，引导群众参与村级重大事务决策，推动民主监督走深走实，切实发挥基层自治作用。加强对村干部的教育引导，重点关注村（社区）“一肩挑”人员，坚持廉洁警钟长鸣不休，确保基层党员干部“不敢腐、不能腐、不想腐”。</w:t>
      </w:r>
    </w:p>
    <w:p w14:paraId="47E874F8">
      <w:pPr>
        <w:spacing w:line="578" w:lineRule="exact"/>
        <w:ind w:left="-420" w:leftChars="-200" w:firstLine="640" w:firstLineChars="200"/>
        <w:outlineLvl w:val="1"/>
        <w:rPr>
          <w:rFonts w:ascii="Times New Roman" w:hAnsi="Times New Roman" w:eastAsia="方正楷体_GBK" w:cs="楷体"/>
          <w:sz w:val="32"/>
          <w:szCs w:val="32"/>
        </w:rPr>
      </w:pPr>
      <w:r>
        <w:rPr>
          <w:rFonts w:hint="eastAsia" w:ascii="Times New Roman" w:hAnsi="Times New Roman" w:eastAsia="方正楷体_GBK" w:cs="楷体"/>
          <w:sz w:val="32"/>
          <w:szCs w:val="32"/>
        </w:rPr>
        <w:t>（九）</w:t>
      </w:r>
      <w:bookmarkEnd w:id="8"/>
      <w:r>
        <w:rPr>
          <w:rFonts w:hint="eastAsia" w:ascii="Times New Roman" w:hAnsi="Times New Roman" w:eastAsia="方正楷体_GBK" w:cs="楷体"/>
          <w:sz w:val="32"/>
          <w:szCs w:val="32"/>
        </w:rPr>
        <w:t>健全法治政府建设科技保障体系，提升群众安全感</w:t>
      </w:r>
    </w:p>
    <w:p w14:paraId="7E16EA6E">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围绕“整合资源、协调联动、运转高效、便民利民”的工作原则，有机结合村社区综治中心和“万眼守望”视频工程，全镇安装“万眼守望”摄像头600余处，对重要路口、重点院落、特殊人群进行守望，实现从重点区域覆盖向全域覆盖转变，织密公共安全防控网，提升社会治理智能化、现代化水平。</w:t>
      </w:r>
    </w:p>
    <w:p w14:paraId="64281564">
      <w:pPr>
        <w:spacing w:line="578" w:lineRule="exact"/>
        <w:ind w:left="-420" w:leftChars="-200" w:firstLine="640" w:firstLineChars="200"/>
        <w:outlineLvl w:val="1"/>
        <w:rPr>
          <w:rFonts w:ascii="Times New Roman" w:hAnsi="Times New Roman" w:eastAsia="方正楷体_GBK" w:cs="楷体"/>
          <w:sz w:val="32"/>
          <w:szCs w:val="32"/>
        </w:rPr>
      </w:pPr>
      <w:r>
        <w:rPr>
          <w:rFonts w:hint="eastAsia" w:ascii="Times New Roman" w:hAnsi="Times New Roman" w:eastAsia="方正楷体_GBK" w:cs="楷体"/>
          <w:sz w:val="32"/>
          <w:szCs w:val="32"/>
        </w:rPr>
        <w:t>（十）完善法治政府建设推进机制，推动法治建设常态化</w:t>
      </w:r>
    </w:p>
    <w:p w14:paraId="54401569">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一是</w:t>
      </w:r>
      <w:r>
        <w:rPr>
          <w:rFonts w:ascii="Times New Roman" w:hAnsi="方正仿宋_GBK" w:eastAsia="方正仿宋_GBK" w:cs="方正仿宋_GBK"/>
          <w:sz w:val="32"/>
          <w:szCs w:val="32"/>
        </w:rPr>
        <w:t>深入推进法治政府建设督察工作，</w:t>
      </w:r>
      <w:r>
        <w:rPr>
          <w:rFonts w:hint="eastAsia" w:ascii="Times New Roman" w:hAnsi="方正仿宋_GBK" w:eastAsia="方正仿宋_GBK" w:cs="方正仿宋_GBK"/>
          <w:sz w:val="32"/>
          <w:szCs w:val="32"/>
        </w:rPr>
        <w:t>在镇党委的领导下，镇纪委具体负责对法治政府建设进行督查。二是</w:t>
      </w:r>
      <w:r>
        <w:rPr>
          <w:rFonts w:ascii="Times New Roman" w:hAnsi="方正仿宋_GBK" w:eastAsia="方正仿宋_GBK" w:cs="方正仿宋_GBK"/>
          <w:sz w:val="32"/>
          <w:szCs w:val="32"/>
        </w:rPr>
        <w:t>扎实做好法治政府建设示范创建活动，以创建促提升、以示范带发展，不断激发法治政府建设的内生动力。</w:t>
      </w:r>
      <w:r>
        <w:rPr>
          <w:rFonts w:hint="eastAsia" w:ascii="Times New Roman" w:hAnsi="方正仿宋_GBK" w:eastAsia="方正仿宋_GBK" w:cs="方正仿宋_GBK"/>
          <w:sz w:val="32"/>
          <w:szCs w:val="32"/>
        </w:rPr>
        <w:t>三是</w:t>
      </w:r>
      <w:r>
        <w:rPr>
          <w:rFonts w:ascii="Times New Roman" w:hAnsi="方正仿宋_GBK" w:eastAsia="方正仿宋_GBK" w:cs="方正仿宋_GBK"/>
          <w:sz w:val="32"/>
          <w:szCs w:val="32"/>
        </w:rPr>
        <w:t>严格执行法治政府建设年度报告制度，按时向社会公开。</w:t>
      </w:r>
      <w:r>
        <w:rPr>
          <w:rFonts w:hint="eastAsia" w:ascii="Times New Roman" w:hAnsi="方正仿宋_GBK" w:eastAsia="方正仿宋_GBK" w:cs="方正仿宋_GBK"/>
          <w:sz w:val="32"/>
          <w:szCs w:val="32"/>
        </w:rPr>
        <w:t>四是严格落实班子成员年度考核述职述法制度。持续推进我镇的法治政府建设。</w:t>
      </w:r>
    </w:p>
    <w:p w14:paraId="3359875B">
      <w:pPr>
        <w:spacing w:line="578" w:lineRule="exact"/>
        <w:ind w:left="-420" w:leftChars="-200" w:firstLine="800" w:firstLineChars="250"/>
        <w:outlineLvl w:val="0"/>
        <w:rPr>
          <w:rFonts w:ascii="Times New Roman" w:hAnsi="方正黑体_GBK" w:eastAsia="方正黑体_GBK" w:cs="方正黑体_GBK"/>
          <w:sz w:val="32"/>
          <w:szCs w:val="32"/>
        </w:rPr>
      </w:pPr>
      <w:r>
        <w:rPr>
          <w:rFonts w:hint="eastAsia" w:ascii="Times New Roman" w:hAnsi="方正黑体_GBK" w:eastAsia="方正黑体_GBK" w:cs="方正黑体_GBK"/>
          <w:sz w:val="32"/>
          <w:szCs w:val="32"/>
        </w:rPr>
        <w:t>二、党政主要负责人推进法治建设履职情况</w:t>
      </w:r>
    </w:p>
    <w:p w14:paraId="2043AEF7">
      <w:pPr>
        <w:spacing w:line="578" w:lineRule="exact"/>
        <w:ind w:left="-420" w:leftChars="-200" w:firstLine="640" w:firstLineChars="200"/>
        <w:outlineLvl w:val="1"/>
        <w:rPr>
          <w:rFonts w:ascii="Times New Roman" w:hAnsi="方正仿宋_GBK" w:eastAsia="方正仿宋_GBK" w:cs="方正仿宋_GBK"/>
          <w:sz w:val="32"/>
          <w:szCs w:val="32"/>
        </w:rPr>
      </w:pPr>
      <w:bookmarkStart w:id="9" w:name="_Toc11290"/>
      <w:r>
        <w:rPr>
          <w:rFonts w:hint="eastAsia" w:ascii="Times New Roman" w:hAnsi="方正仿宋_GBK" w:eastAsia="方正仿宋_GBK" w:cs="方正仿宋_GBK"/>
          <w:sz w:val="32"/>
          <w:szCs w:val="32"/>
        </w:rPr>
        <w:t>故陵镇党委书记作为本辖区推进法治建设第一责任人，始终坚持党的领导、坚持宪法法律至上，反对以言代法、以权压法、徇私枉法；坚持统筹协调，做到依法执政、依法行政共同推进；坚持权责一致，确保有权必有责、有责要担当、失责必追究；坚持以身作则、以上率下，带头尊法学法守法用法。贯彻落实党中央关于法治建设的重大决策部署，统筹推进严格执法、全民守法，自觉运用法治思维和法治方式深化改革、推动发展、化解矛盾、维护稳定，对法治建设重要工作亲自部署、重大问题亲自过问、重点环节亲自协调、重要任务亲自督办，把本地区各项工作纳入法治化轨道。</w:t>
      </w:r>
    </w:p>
    <w:p w14:paraId="0C8128AB">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（一）加强对本地区法治政府建设的组织领导，制定工作规划和年度工作计划，及时研究解决法治政府建设有关重大问题，为推进法治建设提供保障、创造条件。</w:t>
      </w:r>
    </w:p>
    <w:p w14:paraId="1C5E5958">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（二）严格执行重大行政决策法定程序，建立健全政府法律顾问制度，与律师签定服务合同。依法制定规章和规范性文件，全面推进政务公开。</w:t>
      </w:r>
    </w:p>
    <w:p w14:paraId="6F69B5A6">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（三）依法全面履行政府职能，推进行政执法责任制落实，推动严格规范公正文明执法，以此助推法治政府建设、持续优化营商环境。</w:t>
      </w:r>
    </w:p>
    <w:p w14:paraId="0F26A0CB">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（四）督促领导班子其他成员和各科室主要负责人依法行政，推动完善政府内部层级监督和专门监督，纠正行政不作为、乱作为。</w:t>
      </w:r>
    </w:p>
    <w:p w14:paraId="064EF090">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（五）自觉维护司法权威，认真落实行政机关出庭应诉、支持法院受理行政案件、尊重并执行法院生效裁判的制度。</w:t>
      </w:r>
    </w:p>
    <w:p w14:paraId="2E16D0F0">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（六）完善行政机关工作人员学法用法制度，组织实施普法规划，推动落实“谁执法谁普法”责任。</w:t>
      </w:r>
    </w:p>
    <w:p w14:paraId="1ED1B951">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（七）定期听取法治建设工作汇报。每次学习安排汇报环节，主要领导听取各班子成员对各自分管领域的法治政府建设工作的汇报。</w:t>
      </w:r>
    </w:p>
    <w:p w14:paraId="65E980FF">
      <w:pPr>
        <w:spacing w:line="578" w:lineRule="exact"/>
        <w:ind w:left="-420" w:leftChars="-200" w:firstLine="800" w:firstLineChars="250"/>
        <w:outlineLvl w:val="0"/>
        <w:rPr>
          <w:rFonts w:ascii="Times New Roman" w:hAnsi="方正黑体_GBK" w:eastAsia="方正黑体_GBK" w:cs="方正黑体_GBK"/>
          <w:sz w:val="32"/>
          <w:szCs w:val="32"/>
        </w:rPr>
      </w:pPr>
      <w:r>
        <w:rPr>
          <w:rFonts w:hint="eastAsia" w:ascii="Times New Roman" w:hAnsi="方正黑体_GBK" w:eastAsia="方正黑体_GBK" w:cs="方正黑体_GBK"/>
          <w:sz w:val="32"/>
          <w:szCs w:val="32"/>
        </w:rPr>
        <w:t>三、存在的</w:t>
      </w:r>
      <w:bookmarkEnd w:id="9"/>
      <w:r>
        <w:rPr>
          <w:rFonts w:hint="eastAsia" w:ascii="Times New Roman" w:hAnsi="方正黑体_GBK" w:eastAsia="方正黑体_GBK" w:cs="方正黑体_GBK"/>
          <w:sz w:val="32"/>
          <w:szCs w:val="32"/>
        </w:rPr>
        <w:t>不足</w:t>
      </w:r>
    </w:p>
    <w:p w14:paraId="0C15FD43">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故陵镇在法治政府建设上取得了一定的成绩，但离建设法治政府的目标、经济社会发展的要求还存在一定的差距。主要表现在：一是法治政府建设整体推进还不够平衡；二是行政执法人员法律专业知识较欠缺；三是法治宣传教育方式单一，当前主要以法律条文的形式宣讲、发放普法资料为主，群众参与度偏低，未形成良好的互动关系。</w:t>
      </w:r>
      <w:bookmarkStart w:id="10" w:name="_Toc16515"/>
    </w:p>
    <w:p w14:paraId="6BA4F834">
      <w:pPr>
        <w:spacing w:line="578" w:lineRule="exact"/>
        <w:ind w:left="-420" w:leftChars="-200" w:firstLine="800" w:firstLineChars="250"/>
        <w:outlineLvl w:val="0"/>
        <w:rPr>
          <w:rFonts w:ascii="Times New Roman" w:hAnsi="方正黑体_GBK" w:eastAsia="方正黑体_GBK" w:cs="方正黑体_GBK"/>
          <w:sz w:val="32"/>
          <w:szCs w:val="32"/>
        </w:rPr>
      </w:pPr>
      <w:r>
        <w:rPr>
          <w:rFonts w:hint="eastAsia" w:ascii="Times New Roman" w:hAnsi="方正黑体_GBK" w:eastAsia="方正黑体_GBK" w:cs="方正黑体_GBK"/>
          <w:sz w:val="32"/>
          <w:szCs w:val="32"/>
        </w:rPr>
        <w:t>四、</w:t>
      </w:r>
      <w:bookmarkEnd w:id="10"/>
      <w:r>
        <w:rPr>
          <w:rFonts w:hint="eastAsia" w:ascii="Times New Roman" w:hAnsi="方正黑体_GBK" w:eastAsia="方正黑体_GBK" w:cs="方正黑体_GBK"/>
          <w:sz w:val="32"/>
          <w:szCs w:val="32"/>
        </w:rPr>
        <w:t>2023年工作思路和目标举措</w:t>
      </w:r>
    </w:p>
    <w:p w14:paraId="775DF997">
      <w:pPr>
        <w:spacing w:line="578" w:lineRule="exact"/>
        <w:ind w:left="-420" w:leftChars="-200" w:firstLine="640" w:firstLineChars="200"/>
        <w:outlineLvl w:val="1"/>
        <w:rPr>
          <w:rFonts w:ascii="Times New Roman" w:hAnsi="Times New Roman" w:eastAsia="方正楷体_GBK" w:cs="楷体"/>
          <w:sz w:val="32"/>
          <w:szCs w:val="32"/>
        </w:rPr>
      </w:pPr>
      <w:r>
        <w:rPr>
          <w:rFonts w:hint="eastAsia" w:ascii="Times New Roman" w:hAnsi="Times New Roman" w:eastAsia="方正楷体_GBK" w:cs="楷体"/>
          <w:sz w:val="32"/>
          <w:szCs w:val="32"/>
        </w:rPr>
        <w:t>（一）加强组织领导，持续深入学习习近平法治思想</w:t>
      </w:r>
    </w:p>
    <w:p w14:paraId="343E62EC">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2023年，故陵镇继续深入学习贯彻落实习近平法治思想，持续强化法治建设第一责任人的职责，不断提高法治政府建设的能力。针对在法治政府建设中发现的问题，由分管领导亲自抓落实，认真制定和落实整改目标措施。</w:t>
      </w:r>
    </w:p>
    <w:p w14:paraId="69BE27C4">
      <w:pPr>
        <w:spacing w:line="578" w:lineRule="exact"/>
        <w:ind w:left="-420" w:leftChars="-200" w:firstLine="640" w:firstLineChars="200"/>
        <w:outlineLvl w:val="1"/>
        <w:rPr>
          <w:rFonts w:ascii="Times New Roman" w:hAnsi="Times New Roman" w:eastAsia="方正楷体_GBK" w:cs="楷体"/>
          <w:sz w:val="32"/>
          <w:szCs w:val="32"/>
        </w:rPr>
      </w:pPr>
      <w:r>
        <w:rPr>
          <w:rFonts w:hint="eastAsia" w:ascii="Times New Roman" w:hAnsi="Times New Roman" w:eastAsia="方正楷体_GBK" w:cs="楷体"/>
          <w:sz w:val="32"/>
          <w:szCs w:val="32"/>
        </w:rPr>
        <w:t>（二）加强执法队伍建设，提升执法水平</w:t>
      </w:r>
    </w:p>
    <w:p w14:paraId="564C764D">
      <w:pPr>
        <w:spacing w:line="578" w:lineRule="exact"/>
        <w:ind w:left="-420" w:leftChars="-200" w:firstLine="640" w:firstLineChars="200"/>
        <w:outlineLvl w:val="1"/>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认真组织好执法人员的业务培训及新增执法人员的培训工作，不断提升执法队伍服务大局、依法行政的能力。严格依照法治政府建设的标准来衡量和促进法治工作，通过推行在用人机制、奖励举措、竞争上岗等方面的创新举措提升现有人员的专业素质，提升整体的法制水平，为经济社会发展保驾护航，营造一个良好的营商环境。</w:t>
      </w:r>
    </w:p>
    <w:p w14:paraId="3D3A0FC4">
      <w:pPr>
        <w:spacing w:line="578" w:lineRule="exact"/>
        <w:ind w:left="-420" w:leftChars="-200" w:firstLine="640" w:firstLineChars="200"/>
        <w:outlineLvl w:val="1"/>
        <w:rPr>
          <w:rFonts w:ascii="Times New Roman" w:hAnsi="Times New Roman" w:eastAsia="方正楷体_GBK" w:cs="楷体"/>
          <w:sz w:val="32"/>
          <w:szCs w:val="32"/>
        </w:rPr>
      </w:pPr>
      <w:r>
        <w:rPr>
          <w:rFonts w:hint="eastAsia" w:ascii="Times New Roman" w:hAnsi="Times New Roman" w:eastAsia="方正楷体_GBK" w:cs="楷体"/>
          <w:sz w:val="32"/>
          <w:szCs w:val="32"/>
        </w:rPr>
        <w:t>（三）深化公共法律服务，提升群众满意度</w:t>
      </w:r>
    </w:p>
    <w:p w14:paraId="5982A5E6">
      <w:pPr>
        <w:spacing w:line="578" w:lineRule="exact"/>
        <w:ind w:left="-420" w:leftChars="-200" w:firstLine="640" w:firstLineChars="200"/>
        <w:rPr>
          <w:rFonts w:ascii="Times New Roman" w:hAnsi="Times New Roman" w:eastAsia="方正仿宋_GBK"/>
          <w:sz w:val="32"/>
          <w:szCs w:val="32"/>
        </w:rPr>
      </w:pPr>
      <w:r>
        <w:rPr>
          <w:rFonts w:hint="eastAsia" w:ascii="Times New Roman" w:hAnsi="方正仿宋_GBK" w:eastAsia="方正仿宋_GBK" w:cs="方正仿宋_GBK"/>
          <w:sz w:val="32"/>
          <w:szCs w:val="32"/>
        </w:rPr>
        <w:t>充分依托司法所，对符合条件的提供法律援助，优化社区公共法律服务供给，扩大法律服务范围，加强多调联动，进一步优化多元化纠纷解决机制。做细做实普法工作，扭转部分群众信“访”不“信”法的落后观念，营造全民尊法学法守法用法的良好社会氛围。</w:t>
      </w:r>
    </w:p>
    <w:p w14:paraId="5A3E655A">
      <w:pPr>
        <w:pStyle w:val="2"/>
        <w:spacing w:after="0" w:line="578" w:lineRule="exact"/>
      </w:pPr>
    </w:p>
    <w:p w14:paraId="1037D8BF">
      <w:pPr>
        <w:spacing w:line="578" w:lineRule="exact"/>
        <w:ind w:right="641"/>
        <w:rPr>
          <w:rFonts w:ascii="Times New Roman" w:hAnsi="Times New Roman" w:eastAsia="方正仿宋_GBK" w:cs="Times New Roman"/>
          <w:sz w:val="32"/>
          <w:szCs w:val="32"/>
          <w:highlight w:val="yellow"/>
        </w:rPr>
      </w:pPr>
    </w:p>
    <w:p w14:paraId="192BB9E2">
      <w:pPr>
        <w:pStyle w:val="2"/>
        <w:wordWrap w:val="0"/>
        <w:spacing w:after="0" w:line="578" w:lineRule="exact"/>
        <w:jc w:val="right"/>
        <w:rPr>
          <w:rFonts w:ascii="Times New Roman" w:eastAsia="方正仿宋_GBK"/>
          <w:spacing w:val="-6"/>
          <w:sz w:val="32"/>
          <w:szCs w:val="32"/>
        </w:rPr>
      </w:pPr>
      <w:r>
        <w:rPr>
          <w:rFonts w:hint="eastAsia" w:ascii="Times New Roman" w:eastAsia="方正仿宋_GBK"/>
          <w:spacing w:val="-6"/>
          <w:sz w:val="32"/>
          <w:szCs w:val="32"/>
        </w:rPr>
        <w:t xml:space="preserve">  </w:t>
      </w:r>
      <w:r>
        <w:rPr>
          <w:rFonts w:ascii="Times New Roman" w:eastAsia="方正仿宋_GBK"/>
          <w:spacing w:val="-6"/>
          <w:sz w:val="32"/>
          <w:szCs w:val="32"/>
        </w:rPr>
        <w:t xml:space="preserve">   中共云阳县故陵镇委员会</w:t>
      </w:r>
    </w:p>
    <w:p w14:paraId="56DB91DD">
      <w:pPr>
        <w:pStyle w:val="2"/>
        <w:spacing w:after="0" w:line="578" w:lineRule="exact"/>
        <w:jc w:val="right"/>
        <w:rPr>
          <w:rFonts w:ascii="Times New Roman" w:hAnsi="Times New Roman"/>
          <w:highlight w:val="yellow"/>
        </w:rPr>
      </w:pPr>
      <w:r>
        <w:rPr>
          <w:rFonts w:ascii="Times New Roman" w:hAnsi="Times New Roman" w:eastAsia="方正仿宋_GBK" w:cs="Times New Roman"/>
          <w:sz w:val="32"/>
          <w:szCs w:val="32"/>
        </w:rPr>
        <w:t>云阳县故陵镇</w:t>
      </w:r>
      <w:r>
        <w:rPr>
          <w:rFonts w:hint="eastAsia" w:ascii="Times New Roman" w:hAnsi="Times New Roman" w:eastAsia="方正仿宋_GBK" w:cs="Times New Roman"/>
          <w:sz w:val="32"/>
          <w:szCs w:val="32"/>
        </w:rPr>
        <w:t>人民</w:t>
      </w:r>
      <w:r>
        <w:rPr>
          <w:rFonts w:ascii="Times New Roman" w:hAnsi="Times New Roman" w:eastAsia="方正仿宋_GBK" w:cs="Times New Roman"/>
          <w:sz w:val="32"/>
          <w:szCs w:val="32"/>
        </w:rPr>
        <w:t>政府</w:t>
      </w:r>
    </w:p>
    <w:p w14:paraId="5C48EECA">
      <w:pPr>
        <w:spacing w:line="578" w:lineRule="exact"/>
        <w:ind w:firstLine="320" w:firstLineChars="1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23</w:t>
      </w:r>
      <w:r>
        <w:rPr>
          <w:rFonts w:ascii="Times New Roman" w:hAnsi="Times New Roman" w:eastAsia="方正仿宋_GBK" w:cs="Times New Roman"/>
          <w:sz w:val="32"/>
          <w:szCs w:val="32"/>
        </w:rPr>
        <w:t>年1月</w:t>
      </w:r>
      <w:r>
        <w:rPr>
          <w:rFonts w:hint="eastAsia" w:ascii="Times New Roman" w:hAnsi="Times New Roman" w:eastAsia="方正仿宋_GBK" w:cs="Times New Roman"/>
          <w:sz w:val="32"/>
          <w:szCs w:val="32"/>
        </w:rPr>
        <w:t>28</w:t>
      </w:r>
      <w:r>
        <w:rPr>
          <w:rFonts w:ascii="Times New Roman" w:hAnsi="Times New Roman" w:eastAsia="方正仿宋_GBK" w:cs="Times New Roman"/>
          <w:sz w:val="32"/>
          <w:szCs w:val="32"/>
        </w:rPr>
        <w:t>日</w:t>
      </w:r>
    </w:p>
    <w:p w14:paraId="00A457EF">
      <w:pPr>
        <w:pStyle w:val="2"/>
        <w:spacing w:line="578" w:lineRule="exact"/>
        <w:rPr>
          <w:rFonts w:ascii="Times New Roman" w:hAnsi="Times New Roman"/>
        </w:rPr>
      </w:pPr>
    </w:p>
    <w:p w14:paraId="6BAE1AA6">
      <w:pPr>
        <w:pStyle w:val="2"/>
        <w:spacing w:line="578" w:lineRule="exact"/>
        <w:rPr>
          <w:rFonts w:ascii="Times New Roman" w:hAnsi="Times New Roman"/>
        </w:rPr>
      </w:pPr>
    </w:p>
    <w:p w14:paraId="1CAD3158">
      <w:pPr>
        <w:pStyle w:val="2"/>
        <w:spacing w:line="578" w:lineRule="exact"/>
        <w:rPr>
          <w:rFonts w:ascii="Times New Roman" w:hAnsi="Times New Roman"/>
        </w:rPr>
      </w:pPr>
    </w:p>
    <w:p w14:paraId="27F05BF1">
      <w:pPr>
        <w:pStyle w:val="2"/>
        <w:spacing w:line="578" w:lineRule="exact"/>
        <w:rPr>
          <w:rFonts w:ascii="Times New Roman" w:hAnsi="Times New Roman"/>
        </w:rPr>
      </w:pPr>
    </w:p>
    <w:p w14:paraId="6295BFED">
      <w:pPr>
        <w:pStyle w:val="2"/>
        <w:spacing w:line="578" w:lineRule="exact"/>
        <w:rPr>
          <w:rFonts w:ascii="Times New Roman" w:hAnsi="Times New Roman"/>
        </w:rPr>
      </w:pPr>
    </w:p>
    <w:p w14:paraId="7CECD6E9">
      <w:pPr>
        <w:pStyle w:val="2"/>
        <w:spacing w:line="578" w:lineRule="exact"/>
        <w:rPr>
          <w:rFonts w:ascii="Times New Roman" w:hAnsi="Times New Roman"/>
        </w:rPr>
      </w:pPr>
    </w:p>
    <w:p w14:paraId="28BF1ED9">
      <w:pPr>
        <w:pStyle w:val="2"/>
        <w:spacing w:line="578" w:lineRule="exact"/>
        <w:rPr>
          <w:rFonts w:ascii="Times New Roman" w:hAnsi="Times New Roman"/>
        </w:rPr>
      </w:pPr>
    </w:p>
    <w:p w14:paraId="564C7DF2">
      <w:pPr>
        <w:pStyle w:val="2"/>
        <w:spacing w:line="578" w:lineRule="exact"/>
        <w:rPr>
          <w:rFonts w:ascii="Times New Roman" w:hAnsi="Times New Roman"/>
        </w:rPr>
      </w:pPr>
    </w:p>
    <w:p w14:paraId="7E6569D3">
      <w:pPr>
        <w:pStyle w:val="2"/>
        <w:spacing w:line="578" w:lineRule="exact"/>
        <w:rPr>
          <w:rFonts w:ascii="Times New Roman" w:hAnsi="Times New Roman"/>
        </w:rPr>
      </w:pPr>
    </w:p>
    <w:p w14:paraId="590EFB68">
      <w:pPr>
        <w:pStyle w:val="2"/>
        <w:spacing w:line="578" w:lineRule="exact"/>
        <w:rPr>
          <w:rFonts w:ascii="Times New Roman" w:hAnsi="Times New Roman"/>
        </w:rPr>
      </w:pPr>
    </w:p>
    <w:p w14:paraId="15D62E47">
      <w:pPr>
        <w:pStyle w:val="2"/>
        <w:spacing w:line="578" w:lineRule="exact"/>
        <w:rPr>
          <w:rFonts w:ascii="Times New Roman" w:hAnsi="Times New Roman"/>
        </w:rPr>
      </w:pPr>
    </w:p>
    <w:p w14:paraId="639E4EFC">
      <w:pPr>
        <w:pStyle w:val="2"/>
        <w:spacing w:line="578" w:lineRule="exact"/>
        <w:rPr>
          <w:rFonts w:ascii="Times New Roman" w:hAnsi="Times New Roman"/>
        </w:rPr>
      </w:pPr>
    </w:p>
    <w:p w14:paraId="3448E3A2">
      <w:pPr>
        <w:pStyle w:val="2"/>
        <w:spacing w:line="578" w:lineRule="exact"/>
        <w:rPr>
          <w:rFonts w:ascii="Times New Roman" w:hAnsi="Times New Roman"/>
        </w:rPr>
      </w:pPr>
    </w:p>
    <w:p w14:paraId="0D89E4E4">
      <w:pPr>
        <w:pStyle w:val="2"/>
        <w:spacing w:line="578" w:lineRule="exact"/>
        <w:rPr>
          <w:rFonts w:ascii="Times New Roman" w:hAnsi="Times New Roman"/>
        </w:rPr>
      </w:pPr>
    </w:p>
    <w:p w14:paraId="038DC7BB">
      <w:pPr>
        <w:pStyle w:val="2"/>
        <w:spacing w:line="578" w:lineRule="exact"/>
        <w:rPr>
          <w:rFonts w:ascii="Times New Roman" w:hAnsi="Times New Roman"/>
        </w:rPr>
      </w:pPr>
    </w:p>
    <w:p w14:paraId="35381BE3">
      <w:pPr>
        <w:pStyle w:val="2"/>
        <w:spacing w:line="578" w:lineRule="exact"/>
        <w:rPr>
          <w:rFonts w:ascii="Times New Roman" w:hAnsi="Times New Roman"/>
        </w:rPr>
      </w:pPr>
    </w:p>
    <w:p w14:paraId="6F82B871">
      <w:pPr>
        <w:pStyle w:val="2"/>
        <w:spacing w:line="578" w:lineRule="exact"/>
        <w:rPr>
          <w:rFonts w:ascii="Times New Roman" w:hAnsi="Times New Roman"/>
        </w:rPr>
      </w:pPr>
    </w:p>
    <w:p w14:paraId="278BE9E1">
      <w:pPr>
        <w:pBdr>
          <w:top w:val="single" w:color="auto" w:sz="12" w:space="1"/>
        </w:pBdr>
        <w:spacing w:line="600" w:lineRule="exact"/>
        <w:ind w:firstLine="280" w:firstLineChars="100"/>
        <w:jc w:val="left"/>
        <w:rPr>
          <w:rFonts w:ascii="Times New Roman" w:hAnsi="Times New Roman" w:eastAsia="方正仿宋_GBK"/>
          <w:sz w:val="28"/>
          <w:szCs w:val="28"/>
        </w:rPr>
      </w:pPr>
      <w:r>
        <w:rPr>
          <w:rFonts w:ascii="Times New Roman" w:hAnsi="Times New Roman" w:eastAsia="方正仿宋_GBK"/>
          <w:sz w:val="28"/>
          <w:szCs w:val="28"/>
        </w:rPr>
        <w:t>抄送：</w:t>
      </w:r>
      <w:r>
        <w:rPr>
          <w:rFonts w:hint="eastAsia" w:ascii="Times New Roman" w:hAnsi="Times New Roman" w:eastAsia="方正仿宋_GBK"/>
          <w:sz w:val="28"/>
          <w:szCs w:val="28"/>
        </w:rPr>
        <w:t>县委依法治县办</w:t>
      </w:r>
    </w:p>
    <w:p w14:paraId="3CD5A4C9">
      <w:pPr>
        <w:pBdr>
          <w:top w:val="single" w:color="auto" w:sz="8" w:space="1"/>
          <w:bottom w:val="single" w:color="auto" w:sz="12" w:space="1"/>
        </w:pBdr>
        <w:spacing w:line="600" w:lineRule="exact"/>
        <w:ind w:firstLine="280" w:firstLineChars="100"/>
        <w:jc w:val="left"/>
        <w:rPr>
          <w:rFonts w:ascii="Times New Roman" w:hAnsi="Times New Roman" w:eastAsia="方正仿宋_GBK"/>
          <w:sz w:val="28"/>
          <w:szCs w:val="28"/>
        </w:rPr>
      </w:pPr>
      <w:r>
        <w:rPr>
          <w:rFonts w:ascii="Times New Roman" w:hAnsi="Times New Roman" w:eastAsia="方正仿宋_GBK"/>
          <w:sz w:val="28"/>
          <w:szCs w:val="28"/>
        </w:rPr>
        <w:t>云阳县故陵镇党政办公室                  202</w:t>
      </w:r>
      <w:r>
        <w:rPr>
          <w:rFonts w:hint="eastAsia" w:ascii="Times New Roman" w:hAnsi="Times New Roman" w:eastAsia="方正仿宋_GBK"/>
          <w:sz w:val="28"/>
          <w:szCs w:val="28"/>
        </w:rPr>
        <w:t>3</w:t>
      </w:r>
      <w:r>
        <w:rPr>
          <w:rFonts w:ascii="Times New Roman" w:hAnsi="Times New Roman" w:eastAsia="方正仿宋_GBK"/>
          <w:sz w:val="28"/>
          <w:szCs w:val="28"/>
        </w:rPr>
        <w:t>年</w:t>
      </w:r>
      <w:r>
        <w:rPr>
          <w:rFonts w:hint="eastAsia" w:ascii="Times New Roman" w:hAnsi="Times New Roman" w:eastAsia="方正仿宋_GBK"/>
          <w:sz w:val="28"/>
          <w:szCs w:val="28"/>
        </w:rPr>
        <w:t>1</w:t>
      </w:r>
      <w:r>
        <w:rPr>
          <w:rFonts w:ascii="Times New Roman" w:hAnsi="Times New Roman" w:eastAsia="方正仿宋_GBK"/>
          <w:sz w:val="28"/>
          <w:szCs w:val="28"/>
        </w:rPr>
        <w:t>月</w:t>
      </w:r>
      <w:r>
        <w:rPr>
          <w:rFonts w:hint="eastAsia" w:ascii="Times New Roman" w:hAnsi="Times New Roman" w:eastAsia="方正仿宋_GBK"/>
          <w:sz w:val="28"/>
          <w:szCs w:val="28"/>
        </w:rPr>
        <w:t>28</w:t>
      </w:r>
      <w:r>
        <w:rPr>
          <w:rFonts w:ascii="Times New Roman" w:hAnsi="Times New Roman" w:eastAsia="方正仿宋_GBK"/>
          <w:sz w:val="28"/>
          <w:szCs w:val="28"/>
        </w:rPr>
        <w:t>日印</w:t>
      </w: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4985"/>
    </w:sdtPr>
    <w:sdtContent>
      <w:p w14:paraId="196D95DB">
        <w:pPr>
          <w:pStyle w:val="5"/>
          <w:ind w:right="180"/>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1 -</w:t>
        </w:r>
        <w:r>
          <w:rPr>
            <w:rFonts w:ascii="仿宋" w:hAnsi="仿宋" w:eastAsia="仿宋"/>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4997"/>
    </w:sdtPr>
    <w:sdtEndPr>
      <w:rPr>
        <w:rFonts w:ascii="仿宋" w:hAnsi="仿宋" w:eastAsia="仿宋"/>
        <w:sz w:val="28"/>
        <w:szCs w:val="28"/>
      </w:rPr>
    </w:sdtEndPr>
    <w:sdtContent>
      <w:p w14:paraId="25D35D09">
        <w:pPr>
          <w:pStyle w:val="5"/>
          <w:ind w:firstLine="180" w:firstLineChars="1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NzIxNTE2N2MzOTYxMzBjYTYwNDkzZmU5NWY0YTkifQ=="/>
  </w:docVars>
  <w:rsids>
    <w:rsidRoot w:val="0090229A"/>
    <w:rsid w:val="000221C0"/>
    <w:rsid w:val="00025D2E"/>
    <w:rsid w:val="00037C12"/>
    <w:rsid w:val="0004447E"/>
    <w:rsid w:val="000B1F79"/>
    <w:rsid w:val="000C2E75"/>
    <w:rsid w:val="000C3D71"/>
    <w:rsid w:val="00166ABD"/>
    <w:rsid w:val="00175A75"/>
    <w:rsid w:val="002177D1"/>
    <w:rsid w:val="00226061"/>
    <w:rsid w:val="00274480"/>
    <w:rsid w:val="002F2E6D"/>
    <w:rsid w:val="00387297"/>
    <w:rsid w:val="003C20D0"/>
    <w:rsid w:val="003F10B1"/>
    <w:rsid w:val="0044715A"/>
    <w:rsid w:val="004548DF"/>
    <w:rsid w:val="00461BBA"/>
    <w:rsid w:val="0047749A"/>
    <w:rsid w:val="004A05D9"/>
    <w:rsid w:val="004E446A"/>
    <w:rsid w:val="005048F3"/>
    <w:rsid w:val="00523149"/>
    <w:rsid w:val="00544AE7"/>
    <w:rsid w:val="005660CC"/>
    <w:rsid w:val="00573AF3"/>
    <w:rsid w:val="00605823"/>
    <w:rsid w:val="006246A7"/>
    <w:rsid w:val="006A42FF"/>
    <w:rsid w:val="006A7F05"/>
    <w:rsid w:val="006C50C2"/>
    <w:rsid w:val="006C5B9D"/>
    <w:rsid w:val="006E1568"/>
    <w:rsid w:val="007031E4"/>
    <w:rsid w:val="007247D8"/>
    <w:rsid w:val="00725D0E"/>
    <w:rsid w:val="00753218"/>
    <w:rsid w:val="0077736E"/>
    <w:rsid w:val="007A7A5C"/>
    <w:rsid w:val="008253FE"/>
    <w:rsid w:val="00832897"/>
    <w:rsid w:val="00854D27"/>
    <w:rsid w:val="008A77EB"/>
    <w:rsid w:val="008C3F47"/>
    <w:rsid w:val="008E4D19"/>
    <w:rsid w:val="008F1F8F"/>
    <w:rsid w:val="0090229A"/>
    <w:rsid w:val="009142CA"/>
    <w:rsid w:val="00933C70"/>
    <w:rsid w:val="00946AAD"/>
    <w:rsid w:val="00950B75"/>
    <w:rsid w:val="009E3FB7"/>
    <w:rsid w:val="009F2846"/>
    <w:rsid w:val="009F478E"/>
    <w:rsid w:val="009F5D52"/>
    <w:rsid w:val="00A236C4"/>
    <w:rsid w:val="00A24D24"/>
    <w:rsid w:val="00A27939"/>
    <w:rsid w:val="00A579E2"/>
    <w:rsid w:val="00A77CE0"/>
    <w:rsid w:val="00B81B99"/>
    <w:rsid w:val="00BA37EE"/>
    <w:rsid w:val="00BD146D"/>
    <w:rsid w:val="00C32849"/>
    <w:rsid w:val="00C3311E"/>
    <w:rsid w:val="00C562BD"/>
    <w:rsid w:val="00C847CB"/>
    <w:rsid w:val="00CB2AA2"/>
    <w:rsid w:val="00CC1E2B"/>
    <w:rsid w:val="00D03432"/>
    <w:rsid w:val="00D914A5"/>
    <w:rsid w:val="00DB0871"/>
    <w:rsid w:val="00E12786"/>
    <w:rsid w:val="00E80A74"/>
    <w:rsid w:val="00EC5E7A"/>
    <w:rsid w:val="00EE4F01"/>
    <w:rsid w:val="00EF50EB"/>
    <w:rsid w:val="00F23B1E"/>
    <w:rsid w:val="00F414FB"/>
    <w:rsid w:val="00F47489"/>
    <w:rsid w:val="00F9123A"/>
    <w:rsid w:val="00F91E04"/>
    <w:rsid w:val="00F92EE4"/>
    <w:rsid w:val="00FE28EA"/>
    <w:rsid w:val="00FF6AC9"/>
    <w:rsid w:val="02494808"/>
    <w:rsid w:val="0B703440"/>
    <w:rsid w:val="0BED29AB"/>
    <w:rsid w:val="107F2DD4"/>
    <w:rsid w:val="10B84498"/>
    <w:rsid w:val="16A82DC4"/>
    <w:rsid w:val="17987F03"/>
    <w:rsid w:val="18A8690B"/>
    <w:rsid w:val="18B3705E"/>
    <w:rsid w:val="1A41621B"/>
    <w:rsid w:val="1B9738FA"/>
    <w:rsid w:val="1D8815C8"/>
    <w:rsid w:val="20A744F7"/>
    <w:rsid w:val="220071ED"/>
    <w:rsid w:val="25066193"/>
    <w:rsid w:val="26796C30"/>
    <w:rsid w:val="2ADA66CC"/>
    <w:rsid w:val="2BFF061B"/>
    <w:rsid w:val="2C1125C1"/>
    <w:rsid w:val="2D8D0067"/>
    <w:rsid w:val="2F4972DB"/>
    <w:rsid w:val="2FC67897"/>
    <w:rsid w:val="315B7A52"/>
    <w:rsid w:val="32EE07FD"/>
    <w:rsid w:val="335229B5"/>
    <w:rsid w:val="36CF10AF"/>
    <w:rsid w:val="3D14235B"/>
    <w:rsid w:val="3D87321F"/>
    <w:rsid w:val="406F5BB0"/>
    <w:rsid w:val="41DB0BDF"/>
    <w:rsid w:val="42231B58"/>
    <w:rsid w:val="42E84A5D"/>
    <w:rsid w:val="431C567C"/>
    <w:rsid w:val="44692B43"/>
    <w:rsid w:val="44FC39B7"/>
    <w:rsid w:val="46D01EA2"/>
    <w:rsid w:val="47E66DF9"/>
    <w:rsid w:val="49F45214"/>
    <w:rsid w:val="4A123335"/>
    <w:rsid w:val="4A642941"/>
    <w:rsid w:val="4C6F66DE"/>
    <w:rsid w:val="4D0B7A2D"/>
    <w:rsid w:val="4F367DF3"/>
    <w:rsid w:val="4F4B26EB"/>
    <w:rsid w:val="4F997C00"/>
    <w:rsid w:val="4FE20C9C"/>
    <w:rsid w:val="51167013"/>
    <w:rsid w:val="53522509"/>
    <w:rsid w:val="55E16B3B"/>
    <w:rsid w:val="56832FEF"/>
    <w:rsid w:val="577E64AD"/>
    <w:rsid w:val="5AFD1446"/>
    <w:rsid w:val="5BED3C02"/>
    <w:rsid w:val="5EDB6CA6"/>
    <w:rsid w:val="5F9C4F8A"/>
    <w:rsid w:val="60095F82"/>
    <w:rsid w:val="62F117D2"/>
    <w:rsid w:val="63AE7F60"/>
    <w:rsid w:val="66434C5E"/>
    <w:rsid w:val="6BED0589"/>
    <w:rsid w:val="6C5A23CC"/>
    <w:rsid w:val="6DDA6D28"/>
    <w:rsid w:val="6EBC32BA"/>
    <w:rsid w:val="71376636"/>
    <w:rsid w:val="727F1C44"/>
    <w:rsid w:val="74472A81"/>
    <w:rsid w:val="760B2DD6"/>
    <w:rsid w:val="7835231B"/>
    <w:rsid w:val="7C2A5C4D"/>
    <w:rsid w:val="7F2941BF"/>
    <w:rsid w:val="7F82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0">
    <w:name w:val="Normal (Web)"/>
    <w:basedOn w:val="1"/>
    <w:unhideWhenUsed/>
    <w:qFormat/>
    <w:uiPriority w:val="99"/>
    <w:pPr>
      <w:spacing w:beforeAutospacing="1" w:afterAutospacing="1"/>
      <w:jc w:val="left"/>
    </w:pPr>
    <w:rPr>
      <w:rFonts w:cs="Times New Roman"/>
      <w:kern w:val="0"/>
      <w:sz w:val="24"/>
    </w:rPr>
  </w:style>
  <w:style w:type="character" w:customStyle="1" w:styleId="13">
    <w:name w:val="页眉 Char"/>
    <w:basedOn w:val="12"/>
    <w:link w:val="6"/>
    <w:semiHidden/>
    <w:qFormat/>
    <w:uiPriority w:val="99"/>
    <w:rPr>
      <w:sz w:val="18"/>
      <w:szCs w:val="18"/>
    </w:rPr>
  </w:style>
  <w:style w:type="character" w:customStyle="1" w:styleId="14">
    <w:name w:val="页脚 Char"/>
    <w:basedOn w:val="12"/>
    <w:link w:val="5"/>
    <w:qFormat/>
    <w:uiPriority w:val="99"/>
    <w:rPr>
      <w:sz w:val="18"/>
      <w:szCs w:val="18"/>
    </w:rPr>
  </w:style>
  <w:style w:type="paragraph" w:customStyle="1" w:styleId="15">
    <w:name w:val="WPSOffice手动目录 1"/>
    <w:qFormat/>
    <w:uiPriority w:val="0"/>
    <w:rPr>
      <w:rFonts w:asciiTheme="minorHAnsi" w:hAnsiTheme="minorHAnsi" w:eastAsiaTheme="minorEastAsia" w:cstheme="minorBidi"/>
      <w:lang w:val="en-US" w:eastAsia="zh-CN" w:bidi="ar-SA"/>
    </w:rPr>
  </w:style>
  <w:style w:type="paragraph" w:customStyle="1" w:styleId="16">
    <w:name w:val="WPSOffice手动目录 2"/>
    <w:qFormat/>
    <w:uiPriority w:val="0"/>
    <w:pPr>
      <w:ind w:left="200" w:leftChars="200"/>
    </w:pPr>
    <w:rPr>
      <w:rFonts w:asciiTheme="minorHAnsi" w:hAnsiTheme="minorHAnsi" w:eastAsiaTheme="minorEastAsia" w:cstheme="minorBidi"/>
      <w:lang w:val="en-US" w:eastAsia="zh-CN" w:bidi="ar-SA"/>
    </w:rPr>
  </w:style>
  <w:style w:type="paragraph" w:styleId="17">
    <w:name w:val="List Paragraph"/>
    <w:basedOn w:val="1"/>
    <w:qFormat/>
    <w:uiPriority w:val="99"/>
    <w:pPr>
      <w:ind w:firstLine="420" w:firstLineChars="200"/>
    </w:pPr>
  </w:style>
  <w:style w:type="character" w:customStyle="1" w:styleId="18">
    <w:name w:val="批注框文本 Char"/>
    <w:basedOn w:val="12"/>
    <w:link w:val="4"/>
    <w:semiHidden/>
    <w:qFormat/>
    <w:uiPriority w:val="99"/>
    <w:rPr>
      <w:kern w:val="2"/>
      <w:sz w:val="18"/>
      <w:szCs w:val="18"/>
    </w:rPr>
  </w:style>
  <w:style w:type="character" w:customStyle="1" w:styleId="19">
    <w:name w:val="日期 Char"/>
    <w:basedOn w:val="12"/>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4542</Words>
  <Characters>4598</Characters>
  <Lines>33</Lines>
  <Paragraphs>9</Paragraphs>
  <TotalTime>13</TotalTime>
  <ScaleCrop>false</ScaleCrop>
  <LinksUpToDate>false</LinksUpToDate>
  <CharactersWithSpaces>4641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2020-01-21T03:33:00Z</dcterms:created>
  <dc:creator>Windows 用户</dc:creator>
  <cp:lastModifiedBy>鱼丸粗面</cp:lastModifiedBy>
  <cp:lastPrinted>2022-01-24T08:24:00Z</cp:lastPrinted>
  <dcterms:modified xsi:type="dcterms:W3CDTF">2024-12-06T02:24:48Z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6ACB0F90D1D14E6FAE2582BB2C8A6681</vt:lpwstr>
  </property>
</Properties>
</file>