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9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9" w:type="dxa"/>
            <w:noWrap w:val="0"/>
            <w:vAlign w:val="top"/>
          </w:tcPr>
          <w:p>
            <w:pPr>
              <w:spacing w:line="1200" w:lineRule="exact"/>
              <w:jc w:val="distribute"/>
              <w:rPr>
                <w:rFonts w:ascii="Times New Roman" w:hAnsi="Times New Roman" w:eastAsia="方正小标宋_GBK" w:cs="Times New Roman"/>
                <w:sz w:val="44"/>
                <w:szCs w:val="44"/>
              </w:rPr>
            </w:pPr>
            <w:r>
              <w:rPr>
                <w:rFonts w:ascii="Times New Roman" w:hAnsi="Times New Roman" w:eastAsia="方正小标宋简体" w:cs="Times New Roman"/>
                <w:color w:val="FF0000"/>
                <w:w w:val="65"/>
                <w:sz w:val="100"/>
                <w:szCs w:val="100"/>
              </w:rPr>
              <w:t>重庆市城市治理委员会办公室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pict>
          <v:shape id="_x0000_i1025" o:spt="75" alt="3" type="#_x0000_t75" style="height:9.7pt;width:451.65pt;" filled="f" o:preferrelative="t" stroked="f" coordsize="21600,21600">
            <v:path/>
            <v:fill on="f" focussize="0,0"/>
            <v:stroke on="f"/>
            <v:imagedata r:id="rId5" o:title="3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</w:t>
      </w:r>
      <mc:AlternateContent>
        <mc:Choice Requires="wpsCustomData">
          <wpsCustomData:docfieldStart id="0" docfieldname="年份" hidden="0" print="1" readonly="0" index="1"/>
        </mc:Choice>
      </mc:AlternateContent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2026</w:t>
      </w:r>
      <mc:AlternateContent>
        <mc:Choice Requires="wpsCustomData">
          <wpsCustomData:docfieldEnd id="0"/>
        </mc:Choice>
      </mc:AlternateContent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—</w:t>
      </w:r>
      <mc:AlternateContent>
        <mc:Choice Requires="wpsCustomData">
          <wpsCustomData:docfieldStart id="1" docfieldname="发文顺序号" hidden="0" print="1" readonly="0" index="2"/>
        </mc:Choice>
      </mc:AlternateContent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mc:AlternateContent>
        <mc:Choice Requires="wpsCustomData">
          <wpsCustomData:docfieldEnd id="1"/>
        </mc:Choice>
      </mc:AlternateContent>
    </w:p>
    <w:p>
      <w:pPr>
        <w:pStyle w:val="2"/>
        <w:wordWrap/>
        <w:spacing w:line="600" w:lineRule="exac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spacing w:after="0" w:line="600" w:lineRule="exact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mc:AlternateContent>
        <mc:Choice Requires="wpsCustomData">
          <wpsCustomData:docfieldStart id="2" docfieldname="正文" hidden="0" print="1" readonly="0" index="3"/>
        </mc:Choice>
      </mc:AlternateContent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城市治理委员会办公室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关于202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eastAsia="zh-CN"/>
        </w:rPr>
        <w:t>度全市违法建设治理工作情况的通报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textAlignment w:val="auto"/>
        <w:rPr>
          <w:rFonts w:ascii="方正仿宋_GBK" w:hAnsi="方正仿宋_GBK" w:eastAsia="方正仿宋_GBK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textAlignment w:val="auto"/>
        <w:rPr>
          <w:rFonts w:hint="eastAsia" w:ascii="方正仿宋_GBK" w:hAns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/>
          <w:color w:val="000000"/>
          <w:sz w:val="32"/>
          <w:szCs w:val="32"/>
          <w:lang w:val="en-US" w:eastAsia="zh-CN"/>
        </w:rPr>
        <w:t>各区县（自治县）城市治理办，市违法建设工作专班成员单位：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2025年度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，各区县（自治县）和西部科学城重庆高新区、万盛经开区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城市违法建设治理专班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（以下简称各区县）认真贯彻违法建设治理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消存量、遏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增量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、建机制、管长远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的工作要求，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持续推动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各项治理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有力有序有效开展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，全市完成违法建设治理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1409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件、面积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184.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万平方米，其中，完成年度目标任务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109.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万平方米，完成年度目标外任务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75.3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万平方米。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现将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全市违法建设治理工作有关情况通报如下。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一、年度治理目标任务完成情况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年初，市违法建设治理工作专班（以下简称市违建治理专班）下达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2025年目标任务为100.6万平方米。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根据各区县上报数据统计，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全市共完成违法建设治理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目标任务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79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面积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109.52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万平方米，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完成率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108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%。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全市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个区县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按期完成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治理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目标任务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，其中，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大足区、长寿区、丰都县等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24个区县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超额完成年度治理目标任务，仅开州区未完成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年度治理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目标任务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，只完成年度目标任务的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97.48%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二、年度治理目标任务外违法建设治理情况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方正仿宋_GBK" w:hAnsi="方正仿宋_GBK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/>
          <w:color w:val="000000"/>
          <w:sz w:val="32"/>
          <w:szCs w:val="32"/>
          <w:lang w:eastAsia="zh-CN"/>
        </w:rPr>
        <w:t>根据各区县上报数据统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计，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全市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在完成年初下达的目标任务基础上，结合工作实际治理存量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违法建设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面积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67.0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万平方米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年完成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66.87万平方米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同比基本持平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。其中，以下区治理完成量较大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西部科学城重庆高新区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完成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35.78万平方米，长寿区完成10.39万平方米，两江新区完成3.16万平方米，沙坪坝区完成3.05万平方米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/>
          <w:color w:val="000000"/>
          <w:sz w:val="32"/>
          <w:szCs w:val="32"/>
          <w:lang w:eastAsia="zh-CN"/>
        </w:rPr>
        <w:t>全市</w:t>
      </w:r>
      <w:r>
        <w:rPr>
          <w:rFonts w:hint="eastAsia" w:ascii="方正仿宋_GBK" w:hAnsi="方正仿宋_GBK" w:eastAsia="方正仿宋_GBK"/>
          <w:color w:val="000000"/>
          <w:sz w:val="32"/>
          <w:szCs w:val="32"/>
        </w:rPr>
        <w:t>共处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置新增违法建设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156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面积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8.26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万平方米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年完成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1654件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同比呈减少趋势。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其中，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黔江区、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两江新区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、巴南区、南川区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个区县处置新增违法建设件数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均达到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100件以上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三、专项整治工作进展情况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（一）别墅类、低层高档商品住宅</w:t>
      </w: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私搭乱建</w:t>
      </w: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问题</w:t>
      </w: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专项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整治情况。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2025年32个任务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区县完成别墅类、低层高档商品住宅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私搭乱建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问题整治共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2941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户、面积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7.55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万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余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平方米，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全市年度任务总体完成率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94.69%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。其中，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20"/>
          <w:kern w:val="2"/>
          <w:sz w:val="32"/>
          <w:szCs w:val="32"/>
          <w:u w:val="none"/>
          <w:lang w:val="en-US" w:eastAsia="zh-CN" w:bidi="ar-SA"/>
        </w:rPr>
        <w:t>涪陵区、开州区、垫江县3个区县未完成年度及阶段性整治任务。北碚区、渝北区、巴南区3个区年度目标进度虽未达到100%，但三年总任务进度达到70%以上，完成阶段任务。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厂房库房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违法建设整治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情况。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，有关区县完成厂房库房违法建设整治共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167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件、面积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24.49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万平方米，其中，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原渝北区完成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整治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面积11.52万平方米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年度卫片图斑整治情况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。2024年全市新增疑似违法建筑遥感排查卫片图斑共1371件、涉违面积45.46万平方米。2025年，各区县核实处置共1252件、面积39.82万平方米。</w:t>
      </w:r>
      <w:r>
        <w:rPr>
          <w:rFonts w:hint="eastAsia" w:ascii="方正仿宋_GBK" w:hAnsi="方正仿宋_GBK" w:eastAsia="方正仿宋_GBK"/>
          <w:color w:val="000000"/>
          <w:szCs w:val="32"/>
          <w:lang w:val="en-US" w:eastAsia="zh-CN"/>
        </w:rPr>
        <w:t>其中，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以下区县处置件数较多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，铜梁区处置111件，永川区处置99件，荣昌区处置85件，北碚区处置81件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四、违法建设当事人信用管理工作推进情况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仿宋_GBK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/>
        </w:rPr>
        <w:t>有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/>
          <w:color w:val="000000"/>
          <w:sz w:val="32"/>
          <w:szCs w:val="32"/>
        </w:rPr>
        <w:t>个区县开展了违法建设当事人信用信息</w:t>
      </w:r>
      <w:r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/>
        </w:rPr>
        <w:t>推送</w:t>
      </w:r>
      <w:r>
        <w:rPr>
          <w:rFonts w:hint="default" w:ascii="Times New Roman" w:hAnsi="Times New Roman" w:eastAsia="方正仿宋_GBK"/>
          <w:color w:val="000000"/>
          <w:sz w:val="32"/>
          <w:szCs w:val="32"/>
        </w:rPr>
        <w:t>管理工作，共推送纳入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信用</w:t>
      </w:r>
      <w:r>
        <w:rPr>
          <w:rFonts w:hint="default" w:ascii="Times New Roman" w:hAnsi="Times New Roman" w:eastAsia="方正仿宋_GBK"/>
          <w:color w:val="000000"/>
          <w:sz w:val="32"/>
          <w:szCs w:val="32"/>
        </w:rPr>
        <w:t>管理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755</w:t>
      </w:r>
      <w:r>
        <w:rPr>
          <w:rFonts w:hint="default" w:ascii="Times New Roman" w:hAnsi="Times New Roman" w:eastAsia="方正仿宋_GBK"/>
          <w:color w:val="000000"/>
          <w:sz w:val="32"/>
          <w:szCs w:val="32"/>
        </w:rPr>
        <w:t>件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。其中，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以下区县纳入信用管理件数较多，两江新区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254件，涪陵区142件，南岸区68件，奉节县40件。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五、存在的问题和不足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  <w:lang w:eastAsia="zh-CN"/>
        </w:rPr>
        <w:t>（一）部分区县不重视，专班统筹力度不够</w:t>
      </w:r>
      <w:r>
        <w:rPr>
          <w:rFonts w:hint="eastAsia" w:ascii="方正楷体_GBK" w:eastAsia="方正楷体_GBK"/>
          <w:sz w:val="32"/>
          <w:szCs w:val="32"/>
        </w:rPr>
        <w:t>。</w:t>
      </w:r>
      <w:r>
        <w:rPr>
          <w:rFonts w:hint="eastAsia" w:ascii="方正仿宋_GBK" w:eastAsia="方正仿宋_GBK"/>
          <w:sz w:val="32"/>
          <w:szCs w:val="32"/>
        </w:rPr>
        <w:t>少数区县没有从</w:t>
      </w:r>
      <w:r>
        <w:rPr>
          <w:rFonts w:hint="eastAsia" w:ascii="方正仿宋_GBK" w:eastAsia="方正仿宋_GBK"/>
          <w:sz w:val="32"/>
          <w:szCs w:val="32"/>
          <w:lang w:eastAsia="zh-CN"/>
        </w:rPr>
        <w:t>讲政治</w:t>
      </w:r>
      <w:r>
        <w:rPr>
          <w:rFonts w:hint="eastAsia" w:ascii="方正仿宋_GBK" w:eastAsia="方正仿宋_GBK"/>
          <w:sz w:val="32"/>
          <w:szCs w:val="32"/>
        </w:rPr>
        <w:t>的高度，认识</w:t>
      </w:r>
      <w:r>
        <w:rPr>
          <w:rFonts w:hint="eastAsia" w:ascii="方正仿宋_GBK" w:eastAsia="方正仿宋_GBK"/>
          <w:sz w:val="32"/>
          <w:szCs w:val="32"/>
          <w:lang w:eastAsia="zh-CN"/>
        </w:rPr>
        <w:t>“</w:t>
      </w:r>
      <w:r>
        <w:rPr>
          <w:rFonts w:hint="eastAsia" w:ascii="方正仿宋_GBK" w:eastAsia="方正仿宋_GBK"/>
          <w:sz w:val="32"/>
          <w:szCs w:val="32"/>
        </w:rPr>
        <w:t>私搭乱建</w:t>
      </w:r>
      <w:r>
        <w:rPr>
          <w:rFonts w:hint="eastAsia" w:ascii="方正仿宋_GBK" w:eastAsia="方正仿宋_GBK"/>
          <w:sz w:val="32"/>
          <w:szCs w:val="32"/>
          <w:lang w:eastAsia="zh-CN"/>
        </w:rPr>
        <w:t>”</w:t>
      </w:r>
      <w:r>
        <w:rPr>
          <w:rFonts w:hint="eastAsia" w:ascii="方正仿宋_GBK" w:eastAsia="方正仿宋_GBK"/>
          <w:sz w:val="32"/>
          <w:szCs w:val="32"/>
        </w:rPr>
        <w:t>专项整治的重要性和紧迫性</w:t>
      </w:r>
      <w:r>
        <w:rPr>
          <w:rFonts w:hint="eastAsia" w:ascii="方正仿宋_GBK" w:eastAsia="方正仿宋_GBK"/>
          <w:sz w:val="32"/>
          <w:szCs w:val="32"/>
          <w:lang w:eastAsia="zh-CN"/>
        </w:rPr>
        <w:t>。部分区县</w:t>
      </w:r>
      <w:r>
        <w:rPr>
          <w:rFonts w:hint="eastAsia" w:ascii="方正仿宋_GBK" w:eastAsia="方正仿宋_GBK"/>
          <w:sz w:val="32"/>
          <w:szCs w:val="32"/>
        </w:rPr>
        <w:t>违法建设治理工作专班统筹协调、调度推进、督导检查的作用完全没有发挥出来</w:t>
      </w:r>
      <w:r>
        <w:rPr>
          <w:rFonts w:hint="eastAsia" w:ascii="方正仿宋_GBK" w:eastAsia="方正仿宋_GBK"/>
          <w:sz w:val="32"/>
          <w:szCs w:val="32"/>
          <w:lang w:eastAsia="zh-CN"/>
        </w:rPr>
        <w:t>，统筹作用不够</w:t>
      </w:r>
      <w:r>
        <w:rPr>
          <w:rFonts w:hint="eastAsia" w:ascii="方正仿宋_GBK" w:eastAsia="方正仿宋_GBK"/>
          <w:sz w:val="32"/>
          <w:szCs w:val="32"/>
        </w:rPr>
        <w:t>，导致工作推进各自为战、效率低下。</w:t>
      </w:r>
      <w:r>
        <w:rPr>
          <w:rFonts w:hint="eastAsia" w:ascii="方正仿宋_GBK" w:eastAsia="方正仿宋_GBK"/>
          <w:sz w:val="32"/>
          <w:szCs w:val="32"/>
          <w:lang w:eastAsia="zh-CN"/>
        </w:rPr>
        <w:t>这里对开州区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20"/>
          <w:kern w:val="2"/>
          <w:sz w:val="32"/>
          <w:szCs w:val="32"/>
          <w:u w:val="none"/>
          <w:lang w:val="en-US" w:eastAsia="zh-CN" w:bidi="ar-SA"/>
        </w:rPr>
        <w:t>予以全市通报批评，</w:t>
      </w:r>
      <w:r>
        <w:rPr>
          <w:rFonts w:hint="eastAsia" w:ascii="Times New Roman" w:hAnsi="Times New Roman" w:eastAsia="方正仿宋_GBK" w:cs="Times New Roman"/>
          <w:b w:val="0"/>
          <w:bCs/>
          <w:spacing w:val="20"/>
          <w:sz w:val="32"/>
          <w:szCs w:val="32"/>
          <w:lang w:val="en-US" w:eastAsia="zh-CN"/>
        </w:rPr>
        <w:t>2025年7月总队向开州区下发交办函，提醒开州区工作进度滞后，需加大工作力度，又于12月电话提醒，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20"/>
          <w:kern w:val="2"/>
          <w:sz w:val="32"/>
          <w:szCs w:val="32"/>
          <w:u w:val="none"/>
          <w:lang w:val="en-US" w:eastAsia="zh-CN" w:bidi="ar-SA"/>
        </w:rPr>
        <w:t>仍然未完成年度目标任务，也未完成别墅类、低层高档商品住宅“私搭乱建”问题专项整治任务，成为近几年来唯一一个既未完成年度目标任务，又未完成专项整治任务的区县。</w:t>
      </w:r>
    </w:p>
    <w:p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别墅类、低层高档商品住宅</w:t>
      </w: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私搭乱建</w:t>
      </w: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问题</w:t>
      </w: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专项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整治</w:t>
      </w: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工作推进不力。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20"/>
          <w:kern w:val="2"/>
          <w:sz w:val="32"/>
          <w:szCs w:val="32"/>
          <w:u w:val="none"/>
          <w:lang w:val="en-US" w:eastAsia="zh-CN" w:bidi="ar-SA"/>
        </w:rPr>
        <w:t>部分区县推进力度不够，个别区县任务少进度也慢，如开州区总任务仅46户，2024年度复核的13户全部未达标，2025年也上报完成仅11户；个别区县交办了也未及时反馈整改进度；有的区县</w:t>
      </w:r>
      <w:r>
        <w:rPr>
          <w:rFonts w:hint="eastAsia" w:ascii="方正仿宋_GBK" w:eastAsia="方正仿宋_GBK"/>
          <w:sz w:val="32"/>
          <w:szCs w:val="32"/>
          <w:lang w:eastAsia="zh-CN"/>
        </w:rPr>
        <w:t>畏难情绪较重，遇到入户阻力大、调查取证线索少等棘手问题时，存在思想懈怠、退缩回避的倾向，攻坚克难的锐气不足。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</w:t>
      </w:r>
      <w:r>
        <w:rPr>
          <w:rFonts w:hint="eastAsia" w:ascii="方正楷体_GBK" w:eastAsia="方正楷体_GBK"/>
          <w:sz w:val="32"/>
          <w:szCs w:val="32"/>
          <w:lang w:eastAsia="zh-CN"/>
        </w:rPr>
        <w:t>三</w:t>
      </w:r>
      <w:r>
        <w:rPr>
          <w:rFonts w:hint="eastAsia" w:ascii="方正楷体_GBK" w:eastAsia="方正楷体_GBK"/>
          <w:sz w:val="32"/>
          <w:szCs w:val="32"/>
        </w:rPr>
        <w:t>）负面舆情处置能力</w:t>
      </w:r>
      <w:r>
        <w:rPr>
          <w:rFonts w:hint="eastAsia" w:ascii="方正楷体_GBK" w:eastAsia="方正楷体_GBK"/>
          <w:sz w:val="32"/>
          <w:szCs w:val="32"/>
          <w:lang w:eastAsia="zh-CN"/>
        </w:rPr>
        <w:t>严重不足</w:t>
      </w:r>
      <w:r>
        <w:rPr>
          <w:rFonts w:hint="eastAsia" w:ascii="方正楷体_GBK" w:eastAsia="方正楷体_GBK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年以来，涉违投诉举报和负面舆情呈增多态势，南岸区涂山镇莲花村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荒野茶摊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舆情失控；南岸区复地山与城小区三期违建成风；涪陵区富春山居B区30多处违</w:t>
      </w:r>
      <w:r>
        <w:rPr>
          <w:rFonts w:hint="eastAsia" w:ascii="方正仿宋_GBK" w:eastAsia="方正仿宋_GBK"/>
          <w:sz w:val="32"/>
          <w:szCs w:val="32"/>
        </w:rPr>
        <w:t>建；奉节县金科小区违建问题被媒体关注报道</w:t>
      </w:r>
      <w:r>
        <w:rPr>
          <w:rFonts w:hint="eastAsia" w:ascii="方正仿宋_GBK" w:eastAsia="方正仿宋_GBK"/>
          <w:sz w:val="32"/>
          <w:szCs w:val="32"/>
          <w:lang w:eastAsia="zh-CN"/>
        </w:rPr>
        <w:t>，都反映出违法建设治理工作在舆情处置，宣传引导上</w:t>
      </w:r>
      <w:r>
        <w:rPr>
          <w:rFonts w:hint="eastAsia" w:ascii="方正仿宋_GBK" w:eastAsia="方正仿宋_GBK"/>
          <w:sz w:val="32"/>
          <w:szCs w:val="32"/>
        </w:rPr>
        <w:t>嗅觉不灵敏、反应不迅速，问题发现不及时、判断不准确，响应时效滞后。</w:t>
      </w:r>
    </w:p>
    <w:p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楷体_GBK" w:eastAsia="方正楷体_GBK"/>
          <w:sz w:val="32"/>
          <w:szCs w:val="32"/>
        </w:rPr>
        <w:t>（</w:t>
      </w:r>
      <w:r>
        <w:rPr>
          <w:rFonts w:hint="eastAsia" w:ascii="方正楷体_GBK" w:eastAsia="方正楷体_GBK"/>
          <w:sz w:val="32"/>
          <w:szCs w:val="32"/>
          <w:lang w:eastAsia="zh-CN"/>
        </w:rPr>
        <w:t>四</w:t>
      </w:r>
      <w:r>
        <w:rPr>
          <w:rFonts w:hint="eastAsia" w:ascii="方正楷体_GBK" w:eastAsia="方正楷体_GBK"/>
          <w:sz w:val="32"/>
          <w:szCs w:val="32"/>
        </w:rPr>
        <w:t>）</w:t>
      </w:r>
      <w:r>
        <w:rPr>
          <w:rFonts w:hint="eastAsia" w:ascii="方正楷体_GBK" w:eastAsia="方正楷体_GBK"/>
          <w:sz w:val="32"/>
          <w:szCs w:val="32"/>
          <w:lang w:eastAsia="zh-CN"/>
        </w:rPr>
        <w:t>工作方法单一，手段匮乏</w:t>
      </w:r>
      <w:r>
        <w:rPr>
          <w:rFonts w:hint="eastAsia" w:ascii="方正楷体_GBK" w:eastAsia="方正楷体_GBK"/>
          <w:sz w:val="32"/>
          <w:szCs w:val="32"/>
        </w:rPr>
        <w:t>。</w:t>
      </w:r>
      <w:r>
        <w:rPr>
          <w:rFonts w:hint="eastAsia" w:ascii="方正仿宋_GBK" w:eastAsia="方正仿宋_GBK"/>
          <w:sz w:val="32"/>
          <w:szCs w:val="32"/>
          <w:lang w:eastAsia="zh-CN"/>
        </w:rPr>
        <w:t>部分区县面对新形势下出现的新情况、新问题，缺乏创新思路和有效举措，难以快速精准破解难题；部分区县协同联动不足，工作推进中仅依靠专班、城管单打独斗，部门之间、层级之间缺乏常态化沟通协作机制，没有形成违建治理工作合力；部分区县欠缺系统思维，未能将违法建设治理工作与城市更新等工作有机结合、统筹推进，导致工作衔接不畅、资源利用效率不高，未能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1+1&gt;2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eastAsia" w:ascii="方正仿宋_GBK" w:eastAsia="方正仿宋_GBK"/>
          <w:sz w:val="32"/>
          <w:szCs w:val="32"/>
          <w:lang w:eastAsia="zh-CN"/>
        </w:rPr>
        <w:t>的叠加效应。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六、2026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年度工作重点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Cs w:val="32"/>
          <w:lang w:eastAsia="zh-CN"/>
        </w:rPr>
        <w:t>（一）全力推进</w:t>
      </w:r>
      <w:r>
        <w:rPr>
          <w:rFonts w:hint="eastAsia" w:ascii="方正楷体_GBK" w:hAnsi="方正楷体_GBK" w:eastAsia="方正楷体_GBK" w:cs="方正楷体_GBK"/>
          <w:szCs w:val="32"/>
          <w:lang w:eastAsia="zh-CN"/>
        </w:rPr>
        <w:t>“</w:t>
      </w:r>
      <w:r>
        <w:rPr>
          <w:rFonts w:hint="eastAsia" w:ascii="方正楷体_GBK" w:hAnsi="方正楷体_GBK" w:eastAsia="方正楷体_GBK" w:cs="方正楷体_GBK"/>
          <w:szCs w:val="32"/>
          <w:lang w:eastAsia="zh-CN"/>
        </w:rPr>
        <w:t>私搭乱建</w:t>
      </w:r>
      <w:r>
        <w:rPr>
          <w:rFonts w:hint="eastAsia" w:ascii="方正楷体_GBK" w:hAnsi="方正楷体_GBK" w:eastAsia="方正楷体_GBK" w:cs="方正楷体_GBK"/>
          <w:szCs w:val="32"/>
          <w:lang w:eastAsia="zh-CN"/>
        </w:rPr>
        <w:t>”</w:t>
      </w:r>
      <w:r>
        <w:rPr>
          <w:rFonts w:hint="eastAsia" w:ascii="方正楷体_GBK" w:hAnsi="方正楷体_GBK" w:eastAsia="方正楷体_GBK" w:cs="方正楷体_GBK"/>
          <w:szCs w:val="32"/>
          <w:lang w:eastAsia="zh-CN"/>
        </w:rPr>
        <w:t>专项整治工作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。全力推进别墅类、低层高档商品住宅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私搭乱建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问题专项整治工作，当前专项整治工作已进入攻坚期</w:t>
      </w:r>
      <w:r>
        <w:rPr>
          <w:rFonts w:hint="eastAsia" w:ascii="Times New Roman" w:hAnsi="Times New Roman" w:eastAsia="方正仿宋_GBK"/>
          <w:spacing w:val="8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eastAsia="方正仿宋_GBK"/>
          <w:spacing w:val="8"/>
          <w:sz w:val="32"/>
          <w:szCs w:val="32"/>
          <w:shd w:val="clear" w:color="auto" w:fill="FFFFFF"/>
          <w:lang w:eastAsia="zh-CN"/>
        </w:rPr>
        <w:t>有关区县要采取领导包户，协调解决重难点；建立一户一策，精准靶向施策；定期专题研究，梳理解决跨部门、跨领域的难题；啃下“硬骨头”，</w:t>
      </w:r>
      <w:r>
        <w:rPr>
          <w:rFonts w:ascii="Times New Roman" w:hAnsi="Times New Roman" w:eastAsia="方正仿宋_GBK"/>
          <w:spacing w:val="8"/>
          <w:sz w:val="32"/>
          <w:szCs w:val="32"/>
          <w:shd w:val="clear" w:color="auto" w:fill="FFFFFF"/>
        </w:rPr>
        <w:t>确保2026年12月底前全面完成整治任务。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Cs w:val="32"/>
          <w:lang w:eastAsia="zh-CN"/>
        </w:rPr>
        <w:t>（二）严格控制新增违法建筑。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各区县要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结合202</w:t>
      </w:r>
      <w:r>
        <w:rPr>
          <w:rFonts w:hint="eastAsia" w:eastAsia="方正仿宋_GBK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年度疑似违法建设卫片图斑核查处置，始终保持对新增违法建筑</w:t>
      </w:r>
      <w:r>
        <w:rPr>
          <w:rFonts w:hint="eastAsia" w:eastAsia="方正仿宋_GBK" w:cs="Times New Roman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零容忍</w:t>
      </w:r>
      <w:r>
        <w:rPr>
          <w:rFonts w:hint="eastAsia" w:eastAsia="方正仿宋_GBK" w:cs="Times New Roman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的鲜明态度和</w:t>
      </w:r>
      <w:r>
        <w:rPr>
          <w:rFonts w:hint="eastAsia" w:eastAsia="方正仿宋_GBK" w:cs="Times New Roman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即查即治</w:t>
      </w:r>
      <w:r>
        <w:rPr>
          <w:rFonts w:hint="eastAsia" w:eastAsia="方正仿宋_GBK" w:cs="Times New Roman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的高压态势，尤其是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别墅类、花园洋房等这类存在违法建设空间，极易产生邻里矛盾引发舆情的住宅小区，要发挥物业企业发现上报的作用，结合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大综合一体化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，采取对物业不作为通报批评，对物业不履职依法查处等手段，压实物业企业主动发现主动上报的责任，严防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新增转存量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，坚决实现新增违法建筑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动态清零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统筹推进存量违法建设治理</w:t>
      </w:r>
      <w:r>
        <w:rPr>
          <w:rFonts w:hint="eastAsia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各区县要持续抓好未经治理的城市主干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道两侧、住宅小区（社区）内违法建筑和其它存量违法建设。要巩固202</w:t>
      </w:r>
      <w:r>
        <w:rPr>
          <w:rFonts w:hint="eastAsia" w:eastAsia="方正仿宋_GBK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年违法建设治理工作成果，查找差距并改进不足，统筹相关部门形成合力，</w:t>
      </w:r>
      <w:r>
        <w:rPr>
          <w:rFonts w:hint="eastAsia" w:eastAsia="方正仿宋_GBK" w:cs="Times New Roman"/>
          <w:szCs w:val="32"/>
          <w:lang w:eastAsia="zh-CN"/>
        </w:rPr>
        <w:t>明确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责任、</w:t>
      </w:r>
      <w:r>
        <w:rPr>
          <w:rFonts w:hint="eastAsia" w:eastAsia="方正仿宋_GBK" w:cs="Times New Roman"/>
          <w:szCs w:val="32"/>
          <w:lang w:eastAsia="zh-CN"/>
        </w:rPr>
        <w:t>划实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重点，做到年度违法建设治理工作整体谋划、统筹推进，确保全面完成年度治理任务。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72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/>
          <w:spacing w:val="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/>
          <w:spacing w:val="20"/>
          <w:sz w:val="32"/>
          <w:szCs w:val="32"/>
          <w:lang w:val="en-US" w:eastAsia="zh-CN"/>
        </w:rPr>
        <w:t>（四）积极开展中心城区第五立面违法建设专项整治。</w:t>
      </w:r>
      <w:r>
        <w:rPr>
          <w:rFonts w:hint="default" w:ascii="Times New Roman" w:hAnsi="Times New Roman" w:eastAsia="方正仿宋_GBK" w:cs="Times New Roman"/>
          <w:b w:val="0"/>
          <w:bCs/>
          <w:spacing w:val="20"/>
          <w:sz w:val="32"/>
          <w:szCs w:val="32"/>
          <w:lang w:val="en-US" w:eastAsia="zh-CN"/>
        </w:rPr>
        <w:t>按照市规划自然资源局印发的《中心城区第五立面治理提升工作方案》要求，中心城区各区城市管理局要配合规划自然资源</w:t>
      </w:r>
      <w:r>
        <w:rPr>
          <w:rFonts w:hint="eastAsia" w:ascii="Times New Roman" w:hAnsi="Times New Roman" w:eastAsia="方正仿宋_GBK" w:cs="Times New Roman"/>
          <w:b w:val="0"/>
          <w:bCs/>
          <w:spacing w:val="20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b w:val="0"/>
          <w:bCs/>
          <w:spacing w:val="20"/>
          <w:sz w:val="32"/>
          <w:szCs w:val="32"/>
          <w:lang w:val="en-US" w:eastAsia="zh-CN"/>
        </w:rPr>
        <w:t>开展第五立面治理提升工作</w:t>
      </w:r>
      <w:r>
        <w:rPr>
          <w:rFonts w:hint="eastAsia" w:ascii="Times New Roman" w:hAnsi="Times New Roman" w:eastAsia="方正仿宋_GBK" w:cs="Times New Roman"/>
          <w:b w:val="0"/>
          <w:bCs/>
          <w:spacing w:val="2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spacing w:val="20"/>
          <w:sz w:val="32"/>
          <w:szCs w:val="32"/>
          <w:lang w:val="en-US" w:eastAsia="zh-CN"/>
        </w:rPr>
        <w:t>围绕辖区内涉及</w:t>
      </w:r>
      <w:r>
        <w:rPr>
          <w:rFonts w:hint="eastAsia" w:ascii="Times New Roman" w:hAnsi="Times New Roman" w:eastAsia="方正仿宋_GBK" w:cs="Times New Roman"/>
          <w:b w:val="0"/>
          <w:bCs/>
          <w:spacing w:val="2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/>
          <w:spacing w:val="20"/>
          <w:sz w:val="32"/>
          <w:szCs w:val="32"/>
          <w:lang w:val="en-US" w:eastAsia="zh-CN"/>
        </w:rPr>
        <w:t>片区和相关瞭望点开展违法建设排查清理，清查出来的违法建设纳入年度目标任务，完成年度专项整治任务，切实做好第五立面治理提升工作。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重庆市违法建设治理工作情况统计表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2020" w:leftChars="200" w:right="0" w:rightChars="0" w:hanging="1600" w:hanging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hint="eastAsia" w:eastAsia="方正仿宋_GBK" w:cs="Times New Roman"/>
          <w:sz w:val="32"/>
          <w:szCs w:val="32"/>
          <w:lang w:val="en-US" w:eastAsia="zh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eastAsia="方正仿宋_GBK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重庆市别墅类、低层高档商品住宅</w:t>
      </w:r>
      <w:r>
        <w:rPr>
          <w:rFonts w:hint="eastAsia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私搭乱建</w:t>
      </w:r>
      <w:r>
        <w:rPr>
          <w:rFonts w:hint="eastAsia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问题专项整治完成情况统计表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3900" w:leftChars="1400" w:right="0" w:rightChars="0" w:hanging="960" w:hangingChars="300"/>
        <w:jc w:val="right"/>
        <w:textAlignment w:val="auto"/>
        <w:rPr>
          <w:rFonts w:hint="eastAsia" w:ascii="Times New Roman" w:hAnsi="Times New Roman" w:eastAsia="方正仿宋_GBK" w:cs="Times New Roman"/>
          <w:szCs w:val="32"/>
          <w:lang w:val="en-US" w:eastAsia="zh"/>
        </w:rPr>
      </w:pPr>
      <w:r>
        <w:rPr>
          <w:rFonts w:hint="default" w:ascii="Times New Roman" w:hAnsi="Times New Roman" w:eastAsia="方正仿宋_GBK" w:cs="Times New Roman"/>
          <w:szCs w:val="32"/>
          <w:lang w:eastAsia="zh-CN"/>
        </w:rPr>
        <w:t>重庆市城市治理委员会办公室</w:t>
      </w:r>
      <w:r>
        <w:rPr>
          <w:rFonts w:hint="eastAsia" w:eastAsia="方正仿宋_GBK" w:cs="Times New Roman"/>
          <w:szCs w:val="32"/>
          <w:lang w:eastAsia="zh-CN"/>
        </w:rPr>
        <w:t>　</w:t>
      </w:r>
      <w:r>
        <w:rPr>
          <w:rFonts w:hint="eastAsia" w:eastAsia="方正仿宋_GBK" w:cs="Times New Roman"/>
          <w:szCs w:val="32"/>
          <w:lang w:val="en-US" w:eastAsia="zh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3900" w:leftChars="1400" w:right="0" w:rightChars="0" w:hanging="960" w:hangingChars="300"/>
        <w:jc w:val="right"/>
        <w:textAlignment w:val="auto"/>
        <w:rPr>
          <w:rFonts w:hint="default" w:ascii="Times New Roman" w:hAnsi="Times New Roman" w:eastAsia="方正仿宋_GBK" w:cs="Times New Roman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2026年1月</w:t>
      </w:r>
      <w:r>
        <w:rPr>
          <w:rFonts w:hint="eastAsia" w:eastAsia="方正仿宋_GBK" w:cs="Times New Roman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日</w:t>
      </w:r>
      <w:bookmarkStart w:id="0" w:name="_GoBack"/>
      <w:bookmarkEnd w:id="0"/>
      <w:r>
        <w:rPr>
          <w:rFonts w:hint="eastAsia" w:eastAsia="方正仿宋_GBK" w:cs="Times New Roman"/>
          <w:szCs w:val="32"/>
          <w:lang w:val="en-US" w:eastAsia="zh-CN"/>
        </w:rPr>
        <w:t>　　　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mc:AlternateContent>
      <mc:Choice Requires="wpsCustomData">
        <wpsCustomData:docfieldEnd id="2"/>
      </mc:Choice>
    </mc:AlternateContent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7" o:spid="_x0000_s4097" o:spt="202" type="#_x0000_t202" style="position:absolute;left:0pt;margin-left:400.3pt;margin-top:-0.65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attachedTemplate r:id="rId1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FCF751F"/>
    <w:rsid w:val="006773F5"/>
    <w:rsid w:val="01337D28"/>
    <w:rsid w:val="05657E11"/>
    <w:rsid w:val="066727E1"/>
    <w:rsid w:val="0B7F5062"/>
    <w:rsid w:val="0E737FED"/>
    <w:rsid w:val="1AB54396"/>
    <w:rsid w:val="1D333DAF"/>
    <w:rsid w:val="23447E3A"/>
    <w:rsid w:val="308D3C70"/>
    <w:rsid w:val="35D5BD9E"/>
    <w:rsid w:val="38B40BFF"/>
    <w:rsid w:val="3E4A5FA6"/>
    <w:rsid w:val="49F61039"/>
    <w:rsid w:val="4BBA40D1"/>
    <w:rsid w:val="4DBFAADA"/>
    <w:rsid w:val="528F7A8E"/>
    <w:rsid w:val="53986374"/>
    <w:rsid w:val="56A25583"/>
    <w:rsid w:val="5D4849B7"/>
    <w:rsid w:val="68727BD0"/>
    <w:rsid w:val="6D5B0A1E"/>
    <w:rsid w:val="6FCF751F"/>
    <w:rsid w:val="76887782"/>
    <w:rsid w:val="76BD24FE"/>
    <w:rsid w:val="78BB3EBA"/>
    <w:rsid w:val="7A575BB4"/>
    <w:rsid w:val="7B377A43"/>
    <w:rsid w:val="B5DF5EDA"/>
    <w:rsid w:val="BFCF2D7D"/>
    <w:rsid w:val="EFFA13EB"/>
    <w:rsid w:val="F8FD84E3"/>
    <w:rsid w:val="FF9C4D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ind w:left="100" w:leftChars="100" w:right="100" w:rightChars="1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 First Indent"/>
    <w:basedOn w:val="2"/>
    <w:qFormat/>
    <w:uiPriority w:val="0"/>
    <w:pPr>
      <w:spacing w:before="0" w:after="160" w:line="276" w:lineRule="auto"/>
      <w:ind w:left="0" w:leftChars="0" w:right="0" w:rightChars="0" w:firstLine="420" w:firstLineChars="100"/>
    </w:pPr>
    <w:rPr>
      <w:rFonts w:ascii="Times New Roman" w:hAnsi="Times New Roman" w:cs="方正仿宋_GBK" w:eastAsiaTheme="minorEastAsia"/>
      <w:kern w:val="0"/>
      <w:sz w:val="32"/>
      <w:szCs w:val="24"/>
    </w:rPr>
  </w:style>
  <w:style w:type="paragraph" w:styleId="4">
    <w:name w:val="Balloon Text"/>
    <w:basedOn w:val="1"/>
    <w:link w:val="9"/>
    <w:qFormat/>
    <w:uiPriority w:val="0"/>
    <w:rPr>
      <w:rFonts w:cs="方正仿宋_GBK" w:asciiTheme="minorHAnsi" w:hAnsiTheme="minorHAnsi" w:eastAsiaTheme="minorEastAsia"/>
      <w:kern w:val="0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批注框文本 Char"/>
    <w:basedOn w:val="8"/>
    <w:link w:val="4"/>
    <w:qFormat/>
    <w:uiPriority w:val="0"/>
    <w:rPr>
      <w:rFonts w:ascii="Arial" w:hAnsi="Arial" w:eastAsia="Arial" w:cs="Arial"/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cgj/Desktop/&#22478;&#31649;&#23616;/&#26381;&#21153;&#22120;&#22871;&#32418;&#27169;&#26495;/&#32418;&#22836;1022/5&#28189;&#22478;&#27835;&#21150;&#30333;&#22836;1022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2810</Words>
  <Characters>3018</Characters>
  <Lines>11</Lines>
  <Paragraphs>3</Paragraphs>
  <TotalTime>275</TotalTime>
  <ScaleCrop>false</ScaleCrop>
  <LinksUpToDate>false</LinksUpToDate>
  <CharactersWithSpaces>3039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2023-05-11T15:19:00Z</dcterms:created>
  <dc:creator>回鱼</dc:creator>
  <cp:lastModifiedBy>cgj</cp:lastModifiedBy>
  <cp:lastPrinted>2026-01-23T02:06:00Z</cp:lastPrinted>
  <dcterms:modified xsi:type="dcterms:W3CDTF">2026-02-02T09:46:00Z</dcterms:modified>
  <dc:title>重庆市城市治理委员会办公室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E54ADF6E6E5058BDD8018069C00B7CE2</vt:lpwstr>
  </property>
  <property fmtid="{D5CDD505-2E9C-101B-9397-08002B2CF9AE}" pid="4" name="KSOTemplateDocerSaveRecord">
    <vt:lpwstr>eyJoZGlkIjoiYjFkYWIxZjJmNjRlODAyZGJhOGMxMzNkNmRiNGJhMjciLCJ1c2VySWQiOiIzMTc1ODU2NzUifQ==</vt:lpwstr>
  </property>
</Properties>
</file>