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jc w:val="center"/>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云城管发〔20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60</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jc w:val="center"/>
        <w:textAlignment w:val="auto"/>
        <w:outlineLvl w:val="9"/>
        <w:rPr>
          <w:rFonts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snapToGrid/>
        <w:spacing w:line="578" w:lineRule="exact"/>
        <w:ind w:right="0" w:rightChars="0"/>
        <w:jc w:val="both"/>
        <w:textAlignment w:val="auto"/>
        <w:outlineLvl w:val="9"/>
        <w:rPr>
          <w:rFonts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云阳县城市管理局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_GBK"/>
          <w:color w:val="000000"/>
          <w:sz w:val="44"/>
          <w:szCs w:val="44"/>
        </w:rPr>
      </w:pPr>
      <w:r>
        <w:rPr>
          <w:rFonts w:hint="eastAsia" w:ascii="方正小标宋_GBK" w:hAnsi="方正黑体_GBK" w:eastAsia="方正小标宋_GBK" w:cs="方正黑体_GBK"/>
          <w:sz w:val="44"/>
          <w:szCs w:val="44"/>
        </w:rPr>
        <w:t>关于</w:t>
      </w:r>
      <w:r>
        <w:rPr>
          <w:rFonts w:hint="eastAsia" w:ascii="方正小标宋_GBK" w:hAnsi="方正黑体_GBK" w:eastAsia="方正小标宋_GBK" w:cs="方正黑体_GBK"/>
          <w:sz w:val="44"/>
          <w:szCs w:val="44"/>
          <w:lang w:eastAsia="zh-CN"/>
        </w:rPr>
        <w:t>印发云阳县</w:t>
      </w:r>
      <w:r>
        <w:rPr>
          <w:rFonts w:eastAsia="方正小标宋_GBK"/>
          <w:color w:val="000000"/>
          <w:sz w:val="44"/>
          <w:szCs w:val="44"/>
        </w:rPr>
        <w:t>水电气</w:t>
      </w:r>
      <w:r>
        <w:rPr>
          <w:rFonts w:hint="eastAsia" w:eastAsia="方正小标宋_GBK"/>
          <w:color w:val="000000"/>
          <w:sz w:val="44"/>
          <w:szCs w:val="44"/>
        </w:rPr>
        <w:t>等市政接入</w:t>
      </w:r>
      <w:r>
        <w:rPr>
          <w:rFonts w:eastAsia="方正小标宋_GBK"/>
          <w:color w:val="000000"/>
          <w:sz w:val="44"/>
          <w:szCs w:val="44"/>
        </w:rPr>
        <w:t>工程</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黑体_GBK" w:eastAsia="方正小标宋_GBK" w:cs="方正黑体_GBK"/>
          <w:sz w:val="44"/>
          <w:szCs w:val="44"/>
        </w:rPr>
      </w:pPr>
      <w:r>
        <w:rPr>
          <w:rFonts w:eastAsia="方正小标宋_GBK"/>
          <w:color w:val="000000"/>
          <w:sz w:val="44"/>
          <w:szCs w:val="44"/>
        </w:rPr>
        <w:t>并联审批实施细则</w:t>
      </w:r>
      <w:r>
        <w:rPr>
          <w:rFonts w:hint="eastAsia" w:eastAsia="方正小标宋_GBK"/>
          <w:color w:val="000000"/>
          <w:sz w:val="44"/>
          <w:szCs w:val="44"/>
          <w:lang w:eastAsia="zh-CN"/>
        </w:rPr>
        <w:t>（试行）</w:t>
      </w:r>
      <w:r>
        <w:rPr>
          <w:rFonts w:hint="eastAsia" w:ascii="方正小标宋_GBK" w:hAnsi="方正黑体_GBK" w:eastAsia="方正小标宋_GBK" w:cs="方正黑体_GBK"/>
          <w:sz w:val="44"/>
          <w:szCs w:val="44"/>
        </w:rPr>
        <w:t>的通知</w:t>
      </w:r>
    </w:p>
    <w:p>
      <w:pPr>
        <w:pageBreakBefore w:val="0"/>
        <w:widowControl w:val="0"/>
        <w:kinsoku/>
        <w:wordWrap/>
        <w:overflowPunct/>
        <w:topLinePunct w:val="0"/>
        <w:bidi w:val="0"/>
        <w:snapToGrid/>
        <w:spacing w:line="578" w:lineRule="exact"/>
        <w:textAlignment w:val="auto"/>
        <w:rPr>
          <w:rFonts w:hint="eastAsia" w:ascii="方正仿宋_GBK" w:eastAsia="方正仿宋_GBK"/>
          <w:sz w:val="32"/>
          <w:szCs w:val="32"/>
        </w:rPr>
      </w:pPr>
    </w:p>
    <w:p>
      <w:pPr>
        <w:pageBreakBefore w:val="0"/>
        <w:widowControl w:val="0"/>
        <w:kinsoku/>
        <w:wordWrap/>
        <w:overflowPunct/>
        <w:topLinePunct w:val="0"/>
        <w:bidi w:val="0"/>
        <w:snapToGrid/>
        <w:spacing w:line="578" w:lineRule="exact"/>
        <w:textAlignment w:val="auto"/>
        <w:rPr>
          <w:rFonts w:ascii="方正仿宋_GBK" w:eastAsia="方正仿宋_GBK"/>
          <w:color w:val="000000"/>
          <w:sz w:val="32"/>
          <w:szCs w:val="32"/>
        </w:rPr>
      </w:pPr>
      <w:r>
        <w:rPr>
          <w:rFonts w:hint="eastAsia" w:ascii="方正仿宋_GBK" w:eastAsia="方正仿宋_GBK"/>
          <w:sz w:val="32"/>
          <w:szCs w:val="32"/>
          <w:lang w:val="en-US" w:eastAsia="zh-CN"/>
        </w:rPr>
        <w:t>县经济信息委、县公安局、县规划自然资源局、县住房城乡建委、县交通局，水利水电公司、国网云阳供电分公司、天然气公司：</w:t>
      </w:r>
    </w:p>
    <w:p>
      <w:pPr>
        <w:pageBreakBefore w:val="0"/>
        <w:widowControl w:val="0"/>
        <w:kinsoku/>
        <w:wordWrap/>
        <w:overflowPunct/>
        <w:topLinePunct w:val="0"/>
        <w:bidi w:val="0"/>
        <w:snapToGrid/>
        <w:spacing w:line="578" w:lineRule="exact"/>
        <w:ind w:firstLine="640" w:firstLineChars="200"/>
        <w:jc w:val="left"/>
        <w:textAlignment w:val="auto"/>
        <w:rPr>
          <w:rFonts w:ascii="方正仿宋_GBK" w:eastAsia="方正仿宋_GBK"/>
          <w:color w:val="000000"/>
          <w:sz w:val="32"/>
          <w:szCs w:val="32"/>
        </w:rPr>
      </w:pPr>
      <w:r>
        <w:rPr>
          <w:rFonts w:hint="eastAsia" w:ascii="方正仿宋_GBK" w:eastAsia="方正仿宋_GBK"/>
          <w:sz w:val="32"/>
          <w:szCs w:val="32"/>
          <w:lang w:eastAsia="zh-CN"/>
        </w:rPr>
        <w:t>为</w:t>
      </w:r>
      <w:r>
        <w:rPr>
          <w:rFonts w:hint="eastAsia" w:ascii="方正仿宋_GBK" w:eastAsia="方正仿宋_GBK"/>
          <w:sz w:val="32"/>
          <w:szCs w:val="32"/>
        </w:rPr>
        <w:t>持续推进优化营商环境，切实开展营商环境创新试点工作，提高</w:t>
      </w:r>
      <w:r>
        <w:rPr>
          <w:rFonts w:hint="eastAsia" w:ascii="方正仿宋_GBK" w:eastAsia="方正仿宋_GBK"/>
          <w:sz w:val="32"/>
          <w:szCs w:val="32"/>
          <w:lang w:eastAsia="zh-CN"/>
        </w:rPr>
        <w:t>云阳县</w:t>
      </w:r>
      <w:r>
        <w:rPr>
          <w:rFonts w:hint="eastAsia" w:ascii="方正仿宋_GBK" w:eastAsia="方正仿宋_GBK"/>
          <w:sz w:val="32"/>
          <w:szCs w:val="32"/>
        </w:rPr>
        <w:t>水电气等市政外线接入工程</w:t>
      </w:r>
      <w:r>
        <w:rPr>
          <w:rFonts w:hint="eastAsia" w:ascii="方正仿宋_GBK" w:eastAsia="方正仿宋_GBK"/>
          <w:sz w:val="32"/>
          <w:szCs w:val="32"/>
          <w:lang w:eastAsia="zh-CN"/>
        </w:rPr>
        <w:t>政府</w:t>
      </w:r>
      <w:r>
        <w:rPr>
          <w:rFonts w:hint="eastAsia" w:ascii="方正仿宋_GBK" w:eastAsia="方正仿宋_GBK"/>
          <w:sz w:val="32"/>
          <w:szCs w:val="32"/>
        </w:rPr>
        <w:t>行政审批效率，</w:t>
      </w:r>
      <w:r>
        <w:rPr>
          <w:rFonts w:hint="eastAsia" w:ascii="方正仿宋_GBK" w:eastAsia="方正仿宋_GBK"/>
          <w:color w:val="000000"/>
          <w:sz w:val="32"/>
          <w:szCs w:val="32"/>
        </w:rPr>
        <w:t>现</w:t>
      </w:r>
      <w:r>
        <w:rPr>
          <w:rFonts w:hint="eastAsia" w:ascii="方正仿宋_GBK" w:eastAsia="方正仿宋_GBK"/>
          <w:color w:val="000000"/>
          <w:sz w:val="32"/>
          <w:szCs w:val="32"/>
          <w:lang w:eastAsia="zh-CN"/>
        </w:rPr>
        <w:t>将</w:t>
      </w:r>
      <w:r>
        <w:rPr>
          <w:rFonts w:hint="eastAsia" w:ascii="方正仿宋_GBK" w:eastAsia="方正仿宋_GBK"/>
          <w:color w:val="000000"/>
          <w:sz w:val="32"/>
          <w:szCs w:val="32"/>
        </w:rPr>
        <w:t>《云阳县水电气等市政接入工程并联审批实施细则</w:t>
      </w:r>
      <w:r>
        <w:rPr>
          <w:rFonts w:ascii="方正仿宋_GBK" w:eastAsia="方正仿宋_GBK"/>
          <w:color w:val="000000"/>
          <w:sz w:val="32"/>
          <w:szCs w:val="32"/>
        </w:rPr>
        <w:t>（试行）</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印发给你们</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请认真贯彻执行</w:t>
      </w:r>
      <w:r>
        <w:rPr>
          <w:rFonts w:hint="eastAsia" w:ascii="方正仿宋_GBK" w:eastAsia="方正仿宋_GBK"/>
          <w:sz w:val="32"/>
          <w:szCs w:val="32"/>
        </w:rPr>
        <w:t>。</w:t>
      </w:r>
    </w:p>
    <w:p>
      <w:pPr>
        <w:pageBreakBefore w:val="0"/>
        <w:widowControl w:val="0"/>
        <w:kinsoku/>
        <w:wordWrap/>
        <w:overflowPunct/>
        <w:topLinePunct w:val="0"/>
        <w:bidi w:val="0"/>
        <w:snapToGrid/>
        <w:spacing w:line="578" w:lineRule="exact"/>
        <w:ind w:firstLine="960" w:firstLineChars="300"/>
        <w:jc w:val="left"/>
        <w:textAlignment w:val="auto"/>
        <w:rPr>
          <w:rFonts w:hint="eastAsia" w:ascii="方正仿宋_GBK" w:eastAsia="方正仿宋_GBK"/>
          <w:color w:val="000000"/>
          <w:sz w:val="32"/>
          <w:szCs w:val="32"/>
        </w:rPr>
      </w:pPr>
    </w:p>
    <w:p>
      <w:pPr>
        <w:pageBreakBefore w:val="0"/>
        <w:widowControl w:val="0"/>
        <w:kinsoku/>
        <w:wordWrap/>
        <w:overflowPunct/>
        <w:topLinePunct w:val="0"/>
        <w:bidi w:val="0"/>
        <w:snapToGrid/>
        <w:spacing w:line="578" w:lineRule="exact"/>
        <w:ind w:firstLine="4480" w:firstLineChars="1400"/>
        <w:textAlignment w:val="auto"/>
        <w:rPr>
          <w:rFonts w:ascii="方正仿宋_GBK" w:eastAsia="方正仿宋_GBK" w:cs="方正楷体_GBK"/>
          <w:sz w:val="32"/>
          <w:szCs w:val="32"/>
        </w:rPr>
      </w:pPr>
      <w:r>
        <w:rPr>
          <w:rFonts w:hint="eastAsia" w:ascii="方正仿宋_GBK" w:eastAsia="方正仿宋_GBK" w:cs="方正楷体_GBK"/>
          <w:sz w:val="32"/>
          <w:szCs w:val="32"/>
          <w:lang w:eastAsia="zh-CN"/>
        </w:rPr>
        <w:t>云阳县</w:t>
      </w:r>
      <w:r>
        <w:rPr>
          <w:rFonts w:hint="eastAsia" w:ascii="方正仿宋_GBK" w:eastAsia="方正仿宋_GBK" w:cs="方正楷体_GBK"/>
          <w:sz w:val="32"/>
          <w:szCs w:val="32"/>
        </w:rPr>
        <w:t>城市管理局</w:t>
      </w:r>
    </w:p>
    <w:p>
      <w:pPr>
        <w:pageBreakBefore w:val="0"/>
        <w:widowControl w:val="0"/>
        <w:kinsoku/>
        <w:wordWrap/>
        <w:overflowPunct/>
        <w:topLinePunct w:val="0"/>
        <w:bidi w:val="0"/>
        <w:snapToGrid/>
        <w:spacing w:line="578" w:lineRule="exact"/>
        <w:ind w:firstLine="4960" w:firstLineChars="1550"/>
        <w:textAlignment w:val="auto"/>
        <w:rPr>
          <w:rFonts w:ascii="方正小标宋_GBK" w:eastAsia="方正小标宋_GBK"/>
          <w:sz w:val="44"/>
          <w:szCs w:val="44"/>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2022年</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13</w:t>
      </w:r>
      <w:r>
        <w:rPr>
          <w:rFonts w:ascii="Times New Roman" w:hAnsi="Times New Roman" w:eastAsia="方正仿宋_GBK"/>
          <w:sz w:val="32"/>
          <w:szCs w:val="32"/>
        </w:rPr>
        <w:t>日</w:t>
      </w:r>
    </w:p>
    <w:p>
      <w:pPr>
        <w:pageBreakBefore w:val="0"/>
        <w:widowControl w:val="0"/>
        <w:kinsoku/>
        <w:wordWrap/>
        <w:overflowPunct/>
        <w:topLinePunct w:val="0"/>
        <w:bidi w:val="0"/>
        <w:snapToGrid/>
        <w:spacing w:line="578" w:lineRule="exact"/>
        <w:ind w:firstLine="5104" w:firstLineChars="1595"/>
        <w:jc w:val="left"/>
        <w:textAlignment w:val="auto"/>
        <w:rPr>
          <w:rFonts w:ascii="方正仿宋_GBK" w:eastAsia="方正仿宋_GBK"/>
          <w:color w:val="000000"/>
          <w:sz w:val="32"/>
          <w:szCs w:val="32"/>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eastAsia="方正小标宋_GBK"/>
          <w:sz w:val="44"/>
          <w:szCs w:val="44"/>
        </w:rPr>
      </w:pPr>
      <w:r>
        <w:rPr>
          <w:rFonts w:hint="eastAsia" w:eastAsia="方正小标宋_GBK"/>
          <w:sz w:val="44"/>
          <w:szCs w:val="44"/>
          <w:lang w:eastAsia="zh-CN"/>
        </w:rPr>
        <w:t>云阳县</w:t>
      </w:r>
      <w:r>
        <w:rPr>
          <w:rFonts w:eastAsia="方正小标宋_GBK"/>
          <w:sz w:val="44"/>
          <w:szCs w:val="44"/>
        </w:rPr>
        <w:t>水电气</w:t>
      </w:r>
      <w:r>
        <w:rPr>
          <w:rFonts w:hint="eastAsia" w:eastAsia="方正小标宋_GBK"/>
          <w:sz w:val="44"/>
          <w:szCs w:val="44"/>
        </w:rPr>
        <w:t>等市政外线接入</w:t>
      </w:r>
      <w:r>
        <w:rPr>
          <w:rFonts w:eastAsia="方正小标宋_GBK"/>
          <w:sz w:val="44"/>
          <w:szCs w:val="44"/>
        </w:rPr>
        <w:t>工程</w:t>
      </w:r>
    </w:p>
    <w:p>
      <w:pPr>
        <w:pageBreakBefore w:val="0"/>
        <w:widowControl w:val="0"/>
        <w:kinsoku/>
        <w:wordWrap/>
        <w:overflowPunct/>
        <w:topLinePunct w:val="0"/>
        <w:bidi w:val="0"/>
        <w:snapToGrid/>
        <w:spacing w:line="578" w:lineRule="exact"/>
        <w:jc w:val="center"/>
        <w:textAlignment w:val="auto"/>
        <w:rPr>
          <w:rFonts w:eastAsia="方正小标宋_GBK"/>
          <w:sz w:val="44"/>
          <w:szCs w:val="44"/>
        </w:rPr>
      </w:pPr>
      <w:r>
        <w:rPr>
          <w:rFonts w:eastAsia="方正小标宋_GBK"/>
          <w:sz w:val="44"/>
          <w:szCs w:val="44"/>
        </w:rPr>
        <w:t>并联审批实施细则（试行）</w:t>
      </w:r>
    </w:p>
    <w:p>
      <w:pPr>
        <w:pageBreakBefore w:val="0"/>
        <w:widowControl w:val="0"/>
        <w:kinsoku/>
        <w:wordWrap/>
        <w:overflowPunct/>
        <w:topLinePunct w:val="0"/>
        <w:bidi w:val="0"/>
        <w:snapToGrid/>
        <w:spacing w:line="578" w:lineRule="exact"/>
        <w:jc w:val="left"/>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为贯彻落实党中央、国务院关于深化“放管服”和优化营商环境的总体部署，持续推进优化营商环境，切实开展营商环境创新试点工作，提高水电气等市政外线接入工程</w:t>
      </w:r>
      <w:r>
        <w:rPr>
          <w:rFonts w:hint="eastAsia" w:ascii="方正仿宋_GBK" w:eastAsia="方正仿宋_GBK"/>
          <w:sz w:val="32"/>
          <w:szCs w:val="32"/>
          <w:lang w:eastAsia="zh-CN"/>
        </w:rPr>
        <w:t>政府</w:t>
      </w:r>
      <w:r>
        <w:rPr>
          <w:rFonts w:hint="eastAsia" w:ascii="方正仿宋_GBK" w:eastAsia="方正仿宋_GBK"/>
          <w:sz w:val="32"/>
          <w:szCs w:val="32"/>
        </w:rPr>
        <w:t>行政审批效率，根据《关于印发重庆市营商环境创新试点实施方案的通知》（渝府发〔2022〕2号）和《关于印发</w:t>
      </w:r>
      <w:r>
        <w:rPr>
          <w:rFonts w:hint="eastAsia" w:ascii="方正仿宋_GBK" w:eastAsia="方正仿宋_GBK"/>
          <w:sz w:val="32"/>
          <w:szCs w:val="32"/>
          <w:lang w:eastAsia="zh-CN"/>
        </w:rPr>
        <w:t>重庆市</w:t>
      </w:r>
      <w:r>
        <w:rPr>
          <w:rFonts w:hint="eastAsia" w:ascii="方正仿宋_GBK" w:eastAsia="方正仿宋_GBK"/>
          <w:sz w:val="32"/>
          <w:szCs w:val="32"/>
        </w:rPr>
        <w:t>水电气等市政接入工程并联审批实施细则（试行）的通知》（</w:t>
      </w:r>
      <w:r>
        <w:rPr>
          <w:rFonts w:hint="eastAsia" w:ascii="方正仿宋_GBK" w:eastAsia="方正仿宋_GBK"/>
          <w:sz w:val="32"/>
          <w:szCs w:val="32"/>
          <w:lang w:eastAsia="zh-CN"/>
        </w:rPr>
        <w:t>渝城管</w:t>
      </w:r>
      <w:r>
        <w:rPr>
          <w:rFonts w:hint="eastAsia" w:ascii="方正仿宋_GBK" w:eastAsia="方正仿宋_GBK"/>
          <w:sz w:val="32"/>
          <w:szCs w:val="32"/>
        </w:rPr>
        <w:t>发〔202</w:t>
      </w:r>
      <w:r>
        <w:rPr>
          <w:rFonts w:hint="eastAsia" w:ascii="方正仿宋_GBK" w:eastAsia="方正仿宋_GBK"/>
          <w:sz w:val="32"/>
          <w:szCs w:val="32"/>
          <w:lang w:val="en-US" w:eastAsia="zh-CN"/>
        </w:rPr>
        <w:t>2</w:t>
      </w:r>
      <w:r>
        <w:rPr>
          <w:rFonts w:hint="eastAsia" w:ascii="方正仿宋_GBK" w:eastAsia="方正仿宋_GBK"/>
          <w:sz w:val="32"/>
          <w:szCs w:val="32"/>
        </w:rPr>
        <w:t>〕</w:t>
      </w:r>
      <w:r>
        <w:rPr>
          <w:rFonts w:hint="eastAsia" w:ascii="方正仿宋_GBK" w:eastAsia="方正仿宋_GBK"/>
          <w:sz w:val="32"/>
          <w:szCs w:val="32"/>
          <w:lang w:val="en-US" w:eastAsia="zh-CN"/>
        </w:rPr>
        <w:t>8</w:t>
      </w:r>
      <w:r>
        <w:rPr>
          <w:rFonts w:hint="eastAsia" w:ascii="方正仿宋_GBK" w:eastAsia="方正仿宋_GBK"/>
          <w:sz w:val="32"/>
          <w:szCs w:val="32"/>
        </w:rPr>
        <w:t>号）等文件，制定本实施细则。</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黑体_GBK" w:eastAsia="方正黑体_GBK"/>
          <w:sz w:val="32"/>
          <w:szCs w:val="32"/>
        </w:rPr>
      </w:pPr>
      <w:r>
        <w:rPr>
          <w:rFonts w:hint="eastAsia" w:ascii="方正黑体_GBK" w:eastAsia="方正黑体_GBK"/>
          <w:sz w:val="32"/>
          <w:szCs w:val="32"/>
        </w:rPr>
        <w:t>一、实施范围</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（一）供水适用范围。全</w:t>
      </w:r>
      <w:r>
        <w:rPr>
          <w:rFonts w:hint="eastAsia" w:ascii="方正仿宋_GBK" w:eastAsia="方正仿宋_GBK"/>
          <w:sz w:val="32"/>
          <w:szCs w:val="32"/>
          <w:lang w:eastAsia="zh-CN"/>
        </w:rPr>
        <w:t>县</w:t>
      </w:r>
      <w:r>
        <w:rPr>
          <w:rFonts w:hint="eastAsia" w:ascii="方正仿宋_GBK" w:eastAsia="方正仿宋_GBK"/>
          <w:sz w:val="32"/>
          <w:szCs w:val="32"/>
        </w:rPr>
        <w:t>范围内城市供水接入外线项目</w:t>
      </w:r>
      <w:r>
        <w:rPr>
          <w:rFonts w:hint="eastAsia" w:ascii="方正仿宋_GBK" w:eastAsia="方正仿宋_GBK"/>
          <w:sz w:val="32"/>
          <w:szCs w:val="32"/>
          <w:lang w:eastAsia="zh-CN"/>
        </w:rPr>
        <w:t>（建筑红线内相关工作另行规定）</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（二）供电适用范围。全</w:t>
      </w:r>
      <w:r>
        <w:rPr>
          <w:rFonts w:hint="eastAsia" w:ascii="方正仿宋_GBK" w:eastAsia="方正仿宋_GBK"/>
          <w:sz w:val="32"/>
          <w:szCs w:val="32"/>
          <w:lang w:eastAsia="zh-CN"/>
        </w:rPr>
        <w:t>县</w:t>
      </w:r>
      <w:r>
        <w:rPr>
          <w:rFonts w:hint="eastAsia" w:ascii="方正仿宋_GBK" w:eastAsia="方正仿宋_GBK"/>
          <w:sz w:val="32"/>
          <w:szCs w:val="32"/>
        </w:rPr>
        <w:t>范围内电压等</w:t>
      </w:r>
      <w:r>
        <w:rPr>
          <w:rFonts w:ascii="方正仿宋_GBK" w:eastAsia="方正仿宋_GBK"/>
          <w:sz w:val="32"/>
          <w:szCs w:val="32"/>
        </w:rPr>
        <w:t>级为10千</w:t>
      </w:r>
      <w:r>
        <w:rPr>
          <w:rFonts w:hint="eastAsia" w:ascii="方正仿宋_GBK" w:eastAsia="方正仿宋_GBK"/>
          <w:sz w:val="32"/>
          <w:szCs w:val="32"/>
        </w:rPr>
        <w:t>伏及以下的电力接入外线项目。</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（三）供气适用范围。全</w:t>
      </w:r>
      <w:r>
        <w:rPr>
          <w:rFonts w:hint="eastAsia" w:ascii="方正仿宋_GBK" w:eastAsia="方正仿宋_GBK"/>
          <w:sz w:val="32"/>
          <w:szCs w:val="32"/>
          <w:lang w:eastAsia="zh-CN"/>
        </w:rPr>
        <w:t>县</w:t>
      </w:r>
      <w:r>
        <w:rPr>
          <w:rFonts w:hint="eastAsia" w:ascii="方正仿宋_GBK" w:eastAsia="方正仿宋_GBK"/>
          <w:sz w:val="32"/>
          <w:szCs w:val="32"/>
        </w:rPr>
        <w:t>范围内城镇工商用户、城镇新建居民小区管道燃气接入外线项目。</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黑体_GBK" w:eastAsia="方正黑体_GBK"/>
          <w:sz w:val="32"/>
          <w:szCs w:val="32"/>
        </w:rPr>
      </w:pPr>
      <w:r>
        <w:rPr>
          <w:rFonts w:hint="eastAsia" w:ascii="方正黑体_GBK" w:eastAsia="方正黑体_GBK"/>
          <w:sz w:val="32"/>
          <w:szCs w:val="32"/>
        </w:rPr>
        <w:t>二、并联审批事项</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（一）建设工程（含临时建设）规划许可证核发；</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（二）市政设施建设类审批；</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（三）工程建设涉及绿地、树木审批（不含永久占绿、迁移古树名木</w:t>
      </w:r>
      <w:r>
        <w:rPr>
          <w:rFonts w:hint="eastAsia" w:ascii="方正仿宋_GBK" w:eastAsia="方正仿宋_GBK"/>
          <w:sz w:val="32"/>
          <w:szCs w:val="32"/>
          <w:lang w:eastAsia="zh-CN"/>
        </w:rPr>
        <w:t>及古树后备资源</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eastAsia="仿宋_GB2312"/>
          <w:sz w:val="32"/>
          <w:szCs w:val="32"/>
        </w:rPr>
      </w:pPr>
      <w:r>
        <w:rPr>
          <w:rFonts w:hint="eastAsia" w:ascii="方正仿宋_GBK" w:eastAsia="方正仿宋_GBK"/>
          <w:sz w:val="32"/>
          <w:szCs w:val="32"/>
        </w:rPr>
        <w:t>（四）涉及跨越、穿越公路及在公路用地范围内架设、埋设管线、电缆等设施，或者利用公路桥梁、公路隧道、涵洞铺设电缆等设施许可（不含穿越铁路、高速公路）。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eastAsia="仿宋_GB2312"/>
          <w:sz w:val="32"/>
          <w:szCs w:val="32"/>
        </w:rPr>
      </w:pPr>
      <w:r>
        <w:rPr>
          <w:rFonts w:hint="eastAsia" w:ascii="方正黑体_GBK" w:eastAsia="方正黑体_GBK"/>
          <w:sz w:val="32"/>
          <w:szCs w:val="32"/>
        </w:rPr>
        <w:t>三、并联审批责任部门及分工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（一）规划自然资源部门负责办理建设工程（含临时建设）规划许可证核发。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（二）城市管理部门负责办理市政设施建设类审批、工程建设涉及绿地、树木审批（不含永久占绿、迁移古树名木</w:t>
      </w:r>
      <w:r>
        <w:rPr>
          <w:rFonts w:hint="eastAsia" w:ascii="方正仿宋_GBK" w:eastAsia="方正仿宋_GBK"/>
          <w:sz w:val="32"/>
          <w:szCs w:val="32"/>
          <w:lang w:eastAsia="zh-CN"/>
        </w:rPr>
        <w:t>及古树后备资源</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（三）交通部门负责办理涉及跨越、穿越公路及在公路用地范围内架设、埋设管线、电缆等设施，或者利用公路桥梁、公路隧道、涵洞铺设电缆等设施许可（不含穿越铁路、高速公路）。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黑体_GBK" w:eastAsia="方正黑体_GBK"/>
          <w:sz w:val="32"/>
          <w:szCs w:val="32"/>
        </w:rPr>
      </w:pPr>
      <w:r>
        <w:rPr>
          <w:rFonts w:hint="eastAsia" w:ascii="方正黑体_GBK" w:eastAsia="方正黑体_GBK"/>
          <w:sz w:val="32"/>
          <w:szCs w:val="32"/>
        </w:rPr>
        <w:t>四、审批时限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lang w:eastAsia="zh-CN"/>
        </w:rPr>
      </w:pPr>
      <w:r>
        <w:rPr>
          <w:rFonts w:hint="eastAsia" w:ascii="方正楷体_GBK" w:hAnsi="方正楷体_GBK" w:eastAsia="方正楷体_GBK" w:cs="方正楷体_GBK"/>
          <w:sz w:val="32"/>
          <w:szCs w:val="32"/>
        </w:rPr>
        <w:t>（一）建设工程（含临时建设）规划许可证核发</w:t>
      </w:r>
      <w:r>
        <w:rPr>
          <w:rFonts w:hint="eastAsia" w:ascii="方正楷体_GBK" w:hAnsi="方正楷体_GBK" w:eastAsia="方正楷体_GBK" w:cs="方正楷体_GBK"/>
          <w:sz w:val="32"/>
          <w:szCs w:val="32"/>
          <w:lang w:eastAsia="zh-CN"/>
        </w:rPr>
        <w:t>。</w:t>
      </w:r>
      <w:r>
        <w:rPr>
          <w:rFonts w:hint="eastAsia" w:ascii="方正仿宋_GBK" w:eastAsia="方正仿宋_GBK"/>
          <w:sz w:val="32"/>
          <w:szCs w:val="32"/>
        </w:rPr>
        <w:t>规划自然资源部门办理</w:t>
      </w:r>
      <w:r>
        <w:rPr>
          <w:rFonts w:ascii="方正仿宋_GBK" w:eastAsia="方正仿宋_GBK"/>
          <w:sz w:val="32"/>
          <w:szCs w:val="32"/>
        </w:rPr>
        <w:t>DN</w:t>
      </w:r>
      <w:r>
        <w:rPr>
          <w:rFonts w:hint="eastAsia" w:ascii="方正仿宋_GBK" w:eastAsia="方正仿宋_GBK"/>
          <w:sz w:val="32"/>
          <w:szCs w:val="32"/>
          <w:lang w:val="en-US" w:eastAsia="zh-CN"/>
        </w:rPr>
        <w:t>2</w:t>
      </w:r>
      <w:r>
        <w:rPr>
          <w:rFonts w:ascii="方正仿宋_GBK" w:eastAsia="方正仿宋_GBK"/>
          <w:sz w:val="32"/>
          <w:szCs w:val="32"/>
        </w:rPr>
        <w:t>00</w:t>
      </w:r>
      <w:r>
        <w:rPr>
          <w:rFonts w:hint="eastAsia" w:ascii="方正仿宋_GBK" w:eastAsia="方正仿宋_GBK"/>
          <w:sz w:val="32"/>
          <w:szCs w:val="32"/>
        </w:rPr>
        <w:t>及以上城市供水接入外线工程的建设工程规划许可证，应当在正式受理申请后5个工作日内完成审批，情况复杂的不超过10个工作日</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rPr>
        <w:t>规划自然资源部门办理10千伏供电的非居民用户外线工程的建设工程规划许可手续，应当在正式受理申请后4个工作日内完成审批，情况复杂的不超过10个工作日</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规划自然资源部门办理外线燃气工程（含配套设施设备）建设工程的规划许可手续，应当在正式受理申请后5个工作日内完成审批，情况复杂的不超过10个工作日。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楷体_GBK" w:hAnsi="方正楷体_GBK" w:eastAsia="方正楷体_GBK" w:cs="方正楷体_GBK"/>
          <w:sz w:val="32"/>
          <w:szCs w:val="32"/>
        </w:rPr>
        <w:t>（二）市政设施建设类审批、工程建设涉及绿地、树木审批（不含永久占绿、迁移古树名木</w:t>
      </w:r>
      <w:r>
        <w:rPr>
          <w:rFonts w:hint="eastAsia" w:ascii="方正楷体_GBK" w:hAnsi="方正楷体_GBK" w:eastAsia="方正楷体_GBK" w:cs="方正楷体_GBK"/>
          <w:sz w:val="32"/>
          <w:szCs w:val="32"/>
          <w:lang w:eastAsia="zh-CN"/>
        </w:rPr>
        <w:t>及古树后备资源</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w:t>
      </w:r>
      <w:r>
        <w:rPr>
          <w:rFonts w:hint="eastAsia" w:ascii="方正仿宋_GBK" w:eastAsia="方正仿宋_GBK"/>
          <w:sz w:val="32"/>
          <w:szCs w:val="32"/>
        </w:rPr>
        <w:t>城市管理部门办理占道、占绿手续，</w:t>
      </w:r>
      <w:r>
        <w:rPr>
          <w:rFonts w:hint="eastAsia" w:ascii="方正仿宋_GBK" w:eastAsia="方正仿宋_GBK"/>
          <w:sz w:val="32"/>
          <w:szCs w:val="32"/>
          <w:lang w:eastAsia="zh-CN"/>
        </w:rPr>
        <w:t>对申请材料中的建设工程规划许可证</w:t>
      </w:r>
      <w:r>
        <w:rPr>
          <w:rFonts w:hint="eastAsia" w:ascii="方正仿宋_GBK" w:eastAsia="方正仿宋_GBK"/>
          <w:sz w:val="32"/>
          <w:szCs w:val="32"/>
        </w:rPr>
        <w:t>采取容缺受理方式，先予受理并进行审查，在收到建设工程规划许可证2个工作日内出具意见书，总用时不超过5个工作日。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w:t>
      </w:r>
      <w:r>
        <w:rPr>
          <w:rFonts w:hint="eastAsia" w:ascii="方正楷体_GBK" w:hAnsi="方正楷体_GBK" w:eastAsia="方正楷体_GBK" w:cs="方正楷体_GBK"/>
          <w:sz w:val="32"/>
          <w:szCs w:val="32"/>
        </w:rPr>
        <w:t>三）交通管理部门办理跨越、穿越公路手续，</w:t>
      </w:r>
      <w:r>
        <w:rPr>
          <w:rFonts w:hint="eastAsia" w:ascii="方正仿宋_GBK" w:eastAsia="方正仿宋_GBK"/>
          <w:sz w:val="32"/>
          <w:szCs w:val="32"/>
        </w:rPr>
        <w:t>应当在正式受理申请后6个工作日内作出行政许可决定。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黑体_GBK" w:eastAsia="方正黑体_GBK"/>
          <w:sz w:val="32"/>
          <w:szCs w:val="32"/>
        </w:rPr>
      </w:pPr>
      <w:r>
        <w:rPr>
          <w:rFonts w:hint="eastAsia" w:ascii="方正黑体_GBK" w:eastAsia="方正黑体_GBK"/>
          <w:sz w:val="32"/>
          <w:szCs w:val="32"/>
        </w:rPr>
        <w:t>五、特殊情形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（一）管径小于 DN</w:t>
      </w:r>
      <w:r>
        <w:rPr>
          <w:rFonts w:hint="eastAsia" w:ascii="方正仿宋_GBK" w:eastAsia="方正仿宋_GBK"/>
          <w:sz w:val="32"/>
          <w:szCs w:val="32"/>
          <w:lang w:val="en-US" w:eastAsia="zh-CN"/>
        </w:rPr>
        <w:t>2</w:t>
      </w:r>
      <w:r>
        <w:rPr>
          <w:rFonts w:hint="eastAsia" w:ascii="方正仿宋_GBK" w:eastAsia="方正仿宋_GBK"/>
          <w:sz w:val="32"/>
          <w:szCs w:val="32"/>
        </w:rPr>
        <w:t>00 至用户水表前的供水接入外线工程、</w:t>
      </w:r>
      <w:r>
        <w:rPr>
          <w:rFonts w:hint="eastAsia" w:eastAsia="方正仿宋_GBK"/>
          <w:bCs/>
          <w:snapToGrid w:val="0"/>
          <w:kern w:val="0"/>
          <w:sz w:val="32"/>
        </w:rPr>
        <w:t>低压电力用户用电接入外线工程不再办理建设工程规划许可证</w:t>
      </w:r>
      <w:r>
        <w:rPr>
          <w:rFonts w:hint="eastAsia" w:eastAsia="方正仿宋_GBK"/>
          <w:bCs/>
          <w:snapToGrid w:val="0"/>
          <w:kern w:val="0"/>
          <w:sz w:val="32"/>
          <w:lang w:eastAsia="zh-CN"/>
        </w:rPr>
        <w:t>手续</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（二）管径小于 DN</w:t>
      </w:r>
      <w:r>
        <w:rPr>
          <w:rFonts w:hint="eastAsia" w:ascii="方正仿宋_GBK" w:eastAsia="方正仿宋_GBK"/>
          <w:sz w:val="32"/>
          <w:szCs w:val="32"/>
          <w:lang w:val="en-US" w:eastAsia="zh-CN"/>
        </w:rPr>
        <w:t>2</w:t>
      </w:r>
      <w:r>
        <w:rPr>
          <w:rFonts w:hint="eastAsia" w:ascii="方正仿宋_GBK" w:eastAsia="方正仿宋_GBK"/>
          <w:sz w:val="32"/>
          <w:szCs w:val="32"/>
        </w:rPr>
        <w:t>00 至用户水表前的供水接入外线工程免于办理占道、占绿手续</w:t>
      </w:r>
      <w:r>
        <w:rPr>
          <w:rFonts w:hint="eastAsia" w:ascii="方正仿宋_GBK" w:eastAsia="方正仿宋_GBK"/>
          <w:sz w:val="32"/>
          <w:szCs w:val="32"/>
          <w:lang w:eastAsia="zh-CN"/>
        </w:rPr>
        <w:t>手续</w:t>
      </w:r>
      <w:r>
        <w:rPr>
          <w:rFonts w:hint="eastAsia" w:ascii="方正仿宋_GBK" w:eastAsia="方正仿宋_GBK"/>
          <w:sz w:val="32"/>
          <w:szCs w:val="32"/>
        </w:rPr>
        <w:t>，低压电</w:t>
      </w:r>
      <w:r>
        <w:rPr>
          <w:rFonts w:hint="eastAsia" w:ascii="方正仿宋_GBK" w:eastAsia="方正仿宋_GBK"/>
          <w:sz w:val="32"/>
          <w:szCs w:val="32"/>
          <w:lang w:eastAsia="zh-CN"/>
        </w:rPr>
        <w:t>力用户用电接入外线工程</w:t>
      </w:r>
      <w:r>
        <w:rPr>
          <w:rFonts w:hint="eastAsia" w:ascii="方正仿宋_GBK" w:eastAsia="方正仿宋_GBK"/>
          <w:sz w:val="32"/>
          <w:szCs w:val="32"/>
        </w:rPr>
        <w:t>办理占道、占绿手续采取告知承诺制。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rPr>
        <w:t>（一）管径小于 DN</w:t>
      </w:r>
      <w:r>
        <w:rPr>
          <w:rFonts w:hint="eastAsia" w:ascii="方正仿宋_GBK" w:eastAsia="方正仿宋_GBK"/>
          <w:sz w:val="32"/>
          <w:szCs w:val="32"/>
          <w:lang w:val="en-US" w:eastAsia="zh-CN"/>
        </w:rPr>
        <w:t>2</w:t>
      </w:r>
      <w:r>
        <w:rPr>
          <w:rFonts w:hint="eastAsia" w:ascii="方正仿宋_GBK" w:eastAsia="方正仿宋_GBK"/>
          <w:sz w:val="32"/>
          <w:szCs w:val="32"/>
        </w:rPr>
        <w:t>00 至用户水表前的供水接入外线工程</w:t>
      </w:r>
      <w:r>
        <w:rPr>
          <w:rFonts w:hint="eastAsia" w:ascii="方正仿宋_GBK" w:eastAsia="方正仿宋_GBK"/>
          <w:sz w:val="32"/>
          <w:szCs w:val="32"/>
          <w:lang w:eastAsia="zh-CN"/>
        </w:rPr>
        <w:t>利用已有通道（不破坏公路结构）办理跨越、穿越公路手续采取</w:t>
      </w:r>
      <w:r>
        <w:rPr>
          <w:rFonts w:hint="eastAsia" w:ascii="方正仿宋_GBK" w:eastAsia="方正仿宋_GBK"/>
          <w:sz w:val="32"/>
          <w:szCs w:val="32"/>
        </w:rPr>
        <w:t>告知承诺制。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黑体_GBK" w:eastAsia="方正黑体_GBK"/>
          <w:sz w:val="32"/>
          <w:szCs w:val="32"/>
        </w:rPr>
      </w:pPr>
      <w:r>
        <w:rPr>
          <w:rFonts w:hint="eastAsia" w:ascii="方正黑体_GBK" w:eastAsia="方正黑体_GBK"/>
          <w:sz w:val="32"/>
          <w:szCs w:val="32"/>
        </w:rPr>
        <w:t>六、审批流程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楷体_GBK" w:eastAsia="方正楷体_GBK"/>
          <w:sz w:val="32"/>
          <w:szCs w:val="32"/>
        </w:rPr>
      </w:pPr>
      <w:r>
        <w:rPr>
          <w:rFonts w:hint="eastAsia" w:ascii="方正楷体_GBK" w:eastAsia="方正楷体_GBK"/>
          <w:sz w:val="32"/>
          <w:szCs w:val="32"/>
        </w:rPr>
        <w:t>（一）申请与受理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w:t>
      </w:r>
      <w:r>
        <w:rPr>
          <w:rFonts w:ascii="方正仿宋_GBK" w:eastAsia="方正仿宋_GBK"/>
          <w:sz w:val="32"/>
          <w:szCs w:val="32"/>
        </w:rPr>
        <w:t>申请人</w:t>
      </w:r>
      <w:r>
        <w:rPr>
          <w:rFonts w:hint="eastAsia" w:ascii="方正仿宋_GBK" w:eastAsia="方正仿宋_GBK"/>
          <w:sz w:val="32"/>
          <w:szCs w:val="32"/>
          <w:lang w:eastAsia="zh-CN"/>
        </w:rPr>
        <w:t>在行政</w:t>
      </w:r>
      <w:r>
        <w:rPr>
          <w:rFonts w:hint="eastAsia" w:ascii="方正仿宋_GBK" w:eastAsia="方正仿宋_GBK"/>
          <w:sz w:val="32"/>
          <w:szCs w:val="32"/>
        </w:rPr>
        <w:t>审批并联办理专区在线提交申请或在</w:t>
      </w:r>
      <w:r>
        <w:rPr>
          <w:rFonts w:ascii="方正仿宋_GBK" w:eastAsia="方正仿宋_GBK"/>
          <w:sz w:val="32"/>
          <w:szCs w:val="32"/>
        </w:rPr>
        <w:t>窗口送交申请材料</w:t>
      </w:r>
      <w:r>
        <w:rPr>
          <w:rFonts w:hint="eastAsia" w:ascii="方正仿宋_GBK" w:eastAsia="方正仿宋_GBK"/>
          <w:sz w:val="32"/>
          <w:szCs w:val="32"/>
        </w:rPr>
        <w:t>（</w:t>
      </w:r>
      <w:r>
        <w:rPr>
          <w:rFonts w:hint="eastAsia" w:ascii="方正仿宋_GBK" w:eastAsia="方正仿宋_GBK"/>
          <w:sz w:val="32"/>
          <w:szCs w:val="32"/>
          <w:lang w:eastAsia="zh-CN"/>
        </w:rPr>
        <w:t>或告知</w:t>
      </w:r>
      <w:r>
        <w:rPr>
          <w:rFonts w:hint="eastAsia" w:ascii="方正仿宋_GBK" w:eastAsia="方正仿宋_GBK"/>
          <w:sz w:val="32"/>
          <w:szCs w:val="32"/>
        </w:rPr>
        <w:t>承诺书）</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.城市管理部门</w:t>
      </w:r>
      <w:r>
        <w:rPr>
          <w:rFonts w:ascii="方正仿宋_GBK" w:eastAsia="方正仿宋_GBK"/>
          <w:sz w:val="32"/>
          <w:szCs w:val="32"/>
        </w:rPr>
        <w:t>负责对申请材料</w:t>
      </w:r>
      <w:r>
        <w:rPr>
          <w:rFonts w:hint="eastAsia" w:ascii="方正仿宋_GBK" w:eastAsia="方正仿宋_GBK"/>
          <w:sz w:val="32"/>
          <w:szCs w:val="32"/>
        </w:rPr>
        <w:t>（</w:t>
      </w:r>
      <w:r>
        <w:rPr>
          <w:rFonts w:hint="eastAsia" w:ascii="方正仿宋_GBK" w:eastAsia="方正仿宋_GBK"/>
          <w:sz w:val="32"/>
          <w:szCs w:val="32"/>
          <w:lang w:eastAsia="zh-CN"/>
        </w:rPr>
        <w:t>或告知</w:t>
      </w:r>
      <w:r>
        <w:rPr>
          <w:rFonts w:hint="eastAsia" w:ascii="方正仿宋_GBK" w:eastAsia="方正仿宋_GBK"/>
          <w:sz w:val="32"/>
          <w:szCs w:val="32"/>
        </w:rPr>
        <w:t>承诺书）</w:t>
      </w:r>
      <w:r>
        <w:rPr>
          <w:rFonts w:ascii="方正仿宋_GBK" w:eastAsia="方正仿宋_GBK"/>
          <w:sz w:val="32"/>
          <w:szCs w:val="32"/>
        </w:rPr>
        <w:t>进行</w:t>
      </w:r>
      <w:r>
        <w:rPr>
          <w:rFonts w:hint="eastAsia" w:ascii="方正仿宋_GBK" w:eastAsia="方正仿宋_GBK"/>
          <w:sz w:val="32"/>
          <w:szCs w:val="32"/>
        </w:rPr>
        <w:t>初审</w:t>
      </w:r>
      <w:r>
        <w:rPr>
          <w:rFonts w:ascii="方正仿宋_GBK" w:eastAsia="方正仿宋_GBK"/>
          <w:sz w:val="32"/>
          <w:szCs w:val="32"/>
        </w:rPr>
        <w:t>。符合要求的，</w:t>
      </w:r>
      <w:r>
        <w:rPr>
          <w:rFonts w:hint="eastAsia" w:ascii="方正仿宋_GBK" w:eastAsia="方正仿宋_GBK"/>
          <w:sz w:val="32"/>
          <w:szCs w:val="32"/>
        </w:rPr>
        <w:t>将</w:t>
      </w:r>
      <w:r>
        <w:rPr>
          <w:rFonts w:ascii="方正仿宋_GBK" w:eastAsia="方正仿宋_GBK"/>
          <w:sz w:val="32"/>
          <w:szCs w:val="32"/>
        </w:rPr>
        <w:t>申请材料</w:t>
      </w:r>
      <w:r>
        <w:rPr>
          <w:rFonts w:hint="eastAsia" w:ascii="方正仿宋_GBK" w:eastAsia="方正仿宋_GBK"/>
          <w:sz w:val="32"/>
          <w:szCs w:val="32"/>
        </w:rPr>
        <w:t>在线传送给各审批事项办理单位</w:t>
      </w:r>
      <w:r>
        <w:rPr>
          <w:rFonts w:ascii="方正仿宋_GBK" w:eastAsia="方正仿宋_GBK"/>
          <w:sz w:val="32"/>
          <w:szCs w:val="32"/>
        </w:rPr>
        <w:t>。</w:t>
      </w:r>
      <w:r>
        <w:rPr>
          <w:rFonts w:hint="eastAsia" w:ascii="方正仿宋_GBK" w:eastAsia="方正仿宋_GBK"/>
          <w:sz w:val="32"/>
          <w:szCs w:val="32"/>
        </w:rPr>
        <w:t>需补齐</w:t>
      </w:r>
      <w:r>
        <w:rPr>
          <w:rFonts w:ascii="方正仿宋_GBK" w:eastAsia="方正仿宋_GBK"/>
          <w:sz w:val="32"/>
          <w:szCs w:val="32"/>
        </w:rPr>
        <w:t>补正申请材料</w:t>
      </w:r>
      <w:r>
        <w:rPr>
          <w:rFonts w:hint="eastAsia" w:ascii="方正仿宋_GBK" w:eastAsia="方正仿宋_GBK"/>
          <w:sz w:val="32"/>
          <w:szCs w:val="32"/>
        </w:rPr>
        <w:t>（</w:t>
      </w:r>
      <w:r>
        <w:rPr>
          <w:rFonts w:hint="eastAsia" w:ascii="方正仿宋_GBK" w:eastAsia="方正仿宋_GBK"/>
          <w:sz w:val="32"/>
          <w:szCs w:val="32"/>
          <w:lang w:eastAsia="zh-CN"/>
        </w:rPr>
        <w:t>或告知</w:t>
      </w:r>
      <w:r>
        <w:rPr>
          <w:rFonts w:hint="eastAsia" w:ascii="方正仿宋_GBK" w:eastAsia="方正仿宋_GBK"/>
          <w:sz w:val="32"/>
          <w:szCs w:val="32"/>
        </w:rPr>
        <w:t>承诺书）</w:t>
      </w:r>
      <w:r>
        <w:rPr>
          <w:rFonts w:ascii="方正仿宋_GBK" w:eastAsia="方正仿宋_GBK"/>
          <w:sz w:val="32"/>
          <w:szCs w:val="32"/>
        </w:rPr>
        <w:t>的，</w:t>
      </w:r>
      <w:r>
        <w:rPr>
          <w:rFonts w:hint="eastAsia" w:ascii="方正仿宋_GBK" w:eastAsia="方正仿宋_GBK"/>
          <w:sz w:val="32"/>
          <w:szCs w:val="32"/>
        </w:rPr>
        <w:t>应当</w:t>
      </w:r>
      <w:r>
        <w:rPr>
          <w:rFonts w:ascii="方正仿宋_GBK" w:eastAsia="方正仿宋_GBK"/>
          <w:sz w:val="32"/>
          <w:szCs w:val="32"/>
        </w:rPr>
        <w:t>向申请人一次性告知需要补正的内容。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楷体_GBK" w:eastAsia="方正楷体_GBK"/>
          <w:sz w:val="32"/>
          <w:szCs w:val="32"/>
        </w:rPr>
      </w:pPr>
      <w:r>
        <w:rPr>
          <w:rFonts w:hint="eastAsia" w:ascii="方正楷体_GBK" w:eastAsia="方正楷体_GBK"/>
          <w:sz w:val="32"/>
          <w:szCs w:val="32"/>
        </w:rPr>
        <w:t>（二）审查与决定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各审批事项办理单位按照行政许可规范要求和内部工作流程办理行政审批事项，并在承诺时限内作出准予许可或不予许可的决定。不予许可的应当注明不予许可的理由。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楷体_GBK" w:eastAsia="方正楷体_GBK"/>
          <w:sz w:val="32"/>
          <w:szCs w:val="32"/>
        </w:rPr>
      </w:pPr>
      <w:r>
        <w:rPr>
          <w:rFonts w:hint="eastAsia" w:ascii="方正楷体_GBK" w:eastAsia="方正楷体_GBK"/>
          <w:sz w:val="32"/>
          <w:szCs w:val="32"/>
        </w:rPr>
        <w:t>（三）通知与送达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城市管理部门将各审批事项的结果文件汇总后通知申请人在线下载或到窗口领取，申请人要求提供邮寄服务的应当提供邮寄服务。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黑体_GBK" w:eastAsia="方正黑体_GBK"/>
          <w:sz w:val="32"/>
          <w:szCs w:val="32"/>
        </w:rPr>
      </w:pPr>
      <w:r>
        <w:rPr>
          <w:rFonts w:hint="eastAsia" w:ascii="方正黑体_GBK" w:eastAsia="方正黑体_GBK"/>
          <w:sz w:val="32"/>
          <w:szCs w:val="32"/>
        </w:rPr>
        <w:t>七、其它规定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一)免于办理行政审批手续和采取告知承诺方式办理的项目，乡（镇）人民政府或街道办事处、行业主管部门应当对项目实施情况加强巡查监管。城建档案管理机构应当按照建设工程竣工联合验收的规定对工程档案进行验收。建设单位将管线信息纳入行业主管部门的专业管线信息系统和城市管线综合管理信息系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(二)满足告知承诺条件的项目，申请人可自主选择是否采取告知承诺方式申请行政审批。如申请人未选择告知承诺方式，按原审批方式进行审批。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(三)容缺受理的申请材料，由并联审批部门通过行政审批并联办理专区在线调阅，不再由申请人提供。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四)免于办理行政审批手续和采取告知承诺方式办理的项目涉及设施占用、开挖的，申请人应当在施工前将设计、施工等材料告知相应的行业主管部门，并将开挖破坏的相关设施按原功能、原标准恢复，行业主管部门应当加强事中事后监管；涉及收费的项目仍按法律法规规定执行，政府另有规定的除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(五)申请人在行政审批过程中按要求调整了图纸等关键性材料的，应当同时报送其它审批部门，保证审批材料一致性。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本实施细则自印发之日起试行。此前各部门已受理、未办结的行政审批事项，仍按原方式执行。</w:t>
      </w:r>
    </w:p>
    <w:p>
      <w:pPr>
        <w:pageBreakBefore w:val="0"/>
        <w:widowControl w:val="0"/>
        <w:kinsoku/>
        <w:wordWrap/>
        <w:overflowPunct/>
        <w:topLinePunct w:val="0"/>
        <w:bidi w:val="0"/>
        <w:snapToGrid/>
        <w:spacing w:line="578" w:lineRule="exact"/>
        <w:ind w:left="1598" w:leftChars="304" w:hanging="960" w:hangingChars="300"/>
        <w:jc w:val="left"/>
        <w:textAlignment w:val="auto"/>
        <w:rPr>
          <w:rFonts w:ascii="方正仿宋_GBK" w:eastAsia="方正仿宋_GBK"/>
          <w:kern w:val="0"/>
          <w:sz w:val="32"/>
          <w:szCs w:val="32"/>
        </w:rPr>
      </w:pPr>
      <w:r>
        <w:rPr>
          <w:rFonts w:hint="eastAsia" w:ascii="方正仿宋_GBK" w:eastAsia="方正仿宋_GBK"/>
          <w:sz w:val="32"/>
          <w:szCs w:val="32"/>
        </w:rPr>
        <w:t>附件：</w:t>
      </w:r>
      <w:r>
        <w:rPr>
          <w:rFonts w:hint="eastAsia" w:ascii="方正仿宋_GBK" w:eastAsia="方正仿宋_GBK"/>
          <w:kern w:val="0"/>
          <w:sz w:val="32"/>
          <w:szCs w:val="32"/>
          <w:lang w:eastAsia="zh-CN"/>
        </w:rPr>
        <w:t>云阳县</w:t>
      </w:r>
      <w:r>
        <w:rPr>
          <w:rFonts w:hint="eastAsia" w:ascii="方正仿宋_GBK" w:eastAsia="方正仿宋_GBK"/>
          <w:kern w:val="0"/>
          <w:sz w:val="32"/>
          <w:szCs w:val="32"/>
        </w:rPr>
        <w:t>水电气等市政接入工程并联审批流程图</w:t>
      </w:r>
    </w:p>
    <w:p>
      <w:pPr>
        <w:pageBreakBefore w:val="0"/>
        <w:widowControl w:val="0"/>
        <w:kinsoku/>
        <w:wordWrap/>
        <w:overflowPunct/>
        <w:topLinePunct w:val="0"/>
        <w:bidi w:val="0"/>
        <w:snapToGrid/>
        <w:spacing w:line="578" w:lineRule="exact"/>
        <w:ind w:firstLine="640" w:firstLineChars="200"/>
        <w:jc w:val="left"/>
        <w:textAlignment w:val="auto"/>
        <w:rPr>
          <w:rFonts w:eastAsia="仿宋_GB2312"/>
          <w:sz w:val="32"/>
          <w:szCs w:val="32"/>
        </w:rPr>
      </w:pPr>
    </w:p>
    <w:p>
      <w:pPr>
        <w:pageBreakBefore w:val="0"/>
        <w:widowControl w:val="0"/>
        <w:kinsoku/>
        <w:wordWrap/>
        <w:overflowPunct/>
        <w:topLinePunct w:val="0"/>
        <w:bidi w:val="0"/>
        <w:snapToGrid/>
        <w:spacing w:line="578" w:lineRule="exact"/>
        <w:ind w:firstLine="480" w:firstLineChars="150"/>
        <w:jc w:val="left"/>
        <w:textAlignment w:val="auto"/>
        <w:rPr>
          <w:rFonts w:hint="eastAsia" w:eastAsia="仿宋_GB2312"/>
          <w:sz w:val="32"/>
          <w:szCs w:val="32"/>
        </w:rPr>
      </w:pPr>
    </w:p>
    <w:p>
      <w:pPr>
        <w:pageBreakBefore w:val="0"/>
        <w:widowControl w:val="0"/>
        <w:kinsoku/>
        <w:wordWrap/>
        <w:overflowPunct/>
        <w:topLinePunct w:val="0"/>
        <w:bidi w:val="0"/>
        <w:snapToGrid/>
        <w:spacing w:line="578" w:lineRule="exact"/>
        <w:ind w:firstLine="480" w:firstLineChars="150"/>
        <w:jc w:val="left"/>
        <w:textAlignment w:val="auto"/>
        <w:rPr>
          <w:rFonts w:hint="eastAsia" w:eastAsia="仿宋_GB2312"/>
          <w:sz w:val="32"/>
          <w:szCs w:val="32"/>
        </w:rPr>
      </w:pPr>
    </w:p>
    <w:p>
      <w:pPr>
        <w:pageBreakBefore w:val="0"/>
        <w:widowControl w:val="0"/>
        <w:kinsoku/>
        <w:wordWrap/>
        <w:overflowPunct/>
        <w:topLinePunct w:val="0"/>
        <w:bidi w:val="0"/>
        <w:snapToGrid/>
        <w:spacing w:line="578" w:lineRule="exact"/>
        <w:ind w:firstLine="480" w:firstLineChars="150"/>
        <w:jc w:val="left"/>
        <w:textAlignment w:val="auto"/>
        <w:rPr>
          <w:rFonts w:hint="eastAsia" w:eastAsia="仿宋_GB2312"/>
          <w:sz w:val="32"/>
          <w:szCs w:val="32"/>
        </w:rPr>
      </w:pPr>
    </w:p>
    <w:p>
      <w:pPr>
        <w:pageBreakBefore w:val="0"/>
        <w:widowControl w:val="0"/>
        <w:kinsoku/>
        <w:wordWrap/>
        <w:overflowPunct/>
        <w:topLinePunct w:val="0"/>
        <w:bidi w:val="0"/>
        <w:snapToGrid/>
        <w:spacing w:line="578" w:lineRule="exact"/>
        <w:ind w:firstLine="480" w:firstLineChars="150"/>
        <w:jc w:val="left"/>
        <w:textAlignment w:val="auto"/>
        <w:rPr>
          <w:rFonts w:eastAsia="仿宋_GB2312"/>
          <w:sz w:val="32"/>
          <w:szCs w:val="32"/>
        </w:rPr>
      </w:pPr>
      <w:r>
        <w:rPr>
          <w:rFonts w:eastAsia="仿宋_GB2312"/>
          <w:sz w:val="32"/>
          <w:szCs w:val="32"/>
        </w:rPr>
        <w:drawing>
          <wp:anchor distT="0" distB="0" distL="114300" distR="114300" simplePos="0" relativeHeight="251659264" behindDoc="0" locked="0" layoutInCell="1" allowOverlap="1">
            <wp:simplePos x="0" y="0"/>
            <wp:positionH relativeFrom="column">
              <wp:posOffset>304800</wp:posOffset>
            </wp:positionH>
            <wp:positionV relativeFrom="paragraph">
              <wp:posOffset>942975</wp:posOffset>
            </wp:positionV>
            <wp:extent cx="5274310" cy="6357620"/>
            <wp:effectExtent l="0" t="0" r="2540" b="5080"/>
            <wp:wrapSquare wrapText="bothSides"/>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a:extLst>
                        <a:ext uri="{28A0092B-C50C-407E-A947-70E740481C1C}">
                          <a14:useLocalDpi xmlns:a14="http://schemas.microsoft.com/office/drawing/2010/main" val="false"/>
                        </a:ext>
                      </a:extLst>
                    </a:blip>
                    <a:stretch>
                      <a:fillRect/>
                    </a:stretch>
                  </pic:blipFill>
                  <pic:spPr>
                    <a:xfrm>
                      <a:off x="0" y="0"/>
                      <a:ext cx="5274310" cy="6357620"/>
                    </a:xfrm>
                    <a:prstGeom prst="rect">
                      <a:avLst/>
                    </a:prstGeom>
                  </pic:spPr>
                </pic:pic>
              </a:graphicData>
            </a:graphic>
          </wp:anchor>
        </w:drawing>
      </w:r>
      <w:r>
        <w:rPr>
          <w:rFonts w:hint="eastAsia" w:eastAsia="仿宋_GB2312"/>
          <w:sz w:val="32"/>
          <w:szCs w:val="32"/>
        </w:rPr>
        <w:t>附件：</w:t>
      </w:r>
    </w:p>
    <w:p>
      <w:pPr>
        <w:pageBreakBefore w:val="0"/>
        <w:widowControl w:val="0"/>
        <w:kinsoku/>
        <w:wordWrap/>
        <w:overflowPunct/>
        <w:topLinePunct w:val="0"/>
        <w:bidi w:val="0"/>
        <w:snapToGrid/>
        <w:spacing w:line="578" w:lineRule="exact"/>
        <w:textAlignment w:val="auto"/>
      </w:pPr>
    </w:p>
    <w:p>
      <w:pPr>
        <w:pStyle w:val="2"/>
        <w:pageBreakBefore w:val="0"/>
        <w:widowControl w:val="0"/>
        <w:kinsoku/>
        <w:wordWrap/>
        <w:overflowPunct/>
        <w:topLinePunct w:val="0"/>
        <w:bidi w:val="0"/>
        <w:snapToGrid/>
        <w:spacing w:line="578" w:lineRule="exact"/>
        <w:textAlignment w:val="auto"/>
      </w:pPr>
    </w:p>
    <w:p>
      <w:pPr>
        <w:pageBreakBefore w:val="0"/>
        <w:widowControl w:val="0"/>
        <w:pBdr>
          <w:top w:val="single" w:color="auto" w:sz="4" w:space="1"/>
          <w:bottom w:val="single" w:color="auto" w:sz="4" w:space="1"/>
        </w:pBdr>
        <w:kinsoku/>
        <w:wordWrap/>
        <w:overflowPunct/>
        <w:topLinePunct w:val="0"/>
        <w:bidi w:val="0"/>
        <w:snapToGrid/>
        <w:spacing w:line="578" w:lineRule="exact"/>
        <w:ind w:firstLine="140" w:firstLineChars="50"/>
        <w:textAlignment w:val="auto"/>
      </w:pPr>
      <w:r>
        <w:rPr>
          <w:rFonts w:hint="eastAsia" w:ascii="方正仿宋_GBK" w:eastAsia="方正仿宋_GBK"/>
          <w:sz w:val="28"/>
          <w:szCs w:val="28"/>
        </w:rPr>
        <w:t xml:space="preserve">云阳县城市管理局办公室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bookmarkStart w:id="0" w:name="_GoBack"/>
      <w:bookmarkEnd w:id="0"/>
      <w:r>
        <w:rPr>
          <w:rFonts w:hint="eastAsia" w:ascii="方正仿宋_GBK" w:eastAsia="方正仿宋_GBK"/>
          <w:sz w:val="28"/>
          <w:szCs w:val="28"/>
        </w:rPr>
        <w:t xml:space="preserve">      20</w:t>
      </w:r>
      <w:r>
        <w:rPr>
          <w:rFonts w:hint="eastAsia" w:ascii="方正仿宋_GBK" w:eastAsia="方正仿宋_GBK"/>
          <w:sz w:val="28"/>
          <w:szCs w:val="28"/>
          <w:lang w:val="en-US" w:eastAsia="zh-CN"/>
        </w:rPr>
        <w:t>22</w:t>
      </w:r>
      <w:r>
        <w:rPr>
          <w:rFonts w:hint="eastAsia" w:ascii="方正仿宋_GBK" w:eastAsia="方正仿宋_GBK"/>
          <w:sz w:val="28"/>
          <w:szCs w:val="28"/>
        </w:rPr>
        <w:t>年</w:t>
      </w:r>
      <w:r>
        <w:rPr>
          <w:rFonts w:hint="eastAsia" w:ascii="方正仿宋_GBK" w:eastAsia="方正仿宋_GBK"/>
          <w:sz w:val="28"/>
          <w:szCs w:val="28"/>
          <w:lang w:val="en-US" w:eastAsia="zh-CN"/>
        </w:rPr>
        <w:t>6</w:t>
      </w:r>
      <w:r>
        <w:rPr>
          <w:rFonts w:hint="eastAsia" w:ascii="方正仿宋_GBK" w:eastAsia="方正仿宋_GBK"/>
          <w:sz w:val="28"/>
          <w:szCs w:val="28"/>
        </w:rPr>
        <w:t>月</w:t>
      </w:r>
      <w:r>
        <w:rPr>
          <w:rFonts w:hint="eastAsia" w:ascii="方正仿宋_GBK" w:eastAsia="方正仿宋_GBK"/>
          <w:sz w:val="28"/>
          <w:szCs w:val="28"/>
          <w:lang w:val="en-US" w:eastAsia="zh-CN"/>
        </w:rPr>
        <w:t>13</w:t>
      </w:r>
      <w:r>
        <w:rPr>
          <w:rFonts w:hint="eastAsia" w:ascii="方正仿宋_GBK" w:eastAsia="方正仿宋_GBK"/>
          <w:sz w:val="28"/>
          <w:szCs w:val="28"/>
        </w:rPr>
        <w:t>日印发</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汉仪中秀体简">
    <w:panose1 w:val="00020600040101010101"/>
    <w:charset w:val="86"/>
    <w:family w:val="auto"/>
    <w:pitch w:val="default"/>
    <w:sig w:usb0="A00002BF" w:usb1="1ACF7CFA" w:usb2="00000016" w:usb3="00000000" w:csb0="0004009F" w:csb1="00000000"/>
  </w:font>
  <w:font w:name="汉仪书宋二S">
    <w:panose1 w:val="00020600040101010101"/>
    <w:charset w:val="86"/>
    <w:family w:val="auto"/>
    <w:pitch w:val="default"/>
    <w:sig w:usb0="A00002BF" w:usb1="18EF7CFA" w:usb2="00000016" w:usb3="00000000" w:csb0="00040000" w:csb1="00000000"/>
  </w:font>
  <w:font w:name="汉仪仿宋S">
    <w:panose1 w:val="00020600040101000101"/>
    <w:charset w:val="86"/>
    <w:family w:val="auto"/>
    <w:pitch w:val="default"/>
    <w:sig w:usb0="A00002BF" w:usb1="38CF7CFA" w:usb2="00000016" w:usb3="00000000" w:csb0="0004009F" w:csb1="00000000"/>
  </w:font>
  <w:font w:name="汉仪咩咩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8609033"/>
                            <w:docPartObj>
                              <w:docPartGallery w:val="autotext"/>
                            </w:docPartObj>
                          </w:sdtPr>
                          <w:sdt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298609033"/>
                      <w:docPartObj>
                        <w:docPartGallery w:val="autotext"/>
                      </w:docPartObj>
                    </w:sdtPr>
                    <w:sdt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p>
                    </w:sdtContent>
                  </w:sdt>
                  <w:p>
                    <w:pPr>
                      <w:pStyle w:val="2"/>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99"/>
    <w:rsid w:val="00156A3C"/>
    <w:rsid w:val="00207A90"/>
    <w:rsid w:val="00250A6C"/>
    <w:rsid w:val="00502AED"/>
    <w:rsid w:val="0058510A"/>
    <w:rsid w:val="006F1166"/>
    <w:rsid w:val="008F38E8"/>
    <w:rsid w:val="00951CCD"/>
    <w:rsid w:val="00B47C89"/>
    <w:rsid w:val="00C62E69"/>
    <w:rsid w:val="00D3054F"/>
    <w:rsid w:val="00D44899"/>
    <w:rsid w:val="00E053DD"/>
    <w:rsid w:val="00F830E0"/>
    <w:rsid w:val="129C65C5"/>
    <w:rsid w:val="17445C16"/>
    <w:rsid w:val="22CD5148"/>
    <w:rsid w:val="25933FC3"/>
    <w:rsid w:val="2B02027F"/>
    <w:rsid w:val="2BC77E1B"/>
    <w:rsid w:val="2F6F67B5"/>
    <w:rsid w:val="3C0F3747"/>
    <w:rsid w:val="3FB3844F"/>
    <w:rsid w:val="50251C8A"/>
    <w:rsid w:val="76AE66AA"/>
    <w:rsid w:val="FFF9B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0"/>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qFormat/>
    <w:uiPriority w:val="99"/>
    <w:rPr>
      <w:rFonts w:ascii="Times New Roman" w:hAnsi="Times New Roman" w:eastAsia="宋体" w:cs="Times New Roman"/>
      <w:sz w:val="18"/>
      <w:szCs w:val="18"/>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321</Words>
  <Characters>1836</Characters>
  <Lines>15</Lines>
  <Paragraphs>4</Paragraphs>
  <TotalTime>11</TotalTime>
  <ScaleCrop>false</ScaleCrop>
  <LinksUpToDate>false</LinksUpToDate>
  <CharactersWithSpaces>2153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2022-05-20T11:45:00Z</dcterms:created>
  <dc:creator>戴欣</dc:creator>
  <cp:lastModifiedBy>user</cp:lastModifiedBy>
  <dcterms:modified xsi:type="dcterms:W3CDTF">2022-12-06T16:05:44Z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