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</w:pPr>
      <w:r>
        <w:rPr>
          <w:rFonts w:ascii="方正小标宋_GBK" w:eastAsia="方正小标宋_GBK"/>
        </w:rPr>
        <w:pict>
          <v:shape id="_x0000_s1026" o:spid="_x0000_s1026" o:spt="136" type="#_x0000_t136" style="position:absolute;left:0pt;margin-left:2pt;margin-top:4.7pt;height:53.85pt;width:438.35pt;mso-wrap-distance-bottom:0pt;mso-wrap-distance-left:9pt;mso-wrap-distance-right:9pt;mso-wrap-distance-top:0pt;z-index:25166745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医疗保障局文件" style="font-family:方正小标宋_GBK;font-size:36pt;v-text-align:center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640" w:firstLineChars="600"/>
        <w:jc w:val="both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1010285</wp:posOffset>
                </wp:positionH>
                <wp:positionV relativeFrom="margin">
                  <wp:posOffset>2639695</wp:posOffset>
                </wp:positionV>
                <wp:extent cx="5615940" cy="0"/>
                <wp:effectExtent l="0" t="10795" r="3810" b="177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55pt;margin-top:207.85pt;height:0pt;width:442.2pt;mso-position-horizontal-relative:page;mso-position-vertical-relative:margin;z-index:251666432;mso-width-relative:page;mso-height-relative:page;" filled="f" stroked="t" coordsize="21600,21600" o:gfxdata="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9drG2QAAAAwB&#10;AAAPAAAAAAAAAAEAIAAAACIAAABkcnMvZG93bnJldi54bWxQSwECFAAUAAAACACHTuJA8Q/dseEB&#10;AACnAwAADgAAAAAAAAABACAAAAAoAQAAZHJzL2Uyb0RvYy54bWxQSwUGAAAAAAYABgBZAQAAewUA&#10;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>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阳</w:t>
      </w:r>
      <w:r>
        <w:rPr>
          <w:rFonts w:ascii="Times New Roman" w:hAnsi="Times New Roman" w:eastAsia="方正仿宋_GBK"/>
          <w:sz w:val="32"/>
          <w:szCs w:val="32"/>
        </w:rPr>
        <w:t>医保发〔20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7"/>
        <w:tblW w:w="5387" w:type="dxa"/>
        <w:tblInd w:w="18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20" w:lineRule="exact"/>
              <w:jc w:val="distribute"/>
              <w:textAlignment w:val="auto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云阳县医疗保障局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720" w:lineRule="exact"/>
              <w:jc w:val="distribute"/>
              <w:textAlignment w:val="auto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云阳县财政局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国家税务总局云阳县税务局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关于做好202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sz w:val="44"/>
          <w:szCs w:val="44"/>
        </w:rPr>
        <w:t>年度城乡居民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基本</w:t>
      </w:r>
      <w:r>
        <w:rPr>
          <w:rFonts w:ascii="Times New Roman" w:hAnsi="Times New Roman" w:eastAsia="方正小标宋_GBK"/>
          <w:sz w:val="44"/>
          <w:szCs w:val="44"/>
        </w:rPr>
        <w:t>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ind w:firstLine="198" w:firstLineChars="45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保险参保筹资工作的通知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8" w:lineRule="exact"/>
        <w:textAlignment w:val="auto"/>
        <w:rPr>
          <w:rFonts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各乡镇人民政府、街道办事处，县政府各部门，有关单位：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1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</w:rPr>
        <w:t>为做好</w:t>
      </w:r>
      <w:r>
        <w:rPr>
          <w:rFonts w:hint="eastAsia" w:ascii="Times New Roman" w:hAnsi="Times New Roman" w:eastAsia="方正仿宋_GBK"/>
        </w:rPr>
        <w:t>我</w:t>
      </w:r>
      <w:r>
        <w:rPr>
          <w:rFonts w:hint="eastAsia" w:ascii="Times New Roman" w:hAnsi="Times New Roman" w:eastAsia="方正仿宋_GBK"/>
          <w:lang w:val="en-US" w:eastAsia="zh-CN"/>
        </w:rPr>
        <w:t>县2025</w:t>
      </w:r>
      <w:r>
        <w:rPr>
          <w:rFonts w:ascii="Times New Roman" w:hAns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度</w:t>
      </w:r>
      <w:r>
        <w:rPr>
          <w:rFonts w:ascii="Times New Roman" w:hAnsi="Times New Roman" w:eastAsia="方正仿宋_GBK"/>
        </w:rPr>
        <w:t>城乡</w:t>
      </w:r>
      <w:r>
        <w:rPr>
          <w:rFonts w:hint="eastAsia" w:ascii="Times New Roman" w:hAnsi="Times New Roman" w:eastAsia="方正仿宋_GBK"/>
          <w:lang w:val="en-US" w:eastAsia="zh-CN"/>
        </w:rPr>
        <w:t>居民基本</w:t>
      </w:r>
      <w:r>
        <w:rPr>
          <w:rFonts w:ascii="Times New Roman" w:hAnsi="Times New Roman" w:eastAsia="方正仿宋_GBK"/>
        </w:rPr>
        <w:t>医疗保险（以下简称居民医保）</w:t>
      </w:r>
      <w:r>
        <w:rPr>
          <w:rFonts w:hint="eastAsia" w:ascii="Times New Roman" w:hAnsi="Times New Roman" w:eastAsia="方正仿宋_GBK"/>
        </w:rPr>
        <w:t>参保筹资</w:t>
      </w:r>
      <w:r>
        <w:rPr>
          <w:rFonts w:ascii="Times New Roman" w:hAnsi="Times New Roman" w:eastAsia="方正仿宋_GBK"/>
        </w:rPr>
        <w:t>工作，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根据《重庆市医疗保障局重庆市财政局国家税务总局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重庆市税务局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关于做好20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年城乡居民基本医疗保障工作的通知</w:t>
      </w:r>
      <w:r>
        <w:rPr>
          <w:rFonts w:hint="eastAsia" w:ascii="Times New Roman" w:hAnsi="Times New Roman" w:eastAsia="方正仿宋_GBK" w:cs="方正仿宋_GBK"/>
          <w:spacing w:val="-14"/>
          <w:sz w:val="32"/>
          <w:szCs w:val="32"/>
        </w:rPr>
        <w:t>》（渝医保发〔20</w:t>
      </w:r>
      <w:r>
        <w:rPr>
          <w:rFonts w:hint="eastAsia" w:ascii="Times New Roman" w:hAnsi="Times New Roman" w:eastAsia="方正仿宋_GBK" w:cs="方正仿宋_GBK"/>
          <w:spacing w:val="-14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pacing w:val="-14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pacing w:val="-14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方正仿宋_GBK" w:cs="方正仿宋_GBK"/>
          <w:spacing w:val="-14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spacing w:val="-14"/>
          <w:sz w:val="32"/>
          <w:szCs w:val="32"/>
          <w:lang w:val="en-US" w:eastAsia="zh-CN"/>
        </w:rPr>
        <w:t>精神</w:t>
      </w:r>
      <w:r>
        <w:rPr>
          <w:rFonts w:hint="eastAsia" w:ascii="Times New Roman" w:hAnsi="Times New Roman" w:eastAsia="方正仿宋_GBK" w:cs="方正仿宋_GBK"/>
          <w:spacing w:val="-14"/>
          <w:sz w:val="32"/>
          <w:szCs w:val="32"/>
        </w:rPr>
        <w:t>，结合云阳县实际，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现将202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年度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居民医保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参保筹资工作相关事项通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一、参保范围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800" w:firstLineChars="25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户籍在本市且未参加城镇职工医疗保险的城乡居民，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包括：中小学校、中等职业学校、特殊教育学校在册学生和托幼机构在园幼儿；在渝高校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含民办高校、科研院所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全日制本、专科生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研究生；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具有本市户籍的新生儿</w:t>
      </w:r>
      <w:r>
        <w:rPr>
          <w:rFonts w:hint="eastAsia" w:ascii="Times New Roman" w:hAnsi="Times New Roman" w:eastAsia="方正仿宋_GBK" w:cs="Times New Roman"/>
          <w:color w:val="000000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800" w:firstLineChars="25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2．</w:t>
      </w:r>
      <w:r>
        <w:rPr>
          <w:rFonts w:ascii="Times New Roman" w:hAnsi="Times New Roman" w:eastAsia="方正仿宋_GBK"/>
          <w:sz w:val="32"/>
          <w:szCs w:val="32"/>
        </w:rPr>
        <w:t>在重庆市取得《居住证》的市外户籍人员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在重庆市取得《外国人永久居留证》的外国籍人员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重庆市引进的各类人才及专家的配偶、未成年子女及父母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在渝高校就读的台、港、澳大学生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重庆</w:t>
      </w:r>
      <w:r>
        <w:rPr>
          <w:rFonts w:hint="eastAsia" w:ascii="Times New Roman" w:hAnsi="Times New Roman" w:eastAsia="方正仿宋_GBK"/>
          <w:sz w:val="32"/>
          <w:szCs w:val="32"/>
        </w:rPr>
        <w:t>市取得《港澳台居民居住证》的港澳台居民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二、筹资标准、缴费时间及待遇享受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1．202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年居民医保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  <w:t>集中参保缴费期为文件下发之日起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至2024年12月31日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。个人参保缴费标准：一档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400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/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·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年，二档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775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/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·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eastAsia="zh-CN"/>
        </w:rPr>
        <w:t>集中参保期缴费的居民，待遇享受时间为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2025年1月1日至12月31日。为方便返乡人员等群体参保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在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年1月1日至2月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日参保缴费的，按集中参保期标准缴纳参保费用，自完清费用的次月1日起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享受居民医保待遇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年3月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日至6月30日参保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缴费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的，按集中参保期标准缴纳参保费用，设置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90日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待遇等待期；202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年7月1日至9月30日参保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缴费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的，缴费标准为全额缴费（包括个人缴费部分和财政补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eastAsia="zh-CN"/>
        </w:rPr>
        <w:t>助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部分），设置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90日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待遇等待期。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eastAsia="zh-CN"/>
        </w:rPr>
        <w:t>新生儿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eastAsia="zh-CN"/>
        </w:rPr>
        <w:t>出生之日起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90日内独立参保的，不设置待遇等待期并只缴纳个人应缴费用，享受待遇至当年12月31日。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按照国家要求，自 2025 年起，对连续参加居民医保满4年的参保人员，之后每连续参保缴费1年，提高居民大病保险最高支付限额。对当年医保基金零报销且于次年正常参保缴费的居民医保参保人员，次年提高大病保险最高支付限额。除新生儿等特殊群体外，对未在居民医保集中缴费期参保缴费或未连续参保缴费的人员，设置参保缴费后固定待遇等待期3个月；其中，未连续参保缴费的，每多断保1年，在固定待遇等待期基础上增加1个月待遇等待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3．在渝高校大学生（含全日制研究生）参加居民医保个人缴费标准为一档380元/人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年，二档755元/人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年。集中参保期为9月1日至2024年12月31日，待遇享受时间为2025年1月1日至12月31日。</w:t>
      </w:r>
      <w:r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新生入学时参加我市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居民医保的，待遇享受时间为完成缴费的次日至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特殊人群</w:t>
      </w:r>
      <w:r>
        <w:rPr>
          <w:rFonts w:hint="default" w:ascii="Times New Roman" w:hAnsi="Times New Roman" w:eastAsia="方正黑体_GBK"/>
          <w:sz w:val="32"/>
          <w:szCs w:val="32"/>
          <w:lang w:val="en-US" w:eastAsia="zh-CN"/>
        </w:rPr>
        <w:t>资助对象及标准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/>
        <w:textAlignment w:val="auto"/>
        <w:rPr>
          <w:rFonts w:hint="eastAsia" w:ascii="Times New Roman" w:hAnsi="Times New Roman" w:eastAsia="方正楷体_GBK" w:cs="方正楷体_GBK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napToGrid w:val="0"/>
          <w:color w:val="000000"/>
          <w:sz w:val="32"/>
          <w:szCs w:val="32"/>
          <w:lang w:val="en-US" w:eastAsia="zh-CN"/>
        </w:rPr>
        <w:t>（一）县民政局认定对象及资助标准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/>
        <w:textAlignment w:val="auto"/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特困人员、城乡孤儿、事实无人抚养儿童参加一档按400</w:t>
      </w:r>
      <w:r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元/人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给予</w:t>
      </w:r>
      <w:r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资助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；城乡低保对象参加一档按360元/人标准给予资助；低保边缘户参加一档</w:t>
      </w:r>
      <w:r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280</w:t>
      </w:r>
      <w:r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元/人标准给予资助；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上述人员</w:t>
      </w:r>
      <w:r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自愿参加二档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统一按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元/人标准给予资助。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/>
        <w:textAlignment w:val="auto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ascii="Times New Roman" w:hAnsi="Times New Roman" w:eastAsia="方正楷体_GBK"/>
          <w:snapToGrid w:val="0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方正楷体_GBK"/>
          <w:snapToGrid w:val="0"/>
          <w:color w:val="000000"/>
          <w:sz w:val="32"/>
          <w:szCs w:val="32"/>
          <w:lang w:eastAsia="zh-CN"/>
        </w:rPr>
        <w:t>县</w:t>
      </w:r>
      <w:r>
        <w:rPr>
          <w:rFonts w:ascii="Times New Roman" w:hAnsi="Times New Roman" w:eastAsia="方正楷体_GBK"/>
          <w:snapToGrid w:val="0"/>
          <w:sz w:val="32"/>
          <w:szCs w:val="32"/>
        </w:rPr>
        <w:t>退役军人事务局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认定对象及资助标准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/>
        <w:textAlignment w:val="auto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烈士遗属、因公牺牲军人遗属、病故军人遗属、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在乡老复员军人给予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二档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全额资助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在乡重点优抚对象（不含1―6级残疾军人）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eastAsia="zh-CN"/>
        </w:rPr>
        <w:t>参加一、二档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按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400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元/人给予资助；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/>
        <w:textAlignment w:val="auto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ascii="Times New Roman" w:hAnsi="Times New Roman" w:eastAsia="方正楷体_GBK"/>
          <w:snapToGrid w:val="0"/>
          <w:sz w:val="32"/>
          <w:szCs w:val="32"/>
        </w:rPr>
        <w:t>（三）</w:t>
      </w:r>
      <w:r>
        <w:rPr>
          <w:rFonts w:hint="eastAsia" w:ascii="Times New Roman" w:hAnsi="Times New Roman" w:eastAsia="方正楷体_GBK"/>
          <w:snapToGrid w:val="0"/>
          <w:sz w:val="32"/>
          <w:szCs w:val="32"/>
          <w:lang w:eastAsia="zh-CN"/>
        </w:rPr>
        <w:t>县</w:t>
      </w:r>
      <w:r>
        <w:rPr>
          <w:rFonts w:ascii="Times New Roman" w:hAnsi="Times New Roman" w:eastAsia="方正楷体_GBK"/>
          <w:snapToGrid w:val="0"/>
          <w:color w:val="000000"/>
          <w:sz w:val="32"/>
          <w:szCs w:val="32"/>
        </w:rPr>
        <w:t>残联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认定对象及资助标准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/>
        <w:textAlignment w:val="auto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城乡重度（1―2级）残疾人员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参加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一档按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280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元/人给予资助，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eastAsia="zh-CN"/>
        </w:rPr>
        <w:t>参加</w:t>
      </w:r>
      <w:r>
        <w:rPr>
          <w:rFonts w:ascii="Times New Roman" w:hAnsi="Times New Roman" w:eastAsia="方正仿宋_GBK"/>
          <w:snapToGrid w:val="0"/>
          <w:sz w:val="32"/>
          <w:szCs w:val="32"/>
        </w:rPr>
        <w:t>二档按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400</w:t>
      </w:r>
      <w:r>
        <w:rPr>
          <w:rFonts w:ascii="Times New Roman" w:hAnsi="Times New Roman" w:eastAsia="方正仿宋_GBK"/>
          <w:snapToGrid w:val="0"/>
          <w:sz w:val="32"/>
          <w:szCs w:val="32"/>
        </w:rPr>
        <w:t>元/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人</w:t>
      </w:r>
      <w:r>
        <w:rPr>
          <w:rFonts w:ascii="Times New Roman" w:hAnsi="Times New Roman" w:eastAsia="方正仿宋_GBK"/>
          <w:snapToGrid w:val="0"/>
          <w:sz w:val="32"/>
          <w:szCs w:val="32"/>
        </w:rPr>
        <w:t>给予资助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；</w:t>
      </w:r>
      <w:r>
        <w:rPr>
          <w:rFonts w:ascii="Times New Roman" w:hAnsi="Times New Roman" w:eastAsia="方正仿宋_GBK"/>
          <w:snapToGrid w:val="0"/>
          <w:sz w:val="32"/>
          <w:szCs w:val="32"/>
        </w:rPr>
        <w:t>普通残疾人（三、四级）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参加一、二档</w:t>
      </w:r>
      <w:r>
        <w:rPr>
          <w:rFonts w:ascii="Times New Roman" w:hAnsi="Times New Roman" w:eastAsia="方正仿宋_GBK"/>
          <w:snapToGrid w:val="0"/>
          <w:sz w:val="32"/>
          <w:szCs w:val="32"/>
        </w:rPr>
        <w:t>按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200</w:t>
      </w:r>
      <w:r>
        <w:rPr>
          <w:rFonts w:ascii="Times New Roman" w:hAnsi="Times New Roman" w:eastAsia="方正仿宋_GBK"/>
          <w:sz w:val="32"/>
          <w:szCs w:val="32"/>
        </w:rPr>
        <w:t>元/人给予</w:t>
      </w:r>
      <w:r>
        <w:rPr>
          <w:rFonts w:ascii="Times New Roman" w:hAnsi="Times New Roman" w:eastAsia="方正仿宋_GBK"/>
          <w:snapToGrid w:val="0"/>
          <w:sz w:val="32"/>
          <w:szCs w:val="32"/>
        </w:rPr>
        <w:t>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/>
        <w:textAlignment w:val="auto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楷体_GBK"/>
          <w:snapToGrid w:val="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napToGrid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楷体_GBK"/>
          <w:snapToGrid w:val="0"/>
          <w:sz w:val="32"/>
          <w:szCs w:val="32"/>
        </w:rPr>
        <w:t>）</w:t>
      </w:r>
      <w:r>
        <w:rPr>
          <w:rFonts w:hint="eastAsia" w:ascii="Times New Roman" w:hAnsi="Times New Roman" w:eastAsia="方正楷体_GBK"/>
          <w:snapToGrid w:val="0"/>
          <w:sz w:val="32"/>
          <w:szCs w:val="32"/>
          <w:lang w:eastAsia="zh-CN"/>
        </w:rPr>
        <w:t>县</w:t>
      </w:r>
      <w:r>
        <w:rPr>
          <w:rFonts w:ascii="Times New Roman" w:hAnsi="Times New Roman" w:eastAsia="方正楷体_GBK"/>
          <w:snapToGrid w:val="0"/>
          <w:sz w:val="32"/>
          <w:szCs w:val="32"/>
        </w:rPr>
        <w:t>卫生健康委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认定对象及资助标准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具有本县户口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享受重庆市计划生育特别扶助政策的对象及子女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eastAsia="zh-CN"/>
        </w:rPr>
        <w:t>参加一、二档按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val="en-US" w:eastAsia="zh-CN"/>
        </w:rPr>
        <w:t>400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元/人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eastAsia="zh-CN"/>
        </w:rPr>
        <w:t>给予资助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；纳入我县计划生育手术并发症管理的对象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eastAsia="zh-CN"/>
        </w:rPr>
        <w:t>参加一、二档按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val="en-US" w:eastAsia="zh-CN"/>
        </w:rPr>
        <w:t>400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元/人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eastAsia="zh-CN"/>
        </w:rPr>
        <w:t>给予资助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；享受重庆市农村部分计划生育家庭奖励扶助政策的对象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eastAsia="zh-CN"/>
        </w:rPr>
        <w:t>参加一、二档按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val="en-US" w:eastAsia="zh-CN"/>
        </w:rPr>
        <w:t>320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</w:rPr>
        <w:t>元/人</w:t>
      </w:r>
      <w:r>
        <w:rPr>
          <w:rFonts w:hint="eastAsia" w:ascii="Times New Roman" w:hAnsi="Times New Roman" w:eastAsia="方正仿宋_GBK" w:cs="方正仿宋_GBK"/>
          <w:snapToGrid w:val="0"/>
          <w:sz w:val="32"/>
          <w:szCs w:val="32"/>
          <w:lang w:eastAsia="zh-CN"/>
        </w:rPr>
        <w:t>给予资助。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/>
        <w:textAlignment w:val="auto"/>
        <w:rPr>
          <w:rFonts w:hint="eastAsia" w:ascii="Times New Roman" w:hAnsi="Times New Roman" w:eastAsia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napToGrid w:val="0"/>
          <w:sz w:val="32"/>
          <w:szCs w:val="32"/>
          <w:lang w:val="en-US" w:eastAsia="zh-CN"/>
        </w:rPr>
        <w:t>县农业农村委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认定对象及资助标准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边缘易致贫户、脱贫不稳定户、突发严重困难户、返贫致贫人口参加</w:t>
      </w:r>
      <w:r>
        <w:rPr>
          <w:rFonts w:ascii="Times New Roman" w:hAnsi="Times New Roman" w:eastAsia="方正仿宋_GBK"/>
          <w:snapToGrid w:val="0"/>
          <w:sz w:val="32"/>
          <w:szCs w:val="32"/>
        </w:rPr>
        <w:t>一档按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280</w:t>
      </w:r>
      <w:r>
        <w:rPr>
          <w:rFonts w:ascii="Times New Roman" w:hAnsi="Times New Roman" w:eastAsia="方正仿宋_GBK"/>
          <w:snapToGrid w:val="0"/>
          <w:sz w:val="32"/>
          <w:szCs w:val="32"/>
        </w:rPr>
        <w:t>元/人给予资助，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参加</w:t>
      </w:r>
      <w:r>
        <w:rPr>
          <w:rFonts w:ascii="Times New Roman" w:hAnsi="Times New Roman" w:eastAsia="方正仿宋_GBK"/>
          <w:snapToGrid w:val="0"/>
          <w:sz w:val="32"/>
          <w:szCs w:val="32"/>
        </w:rPr>
        <w:t>二档按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400</w:t>
      </w:r>
      <w:r>
        <w:rPr>
          <w:rFonts w:ascii="Times New Roman" w:hAnsi="Times New Roman" w:eastAsia="方正仿宋_GBK"/>
          <w:snapToGrid w:val="0"/>
          <w:sz w:val="32"/>
          <w:szCs w:val="32"/>
        </w:rPr>
        <w:t>元/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人</w:t>
      </w:r>
      <w:r>
        <w:rPr>
          <w:rFonts w:ascii="Times New Roman" w:hAnsi="Times New Roman" w:eastAsia="方正仿宋_GBK"/>
          <w:snapToGrid w:val="0"/>
          <w:sz w:val="32"/>
          <w:szCs w:val="32"/>
        </w:rPr>
        <w:t>给予资助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。稳定脱贫人口参加一、二档按15</w:t>
      </w:r>
      <w:r>
        <w:rPr>
          <w:rFonts w:ascii="Times New Roman" w:hAnsi="Times New Roman" w:eastAsia="方正仿宋_GBK"/>
          <w:snapToGrid w:val="0"/>
          <w:sz w:val="32"/>
          <w:szCs w:val="32"/>
        </w:rPr>
        <w:t>元/人给予资助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具有多重资助身份的人员，按照就高标准予以资助。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、居民参保缴费程序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/>
        <w:textAlignment w:val="auto"/>
        <w:rPr>
          <w:rFonts w:hint="eastAsia" w:ascii="Times New Roman" w:hAnsi="Times New Roman" w:eastAsia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（一）普通居民参保缴费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已参保登记的人员，线上可通过重庆电子税务局、支付宝“重庆税务”生活号、“重庆税务”微信公众号、“重庆税务”APP、渝快办、“社保云缴费”微信小程序、重庆农商行APP、云闪付等渠道缴费。线下也可到乡镇（街道）、村（社区）便民服务中心、县行政服务大厅税务窗口缴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2．没有参保登记的人员，凭有效身份证件到户籍所在地或居住地的乡镇（街道）便民服务中心、县行政服务大厅医保窗口办理参保登记手续后再缴费。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/>
        <w:textAlignment w:val="auto"/>
        <w:rPr>
          <w:rFonts w:hint="eastAsia" w:ascii="Times New Roman" w:hAnsi="Times New Roman" w:eastAsia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（二）特殊人群参保缴费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．县民政局、县农业农村委、县卫生健康委、县退役军人事务局、县残联等资助部门提供特殊人群资助名单，并将名单传递至县医疗保障事务中心，县医疗保障事务中心再将整理后的资助名单传递至乡镇（街道）便民服务中心（医保岗），确保信息互联互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2．乡镇（街道）便民服务中心（医保岗）务必于9月30日前在医保信息系统导入特殊人员资助身份信息标识。享受全额资助的人员由乡镇（街道）便民服务中心（医保岗）统一在税务客户端进行零申报；享受定额资助的人员由受资助人自行缴纳减免后的个人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/>
          <w:snapToGrid w:val="0"/>
          <w:sz w:val="32"/>
          <w:szCs w:val="32"/>
        </w:rPr>
        <w:t>（一）</w:t>
      </w:r>
      <w:r>
        <w:rPr>
          <w:rFonts w:hint="eastAsia" w:ascii="Times New Roman" w:hAnsi="Times New Roman" w:eastAsia="方正楷体_GBK"/>
          <w:snapToGrid w:val="0"/>
          <w:sz w:val="32"/>
          <w:szCs w:val="32"/>
          <w:lang w:val="en-US" w:eastAsia="zh-CN"/>
        </w:rPr>
        <w:t>提高工作站位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全民医保是中国特色基本医疗卫生制度的基础。参加城乡居民医疗保险是全民医保的重要组成部分，对于建立健全覆盖全民的医疗保障体系、保障人民群众就医权益、提高人民群众健康水平具有重要意义，各相关部门要在职责范围内共同做好2025年度居民医保征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/>
          <w:snapToGrid w:val="0"/>
          <w:sz w:val="32"/>
          <w:szCs w:val="32"/>
          <w:lang w:val="en-US" w:eastAsia="zh-CN"/>
        </w:rPr>
        <w:t>（二）强化部门联动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/>
        <w:textAlignment w:val="auto"/>
        <w:rPr>
          <w:rFonts w:hint="eastAsia" w:ascii="Times New Roman" w:hAnsi="Times New Roman" w:eastAsia="方正楷体_GBK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加强部门沟通协作，形成工作合力。医保部门要做好居民参保登记，特殊人群资助标识，加大宣传力度，全面解读医保政策和参保意义，充分调动群众主动参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保积极性等工作；税务部门要优化缴费方式，加大服务力度，不断提升经办服务效能，方便群众缴费，协助做好参保动员工作；财政部门要将城乡居民医保财政匹配资金按时匹配到位；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民政局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农业农村委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卫生健康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退役军人事务局、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残联要积极做好相关特殊群体的资格认定、信息上报、个人缴费资助工作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各乡镇（街道）要全面落实广泛宣传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、入户动员、代收代缴等工作职责，确保按时高质量完成2025年度居民医保征缴任务（具体任务数见附件2），同时做好农村低收入人口和脱贫人口参保工作，确保两类人员参保率不低于99%。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/>
          <w:snapToGrid w:val="0"/>
          <w:sz w:val="32"/>
          <w:szCs w:val="32"/>
          <w:lang w:val="en-US" w:eastAsia="zh-CN"/>
        </w:rPr>
        <w:t>（三）提升宣传实效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各乡镇（街道）、医保部门要着眼“保存量”和“提增量”相结合的方式，主动补齐工作短板，聚焦参保薄弱环节，聚焦学生儿童、新生儿、灵活就业人员及特殊困难人员等重点人群参保，深度挖掘扩面潜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>力。紧紧围绕群众关注的焦点、热点问题、创新宣传方法，到人群密集的地方，广设政策咨询台，面对面答疑解惑。善于挖掘身边典型案例，运用大量疾病报销实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例，全方面、多层次、点对点的进行宣传报道。充分发挥新媒体传播速度快、覆盖广的特点，利用短视频、微信公众号、户外大屏等方式，大力宣传参保的好处，不参保对家庭的影响，强化群众参保意识，提高群众知晓率、支持率和参与率，积极引导主动参保，确保应参尽参，推动全民参保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1．云阳县2025年城乡居民基本医疗保险筹资对照表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-68" w:right="0" w:rightChars="0" w:firstLine="1600" w:firstLineChars="500"/>
        <w:textAlignment w:val="auto"/>
        <w:rPr>
          <w:rFonts w:hint="default" w:ascii="Times New Roman" w:hAnsi="Times New Roman" w:eastAsia="方正仿宋_GBK" w:cs="Times New Roman"/>
          <w:w w:val="98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</w:rPr>
        <w:t>年度城乡居民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</w:rPr>
        <w:t>医疗</w:t>
      </w:r>
      <w:r>
        <w:rPr>
          <w:rFonts w:hint="default" w:ascii="Times New Roman" w:hAnsi="Times New Roman" w:eastAsia="方正仿宋_GBK" w:cs="Times New Roman"/>
          <w:w w:val="98"/>
          <w:sz w:val="32"/>
          <w:szCs w:val="32"/>
          <w:lang w:eastAsia="zh-CN"/>
        </w:rPr>
        <w:t>保险参保目标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878" w:firstLineChars="600"/>
        <w:textAlignment w:val="auto"/>
        <w:rPr>
          <w:rFonts w:hint="eastAsia" w:ascii="Times New Roman" w:hAnsi="Times New Roman"/>
          <w:w w:val="98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w w:val="9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w w:val="100"/>
          <w:sz w:val="32"/>
          <w:szCs w:val="32"/>
          <w:lang w:eastAsia="zh-CN"/>
        </w:rPr>
        <w:t>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_GBK" w:hAnsi="方正仿宋_GBK" w:eastAsia="方正仿宋_GBK" w:cs="方正仿宋_GBK"/>
          <w:spacing w:val="11"/>
        </w:rPr>
      </w:pPr>
      <w:r>
        <w:rPr>
          <w:rFonts w:hint="eastAsia" w:ascii="方正仿宋_GBK" w:hAnsi="方正仿宋_GBK" w:eastAsia="方正仿宋_GBK" w:cs="方正仿宋_GBK"/>
          <w:spacing w:val="6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pacing w:val="6"/>
        </w:rPr>
        <w:t>云</w:t>
      </w:r>
      <w:r>
        <w:rPr>
          <w:rFonts w:hint="eastAsia" w:ascii="方正仿宋_GBK" w:hAnsi="方正仿宋_GBK" w:eastAsia="方正仿宋_GBK" w:cs="方正仿宋_GBK"/>
          <w:spacing w:val="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</w:rPr>
        <w:t>阳</w:t>
      </w:r>
      <w:r>
        <w:rPr>
          <w:rFonts w:hint="eastAsia" w:ascii="方正仿宋_GBK" w:hAnsi="方正仿宋_GBK" w:eastAsia="方正仿宋_GBK" w:cs="方正仿宋_GBK"/>
          <w:spacing w:val="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</w:rPr>
        <w:t>县</w:t>
      </w:r>
      <w:r>
        <w:rPr>
          <w:rFonts w:hint="eastAsia" w:ascii="方正仿宋_GBK" w:hAnsi="方正仿宋_GBK" w:eastAsia="方正仿宋_GBK" w:cs="方正仿宋_GBK"/>
          <w:spacing w:val="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</w:rPr>
        <w:t>医</w:t>
      </w:r>
      <w:r>
        <w:rPr>
          <w:rFonts w:hint="eastAsia" w:ascii="方正仿宋_GBK" w:hAnsi="方正仿宋_GBK" w:eastAsia="方正仿宋_GBK" w:cs="方正仿宋_GBK"/>
          <w:spacing w:val="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</w:rPr>
        <w:t>疗</w:t>
      </w:r>
      <w:r>
        <w:rPr>
          <w:rFonts w:hint="eastAsia" w:ascii="方正仿宋_GBK" w:hAnsi="方正仿宋_GBK" w:eastAsia="方正仿宋_GBK" w:cs="方正仿宋_GBK"/>
          <w:spacing w:val="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</w:rPr>
        <w:t>保</w:t>
      </w:r>
      <w:r>
        <w:rPr>
          <w:rFonts w:hint="eastAsia" w:ascii="方正仿宋_GBK" w:hAnsi="方正仿宋_GBK" w:eastAsia="方正仿宋_GBK" w:cs="方正仿宋_GBK"/>
          <w:spacing w:val="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</w:rPr>
        <w:t>障</w:t>
      </w:r>
      <w:r>
        <w:rPr>
          <w:rFonts w:hint="eastAsia" w:ascii="方正仿宋_GBK" w:hAnsi="方正仿宋_GBK" w:eastAsia="方正仿宋_GBK" w:cs="方正仿宋_GBK"/>
          <w:spacing w:val="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方正仿宋_GBK"/>
        </w:rPr>
      </w:pPr>
      <w:r>
        <w:rPr>
          <w:rFonts w:hint="eastAsia" w:ascii="方正仿宋_GBK" w:hAnsi="方正仿宋_GBK" w:eastAsia="方正仿宋_GBK" w:cs="方正仿宋_GBK"/>
          <w:spacing w:val="11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pacing w:val="11"/>
        </w:rPr>
        <w:t>云</w:t>
      </w:r>
      <w:r>
        <w:rPr>
          <w:rFonts w:hint="eastAsia" w:ascii="方正仿宋_GBK" w:hAnsi="方正仿宋_GBK" w:eastAsia="方正仿宋_GBK" w:cs="方正仿宋_GBK"/>
          <w:spacing w:val="11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1"/>
        </w:rPr>
        <w:t>阳</w:t>
      </w:r>
      <w:r>
        <w:rPr>
          <w:rFonts w:hint="eastAsia" w:ascii="方正仿宋_GBK" w:hAnsi="方正仿宋_GBK" w:eastAsia="方正仿宋_GBK" w:cs="方正仿宋_GBK"/>
          <w:spacing w:val="11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1"/>
        </w:rPr>
        <w:t>县</w:t>
      </w:r>
      <w:r>
        <w:rPr>
          <w:rFonts w:hint="eastAsia" w:ascii="方正仿宋_GBK" w:hAnsi="方正仿宋_GBK" w:eastAsia="方正仿宋_GBK" w:cs="方正仿宋_GBK"/>
          <w:spacing w:val="11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1"/>
        </w:rPr>
        <w:t>财</w:t>
      </w:r>
      <w:r>
        <w:rPr>
          <w:rFonts w:hint="eastAsia" w:ascii="方正仿宋_GBK" w:hAnsi="方正仿宋_GBK" w:eastAsia="方正仿宋_GBK" w:cs="方正仿宋_GBK"/>
          <w:spacing w:val="11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1"/>
        </w:rPr>
        <w:t>政</w:t>
      </w:r>
      <w:r>
        <w:rPr>
          <w:rFonts w:hint="eastAsia" w:ascii="方正仿宋_GBK" w:hAnsi="方正仿宋_GBK" w:eastAsia="方正仿宋_GBK" w:cs="方正仿宋_GBK"/>
          <w:spacing w:val="11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1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/>
        </w:rPr>
        <w:t>国家税务总局云阳县税务局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hAnsi="Times New Roman" w:eastAsia="方正仿宋_GBK"/>
          <w:lang w:val="en-US" w:eastAsia="zh-CN"/>
        </w:rPr>
        <w:t xml:space="preserve">                               </w:t>
      </w:r>
      <w:r>
        <w:rPr>
          <w:rFonts w:ascii="Times New Roman" w:hAnsi="Times New Roman" w:eastAsia="方正仿宋_GBK"/>
        </w:rPr>
        <w:t>20</w:t>
      </w:r>
      <w:r>
        <w:rPr>
          <w:rFonts w:hint="eastAsia" w:ascii="Times New Roman" w:hAnsi="Times New Roman" w:eastAsia="方正仿宋_GBK"/>
          <w:lang w:val="en-US" w:eastAsia="zh-CN"/>
        </w:rPr>
        <w:t>24</w:t>
      </w:r>
      <w:r>
        <w:rPr>
          <w:rFonts w:ascii="Times New Roman" w:hAns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9</w:t>
      </w:r>
      <w:r>
        <w:rPr>
          <w:rFonts w:ascii="Times New Roman" w:hAnsi="Times New Roman" w:eastAsia="方正仿宋_GBK"/>
        </w:rPr>
        <w:t>月</w:t>
      </w:r>
      <w:r>
        <w:rPr>
          <w:rFonts w:hint="eastAsia" w:ascii="Times New Roman" w:hAnsi="Times New Roman" w:eastAsia="方正仿宋_GBK"/>
          <w:lang w:val="en-US" w:eastAsia="zh-CN"/>
        </w:rPr>
        <w:t>24</w:t>
      </w:r>
      <w:r>
        <w:rPr>
          <w:rFonts w:hint="eastAsia" w:ascii="Times New Roman" w:hAnsi="Times New Roman" w:eastAsia="方正仿宋_GBK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jc w:val="both"/>
        <w:textAlignment w:val="auto"/>
        <w:rPr>
          <w:rFonts w:ascii="Times New Roman" w:hAnsi="Times New Roman" w:eastAsia="方正仿宋_GBK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pacing w:val="11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78" w:lineRule="exact"/>
        <w:ind w:firstLine="883" w:firstLineChars="200"/>
        <w:textAlignment w:val="auto"/>
        <w:rPr>
          <w:rFonts w:hint="eastAsia" w:ascii="Times New Roman" w:hAnsi="Times New Roman" w:eastAsia="仿宋_GB231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</w:pPr>
    </w:p>
    <w:p>
      <w:pPr>
        <w:pStyle w:val="2"/>
        <w:rPr>
          <w:rFonts w:ascii="Times New Roman" w:hAnsi="Times New Roman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/>
        <w:textAlignment w:val="auto"/>
        <w:rPr>
          <w:rFonts w:ascii="Times New Roman" w:hAnsi="Times New Roma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ascii="Times New Roman" w:hAnsi="Times New Roman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22860</wp:posOffset>
                </wp:positionV>
                <wp:extent cx="57600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1.8pt;height:0pt;width:453.55pt;z-index:251663360;mso-width-relative:page;mso-height-relative:page;" filled="f" stroked="t" coordsize="21600,21600" o:gfxdata="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Zvh+81gAAAAYBAAAPAAAAAAAA&#10;AAEAIAAAACIAAABkcnMvZG93bnJldi54bWxQSwECFAAUAAAACACHTuJAQ6m1ndsBAACXAwAADgAA&#10;AAAAAAABACAAAAAl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抄送：市医疗保障局。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845" w:leftChars="264"/>
        <w:textAlignment w:val="auto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县委办公室，县人大常委会办公室，县政协办公室。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396240</wp:posOffset>
                </wp:positionV>
                <wp:extent cx="576008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1.2pt;height:0pt;width:453.55pt;mso-position-horizontal:center;z-index:251661312;mso-width-relative:page;mso-height-relative:page;" filled="f" stroked="t" coordsize="21600,21600" o:gfxdata="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usT/11QAAAAYBAAAPAAAAAAAA&#10;AAEAIAAAACIAAABkcnMvZG93bnJldi54bWxQSwECFAAUAAAACACHTuJAVDQLONwBAACXAwAADgAA&#10;AAAAAAABACAAAAAk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576008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.8pt;height:0pt;width:453.55pt;mso-position-horizontal:center;z-index:251662336;mso-width-relative:page;mso-height-relative:page;" filled="f" stroked="t" coordsize="21600,21600" o:gfxdata="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p7AanSAAAABAEAAA8AAAAAAAAAAQAg&#10;AAAAIgAAAGRycy9kb3ducmV2LnhtbFBLAQIUABQAAAAIAIdO4kANWMl02wEAAJY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云阳县医疗保障局办公室</w:t>
      </w:r>
      <w:r>
        <w:rPr>
          <w:rFonts w:ascii="Times New Roman" w:hAnsi="Times New Roman" w:eastAsia="方正仿宋_GBK"/>
          <w:snapToGrid w:val="0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 xml:space="preserve">      </w:t>
      </w:r>
      <w:r>
        <w:rPr>
          <w:rFonts w:ascii="Times New Roman" w:hAnsi="Times New Roman" w:eastAsia="方正仿宋_GBK"/>
          <w:snapToGrid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 xml:space="preserve">      2024</w:t>
      </w:r>
      <w:r>
        <w:rPr>
          <w:rFonts w:ascii="Times New Roman" w:hAnsi="Times New Roman" w:eastAsia="方正仿宋_GBK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/>
          <w:snapToGrid w:val="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/>
          <w:snapToGrid w:val="0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57150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4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ZHe4XXAAAACgEAAA8AAAAAAAAA&#10;AQAgAAAAIgAAAGRycy9kb3ducmV2LnhtbFBLAQIUABQAAAAIAIdO4kDmyYHKEgIAABMEAAAOAAAA&#10;AAAAAAEAIAAAACY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88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262890</wp:posOffset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7pt;margin-top:5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JVNQdYAAAAJAQAADwAAAAAA&#10;AAABACAAAAAiAAAAZHJzL2Rvd25yZXYueG1sUEsBAhQAFAAAAAgAh07iQCPLFPAVAgAAEw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F2A10D"/>
    <w:multiLevelType w:val="singleLevel"/>
    <w:tmpl w:val="88F2A10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5F980F"/>
    <w:multiLevelType w:val="singleLevel"/>
    <w:tmpl w:val="3A5F980F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RmZDdiM2M3ZGM4YTI2MGI0YzU5NWU1MGQ5N2UifQ=="/>
  </w:docVars>
  <w:rsids>
    <w:rsidRoot w:val="282A412F"/>
    <w:rsid w:val="00431393"/>
    <w:rsid w:val="008D1212"/>
    <w:rsid w:val="00AD1CE7"/>
    <w:rsid w:val="00E705FB"/>
    <w:rsid w:val="01284E0F"/>
    <w:rsid w:val="01366E82"/>
    <w:rsid w:val="01520C3C"/>
    <w:rsid w:val="01BD26EC"/>
    <w:rsid w:val="02141B9C"/>
    <w:rsid w:val="028A10A9"/>
    <w:rsid w:val="02974475"/>
    <w:rsid w:val="02F81B34"/>
    <w:rsid w:val="03534DFC"/>
    <w:rsid w:val="03591892"/>
    <w:rsid w:val="0369652A"/>
    <w:rsid w:val="04C8170A"/>
    <w:rsid w:val="053E50A3"/>
    <w:rsid w:val="058C0E79"/>
    <w:rsid w:val="060656E2"/>
    <w:rsid w:val="0694412E"/>
    <w:rsid w:val="06955C4B"/>
    <w:rsid w:val="072815FA"/>
    <w:rsid w:val="0857660E"/>
    <w:rsid w:val="09035702"/>
    <w:rsid w:val="09BF677F"/>
    <w:rsid w:val="0A3F7022"/>
    <w:rsid w:val="0A5F16D6"/>
    <w:rsid w:val="0B2E72C7"/>
    <w:rsid w:val="0B852B48"/>
    <w:rsid w:val="0C2433A0"/>
    <w:rsid w:val="0D0B603C"/>
    <w:rsid w:val="0ECD1440"/>
    <w:rsid w:val="0EE4228F"/>
    <w:rsid w:val="0F863238"/>
    <w:rsid w:val="0F9D31C0"/>
    <w:rsid w:val="0FB23D5B"/>
    <w:rsid w:val="10077DEB"/>
    <w:rsid w:val="10927C4F"/>
    <w:rsid w:val="11D56036"/>
    <w:rsid w:val="12127F8B"/>
    <w:rsid w:val="12FC026E"/>
    <w:rsid w:val="134712BF"/>
    <w:rsid w:val="13D61149"/>
    <w:rsid w:val="13D9048C"/>
    <w:rsid w:val="14871B5F"/>
    <w:rsid w:val="14E94FAF"/>
    <w:rsid w:val="150636C4"/>
    <w:rsid w:val="15362B0F"/>
    <w:rsid w:val="15D35D93"/>
    <w:rsid w:val="15FF3FD7"/>
    <w:rsid w:val="1651362C"/>
    <w:rsid w:val="16CC5F35"/>
    <w:rsid w:val="171007C3"/>
    <w:rsid w:val="171471FD"/>
    <w:rsid w:val="179C7056"/>
    <w:rsid w:val="179E3F43"/>
    <w:rsid w:val="17B72A01"/>
    <w:rsid w:val="18013A81"/>
    <w:rsid w:val="180E6B12"/>
    <w:rsid w:val="18991322"/>
    <w:rsid w:val="1B147BA4"/>
    <w:rsid w:val="1C3C4474"/>
    <w:rsid w:val="1C915654"/>
    <w:rsid w:val="1D857996"/>
    <w:rsid w:val="1DCE626F"/>
    <w:rsid w:val="1DDF0D08"/>
    <w:rsid w:val="1DFC2499"/>
    <w:rsid w:val="1E444FD1"/>
    <w:rsid w:val="1F4B2A82"/>
    <w:rsid w:val="1F516AF8"/>
    <w:rsid w:val="1F6822DE"/>
    <w:rsid w:val="20DA56ED"/>
    <w:rsid w:val="21287707"/>
    <w:rsid w:val="21BB5B6D"/>
    <w:rsid w:val="236D78CF"/>
    <w:rsid w:val="238868F8"/>
    <w:rsid w:val="23BF5B8E"/>
    <w:rsid w:val="24684F9B"/>
    <w:rsid w:val="24A72BA1"/>
    <w:rsid w:val="25047A96"/>
    <w:rsid w:val="2523508A"/>
    <w:rsid w:val="25485BD3"/>
    <w:rsid w:val="25834180"/>
    <w:rsid w:val="25AD7959"/>
    <w:rsid w:val="25EE1C89"/>
    <w:rsid w:val="262D0276"/>
    <w:rsid w:val="264E4B4E"/>
    <w:rsid w:val="270B351F"/>
    <w:rsid w:val="27FB440C"/>
    <w:rsid w:val="28284AFE"/>
    <w:rsid w:val="282A412F"/>
    <w:rsid w:val="2868565C"/>
    <w:rsid w:val="295A6DFC"/>
    <w:rsid w:val="2961549B"/>
    <w:rsid w:val="29B07ECC"/>
    <w:rsid w:val="2A210B27"/>
    <w:rsid w:val="2A615E4D"/>
    <w:rsid w:val="2A941935"/>
    <w:rsid w:val="2B147C46"/>
    <w:rsid w:val="2B735FC0"/>
    <w:rsid w:val="2B986534"/>
    <w:rsid w:val="2B9B0272"/>
    <w:rsid w:val="2BE069B6"/>
    <w:rsid w:val="2C017604"/>
    <w:rsid w:val="2C400B60"/>
    <w:rsid w:val="2C710BFE"/>
    <w:rsid w:val="2D2204C2"/>
    <w:rsid w:val="2E2F7AEC"/>
    <w:rsid w:val="2E322CF1"/>
    <w:rsid w:val="2EED231D"/>
    <w:rsid w:val="2EF86311"/>
    <w:rsid w:val="2F7C0A26"/>
    <w:rsid w:val="308E17ED"/>
    <w:rsid w:val="315328FA"/>
    <w:rsid w:val="322B7EF8"/>
    <w:rsid w:val="324A7A2B"/>
    <w:rsid w:val="3274308D"/>
    <w:rsid w:val="334668BE"/>
    <w:rsid w:val="337714F2"/>
    <w:rsid w:val="3432249C"/>
    <w:rsid w:val="34C33158"/>
    <w:rsid w:val="34CC5655"/>
    <w:rsid w:val="34FC0453"/>
    <w:rsid w:val="3512040C"/>
    <w:rsid w:val="355A60BE"/>
    <w:rsid w:val="362E5388"/>
    <w:rsid w:val="36D82DB6"/>
    <w:rsid w:val="36DF11CE"/>
    <w:rsid w:val="372F3322"/>
    <w:rsid w:val="3888253B"/>
    <w:rsid w:val="39814814"/>
    <w:rsid w:val="39D41F54"/>
    <w:rsid w:val="39EC363A"/>
    <w:rsid w:val="3A234E99"/>
    <w:rsid w:val="3A8A1DEC"/>
    <w:rsid w:val="3A9170F2"/>
    <w:rsid w:val="3AB76D97"/>
    <w:rsid w:val="3B7609A7"/>
    <w:rsid w:val="3B845AE8"/>
    <w:rsid w:val="3C097A28"/>
    <w:rsid w:val="3C1C53F6"/>
    <w:rsid w:val="3C996A26"/>
    <w:rsid w:val="3CC50FF1"/>
    <w:rsid w:val="3D083773"/>
    <w:rsid w:val="3D0F5DB7"/>
    <w:rsid w:val="3D32596E"/>
    <w:rsid w:val="3F3229E1"/>
    <w:rsid w:val="3F4047A3"/>
    <w:rsid w:val="3F6B747E"/>
    <w:rsid w:val="3F8E3EE9"/>
    <w:rsid w:val="3FBE2495"/>
    <w:rsid w:val="3FE65BD2"/>
    <w:rsid w:val="40921999"/>
    <w:rsid w:val="41845F4F"/>
    <w:rsid w:val="42DD40A1"/>
    <w:rsid w:val="434240C3"/>
    <w:rsid w:val="43590273"/>
    <w:rsid w:val="43E13CBC"/>
    <w:rsid w:val="450C7CDF"/>
    <w:rsid w:val="45BF4B49"/>
    <w:rsid w:val="46D00948"/>
    <w:rsid w:val="476601FD"/>
    <w:rsid w:val="476D5376"/>
    <w:rsid w:val="47B311B5"/>
    <w:rsid w:val="47ED06D8"/>
    <w:rsid w:val="47F8649D"/>
    <w:rsid w:val="48965FF2"/>
    <w:rsid w:val="489E6769"/>
    <w:rsid w:val="48BB501B"/>
    <w:rsid w:val="48C62C14"/>
    <w:rsid w:val="48C662AE"/>
    <w:rsid w:val="48E967C1"/>
    <w:rsid w:val="48F54CBD"/>
    <w:rsid w:val="491B73D6"/>
    <w:rsid w:val="495B4540"/>
    <w:rsid w:val="49BF73E2"/>
    <w:rsid w:val="4A030AFC"/>
    <w:rsid w:val="4A614D89"/>
    <w:rsid w:val="4AED287C"/>
    <w:rsid w:val="4BCE1C7D"/>
    <w:rsid w:val="4C6860BB"/>
    <w:rsid w:val="4D395217"/>
    <w:rsid w:val="4D8B3613"/>
    <w:rsid w:val="4D950BF3"/>
    <w:rsid w:val="4DE3279E"/>
    <w:rsid w:val="4E4341FF"/>
    <w:rsid w:val="4EB277EB"/>
    <w:rsid w:val="4ED86DC8"/>
    <w:rsid w:val="4EDA2ABD"/>
    <w:rsid w:val="4F7B5C7B"/>
    <w:rsid w:val="4FBC5319"/>
    <w:rsid w:val="4FC51954"/>
    <w:rsid w:val="4FF162E0"/>
    <w:rsid w:val="4FFE4699"/>
    <w:rsid w:val="500E1C35"/>
    <w:rsid w:val="501B4AFC"/>
    <w:rsid w:val="50360A5B"/>
    <w:rsid w:val="50791029"/>
    <w:rsid w:val="512E0748"/>
    <w:rsid w:val="51900080"/>
    <w:rsid w:val="51EA10CB"/>
    <w:rsid w:val="52650ACB"/>
    <w:rsid w:val="52F7572F"/>
    <w:rsid w:val="5358786E"/>
    <w:rsid w:val="53BD6550"/>
    <w:rsid w:val="541808B1"/>
    <w:rsid w:val="548304A5"/>
    <w:rsid w:val="561D0893"/>
    <w:rsid w:val="56334760"/>
    <w:rsid w:val="567C5395"/>
    <w:rsid w:val="5719286A"/>
    <w:rsid w:val="574E7CD6"/>
    <w:rsid w:val="579E5C1A"/>
    <w:rsid w:val="591E549D"/>
    <w:rsid w:val="593C5B92"/>
    <w:rsid w:val="593F4271"/>
    <w:rsid w:val="59531CA1"/>
    <w:rsid w:val="596133ED"/>
    <w:rsid w:val="597204DB"/>
    <w:rsid w:val="5A3F0490"/>
    <w:rsid w:val="5A682007"/>
    <w:rsid w:val="5D2A22CC"/>
    <w:rsid w:val="5D312AA0"/>
    <w:rsid w:val="5E2204E2"/>
    <w:rsid w:val="5E5D07C0"/>
    <w:rsid w:val="5E617BC0"/>
    <w:rsid w:val="5EC62D8F"/>
    <w:rsid w:val="5F36026B"/>
    <w:rsid w:val="5F482114"/>
    <w:rsid w:val="5F5C32D5"/>
    <w:rsid w:val="5F6F53B8"/>
    <w:rsid w:val="5F7B4C73"/>
    <w:rsid w:val="61992A6A"/>
    <w:rsid w:val="61F1448C"/>
    <w:rsid w:val="62DD56D3"/>
    <w:rsid w:val="63D040AF"/>
    <w:rsid w:val="63ED4723"/>
    <w:rsid w:val="64992148"/>
    <w:rsid w:val="65492B84"/>
    <w:rsid w:val="659773AC"/>
    <w:rsid w:val="668275DC"/>
    <w:rsid w:val="67C75565"/>
    <w:rsid w:val="67D66205"/>
    <w:rsid w:val="67DA3C1A"/>
    <w:rsid w:val="67F92C2E"/>
    <w:rsid w:val="68497E75"/>
    <w:rsid w:val="68C45489"/>
    <w:rsid w:val="69804B20"/>
    <w:rsid w:val="6A9127CA"/>
    <w:rsid w:val="6ABB0F4F"/>
    <w:rsid w:val="6D3A1DAE"/>
    <w:rsid w:val="6DED6177"/>
    <w:rsid w:val="6E2D27B4"/>
    <w:rsid w:val="6EBE022F"/>
    <w:rsid w:val="6F0C3718"/>
    <w:rsid w:val="6F231E0F"/>
    <w:rsid w:val="6F8F123C"/>
    <w:rsid w:val="6F9D1001"/>
    <w:rsid w:val="6FBA3DE7"/>
    <w:rsid w:val="705E5C28"/>
    <w:rsid w:val="70A62746"/>
    <w:rsid w:val="716F08E1"/>
    <w:rsid w:val="71843B51"/>
    <w:rsid w:val="718E0D00"/>
    <w:rsid w:val="71BE0C6B"/>
    <w:rsid w:val="71EC1504"/>
    <w:rsid w:val="72982A01"/>
    <w:rsid w:val="72A03C37"/>
    <w:rsid w:val="72A53915"/>
    <w:rsid w:val="731D0ADE"/>
    <w:rsid w:val="73A63F84"/>
    <w:rsid w:val="73F4476F"/>
    <w:rsid w:val="74076433"/>
    <w:rsid w:val="74BA5AAA"/>
    <w:rsid w:val="74BB42AF"/>
    <w:rsid w:val="758A6841"/>
    <w:rsid w:val="769920FF"/>
    <w:rsid w:val="77021206"/>
    <w:rsid w:val="77051ACC"/>
    <w:rsid w:val="7737109C"/>
    <w:rsid w:val="782302A0"/>
    <w:rsid w:val="78503E0C"/>
    <w:rsid w:val="787C4F1F"/>
    <w:rsid w:val="79341143"/>
    <w:rsid w:val="7949504C"/>
    <w:rsid w:val="79707F5F"/>
    <w:rsid w:val="79D30B39"/>
    <w:rsid w:val="79DC23F6"/>
    <w:rsid w:val="79F64D16"/>
    <w:rsid w:val="7A3A6D75"/>
    <w:rsid w:val="7AF229BB"/>
    <w:rsid w:val="7B363DAB"/>
    <w:rsid w:val="7BF140FF"/>
    <w:rsid w:val="7BF316E4"/>
    <w:rsid w:val="7C1625BE"/>
    <w:rsid w:val="7C70085B"/>
    <w:rsid w:val="7DBE7954"/>
    <w:rsid w:val="7ED16A2F"/>
    <w:rsid w:val="7ED5442E"/>
    <w:rsid w:val="7FA77866"/>
    <w:rsid w:val="7FD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rFonts w:asci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2976</Words>
  <Characters>3111</Characters>
  <Lines>0</Lines>
  <Paragraphs>0</Paragraphs>
  <TotalTime>1</TotalTime>
  <ScaleCrop>false</ScaleCrop>
  <LinksUpToDate>false</LinksUpToDate>
  <CharactersWithSpaces>3173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2020-11-02T01:24:00Z</dcterms:created>
  <dc:creator>Administrator</dc:creator>
  <cp:lastModifiedBy>青一</cp:lastModifiedBy>
  <cp:lastPrinted>2024-09-24T01:53:00Z</cp:lastPrinted>
  <dcterms:modified xsi:type="dcterms:W3CDTF">2024-09-26T10:34:11Z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B230144DDBA84B25B99E5017DFA1EFDF_12</vt:lpwstr>
  </property>
</Properties>
</file>