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eastAsia="方正小标宋_GBK"/>
          <w:sz w:val="40"/>
          <w:szCs w:val="40"/>
        </w:rPr>
      </w:pPr>
      <w:bookmarkStart w:id="1" w:name="_GoBack"/>
      <w:bookmarkEnd w:id="1"/>
    </w:p>
    <w:p>
      <w:pPr>
        <w:spacing w:line="460" w:lineRule="exact"/>
        <w:jc w:val="center"/>
        <w:rPr>
          <w:rFonts w:eastAsia="方正小标宋_GBK"/>
          <w:sz w:val="40"/>
          <w:szCs w:val="40"/>
        </w:rPr>
      </w:pPr>
    </w:p>
    <w:p>
      <w:pPr>
        <w:spacing w:line="460" w:lineRule="exact"/>
        <w:jc w:val="center"/>
        <w:rPr>
          <w:rFonts w:eastAsia="方正小标宋_GBK"/>
          <w:sz w:val="40"/>
          <w:szCs w:val="40"/>
        </w:rPr>
      </w:pPr>
    </w:p>
    <w:p>
      <w:pPr>
        <w:spacing w:line="600" w:lineRule="exact"/>
        <w:jc w:val="center"/>
        <w:rPr>
          <w:rFonts w:eastAsia="方正小标宋_GBK"/>
          <w:w w:val="40"/>
          <w:sz w:val="40"/>
          <w:szCs w:val="40"/>
        </w:rPr>
      </w:pPr>
    </w:p>
    <w:p>
      <w:pPr>
        <w:autoSpaceDE w:val="0"/>
        <w:autoSpaceDN w:val="0"/>
        <w:adjustRightInd w:val="0"/>
        <w:spacing w:line="400" w:lineRule="exact"/>
        <w:ind w:right="629"/>
        <w:rPr>
          <w:rFonts w:hint="default" w:ascii="Times New Roman" w:hAnsi="Times New Roman" w:eastAsia="黑体" w:cs="Times New Roman"/>
          <w:color w:val="000000"/>
          <w:kern w:val="0"/>
          <w:szCs w:val="32"/>
        </w:rPr>
      </w:pPr>
    </w:p>
    <w:tbl>
      <w:tblPr>
        <w:tblStyle w:val="12"/>
        <w:tblW w:w="9077" w:type="dxa"/>
        <w:tblInd w:w="108" w:type="dxa"/>
        <w:tblLayout w:type="fixed"/>
        <w:tblCellMar>
          <w:top w:w="0" w:type="dxa"/>
          <w:left w:w="108" w:type="dxa"/>
          <w:bottom w:w="0" w:type="dxa"/>
          <w:right w:w="108" w:type="dxa"/>
        </w:tblCellMar>
      </w:tblPr>
      <w:tblGrid>
        <w:gridCol w:w="7512"/>
        <w:gridCol w:w="1565"/>
      </w:tblGrid>
      <w:tr>
        <w:tblPrEx>
          <w:tblCellMar>
            <w:top w:w="0" w:type="dxa"/>
            <w:left w:w="108" w:type="dxa"/>
            <w:bottom w:w="0" w:type="dxa"/>
            <w:right w:w="108" w:type="dxa"/>
          </w:tblCellMar>
        </w:tblPrEx>
        <w:tc>
          <w:tcPr>
            <w:tcW w:w="7512" w:type="dxa"/>
            <w:noWrap w:val="0"/>
            <w:vAlign w:val="top"/>
          </w:tcPr>
          <w:p>
            <w:pPr>
              <w:autoSpaceDE w:val="0"/>
              <w:autoSpaceDN w:val="0"/>
              <w:adjustRightInd w:val="0"/>
              <w:spacing w:line="800" w:lineRule="exact"/>
              <w:jc w:val="distribute"/>
              <w:rPr>
                <w:rFonts w:hint="default" w:ascii="Times New Roman" w:hAnsi="Times New Roman" w:eastAsia="方正小标宋_GBK" w:cs="Times New Roman"/>
                <w:color w:val="FF0000"/>
                <w:spacing w:val="-28"/>
                <w:w w:val="85"/>
                <w:kern w:val="0"/>
                <w:sz w:val="70"/>
                <w:szCs w:val="70"/>
              </w:rPr>
            </w:pPr>
            <w:r>
              <w:rPr>
                <w:rFonts w:hint="default" w:ascii="Times New Roman" w:hAnsi="Times New Roman" w:eastAsia="方正小标宋_GBK" w:cs="Times New Roman"/>
                <w:color w:val="FF0000"/>
                <w:spacing w:val="-28"/>
                <w:w w:val="85"/>
                <w:kern w:val="0"/>
                <w:sz w:val="70"/>
                <w:szCs w:val="70"/>
              </w:rPr>
              <w:t>重庆市</w:t>
            </w:r>
            <w:r>
              <w:rPr>
                <w:rFonts w:hint="default" w:ascii="Times New Roman" w:hAnsi="Times New Roman" w:eastAsia="方正小标宋_GBK" w:cs="Times New Roman"/>
                <w:color w:val="FF0000"/>
                <w:spacing w:val="-28"/>
                <w:w w:val="85"/>
                <w:kern w:val="0"/>
                <w:sz w:val="70"/>
                <w:szCs w:val="70"/>
                <w:lang w:eastAsia="zh-CN"/>
              </w:rPr>
              <w:t>医疗</w:t>
            </w:r>
            <w:r>
              <w:rPr>
                <w:rFonts w:hint="default" w:ascii="Times New Roman" w:hAnsi="Times New Roman" w:eastAsia="方正小标宋_GBK" w:cs="Times New Roman"/>
                <w:color w:val="FF0000"/>
                <w:spacing w:val="-28"/>
                <w:w w:val="85"/>
                <w:kern w:val="0"/>
                <w:sz w:val="70"/>
                <w:szCs w:val="70"/>
              </w:rPr>
              <w:t>保障局</w:t>
            </w:r>
          </w:p>
        </w:tc>
        <w:tc>
          <w:tcPr>
            <w:tcW w:w="1565" w:type="dxa"/>
            <w:vMerge w:val="restart"/>
            <w:noWrap w:val="0"/>
            <w:vAlign w:val="center"/>
          </w:tcPr>
          <w:p>
            <w:pPr>
              <w:autoSpaceDE w:val="0"/>
              <w:autoSpaceDN w:val="0"/>
              <w:adjustRightInd w:val="0"/>
              <w:spacing w:line="1000" w:lineRule="exact"/>
              <w:rPr>
                <w:rFonts w:hint="default" w:ascii="Times New Roman" w:hAnsi="Times New Roman" w:eastAsia="方正小标宋_GBK" w:cs="Times New Roman"/>
                <w:color w:val="FF0000"/>
                <w:spacing w:val="-28"/>
                <w:w w:val="85"/>
                <w:kern w:val="0"/>
                <w:sz w:val="70"/>
                <w:szCs w:val="70"/>
              </w:rPr>
            </w:pPr>
            <w:r>
              <w:rPr>
                <w:rFonts w:hint="default" w:ascii="Times New Roman" w:hAnsi="Times New Roman" w:eastAsia="方正小标宋_GBK" w:cs="Times New Roman"/>
                <w:color w:val="FF0000"/>
                <w:spacing w:val="-28"/>
                <w:w w:val="85"/>
                <w:kern w:val="0"/>
                <w:sz w:val="70"/>
                <w:szCs w:val="70"/>
              </w:rPr>
              <w:t>文件</w:t>
            </w:r>
          </w:p>
        </w:tc>
      </w:tr>
      <w:tr>
        <w:tblPrEx>
          <w:tblCellMar>
            <w:top w:w="0" w:type="dxa"/>
            <w:left w:w="108" w:type="dxa"/>
            <w:bottom w:w="0" w:type="dxa"/>
            <w:right w:w="108" w:type="dxa"/>
          </w:tblCellMar>
        </w:tblPrEx>
        <w:tc>
          <w:tcPr>
            <w:tcW w:w="7512" w:type="dxa"/>
            <w:noWrap w:val="0"/>
            <w:vAlign w:val="top"/>
          </w:tcPr>
          <w:p>
            <w:pPr>
              <w:autoSpaceDE w:val="0"/>
              <w:autoSpaceDN w:val="0"/>
              <w:adjustRightInd w:val="0"/>
              <w:spacing w:line="800" w:lineRule="exact"/>
              <w:jc w:val="distribute"/>
              <w:rPr>
                <w:rFonts w:hint="eastAsia" w:ascii="Times New Roman" w:hAnsi="Times New Roman" w:eastAsia="方正小标宋_GBK" w:cs="Times New Roman"/>
                <w:color w:val="FF0000"/>
                <w:spacing w:val="-28"/>
                <w:w w:val="85"/>
                <w:kern w:val="0"/>
                <w:sz w:val="70"/>
                <w:szCs w:val="70"/>
                <w:lang w:val="en-US" w:eastAsia="zh-CN"/>
              </w:rPr>
            </w:pPr>
            <w:r>
              <w:rPr>
                <w:rFonts w:hint="default" w:ascii="Times New Roman" w:hAnsi="Times New Roman" w:eastAsia="方正小标宋_GBK" w:cs="Times New Roman"/>
                <w:color w:val="FF0000"/>
                <w:spacing w:val="-28"/>
                <w:w w:val="85"/>
                <w:kern w:val="0"/>
                <w:sz w:val="70"/>
                <w:szCs w:val="70"/>
              </w:rPr>
              <w:t>重庆市</w:t>
            </w:r>
            <w:r>
              <w:rPr>
                <w:rFonts w:hint="eastAsia" w:eastAsia="方正小标宋_GBK" w:cs="Times New Roman"/>
                <w:color w:val="FF0000"/>
                <w:spacing w:val="-28"/>
                <w:w w:val="85"/>
                <w:kern w:val="0"/>
                <w:sz w:val="70"/>
                <w:szCs w:val="70"/>
                <w:lang w:val="en-US" w:eastAsia="zh-CN"/>
              </w:rPr>
              <w:t>卫生健康委员会</w:t>
            </w:r>
          </w:p>
        </w:tc>
        <w:tc>
          <w:tcPr>
            <w:tcW w:w="1565" w:type="dxa"/>
            <w:vMerge w:val="continue"/>
            <w:noWrap w:val="0"/>
            <w:vAlign w:val="center"/>
          </w:tcPr>
          <w:p>
            <w:pPr>
              <w:autoSpaceDE w:val="0"/>
              <w:autoSpaceDN w:val="0"/>
              <w:adjustRightInd w:val="0"/>
              <w:spacing w:line="1000" w:lineRule="exact"/>
              <w:rPr>
                <w:rFonts w:hint="default" w:ascii="Times New Roman" w:hAnsi="Times New Roman" w:eastAsia="方正小标宋_GBK" w:cs="Times New Roman"/>
                <w:color w:val="FF0000"/>
                <w:spacing w:val="-28"/>
                <w:w w:val="85"/>
                <w:kern w:val="0"/>
                <w:sz w:val="70"/>
                <w:szCs w:val="70"/>
              </w:rPr>
            </w:pPr>
          </w:p>
        </w:tc>
      </w:tr>
    </w:tbl>
    <w:p>
      <w:pPr>
        <w:autoSpaceDE w:val="0"/>
        <w:autoSpaceDN w:val="0"/>
        <w:adjustRightInd w:val="0"/>
        <w:spacing w:line="380" w:lineRule="exact"/>
        <w:jc w:val="center"/>
        <w:rPr>
          <w:rFonts w:hint="default" w:ascii="Times New Roman" w:hAnsi="Times New Roman" w:eastAsia="方正小标宋_GBK" w:cs="Times New Roman"/>
          <w:color w:val="FF0000"/>
          <w:spacing w:val="-50"/>
          <w:w w:val="90"/>
          <w:kern w:val="0"/>
          <w:sz w:val="70"/>
          <w:szCs w:val="70"/>
        </w:rPr>
      </w:pPr>
    </w:p>
    <w:p>
      <w:pPr>
        <w:autoSpaceDE w:val="0"/>
        <w:autoSpaceDN w:val="0"/>
        <w:adjustRightInd w:val="0"/>
        <w:spacing w:line="6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渝</w:t>
      </w:r>
      <w:r>
        <w:rPr>
          <w:rFonts w:hint="default" w:ascii="Times New Roman" w:hAnsi="Times New Roman" w:eastAsia="方正仿宋_GBK" w:cs="Times New Roman"/>
          <w:lang w:eastAsia="zh-CN"/>
        </w:rPr>
        <w:t>医保</w:t>
      </w:r>
      <w:r>
        <w:rPr>
          <w:rFonts w:hint="default" w:ascii="Times New Roman" w:hAnsi="Times New Roman" w:eastAsia="方正仿宋_GBK" w:cs="Times New Roman"/>
        </w:rPr>
        <w:t>发〔20</w:t>
      </w:r>
      <w:r>
        <w:rPr>
          <w:rFonts w:hint="eastAsia" w:ascii="Times New Roman" w:hAnsi="Times New Roman" w:eastAsia="方正仿宋_GBK" w:cs="Times New Roman"/>
          <w:lang w:val="en-US" w:eastAsia="zh-CN"/>
        </w:rPr>
        <w:t>2</w:t>
      </w:r>
      <w:r>
        <w:rPr>
          <w:rFonts w:hint="eastAsia" w:eastAsia="方正仿宋_GBK" w:cs="Times New Roman"/>
          <w:lang w:val="en-US" w:eastAsia="zh-CN"/>
        </w:rPr>
        <w:t>1</w:t>
      </w:r>
      <w:r>
        <w:rPr>
          <w:rFonts w:hint="default" w:ascii="Times New Roman" w:hAnsi="Times New Roman" w:eastAsia="方正仿宋_GBK" w:cs="Times New Roman"/>
        </w:rPr>
        <w:t>〕</w:t>
      </w:r>
      <w:r>
        <w:rPr>
          <w:rFonts w:hint="eastAsia" w:eastAsia="方正仿宋_GBK" w:cs="Times New Roman"/>
          <w:lang w:val="en-US" w:eastAsia="zh-CN"/>
        </w:rPr>
        <w:t>16</w:t>
      </w:r>
      <w:r>
        <w:rPr>
          <w:rFonts w:hint="default" w:ascii="Times New Roman" w:hAnsi="Times New Roman" w:eastAsia="方正仿宋_GBK" w:cs="Times New Roman"/>
        </w:rPr>
        <w:t>号</w:t>
      </w:r>
    </w:p>
    <w:p>
      <w:pPr>
        <w:autoSpaceDE w:val="0"/>
        <w:autoSpaceDN w:val="0"/>
        <w:adjustRightInd w:val="0"/>
        <w:spacing w:line="100" w:lineRule="exact"/>
        <w:jc w:val="center"/>
        <w:rPr>
          <w:rFonts w:hint="default" w:ascii="Times New Roman" w:hAnsi="Times New Roman" w:eastAsia="方正仿宋_GBK" w:cs="Times New Roman"/>
          <w:color w:val="000000"/>
          <w:kern w:val="0"/>
          <w:szCs w:val="32"/>
        </w:rPr>
      </w:pPr>
    </w:p>
    <w:tbl>
      <w:tblPr>
        <w:tblStyle w:val="12"/>
        <w:tblW w:w="9077" w:type="dxa"/>
        <w:jc w:val="center"/>
        <w:tblLayout w:type="fixed"/>
        <w:tblCellMar>
          <w:top w:w="0" w:type="dxa"/>
          <w:left w:w="108" w:type="dxa"/>
          <w:bottom w:w="0" w:type="dxa"/>
          <w:right w:w="108" w:type="dxa"/>
        </w:tblCellMar>
      </w:tblPr>
      <w:tblGrid>
        <w:gridCol w:w="9077"/>
      </w:tblGrid>
      <w:tr>
        <w:tblPrEx>
          <w:tblCellMar>
            <w:top w:w="0" w:type="dxa"/>
            <w:left w:w="108" w:type="dxa"/>
            <w:bottom w:w="0" w:type="dxa"/>
            <w:right w:w="108" w:type="dxa"/>
          </w:tblCellMar>
        </w:tblPrEx>
        <w:trPr>
          <w:trHeight w:val="100" w:hRule="atLeast"/>
          <w:jc w:val="center"/>
        </w:trPr>
        <w:tc>
          <w:tcPr>
            <w:tcW w:w="9077" w:type="dxa"/>
            <w:tcBorders>
              <w:top w:val="single" w:color="FF0000" w:sz="12" w:space="0"/>
            </w:tcBorders>
            <w:noWrap w:val="0"/>
            <w:vAlign w:val="top"/>
          </w:tcPr>
          <w:p>
            <w:pPr>
              <w:spacing w:line="860" w:lineRule="exact"/>
              <w:rPr>
                <w:rFonts w:hint="default" w:ascii="Times New Roman" w:hAnsi="Times New Roman" w:eastAsia="方正小标宋简体" w:cs="Times New Roman"/>
                <w:sz w:val="36"/>
                <w:szCs w:val="24"/>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heme="minorBidi"/>
          <w:sz w:val="44"/>
          <w:szCs w:val="44"/>
          <w:u w:val="none"/>
        </w:rPr>
      </w:pPr>
      <w:r>
        <w:rPr>
          <w:rFonts w:hint="eastAsia" w:ascii="Times New Roman" w:hAnsi="Times New Roman" w:eastAsia="方正小标宋_GBK" w:cstheme="minorBidi"/>
          <w:sz w:val="44"/>
          <w:szCs w:val="44"/>
          <w:u w:val="none"/>
        </w:rPr>
        <w:t>重庆市医疗保障局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heme="minorBidi"/>
          <w:sz w:val="44"/>
          <w:szCs w:val="44"/>
          <w:u w:val="none"/>
        </w:rPr>
      </w:pPr>
      <w:r>
        <w:rPr>
          <w:rFonts w:hint="eastAsia" w:ascii="Times New Roman" w:hAnsi="Times New Roman" w:eastAsia="方正小标宋_GBK" w:cstheme="minorBidi"/>
          <w:sz w:val="44"/>
          <w:szCs w:val="44"/>
          <w:u w:val="none"/>
        </w:rPr>
        <w:t>重庆市卫生健康委员会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sz w:val="44"/>
          <w:szCs w:val="44"/>
          <w:u w:val="none"/>
        </w:rPr>
      </w:pPr>
      <w:r>
        <w:rPr>
          <w:rFonts w:hint="eastAsia" w:ascii="Times New Roman" w:hAnsi="Times New Roman" w:eastAsia="方正小标宋_GBK" w:cstheme="minorBidi"/>
          <w:sz w:val="44"/>
          <w:szCs w:val="44"/>
          <w:u w:val="none"/>
        </w:rPr>
        <w:t>关于</w:t>
      </w:r>
      <w:r>
        <w:rPr>
          <w:rFonts w:hint="eastAsia" w:ascii="Times New Roman" w:hAnsi="Times New Roman" w:eastAsia="方正小标宋_GBK" w:cstheme="minorBidi"/>
          <w:sz w:val="44"/>
          <w:szCs w:val="44"/>
          <w:u w:val="none"/>
          <w:lang w:eastAsia="zh-CN"/>
        </w:rPr>
        <w:t>做好</w:t>
      </w:r>
      <w:r>
        <w:rPr>
          <w:rFonts w:hint="eastAsia" w:ascii="Times New Roman" w:hAnsi="Times New Roman" w:eastAsia="方正小标宋_GBK" w:cs="方正小标宋_GBK"/>
          <w:sz w:val="44"/>
          <w:szCs w:val="44"/>
          <w:u w:val="none"/>
        </w:rPr>
        <w:t>城乡居民高血压糖尿病门诊用药保障</w:t>
      </w:r>
      <w:r>
        <w:rPr>
          <w:rFonts w:hint="eastAsia" w:ascii="Times New Roman" w:hAnsi="Times New Roman" w:eastAsia="方正小标宋_GBK" w:cs="方正小标宋_GBK"/>
          <w:sz w:val="44"/>
          <w:szCs w:val="44"/>
          <w:u w:val="none"/>
          <w:lang w:eastAsia="zh-CN"/>
        </w:rPr>
        <w:t>和健康管理</w:t>
      </w:r>
      <w:r>
        <w:rPr>
          <w:rFonts w:hint="eastAsia" w:ascii="Times New Roman" w:hAnsi="Times New Roman" w:eastAsia="方正小标宋_GBK" w:cstheme="minorBidi"/>
          <w:sz w:val="44"/>
          <w:szCs w:val="44"/>
          <w:u w:val="none"/>
        </w:rPr>
        <w:t>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仿宋_GBK"/>
          <w:sz w:val="32"/>
          <w:szCs w:val="22"/>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方正仿宋_GBK"/>
          <w:color w:val="000000"/>
          <w:sz w:val="32"/>
          <w:szCs w:val="32"/>
          <w:u w:val="none"/>
        </w:rPr>
      </w:pPr>
      <w:r>
        <w:rPr>
          <w:rFonts w:hint="eastAsia" w:ascii="Times New Roman" w:hAnsi="Times New Roman" w:eastAsia="方正仿宋_GBK"/>
          <w:color w:val="000000"/>
          <w:sz w:val="32"/>
          <w:szCs w:val="32"/>
          <w:u w:val="none"/>
        </w:rPr>
        <w:t>各区县（自治县）医疗保障局、卫生健康委，两江新区社会保障局、社发局，高新区政务服务和社会事务中心、公共服务局，万盛经开区人力社保局、卫生健康局：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olor w:val="000000"/>
          <w:sz w:val="32"/>
          <w:szCs w:val="32"/>
          <w:u w:val="none"/>
        </w:rPr>
      </w:pPr>
      <w:r>
        <w:rPr>
          <w:rFonts w:hint="eastAsia" w:ascii="Times New Roman" w:hAnsi="Times New Roman" w:eastAsia="方正仿宋_GBK"/>
          <w:color w:val="000000"/>
          <w:sz w:val="32"/>
          <w:szCs w:val="32"/>
          <w:u w:val="none"/>
        </w:rPr>
        <w:t>为</w:t>
      </w:r>
      <w:r>
        <w:rPr>
          <w:rFonts w:hint="eastAsia" w:ascii="Times New Roman" w:hAnsi="Times New Roman" w:eastAsia="方正仿宋_GBK"/>
          <w:color w:val="000000"/>
          <w:sz w:val="32"/>
          <w:szCs w:val="32"/>
          <w:u w:val="none"/>
          <w:lang w:eastAsia="zh-CN"/>
        </w:rPr>
        <w:t>加快推进</w:t>
      </w:r>
      <w:r>
        <w:rPr>
          <w:rFonts w:hint="eastAsia" w:ascii="Times New Roman" w:hAnsi="Times New Roman" w:eastAsia="方正仿宋_GBK"/>
          <w:color w:val="000000"/>
          <w:sz w:val="32"/>
          <w:szCs w:val="32"/>
          <w:u w:val="none"/>
        </w:rPr>
        <w:t>城乡居民高血压、糖尿病</w:t>
      </w:r>
      <w:r>
        <w:rPr>
          <w:rFonts w:hint="eastAsia" w:ascii="Times New Roman" w:hAnsi="Times New Roman" w:eastAsia="方正仿宋_GBK"/>
          <w:color w:val="000000"/>
          <w:sz w:val="32"/>
          <w:szCs w:val="32"/>
          <w:u w:val="none"/>
          <w:lang w:eastAsia="zh-CN"/>
        </w:rPr>
        <w:t>（以下简称“两病”）</w:t>
      </w:r>
      <w:r>
        <w:rPr>
          <w:rFonts w:hint="eastAsia" w:ascii="Times New Roman" w:hAnsi="Times New Roman" w:eastAsia="方正仿宋_GBK"/>
          <w:color w:val="000000"/>
          <w:sz w:val="32"/>
          <w:szCs w:val="32"/>
          <w:u w:val="none"/>
        </w:rPr>
        <w:t>患者</w:t>
      </w:r>
      <w:r>
        <w:rPr>
          <w:rFonts w:hint="eastAsia" w:ascii="Times New Roman" w:hAnsi="Times New Roman" w:eastAsia="方正仿宋_GBK"/>
          <w:color w:val="000000"/>
          <w:sz w:val="32"/>
          <w:szCs w:val="32"/>
          <w:u w:val="none"/>
          <w:lang w:eastAsia="zh-CN"/>
        </w:rPr>
        <w:t>门诊用药保障全覆盖，</w:t>
      </w:r>
      <w:r>
        <w:rPr>
          <w:rFonts w:hint="eastAsia" w:ascii="Times New Roman" w:hAnsi="Times New Roman" w:eastAsia="方正仿宋_GBK"/>
          <w:color w:val="000000"/>
          <w:sz w:val="32"/>
          <w:szCs w:val="32"/>
          <w:u w:val="none"/>
        </w:rPr>
        <w:t>进一步减轻</w:t>
      </w:r>
      <w:r>
        <w:rPr>
          <w:rFonts w:hint="eastAsia" w:ascii="Times New Roman" w:hAnsi="Times New Roman" w:eastAsia="方正仿宋_GBK"/>
          <w:color w:val="000000"/>
          <w:sz w:val="32"/>
          <w:szCs w:val="32"/>
          <w:u w:val="none"/>
          <w:lang w:eastAsia="zh-CN"/>
        </w:rPr>
        <w:t>“两病”患者</w:t>
      </w:r>
      <w:r>
        <w:rPr>
          <w:rFonts w:hint="eastAsia" w:ascii="Times New Roman" w:hAnsi="Times New Roman" w:eastAsia="方正仿宋_GBK"/>
          <w:color w:val="000000"/>
          <w:sz w:val="32"/>
          <w:szCs w:val="32"/>
          <w:u w:val="none"/>
        </w:rPr>
        <w:t>医疗费用负担，</w:t>
      </w:r>
      <w:r>
        <w:rPr>
          <w:rFonts w:hint="eastAsia" w:ascii="Times New Roman" w:hAnsi="Times New Roman" w:eastAsia="方正仿宋_GBK"/>
          <w:color w:val="000000"/>
          <w:sz w:val="32"/>
          <w:szCs w:val="32"/>
          <w:u w:val="none"/>
          <w:lang w:eastAsia="zh-CN"/>
        </w:rPr>
        <w:t>根据</w:t>
      </w:r>
      <w:r>
        <w:rPr>
          <w:rFonts w:hint="eastAsia" w:ascii="Times New Roman" w:hAnsi="Times New Roman" w:eastAsia="方正仿宋_GBK"/>
          <w:color w:val="000000"/>
          <w:sz w:val="32"/>
          <w:szCs w:val="32"/>
          <w:u w:val="none"/>
          <w:lang w:val="en-US" w:eastAsia="zh-CN"/>
        </w:rPr>
        <w:t>《国家医疗保障局国家卫生健康委关于印发深化城乡居民高血压、糖尿病门诊用药保障和健康管理专项行动方案的通知》（医保函〔2020〕219号）</w:t>
      </w:r>
      <w:r>
        <w:rPr>
          <w:rFonts w:hint="eastAsia" w:ascii="Times New Roman" w:hAnsi="Times New Roman" w:eastAsia="方正仿宋_GBK"/>
          <w:color w:val="000000"/>
          <w:sz w:val="32"/>
          <w:szCs w:val="32"/>
          <w:u w:val="none"/>
        </w:rPr>
        <w:t>，</w:t>
      </w:r>
      <w:r>
        <w:rPr>
          <w:rFonts w:hint="eastAsia" w:ascii="Times New Roman" w:hAnsi="Times New Roman" w:eastAsia="方正仿宋_GBK"/>
          <w:color w:val="000000"/>
          <w:sz w:val="32"/>
          <w:szCs w:val="32"/>
          <w:u w:val="none"/>
          <w:lang w:eastAsia="zh-CN"/>
        </w:rPr>
        <w:t>结合前期工作和试点经验，现就</w:t>
      </w:r>
      <w:r>
        <w:rPr>
          <w:rFonts w:hint="eastAsia" w:ascii="Times New Roman" w:hAnsi="Times New Roman" w:eastAsia="方正仿宋_GBK"/>
          <w:color w:val="000000"/>
          <w:sz w:val="32"/>
          <w:szCs w:val="32"/>
          <w:u w:val="none"/>
        </w:rPr>
        <w:t>深化</w:t>
      </w:r>
      <w:r>
        <w:rPr>
          <w:rFonts w:hint="eastAsia" w:ascii="Times New Roman" w:hAnsi="Times New Roman" w:eastAsia="方正仿宋_GBK"/>
          <w:color w:val="000000"/>
          <w:sz w:val="32"/>
          <w:szCs w:val="32"/>
          <w:u w:val="none"/>
          <w:lang w:eastAsia="zh-CN"/>
        </w:rPr>
        <w:t>“两病”</w:t>
      </w:r>
      <w:r>
        <w:rPr>
          <w:rFonts w:hint="eastAsia" w:ascii="Times New Roman" w:hAnsi="Times New Roman" w:eastAsia="方正仿宋_GBK"/>
          <w:color w:val="000000"/>
          <w:sz w:val="32"/>
          <w:szCs w:val="32"/>
          <w:u w:val="none"/>
        </w:rPr>
        <w:t>门诊用药保障</w:t>
      </w:r>
      <w:r>
        <w:rPr>
          <w:rFonts w:hint="eastAsia" w:ascii="Times New Roman" w:hAnsi="Times New Roman" w:eastAsia="方正仿宋_GBK"/>
          <w:color w:val="000000"/>
          <w:sz w:val="32"/>
          <w:szCs w:val="32"/>
          <w:u w:val="none"/>
          <w:lang w:eastAsia="zh-CN"/>
        </w:rPr>
        <w:t>和健康管理有关要求通知如下：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黑体_GBK" w:cs="方正黑体_GBK"/>
          <w:sz w:val="32"/>
          <w:szCs w:val="32"/>
          <w:u w:val="none"/>
        </w:rPr>
      </w:pPr>
      <w:r>
        <w:rPr>
          <w:rFonts w:hint="eastAsia" w:ascii="Times New Roman" w:hAnsi="Times New Roman" w:eastAsia="方正黑体_GBK" w:cs="方正黑体_GBK"/>
          <w:sz w:val="32"/>
          <w:szCs w:val="32"/>
          <w:u w:val="none"/>
        </w:rPr>
        <w:t>一、适用人群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仿宋_GBK" w:cs="方正仿宋_GBK"/>
          <w:sz w:val="32"/>
          <w:szCs w:val="32"/>
          <w:u w:val="none"/>
        </w:rPr>
      </w:pPr>
      <w:r>
        <w:rPr>
          <w:rFonts w:hint="eastAsia" w:ascii="Times New Roman" w:hAnsi="Times New Roman" w:eastAsia="方正仿宋_GBK" w:cs="方正仿宋_GBK"/>
          <w:sz w:val="32"/>
          <w:szCs w:val="32"/>
          <w:u w:val="none"/>
        </w:rPr>
        <w:t>符合中国高血压、糖尿病防治指南标准，需长期门诊</w:t>
      </w:r>
      <w:r>
        <w:rPr>
          <w:rFonts w:hint="eastAsia" w:ascii="Times New Roman" w:hAnsi="Times New Roman" w:eastAsia="方正仿宋_GBK" w:cs="方正仿宋_GBK"/>
          <w:sz w:val="32"/>
          <w:szCs w:val="32"/>
          <w:u w:val="none"/>
          <w:lang w:eastAsia="zh-CN"/>
        </w:rPr>
        <w:t>用药</w:t>
      </w:r>
      <w:r>
        <w:rPr>
          <w:rFonts w:hint="eastAsia" w:ascii="Times New Roman" w:hAnsi="Times New Roman" w:eastAsia="方正仿宋_GBK" w:cs="方正仿宋_GBK"/>
          <w:sz w:val="32"/>
          <w:szCs w:val="32"/>
          <w:u w:val="none"/>
        </w:rPr>
        <w:t>的</w:t>
      </w:r>
      <w:r>
        <w:rPr>
          <w:rFonts w:hint="eastAsia" w:ascii="Times New Roman" w:hAnsi="Times New Roman" w:eastAsia="方正仿宋_GBK" w:cs="方正仿宋_GBK"/>
          <w:sz w:val="32"/>
          <w:szCs w:val="32"/>
          <w:u w:val="none"/>
          <w:lang w:eastAsia="zh-CN"/>
        </w:rPr>
        <w:t>参加</w:t>
      </w:r>
      <w:r>
        <w:rPr>
          <w:rFonts w:hint="eastAsia" w:ascii="Times New Roman" w:hAnsi="Times New Roman" w:eastAsia="方正仿宋_GBK" w:cs="方正仿宋_GBK"/>
          <w:sz w:val="32"/>
          <w:szCs w:val="32"/>
          <w:u w:val="none"/>
        </w:rPr>
        <w:t>城乡居民</w:t>
      </w:r>
      <w:r>
        <w:rPr>
          <w:rFonts w:hint="eastAsia" w:ascii="Times New Roman" w:hAnsi="Times New Roman" w:eastAsia="方正仿宋_GBK" w:cs="方正仿宋_GBK"/>
          <w:sz w:val="32"/>
          <w:szCs w:val="32"/>
          <w:u w:val="none"/>
          <w:lang w:eastAsia="zh-CN"/>
        </w:rPr>
        <w:t>基本</w:t>
      </w:r>
      <w:r>
        <w:rPr>
          <w:rFonts w:hint="eastAsia" w:ascii="Times New Roman" w:hAnsi="Times New Roman" w:eastAsia="方正仿宋_GBK" w:cs="方正仿宋_GBK"/>
          <w:sz w:val="32"/>
          <w:szCs w:val="32"/>
          <w:u w:val="none"/>
        </w:rPr>
        <w:t>医疗保险（以下简称居民医保）</w:t>
      </w:r>
      <w:r>
        <w:rPr>
          <w:rFonts w:hint="eastAsia" w:ascii="Times New Roman" w:hAnsi="Times New Roman" w:eastAsia="方正仿宋_GBK" w:cs="方正仿宋_GBK"/>
          <w:sz w:val="32"/>
          <w:szCs w:val="32"/>
          <w:u w:val="none"/>
          <w:lang w:eastAsia="zh-CN"/>
        </w:rPr>
        <w:t>的“两病”患者</w:t>
      </w:r>
      <w:r>
        <w:rPr>
          <w:rFonts w:hint="eastAsia" w:ascii="Times New Roman" w:hAnsi="Times New Roman" w:eastAsia="方正仿宋_GBK" w:cs="方正仿宋_GBK"/>
          <w:sz w:val="32"/>
          <w:szCs w:val="32"/>
          <w:u w:val="none"/>
        </w:rPr>
        <w:t>。</w:t>
      </w:r>
      <w:r>
        <w:rPr>
          <w:rFonts w:hint="eastAsia" w:ascii="Times New Roman" w:hAnsi="Times New Roman" w:eastAsia="方正仿宋_GBK" w:cs="方正仿宋_GBK"/>
          <w:sz w:val="32"/>
          <w:szCs w:val="32"/>
          <w:u w:val="none"/>
          <w:lang w:eastAsia="zh-CN"/>
        </w:rPr>
        <w:t>包括：</w:t>
      </w:r>
      <w:r>
        <w:rPr>
          <w:rFonts w:hint="eastAsia" w:ascii="Times New Roman" w:hAnsi="Times New Roman" w:eastAsia="方正仿宋_GBK" w:cs="方正仿宋_GBK"/>
          <w:sz w:val="32"/>
          <w:szCs w:val="32"/>
          <w:u w:val="none"/>
        </w:rPr>
        <w:t>纳入</w:t>
      </w:r>
      <w:r>
        <w:rPr>
          <w:rFonts w:hint="eastAsia" w:ascii="Times New Roman" w:hAnsi="Times New Roman" w:eastAsia="方正仿宋_GBK" w:cs="方正仿宋_GBK"/>
          <w:sz w:val="32"/>
          <w:szCs w:val="32"/>
          <w:u w:val="none"/>
          <w:lang w:eastAsia="zh-CN"/>
        </w:rPr>
        <w:t>“两病”</w:t>
      </w:r>
      <w:r>
        <w:rPr>
          <w:rFonts w:hint="eastAsia" w:ascii="Times New Roman" w:hAnsi="Times New Roman" w:eastAsia="方正仿宋_GBK" w:cs="方正仿宋_GBK"/>
          <w:sz w:val="32"/>
          <w:szCs w:val="32"/>
          <w:u w:val="none"/>
        </w:rPr>
        <w:t>门诊用药保障一类管理</w:t>
      </w:r>
      <w:r>
        <w:rPr>
          <w:rFonts w:hint="eastAsia" w:ascii="Times New Roman" w:hAnsi="Times New Roman" w:eastAsia="方正仿宋_GBK" w:cs="方正仿宋_GBK"/>
          <w:sz w:val="32"/>
          <w:szCs w:val="32"/>
          <w:u w:val="none"/>
          <w:lang w:eastAsia="zh-CN"/>
        </w:rPr>
        <w:t>的</w:t>
      </w:r>
      <w:r>
        <w:rPr>
          <w:rFonts w:hint="eastAsia" w:ascii="Times New Roman" w:hAnsi="Times New Roman" w:eastAsia="方正仿宋_GBK" w:cs="方正仿宋_GBK"/>
          <w:sz w:val="32"/>
          <w:szCs w:val="32"/>
          <w:u w:val="none"/>
        </w:rPr>
        <w:t>一级高血压低危组及继发性高血压患者</w:t>
      </w:r>
      <w:r>
        <w:rPr>
          <w:rFonts w:hint="eastAsia" w:ascii="Times New Roman" w:hAnsi="Times New Roman" w:eastAsia="方正仿宋_GBK" w:cs="方正仿宋_GBK"/>
          <w:sz w:val="32"/>
          <w:szCs w:val="32"/>
          <w:u w:val="none"/>
          <w:lang w:eastAsia="zh-CN"/>
        </w:rPr>
        <w:t>（以下简称</w:t>
      </w:r>
      <w:r>
        <w:rPr>
          <w:rFonts w:hint="eastAsia" w:ascii="Times New Roman" w:hAnsi="Times New Roman" w:eastAsia="方正仿宋_GBK" w:cs="方正仿宋_GBK"/>
          <w:sz w:val="32"/>
          <w:szCs w:val="32"/>
          <w:u w:val="none"/>
        </w:rPr>
        <w:t>一类管理对象</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；纳入</w:t>
      </w:r>
      <w:r>
        <w:rPr>
          <w:rFonts w:hint="eastAsia" w:ascii="Times New Roman" w:hAnsi="Times New Roman" w:eastAsia="方正仿宋_GBK" w:cs="方正仿宋_GBK"/>
          <w:sz w:val="32"/>
          <w:szCs w:val="32"/>
          <w:u w:val="none"/>
          <w:lang w:eastAsia="zh-CN"/>
        </w:rPr>
        <w:t>“两病”</w:t>
      </w:r>
      <w:r>
        <w:rPr>
          <w:rFonts w:hint="eastAsia" w:ascii="Times New Roman" w:hAnsi="Times New Roman" w:eastAsia="方正仿宋_GBK" w:cs="方正仿宋_GBK"/>
          <w:sz w:val="32"/>
          <w:szCs w:val="32"/>
          <w:u w:val="none"/>
        </w:rPr>
        <w:t>门诊用药保障二类管理</w:t>
      </w:r>
      <w:r>
        <w:rPr>
          <w:rFonts w:hint="eastAsia" w:ascii="Times New Roman" w:hAnsi="Times New Roman" w:eastAsia="方正仿宋_GBK" w:cs="方正仿宋_GBK"/>
          <w:sz w:val="32"/>
          <w:szCs w:val="32"/>
          <w:u w:val="none"/>
          <w:lang w:eastAsia="zh-CN"/>
        </w:rPr>
        <w:t>的</w:t>
      </w:r>
      <w:r>
        <w:rPr>
          <w:rFonts w:hint="eastAsia" w:ascii="Times New Roman" w:hAnsi="Times New Roman" w:eastAsia="方正仿宋_GBK" w:cs="方正仿宋_GBK"/>
          <w:sz w:val="32"/>
          <w:szCs w:val="32"/>
          <w:u w:val="none"/>
        </w:rPr>
        <w:t>一级高血压中危组及以上高血压患者</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糖尿病患者</w:t>
      </w:r>
      <w:r>
        <w:rPr>
          <w:rFonts w:hint="eastAsia" w:ascii="Times New Roman" w:hAnsi="Times New Roman" w:eastAsia="方正仿宋_GBK" w:cs="方正仿宋_GBK"/>
          <w:sz w:val="32"/>
          <w:szCs w:val="32"/>
          <w:u w:val="none"/>
          <w:lang w:eastAsia="zh-CN"/>
        </w:rPr>
        <w:t>（以下简称二</w:t>
      </w:r>
      <w:r>
        <w:rPr>
          <w:rFonts w:hint="eastAsia" w:ascii="Times New Roman" w:hAnsi="Times New Roman" w:eastAsia="方正仿宋_GBK" w:cs="方正仿宋_GBK"/>
          <w:sz w:val="32"/>
          <w:szCs w:val="32"/>
          <w:u w:val="none"/>
        </w:rPr>
        <w:t>类管理对象</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黑体_GBK" w:cs="方正黑体_GBK"/>
          <w:sz w:val="32"/>
          <w:szCs w:val="32"/>
          <w:u w:val="none"/>
          <w:lang w:eastAsia="zh-CN"/>
        </w:rPr>
      </w:pPr>
      <w:r>
        <w:rPr>
          <w:rFonts w:hint="eastAsia" w:ascii="Times New Roman" w:hAnsi="Times New Roman" w:eastAsia="方正黑体_GBK" w:cs="方正黑体_GBK"/>
          <w:sz w:val="32"/>
          <w:szCs w:val="32"/>
          <w:u w:val="none"/>
        </w:rPr>
        <w:t>二、诊断</w:t>
      </w:r>
      <w:r>
        <w:rPr>
          <w:rFonts w:hint="eastAsia" w:ascii="Times New Roman" w:hAnsi="Times New Roman" w:eastAsia="方正黑体_GBK" w:cs="方正黑体_GBK"/>
          <w:sz w:val="32"/>
          <w:szCs w:val="32"/>
          <w:u w:val="none"/>
          <w:lang w:eastAsia="zh-CN"/>
        </w:rPr>
        <w:t>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楷体_GBK" w:cs="方正楷体_GBK"/>
          <w:sz w:val="32"/>
          <w:szCs w:val="32"/>
          <w:u w:val="none"/>
          <w:lang w:eastAsia="zh-CN"/>
        </w:rPr>
      </w:pPr>
      <w:r>
        <w:rPr>
          <w:rFonts w:hint="eastAsia" w:ascii="Times New Roman" w:hAnsi="Times New Roman" w:eastAsia="方正楷体_GBK" w:cs="方正楷体_GBK"/>
          <w:sz w:val="32"/>
          <w:szCs w:val="32"/>
          <w:u w:val="none"/>
          <w:lang w:eastAsia="zh-CN"/>
        </w:rPr>
        <w:t>（一）诊断机构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方正仿宋_GBK"/>
          <w:sz w:val="32"/>
          <w:szCs w:val="32"/>
          <w:u w:val="none"/>
        </w:rPr>
      </w:pPr>
      <w:r>
        <w:rPr>
          <w:rFonts w:hint="eastAsia" w:ascii="Times New Roman" w:hAnsi="Times New Roman" w:eastAsia="方正仿宋_GBK" w:cs="方正仿宋_GBK"/>
          <w:sz w:val="32"/>
          <w:szCs w:val="32"/>
          <w:u w:val="none"/>
          <w:lang w:eastAsia="zh-CN"/>
        </w:rPr>
        <w:t>诊断机构扩大到我市所有医保定点医疗机构</w:t>
      </w:r>
      <w:r>
        <w:rPr>
          <w:rFonts w:hint="eastAsia" w:ascii="Times New Roman" w:hAnsi="Times New Roman" w:eastAsia="方正仿宋_GBK" w:cs="方正仿宋_GBK"/>
          <w:sz w:val="32"/>
          <w:szCs w:val="32"/>
          <w:u w:val="none"/>
        </w:rPr>
        <w:t>，取得执业医师资格的医生作为诊断医师。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楷体_GBK" w:cs="方正楷体_GBK"/>
          <w:sz w:val="32"/>
          <w:szCs w:val="32"/>
          <w:u w:val="none"/>
          <w:lang w:val="en-US" w:eastAsia="zh-CN"/>
        </w:rPr>
      </w:pPr>
      <w:r>
        <w:rPr>
          <w:rFonts w:hint="eastAsia" w:ascii="Times New Roman" w:hAnsi="Times New Roman" w:eastAsia="方正楷体_GBK" w:cs="方正楷体_GBK"/>
          <w:sz w:val="32"/>
          <w:szCs w:val="32"/>
          <w:u w:val="none"/>
          <w:lang w:val="en-US" w:eastAsia="zh-CN"/>
        </w:rPr>
        <w:t>（二）诊断确定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方正仿宋_GBK"/>
          <w:sz w:val="32"/>
          <w:szCs w:val="32"/>
          <w:u w:val="none"/>
          <w:lang w:eastAsia="zh-CN"/>
        </w:rPr>
      </w:pPr>
      <w:r>
        <w:rPr>
          <w:rFonts w:hint="eastAsia" w:ascii="Times New Roman" w:hAnsi="Times New Roman" w:eastAsia="方正仿宋_GBK" w:cs="方正仿宋_GBK"/>
          <w:sz w:val="32"/>
          <w:szCs w:val="32"/>
          <w:u w:val="none"/>
          <w:lang w:val="en-US" w:eastAsia="zh-CN"/>
        </w:rPr>
        <w:t>1．参保人在医疗机构申报或在就医过程中符合“两病”诊断标准的，由就诊医疗机构</w:t>
      </w:r>
      <w:r>
        <w:rPr>
          <w:rFonts w:hint="eastAsia" w:ascii="Times New Roman" w:hAnsi="Times New Roman" w:eastAsia="方正仿宋_GBK" w:cs="方正仿宋_GBK"/>
          <w:sz w:val="32"/>
          <w:szCs w:val="32"/>
          <w:u w:val="none"/>
          <w:lang w:eastAsia="zh-CN"/>
        </w:rPr>
        <w:t>在</w:t>
      </w:r>
      <w:r>
        <w:rPr>
          <w:rFonts w:hint="eastAsia" w:ascii="Times New Roman" w:hAnsi="Times New Roman" w:eastAsia="方正仿宋_GBK" w:cs="方正仿宋_GBK"/>
          <w:sz w:val="32"/>
          <w:szCs w:val="32"/>
          <w:u w:val="none"/>
        </w:rPr>
        <w:t>医保信息系统为</w:t>
      </w:r>
      <w:r>
        <w:rPr>
          <w:rFonts w:hint="eastAsia" w:ascii="Times New Roman" w:hAnsi="Times New Roman" w:eastAsia="方正仿宋_GBK" w:cs="方正仿宋_GBK"/>
          <w:sz w:val="32"/>
          <w:szCs w:val="32"/>
          <w:u w:val="none"/>
          <w:lang w:eastAsia="zh-CN"/>
        </w:rPr>
        <w:t>其</w:t>
      </w:r>
      <w:r>
        <w:rPr>
          <w:rFonts w:hint="eastAsia" w:ascii="Times New Roman" w:hAnsi="Times New Roman" w:eastAsia="方正仿宋_GBK" w:cs="方正仿宋_GBK"/>
          <w:sz w:val="32"/>
          <w:szCs w:val="32"/>
          <w:u w:val="none"/>
        </w:rPr>
        <w:t>建立</w:t>
      </w:r>
      <w:r>
        <w:rPr>
          <w:rFonts w:hint="eastAsia" w:ascii="Times New Roman" w:hAnsi="Times New Roman" w:eastAsia="方正仿宋_GBK" w:cs="方正仿宋_GBK"/>
          <w:sz w:val="32"/>
          <w:szCs w:val="32"/>
          <w:u w:val="none"/>
          <w:lang w:eastAsia="zh-CN"/>
        </w:rPr>
        <w:t>“两病”</w:t>
      </w:r>
      <w:r>
        <w:rPr>
          <w:rFonts w:hint="eastAsia" w:ascii="Times New Roman" w:hAnsi="Times New Roman" w:eastAsia="方正仿宋_GBK" w:cs="方正仿宋_GBK"/>
          <w:sz w:val="32"/>
          <w:szCs w:val="32"/>
          <w:u w:val="none"/>
        </w:rPr>
        <w:t>患者初始电子档案</w:t>
      </w:r>
      <w:r>
        <w:rPr>
          <w:rFonts w:hint="eastAsia" w:ascii="Times New Roman" w:hAnsi="Times New Roman" w:eastAsia="方正仿宋_GBK" w:cs="方正仿宋_GBK"/>
          <w:sz w:val="32"/>
          <w:szCs w:val="32"/>
          <w:u w:val="none"/>
          <w:lang w:eastAsia="zh-CN"/>
        </w:rPr>
        <w:t>，并将</w:t>
      </w:r>
      <w:r>
        <w:rPr>
          <w:rFonts w:hint="eastAsia" w:ascii="Times New Roman" w:hAnsi="Times New Roman" w:eastAsia="方正仿宋_GBK" w:cs="方正仿宋_GBK"/>
          <w:sz w:val="32"/>
          <w:szCs w:val="32"/>
          <w:u w:val="none"/>
        </w:rPr>
        <w:t>相关信息推送到</w:t>
      </w:r>
      <w:r>
        <w:rPr>
          <w:rFonts w:hint="eastAsia" w:ascii="Times New Roman" w:hAnsi="Times New Roman" w:eastAsia="方正仿宋_GBK" w:cs="方正仿宋_GBK"/>
          <w:sz w:val="32"/>
          <w:szCs w:val="32"/>
          <w:u w:val="none"/>
          <w:lang w:eastAsia="zh-CN"/>
        </w:rPr>
        <w:t>医保“两病”管理平台</w:t>
      </w:r>
      <w:r>
        <w:rPr>
          <w:rFonts w:hint="eastAsia" w:ascii="Times New Roman" w:hAnsi="Times New Roman" w:eastAsia="方正仿宋_GBK" w:cs="方正仿宋_GBK"/>
          <w:sz w:val="32"/>
          <w:szCs w:val="32"/>
          <w:u w:val="none"/>
          <w:lang w:val="en-US" w:eastAsia="zh-CN"/>
        </w:rPr>
        <w:t>,“两病</w:t>
      </w:r>
      <w:r>
        <w:rPr>
          <w:rFonts w:hint="default" w:ascii="Times New Roman" w:hAnsi="Times New Roman" w:eastAsia="方正仿宋_GBK" w:cs="方正仿宋_GBK"/>
          <w:sz w:val="32"/>
          <w:szCs w:val="32"/>
          <w:u w:val="none"/>
          <w:lang w:val="en-US" w:eastAsia="zh-CN"/>
        </w:rPr>
        <w:t>”</w:t>
      </w:r>
      <w:r>
        <w:rPr>
          <w:rFonts w:hint="eastAsia" w:ascii="Times New Roman" w:hAnsi="Times New Roman" w:eastAsia="方正仿宋_GBK" w:cs="方正仿宋_GBK"/>
          <w:sz w:val="32"/>
          <w:szCs w:val="32"/>
          <w:u w:val="none"/>
          <w:lang w:val="en-US" w:eastAsia="zh-CN"/>
        </w:rPr>
        <w:t>患者在医保系统中即获得门诊用药资格</w:t>
      </w:r>
      <w:r>
        <w:rPr>
          <w:rFonts w:hint="eastAsia" w:ascii="Times New Roman" w:hAnsi="Times New Roman" w:eastAsia="方正仿宋_GBK" w:cs="方正仿宋_GBK"/>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_GBK" w:cs="方正仿宋_GBK"/>
          <w:sz w:val="32"/>
          <w:szCs w:val="32"/>
          <w:u w:val="none"/>
          <w:lang w:eastAsia="zh-CN"/>
        </w:rPr>
      </w:pPr>
      <w:r>
        <w:rPr>
          <w:rFonts w:hint="eastAsia" w:ascii="Times New Roman" w:hAnsi="Times New Roman" w:eastAsia="方正仿宋_GBK" w:cs="方正仿宋_GBK"/>
          <w:sz w:val="32"/>
          <w:szCs w:val="32"/>
          <w:u w:val="none"/>
          <w:lang w:eastAsia="zh-CN"/>
        </w:rPr>
        <w:t>“两病”患者原则上</w:t>
      </w:r>
      <w:r>
        <w:rPr>
          <w:rFonts w:hint="eastAsia" w:ascii="Times New Roman" w:hAnsi="Times New Roman" w:eastAsia="方正仿宋_GBK"/>
          <w:sz w:val="32"/>
          <w:u w:val="none"/>
        </w:rPr>
        <w:t>不</w:t>
      </w:r>
      <w:r>
        <w:rPr>
          <w:rFonts w:hint="eastAsia" w:ascii="Times New Roman" w:hAnsi="Times New Roman" w:eastAsia="方正仿宋_GBK"/>
          <w:sz w:val="32"/>
          <w:u w:val="none"/>
          <w:lang w:eastAsia="zh-CN"/>
        </w:rPr>
        <w:t>单独</w:t>
      </w:r>
      <w:r>
        <w:rPr>
          <w:rFonts w:hint="eastAsia" w:ascii="Times New Roman" w:hAnsi="Times New Roman" w:eastAsia="方正仿宋_GBK"/>
          <w:sz w:val="32"/>
          <w:u w:val="none"/>
        </w:rPr>
        <w:t>办理“两病”就医</w:t>
      </w:r>
      <w:r>
        <w:rPr>
          <w:rFonts w:hint="default" w:ascii="Times New Roman" w:hAnsi="Times New Roman" w:eastAsia="方正仿宋_GBK"/>
          <w:sz w:val="32"/>
          <w:u w:val="none"/>
          <w:lang w:val="en-US"/>
        </w:rPr>
        <w:t>凭</w:t>
      </w:r>
      <w:r>
        <w:rPr>
          <w:rFonts w:hint="eastAsia" w:ascii="Times New Roman" w:hAnsi="Times New Roman" w:eastAsia="方正仿宋_GBK"/>
          <w:sz w:val="32"/>
          <w:u w:val="none"/>
        </w:rPr>
        <w:t>证，</w:t>
      </w:r>
      <w:r>
        <w:rPr>
          <w:rFonts w:hint="eastAsia" w:ascii="Times New Roman" w:hAnsi="Times New Roman" w:eastAsia="方正仿宋_GBK" w:cs="方正仿宋_GBK"/>
          <w:sz w:val="32"/>
          <w:szCs w:val="32"/>
          <w:u w:val="none"/>
          <w:lang w:eastAsia="zh-CN"/>
        </w:rPr>
        <w:t>直接</w:t>
      </w:r>
      <w:r>
        <w:rPr>
          <w:rFonts w:hint="eastAsia" w:ascii="Times New Roman" w:hAnsi="Times New Roman" w:eastAsia="方正仿宋_GBK" w:cs="方正仿宋_GBK"/>
          <w:sz w:val="32"/>
          <w:szCs w:val="32"/>
          <w:u w:val="none"/>
        </w:rPr>
        <w:t>凭社会</w:t>
      </w:r>
      <w:r>
        <w:rPr>
          <w:rFonts w:hint="eastAsia" w:ascii="Times New Roman" w:hAnsi="Times New Roman" w:eastAsia="方正仿宋_GBK" w:cs="方正仿宋_GBK"/>
          <w:sz w:val="32"/>
          <w:szCs w:val="32"/>
          <w:u w:val="none"/>
          <w:lang w:eastAsia="zh-CN"/>
        </w:rPr>
        <w:t>保障</w:t>
      </w:r>
      <w:r>
        <w:rPr>
          <w:rFonts w:hint="eastAsia" w:ascii="Times New Roman" w:hAnsi="Times New Roman" w:eastAsia="方正仿宋_GBK" w:cs="方正仿宋_GBK"/>
          <w:sz w:val="32"/>
          <w:szCs w:val="32"/>
          <w:u w:val="none"/>
        </w:rPr>
        <w:t>卡</w:t>
      </w:r>
      <w:r>
        <w:rPr>
          <w:rFonts w:hint="eastAsia" w:ascii="Times New Roman" w:hAnsi="Times New Roman" w:eastAsia="方正仿宋_GBK" w:cs="方正仿宋_GBK"/>
          <w:sz w:val="32"/>
          <w:szCs w:val="32"/>
          <w:u w:val="none"/>
          <w:lang w:eastAsia="zh-CN"/>
        </w:rPr>
        <w:t>或电子医保凭证</w:t>
      </w:r>
      <w:r>
        <w:rPr>
          <w:rFonts w:hint="eastAsia" w:ascii="Times New Roman" w:hAnsi="Times New Roman" w:eastAsia="方正仿宋_GBK" w:cs="方正仿宋_GBK"/>
          <w:sz w:val="32"/>
          <w:szCs w:val="32"/>
          <w:u w:val="none"/>
        </w:rPr>
        <w:t>就医。</w:t>
      </w:r>
      <w:r>
        <w:rPr>
          <w:rFonts w:hint="eastAsia" w:ascii="Times New Roman" w:hAnsi="Times New Roman" w:eastAsia="方正仿宋_GBK" w:cs="方正仿宋_GBK"/>
          <w:sz w:val="32"/>
          <w:szCs w:val="32"/>
          <w:u w:val="none"/>
          <w:lang w:eastAsia="zh-CN"/>
        </w:rPr>
        <w:t>对确有必要办理</w:t>
      </w:r>
      <w:r>
        <w:rPr>
          <w:rFonts w:hint="eastAsia" w:ascii="Times New Roman" w:hAnsi="Times New Roman" w:eastAsia="方正仿宋_GBK" w:cs="方正仿宋_GBK"/>
          <w:sz w:val="32"/>
          <w:szCs w:val="32"/>
          <w:u w:val="none"/>
        </w:rPr>
        <w:t>“两病”就医</w:t>
      </w:r>
      <w:r>
        <w:rPr>
          <w:rFonts w:hint="default" w:ascii="Times New Roman" w:hAnsi="Times New Roman" w:eastAsia="方正仿宋_GBK" w:cs="方正仿宋_GBK"/>
          <w:sz w:val="32"/>
          <w:szCs w:val="32"/>
          <w:u w:val="none"/>
          <w:lang w:val="en-US"/>
        </w:rPr>
        <w:t>凭</w:t>
      </w:r>
      <w:r>
        <w:rPr>
          <w:rFonts w:hint="eastAsia" w:ascii="Times New Roman" w:hAnsi="Times New Roman" w:eastAsia="方正仿宋_GBK" w:cs="方正仿宋_GBK"/>
          <w:sz w:val="32"/>
          <w:szCs w:val="32"/>
          <w:u w:val="none"/>
        </w:rPr>
        <w:t>证</w:t>
      </w:r>
      <w:r>
        <w:rPr>
          <w:rFonts w:hint="eastAsia" w:ascii="Times New Roman" w:hAnsi="Times New Roman" w:eastAsia="方正仿宋_GBK" w:cs="方正仿宋_GBK"/>
          <w:sz w:val="32"/>
          <w:szCs w:val="32"/>
          <w:u w:val="none"/>
          <w:lang w:eastAsia="zh-CN"/>
        </w:rPr>
        <w:t>的，也可由诊断机构为其办理“两病”就医凭证。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_GBK" w:cs="方正仿宋_GBK"/>
          <w:sz w:val="32"/>
          <w:szCs w:val="32"/>
          <w:u w:val="none"/>
        </w:rPr>
      </w:pPr>
      <w:r>
        <w:rPr>
          <w:rFonts w:hint="eastAsia" w:ascii="Times New Roman" w:hAnsi="Times New Roman" w:eastAsia="方正仿宋_GBK" w:cs="方正仿宋_GBK"/>
          <w:sz w:val="32"/>
          <w:szCs w:val="32"/>
          <w:u w:val="none"/>
          <w:lang w:val="en-US" w:eastAsia="zh-CN"/>
        </w:rPr>
        <w:t>2．</w:t>
      </w:r>
      <w:r>
        <w:rPr>
          <w:rFonts w:hint="eastAsia" w:ascii="Times New Roman" w:hAnsi="Times New Roman" w:eastAsia="方正仿宋_GBK" w:cs="方正仿宋_GBK"/>
          <w:sz w:val="32"/>
          <w:szCs w:val="32"/>
          <w:u w:val="none"/>
        </w:rPr>
        <w:t>已经获得我市原城乡居民</w:t>
      </w:r>
      <w:r>
        <w:rPr>
          <w:rFonts w:hint="eastAsia" w:ascii="Times New Roman" w:hAnsi="Times New Roman" w:eastAsia="方正仿宋_GBK" w:cs="方正仿宋_GBK"/>
          <w:sz w:val="32"/>
          <w:szCs w:val="32"/>
          <w:u w:val="none"/>
          <w:lang w:eastAsia="zh-CN"/>
        </w:rPr>
        <w:t>“两病”</w:t>
      </w:r>
      <w:r>
        <w:rPr>
          <w:rFonts w:hint="eastAsia" w:ascii="Times New Roman" w:hAnsi="Times New Roman" w:eastAsia="方正仿宋_GBK" w:cs="方正仿宋_GBK"/>
          <w:sz w:val="32"/>
          <w:szCs w:val="32"/>
          <w:u w:val="none"/>
        </w:rPr>
        <w:t>门诊用药保障资格或居民医保高血压、糖尿病特病资格的患者自动成为我市</w:t>
      </w:r>
      <w:r>
        <w:rPr>
          <w:rFonts w:hint="eastAsia" w:ascii="Times New Roman" w:hAnsi="Times New Roman" w:eastAsia="方正仿宋_GBK" w:cs="方正仿宋_GBK"/>
          <w:sz w:val="32"/>
          <w:szCs w:val="32"/>
          <w:u w:val="none"/>
          <w:lang w:eastAsia="zh-CN"/>
        </w:rPr>
        <w:t>“两病”</w:t>
      </w:r>
      <w:r>
        <w:rPr>
          <w:rFonts w:hint="eastAsia" w:ascii="Times New Roman" w:hAnsi="Times New Roman" w:eastAsia="方正仿宋_GBK" w:cs="方正仿宋_GBK"/>
          <w:sz w:val="32"/>
          <w:szCs w:val="32"/>
          <w:u w:val="none"/>
        </w:rPr>
        <w:t>用药保障对象。</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_GBK" w:cs="方正仿宋_GBK"/>
          <w:b w:val="0"/>
          <w:color w:val="auto"/>
          <w:kern w:val="2"/>
          <w:sz w:val="32"/>
          <w:szCs w:val="32"/>
          <w:u w:val="none"/>
          <w:lang w:val="en-US" w:eastAsia="zh-CN" w:bidi="ar-SA"/>
        </w:rPr>
      </w:pPr>
      <w:r>
        <w:rPr>
          <w:rFonts w:hint="eastAsia" w:ascii="Times New Roman" w:hAnsi="Times New Roman" w:eastAsia="方正仿宋_GBK" w:cs="方正仿宋_GBK"/>
          <w:b w:val="0"/>
          <w:color w:val="auto"/>
          <w:kern w:val="2"/>
          <w:sz w:val="32"/>
          <w:szCs w:val="32"/>
          <w:u w:val="none"/>
          <w:lang w:val="en-US" w:eastAsia="zh-CN" w:bidi="ar-SA"/>
        </w:rPr>
        <w:t>3．已经在卫生健康部门实行规范化管理的城乡居民“两病”参保人自动成为我市“两病”用药保障对象。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黑体_GBK" w:cs="方正黑体_GBK"/>
          <w:sz w:val="32"/>
          <w:szCs w:val="32"/>
          <w:u w:val="none"/>
        </w:rPr>
      </w:pPr>
      <w:r>
        <w:rPr>
          <w:rFonts w:hint="eastAsia" w:ascii="Times New Roman" w:hAnsi="Times New Roman" w:eastAsia="方正黑体_GBK" w:cs="方正黑体_GBK"/>
          <w:sz w:val="32"/>
          <w:szCs w:val="32"/>
          <w:u w:val="none"/>
          <w:lang w:eastAsia="zh-CN"/>
        </w:rPr>
        <w:t>三</w:t>
      </w:r>
      <w:r>
        <w:rPr>
          <w:rFonts w:hint="eastAsia" w:ascii="Times New Roman" w:hAnsi="Times New Roman" w:eastAsia="方正黑体_GBK" w:cs="方正黑体_GBK"/>
          <w:sz w:val="32"/>
          <w:szCs w:val="32"/>
          <w:u w:val="none"/>
        </w:rPr>
        <w:t>、待遇保障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方正仿宋_GBK"/>
          <w:sz w:val="32"/>
          <w:szCs w:val="32"/>
          <w:u w:val="none"/>
        </w:rPr>
      </w:pPr>
      <w:r>
        <w:rPr>
          <w:rFonts w:hint="eastAsia" w:ascii="Times New Roman" w:hAnsi="Times New Roman" w:eastAsia="方正仿宋_GBK" w:cs="方正仿宋_GBK"/>
          <w:sz w:val="32"/>
          <w:szCs w:val="32"/>
          <w:u w:val="none"/>
        </w:rPr>
        <w:t>一类管理对象</w:t>
      </w:r>
      <w:r>
        <w:rPr>
          <w:rFonts w:hint="eastAsia" w:ascii="Times New Roman" w:hAnsi="Times New Roman" w:eastAsia="方正仿宋_GBK" w:cs="方正仿宋_GBK"/>
          <w:sz w:val="32"/>
          <w:szCs w:val="32"/>
          <w:u w:val="none"/>
          <w:lang w:eastAsia="zh-CN"/>
        </w:rPr>
        <w:t>门诊治疗范围为药品目录中降血压、降血糖药物，二</w:t>
      </w:r>
      <w:r>
        <w:rPr>
          <w:rFonts w:hint="eastAsia" w:ascii="Times New Roman" w:hAnsi="Times New Roman" w:eastAsia="方正仿宋_GBK" w:cs="方正仿宋_GBK"/>
          <w:sz w:val="32"/>
          <w:szCs w:val="32"/>
          <w:u w:val="none"/>
        </w:rPr>
        <w:t>类管理对象</w:t>
      </w:r>
      <w:r>
        <w:rPr>
          <w:rFonts w:hint="eastAsia" w:ascii="Times New Roman" w:hAnsi="Times New Roman" w:eastAsia="方正仿宋_GBK" w:cs="方正仿宋_GBK"/>
          <w:sz w:val="32"/>
          <w:szCs w:val="32"/>
          <w:u w:val="none"/>
          <w:lang w:eastAsia="zh-CN"/>
        </w:rPr>
        <w:t>门诊治疗范围按照居民医保慢特病政策执行；优先选用集中带量采购药品（见附件</w:t>
      </w:r>
      <w:r>
        <w:rPr>
          <w:rFonts w:hint="eastAsia" w:ascii="Times New Roman" w:hAnsi="Times New Roman" w:eastAsia="方正仿宋_GBK" w:cs="方正仿宋_GBK"/>
          <w:sz w:val="32"/>
          <w:szCs w:val="32"/>
          <w:u w:val="none"/>
          <w:lang w:val="en-US" w:eastAsia="zh-CN"/>
        </w:rPr>
        <w:t>1</w:t>
      </w:r>
      <w:r>
        <w:rPr>
          <w:rFonts w:hint="eastAsia" w:ascii="Times New Roman" w:hAnsi="Times New Roman" w:eastAsia="方正仿宋_GBK" w:cs="方正仿宋_GBK"/>
          <w:sz w:val="32"/>
          <w:szCs w:val="32"/>
          <w:u w:val="none"/>
          <w:lang w:eastAsia="zh-CN"/>
        </w:rPr>
        <w:t>），今后国家和我市集中带量采购药品变化的按变化后的执行</w:t>
      </w:r>
      <w:r>
        <w:rPr>
          <w:rFonts w:hint="eastAsia" w:ascii="Times New Roman" w:hAnsi="Times New Roman" w:eastAsia="方正仿宋_GBK" w:cs="方正仿宋_GBK"/>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方正仿宋_GBK"/>
          <w:sz w:val="32"/>
          <w:szCs w:val="32"/>
          <w:u w:val="none"/>
        </w:rPr>
      </w:pPr>
      <w:r>
        <w:rPr>
          <w:rFonts w:hint="eastAsia" w:ascii="Times New Roman" w:hAnsi="Times New Roman" w:eastAsia="方正仿宋_GBK" w:cs="方正仿宋_GBK"/>
          <w:sz w:val="32"/>
          <w:szCs w:val="32"/>
          <w:u w:val="none"/>
          <w:lang w:eastAsia="zh-CN"/>
        </w:rPr>
        <w:t>“两病”患者门诊用药通过按项目付费和按人头付费两种方式予以保障</w:t>
      </w:r>
      <w:r>
        <w:rPr>
          <w:rFonts w:hint="eastAsia" w:ascii="Times New Roman" w:hAnsi="Times New Roman" w:eastAsia="方正仿宋_GBK" w:cs="方正仿宋_GBK"/>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方正仿宋_GBK"/>
          <w:sz w:val="32"/>
          <w:szCs w:val="32"/>
          <w:u w:val="none"/>
          <w:lang w:eastAsia="zh-CN"/>
        </w:rPr>
      </w:pPr>
      <w:r>
        <w:rPr>
          <w:rFonts w:hint="eastAsia" w:ascii="Times New Roman" w:hAnsi="Times New Roman" w:eastAsia="方正楷体_GBK" w:cs="方正楷体_GBK"/>
          <w:sz w:val="32"/>
          <w:szCs w:val="32"/>
          <w:u w:val="none"/>
          <w:lang w:eastAsia="zh-CN"/>
        </w:rPr>
        <w:t>（一）按项目付费。“</w:t>
      </w:r>
      <w:r>
        <w:rPr>
          <w:rFonts w:hint="eastAsia" w:ascii="Times New Roman" w:hAnsi="Times New Roman" w:eastAsia="方正仿宋_GBK" w:cs="方正仿宋_GBK"/>
          <w:sz w:val="32"/>
          <w:szCs w:val="32"/>
          <w:u w:val="none"/>
          <w:lang w:eastAsia="zh-CN"/>
        </w:rPr>
        <w:t>两病”患者在我市所有医保定点医疗机构（含村卫生室或社区卫生服务站）或定点零售药店发生的符合保障范围规定的药品和检验检查费用，不设起付线，按规定的报销比例、限额报销后，剩余费用由本人承担。医保经办机构根据医疗机构或定点零售药店实际发生的医保范围内的报销费用按月拨付。按项目付费的具体支付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方正仿宋_GBK"/>
          <w:sz w:val="32"/>
          <w:szCs w:val="32"/>
          <w:highlight w:val="none"/>
          <w:u w:val="none"/>
          <w:lang w:eastAsia="zh-CN"/>
        </w:rPr>
      </w:pPr>
      <w:r>
        <w:rPr>
          <w:rFonts w:hint="eastAsia" w:ascii="Times New Roman" w:hAnsi="Times New Roman" w:eastAsia="方正仿宋_GBK" w:cs="方正仿宋_GBK"/>
          <w:sz w:val="32"/>
          <w:szCs w:val="32"/>
          <w:u w:val="none"/>
          <w:lang w:val="en-US" w:eastAsia="zh-CN"/>
        </w:rPr>
        <w:t>1．报销比例：</w:t>
      </w:r>
      <w:r>
        <w:rPr>
          <w:rFonts w:hint="eastAsia" w:ascii="Times New Roman" w:hAnsi="Times New Roman" w:eastAsia="方正仿宋_GBK" w:cs="方正仿宋_GBK"/>
          <w:sz w:val="32"/>
          <w:szCs w:val="32"/>
          <w:u w:val="none"/>
        </w:rPr>
        <w:t>使用</w:t>
      </w:r>
      <w:r>
        <w:rPr>
          <w:rFonts w:hint="eastAsia" w:ascii="Times New Roman" w:hAnsi="Times New Roman" w:eastAsia="方正仿宋_GBK" w:cs="方正仿宋_GBK"/>
          <w:sz w:val="32"/>
          <w:szCs w:val="32"/>
          <w:u w:val="none"/>
          <w:lang w:eastAsia="zh-CN"/>
        </w:rPr>
        <w:t>集中带量采购</w:t>
      </w:r>
      <w:r>
        <w:rPr>
          <w:rFonts w:hint="eastAsia" w:ascii="Times New Roman" w:hAnsi="Times New Roman" w:eastAsia="方正仿宋_GBK" w:cs="方正仿宋_GBK"/>
          <w:sz w:val="32"/>
          <w:szCs w:val="32"/>
          <w:u w:val="none"/>
        </w:rPr>
        <w:t>药品</w:t>
      </w:r>
      <w:r>
        <w:rPr>
          <w:rFonts w:hint="eastAsia" w:ascii="Times New Roman" w:hAnsi="Times New Roman" w:eastAsia="方正仿宋_GBK" w:cs="方正仿宋_GBK"/>
          <w:sz w:val="32"/>
          <w:szCs w:val="32"/>
          <w:u w:val="none"/>
          <w:lang w:eastAsia="zh-CN"/>
        </w:rPr>
        <w:t>的（限</w:t>
      </w:r>
      <w:r>
        <w:rPr>
          <w:rFonts w:hint="eastAsia" w:ascii="Times New Roman" w:hAnsi="Times New Roman" w:eastAsia="方正仿宋_GBK" w:cs="方正仿宋_GBK"/>
          <w:sz w:val="32"/>
          <w:szCs w:val="32"/>
          <w:u w:val="none"/>
        </w:rPr>
        <w:t>二级及以下医疗机构</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w:t>
      </w:r>
      <w:r>
        <w:rPr>
          <w:rFonts w:hint="eastAsia" w:ascii="Times New Roman" w:hAnsi="Times New Roman" w:eastAsia="方正仿宋_GBK" w:cs="方正仿宋_GBK"/>
          <w:sz w:val="32"/>
          <w:szCs w:val="32"/>
          <w:u w:val="none"/>
          <w:lang w:val="en-US" w:eastAsia="zh-CN"/>
        </w:rPr>
        <w:t>一、二类管理“两病”患者</w:t>
      </w:r>
      <w:r>
        <w:rPr>
          <w:rFonts w:hint="eastAsia" w:ascii="Times New Roman" w:hAnsi="Times New Roman" w:eastAsia="方正仿宋_GBK" w:cs="方正仿宋_GBK"/>
          <w:sz w:val="32"/>
          <w:szCs w:val="32"/>
          <w:u w:val="none"/>
        </w:rPr>
        <w:t>报销比例</w:t>
      </w:r>
      <w:r>
        <w:rPr>
          <w:rFonts w:hint="eastAsia" w:ascii="Times New Roman" w:hAnsi="Times New Roman" w:eastAsia="方正仿宋_GBK" w:cs="方正仿宋_GBK"/>
          <w:sz w:val="32"/>
          <w:szCs w:val="32"/>
          <w:u w:val="none"/>
          <w:lang w:eastAsia="zh-CN"/>
        </w:rPr>
        <w:t>为</w:t>
      </w:r>
      <w:r>
        <w:rPr>
          <w:rFonts w:hint="eastAsia" w:ascii="Times New Roman" w:hAnsi="Times New Roman" w:eastAsia="方正仿宋_GBK" w:cs="方正仿宋_GBK"/>
          <w:sz w:val="32"/>
          <w:szCs w:val="32"/>
          <w:u w:val="none"/>
        </w:rPr>
        <w:t>100%</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使用非集中</w:t>
      </w:r>
      <w:r>
        <w:rPr>
          <w:rFonts w:hint="eastAsia" w:ascii="Times New Roman" w:hAnsi="Times New Roman" w:eastAsia="方正仿宋_GBK" w:cs="方正仿宋_GBK"/>
          <w:sz w:val="32"/>
          <w:szCs w:val="32"/>
          <w:u w:val="none"/>
          <w:lang w:eastAsia="zh-CN"/>
        </w:rPr>
        <w:t>带量</w:t>
      </w:r>
      <w:r>
        <w:rPr>
          <w:rFonts w:hint="eastAsia" w:ascii="Times New Roman" w:hAnsi="Times New Roman" w:eastAsia="方正仿宋_GBK" w:cs="方正仿宋_GBK"/>
          <w:sz w:val="32"/>
          <w:szCs w:val="32"/>
          <w:u w:val="none"/>
        </w:rPr>
        <w:t>采购药品的，一类管理患者</w:t>
      </w:r>
      <w:r>
        <w:rPr>
          <w:rFonts w:hint="eastAsia" w:ascii="Times New Roman" w:hAnsi="Times New Roman" w:eastAsia="方正仿宋_GBK" w:cs="方正仿宋_GBK"/>
          <w:sz w:val="32"/>
          <w:szCs w:val="32"/>
          <w:u w:val="none"/>
          <w:lang w:eastAsia="zh-CN"/>
        </w:rPr>
        <w:t>（限</w:t>
      </w:r>
      <w:r>
        <w:rPr>
          <w:rFonts w:hint="eastAsia" w:ascii="Times New Roman" w:hAnsi="Times New Roman" w:eastAsia="方正仿宋_GBK" w:cs="方正仿宋_GBK"/>
          <w:sz w:val="32"/>
          <w:szCs w:val="32"/>
          <w:u w:val="none"/>
        </w:rPr>
        <w:t>二级及以下医疗机构</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报销比例为60%</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二类管理患者报销比例</w:t>
      </w:r>
      <w:r>
        <w:rPr>
          <w:rFonts w:hint="eastAsia" w:ascii="Times New Roman" w:hAnsi="Times New Roman" w:eastAsia="方正仿宋_GBK" w:cs="方正仿宋_GBK"/>
          <w:sz w:val="32"/>
          <w:szCs w:val="32"/>
          <w:u w:val="none"/>
          <w:lang w:eastAsia="zh-CN"/>
        </w:rPr>
        <w:t>为</w:t>
      </w:r>
      <w:r>
        <w:rPr>
          <w:rFonts w:hint="eastAsia" w:ascii="Times New Roman" w:hAnsi="Times New Roman" w:eastAsia="方正仿宋_GBK" w:cs="方正仿宋_GBK"/>
          <w:sz w:val="32"/>
          <w:szCs w:val="32"/>
          <w:u w:val="none"/>
        </w:rPr>
        <w:t>一级医疗机构80%、二</w:t>
      </w:r>
      <w:r>
        <w:rPr>
          <w:rFonts w:hint="eastAsia" w:ascii="Times New Roman" w:hAnsi="Times New Roman" w:eastAsia="方正仿宋_GBK" w:cs="方正仿宋_GBK"/>
          <w:sz w:val="32"/>
          <w:szCs w:val="32"/>
          <w:u w:val="none"/>
          <w:lang w:eastAsia="zh-CN"/>
        </w:rPr>
        <w:t>级医疗机构</w:t>
      </w:r>
      <w:r>
        <w:rPr>
          <w:rFonts w:hint="eastAsia" w:ascii="Times New Roman" w:hAnsi="Times New Roman" w:eastAsia="方正仿宋_GBK" w:cs="方正仿宋_GBK"/>
          <w:sz w:val="32"/>
          <w:szCs w:val="32"/>
          <w:u w:val="none"/>
        </w:rPr>
        <w:t>60%、三</w:t>
      </w:r>
      <w:r>
        <w:rPr>
          <w:rFonts w:hint="eastAsia" w:ascii="Times New Roman" w:hAnsi="Times New Roman" w:eastAsia="方正仿宋_GBK" w:cs="方正仿宋_GBK"/>
          <w:sz w:val="32"/>
          <w:szCs w:val="32"/>
          <w:u w:val="none"/>
          <w:lang w:eastAsia="zh-CN"/>
        </w:rPr>
        <w:t>级医疗机构</w:t>
      </w:r>
      <w:r>
        <w:rPr>
          <w:rFonts w:hint="eastAsia" w:ascii="Times New Roman" w:hAnsi="Times New Roman" w:eastAsia="方正仿宋_GBK" w:cs="方正仿宋_GBK"/>
          <w:sz w:val="32"/>
          <w:szCs w:val="32"/>
          <w:u w:val="none"/>
        </w:rPr>
        <w:t>40%</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highlight w:val="none"/>
          <w:u w:val="none"/>
          <w:lang w:eastAsia="zh-CN"/>
        </w:rPr>
        <w:t>“两病”</w:t>
      </w:r>
      <w:r>
        <w:rPr>
          <w:rFonts w:hint="eastAsia" w:ascii="Times New Roman" w:hAnsi="Times New Roman" w:eastAsia="方正仿宋_GBK" w:cs="方正仿宋_GBK"/>
          <w:sz w:val="32"/>
          <w:szCs w:val="32"/>
          <w:highlight w:val="none"/>
          <w:u w:val="none"/>
        </w:rPr>
        <w:t>门诊检查</w:t>
      </w:r>
      <w:r>
        <w:rPr>
          <w:rFonts w:hint="eastAsia" w:ascii="Times New Roman" w:hAnsi="Times New Roman" w:eastAsia="方正仿宋_GBK" w:cs="方正仿宋_GBK"/>
          <w:sz w:val="32"/>
          <w:szCs w:val="32"/>
          <w:highlight w:val="none"/>
          <w:u w:val="none"/>
          <w:lang w:eastAsia="zh-CN"/>
        </w:rPr>
        <w:t>检验</w:t>
      </w:r>
      <w:r>
        <w:rPr>
          <w:rFonts w:hint="eastAsia" w:ascii="Times New Roman" w:hAnsi="Times New Roman" w:eastAsia="方正仿宋_GBK" w:cs="方正仿宋_GBK"/>
          <w:sz w:val="32"/>
          <w:szCs w:val="32"/>
          <w:highlight w:val="none"/>
          <w:u w:val="none"/>
        </w:rPr>
        <w:t>项目</w:t>
      </w:r>
      <w:r>
        <w:rPr>
          <w:rFonts w:hint="eastAsia" w:ascii="Times New Roman" w:hAnsi="Times New Roman" w:eastAsia="方正仿宋_GBK" w:cs="方正仿宋_GBK"/>
          <w:sz w:val="32"/>
          <w:szCs w:val="32"/>
          <w:highlight w:val="none"/>
          <w:u w:val="none"/>
          <w:lang w:eastAsia="zh-CN"/>
        </w:rPr>
        <w:t>（限</w:t>
      </w:r>
      <w:r>
        <w:rPr>
          <w:rFonts w:hint="eastAsia" w:ascii="Times New Roman" w:hAnsi="Times New Roman" w:eastAsia="方正仿宋_GBK" w:cs="方正仿宋_GBK"/>
          <w:sz w:val="32"/>
          <w:szCs w:val="32"/>
          <w:highlight w:val="none"/>
          <w:u w:val="none"/>
        </w:rPr>
        <w:t>二类管理患者</w:t>
      </w:r>
      <w:r>
        <w:rPr>
          <w:rFonts w:hint="eastAsia" w:ascii="Times New Roman" w:hAnsi="Times New Roman" w:eastAsia="方正仿宋_GBK" w:cs="方正仿宋_GBK"/>
          <w:sz w:val="32"/>
          <w:szCs w:val="32"/>
          <w:highlight w:val="none"/>
          <w:u w:val="none"/>
          <w:lang w:eastAsia="zh-CN"/>
        </w:rPr>
        <w:t>）报销比例为</w:t>
      </w:r>
      <w:r>
        <w:rPr>
          <w:rFonts w:hint="eastAsia" w:ascii="Times New Roman" w:hAnsi="Times New Roman" w:eastAsia="方正仿宋_GBK" w:cs="方正仿宋_GBK"/>
          <w:sz w:val="32"/>
          <w:szCs w:val="32"/>
          <w:u w:val="none"/>
        </w:rPr>
        <w:t>一级医疗机构80%、二</w:t>
      </w:r>
      <w:r>
        <w:rPr>
          <w:rFonts w:hint="eastAsia" w:ascii="Times New Roman" w:hAnsi="Times New Roman" w:eastAsia="方正仿宋_GBK" w:cs="方正仿宋_GBK"/>
          <w:sz w:val="32"/>
          <w:szCs w:val="32"/>
          <w:u w:val="none"/>
          <w:lang w:eastAsia="zh-CN"/>
        </w:rPr>
        <w:t>级医疗机构</w:t>
      </w:r>
      <w:r>
        <w:rPr>
          <w:rFonts w:hint="eastAsia" w:ascii="Times New Roman" w:hAnsi="Times New Roman" w:eastAsia="方正仿宋_GBK" w:cs="方正仿宋_GBK"/>
          <w:sz w:val="32"/>
          <w:szCs w:val="32"/>
          <w:u w:val="none"/>
        </w:rPr>
        <w:t>60%、三</w:t>
      </w:r>
      <w:r>
        <w:rPr>
          <w:rFonts w:hint="eastAsia" w:ascii="Times New Roman" w:hAnsi="Times New Roman" w:eastAsia="方正仿宋_GBK" w:cs="方正仿宋_GBK"/>
          <w:sz w:val="32"/>
          <w:szCs w:val="32"/>
          <w:u w:val="none"/>
          <w:lang w:eastAsia="zh-CN"/>
        </w:rPr>
        <w:t>级医疗机构</w:t>
      </w:r>
      <w:r>
        <w:rPr>
          <w:rFonts w:hint="eastAsia" w:ascii="Times New Roman" w:hAnsi="Times New Roman" w:eastAsia="方正仿宋_GBK" w:cs="方正仿宋_GBK"/>
          <w:sz w:val="32"/>
          <w:szCs w:val="32"/>
          <w:u w:val="none"/>
        </w:rPr>
        <w:t>40%</w:t>
      </w:r>
      <w:r>
        <w:rPr>
          <w:rFonts w:hint="eastAsia" w:ascii="Times New Roman" w:hAnsi="Times New Roman" w:eastAsia="方正仿宋_GBK" w:cs="方正仿宋_GBK"/>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方正仿宋_GBK"/>
          <w:b w:val="0"/>
          <w:bCs w:val="0"/>
          <w:sz w:val="32"/>
          <w:szCs w:val="32"/>
          <w:u w:val="none"/>
          <w:lang w:eastAsia="zh-CN"/>
        </w:rPr>
      </w:pPr>
      <w:r>
        <w:rPr>
          <w:rFonts w:hint="eastAsia" w:ascii="Times New Roman" w:hAnsi="Times New Roman" w:eastAsia="方正仿宋_GBK" w:cs="方正仿宋_GBK"/>
          <w:sz w:val="32"/>
          <w:szCs w:val="32"/>
          <w:u w:val="none"/>
          <w:lang w:val="en-US" w:eastAsia="zh-CN"/>
        </w:rPr>
        <w:t>2．报销限额：</w:t>
      </w:r>
      <w:r>
        <w:rPr>
          <w:rFonts w:hint="eastAsia" w:ascii="Times New Roman" w:hAnsi="Times New Roman" w:eastAsia="方正仿宋_GBK" w:cs="方正仿宋_GBK"/>
          <w:sz w:val="32"/>
          <w:szCs w:val="32"/>
          <w:u w:val="none"/>
        </w:rPr>
        <w:t>一类管理对象的</w:t>
      </w:r>
      <w:r>
        <w:rPr>
          <w:rFonts w:hint="eastAsia" w:ascii="Times New Roman" w:hAnsi="Times New Roman" w:eastAsia="方正仿宋_GBK" w:cs="方正仿宋_GBK"/>
          <w:sz w:val="32"/>
          <w:szCs w:val="32"/>
          <w:u w:val="none"/>
          <w:lang w:val="en-US" w:eastAsia="zh-CN"/>
        </w:rPr>
        <w:t>“两病”</w:t>
      </w:r>
      <w:r>
        <w:rPr>
          <w:rFonts w:hint="eastAsia" w:ascii="Times New Roman" w:hAnsi="Times New Roman" w:eastAsia="方正仿宋_GBK" w:cs="方正仿宋_GBK"/>
          <w:sz w:val="32"/>
          <w:szCs w:val="32"/>
          <w:u w:val="none"/>
          <w:lang w:eastAsia="zh-CN"/>
        </w:rPr>
        <w:t>年</w:t>
      </w:r>
      <w:r>
        <w:rPr>
          <w:rFonts w:hint="eastAsia" w:ascii="Times New Roman" w:hAnsi="Times New Roman" w:eastAsia="方正仿宋_GBK" w:cs="方正仿宋_GBK"/>
          <w:sz w:val="32"/>
          <w:szCs w:val="32"/>
          <w:u w:val="none"/>
        </w:rPr>
        <w:t>报销限额为500元/人·年。二类管理对象的</w:t>
      </w:r>
      <w:r>
        <w:rPr>
          <w:rFonts w:hint="eastAsia" w:ascii="Times New Roman" w:hAnsi="Times New Roman" w:eastAsia="方正仿宋_GBK" w:cs="方正仿宋_GBK"/>
          <w:sz w:val="32"/>
          <w:szCs w:val="32"/>
          <w:u w:val="none"/>
          <w:lang w:val="en-US" w:eastAsia="zh-CN"/>
        </w:rPr>
        <w:t>“两病”</w:t>
      </w:r>
      <w:r>
        <w:rPr>
          <w:rFonts w:hint="eastAsia" w:ascii="Times New Roman" w:hAnsi="Times New Roman" w:eastAsia="方正仿宋_GBK" w:cs="方正仿宋_GBK"/>
          <w:sz w:val="32"/>
          <w:szCs w:val="32"/>
          <w:u w:val="none"/>
          <w:lang w:eastAsia="zh-CN"/>
        </w:rPr>
        <w:t>年</w:t>
      </w:r>
      <w:r>
        <w:rPr>
          <w:rFonts w:hint="eastAsia" w:ascii="Times New Roman" w:hAnsi="Times New Roman" w:eastAsia="方正仿宋_GBK" w:cs="方正仿宋_GBK"/>
          <w:sz w:val="32"/>
          <w:szCs w:val="32"/>
          <w:u w:val="none"/>
        </w:rPr>
        <w:t>报销限额为1000元/人·年。同时患有</w:t>
      </w:r>
      <w:r>
        <w:rPr>
          <w:rFonts w:hint="eastAsia" w:ascii="Times New Roman" w:hAnsi="Times New Roman" w:eastAsia="方正仿宋_GBK" w:cs="方正仿宋_GBK"/>
          <w:sz w:val="32"/>
          <w:szCs w:val="32"/>
          <w:u w:val="none"/>
          <w:lang w:eastAsia="zh-CN"/>
        </w:rPr>
        <w:t>高血压和糖尿病的</w:t>
      </w:r>
      <w:r>
        <w:rPr>
          <w:rFonts w:hint="eastAsia" w:ascii="Times New Roman" w:hAnsi="Times New Roman" w:eastAsia="方正仿宋_GBK" w:cs="方正仿宋_GBK"/>
          <w:sz w:val="32"/>
          <w:szCs w:val="32"/>
          <w:u w:val="none"/>
        </w:rPr>
        <w:t>报销限额为1500元/人·年</w:t>
      </w:r>
      <w:r>
        <w:rPr>
          <w:rFonts w:hint="eastAsia" w:ascii="Times New Roman" w:hAnsi="Times New Roman" w:eastAsia="方正仿宋_GBK" w:cs="方正仿宋_GBK"/>
          <w:sz w:val="32"/>
          <w:szCs w:val="32"/>
          <w:u w:val="none"/>
          <w:lang w:eastAsia="zh-CN"/>
        </w:rPr>
        <w:t>、患有高血压或糖尿病及其他一种慢性病的</w:t>
      </w:r>
      <w:r>
        <w:rPr>
          <w:rFonts w:hint="eastAsia" w:ascii="Times New Roman" w:hAnsi="Times New Roman" w:eastAsia="方正仿宋_GBK" w:cs="方正仿宋_GBK"/>
          <w:sz w:val="32"/>
          <w:szCs w:val="32"/>
          <w:u w:val="none"/>
        </w:rPr>
        <w:t>报销限额为1500元/人·年</w:t>
      </w:r>
      <w:r>
        <w:rPr>
          <w:rFonts w:hint="eastAsia" w:ascii="Times New Roman" w:hAnsi="Times New Roman" w:eastAsia="方正仿宋_GBK" w:cs="方正仿宋_GBK"/>
          <w:sz w:val="32"/>
          <w:szCs w:val="32"/>
          <w:u w:val="none"/>
          <w:lang w:eastAsia="zh-CN"/>
        </w:rPr>
        <w:t>，在此基础上每增加一个慢性病病种，报销限额增加</w:t>
      </w:r>
      <w:r>
        <w:rPr>
          <w:rFonts w:hint="eastAsia" w:ascii="Times New Roman" w:hAnsi="Times New Roman" w:eastAsia="方正仿宋_GBK" w:cs="方正仿宋_GBK"/>
          <w:sz w:val="32"/>
          <w:szCs w:val="32"/>
          <w:u w:val="none"/>
          <w:lang w:val="en-US" w:eastAsia="zh-CN"/>
        </w:rPr>
        <w:t>200元</w:t>
      </w:r>
      <w:r>
        <w:rPr>
          <w:rFonts w:hint="eastAsia" w:ascii="Times New Roman" w:hAnsi="Times New Roman" w:eastAsia="方正仿宋_GBK" w:cs="方正仿宋_GBK"/>
          <w:sz w:val="32"/>
          <w:szCs w:val="32"/>
          <w:u w:val="none"/>
        </w:rPr>
        <w:t>。</w:t>
      </w:r>
      <w:r>
        <w:rPr>
          <w:rFonts w:hint="eastAsia" w:ascii="Times New Roman" w:hAnsi="Times New Roman" w:eastAsia="方正仿宋_GBK" w:cs="方正仿宋_GBK"/>
          <w:b w:val="0"/>
          <w:bCs w:val="0"/>
          <w:sz w:val="32"/>
          <w:szCs w:val="32"/>
          <w:u w:val="none"/>
          <w:lang w:eastAsia="zh-CN"/>
        </w:rPr>
        <w:t>“两病”门诊用药保障报销限额与居民医保门诊慢性病报销限额共用。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方正仿宋_GBK"/>
          <w:sz w:val="32"/>
          <w:szCs w:val="32"/>
          <w:u w:val="none"/>
          <w:lang w:eastAsia="zh-CN"/>
        </w:rPr>
      </w:pPr>
      <w:r>
        <w:rPr>
          <w:rFonts w:hint="eastAsia" w:ascii="Times New Roman" w:hAnsi="Times New Roman" w:eastAsia="方正楷体_GBK" w:cs="方正楷体_GBK"/>
          <w:sz w:val="32"/>
          <w:szCs w:val="32"/>
          <w:u w:val="none"/>
          <w:lang w:eastAsia="zh-CN"/>
        </w:rPr>
        <w:t>（</w:t>
      </w:r>
      <w:r>
        <w:rPr>
          <w:rFonts w:hint="eastAsia" w:ascii="Times New Roman" w:hAnsi="Times New Roman" w:eastAsia="方正楷体_GBK" w:cs="方正楷体_GBK"/>
          <w:sz w:val="32"/>
          <w:szCs w:val="32"/>
          <w:u w:val="none"/>
          <w:lang w:val="en-US" w:eastAsia="zh-CN"/>
        </w:rPr>
        <w:t>二</w:t>
      </w:r>
      <w:r>
        <w:rPr>
          <w:rFonts w:hint="eastAsia" w:ascii="Times New Roman" w:hAnsi="Times New Roman" w:eastAsia="方正楷体_GBK" w:cs="方正楷体_GBK"/>
          <w:sz w:val="32"/>
          <w:szCs w:val="32"/>
          <w:u w:val="none"/>
          <w:lang w:eastAsia="zh-CN"/>
        </w:rPr>
        <w:t>）</w:t>
      </w:r>
      <w:r>
        <w:rPr>
          <w:rFonts w:hint="eastAsia" w:ascii="Times New Roman" w:hAnsi="Times New Roman" w:eastAsia="方正楷体_GBK" w:cs="方正楷体_GBK"/>
          <w:sz w:val="32"/>
          <w:szCs w:val="32"/>
          <w:u w:val="none"/>
          <w:lang w:val="en-US" w:eastAsia="zh-CN"/>
        </w:rPr>
        <w:t>按人头付费。</w:t>
      </w:r>
      <w:r>
        <w:rPr>
          <w:rFonts w:hint="eastAsia" w:ascii="Times New Roman" w:hAnsi="Times New Roman" w:eastAsia="方正仿宋_GBK" w:cs="方正仿宋_GBK"/>
          <w:sz w:val="32"/>
          <w:szCs w:val="32"/>
          <w:u w:val="none"/>
          <w:lang w:eastAsia="zh-CN"/>
        </w:rPr>
        <w:t>居住地或工作地相对固定的“两病”参保患者，可选择按人头付费的保障方式。“两病”参保患者自愿选择居住地或工作地一个乡镇卫生院或一个社区卫生服务中心作为本人“两病”门诊定点治疗机构（见附件</w:t>
      </w:r>
      <w:r>
        <w:rPr>
          <w:rFonts w:hint="eastAsia" w:ascii="Times New Roman" w:hAnsi="Times New Roman" w:eastAsia="方正仿宋_GBK" w:cs="方正仿宋_GBK"/>
          <w:sz w:val="32"/>
          <w:szCs w:val="32"/>
          <w:u w:val="none"/>
          <w:lang w:val="en-US" w:eastAsia="zh-CN"/>
        </w:rPr>
        <w:t>2</w:t>
      </w:r>
      <w:r>
        <w:rPr>
          <w:rFonts w:hint="eastAsia" w:ascii="Times New Roman" w:hAnsi="Times New Roman" w:eastAsia="方正仿宋_GBK" w:cs="方正仿宋_GBK"/>
          <w:sz w:val="32"/>
          <w:szCs w:val="32"/>
          <w:u w:val="none"/>
          <w:lang w:eastAsia="zh-CN"/>
        </w:rPr>
        <w:t>）。定点治疗机构负责患者的门诊治疗服务（包括复诊、检查、供药），并按规定满足患者门诊治疗服务需求。费用由医保经办机构与定点治疗机构分别按高血压30元/人·月、糖尿病70元/人·月的人头标准按月结算、年终考核清算（当年中途选择的按实际月份计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黑体_GBK" w:cs="方正黑体_GBK"/>
          <w:sz w:val="32"/>
          <w:szCs w:val="32"/>
          <w:u w:val="none"/>
          <w:lang w:eastAsia="zh-CN"/>
        </w:rPr>
      </w:pPr>
      <w:r>
        <w:rPr>
          <w:rFonts w:hint="eastAsia" w:ascii="Times New Roman" w:hAnsi="Times New Roman" w:eastAsia="方正黑体_GBK" w:cs="方正黑体_GBK"/>
          <w:sz w:val="32"/>
          <w:szCs w:val="32"/>
          <w:u w:val="none"/>
          <w:lang w:eastAsia="zh-CN"/>
        </w:rPr>
        <w:t>四、就医管理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方正仿宋_GBK"/>
          <w:sz w:val="32"/>
          <w:szCs w:val="32"/>
          <w:u w:val="none"/>
          <w:lang w:eastAsia="zh-CN"/>
        </w:rPr>
      </w:pPr>
      <w:r>
        <w:rPr>
          <w:rFonts w:hint="eastAsia" w:ascii="Times New Roman" w:hAnsi="Times New Roman" w:eastAsia="方正仿宋_GBK" w:cs="方正仿宋_GBK"/>
          <w:sz w:val="32"/>
          <w:szCs w:val="32"/>
          <w:u w:val="none"/>
          <w:lang w:eastAsia="zh-CN"/>
        </w:rPr>
        <w:t>对选择按项目付费的患者，将“两病”</w:t>
      </w:r>
      <w:r>
        <w:rPr>
          <w:rFonts w:hint="eastAsia" w:ascii="Times New Roman" w:hAnsi="Times New Roman" w:eastAsia="方正仿宋_GBK" w:cs="方正仿宋_GBK"/>
          <w:sz w:val="32"/>
          <w:szCs w:val="32"/>
          <w:u w:val="none"/>
        </w:rPr>
        <w:t>用药保障的治疗机构扩大到我市所有医保定点医疗机构（含村卫生室或社区卫生服务站）</w:t>
      </w:r>
      <w:r>
        <w:rPr>
          <w:rFonts w:hint="eastAsia" w:ascii="Times New Roman" w:hAnsi="Times New Roman" w:eastAsia="方正仿宋_GBK" w:cs="方正仿宋_GBK"/>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方正仿宋_GBK"/>
          <w:sz w:val="32"/>
          <w:szCs w:val="32"/>
          <w:u w:val="none"/>
          <w:lang w:eastAsia="zh-CN"/>
        </w:rPr>
      </w:pPr>
      <w:r>
        <w:rPr>
          <w:rFonts w:hint="eastAsia" w:ascii="Times New Roman" w:hAnsi="Times New Roman" w:eastAsia="方正仿宋_GBK" w:cs="方正仿宋_GBK"/>
          <w:sz w:val="32"/>
          <w:szCs w:val="32"/>
          <w:u w:val="none"/>
          <w:lang w:eastAsia="zh-CN"/>
        </w:rPr>
        <w:t>对选择按人头付费的患者，其按人头付费定点治疗机构原则上一个自然年度内不做变更，确因居住地或工作地变化等客观原因需要调整的，也可变更其按人头付费定点机构，确保“两病”门诊保障的有效衔接。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方正仿宋_GBK"/>
          <w:sz w:val="32"/>
          <w:szCs w:val="32"/>
          <w:u w:val="none"/>
          <w:lang w:eastAsia="zh-CN"/>
        </w:rPr>
      </w:pPr>
      <w:r>
        <w:rPr>
          <w:rFonts w:hint="eastAsia" w:ascii="Times New Roman" w:hAnsi="Times New Roman" w:eastAsia="方正仿宋_GBK" w:cs="方正仿宋_GBK"/>
          <w:sz w:val="32"/>
          <w:szCs w:val="32"/>
          <w:u w:val="none"/>
          <w:lang w:eastAsia="zh-CN"/>
        </w:rPr>
        <w:t>具备集中带量采购药品供应保障的医保定点医疗机构或定点药店实行“双通道”供药。“两病”患者</w:t>
      </w:r>
      <w:r>
        <w:rPr>
          <w:rFonts w:hint="eastAsia" w:ascii="Times New Roman" w:hAnsi="Times New Roman" w:eastAsia="方正仿宋_GBK" w:cs="方正仿宋_GBK"/>
          <w:sz w:val="32"/>
          <w:szCs w:val="32"/>
          <w:u w:val="none"/>
        </w:rPr>
        <w:t>可凭定点医疗机构开具的处方（含电子处方），到能稳定供应</w:t>
      </w:r>
      <w:r>
        <w:rPr>
          <w:rFonts w:hint="eastAsia" w:ascii="Times New Roman" w:hAnsi="Times New Roman" w:eastAsia="方正仿宋_GBK" w:cs="方正仿宋_GBK"/>
          <w:sz w:val="32"/>
          <w:szCs w:val="32"/>
          <w:u w:val="none"/>
          <w:lang w:eastAsia="zh-CN"/>
        </w:rPr>
        <w:t>集中带量采购</w:t>
      </w:r>
      <w:r>
        <w:rPr>
          <w:rFonts w:hint="eastAsia" w:ascii="Times New Roman" w:hAnsi="Times New Roman" w:eastAsia="方正仿宋_GBK" w:cs="方正仿宋_GBK"/>
          <w:sz w:val="32"/>
          <w:szCs w:val="32"/>
          <w:u w:val="none"/>
        </w:rPr>
        <w:t>药品且已联通</w:t>
      </w:r>
      <w:r>
        <w:rPr>
          <w:rFonts w:hint="eastAsia" w:ascii="Times New Roman" w:hAnsi="Times New Roman" w:eastAsia="方正仿宋_GBK" w:cs="方正仿宋_GBK"/>
          <w:sz w:val="32"/>
          <w:szCs w:val="32"/>
          <w:u w:val="none"/>
          <w:lang w:eastAsia="zh-CN"/>
        </w:rPr>
        <w:t>医保“两病”管理平台</w:t>
      </w:r>
      <w:r>
        <w:rPr>
          <w:rFonts w:hint="eastAsia" w:ascii="Times New Roman" w:hAnsi="Times New Roman" w:eastAsia="方正仿宋_GBK" w:cs="方正仿宋_GBK"/>
          <w:sz w:val="32"/>
          <w:szCs w:val="32"/>
          <w:u w:val="none"/>
        </w:rPr>
        <w:t>的定点药店购药</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按规定报销相关费用</w:t>
      </w:r>
      <w:r>
        <w:rPr>
          <w:rFonts w:hint="eastAsia" w:ascii="Times New Roman" w:hAnsi="Times New Roman" w:eastAsia="方正仿宋_GBK" w:cs="方正仿宋_GBK"/>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方正仿宋_GBK"/>
          <w:sz w:val="32"/>
          <w:szCs w:val="32"/>
          <w:u w:val="none"/>
          <w:lang w:val="en-US" w:eastAsia="zh-CN"/>
        </w:rPr>
      </w:pPr>
      <w:r>
        <w:rPr>
          <w:rFonts w:hint="eastAsia" w:ascii="Times New Roman" w:hAnsi="Times New Roman" w:eastAsia="方正仿宋_GBK" w:cs="方正仿宋_GBK"/>
          <w:sz w:val="32"/>
          <w:szCs w:val="32"/>
          <w:u w:val="none"/>
          <w:lang w:eastAsia="zh-CN"/>
        </w:rPr>
        <w:t>办理了跨省异地就医备案的</w:t>
      </w:r>
      <w:r>
        <w:rPr>
          <w:rFonts w:hint="eastAsia" w:ascii="Times New Roman" w:hAnsi="Times New Roman" w:eastAsia="方正仿宋_GBK" w:cs="方正仿宋_GBK"/>
          <w:sz w:val="32"/>
          <w:szCs w:val="32"/>
          <w:u w:val="none"/>
        </w:rPr>
        <w:t>市外</w:t>
      </w:r>
      <w:r>
        <w:rPr>
          <w:rFonts w:hint="eastAsia" w:ascii="Times New Roman" w:hAnsi="Times New Roman" w:eastAsia="方正仿宋_GBK" w:cs="方正仿宋_GBK"/>
          <w:sz w:val="32"/>
          <w:szCs w:val="32"/>
          <w:u w:val="none"/>
          <w:lang w:eastAsia="zh-CN"/>
        </w:rPr>
        <w:t>“两病”患者，在市外异地直接联网结算的医保定点医疗机构就医的</w:t>
      </w:r>
      <w:r>
        <w:rPr>
          <w:rFonts w:hint="eastAsia" w:ascii="Times New Roman" w:hAnsi="Times New Roman" w:eastAsia="方正仿宋_GBK" w:cs="方正仿宋_GBK"/>
          <w:sz w:val="32"/>
          <w:szCs w:val="32"/>
          <w:u w:val="none"/>
        </w:rPr>
        <w:t>，按异地就医规定执行</w:t>
      </w:r>
      <w:r>
        <w:rPr>
          <w:rFonts w:hint="eastAsia" w:ascii="Times New Roman" w:hAnsi="Times New Roman" w:eastAsia="方正仿宋_GBK" w:cs="方正仿宋_GBK"/>
          <w:sz w:val="32"/>
          <w:szCs w:val="32"/>
          <w:u w:val="none"/>
          <w:lang w:eastAsia="zh-CN"/>
        </w:rPr>
        <w:t>；在市外异地非直接联网结算的医保定点医疗机构就医，由参保人员先行垫付相关费用，再到参保地医保经办机构按本办法的规定报销。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方正仿宋_GBK"/>
          <w:sz w:val="32"/>
          <w:szCs w:val="32"/>
          <w:u w:val="none"/>
          <w:lang w:val="en-US" w:eastAsia="zh-CN"/>
        </w:rPr>
      </w:pPr>
      <w:r>
        <w:rPr>
          <w:rFonts w:hint="eastAsia" w:ascii="Times New Roman" w:hAnsi="Times New Roman" w:eastAsia="方正仿宋_GBK" w:cs="方正仿宋_GBK"/>
          <w:sz w:val="32"/>
          <w:szCs w:val="32"/>
          <w:u w:val="none"/>
          <w:lang w:eastAsia="zh-CN"/>
        </w:rPr>
        <w:t>“两病”复诊的，经诊治医师处方，可一次性开具不超过</w:t>
      </w:r>
      <w:r>
        <w:rPr>
          <w:rFonts w:hint="eastAsia" w:ascii="Times New Roman" w:hAnsi="Times New Roman" w:eastAsia="方正仿宋_GBK" w:cs="方正仿宋_GBK"/>
          <w:sz w:val="32"/>
          <w:szCs w:val="32"/>
          <w:u w:val="none"/>
          <w:lang w:val="en-US" w:eastAsia="zh-CN"/>
        </w:rPr>
        <w:t>12周的用药量。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黑体_GBK" w:cs="方正黑体_GBK"/>
          <w:sz w:val="32"/>
          <w:szCs w:val="32"/>
          <w:u w:val="none"/>
        </w:rPr>
      </w:pPr>
      <w:r>
        <w:rPr>
          <w:rFonts w:hint="eastAsia" w:ascii="Times New Roman" w:hAnsi="Times New Roman" w:eastAsia="方正黑体_GBK" w:cs="方正黑体_GBK"/>
          <w:sz w:val="32"/>
          <w:szCs w:val="32"/>
          <w:u w:val="none"/>
        </w:rPr>
        <w:t>五、健康管理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方正仿宋_GBK"/>
          <w:sz w:val="32"/>
          <w:szCs w:val="32"/>
          <w:u w:val="none"/>
          <w:lang w:eastAsia="zh-CN"/>
        </w:rPr>
      </w:pPr>
      <w:r>
        <w:rPr>
          <w:rFonts w:hint="eastAsia" w:ascii="Times New Roman" w:hAnsi="Times New Roman" w:eastAsia="方正仿宋_GBK" w:cs="方正仿宋_GBK"/>
          <w:sz w:val="32"/>
          <w:szCs w:val="32"/>
          <w:u w:val="none"/>
          <w:lang w:eastAsia="zh-CN"/>
        </w:rPr>
        <w:t>加强“两病”患者健康管理。基层定点医疗卫生机构落实国家基本公共卫生服务项目中“两病”管理责任，按照项目管理规范，建立电子健康档案，开展随访和重点指标监测，做好用药指导和健康促进工作。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方正仿宋_GBK"/>
          <w:kern w:val="2"/>
          <w:sz w:val="32"/>
          <w:szCs w:val="32"/>
          <w:u w:val="none"/>
          <w:lang w:val="en-US" w:eastAsia="zh-CN" w:bidi="ar-SA"/>
        </w:rPr>
      </w:pPr>
      <w:r>
        <w:rPr>
          <w:rFonts w:hint="eastAsia" w:ascii="Times New Roman" w:hAnsi="Times New Roman" w:eastAsia="方正仿宋_GBK" w:cs="方正仿宋_GBK"/>
          <w:sz w:val="32"/>
          <w:szCs w:val="32"/>
          <w:u w:val="none"/>
          <w:lang w:eastAsia="zh-CN"/>
        </w:rPr>
        <w:t>加强“两病”患者信息共享。医保部门和卫生健康行政部门要加强“两病”患者信息交换，定期推送</w:t>
      </w:r>
      <w:r>
        <w:rPr>
          <w:rFonts w:hint="eastAsia" w:ascii="Times New Roman" w:hAnsi="Times New Roman" w:eastAsia="方正仿宋_GBK" w:cs="方正仿宋_GBK"/>
          <w:kern w:val="2"/>
          <w:sz w:val="32"/>
          <w:szCs w:val="32"/>
          <w:u w:val="none"/>
          <w:lang w:val="en-US" w:eastAsia="zh-CN" w:bidi="ar-SA"/>
        </w:rPr>
        <w:t>“两病”用药保障对象和国家基本公共卫生服务项目“两病”管理患者信息。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方正仿宋_GBK"/>
          <w:kern w:val="2"/>
          <w:sz w:val="32"/>
          <w:szCs w:val="32"/>
          <w:u w:val="none"/>
          <w:lang w:val="en-US" w:eastAsia="zh-CN" w:bidi="ar-SA"/>
        </w:rPr>
      </w:pPr>
      <w:r>
        <w:rPr>
          <w:rFonts w:hint="eastAsia" w:ascii="Times New Roman" w:hAnsi="Times New Roman" w:eastAsia="方正仿宋_GBK" w:cs="方正仿宋_GBK"/>
          <w:kern w:val="2"/>
          <w:sz w:val="32"/>
          <w:szCs w:val="32"/>
          <w:u w:val="none"/>
          <w:lang w:val="en-US" w:eastAsia="zh-CN" w:bidi="ar-SA"/>
        </w:rPr>
        <w:t>为“两病”患者提供家庭医生签约服务。承担基本公共卫生服务项目的基层医疗卫生机构要将医保部门“两病”用药保障对象纳入基本公共卫生服务项目管理，并将其作为家庭医生签约服务重点对象，提高签约率，努力做到应签尽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方正仿宋_GBK"/>
          <w:sz w:val="32"/>
          <w:szCs w:val="32"/>
          <w:u w:val="none"/>
        </w:rPr>
      </w:pPr>
      <w:r>
        <w:rPr>
          <w:rFonts w:hint="eastAsia" w:ascii="Times New Roman" w:hAnsi="Times New Roman" w:eastAsia="方正仿宋_GBK"/>
          <w:sz w:val="32"/>
          <w:szCs w:val="32"/>
        </w:rPr>
        <w:t>区县域医共体要建立“两病”分色分级管理</w:t>
      </w:r>
      <w:r>
        <w:rPr>
          <w:rFonts w:hint="eastAsia" w:ascii="Times New Roman" w:hAnsi="Times New Roman" w:eastAsia="方正仿宋_GBK"/>
          <w:sz w:val="32"/>
          <w:szCs w:val="32"/>
          <w:lang w:eastAsia="zh-CN"/>
        </w:rPr>
        <w:t>闭环，以“两病”为切入点，推进医防融合发展。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方正黑体_GBK" w:cs="方正黑体_GBK"/>
          <w:sz w:val="32"/>
          <w:szCs w:val="32"/>
          <w:u w:val="none"/>
        </w:rPr>
      </w:pPr>
      <w:r>
        <w:rPr>
          <w:rFonts w:hint="eastAsia" w:ascii="Times New Roman" w:hAnsi="Times New Roman" w:eastAsia="方正黑体_GBK" w:cs="方正黑体_GBK"/>
          <w:sz w:val="32"/>
          <w:szCs w:val="32"/>
          <w:u w:val="none"/>
          <w:lang w:eastAsia="zh-CN"/>
        </w:rPr>
        <w:t>六</w:t>
      </w:r>
      <w:r>
        <w:rPr>
          <w:rFonts w:hint="eastAsia" w:ascii="Times New Roman" w:hAnsi="Times New Roman" w:eastAsia="方正黑体_GBK" w:cs="方正黑体_GBK"/>
          <w:sz w:val="32"/>
          <w:szCs w:val="32"/>
          <w:u w:val="none"/>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方正仿宋_GBK"/>
          <w:sz w:val="32"/>
          <w:szCs w:val="32"/>
          <w:u w:val="none"/>
          <w:lang w:eastAsia="zh-CN"/>
        </w:rPr>
      </w:pPr>
      <w:r>
        <w:rPr>
          <w:rFonts w:hint="eastAsia" w:ascii="Times New Roman" w:hAnsi="Times New Roman" w:eastAsia="方正楷体_GBK" w:cs="方正楷体_GBK"/>
          <w:sz w:val="32"/>
          <w:szCs w:val="32"/>
          <w:u w:val="none"/>
          <w:lang w:eastAsia="zh-CN"/>
        </w:rPr>
        <w:t>（一）提高认识，加大宣传培训力度。</w:t>
      </w:r>
      <w:r>
        <w:rPr>
          <w:rFonts w:hint="eastAsia" w:ascii="Times New Roman" w:hAnsi="Times New Roman" w:eastAsia="方正仿宋_GBK" w:cs="方正仿宋_GBK"/>
          <w:sz w:val="32"/>
          <w:szCs w:val="32"/>
          <w:u w:val="none"/>
          <w:lang w:eastAsia="zh-CN"/>
        </w:rPr>
        <w:t>各区县</w:t>
      </w:r>
      <w:r>
        <w:rPr>
          <w:rFonts w:hint="eastAsia" w:ascii="Times New Roman" w:hAnsi="Times New Roman" w:eastAsia="方正仿宋_GBK" w:cs="方正仿宋_GBK"/>
          <w:sz w:val="32"/>
          <w:szCs w:val="32"/>
          <w:u w:val="none"/>
        </w:rPr>
        <w:t>要充分认识做好</w:t>
      </w:r>
      <w:r>
        <w:rPr>
          <w:rFonts w:hint="eastAsia" w:ascii="Times New Roman" w:hAnsi="Times New Roman" w:eastAsia="方正仿宋_GBK" w:cs="方正仿宋_GBK"/>
          <w:sz w:val="32"/>
          <w:szCs w:val="32"/>
          <w:u w:val="none"/>
          <w:lang w:eastAsia="zh-CN"/>
        </w:rPr>
        <w:t>“两病”</w:t>
      </w:r>
      <w:r>
        <w:rPr>
          <w:rFonts w:hint="eastAsia" w:ascii="Times New Roman" w:hAnsi="Times New Roman" w:eastAsia="方正仿宋_GBK" w:cs="方正仿宋_GBK"/>
          <w:sz w:val="32"/>
          <w:szCs w:val="32"/>
          <w:u w:val="none"/>
        </w:rPr>
        <w:t>门诊用药保障工作的重要意义，坚决落实党中央、国务院决策部署和习近平总书记有关“推进疾病治疗向健康管理转变”重要指示精神，</w:t>
      </w:r>
      <w:r>
        <w:rPr>
          <w:rFonts w:hint="eastAsia" w:ascii="Times New Roman" w:hAnsi="Times New Roman" w:eastAsia="方正仿宋_GBK" w:cs="方正仿宋_GBK"/>
          <w:sz w:val="32"/>
          <w:szCs w:val="32"/>
          <w:u w:val="none"/>
          <w:lang w:eastAsia="zh-CN"/>
        </w:rPr>
        <w:t>积极开展“两病”危害性和门诊用药政策宣传，及时开展对定点机构的人员的培训，尽快实现“两病”患者全覆盖，实现早发现、早用药、早管理</w:t>
      </w:r>
      <w:r>
        <w:rPr>
          <w:rFonts w:hint="eastAsia" w:ascii="Times New Roman" w:hAnsi="Times New Roman" w:eastAsia="方正仿宋_GBK" w:cs="方正仿宋_GBK"/>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方正仿宋_GBK"/>
          <w:sz w:val="32"/>
          <w:szCs w:val="32"/>
          <w:u w:val="none"/>
          <w:lang w:eastAsia="zh-CN"/>
        </w:rPr>
      </w:pPr>
      <w:r>
        <w:rPr>
          <w:rFonts w:hint="eastAsia" w:ascii="Times New Roman" w:hAnsi="Times New Roman" w:eastAsia="方正楷体_GBK" w:cs="方正楷体_GBK"/>
          <w:sz w:val="32"/>
          <w:szCs w:val="32"/>
          <w:u w:val="none"/>
        </w:rPr>
        <w:t>（</w:t>
      </w:r>
      <w:r>
        <w:rPr>
          <w:rFonts w:hint="eastAsia" w:ascii="Times New Roman" w:hAnsi="Times New Roman" w:eastAsia="方正楷体_GBK" w:cs="方正楷体_GBK"/>
          <w:sz w:val="32"/>
          <w:szCs w:val="32"/>
          <w:u w:val="none"/>
          <w:lang w:eastAsia="zh-CN"/>
        </w:rPr>
        <w:t>二</w:t>
      </w:r>
      <w:r>
        <w:rPr>
          <w:rFonts w:hint="eastAsia" w:ascii="Times New Roman" w:hAnsi="Times New Roman" w:eastAsia="方正楷体_GBK" w:cs="方正楷体_GBK"/>
          <w:sz w:val="32"/>
          <w:szCs w:val="32"/>
          <w:u w:val="none"/>
        </w:rPr>
        <w:t>）加强</w:t>
      </w:r>
      <w:r>
        <w:rPr>
          <w:rFonts w:hint="eastAsia" w:ascii="Times New Roman" w:hAnsi="Times New Roman" w:eastAsia="方正楷体_GBK" w:cs="方正楷体_GBK"/>
          <w:sz w:val="32"/>
          <w:szCs w:val="32"/>
          <w:u w:val="none"/>
          <w:lang w:eastAsia="zh-CN"/>
        </w:rPr>
        <w:t>监测、评估和</w:t>
      </w:r>
      <w:r>
        <w:rPr>
          <w:rFonts w:hint="eastAsia" w:ascii="Times New Roman" w:hAnsi="Times New Roman" w:eastAsia="方正楷体_GBK" w:cs="方正楷体_GBK"/>
          <w:sz w:val="32"/>
          <w:szCs w:val="32"/>
          <w:u w:val="none"/>
        </w:rPr>
        <w:t>监管</w:t>
      </w:r>
      <w:r>
        <w:rPr>
          <w:rFonts w:hint="eastAsia" w:ascii="Times New Roman" w:hAnsi="Times New Roman" w:eastAsia="方正楷体_GBK" w:cs="方正楷体_GBK"/>
          <w:sz w:val="32"/>
          <w:szCs w:val="32"/>
          <w:u w:val="none"/>
          <w:lang w:eastAsia="zh-CN"/>
        </w:rPr>
        <w:t>。</w:t>
      </w:r>
      <w:r>
        <w:rPr>
          <w:rFonts w:hint="eastAsia" w:ascii="Times New Roman" w:hAnsi="Times New Roman" w:eastAsia="方正仿宋_GBK" w:cs="方正仿宋_GBK"/>
          <w:sz w:val="32"/>
          <w:szCs w:val="32"/>
          <w:u w:val="none"/>
          <w:lang w:eastAsia="zh-CN"/>
        </w:rPr>
        <w:t>各区县要做好监测、评估和监管工作。要结合门诊统筹政策的实施，及时准确调研，对早期工作中发现的新情况，要及时报告、及时解决，要及时纠正得不到保障和过度保障的问题。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方正仿宋_GBK"/>
          <w:sz w:val="32"/>
          <w:szCs w:val="32"/>
          <w:u w:val="none"/>
          <w:lang w:val="en-US" w:eastAsia="zh-CN"/>
        </w:rPr>
      </w:pPr>
      <w:r>
        <w:rPr>
          <w:rFonts w:hint="eastAsia" w:ascii="Times New Roman" w:hAnsi="Times New Roman" w:eastAsia="方正楷体_GBK" w:cs="方正楷体_GBK"/>
          <w:kern w:val="2"/>
          <w:sz w:val="32"/>
          <w:szCs w:val="32"/>
          <w:u w:val="none"/>
          <w:lang w:val="en-US" w:eastAsia="zh-CN" w:bidi="ar-SA"/>
        </w:rPr>
        <w:t>（三）加大“两病”药品集中带量采购和供应保障。</w:t>
      </w:r>
      <w:r>
        <w:rPr>
          <w:rFonts w:hint="eastAsia" w:ascii="Times New Roman" w:hAnsi="Times New Roman" w:eastAsia="方正仿宋_GBK" w:cs="方正仿宋_GBK"/>
          <w:sz w:val="32"/>
          <w:szCs w:val="32"/>
          <w:u w:val="none"/>
          <w:lang w:val="en-US" w:eastAsia="zh-CN"/>
        </w:rPr>
        <w:t>各区县要及时统计本区县“两病”药品需求信息，加大“两病”药品带量采购和使用执行力度。优先采购、使用国家和我市组织集中带量采购中选药品，确保采购“两病”药品配得齐、开得出、用得上。相关定点医疗机构和药店要备齐</w:t>
      </w:r>
      <w:r>
        <w:rPr>
          <w:rFonts w:hint="eastAsia" w:ascii="Times New Roman" w:hAnsi="Times New Roman" w:eastAsia="方正仿宋_GBK" w:cs="方正仿宋_GBK"/>
          <w:sz w:val="32"/>
          <w:szCs w:val="32"/>
          <w:u w:val="none"/>
          <w:lang w:eastAsia="zh-CN"/>
        </w:rPr>
        <w:t>集中带量采购</w:t>
      </w:r>
      <w:r>
        <w:rPr>
          <w:rFonts w:hint="eastAsia" w:ascii="Times New Roman" w:hAnsi="Times New Roman" w:eastAsia="方正仿宋_GBK" w:cs="方正仿宋_GBK"/>
          <w:sz w:val="32"/>
          <w:szCs w:val="32"/>
          <w:u w:val="none"/>
          <w:lang w:val="en-US" w:eastAsia="zh-CN"/>
        </w:rPr>
        <w:t>药品，各区县医保局要加强指导和协调。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方正仿宋_GBK"/>
          <w:sz w:val="32"/>
          <w:szCs w:val="32"/>
          <w:u w:val="none"/>
        </w:rPr>
      </w:pPr>
      <w:r>
        <w:rPr>
          <w:rFonts w:hint="eastAsia" w:ascii="Times New Roman" w:hAnsi="Times New Roman" w:eastAsia="方正楷体_GBK" w:cs="方正楷体_GBK"/>
          <w:sz w:val="32"/>
          <w:szCs w:val="32"/>
          <w:u w:val="none"/>
        </w:rPr>
        <w:t>（四）</w:t>
      </w:r>
      <w:r>
        <w:rPr>
          <w:rFonts w:hint="eastAsia" w:ascii="Times New Roman" w:hAnsi="Times New Roman" w:eastAsia="方正楷体_GBK" w:cs="方正楷体_GBK"/>
          <w:sz w:val="32"/>
          <w:szCs w:val="32"/>
          <w:u w:val="none"/>
          <w:lang w:eastAsia="zh-CN"/>
        </w:rPr>
        <w:t>加强部门配合</w:t>
      </w:r>
      <w:r>
        <w:rPr>
          <w:rFonts w:hint="eastAsia" w:ascii="Times New Roman" w:hAnsi="Times New Roman" w:eastAsia="方正楷体_GBK" w:cs="方正楷体_GBK"/>
          <w:sz w:val="32"/>
          <w:szCs w:val="32"/>
          <w:u w:val="none"/>
        </w:rPr>
        <w:t>。</w:t>
      </w:r>
      <w:r>
        <w:rPr>
          <w:rFonts w:hint="eastAsia" w:ascii="Times New Roman" w:hAnsi="Times New Roman" w:eastAsia="方正仿宋_GBK" w:cs="方正仿宋_GBK"/>
          <w:sz w:val="32"/>
          <w:szCs w:val="32"/>
          <w:u w:val="none"/>
          <w:lang w:eastAsia="zh-CN"/>
        </w:rPr>
        <w:t>医保部门</w:t>
      </w:r>
      <w:r>
        <w:rPr>
          <w:rFonts w:hint="eastAsia" w:ascii="Times New Roman" w:hAnsi="Times New Roman" w:eastAsia="方正仿宋_GBK" w:cs="方正仿宋_GBK"/>
          <w:sz w:val="32"/>
          <w:szCs w:val="32"/>
          <w:u w:val="none"/>
        </w:rPr>
        <w:t>要牵头深入调研，了解</w:t>
      </w:r>
      <w:r>
        <w:rPr>
          <w:rFonts w:hint="eastAsia" w:ascii="Times New Roman" w:hAnsi="Times New Roman" w:eastAsia="方正仿宋_GBK" w:cs="方正仿宋_GBK"/>
          <w:sz w:val="32"/>
          <w:szCs w:val="32"/>
          <w:u w:val="none"/>
          <w:lang w:eastAsia="zh-CN"/>
        </w:rPr>
        <w:t>“两病”</w:t>
      </w:r>
      <w:r>
        <w:rPr>
          <w:rFonts w:hint="eastAsia" w:ascii="Times New Roman" w:hAnsi="Times New Roman" w:eastAsia="方正仿宋_GBK" w:cs="方正仿宋_GBK"/>
          <w:sz w:val="32"/>
          <w:szCs w:val="32"/>
          <w:u w:val="none"/>
        </w:rPr>
        <w:t>患者实际保障需求，积极完善医保待遇政策，切实提高</w:t>
      </w:r>
      <w:r>
        <w:rPr>
          <w:rFonts w:hint="eastAsia" w:ascii="Times New Roman" w:hAnsi="Times New Roman" w:eastAsia="方正仿宋_GBK" w:cs="方正仿宋_GBK"/>
          <w:sz w:val="32"/>
          <w:szCs w:val="32"/>
          <w:u w:val="none"/>
          <w:lang w:eastAsia="zh-CN"/>
        </w:rPr>
        <w:t>“两病”</w:t>
      </w:r>
      <w:r>
        <w:rPr>
          <w:rFonts w:hint="eastAsia" w:ascii="Times New Roman" w:hAnsi="Times New Roman" w:eastAsia="方正仿宋_GBK" w:cs="方正仿宋_GBK"/>
          <w:sz w:val="32"/>
          <w:szCs w:val="32"/>
          <w:u w:val="none"/>
        </w:rPr>
        <w:t>患者保障水平，提高基金保障绩效。卫生健康</w:t>
      </w:r>
      <w:r>
        <w:rPr>
          <w:rFonts w:hint="eastAsia" w:ascii="Times New Roman" w:hAnsi="Times New Roman" w:eastAsia="方正仿宋_GBK" w:cs="方正仿宋_GBK"/>
          <w:sz w:val="32"/>
          <w:szCs w:val="32"/>
          <w:u w:val="none"/>
          <w:lang w:eastAsia="zh-CN"/>
        </w:rPr>
        <w:t>行政</w:t>
      </w:r>
      <w:r>
        <w:rPr>
          <w:rFonts w:hint="eastAsia" w:ascii="Times New Roman" w:hAnsi="Times New Roman" w:eastAsia="方正仿宋_GBK" w:cs="方正仿宋_GBK"/>
          <w:sz w:val="32"/>
          <w:szCs w:val="32"/>
          <w:u w:val="none"/>
        </w:rPr>
        <w:t>部门要督促和指导基层医疗卫生机构做好</w:t>
      </w:r>
      <w:r>
        <w:rPr>
          <w:rFonts w:hint="eastAsia" w:ascii="Times New Roman" w:hAnsi="Times New Roman" w:eastAsia="方正仿宋_GBK" w:cs="方正仿宋_GBK"/>
          <w:sz w:val="32"/>
          <w:szCs w:val="32"/>
          <w:u w:val="none"/>
          <w:lang w:eastAsia="zh-CN"/>
        </w:rPr>
        <w:t>“两病”</w:t>
      </w:r>
      <w:r>
        <w:rPr>
          <w:rFonts w:hint="eastAsia" w:ascii="Times New Roman" w:hAnsi="Times New Roman" w:eastAsia="方正仿宋_GBK" w:cs="方正仿宋_GBK"/>
          <w:sz w:val="32"/>
          <w:szCs w:val="32"/>
          <w:u w:val="none"/>
        </w:rPr>
        <w:t>患者的基本医疗服务和健康管理工作，</w:t>
      </w:r>
      <w:r>
        <w:rPr>
          <w:rFonts w:hint="eastAsia" w:ascii="Times New Roman" w:hAnsi="Times New Roman" w:eastAsia="方正仿宋_GBK" w:cs="方正仿宋_GBK"/>
          <w:sz w:val="32"/>
          <w:szCs w:val="32"/>
          <w:u w:val="none"/>
          <w:lang w:eastAsia="zh-CN"/>
        </w:rPr>
        <w:t>加强“两病”</w:t>
      </w:r>
      <w:r>
        <w:rPr>
          <w:rFonts w:hint="eastAsia" w:ascii="Times New Roman" w:hAnsi="Times New Roman" w:eastAsia="方正仿宋_GBK" w:cs="方正仿宋_GBK"/>
          <w:sz w:val="32"/>
          <w:szCs w:val="32"/>
          <w:u w:val="none"/>
        </w:rPr>
        <w:t>用药保障</w:t>
      </w:r>
      <w:r>
        <w:rPr>
          <w:rFonts w:hint="eastAsia" w:ascii="Times New Roman" w:hAnsi="Times New Roman" w:eastAsia="方正仿宋_GBK" w:cs="方正仿宋_GBK"/>
          <w:sz w:val="32"/>
          <w:szCs w:val="32"/>
          <w:u w:val="none"/>
          <w:lang w:eastAsia="zh-CN"/>
        </w:rPr>
        <w:t>患者</w:t>
      </w:r>
      <w:r>
        <w:rPr>
          <w:rFonts w:hint="eastAsia" w:ascii="Times New Roman" w:hAnsi="Times New Roman" w:eastAsia="方正仿宋_GBK" w:cs="方正仿宋_GBK"/>
          <w:sz w:val="32"/>
          <w:szCs w:val="32"/>
          <w:u w:val="none"/>
        </w:rPr>
        <w:t>健康</w:t>
      </w:r>
      <w:r>
        <w:rPr>
          <w:rFonts w:hint="eastAsia" w:ascii="Times New Roman" w:hAnsi="Times New Roman" w:eastAsia="方正仿宋_GBK" w:cs="方正仿宋_GBK"/>
          <w:sz w:val="32"/>
          <w:szCs w:val="32"/>
          <w:u w:val="none"/>
          <w:lang w:eastAsia="zh-CN"/>
        </w:rPr>
        <w:t>管理</w:t>
      </w:r>
      <w:r>
        <w:rPr>
          <w:rFonts w:hint="eastAsia" w:ascii="Times New Roman" w:hAnsi="Times New Roman" w:eastAsia="方正仿宋_GBK" w:cs="方正仿宋_GBK"/>
          <w:sz w:val="32"/>
          <w:szCs w:val="32"/>
          <w:u w:val="none"/>
        </w:rPr>
        <w:t>绩效评价。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方正仿宋_GBK"/>
          <w:sz w:val="32"/>
          <w:szCs w:val="32"/>
          <w:u w:val="none"/>
          <w:lang w:val="en-US" w:eastAsia="zh-CN"/>
        </w:rPr>
      </w:pPr>
      <w:r>
        <w:rPr>
          <w:rFonts w:hint="eastAsia" w:ascii="Times New Roman" w:hAnsi="Times New Roman" w:eastAsia="方正楷体_GBK" w:cs="方正楷体_GBK"/>
          <w:kern w:val="2"/>
          <w:sz w:val="32"/>
          <w:szCs w:val="32"/>
          <w:u w:val="none"/>
          <w:lang w:val="en-US" w:eastAsia="zh-CN" w:bidi="ar-SA"/>
        </w:rPr>
        <w:t>（五）加大督导力度。</w:t>
      </w:r>
      <w:r>
        <w:rPr>
          <w:rFonts w:hint="eastAsia" w:ascii="Times New Roman" w:hAnsi="Times New Roman" w:eastAsia="方正仿宋_GBK" w:cs="方正仿宋_GBK"/>
          <w:sz w:val="32"/>
          <w:szCs w:val="32"/>
          <w:u w:val="none"/>
          <w:lang w:val="en-US" w:eastAsia="zh-CN"/>
        </w:rPr>
        <w:t>区县医保部门要紧紧依靠当地党委和政府的领导和统筹，将责任压力层层传导。市医保局将对工作不力、成效较差的区县公开通报。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方正仿宋_GBK"/>
          <w:sz w:val="32"/>
          <w:szCs w:val="32"/>
          <w:u w:val="none"/>
        </w:rPr>
      </w:pPr>
      <w:r>
        <w:rPr>
          <w:rFonts w:hint="eastAsia" w:ascii="Times New Roman" w:hAnsi="Times New Roman" w:eastAsia="方正仿宋_GBK" w:cs="方正仿宋_GBK"/>
          <w:sz w:val="32"/>
          <w:szCs w:val="32"/>
          <w:u w:val="none"/>
        </w:rPr>
        <w:t>本</w:t>
      </w:r>
      <w:r>
        <w:rPr>
          <w:rFonts w:hint="eastAsia" w:ascii="Times New Roman" w:hAnsi="Times New Roman" w:eastAsia="方正仿宋_GBK" w:cs="方正仿宋_GBK"/>
          <w:sz w:val="32"/>
          <w:szCs w:val="32"/>
          <w:u w:val="none"/>
          <w:lang w:eastAsia="zh-CN"/>
        </w:rPr>
        <w:t>通</w:t>
      </w:r>
      <w:r>
        <w:rPr>
          <w:rFonts w:hint="eastAsia" w:ascii="Times New Roman" w:hAnsi="Times New Roman" w:eastAsia="方正仿宋_GBK" w:cs="方正仿宋_GBK"/>
          <w:sz w:val="32"/>
          <w:szCs w:val="32"/>
          <w:u w:val="none"/>
          <w:lang w:val="en-US" w:eastAsia="zh-CN"/>
        </w:rPr>
        <w:t>知从发文之日起</w:t>
      </w:r>
      <w:r>
        <w:rPr>
          <w:rFonts w:hint="eastAsia" w:ascii="Times New Roman" w:hAnsi="Times New Roman" w:eastAsia="方正仿宋_GBK" w:cs="方正仿宋_GBK"/>
          <w:sz w:val="32"/>
          <w:szCs w:val="32"/>
          <w:u w:val="none"/>
        </w:rPr>
        <w:t>执行。过去有关政策与本</w:t>
      </w:r>
      <w:r>
        <w:rPr>
          <w:rFonts w:hint="eastAsia" w:ascii="Times New Roman" w:hAnsi="Times New Roman" w:eastAsia="方正仿宋_GBK" w:cs="方正仿宋_GBK"/>
          <w:sz w:val="32"/>
          <w:szCs w:val="32"/>
          <w:u w:val="none"/>
          <w:lang w:eastAsia="zh-CN"/>
        </w:rPr>
        <w:t>通知</w:t>
      </w:r>
      <w:r>
        <w:rPr>
          <w:rFonts w:hint="eastAsia" w:ascii="Times New Roman" w:hAnsi="Times New Roman" w:eastAsia="方正仿宋_GBK" w:cs="方正仿宋_GBK"/>
          <w:sz w:val="32"/>
          <w:szCs w:val="32"/>
          <w:u w:val="none"/>
        </w:rPr>
        <w:t>规定不一致的，按本</w:t>
      </w:r>
      <w:r>
        <w:rPr>
          <w:rFonts w:hint="eastAsia" w:ascii="Times New Roman" w:hAnsi="Times New Roman" w:eastAsia="方正仿宋_GBK" w:cs="方正仿宋_GBK"/>
          <w:sz w:val="32"/>
          <w:szCs w:val="32"/>
          <w:u w:val="none"/>
          <w:lang w:eastAsia="zh-CN"/>
        </w:rPr>
        <w:t>通知</w:t>
      </w:r>
      <w:r>
        <w:rPr>
          <w:rFonts w:hint="eastAsia" w:ascii="Times New Roman" w:hAnsi="Times New Roman" w:eastAsia="方正仿宋_GBK" w:cs="方正仿宋_GBK"/>
          <w:sz w:val="32"/>
          <w:szCs w:val="32"/>
          <w:u w:val="none"/>
        </w:rPr>
        <w:t>规定执行。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outlineLvl w:val="9"/>
        <w:rPr>
          <w:rFonts w:hint="eastAsia" w:ascii="Times New Roman" w:hAnsi="Times New Roman" w:eastAsia="方正仿宋_GBK" w:cs="Times New Roman"/>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方正仿宋_GBK"/>
          <w:sz w:val="32"/>
          <w:szCs w:val="32"/>
          <w:u w:val="none"/>
          <w:lang w:val="en-US" w:eastAsia="zh-CN"/>
        </w:rPr>
      </w:pPr>
      <w:r>
        <w:rPr>
          <w:rFonts w:hint="eastAsia" w:ascii="Times New Roman" w:hAnsi="Times New Roman" w:eastAsia="方正仿宋_GBK" w:cs="Times New Roman"/>
          <w:sz w:val="32"/>
          <w:szCs w:val="32"/>
          <w:u w:val="none"/>
          <w:lang w:eastAsia="zh-CN"/>
        </w:rPr>
        <w:t>附件：</w:t>
      </w:r>
      <w:r>
        <w:rPr>
          <w:rFonts w:hint="eastAsia" w:ascii="Times New Roman" w:hAnsi="Times New Roman" w:eastAsia="方正仿宋_GBK" w:cs="Times New Roman"/>
          <w:sz w:val="32"/>
          <w:szCs w:val="32"/>
          <w:u w:val="none"/>
          <w:lang w:val="en-US" w:eastAsia="zh-CN"/>
        </w:rPr>
        <w:t>1．</w:t>
      </w:r>
      <w:r>
        <w:rPr>
          <w:rFonts w:hint="eastAsia" w:ascii="Times New Roman" w:hAnsi="Times New Roman" w:eastAsia="方正仿宋_GBK" w:cs="方正仿宋_GBK"/>
          <w:sz w:val="32"/>
          <w:szCs w:val="32"/>
          <w:u w:val="none"/>
          <w:lang w:val="en-US" w:eastAsia="zh-CN"/>
        </w:rPr>
        <w:t>国家组织药品集中采购和使用中选“两病”药品</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default" w:ascii="Times New Roman" w:hAnsi="Times New Roman" w:eastAsia="方正仿宋_GBK" w:cs="方正仿宋_GBK"/>
          <w:sz w:val="32"/>
          <w:szCs w:val="32"/>
          <w:u w:val="none"/>
          <w:lang w:val="en-US" w:eastAsia="zh-CN"/>
        </w:rPr>
      </w:pPr>
      <w:r>
        <w:rPr>
          <w:rFonts w:hint="eastAsia" w:ascii="Times New Roman" w:hAnsi="Times New Roman" w:eastAsia="方正仿宋_GBK" w:cs="方正仿宋_GBK"/>
          <w:sz w:val="32"/>
          <w:szCs w:val="32"/>
          <w:u w:val="none"/>
          <w:lang w:val="en-US" w:eastAsia="zh-CN"/>
        </w:rPr>
        <w:t>2．重庆市“两病”按人头付费登记表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outlineLvl w:val="9"/>
        <w:rPr>
          <w:rFonts w:hint="eastAsia" w:ascii="Times New Roman" w:hAnsi="Times New Roman" w:eastAsia="方正仿宋_GBK" w:cs="Times New Roman"/>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outlineLvl w:val="9"/>
        <w:rPr>
          <w:rFonts w:hint="eastAsia" w:ascii="Times New Roman" w:hAnsi="Times New Roman" w:eastAsia="方正仿宋_GBK" w:cs="Times New Roman"/>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outlineLvl w:val="9"/>
        <w:rPr>
          <w:rFonts w:hint="eastAsia" w:ascii="Times New Roman" w:hAnsi="Times New Roman" w:eastAsia="方正仿宋_GBK" w:cs="Times New Roman"/>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outlineLvl w:val="9"/>
        <w:rPr>
          <w:rFonts w:hint="eastAsia" w:ascii="Times New Roman" w:hAnsi="Times New Roman" w:eastAsia="方正仿宋_GBK" w:cs="Times New Roman"/>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textAlignment w:val="auto"/>
        <w:outlineLvl w:val="9"/>
        <w:rPr>
          <w:rFonts w:hint="eastAsia" w:ascii="Times New Roman" w:hAnsi="Times New Roman" w:eastAsia="方正仿宋_GBK" w:cs="Times New Roman"/>
          <w:sz w:val="32"/>
          <w:szCs w:val="32"/>
          <w:u w:val="none"/>
          <w:lang w:eastAsia="zh-CN"/>
        </w:rPr>
      </w:pPr>
      <w:r>
        <w:rPr>
          <w:rFonts w:hint="eastAsia" w:ascii="Times New Roman" w:hAnsi="Times New Roman" w:eastAsia="方正仿宋_GBK" w:cs="Times New Roman"/>
          <w:sz w:val="32"/>
          <w:szCs w:val="32"/>
          <w:u w:val="none"/>
        </w:rPr>
        <w:t>重庆市医疗保障局</w:t>
      </w:r>
      <w:r>
        <w:rPr>
          <w:rFonts w:hint="eastAsia" w:ascii="Times New Roman" w:hAnsi="Times New Roman" w:eastAsia="方正仿宋_GBK" w:cs="Times New Roman"/>
          <w:sz w:val="32"/>
          <w:szCs w:val="32"/>
          <w:u w:val="none"/>
          <w:lang w:val="en-US" w:eastAsia="zh-CN"/>
        </w:rPr>
        <w:t xml:space="preserve">           </w:t>
      </w:r>
      <w:r>
        <w:rPr>
          <w:rFonts w:hint="eastAsia" w:ascii="Times New Roman" w:hAnsi="Times New Roman" w:eastAsia="方正仿宋_GBK" w:cs="Times New Roman"/>
          <w:sz w:val="32"/>
          <w:szCs w:val="32"/>
          <w:u w:val="none"/>
        </w:rPr>
        <w:t>重庆市卫生健康委员会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1"/>
        <w:jc w:val="center"/>
        <w:textAlignment w:val="auto"/>
        <w:outlineLvl w:val="9"/>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　　　　　　　　　　　</w:t>
      </w:r>
      <w:r>
        <w:rPr>
          <w:rFonts w:hint="eastAsia" w:eastAsia="方正仿宋_GBK" w:cs="Times New Roman"/>
          <w:sz w:val="32"/>
          <w:szCs w:val="32"/>
          <w:u w:val="none"/>
          <w:lang w:val="en-US" w:eastAsia="zh-CN"/>
        </w:rPr>
        <w:t xml:space="preserve"> </w:t>
      </w:r>
      <w:r>
        <w:rPr>
          <w:rFonts w:hint="eastAsia" w:ascii="Times New Roman" w:hAnsi="Times New Roman" w:eastAsia="方正仿宋_GBK" w:cs="Times New Roman"/>
          <w:sz w:val="32"/>
          <w:szCs w:val="32"/>
          <w:u w:val="none"/>
          <w:lang w:val="en-US" w:eastAsia="zh-CN"/>
        </w:rPr>
        <w:t>2021年3月9日</w:t>
      </w:r>
    </w:p>
    <w:p>
      <w:pPr>
        <w:keepNext w:val="0"/>
        <w:keepLines w:val="0"/>
        <w:pageBreakBefore w:val="0"/>
        <w:widowControl w:val="0"/>
        <w:tabs>
          <w:tab w:val="left" w:pos="4740"/>
        </w:tabs>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eastAsia="方正仿宋_GBK"/>
          <w:sz w:val="32"/>
          <w:szCs w:val="32"/>
        </w:rPr>
      </w:pPr>
      <w:r>
        <w:rPr>
          <w:rFonts w:hint="eastAsia" w:ascii="方正仿宋_GBK" w:eastAsia="方正仿宋_GBK"/>
          <w:sz w:val="32"/>
          <w:szCs w:val="32"/>
        </w:rPr>
        <w:t>（此件公开</w:t>
      </w:r>
      <w:r>
        <w:rPr>
          <w:rFonts w:hint="eastAsia" w:ascii="方正仿宋_GBK" w:eastAsia="方正仿宋_GBK"/>
          <w:sz w:val="32"/>
          <w:szCs w:val="32"/>
          <w:lang w:eastAsia="zh-CN"/>
        </w:rPr>
        <w:t>发布</w:t>
      </w:r>
      <w:r>
        <w:rPr>
          <w:rFonts w:hint="eastAsia"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lang w:val="en-US" w:eastAsia="zh-CN"/>
        </w:rPr>
      </w:pPr>
      <w:r>
        <w:rPr>
          <w:rFonts w:hint="eastAsia" w:ascii="Times New Roman" w:hAnsi="Times New Roman" w:eastAsia="方正黑体_GBK" w:cs="方正黑体_GBK"/>
          <w:sz w:val="32"/>
          <w:lang w:eastAsia="zh-CN"/>
        </w:rPr>
        <w:t>附件</w:t>
      </w:r>
      <w:r>
        <w:rPr>
          <w:rFonts w:hint="eastAsia" w:ascii="Times New Roman" w:hAnsi="Times New Roman" w:eastAsia="方正黑体_GBK" w:cs="方正黑体_GBK"/>
          <w:sz w:val="32"/>
          <w:lang w:val="en-US" w:eastAsia="zh-CN"/>
        </w:rPr>
        <w:t>1</w:t>
      </w:r>
    </w:p>
    <w:tbl>
      <w:tblPr>
        <w:tblStyle w:val="12"/>
        <w:tblW w:w="9629" w:type="dxa"/>
        <w:jc w:val="center"/>
        <w:tblLayout w:type="fixed"/>
        <w:tblCellMar>
          <w:top w:w="0" w:type="dxa"/>
          <w:left w:w="108" w:type="dxa"/>
          <w:bottom w:w="0" w:type="dxa"/>
          <w:right w:w="108" w:type="dxa"/>
        </w:tblCellMar>
      </w:tblPr>
      <w:tblGrid>
        <w:gridCol w:w="920"/>
        <w:gridCol w:w="1839"/>
        <w:gridCol w:w="927"/>
        <w:gridCol w:w="2320"/>
        <w:gridCol w:w="715"/>
        <w:gridCol w:w="2908"/>
      </w:tblGrid>
      <w:tr>
        <w:tblPrEx>
          <w:tblCellMar>
            <w:top w:w="0" w:type="dxa"/>
            <w:left w:w="108" w:type="dxa"/>
            <w:bottom w:w="0" w:type="dxa"/>
            <w:right w:w="108" w:type="dxa"/>
          </w:tblCellMar>
        </w:tblPrEx>
        <w:trPr>
          <w:trHeight w:val="1248" w:hRule="atLeast"/>
          <w:jc w:val="center"/>
        </w:trPr>
        <w:tc>
          <w:tcPr>
            <w:tcW w:w="9629" w:type="dxa"/>
            <w:gridSpan w:val="6"/>
            <w:tcBorders>
              <w:top w:val="nil"/>
              <w:left w:val="nil"/>
              <w:bottom w:val="single" w:color="auto" w:sz="8" w:space="0"/>
              <w:right w:val="nil"/>
            </w:tcBorders>
            <w:shd w:val="clear" w:color="auto" w:fill="auto"/>
            <w:vAlign w:val="center"/>
          </w:tcPr>
          <w:p>
            <w:pPr>
              <w:adjustRightInd/>
              <w:snapToGrid/>
              <w:spacing w:after="0"/>
              <w:jc w:val="center"/>
              <w:rPr>
                <w:rFonts w:ascii="Times New Roman" w:hAnsi="Times New Roman" w:eastAsia="方正黑体_GBK" w:cs="Times New Roman"/>
                <w:b/>
                <w:bCs/>
                <w:color w:val="000000"/>
                <w:sz w:val="40"/>
                <w:szCs w:val="40"/>
              </w:rPr>
            </w:pPr>
            <w:r>
              <w:rPr>
                <w:rFonts w:hint="eastAsia" w:ascii="方正小标宋_GBK" w:hAnsi="方正小标宋_GBK" w:eastAsia="方正小标宋_GBK" w:cs="方正小标宋_GBK"/>
                <w:b w:val="0"/>
                <w:bCs w:val="0"/>
                <w:color w:val="000000"/>
                <w:sz w:val="44"/>
                <w:szCs w:val="44"/>
              </w:rPr>
              <w:t>国家组织药品集中采购和使用中选“两病”药品</w:t>
            </w:r>
          </w:p>
        </w:tc>
      </w:tr>
      <w:tr>
        <w:tblPrEx>
          <w:tblCellMar>
            <w:top w:w="0" w:type="dxa"/>
            <w:left w:w="108" w:type="dxa"/>
            <w:bottom w:w="0" w:type="dxa"/>
            <w:right w:w="108" w:type="dxa"/>
          </w:tblCellMar>
        </w:tblPrEx>
        <w:trPr>
          <w:trHeight w:val="594" w:hRule="atLeast"/>
          <w:jc w:val="center"/>
        </w:trPr>
        <w:tc>
          <w:tcPr>
            <w:tcW w:w="920" w:type="dxa"/>
            <w:tcBorders>
              <w:top w:val="nil"/>
              <w:left w:val="single" w:color="auto" w:sz="8" w:space="0"/>
              <w:bottom w:val="single" w:color="auto" w:sz="8" w:space="0"/>
              <w:right w:val="single" w:color="auto" w:sz="8" w:space="0"/>
            </w:tcBorders>
            <w:shd w:val="clear" w:color="000000" w:fill="BFBFBF"/>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方正黑体_GBK" w:cs="Times New Roman"/>
                <w:b w:val="0"/>
                <w:bCs w:val="0"/>
                <w:color w:val="000000"/>
                <w:sz w:val="20"/>
                <w:szCs w:val="20"/>
              </w:rPr>
            </w:pPr>
            <w:r>
              <w:rPr>
                <w:rFonts w:ascii="Times New Roman" w:hAnsi="Times New Roman" w:eastAsia="方正黑体_GBK" w:cs="Times New Roman"/>
                <w:b w:val="0"/>
                <w:bCs w:val="0"/>
                <w:color w:val="000000"/>
                <w:sz w:val="20"/>
                <w:szCs w:val="20"/>
              </w:rPr>
              <w:t>序号</w:t>
            </w:r>
          </w:p>
        </w:tc>
        <w:tc>
          <w:tcPr>
            <w:tcW w:w="1839" w:type="dxa"/>
            <w:tcBorders>
              <w:top w:val="nil"/>
              <w:left w:val="nil"/>
              <w:bottom w:val="single" w:color="auto" w:sz="8" w:space="0"/>
              <w:right w:val="single" w:color="auto" w:sz="8" w:space="0"/>
            </w:tcBorders>
            <w:shd w:val="clear" w:color="000000" w:fill="BFBFBF"/>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方正黑体_GBK" w:cs="Times New Roman"/>
                <w:b w:val="0"/>
                <w:bCs w:val="0"/>
                <w:color w:val="000000"/>
                <w:sz w:val="20"/>
                <w:szCs w:val="20"/>
              </w:rPr>
            </w:pPr>
            <w:r>
              <w:rPr>
                <w:rFonts w:ascii="Times New Roman" w:hAnsi="Times New Roman" w:eastAsia="方正黑体_GBK" w:cs="Times New Roman"/>
                <w:b w:val="0"/>
                <w:bCs w:val="0"/>
                <w:color w:val="000000"/>
                <w:sz w:val="20"/>
                <w:szCs w:val="20"/>
              </w:rPr>
              <w:t>药品通用名</w:t>
            </w:r>
          </w:p>
        </w:tc>
        <w:tc>
          <w:tcPr>
            <w:tcW w:w="927" w:type="dxa"/>
            <w:tcBorders>
              <w:top w:val="nil"/>
              <w:left w:val="nil"/>
              <w:bottom w:val="single" w:color="auto" w:sz="8" w:space="0"/>
              <w:right w:val="single" w:color="auto" w:sz="8" w:space="0"/>
            </w:tcBorders>
            <w:shd w:val="clear" w:color="000000" w:fill="BFBFBF"/>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方正黑体_GBK" w:cs="Times New Roman"/>
                <w:b w:val="0"/>
                <w:bCs w:val="0"/>
                <w:color w:val="000000"/>
                <w:sz w:val="20"/>
                <w:szCs w:val="20"/>
              </w:rPr>
            </w:pPr>
            <w:r>
              <w:rPr>
                <w:rFonts w:ascii="Times New Roman" w:hAnsi="Times New Roman" w:eastAsia="方正黑体_GBK" w:cs="Times New Roman"/>
                <w:b w:val="0"/>
                <w:bCs w:val="0"/>
                <w:color w:val="000000"/>
                <w:sz w:val="20"/>
                <w:szCs w:val="20"/>
              </w:rPr>
              <w:t>剂型</w:t>
            </w:r>
          </w:p>
        </w:tc>
        <w:tc>
          <w:tcPr>
            <w:tcW w:w="2320" w:type="dxa"/>
            <w:tcBorders>
              <w:top w:val="nil"/>
              <w:left w:val="nil"/>
              <w:bottom w:val="single" w:color="auto" w:sz="8" w:space="0"/>
              <w:right w:val="single" w:color="auto" w:sz="8" w:space="0"/>
            </w:tcBorders>
            <w:shd w:val="clear" w:color="000000" w:fill="BFBFBF"/>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方正黑体_GBK" w:cs="Times New Roman"/>
                <w:b w:val="0"/>
                <w:bCs w:val="0"/>
                <w:color w:val="000000"/>
                <w:sz w:val="20"/>
                <w:szCs w:val="20"/>
              </w:rPr>
            </w:pPr>
            <w:r>
              <w:rPr>
                <w:rFonts w:ascii="Times New Roman" w:hAnsi="Times New Roman" w:eastAsia="方正黑体_GBK" w:cs="Times New Roman"/>
                <w:b w:val="0"/>
                <w:bCs w:val="0"/>
                <w:color w:val="000000"/>
                <w:sz w:val="20"/>
                <w:szCs w:val="20"/>
              </w:rPr>
              <w:t>规格包装</w:t>
            </w:r>
          </w:p>
        </w:tc>
        <w:tc>
          <w:tcPr>
            <w:tcW w:w="715" w:type="dxa"/>
            <w:tcBorders>
              <w:top w:val="nil"/>
              <w:left w:val="nil"/>
              <w:bottom w:val="single" w:color="auto" w:sz="8" w:space="0"/>
              <w:right w:val="single" w:color="auto" w:sz="8" w:space="0"/>
            </w:tcBorders>
            <w:shd w:val="clear" w:color="000000" w:fill="BFBFBF"/>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方正黑体_GBK" w:cs="Times New Roman"/>
                <w:b w:val="0"/>
                <w:bCs w:val="0"/>
                <w:color w:val="000000"/>
                <w:sz w:val="20"/>
                <w:szCs w:val="20"/>
              </w:rPr>
            </w:pPr>
            <w:r>
              <w:rPr>
                <w:rFonts w:ascii="Times New Roman" w:hAnsi="Times New Roman" w:eastAsia="方正黑体_GBK" w:cs="Times New Roman"/>
                <w:b w:val="0"/>
                <w:bCs w:val="0"/>
                <w:color w:val="000000"/>
                <w:sz w:val="20"/>
                <w:szCs w:val="20"/>
              </w:rPr>
              <w:t>计价单位</w:t>
            </w:r>
          </w:p>
        </w:tc>
        <w:tc>
          <w:tcPr>
            <w:tcW w:w="2908" w:type="dxa"/>
            <w:tcBorders>
              <w:top w:val="nil"/>
              <w:left w:val="nil"/>
              <w:bottom w:val="single" w:color="auto" w:sz="8" w:space="0"/>
              <w:right w:val="single" w:color="auto" w:sz="8" w:space="0"/>
            </w:tcBorders>
            <w:shd w:val="clear" w:color="000000" w:fill="BFBFBF"/>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方正黑体_GBK" w:cs="Times New Roman"/>
                <w:b w:val="0"/>
                <w:bCs w:val="0"/>
                <w:color w:val="000000"/>
                <w:sz w:val="20"/>
                <w:szCs w:val="20"/>
              </w:rPr>
            </w:pPr>
            <w:r>
              <w:rPr>
                <w:rFonts w:ascii="Times New Roman" w:hAnsi="Times New Roman" w:eastAsia="方正黑体_GBK" w:cs="Times New Roman"/>
                <w:b w:val="0"/>
                <w:bCs w:val="0"/>
                <w:color w:val="000000"/>
                <w:sz w:val="20"/>
                <w:szCs w:val="20"/>
              </w:rPr>
              <w:t>生产企业</w:t>
            </w:r>
          </w:p>
        </w:tc>
      </w:tr>
      <w:tr>
        <w:tblPrEx>
          <w:tblCellMar>
            <w:top w:w="0" w:type="dxa"/>
            <w:left w:w="108" w:type="dxa"/>
            <w:bottom w:w="0" w:type="dxa"/>
            <w:right w:w="108" w:type="dxa"/>
          </w:tblCellMar>
        </w:tblPrEx>
        <w:trPr>
          <w:trHeight w:val="495"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1</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厄贝沙坦片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75mg*28</w:t>
            </w:r>
            <w:r>
              <w:rPr>
                <w:rFonts w:ascii="Times New Roman" w:hAnsi="Times New Roman" w:eastAsia="宋体" w:cs="Times New Roman"/>
                <w:color w:val="000000"/>
                <w:sz w:val="18"/>
                <w:szCs w:val="18"/>
              </w:rPr>
              <w:t>片，双铝箔包装</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浙江华海药业股份有限公司</w:t>
            </w:r>
          </w:p>
        </w:tc>
      </w:tr>
      <w:tr>
        <w:tblPrEx>
          <w:tblCellMar>
            <w:top w:w="0" w:type="dxa"/>
            <w:left w:w="108" w:type="dxa"/>
            <w:bottom w:w="0" w:type="dxa"/>
            <w:right w:w="108" w:type="dxa"/>
          </w:tblCellMar>
        </w:tblPrEx>
        <w:trPr>
          <w:trHeight w:val="495"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2</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厄贝沙坦片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75mg*60</w:t>
            </w:r>
            <w:r>
              <w:rPr>
                <w:rFonts w:ascii="Times New Roman" w:hAnsi="Times New Roman" w:eastAsia="宋体" w:cs="Times New Roman"/>
                <w:color w:val="000000"/>
                <w:sz w:val="18"/>
                <w:szCs w:val="18"/>
              </w:rPr>
              <w:t>片，双铝箔包装</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浙江华海药业股份有限公司</w:t>
            </w:r>
          </w:p>
        </w:tc>
      </w:tr>
      <w:tr>
        <w:tblPrEx>
          <w:tblCellMar>
            <w:top w:w="0" w:type="dxa"/>
            <w:left w:w="108" w:type="dxa"/>
            <w:bottom w:w="0" w:type="dxa"/>
            <w:right w:w="108" w:type="dxa"/>
          </w:tblCellMar>
        </w:tblPrEx>
        <w:trPr>
          <w:trHeight w:val="795"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3</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厄贝沙坦片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75mg*28</w:t>
            </w:r>
            <w:r>
              <w:rPr>
                <w:rFonts w:ascii="Times New Roman" w:hAnsi="Times New Roman" w:eastAsia="宋体" w:cs="Times New Roman"/>
                <w:color w:val="000000"/>
                <w:sz w:val="18"/>
                <w:szCs w:val="18"/>
              </w:rPr>
              <w:t>片，塑瓶包装</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瓶</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浙江华海药业股份有限公司</w:t>
            </w:r>
          </w:p>
        </w:tc>
      </w:tr>
      <w:tr>
        <w:tblPrEx>
          <w:tblCellMar>
            <w:top w:w="0" w:type="dxa"/>
            <w:left w:w="108" w:type="dxa"/>
            <w:bottom w:w="0" w:type="dxa"/>
            <w:right w:w="108" w:type="dxa"/>
          </w:tblCellMar>
        </w:tblPrEx>
        <w:trPr>
          <w:trHeight w:val="795"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4</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厄贝沙坦片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75mg*42</w:t>
            </w:r>
            <w:r>
              <w:rPr>
                <w:rFonts w:ascii="Times New Roman" w:hAnsi="Times New Roman" w:eastAsia="宋体" w:cs="Times New Roman"/>
                <w:color w:val="000000"/>
                <w:sz w:val="18"/>
                <w:szCs w:val="18"/>
              </w:rPr>
              <w:t>片，双铝箔包装</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浙江华海药业股份有限公司</w:t>
            </w:r>
          </w:p>
        </w:tc>
      </w:tr>
      <w:tr>
        <w:tblPrEx>
          <w:tblCellMar>
            <w:top w:w="0" w:type="dxa"/>
            <w:left w:w="108" w:type="dxa"/>
            <w:bottom w:w="0" w:type="dxa"/>
            <w:right w:w="108" w:type="dxa"/>
          </w:tblCellMar>
        </w:tblPrEx>
        <w:trPr>
          <w:trHeight w:val="495"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5</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苯磺酸氨氯地平片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5mg*28</w:t>
            </w:r>
            <w:r>
              <w:rPr>
                <w:rFonts w:ascii="Times New Roman" w:hAnsi="Times New Roman" w:eastAsia="宋体" w:cs="Times New Roman"/>
                <w:color w:val="000000"/>
                <w:sz w:val="18"/>
                <w:szCs w:val="18"/>
              </w:rPr>
              <w:t>片，聚氯乙烯固体药用硬片和药用铝箔</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浙江京新药业股份有限公司</w:t>
            </w:r>
          </w:p>
        </w:tc>
      </w:tr>
      <w:tr>
        <w:tblPrEx>
          <w:tblCellMar>
            <w:top w:w="0" w:type="dxa"/>
            <w:left w:w="108" w:type="dxa"/>
            <w:bottom w:w="0" w:type="dxa"/>
            <w:right w:w="108" w:type="dxa"/>
          </w:tblCellMar>
        </w:tblPrEx>
        <w:trPr>
          <w:trHeight w:val="495"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6</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福辛普利钠片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10mg*14</w:t>
            </w:r>
            <w:r>
              <w:rPr>
                <w:rFonts w:ascii="Times New Roman" w:hAnsi="Times New Roman" w:eastAsia="宋体" w:cs="Times New Roman"/>
                <w:color w:val="000000"/>
                <w:sz w:val="18"/>
                <w:szCs w:val="18"/>
              </w:rPr>
              <w:t>片，铝箔包装</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中美上海施贵宝制药有限公司</w:t>
            </w:r>
          </w:p>
        </w:tc>
      </w:tr>
      <w:tr>
        <w:tblPrEx>
          <w:tblCellMar>
            <w:top w:w="0" w:type="dxa"/>
            <w:left w:w="108" w:type="dxa"/>
            <w:bottom w:w="0" w:type="dxa"/>
            <w:right w:w="108" w:type="dxa"/>
          </w:tblCellMar>
        </w:tblPrEx>
        <w:trPr>
          <w:trHeight w:val="495"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7</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厄贝沙坦氢氯噻嗪片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w:t>
            </w:r>
            <w:r>
              <w:rPr>
                <w:rFonts w:ascii="Times New Roman" w:hAnsi="Times New Roman" w:eastAsia="宋体" w:cs="Times New Roman"/>
                <w:color w:val="000000"/>
                <w:sz w:val="18"/>
                <w:szCs w:val="18"/>
              </w:rPr>
              <w:t>150mg/12</w:t>
            </w:r>
            <w:r>
              <w:rPr>
                <w:rFonts w:hint="eastAsia" w:ascii="Times New Roman" w:hAnsi="Times New Roman" w:eastAsia="宋体" w:cs="Times New Roman"/>
                <w:color w:val="000000"/>
                <w:sz w:val="18"/>
                <w:szCs w:val="18"/>
                <w:lang w:eastAsia="zh-CN"/>
              </w:rPr>
              <w:t>.</w:t>
            </w:r>
            <w:r>
              <w:rPr>
                <w:rFonts w:ascii="Times New Roman" w:hAnsi="Times New Roman" w:eastAsia="宋体" w:cs="Times New Roman"/>
                <w:color w:val="000000"/>
                <w:sz w:val="18"/>
                <w:szCs w:val="18"/>
              </w:rPr>
              <w:t>5mg）*14片，双铝箔包装</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浙江华海药业股份有限公司</w:t>
            </w:r>
          </w:p>
        </w:tc>
      </w:tr>
      <w:tr>
        <w:tblPrEx>
          <w:tblCellMar>
            <w:top w:w="0" w:type="dxa"/>
            <w:left w:w="108" w:type="dxa"/>
            <w:bottom w:w="0" w:type="dxa"/>
            <w:right w:w="108" w:type="dxa"/>
          </w:tblCellMar>
        </w:tblPrEx>
        <w:trPr>
          <w:trHeight w:val="495"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8</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厄贝沙坦氢氯噻嗪片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w:t>
            </w:r>
            <w:r>
              <w:rPr>
                <w:rFonts w:ascii="Times New Roman" w:hAnsi="Times New Roman" w:eastAsia="宋体" w:cs="Times New Roman"/>
                <w:color w:val="000000"/>
                <w:sz w:val="18"/>
                <w:szCs w:val="18"/>
              </w:rPr>
              <w:t>150mg/12</w:t>
            </w:r>
            <w:r>
              <w:rPr>
                <w:rFonts w:hint="eastAsia" w:ascii="Times New Roman" w:hAnsi="Times New Roman" w:eastAsia="宋体" w:cs="Times New Roman"/>
                <w:color w:val="000000"/>
                <w:sz w:val="18"/>
                <w:szCs w:val="18"/>
                <w:lang w:eastAsia="zh-CN"/>
              </w:rPr>
              <w:t>.</w:t>
            </w:r>
            <w:r>
              <w:rPr>
                <w:rFonts w:ascii="Times New Roman" w:hAnsi="Times New Roman" w:eastAsia="宋体" w:cs="Times New Roman"/>
                <w:color w:val="000000"/>
                <w:sz w:val="18"/>
                <w:szCs w:val="18"/>
              </w:rPr>
              <w:t>5mg）*14片，塑瓶包装</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瓶</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浙江华海药业股份有限公司</w:t>
            </w:r>
          </w:p>
        </w:tc>
      </w:tr>
      <w:tr>
        <w:tblPrEx>
          <w:tblCellMar>
            <w:top w:w="0" w:type="dxa"/>
            <w:left w:w="108" w:type="dxa"/>
            <w:bottom w:w="0" w:type="dxa"/>
            <w:right w:w="108" w:type="dxa"/>
          </w:tblCellMar>
        </w:tblPrEx>
        <w:trPr>
          <w:trHeight w:val="495"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9</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厄贝沙坦氢氯噻嗪片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w:t>
            </w:r>
            <w:r>
              <w:rPr>
                <w:rFonts w:ascii="Times New Roman" w:hAnsi="Times New Roman" w:eastAsia="宋体" w:cs="Times New Roman"/>
                <w:color w:val="000000"/>
                <w:sz w:val="18"/>
                <w:szCs w:val="18"/>
              </w:rPr>
              <w:t>150mg/12</w:t>
            </w:r>
            <w:r>
              <w:rPr>
                <w:rFonts w:hint="eastAsia" w:ascii="Times New Roman" w:hAnsi="Times New Roman" w:eastAsia="宋体" w:cs="Times New Roman"/>
                <w:color w:val="000000"/>
                <w:sz w:val="18"/>
                <w:szCs w:val="18"/>
                <w:lang w:eastAsia="zh-CN"/>
              </w:rPr>
              <w:t>.</w:t>
            </w:r>
            <w:r>
              <w:rPr>
                <w:rFonts w:ascii="Times New Roman" w:hAnsi="Times New Roman" w:eastAsia="宋体" w:cs="Times New Roman"/>
                <w:color w:val="000000"/>
                <w:sz w:val="18"/>
                <w:szCs w:val="18"/>
              </w:rPr>
              <w:t>5mg）*28片，双铝箔包装</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浙江华海药业股份有限公司</w:t>
            </w:r>
          </w:p>
        </w:tc>
      </w:tr>
      <w:tr>
        <w:tblPrEx>
          <w:tblCellMar>
            <w:top w:w="0" w:type="dxa"/>
            <w:left w:w="108" w:type="dxa"/>
            <w:bottom w:w="0" w:type="dxa"/>
            <w:right w:w="108" w:type="dxa"/>
          </w:tblCellMar>
        </w:tblPrEx>
        <w:trPr>
          <w:trHeight w:val="495"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10</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赖诺普利片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10mg*28</w:t>
            </w:r>
            <w:r>
              <w:rPr>
                <w:rFonts w:ascii="Times New Roman" w:hAnsi="Times New Roman" w:eastAsia="宋体" w:cs="Times New Roman"/>
                <w:color w:val="000000"/>
                <w:sz w:val="18"/>
                <w:szCs w:val="18"/>
              </w:rPr>
              <w:t>片，塑瓶包装</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瓶</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浙江华海药业股份有限公司</w:t>
            </w:r>
          </w:p>
        </w:tc>
      </w:tr>
      <w:tr>
        <w:tblPrEx>
          <w:tblCellMar>
            <w:top w:w="0" w:type="dxa"/>
            <w:left w:w="108" w:type="dxa"/>
            <w:bottom w:w="0" w:type="dxa"/>
            <w:right w:w="108" w:type="dxa"/>
          </w:tblCellMar>
        </w:tblPrEx>
        <w:trPr>
          <w:trHeight w:val="495"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11</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氯沙坦钾片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50mg*28</w:t>
            </w:r>
            <w:r>
              <w:rPr>
                <w:rFonts w:ascii="Times New Roman" w:hAnsi="Times New Roman" w:eastAsia="宋体" w:cs="Times New Roman"/>
                <w:color w:val="000000"/>
                <w:sz w:val="18"/>
                <w:szCs w:val="18"/>
              </w:rPr>
              <w:t>片，双铝箔包装</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浙江华海药业股份有限公司</w:t>
            </w:r>
          </w:p>
        </w:tc>
      </w:tr>
      <w:tr>
        <w:tblPrEx>
          <w:tblCellMar>
            <w:top w:w="0" w:type="dxa"/>
            <w:left w:w="108" w:type="dxa"/>
            <w:bottom w:w="0" w:type="dxa"/>
            <w:right w:w="108" w:type="dxa"/>
          </w:tblCellMar>
        </w:tblPrEx>
        <w:trPr>
          <w:trHeight w:val="495"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12</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氯沙坦钾片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50mg*14</w:t>
            </w:r>
            <w:r>
              <w:rPr>
                <w:rFonts w:ascii="Times New Roman" w:hAnsi="Times New Roman" w:eastAsia="宋体" w:cs="Times New Roman"/>
                <w:color w:val="000000"/>
                <w:sz w:val="18"/>
                <w:szCs w:val="18"/>
              </w:rPr>
              <w:t>片，双铝箔包装</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浙江华海药业股份有限公司</w:t>
            </w:r>
          </w:p>
        </w:tc>
      </w:tr>
      <w:tr>
        <w:tblPrEx>
          <w:tblCellMar>
            <w:top w:w="0" w:type="dxa"/>
            <w:left w:w="108" w:type="dxa"/>
            <w:bottom w:w="0" w:type="dxa"/>
            <w:right w:w="108" w:type="dxa"/>
          </w:tblCellMar>
        </w:tblPrEx>
        <w:trPr>
          <w:trHeight w:val="495"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13</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氯沙坦钾片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100mg*7</w:t>
            </w:r>
            <w:r>
              <w:rPr>
                <w:rFonts w:ascii="Times New Roman" w:hAnsi="Times New Roman" w:eastAsia="宋体" w:cs="Times New Roman"/>
                <w:color w:val="000000"/>
                <w:sz w:val="18"/>
                <w:szCs w:val="18"/>
              </w:rPr>
              <w:t>片，双铝箔包装</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浙江华海药业股份有限公司</w:t>
            </w:r>
          </w:p>
        </w:tc>
      </w:tr>
      <w:tr>
        <w:tblPrEx>
          <w:tblCellMar>
            <w:top w:w="0" w:type="dxa"/>
            <w:left w:w="108" w:type="dxa"/>
            <w:bottom w:w="0" w:type="dxa"/>
            <w:right w:w="108" w:type="dxa"/>
          </w:tblCellMar>
        </w:tblPrEx>
        <w:trPr>
          <w:trHeight w:val="495"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14</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氯沙坦钾片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100mg*14</w:t>
            </w:r>
            <w:r>
              <w:rPr>
                <w:rFonts w:ascii="Times New Roman" w:hAnsi="Times New Roman" w:eastAsia="宋体" w:cs="Times New Roman"/>
                <w:color w:val="000000"/>
                <w:sz w:val="18"/>
                <w:szCs w:val="18"/>
              </w:rPr>
              <w:t>片，双铝箔包装</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浙江华海药业股份有限公司</w:t>
            </w:r>
          </w:p>
        </w:tc>
      </w:tr>
      <w:tr>
        <w:tblPrEx>
          <w:tblCellMar>
            <w:top w:w="0" w:type="dxa"/>
            <w:left w:w="108" w:type="dxa"/>
            <w:bottom w:w="0" w:type="dxa"/>
            <w:right w:w="108" w:type="dxa"/>
          </w:tblCellMar>
        </w:tblPrEx>
        <w:trPr>
          <w:trHeight w:val="495"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15</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马来酸依那普利片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10mg*16</w:t>
            </w:r>
            <w:r>
              <w:rPr>
                <w:rFonts w:ascii="Times New Roman" w:hAnsi="Times New Roman" w:eastAsia="宋体" w:cs="Times New Roman"/>
                <w:color w:val="000000"/>
                <w:sz w:val="18"/>
                <w:szCs w:val="18"/>
              </w:rPr>
              <w:t>片，复合膜包装</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扬子江药业集团江苏制药股份</w:t>
            </w:r>
          </w:p>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有限公司</w:t>
            </w:r>
          </w:p>
        </w:tc>
      </w:tr>
      <w:tr>
        <w:tblPrEx>
          <w:tblCellMar>
            <w:top w:w="0" w:type="dxa"/>
            <w:left w:w="108" w:type="dxa"/>
            <w:bottom w:w="0" w:type="dxa"/>
            <w:right w:w="108" w:type="dxa"/>
          </w:tblCellMar>
        </w:tblPrEx>
        <w:trPr>
          <w:trHeight w:val="495" w:hRule="atLeast"/>
          <w:jc w:val="center"/>
        </w:trPr>
        <w:tc>
          <w:tcPr>
            <w:tcW w:w="920" w:type="dxa"/>
            <w:tcBorders>
              <w:top w:val="nil"/>
              <w:left w:val="single" w:color="auto" w:sz="8"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16</w:t>
            </w:r>
          </w:p>
        </w:tc>
        <w:tc>
          <w:tcPr>
            <w:tcW w:w="1839"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马来酸依那普利片</w:t>
            </w:r>
          </w:p>
        </w:tc>
        <w:tc>
          <w:tcPr>
            <w:tcW w:w="927"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5mg*16</w:t>
            </w:r>
            <w:r>
              <w:rPr>
                <w:rFonts w:ascii="Times New Roman" w:hAnsi="Times New Roman" w:eastAsia="宋体" w:cs="Times New Roman"/>
                <w:color w:val="000000"/>
                <w:sz w:val="18"/>
                <w:szCs w:val="18"/>
              </w:rPr>
              <w:t>片，复合膜包装</w:t>
            </w:r>
          </w:p>
        </w:tc>
        <w:tc>
          <w:tcPr>
            <w:tcW w:w="715"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扬子江药业集团江苏制药股份有限公司</w:t>
            </w:r>
          </w:p>
        </w:tc>
      </w:tr>
      <w:tr>
        <w:tblPrEx>
          <w:tblCellMar>
            <w:top w:w="0" w:type="dxa"/>
            <w:left w:w="108" w:type="dxa"/>
            <w:bottom w:w="0" w:type="dxa"/>
            <w:right w:w="108" w:type="dxa"/>
          </w:tblCellMar>
        </w:tblPrEx>
        <w:trPr>
          <w:trHeight w:val="501" w:hRule="atLeast"/>
          <w:jc w:val="center"/>
        </w:trPr>
        <w:tc>
          <w:tcPr>
            <w:tcW w:w="920"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17</w:t>
            </w:r>
          </w:p>
        </w:tc>
        <w:tc>
          <w:tcPr>
            <w:tcW w:w="1839"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阿卡波糖胶囊</w:t>
            </w:r>
          </w:p>
        </w:tc>
        <w:tc>
          <w:tcPr>
            <w:tcW w:w="927"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胶囊剂</w:t>
            </w:r>
          </w:p>
        </w:tc>
        <w:tc>
          <w:tcPr>
            <w:tcW w:w="2320"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50mg*15</w:t>
            </w:r>
            <w:r>
              <w:rPr>
                <w:rFonts w:ascii="Times New Roman" w:hAnsi="Times New Roman" w:eastAsia="宋体" w:cs="Times New Roman"/>
                <w:color w:val="333333"/>
                <w:sz w:val="18"/>
                <w:szCs w:val="18"/>
              </w:rPr>
              <w:t>粒</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*2</w:t>
            </w:r>
            <w:r>
              <w:rPr>
                <w:rFonts w:ascii="Times New Roman" w:hAnsi="Times New Roman" w:eastAsia="宋体" w:cs="Times New Roman"/>
                <w:color w:val="333333"/>
                <w:sz w:val="18"/>
                <w:szCs w:val="18"/>
              </w:rPr>
              <w:t>板</w:t>
            </w:r>
          </w:p>
        </w:tc>
        <w:tc>
          <w:tcPr>
            <w:tcW w:w="715"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四川绿叶制药股份有限公司</w:t>
            </w:r>
          </w:p>
        </w:tc>
      </w:tr>
      <w:tr>
        <w:tblPrEx>
          <w:tblCellMar>
            <w:top w:w="0" w:type="dxa"/>
            <w:left w:w="108" w:type="dxa"/>
            <w:bottom w:w="0" w:type="dxa"/>
            <w:right w:w="108" w:type="dxa"/>
          </w:tblCellMar>
        </w:tblPrEx>
        <w:trPr>
          <w:trHeight w:val="501" w:hRule="atLeast"/>
          <w:jc w:val="center"/>
        </w:trPr>
        <w:tc>
          <w:tcPr>
            <w:tcW w:w="920"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hint="eastAsia" w:ascii="Times New Roman" w:hAnsi="Times New Roman" w:eastAsia="等线" w:cs="Times New Roman"/>
                <w:color w:val="333333"/>
                <w:sz w:val="18"/>
                <w:szCs w:val="18"/>
              </w:rPr>
              <w:t>1</w:t>
            </w:r>
            <w:r>
              <w:rPr>
                <w:rFonts w:ascii="Times New Roman" w:hAnsi="Times New Roman" w:eastAsia="等线" w:cs="Times New Roman"/>
                <w:color w:val="333333"/>
                <w:sz w:val="18"/>
                <w:szCs w:val="18"/>
              </w:rPr>
              <w:t>8</w:t>
            </w:r>
          </w:p>
        </w:tc>
        <w:tc>
          <w:tcPr>
            <w:tcW w:w="1839"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阿卡波糖片</w:t>
            </w:r>
          </w:p>
        </w:tc>
        <w:tc>
          <w:tcPr>
            <w:tcW w:w="927"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50mg*15</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*2</w:t>
            </w:r>
            <w:r>
              <w:rPr>
                <w:rFonts w:ascii="Times New Roman" w:hAnsi="Times New Roman" w:eastAsia="宋体" w:cs="Times New Roman"/>
                <w:color w:val="333333"/>
                <w:sz w:val="18"/>
                <w:szCs w:val="18"/>
              </w:rPr>
              <w:t>板</w:t>
            </w:r>
          </w:p>
        </w:tc>
        <w:tc>
          <w:tcPr>
            <w:tcW w:w="715"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拜耳医药保健有限公司</w:t>
            </w:r>
          </w:p>
        </w:tc>
      </w:tr>
      <w:tr>
        <w:tblPrEx>
          <w:tblCellMar>
            <w:top w:w="0" w:type="dxa"/>
            <w:left w:w="108" w:type="dxa"/>
            <w:bottom w:w="0" w:type="dxa"/>
            <w:right w:w="108" w:type="dxa"/>
          </w:tblCellMar>
        </w:tblPrEx>
        <w:trPr>
          <w:trHeight w:val="501" w:hRule="atLeast"/>
          <w:jc w:val="center"/>
        </w:trPr>
        <w:tc>
          <w:tcPr>
            <w:tcW w:w="920" w:type="dxa"/>
            <w:tcBorders>
              <w:top w:val="single" w:color="auto" w:sz="4"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hint="eastAsia" w:ascii="Times New Roman" w:hAnsi="Times New Roman" w:eastAsia="等线" w:cs="Times New Roman"/>
                <w:color w:val="333333"/>
                <w:sz w:val="18"/>
                <w:szCs w:val="18"/>
              </w:rPr>
              <w:t>1</w:t>
            </w:r>
            <w:r>
              <w:rPr>
                <w:rFonts w:ascii="Times New Roman" w:hAnsi="Times New Roman" w:eastAsia="等线" w:cs="Times New Roman"/>
                <w:color w:val="333333"/>
                <w:sz w:val="18"/>
                <w:szCs w:val="18"/>
              </w:rPr>
              <w:t>9</w:t>
            </w:r>
          </w:p>
        </w:tc>
        <w:tc>
          <w:tcPr>
            <w:tcW w:w="1839"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阿卡波糖片</w:t>
            </w:r>
          </w:p>
        </w:tc>
        <w:tc>
          <w:tcPr>
            <w:tcW w:w="927"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50mg*15</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*3</w:t>
            </w:r>
            <w:r>
              <w:rPr>
                <w:rFonts w:ascii="Times New Roman" w:hAnsi="Times New Roman" w:eastAsia="宋体" w:cs="Times New Roman"/>
                <w:color w:val="333333"/>
                <w:sz w:val="18"/>
                <w:szCs w:val="18"/>
              </w:rPr>
              <w:t>板</w:t>
            </w:r>
          </w:p>
        </w:tc>
        <w:tc>
          <w:tcPr>
            <w:tcW w:w="715"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拜耳医药保健有限公司</w:t>
            </w:r>
          </w:p>
        </w:tc>
      </w:tr>
      <w:tr>
        <w:tblPrEx>
          <w:tblCellMar>
            <w:top w:w="0" w:type="dxa"/>
            <w:left w:w="108" w:type="dxa"/>
            <w:bottom w:w="0" w:type="dxa"/>
            <w:right w:w="108" w:type="dxa"/>
          </w:tblCellMar>
        </w:tblPrEx>
        <w:trPr>
          <w:trHeight w:val="501"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hint="eastAsia" w:ascii="Times New Roman" w:hAnsi="Times New Roman" w:eastAsia="等线" w:cs="Times New Roman"/>
                <w:color w:val="333333"/>
                <w:sz w:val="18"/>
                <w:szCs w:val="18"/>
              </w:rPr>
              <w:t>2</w:t>
            </w:r>
            <w:r>
              <w:rPr>
                <w:rFonts w:ascii="Times New Roman" w:hAnsi="Times New Roman" w:eastAsia="等线" w:cs="Times New Roman"/>
                <w:color w:val="333333"/>
                <w:sz w:val="18"/>
                <w:szCs w:val="18"/>
              </w:rPr>
              <w:t>0</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阿卡波糖片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100mg*15</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*2</w:t>
            </w:r>
            <w:r>
              <w:rPr>
                <w:rFonts w:ascii="Times New Roman" w:hAnsi="Times New Roman" w:eastAsia="宋体" w:cs="Times New Roman"/>
                <w:color w:val="333333"/>
                <w:sz w:val="18"/>
                <w:szCs w:val="18"/>
              </w:rPr>
              <w:t>板</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拜耳医药保健有限公司</w:t>
            </w:r>
          </w:p>
        </w:tc>
      </w:tr>
      <w:tr>
        <w:tblPrEx>
          <w:tblCellMar>
            <w:top w:w="0" w:type="dxa"/>
            <w:left w:w="108" w:type="dxa"/>
            <w:bottom w:w="0" w:type="dxa"/>
            <w:right w:w="108" w:type="dxa"/>
          </w:tblCellMar>
        </w:tblPrEx>
        <w:trPr>
          <w:trHeight w:val="501"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hint="eastAsia" w:ascii="Times New Roman" w:hAnsi="Times New Roman" w:eastAsia="等线" w:cs="Times New Roman"/>
                <w:color w:val="333333"/>
                <w:sz w:val="18"/>
                <w:szCs w:val="18"/>
              </w:rPr>
              <w:t>2</w:t>
            </w:r>
            <w:r>
              <w:rPr>
                <w:rFonts w:ascii="Times New Roman" w:hAnsi="Times New Roman" w:eastAsia="等线" w:cs="Times New Roman"/>
                <w:color w:val="333333"/>
                <w:sz w:val="18"/>
                <w:szCs w:val="18"/>
              </w:rPr>
              <w:t>1</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奥美沙坦酯片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20mg*14</w:t>
            </w:r>
            <w:r>
              <w:rPr>
                <w:rFonts w:ascii="Times New Roman" w:hAnsi="Times New Roman" w:eastAsia="宋体" w:cs="Times New Roman"/>
                <w:color w:val="000000"/>
                <w:sz w:val="18"/>
                <w:szCs w:val="18"/>
              </w:rPr>
              <w:t>片</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深圳信立泰药业股份有限公司</w:t>
            </w:r>
          </w:p>
        </w:tc>
      </w:tr>
      <w:tr>
        <w:tblPrEx>
          <w:tblCellMar>
            <w:top w:w="0" w:type="dxa"/>
            <w:left w:w="108" w:type="dxa"/>
            <w:bottom w:w="0" w:type="dxa"/>
            <w:right w:w="108" w:type="dxa"/>
          </w:tblCellMar>
        </w:tblPrEx>
        <w:trPr>
          <w:trHeight w:val="501"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hint="eastAsia" w:ascii="Times New Roman" w:hAnsi="Times New Roman" w:eastAsia="等线" w:cs="Times New Roman"/>
                <w:color w:val="333333"/>
                <w:sz w:val="18"/>
                <w:szCs w:val="18"/>
              </w:rPr>
              <w:t>2</w:t>
            </w:r>
            <w:r>
              <w:rPr>
                <w:rFonts w:ascii="Times New Roman" w:hAnsi="Times New Roman" w:eastAsia="等线" w:cs="Times New Roman"/>
                <w:color w:val="333333"/>
                <w:sz w:val="18"/>
                <w:szCs w:val="18"/>
              </w:rPr>
              <w:t>2</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奥美沙坦酯片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20mg*28</w:t>
            </w:r>
            <w:r>
              <w:rPr>
                <w:rFonts w:ascii="Times New Roman" w:hAnsi="Times New Roman" w:eastAsia="宋体" w:cs="Times New Roman"/>
                <w:color w:val="333333"/>
                <w:sz w:val="18"/>
                <w:szCs w:val="18"/>
              </w:rPr>
              <w:t>片</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东莞市阳之康医药有限责任公司（广东东阳光药业有限公司</w:t>
            </w:r>
          </w:p>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受委托生产）</w:t>
            </w:r>
          </w:p>
        </w:tc>
      </w:tr>
      <w:tr>
        <w:tblPrEx>
          <w:tblCellMar>
            <w:top w:w="0" w:type="dxa"/>
            <w:left w:w="108" w:type="dxa"/>
            <w:bottom w:w="0" w:type="dxa"/>
            <w:right w:w="108" w:type="dxa"/>
          </w:tblCellMar>
        </w:tblPrEx>
        <w:trPr>
          <w:trHeight w:val="501"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hint="eastAsia" w:ascii="Times New Roman" w:hAnsi="Times New Roman" w:eastAsia="等线" w:cs="Times New Roman"/>
                <w:color w:val="333333"/>
                <w:sz w:val="18"/>
                <w:szCs w:val="18"/>
              </w:rPr>
              <w:t>2</w:t>
            </w:r>
            <w:r>
              <w:rPr>
                <w:rFonts w:ascii="Times New Roman" w:hAnsi="Times New Roman" w:eastAsia="等线" w:cs="Times New Roman"/>
                <w:color w:val="333333"/>
                <w:sz w:val="18"/>
                <w:szCs w:val="18"/>
              </w:rPr>
              <w:t>3</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奥美沙坦酯片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20mg*7</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*2</w:t>
            </w:r>
            <w:r>
              <w:rPr>
                <w:rFonts w:ascii="Times New Roman" w:hAnsi="Times New Roman" w:eastAsia="宋体" w:cs="Times New Roman"/>
                <w:color w:val="333333"/>
                <w:sz w:val="18"/>
                <w:szCs w:val="18"/>
              </w:rPr>
              <w:t>板</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南京正大天晴制药有限公司</w:t>
            </w:r>
          </w:p>
        </w:tc>
      </w:tr>
      <w:tr>
        <w:tblPrEx>
          <w:tblCellMar>
            <w:top w:w="0" w:type="dxa"/>
            <w:left w:w="108" w:type="dxa"/>
            <w:bottom w:w="0" w:type="dxa"/>
            <w:right w:w="108" w:type="dxa"/>
          </w:tblCellMar>
        </w:tblPrEx>
        <w:trPr>
          <w:trHeight w:val="501"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hint="eastAsia" w:ascii="Times New Roman" w:hAnsi="Times New Roman" w:eastAsia="等线" w:cs="Times New Roman"/>
                <w:color w:val="333333"/>
                <w:sz w:val="18"/>
                <w:szCs w:val="18"/>
              </w:rPr>
              <w:t>2</w:t>
            </w:r>
            <w:r>
              <w:rPr>
                <w:rFonts w:ascii="Times New Roman" w:hAnsi="Times New Roman" w:eastAsia="等线" w:cs="Times New Roman"/>
                <w:color w:val="333333"/>
                <w:sz w:val="18"/>
                <w:szCs w:val="18"/>
              </w:rPr>
              <w:t>4</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奥美沙坦酯片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20mg*12</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*3</w:t>
            </w:r>
            <w:r>
              <w:rPr>
                <w:rFonts w:ascii="Times New Roman" w:hAnsi="Times New Roman" w:eastAsia="宋体" w:cs="Times New Roman"/>
                <w:color w:val="333333"/>
                <w:sz w:val="18"/>
                <w:szCs w:val="18"/>
              </w:rPr>
              <w:t>板</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南京正大天晴制药有限公司</w:t>
            </w:r>
          </w:p>
        </w:tc>
      </w:tr>
      <w:tr>
        <w:tblPrEx>
          <w:tblCellMar>
            <w:top w:w="0" w:type="dxa"/>
            <w:left w:w="108" w:type="dxa"/>
            <w:bottom w:w="0" w:type="dxa"/>
            <w:right w:w="108" w:type="dxa"/>
          </w:tblCellMar>
        </w:tblPrEx>
        <w:trPr>
          <w:trHeight w:val="501"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hint="eastAsia" w:ascii="Times New Roman" w:hAnsi="Times New Roman" w:eastAsia="等线" w:cs="Times New Roman"/>
                <w:color w:val="333333"/>
                <w:sz w:val="18"/>
                <w:szCs w:val="18"/>
              </w:rPr>
              <w:t>2</w:t>
            </w:r>
            <w:r>
              <w:rPr>
                <w:rFonts w:ascii="Times New Roman" w:hAnsi="Times New Roman" w:eastAsia="等线" w:cs="Times New Roman"/>
                <w:color w:val="333333"/>
                <w:sz w:val="18"/>
                <w:szCs w:val="18"/>
              </w:rPr>
              <w:t>5</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奥美沙坦酯片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20mg*7</w:t>
            </w:r>
            <w:r>
              <w:rPr>
                <w:rFonts w:ascii="Times New Roman" w:hAnsi="Times New Roman" w:eastAsia="宋体" w:cs="Times New Roman"/>
                <w:color w:val="333333"/>
                <w:sz w:val="18"/>
                <w:szCs w:val="18"/>
              </w:rPr>
              <w:t>片</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北京福元医药股份有限公司</w:t>
            </w:r>
          </w:p>
        </w:tc>
      </w:tr>
      <w:tr>
        <w:tblPrEx>
          <w:tblCellMar>
            <w:top w:w="0" w:type="dxa"/>
            <w:left w:w="108" w:type="dxa"/>
            <w:bottom w:w="0" w:type="dxa"/>
            <w:right w:w="108" w:type="dxa"/>
          </w:tblCellMar>
        </w:tblPrEx>
        <w:trPr>
          <w:trHeight w:val="501"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hint="eastAsia" w:ascii="Times New Roman" w:hAnsi="Times New Roman" w:eastAsia="等线" w:cs="Times New Roman"/>
                <w:color w:val="333333"/>
                <w:sz w:val="18"/>
                <w:szCs w:val="18"/>
              </w:rPr>
              <w:t>2</w:t>
            </w:r>
            <w:r>
              <w:rPr>
                <w:rFonts w:ascii="Times New Roman" w:hAnsi="Times New Roman" w:eastAsia="等线" w:cs="Times New Roman"/>
                <w:color w:val="333333"/>
                <w:sz w:val="18"/>
                <w:szCs w:val="18"/>
              </w:rPr>
              <w:t>6</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奥美沙坦酯片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20mg*10</w:t>
            </w:r>
            <w:r>
              <w:rPr>
                <w:rFonts w:ascii="Times New Roman" w:hAnsi="Times New Roman" w:eastAsia="宋体" w:cs="Times New Roman"/>
                <w:color w:val="333333"/>
                <w:sz w:val="18"/>
                <w:szCs w:val="18"/>
              </w:rPr>
              <w:t>片</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北京福元医药股份有限公司</w:t>
            </w:r>
          </w:p>
        </w:tc>
      </w:tr>
      <w:tr>
        <w:tblPrEx>
          <w:tblCellMar>
            <w:top w:w="0" w:type="dxa"/>
            <w:left w:w="108" w:type="dxa"/>
            <w:bottom w:w="0" w:type="dxa"/>
            <w:right w:w="108" w:type="dxa"/>
          </w:tblCellMar>
        </w:tblPrEx>
        <w:trPr>
          <w:trHeight w:val="501"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hint="eastAsia" w:ascii="Times New Roman" w:hAnsi="Times New Roman" w:eastAsia="等线" w:cs="Times New Roman"/>
                <w:color w:val="333333"/>
                <w:sz w:val="18"/>
                <w:szCs w:val="18"/>
              </w:rPr>
              <w:t>2</w:t>
            </w:r>
            <w:r>
              <w:rPr>
                <w:rFonts w:ascii="Times New Roman" w:hAnsi="Times New Roman" w:eastAsia="等线" w:cs="Times New Roman"/>
                <w:color w:val="333333"/>
                <w:sz w:val="18"/>
                <w:szCs w:val="18"/>
              </w:rPr>
              <w:t>7</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奥美沙坦酯片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20mg*7</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*2</w:t>
            </w:r>
            <w:r>
              <w:rPr>
                <w:rFonts w:ascii="Times New Roman" w:hAnsi="Times New Roman" w:eastAsia="宋体" w:cs="Times New Roman"/>
                <w:color w:val="333333"/>
                <w:sz w:val="18"/>
                <w:szCs w:val="18"/>
              </w:rPr>
              <w:t>板</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北京福元医药股份有限公司</w:t>
            </w:r>
          </w:p>
        </w:tc>
      </w:tr>
      <w:tr>
        <w:tblPrEx>
          <w:tblCellMar>
            <w:top w:w="0" w:type="dxa"/>
            <w:left w:w="108" w:type="dxa"/>
            <w:bottom w:w="0" w:type="dxa"/>
            <w:right w:w="108" w:type="dxa"/>
          </w:tblCellMar>
        </w:tblPrEx>
        <w:trPr>
          <w:trHeight w:val="501"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hint="eastAsia" w:ascii="Times New Roman" w:hAnsi="Times New Roman" w:eastAsia="等线" w:cs="Times New Roman"/>
                <w:color w:val="333333"/>
                <w:sz w:val="18"/>
                <w:szCs w:val="18"/>
              </w:rPr>
              <w:t>2</w:t>
            </w:r>
            <w:r>
              <w:rPr>
                <w:rFonts w:ascii="Times New Roman" w:hAnsi="Times New Roman" w:eastAsia="等线" w:cs="Times New Roman"/>
                <w:color w:val="333333"/>
                <w:sz w:val="18"/>
                <w:szCs w:val="18"/>
              </w:rPr>
              <w:t>8</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富马酸比索洛尔片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2</w:t>
            </w:r>
            <w:r>
              <w:rPr>
                <w:rFonts w:hint="eastAsia" w:ascii="Times New Roman" w:hAnsi="Times New Roman" w:eastAsia="等线" w:cs="Times New Roman"/>
                <w:color w:val="333333"/>
                <w:sz w:val="18"/>
                <w:szCs w:val="18"/>
                <w:lang w:eastAsia="zh-CN"/>
              </w:rPr>
              <w:t>.</w:t>
            </w:r>
            <w:r>
              <w:rPr>
                <w:rFonts w:ascii="Times New Roman" w:hAnsi="Times New Roman" w:eastAsia="等线" w:cs="Times New Roman"/>
                <w:color w:val="333333"/>
                <w:sz w:val="18"/>
                <w:szCs w:val="18"/>
              </w:rPr>
              <w:t>5mg*18</w:t>
            </w:r>
            <w:r>
              <w:rPr>
                <w:rFonts w:ascii="Times New Roman" w:hAnsi="Times New Roman" w:eastAsia="宋体" w:cs="Times New Roman"/>
                <w:color w:val="000000"/>
                <w:sz w:val="18"/>
                <w:szCs w:val="18"/>
              </w:rPr>
              <w:t>片</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成都苑东生物制药股份有限公司</w:t>
            </w:r>
          </w:p>
        </w:tc>
      </w:tr>
      <w:tr>
        <w:tblPrEx>
          <w:tblCellMar>
            <w:top w:w="0" w:type="dxa"/>
            <w:left w:w="108" w:type="dxa"/>
            <w:bottom w:w="0" w:type="dxa"/>
            <w:right w:w="108" w:type="dxa"/>
          </w:tblCellMar>
        </w:tblPrEx>
        <w:trPr>
          <w:trHeight w:val="501"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2</w:t>
            </w:r>
            <w:r>
              <w:rPr>
                <w:rFonts w:ascii="Times New Roman" w:hAnsi="Times New Roman" w:eastAsia="等线" w:cs="Times New Roman"/>
                <w:color w:val="000000"/>
                <w:sz w:val="18"/>
                <w:szCs w:val="18"/>
              </w:rPr>
              <w:t>9</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富马酸比索洛尔片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5mg*18</w:t>
            </w:r>
            <w:r>
              <w:rPr>
                <w:rFonts w:ascii="Times New Roman" w:hAnsi="Times New Roman" w:eastAsia="宋体" w:cs="Times New Roman"/>
                <w:color w:val="000000"/>
                <w:sz w:val="18"/>
                <w:szCs w:val="18"/>
              </w:rPr>
              <w:t>片</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成都苑东生物制药股份有限公司</w:t>
            </w:r>
          </w:p>
        </w:tc>
      </w:tr>
      <w:tr>
        <w:tblPrEx>
          <w:tblCellMar>
            <w:top w:w="0" w:type="dxa"/>
            <w:left w:w="108" w:type="dxa"/>
            <w:bottom w:w="0" w:type="dxa"/>
            <w:right w:w="108" w:type="dxa"/>
          </w:tblCellMar>
        </w:tblPrEx>
        <w:trPr>
          <w:trHeight w:val="501"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3</w:t>
            </w:r>
            <w:r>
              <w:rPr>
                <w:rFonts w:ascii="Times New Roman" w:hAnsi="Times New Roman" w:eastAsia="等线" w:cs="Times New Roman"/>
                <w:color w:val="000000"/>
                <w:sz w:val="18"/>
                <w:szCs w:val="18"/>
              </w:rPr>
              <w:t>0</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富马酸比索洛尔片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2</w:t>
            </w:r>
            <w:r>
              <w:rPr>
                <w:rFonts w:hint="eastAsia" w:ascii="Times New Roman" w:hAnsi="Times New Roman" w:eastAsia="等线" w:cs="Times New Roman"/>
                <w:color w:val="333333"/>
                <w:sz w:val="18"/>
                <w:szCs w:val="18"/>
                <w:lang w:eastAsia="zh-CN"/>
              </w:rPr>
              <w:t>.</w:t>
            </w:r>
            <w:r>
              <w:rPr>
                <w:rFonts w:ascii="Times New Roman" w:hAnsi="Times New Roman" w:eastAsia="等线" w:cs="Times New Roman"/>
                <w:color w:val="333333"/>
                <w:sz w:val="18"/>
                <w:szCs w:val="18"/>
              </w:rPr>
              <w:t>5mg*10</w:t>
            </w:r>
            <w:r>
              <w:rPr>
                <w:rFonts w:ascii="Times New Roman" w:hAnsi="Times New Roman" w:eastAsia="宋体" w:cs="Times New Roman"/>
                <w:color w:val="333333"/>
                <w:sz w:val="18"/>
                <w:szCs w:val="18"/>
              </w:rPr>
              <w:t>片</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北京华素制药股份有限公司</w:t>
            </w:r>
          </w:p>
        </w:tc>
      </w:tr>
      <w:tr>
        <w:tblPrEx>
          <w:tblCellMar>
            <w:top w:w="0" w:type="dxa"/>
            <w:left w:w="108" w:type="dxa"/>
            <w:bottom w:w="0" w:type="dxa"/>
            <w:right w:w="108" w:type="dxa"/>
          </w:tblCellMar>
        </w:tblPrEx>
        <w:trPr>
          <w:trHeight w:val="501"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3</w:t>
            </w:r>
            <w:r>
              <w:rPr>
                <w:rFonts w:ascii="Times New Roman" w:hAnsi="Times New Roman" w:eastAsia="等线" w:cs="Times New Roman"/>
                <w:color w:val="000000"/>
                <w:sz w:val="18"/>
                <w:szCs w:val="18"/>
              </w:rPr>
              <w:t>1</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富马酸比索洛尔片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5mg*10</w:t>
            </w:r>
            <w:r>
              <w:rPr>
                <w:rFonts w:ascii="Times New Roman" w:hAnsi="Times New Roman" w:eastAsia="宋体" w:cs="Times New Roman"/>
                <w:color w:val="333333"/>
                <w:sz w:val="18"/>
                <w:szCs w:val="18"/>
              </w:rPr>
              <w:t>片</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北京华素制药股份有限公司</w:t>
            </w:r>
          </w:p>
        </w:tc>
      </w:tr>
      <w:tr>
        <w:tblPrEx>
          <w:tblCellMar>
            <w:top w:w="0" w:type="dxa"/>
            <w:left w:w="108" w:type="dxa"/>
            <w:bottom w:w="0" w:type="dxa"/>
            <w:right w:w="108" w:type="dxa"/>
          </w:tblCellMar>
        </w:tblPrEx>
        <w:trPr>
          <w:trHeight w:val="501"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hint="eastAsia" w:ascii="Times New Roman" w:hAnsi="Times New Roman" w:eastAsia="等线" w:cs="Times New Roman"/>
                <w:color w:val="333333"/>
                <w:sz w:val="18"/>
                <w:szCs w:val="18"/>
              </w:rPr>
              <w:t>3</w:t>
            </w:r>
            <w:r>
              <w:rPr>
                <w:rFonts w:ascii="Times New Roman" w:hAnsi="Times New Roman" w:eastAsia="等线" w:cs="Times New Roman"/>
                <w:color w:val="333333"/>
                <w:sz w:val="18"/>
                <w:szCs w:val="18"/>
              </w:rPr>
              <w:t>2</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格列美脲片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1mg*10</w:t>
            </w:r>
            <w:r>
              <w:rPr>
                <w:rFonts w:ascii="Times New Roman" w:hAnsi="Times New Roman" w:eastAsia="宋体" w:cs="Times New Roman"/>
                <w:color w:val="000000"/>
                <w:sz w:val="18"/>
                <w:szCs w:val="18"/>
              </w:rPr>
              <w:t>片</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重庆康刻尔制药有限公司</w:t>
            </w:r>
          </w:p>
        </w:tc>
      </w:tr>
      <w:tr>
        <w:tblPrEx>
          <w:tblCellMar>
            <w:top w:w="0" w:type="dxa"/>
            <w:left w:w="108" w:type="dxa"/>
            <w:bottom w:w="0" w:type="dxa"/>
            <w:right w:w="108" w:type="dxa"/>
          </w:tblCellMar>
        </w:tblPrEx>
        <w:trPr>
          <w:trHeight w:val="501"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3</w:t>
            </w:r>
            <w:r>
              <w:rPr>
                <w:rFonts w:ascii="Times New Roman" w:hAnsi="Times New Roman" w:eastAsia="等线" w:cs="Times New Roman"/>
                <w:color w:val="000000"/>
                <w:sz w:val="18"/>
                <w:szCs w:val="18"/>
              </w:rPr>
              <w:t>3</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格列美脲片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1mg*10</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*3</w:t>
            </w:r>
            <w:r>
              <w:rPr>
                <w:rFonts w:ascii="Times New Roman" w:hAnsi="Times New Roman" w:eastAsia="宋体" w:cs="Times New Roman"/>
                <w:color w:val="333333"/>
                <w:sz w:val="18"/>
                <w:szCs w:val="18"/>
              </w:rPr>
              <w:t>板</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重庆康刻尔制药有限公司</w:t>
            </w:r>
          </w:p>
        </w:tc>
      </w:tr>
      <w:tr>
        <w:tblPrEx>
          <w:tblCellMar>
            <w:top w:w="0" w:type="dxa"/>
            <w:left w:w="108" w:type="dxa"/>
            <w:bottom w:w="0" w:type="dxa"/>
            <w:right w:w="108" w:type="dxa"/>
          </w:tblCellMar>
        </w:tblPrEx>
        <w:trPr>
          <w:trHeight w:val="501"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3</w:t>
            </w:r>
            <w:r>
              <w:rPr>
                <w:rFonts w:ascii="Times New Roman" w:hAnsi="Times New Roman" w:eastAsia="等线" w:cs="Times New Roman"/>
                <w:color w:val="000000"/>
                <w:sz w:val="18"/>
                <w:szCs w:val="18"/>
              </w:rPr>
              <w:t>4</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格列美脲片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1mg*30</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*2</w:t>
            </w:r>
            <w:r>
              <w:rPr>
                <w:rFonts w:ascii="Times New Roman" w:hAnsi="Times New Roman" w:eastAsia="宋体" w:cs="Times New Roman"/>
                <w:color w:val="333333"/>
                <w:sz w:val="18"/>
                <w:szCs w:val="18"/>
              </w:rPr>
              <w:t>板</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重庆康刻尔制药有限公司</w:t>
            </w:r>
          </w:p>
        </w:tc>
      </w:tr>
      <w:tr>
        <w:tblPrEx>
          <w:tblCellMar>
            <w:top w:w="0" w:type="dxa"/>
            <w:left w:w="108" w:type="dxa"/>
            <w:bottom w:w="0" w:type="dxa"/>
            <w:right w:w="108" w:type="dxa"/>
          </w:tblCellMar>
        </w:tblPrEx>
        <w:trPr>
          <w:trHeight w:val="501"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3</w:t>
            </w:r>
            <w:r>
              <w:rPr>
                <w:rFonts w:ascii="Times New Roman" w:hAnsi="Times New Roman" w:eastAsia="等线" w:cs="Times New Roman"/>
                <w:color w:val="000000"/>
                <w:sz w:val="18"/>
                <w:szCs w:val="18"/>
              </w:rPr>
              <w:t>5</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格列美脲片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2mg*10</w:t>
            </w:r>
            <w:r>
              <w:rPr>
                <w:rFonts w:ascii="Times New Roman" w:hAnsi="Times New Roman" w:eastAsia="宋体" w:cs="Times New Roman"/>
                <w:color w:val="000000"/>
                <w:sz w:val="18"/>
                <w:szCs w:val="18"/>
              </w:rPr>
              <w:t>片</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重庆康刻尔制药有限公司</w:t>
            </w:r>
          </w:p>
        </w:tc>
      </w:tr>
      <w:tr>
        <w:tblPrEx>
          <w:tblCellMar>
            <w:top w:w="0" w:type="dxa"/>
            <w:left w:w="108" w:type="dxa"/>
            <w:bottom w:w="0" w:type="dxa"/>
            <w:right w:w="108" w:type="dxa"/>
          </w:tblCellMar>
        </w:tblPrEx>
        <w:trPr>
          <w:trHeight w:val="501"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3</w:t>
            </w:r>
            <w:r>
              <w:rPr>
                <w:rFonts w:ascii="Times New Roman" w:hAnsi="Times New Roman" w:eastAsia="等线" w:cs="Times New Roman"/>
                <w:color w:val="000000"/>
                <w:sz w:val="18"/>
                <w:szCs w:val="18"/>
              </w:rPr>
              <w:t>6</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格列美脲片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2mg*30</w:t>
            </w:r>
            <w:r>
              <w:rPr>
                <w:rFonts w:ascii="Times New Roman" w:hAnsi="Times New Roman" w:eastAsia="宋体" w:cs="Times New Roman"/>
                <w:color w:val="000000"/>
                <w:sz w:val="18"/>
                <w:szCs w:val="18"/>
              </w:rPr>
              <w:t>片</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重庆康刻尔制药有限公司</w:t>
            </w:r>
          </w:p>
        </w:tc>
      </w:tr>
      <w:tr>
        <w:tblPrEx>
          <w:tblCellMar>
            <w:top w:w="0" w:type="dxa"/>
            <w:left w:w="108" w:type="dxa"/>
            <w:bottom w:w="0" w:type="dxa"/>
            <w:right w:w="108" w:type="dxa"/>
          </w:tblCellMar>
        </w:tblPrEx>
        <w:trPr>
          <w:trHeight w:val="501"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3</w:t>
            </w:r>
            <w:r>
              <w:rPr>
                <w:rFonts w:ascii="Times New Roman" w:hAnsi="Times New Roman" w:eastAsia="等线" w:cs="Times New Roman"/>
                <w:color w:val="000000"/>
                <w:sz w:val="18"/>
                <w:szCs w:val="18"/>
              </w:rPr>
              <w:t>7</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格列美脲片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2mg*30</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*2</w:t>
            </w:r>
            <w:r>
              <w:rPr>
                <w:rFonts w:ascii="Times New Roman" w:hAnsi="Times New Roman" w:eastAsia="宋体" w:cs="Times New Roman"/>
                <w:color w:val="333333"/>
                <w:sz w:val="18"/>
                <w:szCs w:val="18"/>
              </w:rPr>
              <w:t>板</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重庆康刻尔制药有限公司</w:t>
            </w:r>
          </w:p>
        </w:tc>
      </w:tr>
      <w:tr>
        <w:tblPrEx>
          <w:tblCellMar>
            <w:top w:w="0" w:type="dxa"/>
            <w:left w:w="108" w:type="dxa"/>
            <w:bottom w:w="0" w:type="dxa"/>
            <w:right w:w="108" w:type="dxa"/>
          </w:tblCellMar>
        </w:tblPrEx>
        <w:trPr>
          <w:trHeight w:val="468" w:hRule="atLeast"/>
          <w:jc w:val="center"/>
        </w:trPr>
        <w:tc>
          <w:tcPr>
            <w:tcW w:w="920" w:type="dxa"/>
            <w:tcBorders>
              <w:top w:val="nil"/>
              <w:left w:val="single" w:color="auto" w:sz="8"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3</w:t>
            </w:r>
            <w:r>
              <w:rPr>
                <w:rFonts w:ascii="Times New Roman" w:hAnsi="Times New Roman" w:eastAsia="等线" w:cs="Times New Roman"/>
                <w:color w:val="000000"/>
                <w:sz w:val="18"/>
                <w:szCs w:val="18"/>
              </w:rPr>
              <w:t>8</w:t>
            </w:r>
          </w:p>
        </w:tc>
        <w:tc>
          <w:tcPr>
            <w:tcW w:w="1839"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格列美脲片</w:t>
            </w:r>
          </w:p>
        </w:tc>
        <w:tc>
          <w:tcPr>
            <w:tcW w:w="927"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2mg*30</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*3</w:t>
            </w:r>
            <w:r>
              <w:rPr>
                <w:rFonts w:ascii="Times New Roman" w:hAnsi="Times New Roman" w:eastAsia="宋体" w:cs="Times New Roman"/>
                <w:color w:val="333333"/>
                <w:sz w:val="18"/>
                <w:szCs w:val="18"/>
              </w:rPr>
              <w:t>板</w:t>
            </w:r>
          </w:p>
        </w:tc>
        <w:tc>
          <w:tcPr>
            <w:tcW w:w="715"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贵州圣济堂制药有限公司</w:t>
            </w:r>
          </w:p>
        </w:tc>
      </w:tr>
      <w:tr>
        <w:tblPrEx>
          <w:tblCellMar>
            <w:top w:w="0" w:type="dxa"/>
            <w:left w:w="108" w:type="dxa"/>
            <w:bottom w:w="0" w:type="dxa"/>
            <w:right w:w="108" w:type="dxa"/>
          </w:tblCellMar>
        </w:tblPrEx>
        <w:trPr>
          <w:trHeight w:val="816" w:hRule="atLeast"/>
          <w:jc w:val="center"/>
        </w:trPr>
        <w:tc>
          <w:tcPr>
            <w:tcW w:w="920"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3</w:t>
            </w:r>
            <w:r>
              <w:rPr>
                <w:rFonts w:ascii="Times New Roman" w:hAnsi="Times New Roman" w:eastAsia="等线" w:cs="Times New Roman"/>
                <w:color w:val="000000"/>
                <w:sz w:val="18"/>
                <w:szCs w:val="18"/>
              </w:rPr>
              <w:t>9</w:t>
            </w:r>
          </w:p>
        </w:tc>
        <w:tc>
          <w:tcPr>
            <w:tcW w:w="1839"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格列美脲片</w:t>
            </w:r>
          </w:p>
        </w:tc>
        <w:tc>
          <w:tcPr>
            <w:tcW w:w="927"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2mg*20</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*3</w:t>
            </w:r>
            <w:r>
              <w:rPr>
                <w:rFonts w:ascii="Times New Roman" w:hAnsi="Times New Roman" w:eastAsia="宋体" w:cs="Times New Roman"/>
                <w:color w:val="333333"/>
                <w:sz w:val="18"/>
                <w:szCs w:val="18"/>
              </w:rPr>
              <w:t>板</w:t>
            </w:r>
          </w:p>
        </w:tc>
        <w:tc>
          <w:tcPr>
            <w:tcW w:w="715"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四川海汇药业有限公司</w:t>
            </w:r>
            <w:r>
              <w:rPr>
                <w:rFonts w:ascii="Times New Roman" w:hAnsi="Times New Roman" w:eastAsia="宋体" w:cs="Times New Roman"/>
                <w:color w:val="333333"/>
                <w:sz w:val="18"/>
                <w:szCs w:val="18"/>
              </w:rPr>
              <w:br w:type="textWrapping"/>
            </w:r>
            <w:r>
              <w:rPr>
                <w:rFonts w:ascii="Times New Roman" w:hAnsi="Times New Roman" w:eastAsia="宋体" w:cs="Times New Roman"/>
                <w:color w:val="333333"/>
                <w:sz w:val="18"/>
                <w:szCs w:val="18"/>
              </w:rPr>
              <w:t>（扬子江药业集团广州海瑞药业有限公司受委托生产）</w:t>
            </w:r>
          </w:p>
        </w:tc>
      </w:tr>
      <w:tr>
        <w:tblPrEx>
          <w:tblCellMar>
            <w:top w:w="0" w:type="dxa"/>
            <w:left w:w="108" w:type="dxa"/>
            <w:bottom w:w="0" w:type="dxa"/>
            <w:right w:w="108" w:type="dxa"/>
          </w:tblCellMar>
        </w:tblPrEx>
        <w:trPr>
          <w:trHeight w:val="501" w:hRule="atLeast"/>
          <w:jc w:val="center"/>
        </w:trPr>
        <w:tc>
          <w:tcPr>
            <w:tcW w:w="920"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4</w:t>
            </w:r>
            <w:r>
              <w:rPr>
                <w:rFonts w:ascii="Times New Roman" w:hAnsi="Times New Roman" w:eastAsia="等线" w:cs="Times New Roman"/>
                <w:color w:val="000000"/>
                <w:sz w:val="18"/>
                <w:szCs w:val="18"/>
              </w:rPr>
              <w:t>0</w:t>
            </w:r>
          </w:p>
        </w:tc>
        <w:tc>
          <w:tcPr>
            <w:tcW w:w="1839"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格列美脲片</w:t>
            </w:r>
          </w:p>
        </w:tc>
        <w:tc>
          <w:tcPr>
            <w:tcW w:w="927"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1mg*10</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*3</w:t>
            </w:r>
            <w:r>
              <w:rPr>
                <w:rFonts w:ascii="Times New Roman" w:hAnsi="Times New Roman" w:eastAsia="宋体" w:cs="Times New Roman"/>
                <w:color w:val="333333"/>
                <w:sz w:val="18"/>
                <w:szCs w:val="18"/>
              </w:rPr>
              <w:t>板</w:t>
            </w:r>
          </w:p>
        </w:tc>
        <w:tc>
          <w:tcPr>
            <w:tcW w:w="715"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山东新华制药股份有限公司</w:t>
            </w:r>
          </w:p>
        </w:tc>
      </w:tr>
      <w:tr>
        <w:tblPrEx>
          <w:tblCellMar>
            <w:top w:w="0" w:type="dxa"/>
            <w:left w:w="108" w:type="dxa"/>
            <w:bottom w:w="0" w:type="dxa"/>
            <w:right w:w="108" w:type="dxa"/>
          </w:tblCellMar>
        </w:tblPrEx>
        <w:trPr>
          <w:trHeight w:val="501" w:hRule="atLeast"/>
          <w:jc w:val="center"/>
        </w:trPr>
        <w:tc>
          <w:tcPr>
            <w:tcW w:w="920" w:type="dxa"/>
            <w:tcBorders>
              <w:top w:val="single" w:color="auto" w:sz="4"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4</w:t>
            </w:r>
            <w:r>
              <w:rPr>
                <w:rFonts w:ascii="Times New Roman" w:hAnsi="Times New Roman" w:eastAsia="等线" w:cs="Times New Roman"/>
                <w:color w:val="000000"/>
                <w:sz w:val="18"/>
                <w:szCs w:val="18"/>
              </w:rPr>
              <w:t>1</w:t>
            </w:r>
          </w:p>
        </w:tc>
        <w:tc>
          <w:tcPr>
            <w:tcW w:w="1839"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格列美脲片</w:t>
            </w:r>
          </w:p>
        </w:tc>
        <w:tc>
          <w:tcPr>
            <w:tcW w:w="927"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2mg*10</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*3</w:t>
            </w:r>
            <w:r>
              <w:rPr>
                <w:rFonts w:ascii="Times New Roman" w:hAnsi="Times New Roman" w:eastAsia="宋体" w:cs="Times New Roman"/>
                <w:color w:val="333333"/>
                <w:sz w:val="18"/>
                <w:szCs w:val="18"/>
              </w:rPr>
              <w:t>板</w:t>
            </w:r>
          </w:p>
        </w:tc>
        <w:tc>
          <w:tcPr>
            <w:tcW w:w="715"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山东新华制药股份有限公司</w:t>
            </w:r>
          </w:p>
        </w:tc>
      </w:tr>
      <w:tr>
        <w:tblPrEx>
          <w:tblCellMar>
            <w:top w:w="0" w:type="dxa"/>
            <w:left w:w="108" w:type="dxa"/>
            <w:bottom w:w="0" w:type="dxa"/>
            <w:right w:w="108" w:type="dxa"/>
          </w:tblCellMar>
        </w:tblPrEx>
        <w:trPr>
          <w:trHeight w:val="501"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4</w:t>
            </w:r>
            <w:r>
              <w:rPr>
                <w:rFonts w:ascii="Times New Roman" w:hAnsi="Times New Roman" w:eastAsia="等线" w:cs="Times New Roman"/>
                <w:color w:val="000000"/>
                <w:sz w:val="18"/>
                <w:szCs w:val="18"/>
              </w:rPr>
              <w:t>2</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格列美脲片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1mg*15</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*2</w:t>
            </w:r>
            <w:r>
              <w:rPr>
                <w:rFonts w:ascii="Times New Roman" w:hAnsi="Times New Roman" w:eastAsia="宋体" w:cs="Times New Roman"/>
                <w:color w:val="333333"/>
                <w:sz w:val="18"/>
                <w:szCs w:val="18"/>
              </w:rPr>
              <w:t>板</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北京北陆药业股份有限公司</w:t>
            </w:r>
          </w:p>
        </w:tc>
      </w:tr>
      <w:tr>
        <w:tblPrEx>
          <w:tblCellMar>
            <w:top w:w="0" w:type="dxa"/>
            <w:left w:w="108" w:type="dxa"/>
            <w:bottom w:w="0" w:type="dxa"/>
            <w:right w:w="108" w:type="dxa"/>
          </w:tblCellMar>
        </w:tblPrEx>
        <w:trPr>
          <w:trHeight w:val="501"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4</w:t>
            </w:r>
            <w:r>
              <w:rPr>
                <w:rFonts w:ascii="Times New Roman" w:hAnsi="Times New Roman" w:eastAsia="等线" w:cs="Times New Roman"/>
                <w:color w:val="000000"/>
                <w:sz w:val="18"/>
                <w:szCs w:val="18"/>
              </w:rPr>
              <w:t>3</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格列美脲片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2mg*15</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*2</w:t>
            </w:r>
            <w:r>
              <w:rPr>
                <w:rFonts w:ascii="Times New Roman" w:hAnsi="Times New Roman" w:eastAsia="宋体" w:cs="Times New Roman"/>
                <w:color w:val="333333"/>
                <w:sz w:val="18"/>
                <w:szCs w:val="18"/>
              </w:rPr>
              <w:t>板</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北京北陆药业股份有限公司</w:t>
            </w:r>
          </w:p>
        </w:tc>
      </w:tr>
      <w:tr>
        <w:tblPrEx>
          <w:tblCellMar>
            <w:top w:w="0" w:type="dxa"/>
            <w:left w:w="108" w:type="dxa"/>
            <w:bottom w:w="0" w:type="dxa"/>
            <w:right w:w="108" w:type="dxa"/>
          </w:tblCellMar>
        </w:tblPrEx>
        <w:trPr>
          <w:trHeight w:val="501"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44</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坎地沙坦酯片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8mg*14</w:t>
            </w:r>
            <w:r>
              <w:rPr>
                <w:rFonts w:ascii="Times New Roman" w:hAnsi="Times New Roman" w:eastAsia="宋体" w:cs="Times New Roman"/>
                <w:color w:val="000000"/>
                <w:sz w:val="18"/>
                <w:szCs w:val="18"/>
              </w:rPr>
              <w:t>片</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浙江永宁药业股份有限公司</w:t>
            </w:r>
          </w:p>
        </w:tc>
      </w:tr>
      <w:tr>
        <w:tblPrEx>
          <w:tblCellMar>
            <w:top w:w="0" w:type="dxa"/>
            <w:left w:w="108" w:type="dxa"/>
            <w:bottom w:w="0" w:type="dxa"/>
            <w:right w:w="108" w:type="dxa"/>
          </w:tblCellMar>
        </w:tblPrEx>
        <w:trPr>
          <w:trHeight w:val="501"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4</w:t>
            </w:r>
            <w:r>
              <w:rPr>
                <w:rFonts w:ascii="Times New Roman" w:hAnsi="Times New Roman" w:eastAsia="等线" w:cs="Times New Roman"/>
                <w:color w:val="000000"/>
                <w:sz w:val="18"/>
                <w:szCs w:val="18"/>
              </w:rPr>
              <w:t>5</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坎地沙坦酯片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8mg*28</w:t>
            </w:r>
            <w:r>
              <w:rPr>
                <w:rFonts w:ascii="Times New Roman" w:hAnsi="Times New Roman" w:eastAsia="宋体" w:cs="Times New Roman"/>
                <w:color w:val="000000"/>
                <w:sz w:val="18"/>
                <w:szCs w:val="18"/>
              </w:rPr>
              <w:t>片</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浙江永宁药业股份有限公司</w:t>
            </w:r>
          </w:p>
        </w:tc>
      </w:tr>
      <w:tr>
        <w:tblPrEx>
          <w:tblCellMar>
            <w:top w:w="0" w:type="dxa"/>
            <w:left w:w="108" w:type="dxa"/>
            <w:bottom w:w="0" w:type="dxa"/>
            <w:right w:w="108" w:type="dxa"/>
          </w:tblCellMar>
        </w:tblPrEx>
        <w:trPr>
          <w:trHeight w:val="501"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4</w:t>
            </w:r>
            <w:r>
              <w:rPr>
                <w:rFonts w:ascii="Times New Roman" w:hAnsi="Times New Roman" w:eastAsia="等线" w:cs="Times New Roman"/>
                <w:color w:val="000000"/>
                <w:sz w:val="18"/>
                <w:szCs w:val="18"/>
              </w:rPr>
              <w:t>6</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坎地沙坦酯片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4mg*7</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*2</w:t>
            </w:r>
            <w:r>
              <w:rPr>
                <w:rFonts w:ascii="Times New Roman" w:hAnsi="Times New Roman" w:eastAsia="宋体" w:cs="Times New Roman"/>
                <w:color w:val="333333"/>
                <w:sz w:val="18"/>
                <w:szCs w:val="18"/>
              </w:rPr>
              <w:t>板</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天地恒一制药股份有限公司</w:t>
            </w:r>
          </w:p>
        </w:tc>
      </w:tr>
      <w:tr>
        <w:tblPrEx>
          <w:tblCellMar>
            <w:top w:w="0" w:type="dxa"/>
            <w:left w:w="108" w:type="dxa"/>
            <w:bottom w:w="0" w:type="dxa"/>
            <w:right w:w="108" w:type="dxa"/>
          </w:tblCellMar>
        </w:tblPrEx>
        <w:trPr>
          <w:trHeight w:val="501"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hint="eastAsia" w:ascii="Times New Roman" w:hAnsi="Times New Roman" w:eastAsia="等线" w:cs="Times New Roman"/>
                <w:color w:val="333333"/>
                <w:sz w:val="18"/>
                <w:szCs w:val="18"/>
              </w:rPr>
              <w:t>4</w:t>
            </w:r>
            <w:r>
              <w:rPr>
                <w:rFonts w:ascii="Times New Roman" w:hAnsi="Times New Roman" w:eastAsia="等线" w:cs="Times New Roman"/>
                <w:color w:val="333333"/>
                <w:sz w:val="18"/>
                <w:szCs w:val="18"/>
              </w:rPr>
              <w:t>7</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盐酸特拉唑嗪胶囊</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胶囊剂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2mg*6</w:t>
            </w:r>
            <w:r>
              <w:rPr>
                <w:rFonts w:ascii="Times New Roman" w:hAnsi="Times New Roman" w:eastAsia="宋体" w:cs="Times New Roman"/>
                <w:color w:val="333333"/>
                <w:sz w:val="18"/>
                <w:szCs w:val="18"/>
              </w:rPr>
              <w:t>粒</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*8</w:t>
            </w:r>
            <w:r>
              <w:rPr>
                <w:rFonts w:ascii="Times New Roman" w:hAnsi="Times New Roman" w:eastAsia="宋体" w:cs="Times New Roman"/>
                <w:color w:val="333333"/>
                <w:sz w:val="18"/>
                <w:szCs w:val="18"/>
              </w:rPr>
              <w:t>板</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扬子江药业集团江苏制药股份</w:t>
            </w:r>
          </w:p>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有限公司</w:t>
            </w:r>
          </w:p>
        </w:tc>
      </w:tr>
      <w:tr>
        <w:tblPrEx>
          <w:tblCellMar>
            <w:top w:w="0" w:type="dxa"/>
            <w:left w:w="108" w:type="dxa"/>
            <w:bottom w:w="0" w:type="dxa"/>
            <w:right w:w="108" w:type="dxa"/>
          </w:tblCellMar>
        </w:tblPrEx>
        <w:trPr>
          <w:trHeight w:val="501"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4</w:t>
            </w:r>
            <w:r>
              <w:rPr>
                <w:rFonts w:ascii="Times New Roman" w:hAnsi="Times New Roman" w:eastAsia="等线" w:cs="Times New Roman"/>
                <w:color w:val="000000"/>
                <w:sz w:val="18"/>
                <w:szCs w:val="18"/>
              </w:rPr>
              <w:t>8</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盐酸特拉唑嗪胶囊</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胶囊剂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1mg*6</w:t>
            </w:r>
            <w:r>
              <w:rPr>
                <w:rFonts w:ascii="Times New Roman" w:hAnsi="Times New Roman" w:eastAsia="宋体" w:cs="Times New Roman"/>
                <w:color w:val="333333"/>
                <w:sz w:val="18"/>
                <w:szCs w:val="18"/>
              </w:rPr>
              <w:t>粒</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*8</w:t>
            </w:r>
            <w:r>
              <w:rPr>
                <w:rFonts w:ascii="Times New Roman" w:hAnsi="Times New Roman" w:eastAsia="宋体" w:cs="Times New Roman"/>
                <w:color w:val="333333"/>
                <w:sz w:val="18"/>
                <w:szCs w:val="18"/>
              </w:rPr>
              <w:t>板</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扬子江药业集团江苏制药股份</w:t>
            </w:r>
          </w:p>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有限公司</w:t>
            </w:r>
          </w:p>
        </w:tc>
      </w:tr>
      <w:tr>
        <w:tblPrEx>
          <w:tblCellMar>
            <w:top w:w="0" w:type="dxa"/>
            <w:left w:w="108" w:type="dxa"/>
            <w:bottom w:w="0" w:type="dxa"/>
            <w:right w:w="108" w:type="dxa"/>
          </w:tblCellMar>
        </w:tblPrEx>
        <w:trPr>
          <w:trHeight w:val="501"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4</w:t>
            </w:r>
            <w:r>
              <w:rPr>
                <w:rFonts w:ascii="Times New Roman" w:hAnsi="Times New Roman" w:eastAsia="等线" w:cs="Times New Roman"/>
                <w:color w:val="000000"/>
                <w:sz w:val="18"/>
                <w:szCs w:val="18"/>
              </w:rPr>
              <w:t>9</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盐酸特拉唑嗪片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2mg*14</w:t>
            </w:r>
            <w:r>
              <w:rPr>
                <w:rFonts w:ascii="Times New Roman" w:hAnsi="Times New Roman" w:eastAsia="宋体" w:cs="Times New Roman"/>
                <w:color w:val="333333"/>
                <w:sz w:val="18"/>
                <w:szCs w:val="18"/>
              </w:rPr>
              <w:t>片</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华润赛科药业有限责任公司</w:t>
            </w:r>
          </w:p>
        </w:tc>
      </w:tr>
      <w:tr>
        <w:tblPrEx>
          <w:tblCellMar>
            <w:top w:w="0" w:type="dxa"/>
            <w:left w:w="108" w:type="dxa"/>
            <w:bottom w:w="0" w:type="dxa"/>
            <w:right w:w="108" w:type="dxa"/>
          </w:tblCellMar>
        </w:tblPrEx>
        <w:trPr>
          <w:trHeight w:val="501"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hint="eastAsia" w:ascii="Times New Roman" w:hAnsi="Times New Roman" w:eastAsia="等线" w:cs="Times New Roman"/>
                <w:color w:val="333333"/>
                <w:sz w:val="18"/>
                <w:szCs w:val="18"/>
              </w:rPr>
              <w:t>5</w:t>
            </w:r>
            <w:r>
              <w:rPr>
                <w:rFonts w:ascii="Times New Roman" w:hAnsi="Times New Roman" w:eastAsia="等线" w:cs="Times New Roman"/>
                <w:color w:val="333333"/>
                <w:sz w:val="18"/>
                <w:szCs w:val="18"/>
              </w:rPr>
              <w:t>0</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吲达帕胺片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2</w:t>
            </w:r>
            <w:r>
              <w:rPr>
                <w:rFonts w:hint="eastAsia" w:ascii="Times New Roman" w:hAnsi="Times New Roman" w:eastAsia="等线" w:cs="Times New Roman"/>
                <w:color w:val="333333"/>
                <w:sz w:val="18"/>
                <w:szCs w:val="18"/>
                <w:lang w:eastAsia="zh-CN"/>
              </w:rPr>
              <w:t>.</w:t>
            </w:r>
            <w:r>
              <w:rPr>
                <w:rFonts w:ascii="Times New Roman" w:hAnsi="Times New Roman" w:eastAsia="等线" w:cs="Times New Roman"/>
                <w:color w:val="333333"/>
                <w:sz w:val="18"/>
                <w:szCs w:val="18"/>
              </w:rPr>
              <w:t>5mg*20</w:t>
            </w:r>
            <w:r>
              <w:rPr>
                <w:rFonts w:ascii="Times New Roman" w:hAnsi="Times New Roman" w:eastAsia="宋体" w:cs="Times New Roman"/>
                <w:color w:val="000000"/>
                <w:sz w:val="18"/>
                <w:szCs w:val="18"/>
              </w:rPr>
              <w:t>片</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国药集团工业有限公司</w:t>
            </w:r>
          </w:p>
        </w:tc>
      </w:tr>
      <w:tr>
        <w:tblPrEx>
          <w:tblCellMar>
            <w:top w:w="0" w:type="dxa"/>
            <w:left w:w="108" w:type="dxa"/>
            <w:bottom w:w="0" w:type="dxa"/>
            <w:right w:w="108" w:type="dxa"/>
          </w:tblCellMar>
        </w:tblPrEx>
        <w:trPr>
          <w:trHeight w:val="501"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hint="eastAsia" w:ascii="Times New Roman" w:hAnsi="Times New Roman" w:eastAsia="等线" w:cs="Times New Roman"/>
                <w:color w:val="333333"/>
                <w:sz w:val="18"/>
                <w:szCs w:val="18"/>
              </w:rPr>
              <w:t>5</w:t>
            </w:r>
            <w:r>
              <w:rPr>
                <w:rFonts w:ascii="Times New Roman" w:hAnsi="Times New Roman" w:eastAsia="等线" w:cs="Times New Roman"/>
                <w:color w:val="333333"/>
                <w:sz w:val="18"/>
                <w:szCs w:val="18"/>
              </w:rPr>
              <w:t>1</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吲达帕胺片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2</w:t>
            </w:r>
            <w:r>
              <w:rPr>
                <w:rFonts w:hint="eastAsia" w:ascii="Times New Roman" w:hAnsi="Times New Roman" w:eastAsia="等线" w:cs="Times New Roman"/>
                <w:color w:val="333333"/>
                <w:sz w:val="18"/>
                <w:szCs w:val="18"/>
                <w:lang w:eastAsia="zh-CN"/>
              </w:rPr>
              <w:t>.</w:t>
            </w:r>
            <w:r>
              <w:rPr>
                <w:rFonts w:ascii="Times New Roman" w:hAnsi="Times New Roman" w:eastAsia="等线" w:cs="Times New Roman"/>
                <w:color w:val="333333"/>
                <w:sz w:val="18"/>
                <w:szCs w:val="18"/>
              </w:rPr>
              <w:t>5mg*30</w:t>
            </w:r>
            <w:r>
              <w:rPr>
                <w:rFonts w:ascii="Times New Roman" w:hAnsi="Times New Roman" w:eastAsia="宋体" w:cs="Times New Roman"/>
                <w:color w:val="333333"/>
                <w:sz w:val="18"/>
                <w:szCs w:val="18"/>
              </w:rPr>
              <w:t>片</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烟台巨先药业有限公司</w:t>
            </w:r>
          </w:p>
        </w:tc>
      </w:tr>
      <w:tr>
        <w:tblPrEx>
          <w:tblCellMar>
            <w:top w:w="0" w:type="dxa"/>
            <w:left w:w="108" w:type="dxa"/>
            <w:bottom w:w="0" w:type="dxa"/>
            <w:right w:w="108" w:type="dxa"/>
          </w:tblCellMar>
        </w:tblPrEx>
        <w:trPr>
          <w:trHeight w:val="501"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hint="eastAsia" w:ascii="Times New Roman" w:hAnsi="Times New Roman" w:eastAsia="等线" w:cs="Times New Roman"/>
                <w:color w:val="333333"/>
                <w:sz w:val="18"/>
                <w:szCs w:val="18"/>
              </w:rPr>
              <w:t>5</w:t>
            </w:r>
            <w:r>
              <w:rPr>
                <w:rFonts w:ascii="Times New Roman" w:hAnsi="Times New Roman" w:eastAsia="等线" w:cs="Times New Roman"/>
                <w:color w:val="333333"/>
                <w:sz w:val="18"/>
                <w:szCs w:val="18"/>
              </w:rPr>
              <w:t>2</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吲达帕胺片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2</w:t>
            </w:r>
            <w:r>
              <w:rPr>
                <w:rFonts w:hint="eastAsia" w:ascii="Times New Roman" w:hAnsi="Times New Roman" w:eastAsia="等线" w:cs="Times New Roman"/>
                <w:color w:val="333333"/>
                <w:sz w:val="18"/>
                <w:szCs w:val="18"/>
                <w:lang w:eastAsia="zh-CN"/>
              </w:rPr>
              <w:t>.</w:t>
            </w:r>
            <w:r>
              <w:rPr>
                <w:rFonts w:ascii="Times New Roman" w:hAnsi="Times New Roman" w:eastAsia="等线" w:cs="Times New Roman"/>
                <w:color w:val="333333"/>
                <w:sz w:val="18"/>
                <w:szCs w:val="18"/>
              </w:rPr>
              <w:t>5mg*10</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*3</w:t>
            </w:r>
            <w:r>
              <w:rPr>
                <w:rFonts w:ascii="Times New Roman" w:hAnsi="Times New Roman" w:eastAsia="宋体" w:cs="Times New Roman"/>
                <w:color w:val="333333"/>
                <w:sz w:val="18"/>
                <w:szCs w:val="18"/>
              </w:rPr>
              <w:t>板</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濮阳市汇元药业有限公司</w:t>
            </w:r>
          </w:p>
        </w:tc>
      </w:tr>
      <w:tr>
        <w:tblPrEx>
          <w:tblCellMar>
            <w:top w:w="0" w:type="dxa"/>
            <w:left w:w="108" w:type="dxa"/>
            <w:bottom w:w="0" w:type="dxa"/>
            <w:right w:w="108" w:type="dxa"/>
          </w:tblCellMar>
        </w:tblPrEx>
        <w:trPr>
          <w:trHeight w:val="501"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hint="eastAsia" w:ascii="Times New Roman" w:hAnsi="Times New Roman" w:eastAsia="等线" w:cs="Times New Roman"/>
                <w:color w:val="333333"/>
                <w:sz w:val="18"/>
                <w:szCs w:val="18"/>
              </w:rPr>
              <w:t>5</w:t>
            </w:r>
            <w:r>
              <w:rPr>
                <w:rFonts w:ascii="Times New Roman" w:hAnsi="Times New Roman" w:eastAsia="等线" w:cs="Times New Roman"/>
                <w:color w:val="333333"/>
                <w:sz w:val="18"/>
                <w:szCs w:val="18"/>
              </w:rPr>
              <w:t>3</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吲达帕胺片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2</w:t>
            </w:r>
            <w:r>
              <w:rPr>
                <w:rFonts w:hint="eastAsia" w:ascii="Times New Roman" w:hAnsi="Times New Roman" w:eastAsia="等线" w:cs="Times New Roman"/>
                <w:color w:val="333333"/>
                <w:sz w:val="18"/>
                <w:szCs w:val="18"/>
                <w:lang w:eastAsia="zh-CN"/>
              </w:rPr>
              <w:t>.</w:t>
            </w:r>
            <w:r>
              <w:rPr>
                <w:rFonts w:ascii="Times New Roman" w:hAnsi="Times New Roman" w:eastAsia="等线" w:cs="Times New Roman"/>
                <w:color w:val="333333"/>
                <w:sz w:val="18"/>
                <w:szCs w:val="18"/>
              </w:rPr>
              <w:t>5mg*12</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*4</w:t>
            </w:r>
            <w:r>
              <w:rPr>
                <w:rFonts w:ascii="Times New Roman" w:hAnsi="Times New Roman" w:eastAsia="宋体" w:cs="Times New Roman"/>
                <w:color w:val="333333"/>
                <w:sz w:val="18"/>
                <w:szCs w:val="18"/>
              </w:rPr>
              <w:t>板</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濮阳市汇元药业有限公司</w:t>
            </w:r>
          </w:p>
        </w:tc>
      </w:tr>
      <w:tr>
        <w:tblPrEx>
          <w:tblCellMar>
            <w:top w:w="0" w:type="dxa"/>
            <w:left w:w="108" w:type="dxa"/>
            <w:bottom w:w="0" w:type="dxa"/>
            <w:right w:w="108" w:type="dxa"/>
          </w:tblCellMar>
        </w:tblPrEx>
        <w:trPr>
          <w:trHeight w:val="501"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hint="eastAsia" w:ascii="Times New Roman" w:hAnsi="Times New Roman" w:eastAsia="等线" w:cs="Times New Roman"/>
                <w:color w:val="333333"/>
                <w:sz w:val="18"/>
                <w:szCs w:val="18"/>
              </w:rPr>
              <w:t>5</w:t>
            </w:r>
            <w:r>
              <w:rPr>
                <w:rFonts w:ascii="Times New Roman" w:hAnsi="Times New Roman" w:eastAsia="等线" w:cs="Times New Roman"/>
                <w:color w:val="333333"/>
                <w:sz w:val="18"/>
                <w:szCs w:val="18"/>
              </w:rPr>
              <w:t>4</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吲达帕胺片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2</w:t>
            </w:r>
            <w:r>
              <w:rPr>
                <w:rFonts w:hint="eastAsia" w:ascii="Times New Roman" w:hAnsi="Times New Roman" w:eastAsia="等线" w:cs="Times New Roman"/>
                <w:color w:val="333333"/>
                <w:sz w:val="18"/>
                <w:szCs w:val="18"/>
                <w:lang w:eastAsia="zh-CN"/>
              </w:rPr>
              <w:t>.</w:t>
            </w:r>
            <w:r>
              <w:rPr>
                <w:rFonts w:ascii="Times New Roman" w:hAnsi="Times New Roman" w:eastAsia="等线" w:cs="Times New Roman"/>
                <w:color w:val="333333"/>
                <w:sz w:val="18"/>
                <w:szCs w:val="18"/>
              </w:rPr>
              <w:t>5mg*30</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*2</w:t>
            </w:r>
            <w:r>
              <w:rPr>
                <w:rFonts w:ascii="Times New Roman" w:hAnsi="Times New Roman" w:eastAsia="宋体" w:cs="Times New Roman"/>
                <w:color w:val="333333"/>
                <w:sz w:val="18"/>
                <w:szCs w:val="18"/>
              </w:rPr>
              <w:t>板</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濮阳市汇元药业有限公司</w:t>
            </w:r>
          </w:p>
        </w:tc>
      </w:tr>
      <w:tr>
        <w:tblPrEx>
          <w:tblCellMar>
            <w:top w:w="0" w:type="dxa"/>
            <w:left w:w="108" w:type="dxa"/>
            <w:bottom w:w="0" w:type="dxa"/>
            <w:right w:w="108" w:type="dxa"/>
          </w:tblCellMar>
        </w:tblPrEx>
        <w:trPr>
          <w:trHeight w:val="501"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hint="eastAsia" w:ascii="Times New Roman" w:hAnsi="Times New Roman" w:eastAsia="等线" w:cs="Times New Roman"/>
                <w:color w:val="333333"/>
                <w:sz w:val="18"/>
                <w:szCs w:val="18"/>
              </w:rPr>
              <w:t>5</w:t>
            </w:r>
            <w:r>
              <w:rPr>
                <w:rFonts w:ascii="Times New Roman" w:hAnsi="Times New Roman" w:eastAsia="等线" w:cs="Times New Roman"/>
                <w:color w:val="333333"/>
                <w:sz w:val="18"/>
                <w:szCs w:val="18"/>
              </w:rPr>
              <w:t>5</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吲达帕胺片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2</w:t>
            </w:r>
            <w:r>
              <w:rPr>
                <w:rFonts w:hint="eastAsia" w:ascii="Times New Roman" w:hAnsi="Times New Roman" w:eastAsia="等线" w:cs="Times New Roman"/>
                <w:color w:val="333333"/>
                <w:sz w:val="18"/>
                <w:szCs w:val="18"/>
                <w:lang w:eastAsia="zh-CN"/>
              </w:rPr>
              <w:t>.</w:t>
            </w:r>
            <w:r>
              <w:rPr>
                <w:rFonts w:ascii="Times New Roman" w:hAnsi="Times New Roman" w:eastAsia="等线" w:cs="Times New Roman"/>
                <w:color w:val="333333"/>
                <w:sz w:val="18"/>
                <w:szCs w:val="18"/>
              </w:rPr>
              <w:t>5mg*10</w:t>
            </w:r>
            <w:r>
              <w:rPr>
                <w:rFonts w:ascii="Times New Roman" w:hAnsi="Times New Roman" w:eastAsia="宋体" w:cs="Times New Roman"/>
                <w:color w:val="333333"/>
                <w:sz w:val="18"/>
                <w:szCs w:val="18"/>
              </w:rPr>
              <w:t>片</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重庆药友制药有限责任公司</w:t>
            </w:r>
          </w:p>
        </w:tc>
      </w:tr>
      <w:tr>
        <w:tblPrEx>
          <w:tblCellMar>
            <w:top w:w="0" w:type="dxa"/>
            <w:left w:w="108" w:type="dxa"/>
            <w:bottom w:w="0" w:type="dxa"/>
            <w:right w:w="108" w:type="dxa"/>
          </w:tblCellMar>
        </w:tblPrEx>
        <w:trPr>
          <w:trHeight w:val="501"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hint="eastAsia" w:ascii="Times New Roman" w:hAnsi="Times New Roman" w:eastAsia="等线" w:cs="Times New Roman"/>
                <w:color w:val="333333"/>
                <w:sz w:val="18"/>
                <w:szCs w:val="18"/>
              </w:rPr>
              <w:t>5</w:t>
            </w:r>
            <w:r>
              <w:rPr>
                <w:rFonts w:ascii="Times New Roman" w:hAnsi="Times New Roman" w:eastAsia="等线" w:cs="Times New Roman"/>
                <w:color w:val="333333"/>
                <w:sz w:val="18"/>
                <w:szCs w:val="18"/>
              </w:rPr>
              <w:t>6</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吲达帕胺片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2</w:t>
            </w:r>
            <w:r>
              <w:rPr>
                <w:rFonts w:hint="eastAsia" w:ascii="Times New Roman" w:hAnsi="Times New Roman" w:eastAsia="等线" w:cs="Times New Roman"/>
                <w:color w:val="333333"/>
                <w:sz w:val="18"/>
                <w:szCs w:val="18"/>
                <w:lang w:eastAsia="zh-CN"/>
              </w:rPr>
              <w:t>.</w:t>
            </w:r>
            <w:r>
              <w:rPr>
                <w:rFonts w:ascii="Times New Roman" w:hAnsi="Times New Roman" w:eastAsia="等线" w:cs="Times New Roman"/>
                <w:color w:val="333333"/>
                <w:sz w:val="18"/>
                <w:szCs w:val="18"/>
              </w:rPr>
              <w:t>5mg*10</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*3</w:t>
            </w:r>
            <w:r>
              <w:rPr>
                <w:rFonts w:ascii="Times New Roman" w:hAnsi="Times New Roman" w:eastAsia="宋体" w:cs="Times New Roman"/>
                <w:color w:val="333333"/>
                <w:sz w:val="18"/>
                <w:szCs w:val="18"/>
              </w:rPr>
              <w:t>板</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重庆药友制药有限责任公司</w:t>
            </w:r>
          </w:p>
        </w:tc>
      </w:tr>
      <w:tr>
        <w:tblPrEx>
          <w:tblCellMar>
            <w:top w:w="0" w:type="dxa"/>
            <w:left w:w="108" w:type="dxa"/>
            <w:bottom w:w="0" w:type="dxa"/>
            <w:right w:w="108" w:type="dxa"/>
          </w:tblCellMar>
        </w:tblPrEx>
        <w:trPr>
          <w:trHeight w:val="501"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hint="eastAsia" w:ascii="Times New Roman" w:hAnsi="Times New Roman" w:eastAsia="等线" w:cs="Times New Roman"/>
                <w:color w:val="333333"/>
                <w:sz w:val="18"/>
                <w:szCs w:val="18"/>
              </w:rPr>
              <w:t>5</w:t>
            </w:r>
            <w:r>
              <w:rPr>
                <w:rFonts w:ascii="Times New Roman" w:hAnsi="Times New Roman" w:eastAsia="等线" w:cs="Times New Roman"/>
                <w:color w:val="333333"/>
                <w:sz w:val="18"/>
                <w:szCs w:val="18"/>
              </w:rPr>
              <w:t>7</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吲达帕胺片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2</w:t>
            </w:r>
            <w:r>
              <w:rPr>
                <w:rFonts w:hint="eastAsia" w:ascii="Times New Roman" w:hAnsi="Times New Roman" w:eastAsia="等线" w:cs="Times New Roman"/>
                <w:color w:val="333333"/>
                <w:sz w:val="18"/>
                <w:szCs w:val="18"/>
                <w:lang w:eastAsia="zh-CN"/>
              </w:rPr>
              <w:t>.</w:t>
            </w:r>
            <w:r>
              <w:rPr>
                <w:rFonts w:ascii="Times New Roman" w:hAnsi="Times New Roman" w:eastAsia="等线" w:cs="Times New Roman"/>
                <w:color w:val="333333"/>
                <w:sz w:val="18"/>
                <w:szCs w:val="18"/>
              </w:rPr>
              <w:t>5mg*30</w:t>
            </w:r>
            <w:r>
              <w:rPr>
                <w:rFonts w:ascii="Times New Roman" w:hAnsi="Times New Roman" w:eastAsia="宋体" w:cs="Times New Roman"/>
                <w:color w:val="333333"/>
                <w:sz w:val="18"/>
                <w:szCs w:val="18"/>
              </w:rPr>
              <w:t>片</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天津天士力（辽宁）制药</w:t>
            </w:r>
          </w:p>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有限责任公司</w:t>
            </w:r>
          </w:p>
        </w:tc>
      </w:tr>
      <w:tr>
        <w:tblPrEx>
          <w:tblCellMar>
            <w:top w:w="0" w:type="dxa"/>
            <w:left w:w="108" w:type="dxa"/>
            <w:bottom w:w="0" w:type="dxa"/>
            <w:right w:w="108" w:type="dxa"/>
          </w:tblCellMar>
        </w:tblPrEx>
        <w:trPr>
          <w:trHeight w:val="50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5</w:t>
            </w:r>
            <w:r>
              <w:rPr>
                <w:rFonts w:ascii="Times New Roman" w:hAnsi="Times New Roman" w:eastAsia="宋体" w:cs="Times New Roman"/>
                <w:color w:val="333333"/>
                <w:sz w:val="18"/>
                <w:szCs w:val="18"/>
              </w:rPr>
              <w:t>8</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盐酸二甲双胍缓释片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缓释片</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0</w:t>
            </w:r>
            <w:r>
              <w:rPr>
                <w:rFonts w:hint="eastAsia" w:ascii="Times New Roman" w:hAnsi="Times New Roman" w:eastAsia="等线" w:cs="Times New Roman"/>
                <w:color w:val="333333"/>
                <w:sz w:val="18"/>
                <w:szCs w:val="18"/>
                <w:lang w:eastAsia="zh-CN"/>
              </w:rPr>
              <w:t>.</w:t>
            </w:r>
            <w:r>
              <w:rPr>
                <w:rFonts w:ascii="Times New Roman" w:hAnsi="Times New Roman" w:eastAsia="等线" w:cs="Times New Roman"/>
                <w:color w:val="333333"/>
                <w:sz w:val="18"/>
                <w:szCs w:val="18"/>
              </w:rPr>
              <w:t>5g*10</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*3</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江苏德源药业股份有限公司</w:t>
            </w:r>
          </w:p>
        </w:tc>
      </w:tr>
      <w:tr>
        <w:tblPrEx>
          <w:tblCellMar>
            <w:top w:w="0" w:type="dxa"/>
            <w:left w:w="108" w:type="dxa"/>
            <w:bottom w:w="0" w:type="dxa"/>
            <w:right w:w="108" w:type="dxa"/>
          </w:tblCellMar>
        </w:tblPrEx>
        <w:trPr>
          <w:trHeight w:val="50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5</w:t>
            </w:r>
            <w:r>
              <w:rPr>
                <w:rFonts w:ascii="Times New Roman" w:hAnsi="Times New Roman" w:eastAsia="宋体" w:cs="Times New Roman"/>
                <w:color w:val="333333"/>
                <w:sz w:val="18"/>
                <w:szCs w:val="18"/>
              </w:rPr>
              <w:t>9</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盐酸二甲双胍缓释片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缓释片</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0</w:t>
            </w:r>
            <w:r>
              <w:rPr>
                <w:rFonts w:hint="eastAsia" w:ascii="Times New Roman" w:hAnsi="Times New Roman" w:eastAsia="等线" w:cs="Times New Roman"/>
                <w:color w:val="333333"/>
                <w:sz w:val="18"/>
                <w:szCs w:val="18"/>
                <w:lang w:eastAsia="zh-CN"/>
              </w:rPr>
              <w:t>.</w:t>
            </w:r>
            <w:r>
              <w:rPr>
                <w:rFonts w:ascii="Times New Roman" w:hAnsi="Times New Roman" w:eastAsia="等线" w:cs="Times New Roman"/>
                <w:color w:val="333333"/>
                <w:sz w:val="18"/>
                <w:szCs w:val="18"/>
              </w:rPr>
              <w:t>5g*8</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*8</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天方药业有限公司</w:t>
            </w:r>
          </w:p>
        </w:tc>
      </w:tr>
      <w:tr>
        <w:tblPrEx>
          <w:tblCellMar>
            <w:top w:w="0" w:type="dxa"/>
            <w:left w:w="108" w:type="dxa"/>
            <w:bottom w:w="0" w:type="dxa"/>
            <w:right w:w="108" w:type="dxa"/>
          </w:tblCellMar>
        </w:tblPrEx>
        <w:trPr>
          <w:trHeight w:val="504" w:hRule="atLeast"/>
          <w:jc w:val="center"/>
        </w:trPr>
        <w:tc>
          <w:tcPr>
            <w:tcW w:w="920" w:type="dxa"/>
            <w:tcBorders>
              <w:top w:val="nil"/>
              <w:left w:val="single" w:color="auto" w:sz="8"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6</w:t>
            </w:r>
            <w:r>
              <w:rPr>
                <w:rFonts w:ascii="Times New Roman" w:hAnsi="Times New Roman" w:eastAsia="宋体" w:cs="Times New Roman"/>
                <w:color w:val="333333"/>
                <w:sz w:val="18"/>
                <w:szCs w:val="18"/>
              </w:rPr>
              <w:t>0</w:t>
            </w:r>
          </w:p>
        </w:tc>
        <w:tc>
          <w:tcPr>
            <w:tcW w:w="1839"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盐酸二甲双胍缓释片</w:t>
            </w:r>
          </w:p>
        </w:tc>
        <w:tc>
          <w:tcPr>
            <w:tcW w:w="927"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缓释片</w:t>
            </w:r>
          </w:p>
        </w:tc>
        <w:tc>
          <w:tcPr>
            <w:tcW w:w="232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0</w:t>
            </w:r>
            <w:r>
              <w:rPr>
                <w:rFonts w:hint="eastAsia" w:ascii="Times New Roman" w:hAnsi="Times New Roman" w:eastAsia="等线" w:cs="Times New Roman"/>
                <w:color w:val="333333"/>
                <w:sz w:val="18"/>
                <w:szCs w:val="18"/>
                <w:lang w:eastAsia="zh-CN"/>
              </w:rPr>
              <w:t>.</w:t>
            </w:r>
            <w:r>
              <w:rPr>
                <w:rFonts w:ascii="Times New Roman" w:hAnsi="Times New Roman" w:eastAsia="等线" w:cs="Times New Roman"/>
                <w:color w:val="333333"/>
                <w:sz w:val="18"/>
                <w:szCs w:val="18"/>
              </w:rPr>
              <w:t>5g*10</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*1</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北京万辉双鹤药业有限责任公司</w:t>
            </w:r>
          </w:p>
        </w:tc>
      </w:tr>
      <w:tr>
        <w:tblPrEx>
          <w:tblCellMar>
            <w:top w:w="0" w:type="dxa"/>
            <w:left w:w="108" w:type="dxa"/>
            <w:bottom w:w="0" w:type="dxa"/>
            <w:right w:w="108" w:type="dxa"/>
          </w:tblCellMar>
        </w:tblPrEx>
        <w:trPr>
          <w:trHeight w:val="504" w:hRule="atLeast"/>
          <w:jc w:val="center"/>
        </w:trPr>
        <w:tc>
          <w:tcPr>
            <w:tcW w:w="920"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6</w:t>
            </w:r>
            <w:r>
              <w:rPr>
                <w:rFonts w:ascii="Times New Roman" w:hAnsi="Times New Roman" w:eastAsia="宋体" w:cs="Times New Roman"/>
                <w:color w:val="333333"/>
                <w:sz w:val="18"/>
                <w:szCs w:val="18"/>
              </w:rPr>
              <w:t>1</w:t>
            </w:r>
          </w:p>
        </w:tc>
        <w:tc>
          <w:tcPr>
            <w:tcW w:w="1839"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盐酸二甲双胍缓释片</w:t>
            </w:r>
          </w:p>
        </w:tc>
        <w:tc>
          <w:tcPr>
            <w:tcW w:w="927"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缓释片</w:t>
            </w:r>
          </w:p>
        </w:tc>
        <w:tc>
          <w:tcPr>
            <w:tcW w:w="2320"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0</w:t>
            </w:r>
            <w:r>
              <w:rPr>
                <w:rFonts w:hint="eastAsia" w:ascii="Times New Roman" w:hAnsi="Times New Roman" w:eastAsia="等线" w:cs="Times New Roman"/>
                <w:color w:val="333333"/>
                <w:sz w:val="18"/>
                <w:szCs w:val="18"/>
                <w:lang w:eastAsia="zh-CN"/>
              </w:rPr>
              <w:t>.</w:t>
            </w:r>
            <w:r>
              <w:rPr>
                <w:rFonts w:ascii="Times New Roman" w:hAnsi="Times New Roman" w:eastAsia="等线" w:cs="Times New Roman"/>
                <w:color w:val="333333"/>
                <w:sz w:val="18"/>
                <w:szCs w:val="18"/>
              </w:rPr>
              <w:t>5g*10</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*3</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北京万辉双鹤药业有限责任公司</w:t>
            </w:r>
          </w:p>
        </w:tc>
      </w:tr>
      <w:tr>
        <w:tblPrEx>
          <w:tblCellMar>
            <w:top w:w="0" w:type="dxa"/>
            <w:left w:w="108" w:type="dxa"/>
            <w:bottom w:w="0" w:type="dxa"/>
            <w:right w:w="108" w:type="dxa"/>
          </w:tblCellMar>
        </w:tblPrEx>
        <w:trPr>
          <w:trHeight w:val="504" w:hRule="atLeast"/>
          <w:jc w:val="center"/>
        </w:trPr>
        <w:tc>
          <w:tcPr>
            <w:tcW w:w="920"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6</w:t>
            </w:r>
            <w:r>
              <w:rPr>
                <w:rFonts w:ascii="Times New Roman" w:hAnsi="Times New Roman" w:eastAsia="宋体" w:cs="Times New Roman"/>
                <w:color w:val="333333"/>
                <w:sz w:val="18"/>
                <w:szCs w:val="18"/>
              </w:rPr>
              <w:t>2</w:t>
            </w:r>
          </w:p>
        </w:tc>
        <w:tc>
          <w:tcPr>
            <w:tcW w:w="1839"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盐酸二甲双胍缓释片</w:t>
            </w:r>
          </w:p>
        </w:tc>
        <w:tc>
          <w:tcPr>
            <w:tcW w:w="927"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缓释片</w:t>
            </w:r>
          </w:p>
        </w:tc>
        <w:tc>
          <w:tcPr>
            <w:tcW w:w="2320"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0</w:t>
            </w:r>
            <w:r>
              <w:rPr>
                <w:rFonts w:hint="eastAsia" w:ascii="Times New Roman" w:hAnsi="Times New Roman" w:eastAsia="等线" w:cs="Times New Roman"/>
                <w:color w:val="333333"/>
                <w:sz w:val="18"/>
                <w:szCs w:val="18"/>
                <w:lang w:eastAsia="zh-CN"/>
              </w:rPr>
              <w:t>.</w:t>
            </w:r>
            <w:r>
              <w:rPr>
                <w:rFonts w:ascii="Times New Roman" w:hAnsi="Times New Roman" w:eastAsia="等线" w:cs="Times New Roman"/>
                <w:color w:val="333333"/>
                <w:sz w:val="18"/>
                <w:szCs w:val="18"/>
              </w:rPr>
              <w:t>5g*60</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瓶</w:t>
            </w:r>
          </w:p>
        </w:tc>
        <w:tc>
          <w:tcPr>
            <w:tcW w:w="715"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瓶</w:t>
            </w:r>
          </w:p>
        </w:tc>
        <w:tc>
          <w:tcPr>
            <w:tcW w:w="2908"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石药集团欧意药业有限公司</w:t>
            </w:r>
          </w:p>
        </w:tc>
      </w:tr>
      <w:tr>
        <w:tblPrEx>
          <w:tblCellMar>
            <w:top w:w="0" w:type="dxa"/>
            <w:left w:w="108" w:type="dxa"/>
            <w:bottom w:w="0" w:type="dxa"/>
            <w:right w:w="108" w:type="dxa"/>
          </w:tblCellMar>
        </w:tblPrEx>
        <w:trPr>
          <w:trHeight w:val="504" w:hRule="atLeast"/>
          <w:jc w:val="center"/>
        </w:trPr>
        <w:tc>
          <w:tcPr>
            <w:tcW w:w="920"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6</w:t>
            </w:r>
            <w:r>
              <w:rPr>
                <w:rFonts w:ascii="Times New Roman" w:hAnsi="Times New Roman" w:eastAsia="宋体" w:cs="Times New Roman"/>
                <w:color w:val="333333"/>
                <w:sz w:val="18"/>
                <w:szCs w:val="18"/>
              </w:rPr>
              <w:t>3</w:t>
            </w:r>
          </w:p>
        </w:tc>
        <w:tc>
          <w:tcPr>
            <w:tcW w:w="1839"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盐酸二甲双胍缓释片</w:t>
            </w:r>
          </w:p>
        </w:tc>
        <w:tc>
          <w:tcPr>
            <w:tcW w:w="927"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缓释片</w:t>
            </w:r>
          </w:p>
        </w:tc>
        <w:tc>
          <w:tcPr>
            <w:tcW w:w="2320"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0</w:t>
            </w:r>
            <w:r>
              <w:rPr>
                <w:rFonts w:hint="eastAsia" w:ascii="Times New Roman" w:hAnsi="Times New Roman" w:eastAsia="等线" w:cs="Times New Roman"/>
                <w:color w:val="333333"/>
                <w:sz w:val="18"/>
                <w:szCs w:val="18"/>
                <w:lang w:eastAsia="zh-CN"/>
              </w:rPr>
              <w:t>.</w:t>
            </w:r>
            <w:r>
              <w:rPr>
                <w:rFonts w:ascii="Times New Roman" w:hAnsi="Times New Roman" w:eastAsia="等线" w:cs="Times New Roman"/>
                <w:color w:val="333333"/>
                <w:sz w:val="18"/>
                <w:szCs w:val="18"/>
              </w:rPr>
              <w:t>5g*10</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*3</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石家庄市华新药业有限责任公司</w:t>
            </w:r>
          </w:p>
        </w:tc>
      </w:tr>
      <w:tr>
        <w:tblPrEx>
          <w:tblCellMar>
            <w:top w:w="0" w:type="dxa"/>
            <w:left w:w="108" w:type="dxa"/>
            <w:bottom w:w="0" w:type="dxa"/>
            <w:right w:w="108" w:type="dxa"/>
          </w:tblCellMar>
        </w:tblPrEx>
        <w:trPr>
          <w:trHeight w:val="504" w:hRule="atLeast"/>
          <w:jc w:val="center"/>
        </w:trPr>
        <w:tc>
          <w:tcPr>
            <w:tcW w:w="920" w:type="dxa"/>
            <w:tcBorders>
              <w:top w:val="single" w:color="auto" w:sz="4"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6</w:t>
            </w:r>
            <w:r>
              <w:rPr>
                <w:rFonts w:ascii="Times New Roman" w:hAnsi="Times New Roman" w:eastAsia="宋体" w:cs="Times New Roman"/>
                <w:color w:val="333333"/>
                <w:sz w:val="18"/>
                <w:szCs w:val="18"/>
              </w:rPr>
              <w:t>4</w:t>
            </w:r>
          </w:p>
        </w:tc>
        <w:tc>
          <w:tcPr>
            <w:tcW w:w="1839"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盐酸二甲双胍缓释片</w:t>
            </w:r>
          </w:p>
        </w:tc>
        <w:tc>
          <w:tcPr>
            <w:tcW w:w="927"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缓释片</w:t>
            </w:r>
          </w:p>
        </w:tc>
        <w:tc>
          <w:tcPr>
            <w:tcW w:w="2320"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0</w:t>
            </w:r>
            <w:r>
              <w:rPr>
                <w:rFonts w:hint="eastAsia" w:ascii="Times New Roman" w:hAnsi="Times New Roman" w:eastAsia="等线" w:cs="Times New Roman"/>
                <w:color w:val="333333"/>
                <w:sz w:val="18"/>
                <w:szCs w:val="18"/>
                <w:lang w:eastAsia="zh-CN"/>
              </w:rPr>
              <w:t>.</w:t>
            </w:r>
            <w:r>
              <w:rPr>
                <w:rFonts w:ascii="Times New Roman" w:hAnsi="Times New Roman" w:eastAsia="等线" w:cs="Times New Roman"/>
                <w:color w:val="333333"/>
                <w:sz w:val="18"/>
                <w:szCs w:val="18"/>
              </w:rPr>
              <w:t>5g*12</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*3</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南京亿华药业有限公司</w:t>
            </w:r>
          </w:p>
        </w:tc>
      </w:tr>
      <w:tr>
        <w:tblPrEx>
          <w:tblCellMar>
            <w:top w:w="0" w:type="dxa"/>
            <w:left w:w="108" w:type="dxa"/>
            <w:bottom w:w="0" w:type="dxa"/>
            <w:right w:w="108" w:type="dxa"/>
          </w:tblCellMar>
        </w:tblPrEx>
        <w:trPr>
          <w:trHeight w:val="50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6</w:t>
            </w:r>
            <w:r>
              <w:rPr>
                <w:rFonts w:ascii="Times New Roman" w:hAnsi="Times New Roman" w:eastAsia="宋体" w:cs="Times New Roman"/>
                <w:color w:val="333333"/>
                <w:sz w:val="18"/>
                <w:szCs w:val="18"/>
              </w:rPr>
              <w:t>5</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盐酸二甲双胍缓释片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缓释片</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0</w:t>
            </w:r>
            <w:r>
              <w:rPr>
                <w:rFonts w:hint="eastAsia" w:ascii="Times New Roman" w:hAnsi="Times New Roman" w:eastAsia="等线" w:cs="Times New Roman"/>
                <w:color w:val="333333"/>
                <w:sz w:val="18"/>
                <w:szCs w:val="18"/>
                <w:lang w:eastAsia="zh-CN"/>
              </w:rPr>
              <w:t>.</w:t>
            </w:r>
            <w:r>
              <w:rPr>
                <w:rFonts w:ascii="Times New Roman" w:hAnsi="Times New Roman" w:eastAsia="等线" w:cs="Times New Roman"/>
                <w:color w:val="333333"/>
                <w:sz w:val="18"/>
                <w:szCs w:val="18"/>
              </w:rPr>
              <w:t>5g*60</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广东赛康制药厂有限公司</w:t>
            </w:r>
          </w:p>
        </w:tc>
      </w:tr>
      <w:tr>
        <w:tblPrEx>
          <w:tblCellMar>
            <w:top w:w="0" w:type="dxa"/>
            <w:left w:w="108" w:type="dxa"/>
            <w:bottom w:w="0" w:type="dxa"/>
            <w:right w:w="108" w:type="dxa"/>
          </w:tblCellMar>
        </w:tblPrEx>
        <w:trPr>
          <w:trHeight w:val="50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6</w:t>
            </w:r>
            <w:r>
              <w:rPr>
                <w:rFonts w:ascii="Times New Roman" w:hAnsi="Times New Roman" w:eastAsia="宋体" w:cs="Times New Roman"/>
                <w:color w:val="333333"/>
                <w:sz w:val="18"/>
                <w:szCs w:val="18"/>
              </w:rPr>
              <w:t>6</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盐酸二甲双胍缓释片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缓释片</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0</w:t>
            </w:r>
            <w:r>
              <w:rPr>
                <w:rFonts w:hint="eastAsia" w:ascii="Times New Roman" w:hAnsi="Times New Roman" w:eastAsia="等线" w:cs="Times New Roman"/>
                <w:color w:val="333333"/>
                <w:sz w:val="18"/>
                <w:szCs w:val="18"/>
                <w:lang w:eastAsia="zh-CN"/>
              </w:rPr>
              <w:t>.</w:t>
            </w:r>
            <w:r>
              <w:rPr>
                <w:rFonts w:ascii="Times New Roman" w:hAnsi="Times New Roman" w:eastAsia="等线" w:cs="Times New Roman"/>
                <w:color w:val="333333"/>
                <w:sz w:val="18"/>
                <w:szCs w:val="18"/>
              </w:rPr>
              <w:t>5g*60</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瓶</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瓶</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悦康药业集团股份有限公司</w:t>
            </w:r>
          </w:p>
        </w:tc>
      </w:tr>
      <w:tr>
        <w:tblPrEx>
          <w:tblCellMar>
            <w:top w:w="0" w:type="dxa"/>
            <w:left w:w="108" w:type="dxa"/>
            <w:bottom w:w="0" w:type="dxa"/>
            <w:right w:w="108" w:type="dxa"/>
          </w:tblCellMar>
        </w:tblPrEx>
        <w:trPr>
          <w:trHeight w:val="45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6</w:t>
            </w:r>
            <w:r>
              <w:rPr>
                <w:rFonts w:ascii="Times New Roman" w:hAnsi="Times New Roman" w:eastAsia="宋体" w:cs="Times New Roman"/>
                <w:color w:val="333333"/>
                <w:sz w:val="18"/>
                <w:szCs w:val="18"/>
              </w:rPr>
              <w:t>7</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盐酸二甲双胍片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0</w:t>
            </w:r>
            <w:r>
              <w:rPr>
                <w:rFonts w:hint="eastAsia" w:ascii="Times New Roman" w:hAnsi="Times New Roman" w:eastAsia="等线" w:cs="Times New Roman"/>
                <w:color w:val="333333"/>
                <w:sz w:val="18"/>
                <w:szCs w:val="18"/>
                <w:lang w:eastAsia="zh-CN"/>
              </w:rPr>
              <w:t>.</w:t>
            </w:r>
            <w:r>
              <w:rPr>
                <w:rFonts w:ascii="Times New Roman" w:hAnsi="Times New Roman" w:eastAsia="等线" w:cs="Times New Roman"/>
                <w:color w:val="333333"/>
                <w:sz w:val="18"/>
                <w:szCs w:val="18"/>
              </w:rPr>
              <w:t>25g*21</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*4</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小盒</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重庆科瑞制药（集团）有限公司</w:t>
            </w:r>
          </w:p>
        </w:tc>
      </w:tr>
      <w:tr>
        <w:tblPrEx>
          <w:tblCellMar>
            <w:top w:w="0" w:type="dxa"/>
            <w:left w:w="108" w:type="dxa"/>
            <w:bottom w:w="0" w:type="dxa"/>
            <w:right w:w="108" w:type="dxa"/>
          </w:tblCellMar>
        </w:tblPrEx>
        <w:trPr>
          <w:trHeight w:val="45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6</w:t>
            </w:r>
            <w:r>
              <w:rPr>
                <w:rFonts w:ascii="Times New Roman" w:hAnsi="Times New Roman" w:eastAsia="宋体" w:cs="Times New Roman"/>
                <w:color w:val="333333"/>
                <w:sz w:val="18"/>
                <w:szCs w:val="18"/>
              </w:rPr>
              <w:t>8</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盐酸二甲双胍片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0</w:t>
            </w:r>
            <w:r>
              <w:rPr>
                <w:rFonts w:hint="eastAsia" w:ascii="Times New Roman" w:hAnsi="Times New Roman" w:eastAsia="等线" w:cs="Times New Roman"/>
                <w:color w:val="333333"/>
                <w:sz w:val="18"/>
                <w:szCs w:val="18"/>
                <w:lang w:eastAsia="zh-CN"/>
              </w:rPr>
              <w:t>.</w:t>
            </w:r>
            <w:r>
              <w:rPr>
                <w:rFonts w:ascii="Times New Roman" w:hAnsi="Times New Roman" w:eastAsia="等线" w:cs="Times New Roman"/>
                <w:color w:val="333333"/>
                <w:sz w:val="18"/>
                <w:szCs w:val="18"/>
              </w:rPr>
              <w:t>25g*100</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瓶</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北京京丰制药集团有限公司</w:t>
            </w:r>
          </w:p>
        </w:tc>
      </w:tr>
      <w:tr>
        <w:tblPrEx>
          <w:tblCellMar>
            <w:top w:w="0" w:type="dxa"/>
            <w:left w:w="108" w:type="dxa"/>
            <w:bottom w:w="0" w:type="dxa"/>
            <w:right w:w="108" w:type="dxa"/>
          </w:tblCellMar>
        </w:tblPrEx>
        <w:trPr>
          <w:trHeight w:val="45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6</w:t>
            </w:r>
            <w:r>
              <w:rPr>
                <w:rFonts w:ascii="Times New Roman" w:hAnsi="Times New Roman" w:eastAsia="宋体" w:cs="Times New Roman"/>
                <w:color w:val="333333"/>
                <w:sz w:val="18"/>
                <w:szCs w:val="18"/>
              </w:rPr>
              <w:t>9</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盐酸二甲双胍片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0</w:t>
            </w:r>
            <w:r>
              <w:rPr>
                <w:rFonts w:hint="eastAsia" w:ascii="Times New Roman" w:hAnsi="Times New Roman" w:eastAsia="等线" w:cs="Times New Roman"/>
                <w:color w:val="333333"/>
                <w:sz w:val="18"/>
                <w:szCs w:val="18"/>
                <w:lang w:eastAsia="zh-CN"/>
              </w:rPr>
              <w:t>.</w:t>
            </w:r>
            <w:r>
              <w:rPr>
                <w:rFonts w:ascii="Times New Roman" w:hAnsi="Times New Roman" w:eastAsia="等线" w:cs="Times New Roman"/>
                <w:color w:val="333333"/>
                <w:sz w:val="18"/>
                <w:szCs w:val="18"/>
              </w:rPr>
              <w:t>25g*60</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瓶</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瓶</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上海信谊天平药业有限公司</w:t>
            </w:r>
          </w:p>
        </w:tc>
      </w:tr>
      <w:tr>
        <w:tblPrEx>
          <w:tblCellMar>
            <w:top w:w="0" w:type="dxa"/>
            <w:left w:w="108" w:type="dxa"/>
            <w:bottom w:w="0" w:type="dxa"/>
            <w:right w:w="108" w:type="dxa"/>
          </w:tblCellMar>
        </w:tblPrEx>
        <w:trPr>
          <w:trHeight w:val="45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7</w:t>
            </w:r>
            <w:r>
              <w:rPr>
                <w:rFonts w:ascii="Times New Roman" w:hAnsi="Times New Roman" w:eastAsia="宋体" w:cs="Times New Roman"/>
                <w:color w:val="333333"/>
                <w:sz w:val="18"/>
                <w:szCs w:val="18"/>
              </w:rPr>
              <w:t>0</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盐酸二甲双胍片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0</w:t>
            </w:r>
            <w:r>
              <w:rPr>
                <w:rFonts w:hint="eastAsia" w:ascii="Times New Roman" w:hAnsi="Times New Roman" w:eastAsia="等线" w:cs="Times New Roman"/>
                <w:color w:val="333333"/>
                <w:sz w:val="18"/>
                <w:szCs w:val="18"/>
                <w:lang w:eastAsia="zh-CN"/>
              </w:rPr>
              <w:t>.</w:t>
            </w:r>
            <w:r>
              <w:rPr>
                <w:rFonts w:ascii="Times New Roman" w:hAnsi="Times New Roman" w:eastAsia="等线" w:cs="Times New Roman"/>
                <w:color w:val="333333"/>
                <w:sz w:val="18"/>
                <w:szCs w:val="18"/>
              </w:rPr>
              <w:t>5g*6*10</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石药集团欧意药业有限公司</w:t>
            </w:r>
          </w:p>
        </w:tc>
      </w:tr>
      <w:tr>
        <w:tblPrEx>
          <w:tblCellMar>
            <w:top w:w="0" w:type="dxa"/>
            <w:left w:w="108" w:type="dxa"/>
            <w:bottom w:w="0" w:type="dxa"/>
            <w:right w:w="108" w:type="dxa"/>
          </w:tblCellMar>
        </w:tblPrEx>
        <w:trPr>
          <w:trHeight w:val="45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7</w:t>
            </w:r>
            <w:r>
              <w:rPr>
                <w:rFonts w:ascii="Times New Roman" w:hAnsi="Times New Roman" w:eastAsia="宋体" w:cs="Times New Roman"/>
                <w:color w:val="333333"/>
                <w:sz w:val="18"/>
                <w:szCs w:val="18"/>
              </w:rPr>
              <w:t>1</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盐酸二甲双胍片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0</w:t>
            </w:r>
            <w:r>
              <w:rPr>
                <w:rFonts w:hint="eastAsia" w:ascii="Times New Roman" w:hAnsi="Times New Roman" w:eastAsia="等线" w:cs="Times New Roman"/>
                <w:color w:val="333333"/>
                <w:sz w:val="18"/>
                <w:szCs w:val="18"/>
                <w:lang w:eastAsia="zh-CN"/>
              </w:rPr>
              <w:t>.</w:t>
            </w:r>
            <w:r>
              <w:rPr>
                <w:rFonts w:ascii="Times New Roman" w:hAnsi="Times New Roman" w:eastAsia="等线" w:cs="Times New Roman"/>
                <w:color w:val="333333"/>
                <w:sz w:val="18"/>
                <w:szCs w:val="18"/>
              </w:rPr>
              <w:t>25g*10</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*10</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蓬莱诺康药业有限公司</w:t>
            </w:r>
          </w:p>
        </w:tc>
      </w:tr>
      <w:tr>
        <w:tblPrEx>
          <w:tblCellMar>
            <w:top w:w="0" w:type="dxa"/>
            <w:left w:w="108" w:type="dxa"/>
            <w:bottom w:w="0" w:type="dxa"/>
            <w:right w:w="108" w:type="dxa"/>
          </w:tblCellMar>
        </w:tblPrEx>
        <w:trPr>
          <w:trHeight w:val="45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7</w:t>
            </w:r>
            <w:r>
              <w:rPr>
                <w:rFonts w:ascii="Times New Roman" w:hAnsi="Times New Roman" w:eastAsia="宋体" w:cs="Times New Roman"/>
                <w:color w:val="333333"/>
                <w:sz w:val="18"/>
                <w:szCs w:val="18"/>
              </w:rPr>
              <w:t>2</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盐酸二甲双胍片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0</w:t>
            </w:r>
            <w:r>
              <w:rPr>
                <w:rFonts w:hint="eastAsia" w:ascii="Times New Roman" w:hAnsi="Times New Roman" w:eastAsia="等线" w:cs="Times New Roman"/>
                <w:color w:val="333333"/>
                <w:sz w:val="18"/>
                <w:szCs w:val="18"/>
                <w:lang w:eastAsia="zh-CN"/>
              </w:rPr>
              <w:t>.</w:t>
            </w:r>
            <w:r>
              <w:rPr>
                <w:rFonts w:ascii="Times New Roman" w:hAnsi="Times New Roman" w:eastAsia="等线" w:cs="Times New Roman"/>
                <w:color w:val="333333"/>
                <w:sz w:val="18"/>
                <w:szCs w:val="18"/>
              </w:rPr>
              <w:t>25g*100</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瓶</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瓶</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石家庄以岭药业股份有限公司</w:t>
            </w:r>
          </w:p>
        </w:tc>
      </w:tr>
      <w:tr>
        <w:tblPrEx>
          <w:tblCellMar>
            <w:top w:w="0" w:type="dxa"/>
            <w:left w:w="108" w:type="dxa"/>
            <w:bottom w:w="0" w:type="dxa"/>
            <w:right w:w="108" w:type="dxa"/>
          </w:tblCellMar>
        </w:tblPrEx>
        <w:trPr>
          <w:trHeight w:val="45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7</w:t>
            </w:r>
            <w:r>
              <w:rPr>
                <w:rFonts w:ascii="Times New Roman" w:hAnsi="Times New Roman" w:eastAsia="宋体" w:cs="Times New Roman"/>
                <w:color w:val="333333"/>
                <w:sz w:val="18"/>
                <w:szCs w:val="18"/>
              </w:rPr>
              <w:t>3</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盐酸二甲双胍片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0</w:t>
            </w:r>
            <w:r>
              <w:rPr>
                <w:rFonts w:hint="eastAsia" w:ascii="Times New Roman" w:hAnsi="Times New Roman" w:eastAsia="等线" w:cs="Times New Roman"/>
                <w:color w:val="333333"/>
                <w:sz w:val="18"/>
                <w:szCs w:val="18"/>
                <w:lang w:eastAsia="zh-CN"/>
              </w:rPr>
              <w:t>.</w:t>
            </w:r>
            <w:r>
              <w:rPr>
                <w:rFonts w:ascii="Times New Roman" w:hAnsi="Times New Roman" w:eastAsia="等线" w:cs="Times New Roman"/>
                <w:color w:val="333333"/>
                <w:sz w:val="18"/>
                <w:szCs w:val="18"/>
              </w:rPr>
              <w:t>25g*12</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*5</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河北天成药业股份有限公司</w:t>
            </w:r>
          </w:p>
        </w:tc>
      </w:tr>
      <w:tr>
        <w:tblPrEx>
          <w:tblCellMar>
            <w:top w:w="0" w:type="dxa"/>
            <w:left w:w="108" w:type="dxa"/>
            <w:bottom w:w="0" w:type="dxa"/>
            <w:right w:w="108" w:type="dxa"/>
          </w:tblCellMar>
        </w:tblPrEx>
        <w:trPr>
          <w:trHeight w:val="45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7</w:t>
            </w:r>
            <w:r>
              <w:rPr>
                <w:rFonts w:ascii="Times New Roman" w:hAnsi="Times New Roman" w:eastAsia="宋体" w:cs="Times New Roman"/>
                <w:color w:val="333333"/>
                <w:sz w:val="18"/>
                <w:szCs w:val="18"/>
              </w:rPr>
              <w:t>4</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盐酸二甲双胍片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0</w:t>
            </w:r>
            <w:r>
              <w:rPr>
                <w:rFonts w:hint="eastAsia" w:ascii="Times New Roman" w:hAnsi="Times New Roman" w:eastAsia="等线" w:cs="Times New Roman"/>
                <w:color w:val="333333"/>
                <w:sz w:val="18"/>
                <w:szCs w:val="18"/>
                <w:lang w:eastAsia="zh-CN"/>
              </w:rPr>
              <w:t>.</w:t>
            </w:r>
            <w:r>
              <w:rPr>
                <w:rFonts w:ascii="Times New Roman" w:hAnsi="Times New Roman" w:eastAsia="等线" w:cs="Times New Roman"/>
                <w:color w:val="333333"/>
                <w:sz w:val="18"/>
                <w:szCs w:val="18"/>
              </w:rPr>
              <w:t>25g*12</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*4</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河北天成药业股份有限公司</w:t>
            </w:r>
          </w:p>
        </w:tc>
      </w:tr>
      <w:tr>
        <w:tblPrEx>
          <w:tblCellMar>
            <w:top w:w="0" w:type="dxa"/>
            <w:left w:w="108" w:type="dxa"/>
            <w:bottom w:w="0" w:type="dxa"/>
            <w:right w:w="108" w:type="dxa"/>
          </w:tblCellMar>
        </w:tblPrEx>
        <w:trPr>
          <w:trHeight w:val="45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7</w:t>
            </w:r>
            <w:r>
              <w:rPr>
                <w:rFonts w:ascii="Times New Roman" w:hAnsi="Times New Roman" w:eastAsia="宋体" w:cs="Times New Roman"/>
                <w:color w:val="333333"/>
                <w:sz w:val="18"/>
                <w:szCs w:val="18"/>
              </w:rPr>
              <w:t>5</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盐酸二甲双胍片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0</w:t>
            </w:r>
            <w:r>
              <w:rPr>
                <w:rFonts w:hint="eastAsia" w:ascii="Times New Roman" w:hAnsi="Times New Roman" w:eastAsia="等线" w:cs="Times New Roman"/>
                <w:color w:val="333333"/>
                <w:sz w:val="18"/>
                <w:szCs w:val="18"/>
                <w:lang w:eastAsia="zh-CN"/>
              </w:rPr>
              <w:t>.</w:t>
            </w:r>
            <w:r>
              <w:rPr>
                <w:rFonts w:ascii="Times New Roman" w:hAnsi="Times New Roman" w:eastAsia="等线" w:cs="Times New Roman"/>
                <w:color w:val="333333"/>
                <w:sz w:val="18"/>
                <w:szCs w:val="18"/>
              </w:rPr>
              <w:t>25g*12</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*10</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河北天成药业股份有限公司</w:t>
            </w:r>
          </w:p>
        </w:tc>
      </w:tr>
      <w:tr>
        <w:tblPrEx>
          <w:tblCellMar>
            <w:top w:w="0" w:type="dxa"/>
            <w:left w:w="108" w:type="dxa"/>
            <w:bottom w:w="0" w:type="dxa"/>
            <w:right w:w="108" w:type="dxa"/>
          </w:tblCellMar>
        </w:tblPrEx>
        <w:trPr>
          <w:trHeight w:val="45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7</w:t>
            </w:r>
            <w:r>
              <w:rPr>
                <w:rFonts w:ascii="Times New Roman" w:hAnsi="Times New Roman" w:eastAsia="宋体" w:cs="Times New Roman"/>
                <w:color w:val="333333"/>
                <w:sz w:val="18"/>
                <w:szCs w:val="18"/>
              </w:rPr>
              <w:t>6</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盐酸二甲双胍片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0</w:t>
            </w:r>
            <w:r>
              <w:rPr>
                <w:rFonts w:hint="eastAsia" w:ascii="Times New Roman" w:hAnsi="Times New Roman" w:eastAsia="等线" w:cs="Times New Roman"/>
                <w:color w:val="333333"/>
                <w:sz w:val="18"/>
                <w:szCs w:val="18"/>
                <w:lang w:eastAsia="zh-CN"/>
              </w:rPr>
              <w:t>.</w:t>
            </w:r>
            <w:r>
              <w:rPr>
                <w:rFonts w:ascii="Times New Roman" w:hAnsi="Times New Roman" w:eastAsia="等线" w:cs="Times New Roman"/>
                <w:color w:val="333333"/>
                <w:sz w:val="18"/>
                <w:szCs w:val="18"/>
              </w:rPr>
              <w:t>5g*12</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*3</w:t>
            </w:r>
            <w:r>
              <w:rPr>
                <w:rFonts w:ascii="Times New Roman" w:hAnsi="Times New Roman" w:eastAsia="宋体" w:cs="Times New Roman"/>
                <w:color w:val="333333"/>
                <w:sz w:val="18"/>
                <w:szCs w:val="18"/>
              </w:rPr>
              <w:t>板</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华北制药股份有限公司</w:t>
            </w:r>
          </w:p>
        </w:tc>
      </w:tr>
      <w:tr>
        <w:tblPrEx>
          <w:tblCellMar>
            <w:top w:w="0" w:type="dxa"/>
            <w:left w:w="108" w:type="dxa"/>
            <w:bottom w:w="0" w:type="dxa"/>
            <w:right w:w="108" w:type="dxa"/>
          </w:tblCellMar>
        </w:tblPrEx>
        <w:trPr>
          <w:trHeight w:val="45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7</w:t>
            </w:r>
            <w:r>
              <w:rPr>
                <w:rFonts w:ascii="Times New Roman" w:hAnsi="Times New Roman" w:eastAsia="宋体" w:cs="Times New Roman"/>
                <w:color w:val="333333"/>
                <w:sz w:val="18"/>
                <w:szCs w:val="18"/>
              </w:rPr>
              <w:t>7</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卡托普利片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25mg*21</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*4</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重庆科瑞制药（集团）有限公司</w:t>
            </w:r>
          </w:p>
        </w:tc>
      </w:tr>
      <w:tr>
        <w:tblPrEx>
          <w:tblCellMar>
            <w:top w:w="0" w:type="dxa"/>
            <w:left w:w="108" w:type="dxa"/>
            <w:bottom w:w="0" w:type="dxa"/>
            <w:right w:w="108" w:type="dxa"/>
          </w:tblCellMar>
        </w:tblPrEx>
        <w:trPr>
          <w:trHeight w:val="45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7</w:t>
            </w:r>
            <w:r>
              <w:rPr>
                <w:rFonts w:ascii="Times New Roman" w:hAnsi="Times New Roman" w:eastAsia="宋体" w:cs="Times New Roman"/>
                <w:color w:val="333333"/>
                <w:sz w:val="18"/>
                <w:szCs w:val="18"/>
              </w:rPr>
              <w:t>8</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卡托普利片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25mg*100</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瓶</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瓶</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华中药业股份有限公司</w:t>
            </w:r>
          </w:p>
        </w:tc>
      </w:tr>
      <w:tr>
        <w:tblPrEx>
          <w:tblCellMar>
            <w:top w:w="0" w:type="dxa"/>
            <w:left w:w="108" w:type="dxa"/>
            <w:bottom w:w="0" w:type="dxa"/>
            <w:right w:w="108" w:type="dxa"/>
          </w:tblCellMar>
        </w:tblPrEx>
        <w:trPr>
          <w:trHeight w:val="45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7</w:t>
            </w:r>
            <w:r>
              <w:rPr>
                <w:rFonts w:ascii="Times New Roman" w:hAnsi="Times New Roman" w:eastAsia="宋体" w:cs="Times New Roman"/>
                <w:color w:val="333333"/>
                <w:sz w:val="18"/>
                <w:szCs w:val="18"/>
              </w:rPr>
              <w:t>9</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卡托普利片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25mg*20</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*5</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上海旭东海普药业有限公司</w:t>
            </w:r>
          </w:p>
        </w:tc>
      </w:tr>
      <w:tr>
        <w:tblPrEx>
          <w:tblCellMar>
            <w:top w:w="0" w:type="dxa"/>
            <w:left w:w="108" w:type="dxa"/>
            <w:bottom w:w="0" w:type="dxa"/>
            <w:right w:w="108" w:type="dxa"/>
          </w:tblCellMar>
        </w:tblPrEx>
        <w:trPr>
          <w:trHeight w:val="45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8</w:t>
            </w:r>
            <w:r>
              <w:rPr>
                <w:rFonts w:ascii="Times New Roman" w:hAnsi="Times New Roman" w:eastAsia="宋体" w:cs="Times New Roman"/>
                <w:color w:val="333333"/>
                <w:sz w:val="18"/>
                <w:szCs w:val="18"/>
              </w:rPr>
              <w:t>0</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卡托普利片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25mg*100</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瓶</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瓶</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山西振东安特生物制药有限公司</w:t>
            </w:r>
          </w:p>
        </w:tc>
      </w:tr>
      <w:tr>
        <w:tblPrEx>
          <w:tblCellMar>
            <w:top w:w="0" w:type="dxa"/>
            <w:left w:w="108" w:type="dxa"/>
            <w:bottom w:w="0" w:type="dxa"/>
            <w:right w:w="108" w:type="dxa"/>
          </w:tblCellMar>
        </w:tblPrEx>
        <w:trPr>
          <w:trHeight w:val="45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8</w:t>
            </w:r>
            <w:r>
              <w:rPr>
                <w:rFonts w:ascii="Times New Roman" w:hAnsi="Times New Roman" w:eastAsia="宋体" w:cs="Times New Roman"/>
                <w:color w:val="333333"/>
                <w:sz w:val="18"/>
                <w:szCs w:val="18"/>
              </w:rPr>
              <w:t>1</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卡托普利片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25mg*100</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瓶</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瓶</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石家庄以岭药业股份有限公司</w:t>
            </w:r>
          </w:p>
        </w:tc>
      </w:tr>
      <w:tr>
        <w:tblPrEx>
          <w:tblCellMar>
            <w:top w:w="0" w:type="dxa"/>
            <w:left w:w="108" w:type="dxa"/>
            <w:bottom w:w="0" w:type="dxa"/>
            <w:right w:w="108" w:type="dxa"/>
          </w:tblCellMar>
        </w:tblPrEx>
        <w:trPr>
          <w:trHeight w:val="45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8</w:t>
            </w:r>
            <w:r>
              <w:rPr>
                <w:rFonts w:ascii="Times New Roman" w:hAnsi="Times New Roman" w:eastAsia="宋体" w:cs="Times New Roman"/>
                <w:color w:val="333333"/>
                <w:sz w:val="18"/>
                <w:szCs w:val="18"/>
              </w:rPr>
              <w:t>2</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卡托普利片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25mg*100</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瓶</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瓶</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石药集团欧意药业有限公司</w:t>
            </w:r>
          </w:p>
        </w:tc>
      </w:tr>
      <w:tr>
        <w:tblPrEx>
          <w:tblCellMar>
            <w:top w:w="0" w:type="dxa"/>
            <w:left w:w="108" w:type="dxa"/>
            <w:bottom w:w="0" w:type="dxa"/>
            <w:right w:w="108" w:type="dxa"/>
          </w:tblCellMar>
        </w:tblPrEx>
        <w:trPr>
          <w:trHeight w:val="45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8</w:t>
            </w:r>
            <w:r>
              <w:rPr>
                <w:rFonts w:ascii="Times New Roman" w:hAnsi="Times New Roman" w:eastAsia="宋体" w:cs="Times New Roman"/>
                <w:color w:val="333333"/>
                <w:sz w:val="18"/>
                <w:szCs w:val="18"/>
              </w:rPr>
              <w:t>3</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卡托普利片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25mg*100</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瓶</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瓶</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山东新华制药股份有限公司</w:t>
            </w:r>
          </w:p>
        </w:tc>
      </w:tr>
      <w:tr>
        <w:tblPrEx>
          <w:tblCellMar>
            <w:top w:w="0" w:type="dxa"/>
            <w:left w:w="108" w:type="dxa"/>
            <w:bottom w:w="0" w:type="dxa"/>
            <w:right w:w="108" w:type="dxa"/>
          </w:tblCellMar>
        </w:tblPrEx>
        <w:trPr>
          <w:trHeight w:val="45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8</w:t>
            </w:r>
            <w:r>
              <w:rPr>
                <w:rFonts w:ascii="Times New Roman" w:hAnsi="Times New Roman" w:eastAsia="宋体" w:cs="Times New Roman"/>
                <w:color w:val="333333"/>
                <w:sz w:val="18"/>
                <w:szCs w:val="18"/>
              </w:rPr>
              <w:t>4</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卡托普利片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12</w:t>
            </w:r>
            <w:r>
              <w:rPr>
                <w:rFonts w:hint="eastAsia" w:ascii="Times New Roman" w:hAnsi="Times New Roman" w:eastAsia="等线" w:cs="Times New Roman"/>
                <w:color w:val="333333"/>
                <w:sz w:val="18"/>
                <w:szCs w:val="18"/>
                <w:lang w:eastAsia="zh-CN"/>
              </w:rPr>
              <w:t>.</w:t>
            </w:r>
            <w:r>
              <w:rPr>
                <w:rFonts w:ascii="Times New Roman" w:hAnsi="Times New Roman" w:eastAsia="等线" w:cs="Times New Roman"/>
                <w:color w:val="333333"/>
                <w:sz w:val="18"/>
                <w:szCs w:val="18"/>
              </w:rPr>
              <w:t>5mg*100</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瓶</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常州制药厂有限公司</w:t>
            </w:r>
          </w:p>
        </w:tc>
      </w:tr>
      <w:tr>
        <w:tblPrEx>
          <w:tblCellMar>
            <w:top w:w="0" w:type="dxa"/>
            <w:left w:w="108" w:type="dxa"/>
            <w:bottom w:w="0" w:type="dxa"/>
            <w:right w:w="108" w:type="dxa"/>
          </w:tblCellMar>
        </w:tblPrEx>
        <w:trPr>
          <w:trHeight w:val="45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8</w:t>
            </w:r>
            <w:r>
              <w:rPr>
                <w:rFonts w:ascii="Times New Roman" w:hAnsi="Times New Roman" w:eastAsia="宋体" w:cs="Times New Roman"/>
                <w:color w:val="333333"/>
                <w:sz w:val="18"/>
                <w:szCs w:val="18"/>
              </w:rPr>
              <w:t>5</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卡托普利片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25mg*100</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瓶</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常州制药厂有限公司</w:t>
            </w:r>
          </w:p>
        </w:tc>
      </w:tr>
      <w:tr>
        <w:tblPrEx>
          <w:tblCellMar>
            <w:top w:w="0" w:type="dxa"/>
            <w:left w:w="108" w:type="dxa"/>
            <w:bottom w:w="0" w:type="dxa"/>
            <w:right w:w="108" w:type="dxa"/>
          </w:tblCellMar>
        </w:tblPrEx>
        <w:trPr>
          <w:trHeight w:val="454" w:hRule="atLeast"/>
          <w:jc w:val="center"/>
        </w:trPr>
        <w:tc>
          <w:tcPr>
            <w:tcW w:w="920" w:type="dxa"/>
            <w:tcBorders>
              <w:top w:val="nil"/>
              <w:left w:val="single" w:color="auto" w:sz="8"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8</w:t>
            </w:r>
            <w:r>
              <w:rPr>
                <w:rFonts w:ascii="Times New Roman" w:hAnsi="Times New Roman" w:eastAsia="宋体" w:cs="Times New Roman"/>
                <w:color w:val="333333"/>
                <w:sz w:val="18"/>
                <w:szCs w:val="18"/>
              </w:rPr>
              <w:t>6</w:t>
            </w:r>
          </w:p>
        </w:tc>
        <w:tc>
          <w:tcPr>
            <w:tcW w:w="1839"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维格列汀片</w:t>
            </w:r>
          </w:p>
        </w:tc>
        <w:tc>
          <w:tcPr>
            <w:tcW w:w="927"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50mg*28</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齐鲁制药有限公司</w:t>
            </w:r>
          </w:p>
        </w:tc>
      </w:tr>
      <w:tr>
        <w:tblPrEx>
          <w:tblCellMar>
            <w:top w:w="0" w:type="dxa"/>
            <w:left w:w="108" w:type="dxa"/>
            <w:bottom w:w="0" w:type="dxa"/>
            <w:right w:w="108" w:type="dxa"/>
          </w:tblCellMar>
        </w:tblPrEx>
        <w:trPr>
          <w:trHeight w:val="454" w:hRule="atLeast"/>
          <w:jc w:val="center"/>
        </w:trPr>
        <w:tc>
          <w:tcPr>
            <w:tcW w:w="920"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8</w:t>
            </w:r>
            <w:r>
              <w:rPr>
                <w:rFonts w:ascii="Times New Roman" w:hAnsi="Times New Roman" w:eastAsia="宋体" w:cs="Times New Roman"/>
                <w:color w:val="333333"/>
                <w:sz w:val="18"/>
                <w:szCs w:val="18"/>
              </w:rPr>
              <w:t>7</w:t>
            </w:r>
          </w:p>
        </w:tc>
        <w:tc>
          <w:tcPr>
            <w:tcW w:w="1839"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维格列汀片</w:t>
            </w:r>
          </w:p>
        </w:tc>
        <w:tc>
          <w:tcPr>
            <w:tcW w:w="927"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50mg*14</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*2</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袋</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single" w:color="auto" w:sz="4" w:space="0"/>
              <w:left w:val="nil"/>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江苏豪森药业集团有限公司</w:t>
            </w:r>
          </w:p>
        </w:tc>
      </w:tr>
      <w:tr>
        <w:tblPrEx>
          <w:tblCellMar>
            <w:top w:w="0" w:type="dxa"/>
            <w:left w:w="108" w:type="dxa"/>
            <w:bottom w:w="0" w:type="dxa"/>
            <w:right w:w="108" w:type="dxa"/>
          </w:tblCellMar>
        </w:tblPrEx>
        <w:trPr>
          <w:trHeight w:val="454" w:hRule="atLeast"/>
          <w:jc w:val="center"/>
        </w:trPr>
        <w:tc>
          <w:tcPr>
            <w:tcW w:w="920" w:type="dxa"/>
            <w:tcBorders>
              <w:top w:val="nil"/>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8</w:t>
            </w:r>
            <w:r>
              <w:rPr>
                <w:rFonts w:ascii="Times New Roman" w:hAnsi="Times New Roman" w:eastAsia="宋体" w:cs="Times New Roman"/>
                <w:color w:val="333333"/>
                <w:sz w:val="18"/>
                <w:szCs w:val="18"/>
              </w:rPr>
              <w:t>8</w:t>
            </w:r>
          </w:p>
        </w:tc>
        <w:tc>
          <w:tcPr>
            <w:tcW w:w="1839"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维格列汀片</w:t>
            </w:r>
          </w:p>
        </w:tc>
        <w:tc>
          <w:tcPr>
            <w:tcW w:w="927"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50mg*14</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袋</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江苏豪森药业集团有限公司</w:t>
            </w:r>
          </w:p>
        </w:tc>
      </w:tr>
      <w:tr>
        <w:tblPrEx>
          <w:tblCellMar>
            <w:top w:w="0" w:type="dxa"/>
            <w:left w:w="108" w:type="dxa"/>
            <w:bottom w:w="0" w:type="dxa"/>
            <w:right w:w="108" w:type="dxa"/>
          </w:tblCellMar>
        </w:tblPrEx>
        <w:trPr>
          <w:trHeight w:val="454" w:hRule="atLeast"/>
          <w:jc w:val="center"/>
        </w:trPr>
        <w:tc>
          <w:tcPr>
            <w:tcW w:w="920"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8</w:t>
            </w:r>
            <w:r>
              <w:rPr>
                <w:rFonts w:ascii="Times New Roman" w:hAnsi="Times New Roman" w:eastAsia="宋体" w:cs="Times New Roman"/>
                <w:color w:val="333333"/>
                <w:sz w:val="18"/>
                <w:szCs w:val="18"/>
              </w:rPr>
              <w:t>9</w:t>
            </w:r>
          </w:p>
        </w:tc>
        <w:tc>
          <w:tcPr>
            <w:tcW w:w="1839"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维格列汀片</w:t>
            </w:r>
          </w:p>
        </w:tc>
        <w:tc>
          <w:tcPr>
            <w:tcW w:w="927"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50mg*14</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single" w:color="auto" w:sz="4" w:space="0"/>
              <w:left w:val="nil"/>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南京圣和药业股份有限公司</w:t>
            </w:r>
          </w:p>
        </w:tc>
      </w:tr>
      <w:tr>
        <w:tblPrEx>
          <w:tblCellMar>
            <w:top w:w="0" w:type="dxa"/>
            <w:left w:w="108" w:type="dxa"/>
            <w:bottom w:w="0" w:type="dxa"/>
            <w:right w:w="108" w:type="dxa"/>
          </w:tblCellMar>
        </w:tblPrEx>
        <w:trPr>
          <w:trHeight w:val="454" w:hRule="atLeast"/>
          <w:jc w:val="center"/>
        </w:trPr>
        <w:tc>
          <w:tcPr>
            <w:tcW w:w="920" w:type="dxa"/>
            <w:tcBorders>
              <w:top w:val="nil"/>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9</w:t>
            </w:r>
            <w:r>
              <w:rPr>
                <w:rFonts w:ascii="Times New Roman" w:hAnsi="Times New Roman" w:eastAsia="宋体" w:cs="Times New Roman"/>
                <w:color w:val="333333"/>
                <w:sz w:val="18"/>
                <w:szCs w:val="18"/>
              </w:rPr>
              <w:t>0</w:t>
            </w:r>
          </w:p>
        </w:tc>
        <w:tc>
          <w:tcPr>
            <w:tcW w:w="1839"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维格列汀片</w:t>
            </w:r>
          </w:p>
        </w:tc>
        <w:tc>
          <w:tcPr>
            <w:tcW w:w="927"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50mg*10</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*3</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华润赛科药业有限责任公司</w:t>
            </w:r>
          </w:p>
        </w:tc>
      </w:tr>
      <w:tr>
        <w:tblPrEx>
          <w:tblCellMar>
            <w:top w:w="0" w:type="dxa"/>
            <w:left w:w="108" w:type="dxa"/>
            <w:bottom w:w="0" w:type="dxa"/>
            <w:right w:w="108" w:type="dxa"/>
          </w:tblCellMar>
        </w:tblPrEx>
        <w:trPr>
          <w:trHeight w:val="454" w:hRule="atLeast"/>
          <w:jc w:val="center"/>
        </w:trPr>
        <w:tc>
          <w:tcPr>
            <w:tcW w:w="920" w:type="dxa"/>
            <w:tcBorders>
              <w:top w:val="single" w:color="auto" w:sz="4"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9</w:t>
            </w:r>
            <w:r>
              <w:rPr>
                <w:rFonts w:ascii="Times New Roman" w:hAnsi="Times New Roman" w:eastAsia="宋体" w:cs="Times New Roman"/>
                <w:color w:val="333333"/>
                <w:sz w:val="18"/>
                <w:szCs w:val="18"/>
              </w:rPr>
              <w:t>1</w:t>
            </w:r>
          </w:p>
        </w:tc>
        <w:tc>
          <w:tcPr>
            <w:tcW w:w="1839"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维格列汀片</w:t>
            </w:r>
          </w:p>
        </w:tc>
        <w:tc>
          <w:tcPr>
            <w:tcW w:w="927"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50mg*10</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*2</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华润赛科药业有限责任公司</w:t>
            </w:r>
          </w:p>
        </w:tc>
      </w:tr>
      <w:tr>
        <w:tblPrEx>
          <w:tblCellMar>
            <w:top w:w="0" w:type="dxa"/>
            <w:left w:w="108" w:type="dxa"/>
            <w:bottom w:w="0" w:type="dxa"/>
            <w:right w:w="108" w:type="dxa"/>
          </w:tblCellMar>
        </w:tblPrEx>
        <w:trPr>
          <w:trHeight w:val="45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9</w:t>
            </w:r>
            <w:r>
              <w:rPr>
                <w:rFonts w:ascii="Times New Roman" w:hAnsi="Times New Roman" w:eastAsia="宋体" w:cs="Times New Roman"/>
                <w:color w:val="333333"/>
                <w:sz w:val="18"/>
                <w:szCs w:val="18"/>
              </w:rPr>
              <w:t>2</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维格列汀片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50mg*7</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*2</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扬子江药业集团四川海蓉药业有限公司</w:t>
            </w:r>
          </w:p>
        </w:tc>
      </w:tr>
      <w:tr>
        <w:tblPrEx>
          <w:tblCellMar>
            <w:top w:w="0" w:type="dxa"/>
            <w:left w:w="108" w:type="dxa"/>
            <w:bottom w:w="0" w:type="dxa"/>
            <w:right w:w="108" w:type="dxa"/>
          </w:tblCellMar>
        </w:tblPrEx>
        <w:trPr>
          <w:trHeight w:val="45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9</w:t>
            </w:r>
            <w:r>
              <w:rPr>
                <w:rFonts w:ascii="Times New Roman" w:hAnsi="Times New Roman" w:eastAsia="宋体" w:cs="Times New Roman"/>
                <w:color w:val="333333"/>
                <w:sz w:val="18"/>
                <w:szCs w:val="18"/>
              </w:rPr>
              <w:t>3</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维格列汀片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50mg*10</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*1</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南京优科制药有限公司</w:t>
            </w:r>
          </w:p>
        </w:tc>
      </w:tr>
      <w:tr>
        <w:tblPrEx>
          <w:tblCellMar>
            <w:top w:w="0" w:type="dxa"/>
            <w:left w:w="108" w:type="dxa"/>
            <w:bottom w:w="0" w:type="dxa"/>
            <w:right w:w="108" w:type="dxa"/>
          </w:tblCellMar>
        </w:tblPrEx>
        <w:trPr>
          <w:trHeight w:val="50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9</w:t>
            </w:r>
            <w:r>
              <w:rPr>
                <w:rFonts w:ascii="Times New Roman" w:hAnsi="Times New Roman" w:eastAsia="宋体" w:cs="Times New Roman"/>
                <w:color w:val="333333"/>
                <w:sz w:val="18"/>
                <w:szCs w:val="18"/>
              </w:rPr>
              <w:t>4</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缬沙坦片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80mg*28</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浙江华海药业股份有限公司</w:t>
            </w:r>
          </w:p>
        </w:tc>
      </w:tr>
      <w:tr>
        <w:tblPrEx>
          <w:tblCellMar>
            <w:top w:w="0" w:type="dxa"/>
            <w:left w:w="108" w:type="dxa"/>
            <w:bottom w:w="0" w:type="dxa"/>
            <w:right w:w="108" w:type="dxa"/>
          </w:tblCellMar>
        </w:tblPrEx>
        <w:trPr>
          <w:trHeight w:val="50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9</w:t>
            </w:r>
            <w:r>
              <w:rPr>
                <w:rFonts w:ascii="Times New Roman" w:hAnsi="Times New Roman" w:eastAsia="宋体" w:cs="Times New Roman"/>
                <w:color w:val="333333"/>
                <w:sz w:val="18"/>
                <w:szCs w:val="18"/>
              </w:rPr>
              <w:t>5</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缬沙坦片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40mg*28</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浙江华海药业股份有限公司</w:t>
            </w:r>
          </w:p>
        </w:tc>
      </w:tr>
      <w:tr>
        <w:tblPrEx>
          <w:tblCellMar>
            <w:top w:w="0" w:type="dxa"/>
            <w:left w:w="108" w:type="dxa"/>
            <w:bottom w:w="0" w:type="dxa"/>
            <w:right w:w="108" w:type="dxa"/>
          </w:tblCellMar>
        </w:tblPrEx>
        <w:trPr>
          <w:trHeight w:val="50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9</w:t>
            </w:r>
            <w:r>
              <w:rPr>
                <w:rFonts w:ascii="Times New Roman" w:hAnsi="Times New Roman" w:eastAsia="宋体" w:cs="Times New Roman"/>
                <w:color w:val="333333"/>
                <w:sz w:val="18"/>
                <w:szCs w:val="18"/>
              </w:rPr>
              <w:t>6</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缬沙坦片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80mg*14</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浙江华海药业股份有限公司</w:t>
            </w:r>
          </w:p>
        </w:tc>
      </w:tr>
      <w:tr>
        <w:tblPrEx>
          <w:tblCellMar>
            <w:top w:w="0" w:type="dxa"/>
            <w:left w:w="108" w:type="dxa"/>
            <w:bottom w:w="0" w:type="dxa"/>
            <w:right w:w="108" w:type="dxa"/>
          </w:tblCellMar>
        </w:tblPrEx>
        <w:trPr>
          <w:trHeight w:val="50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9</w:t>
            </w:r>
            <w:r>
              <w:rPr>
                <w:rFonts w:ascii="Times New Roman" w:hAnsi="Times New Roman" w:eastAsia="宋体" w:cs="Times New Roman"/>
                <w:color w:val="333333"/>
                <w:sz w:val="18"/>
                <w:szCs w:val="18"/>
              </w:rPr>
              <w:t>7</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缬沙坦片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160mg*14</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浙江华海药业股份有限公司</w:t>
            </w:r>
          </w:p>
        </w:tc>
      </w:tr>
      <w:tr>
        <w:tblPrEx>
          <w:tblCellMar>
            <w:top w:w="0" w:type="dxa"/>
            <w:left w:w="108" w:type="dxa"/>
            <w:bottom w:w="0" w:type="dxa"/>
            <w:right w:w="108" w:type="dxa"/>
          </w:tblCellMar>
        </w:tblPrEx>
        <w:trPr>
          <w:trHeight w:val="50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9</w:t>
            </w:r>
            <w:r>
              <w:rPr>
                <w:rFonts w:ascii="Times New Roman" w:hAnsi="Times New Roman" w:eastAsia="宋体" w:cs="Times New Roman"/>
                <w:color w:val="333333"/>
                <w:sz w:val="18"/>
                <w:szCs w:val="18"/>
              </w:rPr>
              <w:t>8</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缬沙坦片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40mg*30</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瓶</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常州四药制药有限公司</w:t>
            </w:r>
          </w:p>
        </w:tc>
      </w:tr>
      <w:tr>
        <w:tblPrEx>
          <w:tblCellMar>
            <w:top w:w="0" w:type="dxa"/>
            <w:left w:w="108" w:type="dxa"/>
            <w:bottom w:w="0" w:type="dxa"/>
            <w:right w:w="108" w:type="dxa"/>
          </w:tblCellMar>
        </w:tblPrEx>
        <w:trPr>
          <w:trHeight w:val="50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9</w:t>
            </w:r>
            <w:r>
              <w:rPr>
                <w:rFonts w:ascii="Times New Roman" w:hAnsi="Times New Roman" w:eastAsia="宋体" w:cs="Times New Roman"/>
                <w:color w:val="333333"/>
                <w:sz w:val="18"/>
                <w:szCs w:val="18"/>
              </w:rPr>
              <w:t>9</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缬沙坦胶囊</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胶囊剂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80mg*30</w:t>
            </w:r>
            <w:r>
              <w:rPr>
                <w:rFonts w:ascii="Times New Roman" w:hAnsi="Times New Roman" w:eastAsia="宋体" w:cs="Times New Roman"/>
                <w:color w:val="333333"/>
                <w:sz w:val="18"/>
                <w:szCs w:val="18"/>
              </w:rPr>
              <w:t>粒</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瓶</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常州四药制药有限公司</w:t>
            </w:r>
          </w:p>
        </w:tc>
      </w:tr>
      <w:tr>
        <w:tblPrEx>
          <w:tblCellMar>
            <w:top w:w="0" w:type="dxa"/>
            <w:left w:w="108" w:type="dxa"/>
            <w:bottom w:w="0" w:type="dxa"/>
            <w:right w:w="108" w:type="dxa"/>
          </w:tblCellMar>
        </w:tblPrEx>
        <w:trPr>
          <w:trHeight w:val="50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1</w:t>
            </w:r>
            <w:r>
              <w:rPr>
                <w:rFonts w:ascii="Times New Roman" w:hAnsi="Times New Roman" w:eastAsia="宋体" w:cs="Times New Roman"/>
                <w:color w:val="333333"/>
                <w:sz w:val="18"/>
                <w:szCs w:val="18"/>
              </w:rPr>
              <w:t>00</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缬沙坦胶囊</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胶囊剂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80mg*7</w:t>
            </w:r>
            <w:r>
              <w:rPr>
                <w:rFonts w:ascii="Times New Roman" w:hAnsi="Times New Roman" w:eastAsia="宋体" w:cs="Times New Roman"/>
                <w:color w:val="333333"/>
                <w:sz w:val="18"/>
                <w:szCs w:val="18"/>
              </w:rPr>
              <w:t>粒</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*2</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天大药业(珠海)有限公司</w:t>
            </w:r>
          </w:p>
        </w:tc>
      </w:tr>
      <w:tr>
        <w:tblPrEx>
          <w:tblCellMar>
            <w:top w:w="0" w:type="dxa"/>
            <w:left w:w="108" w:type="dxa"/>
            <w:bottom w:w="0" w:type="dxa"/>
            <w:right w:w="108" w:type="dxa"/>
          </w:tblCellMar>
        </w:tblPrEx>
        <w:trPr>
          <w:trHeight w:val="50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1</w:t>
            </w:r>
            <w:r>
              <w:rPr>
                <w:rFonts w:ascii="Times New Roman" w:hAnsi="Times New Roman" w:eastAsia="宋体" w:cs="Times New Roman"/>
                <w:color w:val="333333"/>
                <w:sz w:val="18"/>
                <w:szCs w:val="18"/>
              </w:rPr>
              <w:t>01</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缬沙坦胶囊</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胶囊剂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80mg*7</w:t>
            </w:r>
            <w:r>
              <w:rPr>
                <w:rFonts w:ascii="Times New Roman" w:hAnsi="Times New Roman" w:eastAsia="宋体" w:cs="Times New Roman"/>
                <w:color w:val="333333"/>
                <w:sz w:val="18"/>
                <w:szCs w:val="18"/>
              </w:rPr>
              <w:t>粒</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*4</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天大药业(珠海)有限公司</w:t>
            </w:r>
          </w:p>
        </w:tc>
      </w:tr>
      <w:tr>
        <w:tblPrEx>
          <w:tblCellMar>
            <w:top w:w="0" w:type="dxa"/>
            <w:left w:w="108" w:type="dxa"/>
            <w:bottom w:w="0" w:type="dxa"/>
            <w:right w:w="108" w:type="dxa"/>
          </w:tblCellMar>
        </w:tblPrEx>
        <w:trPr>
          <w:trHeight w:val="50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1</w:t>
            </w:r>
            <w:r>
              <w:rPr>
                <w:rFonts w:ascii="Times New Roman" w:hAnsi="Times New Roman" w:eastAsia="宋体" w:cs="Times New Roman"/>
                <w:color w:val="333333"/>
                <w:sz w:val="18"/>
                <w:szCs w:val="18"/>
              </w:rPr>
              <w:t>02</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缬沙坦胶囊</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胶囊剂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80mg*7</w:t>
            </w:r>
            <w:r>
              <w:rPr>
                <w:rFonts w:ascii="Times New Roman" w:hAnsi="Times New Roman" w:eastAsia="宋体" w:cs="Times New Roman"/>
                <w:color w:val="333333"/>
                <w:sz w:val="18"/>
                <w:szCs w:val="18"/>
              </w:rPr>
              <w:t>粒</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*1</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天大药业(珠海)有限公司</w:t>
            </w:r>
          </w:p>
        </w:tc>
      </w:tr>
      <w:tr>
        <w:tblPrEx>
          <w:tblCellMar>
            <w:top w:w="0" w:type="dxa"/>
            <w:left w:w="108" w:type="dxa"/>
            <w:bottom w:w="0" w:type="dxa"/>
            <w:right w:w="108" w:type="dxa"/>
          </w:tblCellMar>
        </w:tblPrEx>
        <w:trPr>
          <w:trHeight w:val="50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1</w:t>
            </w:r>
            <w:r>
              <w:rPr>
                <w:rFonts w:ascii="Times New Roman" w:hAnsi="Times New Roman" w:eastAsia="宋体" w:cs="Times New Roman"/>
                <w:color w:val="333333"/>
                <w:sz w:val="18"/>
                <w:szCs w:val="18"/>
              </w:rPr>
              <w:t>03</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缬沙坦胶囊</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胶囊剂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80mg*12</w:t>
            </w:r>
            <w:r>
              <w:rPr>
                <w:rFonts w:ascii="Times New Roman" w:hAnsi="Times New Roman" w:eastAsia="宋体" w:cs="Times New Roman"/>
                <w:color w:val="333333"/>
                <w:sz w:val="18"/>
                <w:szCs w:val="18"/>
              </w:rPr>
              <w:t>粒</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华润赛科药业有限责任公司</w:t>
            </w:r>
          </w:p>
        </w:tc>
      </w:tr>
      <w:tr>
        <w:tblPrEx>
          <w:tblCellMar>
            <w:top w:w="0" w:type="dxa"/>
            <w:left w:w="108" w:type="dxa"/>
            <w:bottom w:w="0" w:type="dxa"/>
            <w:right w:w="108" w:type="dxa"/>
          </w:tblCellMar>
        </w:tblPrEx>
        <w:trPr>
          <w:trHeight w:val="50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1</w:t>
            </w:r>
            <w:r>
              <w:rPr>
                <w:rFonts w:ascii="Times New Roman" w:hAnsi="Times New Roman" w:eastAsia="宋体" w:cs="Times New Roman"/>
                <w:color w:val="333333"/>
                <w:sz w:val="18"/>
                <w:szCs w:val="18"/>
              </w:rPr>
              <w:t>04</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缬沙坦胶囊</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胶囊剂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80mg*12</w:t>
            </w:r>
            <w:r>
              <w:rPr>
                <w:rFonts w:ascii="Times New Roman" w:hAnsi="Times New Roman" w:eastAsia="宋体" w:cs="Times New Roman"/>
                <w:color w:val="333333"/>
                <w:sz w:val="18"/>
                <w:szCs w:val="18"/>
              </w:rPr>
              <w:t>粒</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*2</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华润赛科药业有限责任公司</w:t>
            </w:r>
          </w:p>
        </w:tc>
      </w:tr>
      <w:tr>
        <w:tblPrEx>
          <w:tblCellMar>
            <w:top w:w="0" w:type="dxa"/>
            <w:left w:w="108" w:type="dxa"/>
            <w:bottom w:w="0" w:type="dxa"/>
            <w:right w:w="108" w:type="dxa"/>
          </w:tblCellMar>
        </w:tblPrEx>
        <w:trPr>
          <w:trHeight w:val="50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1</w:t>
            </w:r>
            <w:r>
              <w:rPr>
                <w:rFonts w:ascii="Times New Roman" w:hAnsi="Times New Roman" w:eastAsia="宋体" w:cs="Times New Roman"/>
                <w:color w:val="333333"/>
                <w:sz w:val="18"/>
                <w:szCs w:val="18"/>
              </w:rPr>
              <w:t>05</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缬沙坦胶囊</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胶囊剂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80mg*36</w:t>
            </w:r>
            <w:r>
              <w:rPr>
                <w:rFonts w:ascii="Times New Roman" w:hAnsi="Times New Roman" w:eastAsia="宋体" w:cs="Times New Roman"/>
                <w:color w:val="333333"/>
                <w:sz w:val="18"/>
                <w:szCs w:val="18"/>
              </w:rPr>
              <w:t>粒</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湖南千金湘江药业股份有限公司</w:t>
            </w:r>
          </w:p>
        </w:tc>
      </w:tr>
      <w:tr>
        <w:tblPrEx>
          <w:tblCellMar>
            <w:top w:w="0" w:type="dxa"/>
            <w:left w:w="108" w:type="dxa"/>
            <w:bottom w:w="0" w:type="dxa"/>
            <w:right w:w="108" w:type="dxa"/>
          </w:tblCellMar>
        </w:tblPrEx>
        <w:trPr>
          <w:trHeight w:val="50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1</w:t>
            </w:r>
            <w:r>
              <w:rPr>
                <w:rFonts w:ascii="Times New Roman" w:hAnsi="Times New Roman" w:eastAsia="宋体" w:cs="Times New Roman"/>
                <w:color w:val="333333"/>
                <w:sz w:val="18"/>
                <w:szCs w:val="18"/>
              </w:rPr>
              <w:t>06</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格列齐特缓释片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30mg*10</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×3</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宜昌人福药业有限责任公司</w:t>
            </w:r>
          </w:p>
        </w:tc>
      </w:tr>
      <w:tr>
        <w:tblPrEx>
          <w:tblCellMar>
            <w:top w:w="0" w:type="dxa"/>
            <w:left w:w="108" w:type="dxa"/>
            <w:bottom w:w="0" w:type="dxa"/>
            <w:right w:w="108" w:type="dxa"/>
          </w:tblCellMar>
        </w:tblPrEx>
        <w:trPr>
          <w:trHeight w:val="50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1</w:t>
            </w:r>
            <w:r>
              <w:rPr>
                <w:rFonts w:ascii="Times New Roman" w:hAnsi="Times New Roman" w:eastAsia="宋体" w:cs="Times New Roman"/>
                <w:color w:val="333333"/>
                <w:sz w:val="18"/>
                <w:szCs w:val="18"/>
              </w:rPr>
              <w:t>07</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格列齐特缓释片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30mg*15</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×4</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天津君安生物制药有限公司</w:t>
            </w:r>
          </w:p>
        </w:tc>
      </w:tr>
      <w:tr>
        <w:tblPrEx>
          <w:tblCellMar>
            <w:top w:w="0" w:type="dxa"/>
            <w:left w:w="108" w:type="dxa"/>
            <w:bottom w:w="0" w:type="dxa"/>
            <w:right w:w="108" w:type="dxa"/>
          </w:tblCellMar>
        </w:tblPrEx>
        <w:trPr>
          <w:trHeight w:val="50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1</w:t>
            </w:r>
            <w:r>
              <w:rPr>
                <w:rFonts w:ascii="Times New Roman" w:hAnsi="Times New Roman" w:eastAsia="宋体" w:cs="Times New Roman"/>
                <w:color w:val="333333"/>
                <w:sz w:val="18"/>
                <w:szCs w:val="18"/>
              </w:rPr>
              <w:t>08</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格列齐特缓释片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30mg*30</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×2</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北京福元医药股份有限公司</w:t>
            </w:r>
          </w:p>
        </w:tc>
      </w:tr>
      <w:tr>
        <w:tblPrEx>
          <w:tblCellMar>
            <w:top w:w="0" w:type="dxa"/>
            <w:left w:w="108" w:type="dxa"/>
            <w:bottom w:w="0" w:type="dxa"/>
            <w:right w:w="108" w:type="dxa"/>
          </w:tblCellMar>
        </w:tblPrEx>
        <w:trPr>
          <w:trHeight w:val="50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1</w:t>
            </w:r>
            <w:r>
              <w:rPr>
                <w:rFonts w:ascii="Times New Roman" w:hAnsi="Times New Roman" w:eastAsia="宋体" w:cs="Times New Roman"/>
                <w:color w:val="333333"/>
                <w:sz w:val="18"/>
                <w:szCs w:val="18"/>
              </w:rPr>
              <w:t>09</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那格列奈片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60mg*12</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x2</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珠海同益制药有限公司</w:t>
            </w:r>
          </w:p>
        </w:tc>
      </w:tr>
      <w:tr>
        <w:tblPrEx>
          <w:tblCellMar>
            <w:top w:w="0" w:type="dxa"/>
            <w:left w:w="108" w:type="dxa"/>
            <w:bottom w:w="0" w:type="dxa"/>
            <w:right w:w="108" w:type="dxa"/>
          </w:tblCellMar>
        </w:tblPrEx>
        <w:trPr>
          <w:trHeight w:val="504" w:hRule="atLeast"/>
          <w:jc w:val="center"/>
        </w:trPr>
        <w:tc>
          <w:tcPr>
            <w:tcW w:w="920" w:type="dxa"/>
            <w:tcBorders>
              <w:top w:val="nil"/>
              <w:left w:val="single" w:color="auto" w:sz="8"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1</w:t>
            </w:r>
            <w:r>
              <w:rPr>
                <w:rFonts w:ascii="Times New Roman" w:hAnsi="Times New Roman" w:eastAsia="宋体" w:cs="Times New Roman"/>
                <w:color w:val="333333"/>
                <w:sz w:val="18"/>
                <w:szCs w:val="18"/>
              </w:rPr>
              <w:t>10</w:t>
            </w:r>
          </w:p>
        </w:tc>
        <w:tc>
          <w:tcPr>
            <w:tcW w:w="1839"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那格列奈片</w:t>
            </w:r>
          </w:p>
        </w:tc>
        <w:tc>
          <w:tcPr>
            <w:tcW w:w="927"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120mg*10</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×3</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江苏德源药业股份有限公司</w:t>
            </w:r>
          </w:p>
        </w:tc>
      </w:tr>
      <w:tr>
        <w:tblPrEx>
          <w:tblCellMar>
            <w:top w:w="0" w:type="dxa"/>
            <w:left w:w="108" w:type="dxa"/>
            <w:bottom w:w="0" w:type="dxa"/>
            <w:right w:w="108" w:type="dxa"/>
          </w:tblCellMar>
        </w:tblPrEx>
        <w:trPr>
          <w:trHeight w:val="504" w:hRule="atLeast"/>
          <w:jc w:val="center"/>
        </w:trPr>
        <w:tc>
          <w:tcPr>
            <w:tcW w:w="920"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1</w:t>
            </w:r>
            <w:r>
              <w:rPr>
                <w:rFonts w:ascii="Times New Roman" w:hAnsi="Times New Roman" w:eastAsia="宋体" w:cs="Times New Roman"/>
                <w:color w:val="333333"/>
                <w:sz w:val="18"/>
                <w:szCs w:val="18"/>
              </w:rPr>
              <w:t>11</w:t>
            </w:r>
          </w:p>
        </w:tc>
        <w:tc>
          <w:tcPr>
            <w:tcW w:w="1839"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那格列奈片</w:t>
            </w:r>
          </w:p>
        </w:tc>
        <w:tc>
          <w:tcPr>
            <w:tcW w:w="927"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120mg*60</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瓶</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江苏德源药业股份有限公司</w:t>
            </w:r>
          </w:p>
        </w:tc>
      </w:tr>
      <w:tr>
        <w:tblPrEx>
          <w:tblCellMar>
            <w:top w:w="0" w:type="dxa"/>
            <w:left w:w="108" w:type="dxa"/>
            <w:bottom w:w="0" w:type="dxa"/>
            <w:right w:w="108" w:type="dxa"/>
          </w:tblCellMar>
        </w:tblPrEx>
        <w:trPr>
          <w:trHeight w:val="504" w:hRule="atLeast"/>
          <w:jc w:val="center"/>
        </w:trPr>
        <w:tc>
          <w:tcPr>
            <w:tcW w:w="920" w:type="dxa"/>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1</w:t>
            </w:r>
            <w:r>
              <w:rPr>
                <w:rFonts w:ascii="Times New Roman" w:hAnsi="Times New Roman" w:eastAsia="宋体" w:cs="Times New Roman"/>
                <w:color w:val="333333"/>
                <w:sz w:val="18"/>
                <w:szCs w:val="18"/>
              </w:rPr>
              <w:t>12</w:t>
            </w:r>
          </w:p>
        </w:tc>
        <w:tc>
          <w:tcPr>
            <w:tcW w:w="1839"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瑞格列奈片</w:t>
            </w:r>
          </w:p>
        </w:tc>
        <w:tc>
          <w:tcPr>
            <w:tcW w:w="927"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1mg*15</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×2</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北京福元医药股份有限公司</w:t>
            </w:r>
          </w:p>
        </w:tc>
      </w:tr>
      <w:tr>
        <w:tblPrEx>
          <w:tblCellMar>
            <w:top w:w="0" w:type="dxa"/>
            <w:left w:w="108" w:type="dxa"/>
            <w:bottom w:w="0" w:type="dxa"/>
            <w:right w:w="108" w:type="dxa"/>
          </w:tblCellMar>
        </w:tblPrEx>
        <w:trPr>
          <w:trHeight w:val="504" w:hRule="atLeast"/>
          <w:jc w:val="center"/>
        </w:trPr>
        <w:tc>
          <w:tcPr>
            <w:tcW w:w="920"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1</w:t>
            </w:r>
            <w:r>
              <w:rPr>
                <w:rFonts w:ascii="Times New Roman" w:hAnsi="Times New Roman" w:eastAsia="宋体" w:cs="Times New Roman"/>
                <w:color w:val="333333"/>
                <w:sz w:val="18"/>
                <w:szCs w:val="18"/>
              </w:rPr>
              <w:t>13</w:t>
            </w:r>
          </w:p>
        </w:tc>
        <w:tc>
          <w:tcPr>
            <w:tcW w:w="1839"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瑞格列奈片</w:t>
            </w:r>
          </w:p>
        </w:tc>
        <w:tc>
          <w:tcPr>
            <w:tcW w:w="927"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0</w:t>
            </w:r>
            <w:r>
              <w:rPr>
                <w:rFonts w:hint="eastAsia" w:ascii="Times New Roman" w:hAnsi="Times New Roman" w:eastAsia="等线" w:cs="Times New Roman"/>
                <w:color w:val="333333"/>
                <w:sz w:val="18"/>
                <w:szCs w:val="18"/>
                <w:lang w:eastAsia="zh-CN"/>
              </w:rPr>
              <w:t>.</w:t>
            </w:r>
            <w:r>
              <w:rPr>
                <w:rFonts w:ascii="Times New Roman" w:hAnsi="Times New Roman" w:eastAsia="等线" w:cs="Times New Roman"/>
                <w:color w:val="333333"/>
                <w:sz w:val="18"/>
                <w:szCs w:val="18"/>
              </w:rPr>
              <w:t>5mg*15</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×4</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北京福元医药股份有限公司</w:t>
            </w:r>
          </w:p>
        </w:tc>
      </w:tr>
      <w:tr>
        <w:tblPrEx>
          <w:tblCellMar>
            <w:top w:w="0" w:type="dxa"/>
            <w:left w:w="108" w:type="dxa"/>
            <w:bottom w:w="0" w:type="dxa"/>
            <w:right w:w="108" w:type="dxa"/>
          </w:tblCellMar>
        </w:tblPrEx>
        <w:trPr>
          <w:trHeight w:val="504" w:hRule="atLeast"/>
          <w:jc w:val="center"/>
        </w:trPr>
        <w:tc>
          <w:tcPr>
            <w:tcW w:w="920" w:type="dxa"/>
            <w:tcBorders>
              <w:top w:val="single" w:color="auto" w:sz="4"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1</w:t>
            </w:r>
            <w:r>
              <w:rPr>
                <w:rFonts w:ascii="Times New Roman" w:hAnsi="Times New Roman" w:eastAsia="宋体" w:cs="Times New Roman"/>
                <w:color w:val="333333"/>
                <w:sz w:val="18"/>
                <w:szCs w:val="18"/>
              </w:rPr>
              <w:t>14</w:t>
            </w:r>
          </w:p>
        </w:tc>
        <w:tc>
          <w:tcPr>
            <w:tcW w:w="1839"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瑞格列奈片</w:t>
            </w:r>
          </w:p>
        </w:tc>
        <w:tc>
          <w:tcPr>
            <w:tcW w:w="927"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1mg*30</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×1</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江苏豪森药业集团有限公司</w:t>
            </w:r>
          </w:p>
        </w:tc>
      </w:tr>
      <w:tr>
        <w:tblPrEx>
          <w:tblCellMar>
            <w:top w:w="0" w:type="dxa"/>
            <w:left w:w="108" w:type="dxa"/>
            <w:bottom w:w="0" w:type="dxa"/>
            <w:right w:w="108" w:type="dxa"/>
          </w:tblCellMar>
        </w:tblPrEx>
        <w:trPr>
          <w:trHeight w:val="50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1</w:t>
            </w:r>
            <w:r>
              <w:rPr>
                <w:rFonts w:ascii="Times New Roman" w:hAnsi="Times New Roman" w:eastAsia="宋体" w:cs="Times New Roman"/>
                <w:color w:val="333333"/>
                <w:sz w:val="18"/>
                <w:szCs w:val="18"/>
              </w:rPr>
              <w:t>15</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瑞格列奈片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1mg*30</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×2</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江苏豪森药业集团有限公司</w:t>
            </w:r>
          </w:p>
        </w:tc>
      </w:tr>
      <w:tr>
        <w:tblPrEx>
          <w:tblCellMar>
            <w:top w:w="0" w:type="dxa"/>
            <w:left w:w="108" w:type="dxa"/>
            <w:bottom w:w="0" w:type="dxa"/>
            <w:right w:w="108" w:type="dxa"/>
          </w:tblCellMar>
        </w:tblPrEx>
        <w:trPr>
          <w:trHeight w:val="50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1</w:t>
            </w:r>
            <w:r>
              <w:rPr>
                <w:rFonts w:ascii="Times New Roman" w:hAnsi="Times New Roman" w:eastAsia="宋体" w:cs="Times New Roman"/>
                <w:color w:val="333333"/>
                <w:sz w:val="18"/>
                <w:szCs w:val="18"/>
              </w:rPr>
              <w:t>16</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替米沙坦片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40mg*7</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×4/</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江苏亚邦爱普森药业有限公司</w:t>
            </w:r>
          </w:p>
        </w:tc>
      </w:tr>
      <w:tr>
        <w:tblPrEx>
          <w:tblCellMar>
            <w:top w:w="0" w:type="dxa"/>
            <w:left w:w="108" w:type="dxa"/>
            <w:bottom w:w="0" w:type="dxa"/>
            <w:right w:w="108" w:type="dxa"/>
          </w:tblCellMar>
        </w:tblPrEx>
        <w:trPr>
          <w:trHeight w:val="50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1</w:t>
            </w:r>
            <w:r>
              <w:rPr>
                <w:rFonts w:ascii="Times New Roman" w:hAnsi="Times New Roman" w:eastAsia="宋体" w:cs="Times New Roman"/>
                <w:color w:val="333333"/>
                <w:sz w:val="18"/>
                <w:szCs w:val="18"/>
              </w:rPr>
              <w:t>17</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替米沙坦片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40mg*7</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×4</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北京福元医药股份有限公司</w:t>
            </w:r>
          </w:p>
        </w:tc>
      </w:tr>
      <w:tr>
        <w:tblPrEx>
          <w:tblCellMar>
            <w:top w:w="0" w:type="dxa"/>
            <w:left w:w="108" w:type="dxa"/>
            <w:bottom w:w="0" w:type="dxa"/>
            <w:right w:w="108" w:type="dxa"/>
          </w:tblCellMar>
        </w:tblPrEx>
        <w:trPr>
          <w:trHeight w:val="50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1</w:t>
            </w:r>
            <w:r>
              <w:rPr>
                <w:rFonts w:ascii="Times New Roman" w:hAnsi="Times New Roman" w:eastAsia="宋体" w:cs="Times New Roman"/>
                <w:color w:val="333333"/>
                <w:sz w:val="18"/>
                <w:szCs w:val="18"/>
              </w:rPr>
              <w:t>18</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替米沙坦片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80mg*7</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×2</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北京福元医药股份有限公司</w:t>
            </w:r>
          </w:p>
        </w:tc>
      </w:tr>
      <w:tr>
        <w:tblPrEx>
          <w:tblCellMar>
            <w:top w:w="0" w:type="dxa"/>
            <w:left w:w="108" w:type="dxa"/>
            <w:bottom w:w="0" w:type="dxa"/>
            <w:right w:w="108" w:type="dxa"/>
          </w:tblCellMar>
        </w:tblPrEx>
        <w:trPr>
          <w:trHeight w:val="50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1</w:t>
            </w:r>
            <w:r>
              <w:rPr>
                <w:rFonts w:ascii="Times New Roman" w:hAnsi="Times New Roman" w:eastAsia="宋体" w:cs="Times New Roman"/>
                <w:color w:val="333333"/>
                <w:sz w:val="18"/>
                <w:szCs w:val="18"/>
              </w:rPr>
              <w:t>19</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替米沙坦片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40mg*28</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上海信谊天平药业有限公司</w:t>
            </w:r>
          </w:p>
        </w:tc>
      </w:tr>
      <w:tr>
        <w:tblPrEx>
          <w:tblCellMar>
            <w:top w:w="0" w:type="dxa"/>
            <w:left w:w="108" w:type="dxa"/>
            <w:bottom w:w="0" w:type="dxa"/>
            <w:right w:w="108" w:type="dxa"/>
          </w:tblCellMar>
        </w:tblPrEx>
        <w:trPr>
          <w:trHeight w:val="50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1</w:t>
            </w:r>
            <w:r>
              <w:rPr>
                <w:rFonts w:ascii="Times New Roman" w:hAnsi="Times New Roman" w:eastAsia="宋体" w:cs="Times New Roman"/>
                <w:color w:val="333333"/>
                <w:sz w:val="18"/>
                <w:szCs w:val="18"/>
              </w:rPr>
              <w:t>20</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替米沙坦片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40mg*7</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x4</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宜昌东阳光长江药业股份</w:t>
            </w:r>
          </w:p>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有限公司</w:t>
            </w:r>
          </w:p>
        </w:tc>
      </w:tr>
      <w:tr>
        <w:tblPrEx>
          <w:tblCellMar>
            <w:top w:w="0" w:type="dxa"/>
            <w:left w:w="108" w:type="dxa"/>
            <w:bottom w:w="0" w:type="dxa"/>
            <w:right w:w="108" w:type="dxa"/>
          </w:tblCellMar>
        </w:tblPrEx>
        <w:trPr>
          <w:trHeight w:val="50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1</w:t>
            </w:r>
            <w:r>
              <w:rPr>
                <w:rFonts w:ascii="Times New Roman" w:hAnsi="Times New Roman" w:eastAsia="宋体" w:cs="Times New Roman"/>
                <w:color w:val="333333"/>
                <w:sz w:val="18"/>
                <w:szCs w:val="18"/>
              </w:rPr>
              <w:t>21</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替米沙坦片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40mg*8</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4</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江苏万邦生化医药集团</w:t>
            </w:r>
          </w:p>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有限责任公司</w:t>
            </w:r>
          </w:p>
        </w:tc>
      </w:tr>
      <w:tr>
        <w:tblPrEx>
          <w:tblCellMar>
            <w:top w:w="0" w:type="dxa"/>
            <w:left w:w="108" w:type="dxa"/>
            <w:bottom w:w="0" w:type="dxa"/>
            <w:right w:w="108" w:type="dxa"/>
          </w:tblCellMar>
        </w:tblPrEx>
        <w:trPr>
          <w:trHeight w:val="50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1</w:t>
            </w:r>
            <w:r>
              <w:rPr>
                <w:rFonts w:ascii="Times New Roman" w:hAnsi="Times New Roman" w:eastAsia="宋体" w:cs="Times New Roman"/>
                <w:color w:val="333333"/>
                <w:sz w:val="18"/>
                <w:szCs w:val="18"/>
              </w:rPr>
              <w:t>22</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缬沙坦氨氯地平片(Ⅰ)</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宋体" w:cs="Times New Roman"/>
                <w:color w:val="333333"/>
                <w:sz w:val="18"/>
                <w:szCs w:val="18"/>
              </w:rPr>
              <w:t>（缬沙坦</w:t>
            </w:r>
            <w:r>
              <w:rPr>
                <w:rFonts w:ascii="Times New Roman" w:hAnsi="Times New Roman" w:eastAsia="等线" w:cs="Times New Roman"/>
                <w:color w:val="333333"/>
                <w:sz w:val="18"/>
                <w:szCs w:val="18"/>
              </w:rPr>
              <w:t>80mg+</w:t>
            </w:r>
            <w:r>
              <w:rPr>
                <w:rFonts w:ascii="Times New Roman" w:hAnsi="Times New Roman" w:eastAsia="宋体" w:cs="Times New Roman"/>
                <w:color w:val="333333"/>
                <w:sz w:val="18"/>
                <w:szCs w:val="18"/>
              </w:rPr>
              <w:t>氨氯地平</w:t>
            </w:r>
            <w:r>
              <w:rPr>
                <w:rFonts w:ascii="Times New Roman" w:hAnsi="Times New Roman" w:eastAsia="等线" w:cs="Times New Roman"/>
                <w:color w:val="333333"/>
                <w:sz w:val="18"/>
                <w:szCs w:val="18"/>
              </w:rPr>
              <w:t>5mg</w:t>
            </w:r>
            <w:r>
              <w:rPr>
                <w:rFonts w:ascii="Times New Roman" w:hAnsi="Times New Roman" w:eastAsia="宋体" w:cs="Times New Roman"/>
                <w:color w:val="333333"/>
                <w:sz w:val="18"/>
                <w:szCs w:val="18"/>
              </w:rPr>
              <w:t>）</w:t>
            </w:r>
            <w:r>
              <w:rPr>
                <w:rFonts w:ascii="Times New Roman" w:hAnsi="Times New Roman" w:eastAsia="等线" w:cs="Times New Roman"/>
                <w:color w:val="333333"/>
                <w:sz w:val="18"/>
                <w:szCs w:val="18"/>
              </w:rPr>
              <w:t>*10</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×3</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花园药业股份有限公司</w:t>
            </w:r>
          </w:p>
        </w:tc>
      </w:tr>
      <w:tr>
        <w:tblPrEx>
          <w:tblCellMar>
            <w:top w:w="0" w:type="dxa"/>
            <w:left w:w="108" w:type="dxa"/>
            <w:bottom w:w="0" w:type="dxa"/>
            <w:right w:w="108" w:type="dxa"/>
          </w:tblCellMar>
        </w:tblPrEx>
        <w:trPr>
          <w:trHeight w:val="50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1</w:t>
            </w:r>
            <w:r>
              <w:rPr>
                <w:rFonts w:ascii="Times New Roman" w:hAnsi="Times New Roman" w:eastAsia="宋体" w:cs="Times New Roman"/>
                <w:color w:val="333333"/>
                <w:sz w:val="18"/>
                <w:szCs w:val="18"/>
              </w:rPr>
              <w:t>23</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缬沙坦氨氯地平片(Ⅰ)</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宋体" w:cs="Times New Roman"/>
                <w:color w:val="333333"/>
                <w:sz w:val="18"/>
                <w:szCs w:val="18"/>
              </w:rPr>
              <w:t>（缬沙坦</w:t>
            </w:r>
            <w:r>
              <w:rPr>
                <w:rFonts w:ascii="Times New Roman" w:hAnsi="Times New Roman" w:eastAsia="等线" w:cs="Times New Roman"/>
                <w:color w:val="333333"/>
                <w:sz w:val="18"/>
                <w:szCs w:val="18"/>
              </w:rPr>
              <w:t>80mg+</w:t>
            </w:r>
            <w:r>
              <w:rPr>
                <w:rFonts w:ascii="Times New Roman" w:hAnsi="Times New Roman" w:eastAsia="宋体" w:cs="Times New Roman"/>
                <w:color w:val="333333"/>
                <w:sz w:val="18"/>
                <w:szCs w:val="18"/>
              </w:rPr>
              <w:t>氨氯地平</w:t>
            </w:r>
            <w:r>
              <w:rPr>
                <w:rFonts w:ascii="Times New Roman" w:hAnsi="Times New Roman" w:eastAsia="等线" w:cs="Times New Roman"/>
                <w:color w:val="333333"/>
                <w:sz w:val="18"/>
                <w:szCs w:val="18"/>
              </w:rPr>
              <w:t>5mg</w:t>
            </w:r>
            <w:r>
              <w:rPr>
                <w:rFonts w:ascii="Times New Roman" w:hAnsi="Times New Roman" w:eastAsia="宋体" w:cs="Times New Roman"/>
                <w:color w:val="333333"/>
                <w:sz w:val="18"/>
                <w:szCs w:val="18"/>
              </w:rPr>
              <w:t>）</w:t>
            </w:r>
            <w:r>
              <w:rPr>
                <w:rFonts w:ascii="Times New Roman" w:hAnsi="Times New Roman" w:eastAsia="等线" w:cs="Times New Roman"/>
                <w:color w:val="333333"/>
                <w:sz w:val="18"/>
                <w:szCs w:val="18"/>
              </w:rPr>
              <w:t>*10</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×1</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花园药业股份有限公司</w:t>
            </w:r>
          </w:p>
        </w:tc>
      </w:tr>
      <w:tr>
        <w:tblPrEx>
          <w:tblCellMar>
            <w:top w:w="0" w:type="dxa"/>
            <w:left w:w="108" w:type="dxa"/>
            <w:bottom w:w="0" w:type="dxa"/>
            <w:right w:w="108" w:type="dxa"/>
          </w:tblCellMar>
        </w:tblPrEx>
        <w:trPr>
          <w:trHeight w:val="50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1</w:t>
            </w:r>
            <w:r>
              <w:rPr>
                <w:rFonts w:ascii="Times New Roman" w:hAnsi="Times New Roman" w:eastAsia="宋体" w:cs="Times New Roman"/>
                <w:color w:val="333333"/>
                <w:sz w:val="18"/>
                <w:szCs w:val="18"/>
              </w:rPr>
              <w:t>24</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缬沙坦氨氯地平片(Ⅰ)</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宋体" w:cs="Times New Roman"/>
                <w:color w:val="333333"/>
                <w:sz w:val="18"/>
                <w:szCs w:val="18"/>
              </w:rPr>
              <w:t>（缬沙坦</w:t>
            </w:r>
            <w:r>
              <w:rPr>
                <w:rFonts w:ascii="Times New Roman" w:hAnsi="Times New Roman" w:eastAsia="等线" w:cs="Times New Roman"/>
                <w:color w:val="333333"/>
                <w:sz w:val="18"/>
                <w:szCs w:val="18"/>
              </w:rPr>
              <w:t>80mg+</w:t>
            </w:r>
            <w:r>
              <w:rPr>
                <w:rFonts w:ascii="Times New Roman" w:hAnsi="Times New Roman" w:eastAsia="宋体" w:cs="Times New Roman"/>
                <w:color w:val="333333"/>
                <w:sz w:val="18"/>
                <w:szCs w:val="18"/>
              </w:rPr>
              <w:t>氨氯地平</w:t>
            </w:r>
            <w:r>
              <w:rPr>
                <w:rFonts w:ascii="Times New Roman" w:hAnsi="Times New Roman" w:eastAsia="等线" w:cs="Times New Roman"/>
                <w:color w:val="333333"/>
                <w:sz w:val="18"/>
                <w:szCs w:val="18"/>
              </w:rPr>
              <w:t>5mg</w:t>
            </w:r>
            <w:r>
              <w:rPr>
                <w:rFonts w:ascii="Times New Roman" w:hAnsi="Times New Roman" w:eastAsia="宋体" w:cs="Times New Roman"/>
                <w:color w:val="333333"/>
                <w:sz w:val="18"/>
                <w:szCs w:val="18"/>
              </w:rPr>
              <w:t>）</w:t>
            </w:r>
            <w:r>
              <w:rPr>
                <w:rFonts w:ascii="Times New Roman" w:hAnsi="Times New Roman" w:eastAsia="等线" w:cs="Times New Roman"/>
                <w:color w:val="333333"/>
                <w:sz w:val="18"/>
                <w:szCs w:val="18"/>
              </w:rPr>
              <w:t>*7</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×1</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江苏恒瑞医药股份有限公司</w:t>
            </w:r>
          </w:p>
        </w:tc>
      </w:tr>
      <w:tr>
        <w:tblPrEx>
          <w:tblCellMar>
            <w:top w:w="0" w:type="dxa"/>
            <w:left w:w="108" w:type="dxa"/>
            <w:bottom w:w="0" w:type="dxa"/>
            <w:right w:w="108" w:type="dxa"/>
          </w:tblCellMar>
        </w:tblPrEx>
        <w:trPr>
          <w:trHeight w:val="50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1</w:t>
            </w:r>
            <w:r>
              <w:rPr>
                <w:rFonts w:ascii="Times New Roman" w:hAnsi="Times New Roman" w:eastAsia="宋体" w:cs="Times New Roman"/>
                <w:color w:val="333333"/>
                <w:sz w:val="18"/>
                <w:szCs w:val="18"/>
              </w:rPr>
              <w:t>25</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缬沙坦氢氯噻嗪片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（缬沙坦80mg+氢氯噻嗪12</w:t>
            </w:r>
            <w:r>
              <w:rPr>
                <w:rFonts w:hint="eastAsia" w:ascii="Times New Roman" w:hAnsi="Times New Roman" w:eastAsia="等线" w:cs="Times New Roman"/>
                <w:color w:val="333333"/>
                <w:sz w:val="18"/>
                <w:szCs w:val="18"/>
                <w:lang w:eastAsia="zh-CN"/>
              </w:rPr>
              <w:t>.</w:t>
            </w:r>
            <w:r>
              <w:rPr>
                <w:rFonts w:ascii="Times New Roman" w:hAnsi="Times New Roman" w:eastAsia="等线" w:cs="Times New Roman"/>
                <w:color w:val="333333"/>
                <w:sz w:val="18"/>
                <w:szCs w:val="18"/>
              </w:rPr>
              <w:t>5mg</w:t>
            </w:r>
            <w:r>
              <w:rPr>
                <w:rFonts w:ascii="Times New Roman" w:hAnsi="Times New Roman" w:eastAsia="宋体" w:cs="Times New Roman"/>
                <w:color w:val="333333"/>
                <w:sz w:val="18"/>
                <w:szCs w:val="18"/>
              </w:rPr>
              <w:t>）</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每板</w:t>
            </w:r>
            <w:r>
              <w:rPr>
                <w:rFonts w:ascii="Times New Roman" w:hAnsi="Times New Roman" w:eastAsia="等线" w:cs="Times New Roman"/>
                <w:color w:val="333333"/>
                <w:sz w:val="18"/>
                <w:szCs w:val="18"/>
              </w:rPr>
              <w:t>14</w:t>
            </w:r>
            <w:r>
              <w:rPr>
                <w:rFonts w:ascii="Times New Roman" w:hAnsi="Times New Roman" w:eastAsia="宋体" w:cs="Times New Roman"/>
                <w:color w:val="333333"/>
                <w:sz w:val="18"/>
                <w:szCs w:val="18"/>
              </w:rPr>
              <w:t>片，每盒</w:t>
            </w:r>
            <w:r>
              <w:rPr>
                <w:rFonts w:ascii="Times New Roman" w:hAnsi="Times New Roman" w:eastAsia="等线" w:cs="Times New Roman"/>
                <w:color w:val="333333"/>
                <w:sz w:val="18"/>
                <w:szCs w:val="18"/>
              </w:rPr>
              <w:t>1</w:t>
            </w:r>
            <w:r>
              <w:rPr>
                <w:rFonts w:ascii="Times New Roman" w:hAnsi="Times New Roman" w:eastAsia="宋体" w:cs="Times New Roman"/>
                <w:color w:val="333333"/>
                <w:sz w:val="18"/>
                <w:szCs w:val="18"/>
              </w:rPr>
              <w:t>板</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华润赛科药业有限责任公司</w:t>
            </w:r>
          </w:p>
        </w:tc>
      </w:tr>
      <w:tr>
        <w:tblPrEx>
          <w:tblCellMar>
            <w:top w:w="0" w:type="dxa"/>
            <w:left w:w="108" w:type="dxa"/>
            <w:bottom w:w="0" w:type="dxa"/>
            <w:right w:w="108" w:type="dxa"/>
          </w:tblCellMar>
        </w:tblPrEx>
        <w:trPr>
          <w:trHeight w:val="50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1</w:t>
            </w:r>
            <w:r>
              <w:rPr>
                <w:rFonts w:ascii="Times New Roman" w:hAnsi="Times New Roman" w:eastAsia="宋体" w:cs="Times New Roman"/>
                <w:color w:val="333333"/>
                <w:sz w:val="18"/>
                <w:szCs w:val="18"/>
              </w:rPr>
              <w:t>26</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缬沙坦氢氯噻嗪片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（缬沙坦80mg+氢氯噻嗪12</w:t>
            </w:r>
            <w:r>
              <w:rPr>
                <w:rFonts w:hint="eastAsia" w:ascii="Times New Roman" w:hAnsi="Times New Roman" w:eastAsia="等线" w:cs="Times New Roman"/>
                <w:color w:val="333333"/>
                <w:sz w:val="18"/>
                <w:szCs w:val="18"/>
                <w:lang w:eastAsia="zh-CN"/>
              </w:rPr>
              <w:t>.</w:t>
            </w:r>
            <w:r>
              <w:rPr>
                <w:rFonts w:ascii="Times New Roman" w:hAnsi="Times New Roman" w:eastAsia="等线" w:cs="Times New Roman"/>
                <w:color w:val="333333"/>
                <w:sz w:val="18"/>
                <w:szCs w:val="18"/>
              </w:rPr>
              <w:t>5mg</w:t>
            </w:r>
            <w:r>
              <w:rPr>
                <w:rFonts w:ascii="Times New Roman" w:hAnsi="Times New Roman" w:eastAsia="宋体" w:cs="Times New Roman"/>
                <w:color w:val="333333"/>
                <w:sz w:val="18"/>
                <w:szCs w:val="18"/>
              </w:rPr>
              <w:t>）</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每板</w:t>
            </w:r>
            <w:r>
              <w:rPr>
                <w:rFonts w:ascii="Times New Roman" w:hAnsi="Times New Roman" w:eastAsia="等线" w:cs="Times New Roman"/>
                <w:color w:val="333333"/>
                <w:sz w:val="18"/>
                <w:szCs w:val="18"/>
              </w:rPr>
              <w:t>14</w:t>
            </w:r>
            <w:r>
              <w:rPr>
                <w:rFonts w:ascii="Times New Roman" w:hAnsi="Times New Roman" w:eastAsia="宋体" w:cs="Times New Roman"/>
                <w:color w:val="333333"/>
                <w:sz w:val="18"/>
                <w:szCs w:val="18"/>
              </w:rPr>
              <w:t>片，每盒</w:t>
            </w:r>
            <w:r>
              <w:rPr>
                <w:rFonts w:ascii="Times New Roman" w:hAnsi="Times New Roman" w:eastAsia="等线" w:cs="Times New Roman"/>
                <w:color w:val="333333"/>
                <w:sz w:val="18"/>
                <w:szCs w:val="18"/>
              </w:rPr>
              <w:t>2</w:t>
            </w:r>
            <w:r>
              <w:rPr>
                <w:rFonts w:ascii="Times New Roman" w:hAnsi="Times New Roman" w:eastAsia="宋体" w:cs="Times New Roman"/>
                <w:color w:val="333333"/>
                <w:sz w:val="18"/>
                <w:szCs w:val="18"/>
              </w:rPr>
              <w:t>板</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华润赛科药业有限责任公司</w:t>
            </w:r>
          </w:p>
        </w:tc>
      </w:tr>
      <w:tr>
        <w:tblPrEx>
          <w:tblCellMar>
            <w:top w:w="0" w:type="dxa"/>
            <w:left w:w="108" w:type="dxa"/>
            <w:bottom w:w="0" w:type="dxa"/>
            <w:right w:w="108" w:type="dxa"/>
          </w:tblCellMar>
        </w:tblPrEx>
        <w:trPr>
          <w:trHeight w:val="504" w:hRule="atLeast"/>
          <w:jc w:val="center"/>
        </w:trPr>
        <w:tc>
          <w:tcPr>
            <w:tcW w:w="92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hint="eastAsia" w:ascii="Times New Roman" w:hAnsi="Times New Roman" w:eastAsia="宋体" w:cs="Times New Roman"/>
                <w:color w:val="333333"/>
                <w:sz w:val="18"/>
                <w:szCs w:val="18"/>
              </w:rPr>
              <w:t>1</w:t>
            </w:r>
            <w:r>
              <w:rPr>
                <w:rFonts w:ascii="Times New Roman" w:hAnsi="Times New Roman" w:eastAsia="宋体" w:cs="Times New Roman"/>
                <w:color w:val="333333"/>
                <w:sz w:val="18"/>
                <w:szCs w:val="18"/>
              </w:rPr>
              <w:t>27</w:t>
            </w:r>
          </w:p>
        </w:tc>
        <w:tc>
          <w:tcPr>
            <w:tcW w:w="1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缬沙坦氢氯噻嗪片</w:t>
            </w:r>
          </w:p>
        </w:tc>
        <w:tc>
          <w:tcPr>
            <w:tcW w:w="92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片剂</w:t>
            </w:r>
          </w:p>
        </w:tc>
        <w:tc>
          <w:tcPr>
            <w:tcW w:w="232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等线" w:cs="Times New Roman"/>
                <w:color w:val="333333"/>
                <w:sz w:val="18"/>
                <w:szCs w:val="18"/>
              </w:rPr>
            </w:pPr>
            <w:r>
              <w:rPr>
                <w:rFonts w:ascii="Times New Roman" w:hAnsi="Times New Roman" w:eastAsia="等线" w:cs="Times New Roman"/>
                <w:color w:val="333333"/>
                <w:sz w:val="18"/>
                <w:szCs w:val="18"/>
              </w:rPr>
              <w:t>（缬沙坦80mg+氢氯噻嗪12</w:t>
            </w:r>
            <w:r>
              <w:rPr>
                <w:rFonts w:hint="eastAsia" w:ascii="Times New Roman" w:hAnsi="Times New Roman" w:eastAsia="等线" w:cs="Times New Roman"/>
                <w:color w:val="333333"/>
                <w:sz w:val="18"/>
                <w:szCs w:val="18"/>
                <w:lang w:eastAsia="zh-CN"/>
              </w:rPr>
              <w:t>.</w:t>
            </w:r>
            <w:r>
              <w:rPr>
                <w:rFonts w:ascii="Times New Roman" w:hAnsi="Times New Roman" w:eastAsia="等线" w:cs="Times New Roman"/>
                <w:color w:val="333333"/>
                <w:sz w:val="18"/>
                <w:szCs w:val="18"/>
              </w:rPr>
              <w:t>5mg</w:t>
            </w:r>
            <w:r>
              <w:rPr>
                <w:rFonts w:ascii="Times New Roman" w:hAnsi="Times New Roman" w:eastAsia="宋体" w:cs="Times New Roman"/>
                <w:color w:val="333333"/>
                <w:sz w:val="18"/>
                <w:szCs w:val="18"/>
              </w:rPr>
              <w:t>）</w:t>
            </w:r>
            <w:r>
              <w:rPr>
                <w:rFonts w:ascii="Times New Roman" w:hAnsi="Times New Roman" w:eastAsia="等线" w:cs="Times New Roman"/>
                <w:color w:val="333333"/>
                <w:sz w:val="18"/>
                <w:szCs w:val="18"/>
              </w:rPr>
              <w:t>*7</w:t>
            </w:r>
            <w:r>
              <w:rPr>
                <w:rFonts w:ascii="Times New Roman" w:hAnsi="Times New Roman" w:eastAsia="宋体" w:cs="Times New Roman"/>
                <w:color w:val="333333"/>
                <w:sz w:val="18"/>
                <w:szCs w:val="18"/>
              </w:rPr>
              <w:t>片</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x2</w:t>
            </w:r>
            <w:r>
              <w:rPr>
                <w:rFonts w:ascii="Times New Roman" w:hAnsi="Times New Roman" w:eastAsia="宋体" w:cs="Times New Roman"/>
                <w:color w:val="333333"/>
                <w:sz w:val="18"/>
                <w:szCs w:val="18"/>
              </w:rPr>
              <w:t>板</w:t>
            </w:r>
            <w:r>
              <w:rPr>
                <w:rFonts w:ascii="Times New Roman" w:hAnsi="Times New Roman" w:eastAsia="等线" w:cs="Times New Roman"/>
                <w:color w:val="333333"/>
                <w:sz w:val="18"/>
                <w:szCs w:val="18"/>
              </w:rPr>
              <w:t>/</w:t>
            </w:r>
            <w:r>
              <w:rPr>
                <w:rFonts w:ascii="Times New Roman" w:hAnsi="Times New Roman" w:eastAsia="宋体" w:cs="Times New Roman"/>
                <w:color w:val="333333"/>
                <w:sz w:val="18"/>
                <w:szCs w:val="18"/>
              </w:rPr>
              <w:t>盒</w:t>
            </w:r>
          </w:p>
        </w:tc>
        <w:tc>
          <w:tcPr>
            <w:tcW w:w="7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盒</w:t>
            </w:r>
          </w:p>
        </w:tc>
        <w:tc>
          <w:tcPr>
            <w:tcW w:w="290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color w:val="333333"/>
                <w:sz w:val="18"/>
                <w:szCs w:val="18"/>
              </w:rPr>
            </w:pPr>
            <w:r>
              <w:rPr>
                <w:rFonts w:ascii="Times New Roman" w:hAnsi="Times New Roman" w:eastAsia="宋体" w:cs="Times New Roman"/>
                <w:color w:val="333333"/>
                <w:sz w:val="18"/>
                <w:szCs w:val="18"/>
              </w:rPr>
              <w:t>北京百奥药业有限责任公司</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rPr>
      </w:pPr>
      <w:r>
        <w:rPr>
          <w:rFonts w:hint="eastAsia" w:ascii="Times New Roman" w:hAnsi="Times New Roman"/>
        </w:rPr>
        <w:br w:type="page"/>
      </w:r>
    </w:p>
    <w:p>
      <w:pPr>
        <w:rPr>
          <w:rFonts w:hint="eastAsia" w:ascii="Times New Roman" w:hAnsi="Times New Roman" w:eastAsia="方正黑体_GBK" w:cs="方正黑体_GBK"/>
          <w:sz w:val="32"/>
          <w:lang w:eastAsia="zh-CN"/>
        </w:rPr>
      </w:pPr>
      <w:r>
        <w:rPr>
          <w:rFonts w:hint="eastAsia" w:ascii="Times New Roman" w:hAnsi="Times New Roman" w:eastAsia="方正黑体_GBK" w:cs="方正黑体_GBK"/>
          <w:sz w:val="32"/>
          <w:lang w:eastAsia="zh-CN"/>
        </w:rPr>
        <w:t>附件</w:t>
      </w:r>
      <w:r>
        <w:rPr>
          <w:rFonts w:hint="eastAsia" w:ascii="Times New Roman" w:hAnsi="Times New Roman" w:eastAsia="方正黑体_GBK" w:cs="方正黑体_GBK"/>
          <w:sz w:val="32"/>
          <w:lang w:val="en-US" w:eastAsia="zh-CN"/>
        </w:rPr>
        <w:t>2</w:t>
      </w:r>
    </w:p>
    <w:tbl>
      <w:tblPr>
        <w:tblStyle w:val="12"/>
        <w:tblW w:w="9345" w:type="dxa"/>
        <w:tblInd w:w="88" w:type="dxa"/>
        <w:tblLayout w:type="fixed"/>
        <w:tblCellMar>
          <w:top w:w="0" w:type="dxa"/>
          <w:left w:w="108" w:type="dxa"/>
          <w:bottom w:w="0" w:type="dxa"/>
          <w:right w:w="108" w:type="dxa"/>
        </w:tblCellMar>
      </w:tblPr>
      <w:tblGrid>
        <w:gridCol w:w="826"/>
        <w:gridCol w:w="600"/>
        <w:gridCol w:w="1089"/>
        <w:gridCol w:w="571"/>
        <w:gridCol w:w="1285"/>
        <w:gridCol w:w="1830"/>
        <w:gridCol w:w="960"/>
        <w:gridCol w:w="2184"/>
      </w:tblGrid>
      <w:tr>
        <w:tblPrEx>
          <w:tblCellMar>
            <w:top w:w="0" w:type="dxa"/>
            <w:left w:w="108" w:type="dxa"/>
            <w:bottom w:w="0" w:type="dxa"/>
            <w:right w:w="108" w:type="dxa"/>
          </w:tblCellMar>
        </w:tblPrEx>
        <w:trPr>
          <w:trHeight w:val="710" w:hRule="atLeast"/>
        </w:trPr>
        <w:tc>
          <w:tcPr>
            <w:tcW w:w="9345" w:type="dxa"/>
            <w:gridSpan w:val="8"/>
            <w:tcBorders>
              <w:top w:val="nil"/>
              <w:left w:val="nil"/>
              <w:bottom w:val="single" w:color="auto" w:sz="8" w:space="0"/>
              <w:right w:val="nil"/>
            </w:tcBorders>
            <w:noWrap w:val="0"/>
            <w:vAlign w:val="center"/>
          </w:tcPr>
          <w:p>
            <w:pPr>
              <w:widowControl/>
              <w:jc w:val="center"/>
              <w:rPr>
                <w:rFonts w:hint="eastAsia" w:ascii="Times New Roman" w:hAnsi="Times New Roman" w:eastAsia="方正小标宋_GBK" w:cs="宋体"/>
                <w:color w:val="000000"/>
                <w:kern w:val="0"/>
                <w:sz w:val="44"/>
                <w:szCs w:val="44"/>
              </w:rPr>
            </w:pPr>
            <w:r>
              <w:rPr>
                <w:rFonts w:hint="eastAsia" w:ascii="Times New Roman" w:hAnsi="Times New Roman" w:eastAsia="方正小标宋_GBK" w:cs="宋体"/>
                <w:color w:val="000000"/>
                <w:kern w:val="0"/>
                <w:sz w:val="44"/>
                <w:szCs w:val="44"/>
              </w:rPr>
              <w:t>重庆市</w:t>
            </w:r>
            <w:r>
              <w:rPr>
                <w:rFonts w:hint="eastAsia" w:ascii="Times New Roman" w:hAnsi="Times New Roman" w:eastAsia="方正小标宋_GBK" w:cs="宋体"/>
                <w:color w:val="000000"/>
                <w:kern w:val="0"/>
                <w:sz w:val="44"/>
                <w:szCs w:val="44"/>
                <w:lang w:eastAsia="zh-CN"/>
              </w:rPr>
              <w:t>“两病”按人头付费登记</w:t>
            </w:r>
            <w:r>
              <w:rPr>
                <w:rFonts w:hint="eastAsia" w:ascii="Times New Roman" w:hAnsi="Times New Roman" w:eastAsia="方正小标宋_GBK" w:cs="宋体"/>
                <w:color w:val="000000"/>
                <w:kern w:val="0"/>
                <w:sz w:val="44"/>
                <w:szCs w:val="44"/>
              </w:rPr>
              <w:t>表</w:t>
            </w:r>
          </w:p>
        </w:tc>
      </w:tr>
      <w:tr>
        <w:tblPrEx>
          <w:tblCellMar>
            <w:top w:w="0" w:type="dxa"/>
            <w:left w:w="108" w:type="dxa"/>
            <w:bottom w:w="0" w:type="dxa"/>
            <w:right w:w="108" w:type="dxa"/>
          </w:tblCellMar>
        </w:tblPrEx>
        <w:trPr>
          <w:trHeight w:val="600" w:hRule="atLeast"/>
        </w:trPr>
        <w:tc>
          <w:tcPr>
            <w:tcW w:w="1426" w:type="dxa"/>
            <w:gridSpan w:val="2"/>
            <w:tcBorders>
              <w:top w:val="single" w:color="auto" w:sz="8" w:space="0"/>
              <w:left w:val="single" w:color="auto" w:sz="8" w:space="0"/>
              <w:bottom w:val="single" w:color="auto" w:sz="8" w:space="0"/>
              <w:right w:val="single" w:color="000000" w:sz="8" w:space="0"/>
            </w:tcBorders>
            <w:noWrap w:val="0"/>
            <w:vAlign w:val="center"/>
          </w:tcPr>
          <w:p>
            <w:pPr>
              <w:widowControl/>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姓名</w:t>
            </w:r>
          </w:p>
        </w:tc>
        <w:tc>
          <w:tcPr>
            <w:tcW w:w="1660" w:type="dxa"/>
            <w:gridSpan w:val="2"/>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方正仿宋_GBK" w:cs="宋体"/>
                <w:color w:val="000000"/>
                <w:kern w:val="0"/>
                <w:sz w:val="24"/>
                <w:szCs w:val="24"/>
              </w:rPr>
            </w:pPr>
          </w:p>
        </w:tc>
        <w:tc>
          <w:tcPr>
            <w:tcW w:w="1285"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性别</w:t>
            </w:r>
          </w:p>
        </w:tc>
        <w:tc>
          <w:tcPr>
            <w:tcW w:w="1830" w:type="dxa"/>
            <w:tcBorders>
              <w:top w:val="single" w:color="auto" w:sz="8" w:space="0"/>
              <w:left w:val="nil"/>
              <w:bottom w:val="single" w:color="auto" w:sz="8" w:space="0"/>
              <w:right w:val="single" w:color="000000" w:sz="8" w:space="0"/>
            </w:tcBorders>
            <w:noWrap w:val="0"/>
            <w:vAlign w:val="center"/>
          </w:tcPr>
          <w:p>
            <w:pPr>
              <w:widowControl/>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　</w:t>
            </w:r>
          </w:p>
        </w:tc>
        <w:tc>
          <w:tcPr>
            <w:tcW w:w="960"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年龄</w:t>
            </w:r>
          </w:p>
        </w:tc>
        <w:tc>
          <w:tcPr>
            <w:tcW w:w="2184" w:type="dxa"/>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　</w:t>
            </w:r>
          </w:p>
        </w:tc>
      </w:tr>
      <w:tr>
        <w:tblPrEx>
          <w:tblCellMar>
            <w:top w:w="0" w:type="dxa"/>
            <w:left w:w="108" w:type="dxa"/>
            <w:bottom w:w="0" w:type="dxa"/>
            <w:right w:w="108" w:type="dxa"/>
          </w:tblCellMar>
        </w:tblPrEx>
        <w:trPr>
          <w:trHeight w:val="572" w:hRule="atLeast"/>
        </w:trPr>
        <w:tc>
          <w:tcPr>
            <w:tcW w:w="1426" w:type="dxa"/>
            <w:gridSpan w:val="2"/>
            <w:tcBorders>
              <w:top w:val="single" w:color="auto" w:sz="8" w:space="0"/>
              <w:left w:val="single" w:color="auto" w:sz="8" w:space="0"/>
              <w:bottom w:val="single" w:color="auto" w:sz="8" w:space="0"/>
              <w:right w:val="single" w:color="000000" w:sz="8" w:space="0"/>
            </w:tcBorders>
            <w:noWrap w:val="0"/>
            <w:vAlign w:val="center"/>
          </w:tcPr>
          <w:p>
            <w:pPr>
              <w:widowControl/>
              <w:spacing w:line="28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社会保障号</w:t>
            </w:r>
          </w:p>
        </w:tc>
        <w:tc>
          <w:tcPr>
            <w:tcW w:w="2945" w:type="dxa"/>
            <w:gridSpan w:val="3"/>
            <w:tcBorders>
              <w:top w:val="nil"/>
              <w:left w:val="nil"/>
              <w:bottom w:val="single" w:color="auto" w:sz="8" w:space="0"/>
              <w:right w:val="single" w:color="000000" w:sz="8" w:space="0"/>
            </w:tcBorders>
            <w:noWrap w:val="0"/>
            <w:vAlign w:val="center"/>
          </w:tcPr>
          <w:p>
            <w:pPr>
              <w:widowControl/>
              <w:jc w:val="center"/>
              <w:rPr>
                <w:rFonts w:hint="eastAsia" w:ascii="Times New Roman" w:hAnsi="Times New Roman" w:eastAsia="方正仿宋_GBK" w:cs="宋体"/>
                <w:color w:val="000000"/>
                <w:kern w:val="0"/>
                <w:sz w:val="24"/>
                <w:szCs w:val="24"/>
              </w:rPr>
            </w:pPr>
          </w:p>
        </w:tc>
        <w:tc>
          <w:tcPr>
            <w:tcW w:w="1830" w:type="dxa"/>
            <w:tcBorders>
              <w:top w:val="nil"/>
              <w:left w:val="nil"/>
              <w:bottom w:val="single" w:color="auto" w:sz="8" w:space="0"/>
              <w:right w:val="single" w:color="000000" w:sz="8" w:space="0"/>
            </w:tcBorders>
            <w:noWrap w:val="0"/>
            <w:vAlign w:val="center"/>
          </w:tcPr>
          <w:p>
            <w:pPr>
              <w:widowControl/>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身份证号</w:t>
            </w:r>
          </w:p>
        </w:tc>
        <w:tc>
          <w:tcPr>
            <w:tcW w:w="3144" w:type="dxa"/>
            <w:gridSpan w:val="2"/>
            <w:tcBorders>
              <w:top w:val="single" w:color="auto" w:sz="8" w:space="0"/>
              <w:left w:val="nil"/>
              <w:bottom w:val="single" w:color="auto" w:sz="8" w:space="0"/>
              <w:right w:val="single" w:color="000000" w:sz="8" w:space="0"/>
            </w:tcBorders>
            <w:noWrap w:val="0"/>
            <w:vAlign w:val="center"/>
          </w:tcPr>
          <w:p>
            <w:pPr>
              <w:widowControl/>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　</w:t>
            </w:r>
          </w:p>
        </w:tc>
      </w:tr>
      <w:tr>
        <w:tblPrEx>
          <w:tblCellMar>
            <w:top w:w="0" w:type="dxa"/>
            <w:left w:w="108" w:type="dxa"/>
            <w:bottom w:w="0" w:type="dxa"/>
            <w:right w:w="108" w:type="dxa"/>
          </w:tblCellMar>
        </w:tblPrEx>
        <w:trPr>
          <w:trHeight w:val="522" w:hRule="atLeast"/>
        </w:trPr>
        <w:tc>
          <w:tcPr>
            <w:tcW w:w="2515" w:type="dxa"/>
            <w:gridSpan w:val="3"/>
            <w:tcBorders>
              <w:top w:val="single" w:color="auto" w:sz="8" w:space="0"/>
              <w:left w:val="single" w:color="auto" w:sz="8" w:space="0"/>
              <w:bottom w:val="single" w:color="auto" w:sz="8" w:space="0"/>
              <w:right w:val="single" w:color="000000" w:sz="8" w:space="0"/>
            </w:tcBorders>
            <w:noWrap w:val="0"/>
            <w:vAlign w:val="center"/>
          </w:tcPr>
          <w:p>
            <w:pPr>
              <w:widowControl/>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参保人联系电话</w:t>
            </w:r>
          </w:p>
        </w:tc>
        <w:tc>
          <w:tcPr>
            <w:tcW w:w="6830" w:type="dxa"/>
            <w:gridSpan w:val="5"/>
            <w:tcBorders>
              <w:top w:val="single" w:color="auto" w:sz="8" w:space="0"/>
              <w:left w:val="nil"/>
              <w:bottom w:val="single" w:color="auto" w:sz="8" w:space="0"/>
              <w:right w:val="single" w:color="000000" w:sz="8" w:space="0"/>
            </w:tcBorders>
            <w:noWrap w:val="0"/>
            <w:vAlign w:val="center"/>
          </w:tcPr>
          <w:p>
            <w:pPr>
              <w:widowControl/>
              <w:jc w:val="center"/>
              <w:rPr>
                <w:rFonts w:hint="eastAsia" w:ascii="Times New Roman" w:hAnsi="Times New Roman" w:eastAsia="方正仿宋_GBK" w:cs="宋体"/>
                <w:color w:val="000000"/>
                <w:kern w:val="0"/>
                <w:sz w:val="24"/>
                <w:szCs w:val="24"/>
              </w:rPr>
            </w:pPr>
          </w:p>
        </w:tc>
      </w:tr>
      <w:tr>
        <w:tblPrEx>
          <w:tblCellMar>
            <w:top w:w="0" w:type="dxa"/>
            <w:left w:w="108" w:type="dxa"/>
            <w:bottom w:w="0" w:type="dxa"/>
            <w:right w:w="108" w:type="dxa"/>
          </w:tblCellMar>
        </w:tblPrEx>
        <w:trPr>
          <w:trHeight w:val="522" w:hRule="atLeast"/>
        </w:trPr>
        <w:tc>
          <w:tcPr>
            <w:tcW w:w="2515" w:type="dxa"/>
            <w:gridSpan w:val="3"/>
            <w:tcBorders>
              <w:top w:val="single" w:color="auto" w:sz="8" w:space="0"/>
              <w:left w:val="single" w:color="auto" w:sz="8" w:space="0"/>
              <w:bottom w:val="single" w:color="auto" w:sz="8" w:space="0"/>
              <w:right w:val="single" w:color="000000" w:sz="8" w:space="0"/>
            </w:tcBorders>
            <w:noWrap w:val="0"/>
            <w:vAlign w:val="center"/>
          </w:tcPr>
          <w:p>
            <w:pPr>
              <w:widowControl/>
              <w:jc w:val="center"/>
              <w:rPr>
                <w:rFonts w:hint="eastAsia" w:ascii="Times New Roman" w:hAnsi="Times New Roman" w:eastAsia="方正仿宋_GBK" w:cs="宋体"/>
                <w:color w:val="000000"/>
                <w:kern w:val="0"/>
                <w:sz w:val="24"/>
                <w:szCs w:val="24"/>
                <w:lang w:eastAsia="zh-CN"/>
              </w:rPr>
            </w:pPr>
            <w:r>
              <w:rPr>
                <w:rFonts w:hint="eastAsia" w:ascii="Times New Roman" w:hAnsi="Times New Roman" w:eastAsia="方正仿宋_GBK" w:cs="宋体"/>
                <w:color w:val="000000"/>
                <w:kern w:val="0"/>
                <w:sz w:val="24"/>
                <w:szCs w:val="24"/>
              </w:rPr>
              <w:t>参保人</w:t>
            </w:r>
            <w:r>
              <w:rPr>
                <w:rFonts w:hint="eastAsia" w:ascii="Times New Roman" w:hAnsi="Times New Roman" w:eastAsia="方正仿宋_GBK" w:cs="宋体"/>
                <w:color w:val="000000"/>
                <w:kern w:val="0"/>
                <w:sz w:val="24"/>
                <w:szCs w:val="24"/>
                <w:lang w:eastAsia="zh-CN"/>
              </w:rPr>
              <w:t>居住或工作地</w:t>
            </w:r>
          </w:p>
        </w:tc>
        <w:tc>
          <w:tcPr>
            <w:tcW w:w="6830" w:type="dxa"/>
            <w:gridSpan w:val="5"/>
            <w:tcBorders>
              <w:top w:val="single" w:color="auto" w:sz="8" w:space="0"/>
              <w:left w:val="nil"/>
              <w:bottom w:val="single" w:color="auto" w:sz="8" w:space="0"/>
              <w:right w:val="single" w:color="000000" w:sz="8" w:space="0"/>
            </w:tcBorders>
            <w:noWrap w:val="0"/>
            <w:vAlign w:val="center"/>
          </w:tcPr>
          <w:p>
            <w:pPr>
              <w:widowControl/>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　</w:t>
            </w:r>
          </w:p>
        </w:tc>
      </w:tr>
      <w:tr>
        <w:tblPrEx>
          <w:tblCellMar>
            <w:top w:w="0" w:type="dxa"/>
            <w:left w:w="108" w:type="dxa"/>
            <w:bottom w:w="0" w:type="dxa"/>
            <w:right w:w="108" w:type="dxa"/>
          </w:tblCellMar>
        </w:tblPrEx>
        <w:trPr>
          <w:trHeight w:val="745" w:hRule="atLeast"/>
        </w:trPr>
        <w:tc>
          <w:tcPr>
            <w:tcW w:w="2515" w:type="dxa"/>
            <w:gridSpan w:val="3"/>
            <w:tcBorders>
              <w:top w:val="single" w:color="auto" w:sz="8" w:space="0"/>
              <w:left w:val="single" w:color="auto" w:sz="8" w:space="0"/>
              <w:bottom w:val="single" w:color="auto" w:sz="8" w:space="0"/>
              <w:right w:val="single" w:color="000000" w:sz="8" w:space="0"/>
            </w:tcBorders>
            <w:noWrap w:val="0"/>
            <w:vAlign w:val="center"/>
          </w:tcPr>
          <w:p>
            <w:pPr>
              <w:widowControl/>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病种</w:t>
            </w:r>
          </w:p>
        </w:tc>
        <w:tc>
          <w:tcPr>
            <w:tcW w:w="6830" w:type="dxa"/>
            <w:gridSpan w:val="5"/>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lang w:eastAsia="zh-CN"/>
              </w:rPr>
              <w:t>高血压</w:t>
            </w:r>
            <w:r>
              <w:rPr>
                <w:rFonts w:hint="eastAsia" w:ascii="Times New Roman" w:hAnsi="Times New Roman" w:eastAsia="方正仿宋_GBK" w:cs="宋体"/>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lang w:eastAsia="zh-CN"/>
              </w:rPr>
              <w:t>糖尿病</w:t>
            </w:r>
            <w:r>
              <w:rPr>
                <w:rFonts w:hint="eastAsia" w:ascii="Times New Roman" w:hAnsi="Times New Roman" w:eastAsia="方正仿宋_GBK" w:cs="宋体"/>
                <w:color w:val="000000"/>
                <w:kern w:val="0"/>
                <w:sz w:val="24"/>
                <w:szCs w:val="24"/>
              </w:rPr>
              <w:t>□</w:t>
            </w:r>
          </w:p>
        </w:tc>
      </w:tr>
      <w:tr>
        <w:tblPrEx>
          <w:tblCellMar>
            <w:top w:w="0" w:type="dxa"/>
            <w:left w:w="108" w:type="dxa"/>
            <w:bottom w:w="0" w:type="dxa"/>
            <w:right w:w="108" w:type="dxa"/>
          </w:tblCellMar>
        </w:tblPrEx>
        <w:trPr>
          <w:trHeight w:val="820" w:hRule="atLeast"/>
        </w:trPr>
        <w:tc>
          <w:tcPr>
            <w:tcW w:w="2515" w:type="dxa"/>
            <w:gridSpan w:val="3"/>
            <w:tcBorders>
              <w:top w:val="single" w:color="auto" w:sz="8" w:space="0"/>
              <w:left w:val="single" w:color="auto" w:sz="8" w:space="0"/>
              <w:bottom w:val="single" w:color="auto" w:sz="8" w:space="0"/>
              <w:right w:val="single" w:color="000000" w:sz="8" w:space="0"/>
            </w:tcBorders>
            <w:noWrap w:val="0"/>
            <w:vAlign w:val="center"/>
          </w:tcPr>
          <w:p>
            <w:pPr>
              <w:widowControl/>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rPr>
              <w:t>本人选定</w:t>
            </w:r>
            <w:r>
              <w:rPr>
                <w:rFonts w:hint="eastAsia" w:ascii="Times New Roman" w:hAnsi="Times New Roman" w:eastAsia="方正仿宋_GBK" w:cs="宋体"/>
                <w:color w:val="000000"/>
                <w:kern w:val="0"/>
                <w:sz w:val="24"/>
                <w:szCs w:val="24"/>
                <w:lang w:eastAsia="zh-CN"/>
              </w:rPr>
              <w:t>治疗机构</w:t>
            </w:r>
          </w:p>
        </w:tc>
        <w:tc>
          <w:tcPr>
            <w:tcW w:w="6830" w:type="dxa"/>
            <w:gridSpan w:val="5"/>
            <w:tcBorders>
              <w:top w:val="single" w:color="auto" w:sz="8" w:space="0"/>
              <w:left w:val="nil"/>
              <w:bottom w:val="single" w:color="auto" w:sz="8" w:space="0"/>
              <w:right w:val="single" w:color="000000" w:sz="8" w:space="0"/>
            </w:tcBorders>
            <w:noWrap w:val="0"/>
            <w:vAlign w:val="center"/>
          </w:tcPr>
          <w:p>
            <w:pPr>
              <w:widowControl/>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　</w:t>
            </w:r>
          </w:p>
        </w:tc>
      </w:tr>
      <w:tr>
        <w:tblPrEx>
          <w:tblCellMar>
            <w:top w:w="0" w:type="dxa"/>
            <w:left w:w="108" w:type="dxa"/>
            <w:bottom w:w="0" w:type="dxa"/>
            <w:right w:w="108" w:type="dxa"/>
          </w:tblCellMar>
        </w:tblPrEx>
        <w:trPr>
          <w:trHeight w:val="2725" w:hRule="atLeast"/>
        </w:trPr>
        <w:tc>
          <w:tcPr>
            <w:tcW w:w="826"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hint="eastAsia" w:ascii="Times New Roman" w:hAnsi="Times New Roman" w:eastAsia="方正仿宋_GBK" w:cs="宋体"/>
                <w:color w:val="000000"/>
                <w:kern w:val="0"/>
                <w:sz w:val="24"/>
                <w:szCs w:val="24"/>
                <w:lang w:eastAsia="zh-CN"/>
              </w:rPr>
            </w:pPr>
            <w:r>
              <w:rPr>
                <w:rFonts w:hint="eastAsia" w:ascii="Times New Roman" w:hAnsi="Times New Roman" w:eastAsia="方正仿宋_GBK" w:cs="宋体"/>
                <w:color w:val="000000"/>
                <w:kern w:val="0"/>
                <w:sz w:val="24"/>
                <w:szCs w:val="24"/>
                <w:lang w:eastAsia="zh-CN"/>
              </w:rPr>
              <w:t>本人意见</w:t>
            </w:r>
          </w:p>
        </w:tc>
        <w:tc>
          <w:tcPr>
            <w:tcW w:w="8519" w:type="dxa"/>
            <w:gridSpan w:val="7"/>
            <w:tcBorders>
              <w:top w:val="nil"/>
              <w:left w:val="nil"/>
              <w:bottom w:val="single" w:color="auto" w:sz="8" w:space="0"/>
              <w:right w:val="single" w:color="auto" w:sz="8" w:space="0"/>
            </w:tcBorders>
            <w:noWrap w:val="0"/>
            <w:vAlign w:val="center"/>
          </w:tcPr>
          <w:p>
            <w:pPr>
              <w:widowControl/>
              <w:ind w:firstLine="2880" w:firstLineChars="1200"/>
              <w:jc w:val="left"/>
              <w:rPr>
                <w:rFonts w:hint="eastAsia" w:ascii="Times New Roman" w:hAnsi="Times New Roman" w:eastAsia="方正仿宋_GBK" w:cs="宋体"/>
                <w:kern w:val="0"/>
                <w:sz w:val="24"/>
                <w:szCs w:val="24"/>
                <w:lang w:eastAsia="zh-CN"/>
              </w:rPr>
            </w:pPr>
          </w:p>
          <w:p>
            <w:pPr>
              <w:widowControl/>
              <w:ind w:firstLine="2880" w:firstLineChars="1200"/>
              <w:jc w:val="left"/>
              <w:rPr>
                <w:rFonts w:hint="eastAsia" w:ascii="Times New Roman" w:hAnsi="Times New Roman" w:eastAsia="方正仿宋_GBK" w:cs="宋体"/>
                <w:kern w:val="0"/>
                <w:sz w:val="24"/>
                <w:szCs w:val="24"/>
                <w:lang w:eastAsia="zh-CN"/>
              </w:rPr>
            </w:pPr>
          </w:p>
          <w:p>
            <w:pPr>
              <w:widowControl/>
              <w:ind w:firstLine="2880" w:firstLineChars="1200"/>
              <w:jc w:val="left"/>
              <w:rPr>
                <w:rFonts w:hint="eastAsia" w:ascii="Times New Roman" w:hAnsi="Times New Roman" w:eastAsia="方正仿宋_GBK" w:cs="宋体"/>
                <w:kern w:val="0"/>
                <w:sz w:val="24"/>
                <w:szCs w:val="24"/>
                <w:lang w:eastAsia="zh-CN"/>
              </w:rPr>
            </w:pPr>
          </w:p>
          <w:p>
            <w:pPr>
              <w:widowControl/>
              <w:ind w:firstLine="2880" w:firstLineChars="1200"/>
              <w:jc w:val="left"/>
              <w:rPr>
                <w:rFonts w:hint="eastAsia" w:ascii="Times New Roman" w:hAnsi="Times New Roman" w:eastAsia="方正仿宋_GBK" w:cs="宋体"/>
                <w:kern w:val="0"/>
                <w:sz w:val="24"/>
                <w:szCs w:val="24"/>
                <w:lang w:eastAsia="zh-CN"/>
              </w:rPr>
            </w:pPr>
          </w:p>
          <w:p>
            <w:pPr>
              <w:widowControl/>
              <w:ind w:firstLine="6240" w:firstLineChars="2600"/>
              <w:jc w:val="left"/>
              <w:rPr>
                <w:rFonts w:hint="eastAsia" w:ascii="Times New Roman" w:hAnsi="Times New Roman" w:eastAsia="方正仿宋_GBK" w:cs="宋体"/>
                <w:kern w:val="0"/>
                <w:sz w:val="24"/>
                <w:szCs w:val="24"/>
                <w:lang w:eastAsia="zh-CN"/>
              </w:rPr>
            </w:pPr>
            <w:r>
              <w:rPr>
                <w:rFonts w:hint="eastAsia" w:ascii="Times New Roman" w:hAnsi="Times New Roman" w:eastAsia="方正仿宋_GBK" w:cs="宋体"/>
                <w:kern w:val="0"/>
                <w:sz w:val="24"/>
                <w:szCs w:val="24"/>
                <w:lang w:eastAsia="zh-CN"/>
              </w:rPr>
              <w:t>签字：</w:t>
            </w:r>
          </w:p>
          <w:p>
            <w:pPr>
              <w:widowControl/>
              <w:jc w:val="right"/>
              <w:rPr>
                <w:rFonts w:hint="eastAsia" w:ascii="Times New Roman" w:hAnsi="Times New Roman" w:eastAsia="方正仿宋_GBK" w:cs="宋体"/>
                <w:kern w:val="0"/>
                <w:sz w:val="24"/>
                <w:szCs w:val="24"/>
              </w:rPr>
            </w:pPr>
            <w:r>
              <w:rPr>
                <w:rFonts w:hint="eastAsia" w:ascii="Times New Roman" w:hAnsi="Times New Roman" w:eastAsia="方正仿宋_GBK" w:cs="宋体"/>
                <w:kern w:val="0"/>
                <w:sz w:val="24"/>
                <w:szCs w:val="24"/>
                <w:lang w:val="en-US" w:eastAsia="zh-CN"/>
              </w:rPr>
              <w:t xml:space="preserve">               </w:t>
            </w:r>
            <w:r>
              <w:rPr>
                <w:rFonts w:hint="eastAsia" w:ascii="Times New Roman" w:hAnsi="Times New Roman" w:eastAsia="方正仿宋_GBK" w:cs="宋体"/>
                <w:kern w:val="0"/>
                <w:sz w:val="24"/>
                <w:szCs w:val="24"/>
              </w:rPr>
              <w:t xml:space="preserve">     年     月     日</w:t>
            </w:r>
          </w:p>
        </w:tc>
      </w:tr>
      <w:tr>
        <w:tblPrEx>
          <w:tblCellMar>
            <w:top w:w="0" w:type="dxa"/>
            <w:left w:w="108" w:type="dxa"/>
            <w:bottom w:w="0" w:type="dxa"/>
            <w:right w:w="108" w:type="dxa"/>
          </w:tblCellMar>
        </w:tblPrEx>
        <w:trPr>
          <w:trHeight w:val="2831" w:hRule="atLeast"/>
        </w:trPr>
        <w:tc>
          <w:tcPr>
            <w:tcW w:w="826" w:type="dxa"/>
            <w:tcBorders>
              <w:top w:val="nil"/>
              <w:left w:val="single" w:color="auto" w:sz="8" w:space="0"/>
              <w:bottom w:val="single" w:color="000000" w:sz="8" w:space="0"/>
              <w:right w:val="single" w:color="auto" w:sz="8" w:space="0"/>
            </w:tcBorders>
            <w:noWrap w:val="0"/>
            <w:vAlign w:val="center"/>
          </w:tcPr>
          <w:p>
            <w:pPr>
              <w:widowControl/>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lang w:eastAsia="zh-CN"/>
              </w:rPr>
              <w:t>治疗</w:t>
            </w:r>
            <w:r>
              <w:rPr>
                <w:rFonts w:hint="eastAsia" w:ascii="Times New Roman" w:hAnsi="Times New Roman" w:eastAsia="方正仿宋_GBK" w:cs="宋体"/>
                <w:color w:val="000000"/>
                <w:kern w:val="0"/>
                <w:sz w:val="24"/>
                <w:szCs w:val="24"/>
              </w:rPr>
              <w:t>机构意见</w:t>
            </w:r>
          </w:p>
        </w:tc>
        <w:tc>
          <w:tcPr>
            <w:tcW w:w="8519" w:type="dxa"/>
            <w:gridSpan w:val="7"/>
            <w:tcBorders>
              <w:top w:val="nil"/>
              <w:left w:val="nil"/>
              <w:bottom w:val="single" w:color="auto" w:sz="8" w:space="0"/>
              <w:right w:val="single" w:color="auto" w:sz="8" w:space="0"/>
            </w:tcBorders>
            <w:noWrap w:val="0"/>
            <w:vAlign w:val="center"/>
          </w:tcPr>
          <w:p>
            <w:pPr>
              <w:widowControl/>
              <w:jc w:val="center"/>
              <w:rPr>
                <w:rFonts w:hint="eastAsia" w:ascii="Times New Roman" w:hAnsi="Times New Roman" w:eastAsia="方正仿宋_GBK" w:cs="宋体"/>
                <w:color w:val="000000"/>
                <w:kern w:val="0"/>
                <w:sz w:val="24"/>
                <w:szCs w:val="24"/>
                <w:lang w:eastAsia="zh-CN"/>
              </w:rPr>
            </w:pPr>
          </w:p>
          <w:p>
            <w:pPr>
              <w:widowControl/>
              <w:jc w:val="center"/>
              <w:rPr>
                <w:rFonts w:hint="eastAsia" w:ascii="Times New Roman" w:hAnsi="Times New Roman" w:eastAsia="方正仿宋_GBK" w:cs="宋体"/>
                <w:color w:val="000000"/>
                <w:kern w:val="0"/>
                <w:sz w:val="24"/>
                <w:szCs w:val="24"/>
                <w:lang w:eastAsia="zh-CN"/>
              </w:rPr>
            </w:pPr>
          </w:p>
          <w:p>
            <w:pPr>
              <w:widowControl/>
              <w:jc w:val="center"/>
              <w:rPr>
                <w:rFonts w:hint="eastAsia" w:ascii="Times New Roman" w:hAnsi="Times New Roman" w:eastAsia="方正仿宋_GBK" w:cs="宋体"/>
                <w:color w:val="000000"/>
                <w:kern w:val="0"/>
                <w:sz w:val="24"/>
                <w:szCs w:val="24"/>
                <w:lang w:eastAsia="zh-CN"/>
              </w:rPr>
            </w:pPr>
          </w:p>
          <w:p>
            <w:pPr>
              <w:widowControl/>
              <w:jc w:val="center"/>
              <w:rPr>
                <w:rFonts w:hint="eastAsia" w:ascii="Times New Roman" w:hAnsi="Times New Roman" w:eastAsia="方正仿宋_GBK" w:cs="宋体"/>
                <w:color w:val="000000"/>
                <w:kern w:val="0"/>
                <w:sz w:val="24"/>
                <w:szCs w:val="24"/>
                <w:lang w:eastAsia="zh-CN"/>
              </w:rPr>
            </w:pPr>
          </w:p>
          <w:p>
            <w:pPr>
              <w:widowControl/>
              <w:jc w:val="center"/>
              <w:rPr>
                <w:rFonts w:hint="eastAsia" w:ascii="Times New Roman" w:hAnsi="Times New Roman" w:eastAsia="方正仿宋_GBK" w:cs="宋体"/>
                <w:color w:val="000000"/>
                <w:kern w:val="0"/>
                <w:sz w:val="24"/>
                <w:szCs w:val="24"/>
                <w:lang w:eastAsia="zh-CN"/>
              </w:rPr>
            </w:pPr>
          </w:p>
          <w:p>
            <w:pPr>
              <w:widowControl/>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lang w:val="en-US" w:eastAsia="zh-CN"/>
              </w:rPr>
              <w:t xml:space="preserve">                                        </w:t>
            </w:r>
            <w:r>
              <w:rPr>
                <w:rFonts w:hint="eastAsia" w:ascii="Times New Roman" w:hAnsi="Times New Roman" w:eastAsia="方正仿宋_GBK" w:cs="宋体"/>
                <w:color w:val="000000"/>
                <w:kern w:val="0"/>
                <w:sz w:val="24"/>
                <w:szCs w:val="24"/>
                <w:lang w:eastAsia="zh-CN"/>
              </w:rPr>
              <w:t>签章：</w:t>
            </w:r>
          </w:p>
          <w:p>
            <w:pPr>
              <w:widowControl/>
              <w:jc w:val="right"/>
              <w:rPr>
                <w:rFonts w:hint="eastAsia" w:ascii="Times New Roman" w:hAnsi="Times New Roman" w:eastAsia="方正仿宋_GBK" w:cs="宋体"/>
                <w:kern w:val="0"/>
                <w:sz w:val="24"/>
                <w:szCs w:val="24"/>
              </w:rPr>
            </w:pPr>
            <w:r>
              <w:rPr>
                <w:rFonts w:hint="eastAsia" w:ascii="Times New Roman" w:hAnsi="Times New Roman" w:eastAsia="方正仿宋_GBK" w:cs="宋体"/>
                <w:kern w:val="0"/>
                <w:sz w:val="24"/>
                <w:szCs w:val="24"/>
              </w:rPr>
              <w:t xml:space="preserve"> </w:t>
            </w:r>
            <w:r>
              <w:rPr>
                <w:rFonts w:hint="eastAsia" w:ascii="Times New Roman" w:hAnsi="Times New Roman" w:eastAsia="方正仿宋_GBK" w:cs="宋体"/>
                <w:kern w:val="0"/>
                <w:sz w:val="24"/>
                <w:szCs w:val="24"/>
                <w:lang w:val="en-US" w:eastAsia="zh-CN"/>
              </w:rPr>
              <w:t xml:space="preserve">               </w:t>
            </w:r>
            <w:r>
              <w:rPr>
                <w:rFonts w:hint="eastAsia" w:ascii="Times New Roman" w:hAnsi="Times New Roman" w:eastAsia="方正仿宋_GBK" w:cs="宋体"/>
                <w:kern w:val="0"/>
                <w:sz w:val="24"/>
                <w:szCs w:val="24"/>
              </w:rPr>
              <w:t xml:space="preserve">    年     月     日</w:t>
            </w:r>
          </w:p>
        </w:tc>
      </w:tr>
    </w:tbl>
    <w:p>
      <w:pPr>
        <w:widowControl/>
        <w:jc w:val="left"/>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备注：本表格由治疗机构存档备查。</w:t>
      </w:r>
    </w:p>
    <w:p>
      <w:pPr>
        <w:keepNext w:val="0"/>
        <w:keepLines w:val="0"/>
        <w:pageBreakBefore w:val="0"/>
        <w:widowControl w:val="0"/>
        <w:tabs>
          <w:tab w:val="left" w:pos="4740"/>
        </w:tabs>
        <w:kinsoku/>
        <w:wordWrap/>
        <w:overflowPunct/>
        <w:topLinePunct w:val="0"/>
        <w:autoSpaceDE/>
        <w:autoSpaceDN/>
        <w:bidi w:val="0"/>
        <w:adjustRightInd/>
        <w:snapToGrid/>
        <w:ind w:firstLine="640" w:firstLineChars="200"/>
        <w:textAlignment w:val="auto"/>
        <w:outlineLvl w:val="9"/>
        <w:rPr>
          <w:rFonts w:hint="eastAsia" w:ascii="方正仿宋_GBK" w:eastAsia="方正仿宋_GBK"/>
          <w:sz w:val="32"/>
          <w:szCs w:val="32"/>
        </w:rPr>
      </w:pPr>
    </w:p>
    <w:p>
      <w:pPr>
        <w:pStyle w:val="2"/>
        <w:rPr>
          <w:rFonts w:hint="eastAsia" w:ascii="方正仿宋_GBK" w:eastAsia="方正仿宋_GBK"/>
          <w:sz w:val="32"/>
          <w:szCs w:val="32"/>
        </w:rPr>
      </w:pPr>
    </w:p>
    <w:p>
      <w:pPr>
        <w:rPr>
          <w:rFonts w:hint="eastAsia" w:ascii="方正仿宋_GBK" w:eastAsia="方正仿宋_GBK"/>
          <w:sz w:val="32"/>
          <w:szCs w:val="32"/>
        </w:rPr>
      </w:pPr>
    </w:p>
    <w:p>
      <w:pPr>
        <w:pStyle w:val="2"/>
        <w:rPr>
          <w:rFonts w:hint="eastAsia" w:ascii="方正仿宋_GBK" w:eastAsia="方正仿宋_GBK"/>
          <w:sz w:val="32"/>
          <w:szCs w:val="32"/>
        </w:rPr>
      </w:pPr>
    </w:p>
    <w:p>
      <w:pPr>
        <w:rPr>
          <w:rFonts w:hint="eastAsia" w:ascii="方正仿宋_GBK" w:eastAsia="方正仿宋_GBK"/>
          <w:sz w:val="32"/>
          <w:szCs w:val="32"/>
        </w:rPr>
      </w:pPr>
    </w:p>
    <w:p>
      <w:pPr>
        <w:pStyle w:val="2"/>
        <w:rPr>
          <w:rFonts w:hint="eastAsia" w:ascii="方正仿宋_GBK" w:eastAsia="方正仿宋_GBK"/>
          <w:sz w:val="32"/>
          <w:szCs w:val="32"/>
        </w:rPr>
      </w:pPr>
    </w:p>
    <w:p>
      <w:pPr>
        <w:rPr>
          <w:rFonts w:hint="eastAsia" w:ascii="方正仿宋_GBK" w:eastAsia="方正仿宋_GBK"/>
          <w:sz w:val="32"/>
          <w:szCs w:val="32"/>
        </w:rPr>
      </w:pPr>
    </w:p>
    <w:p>
      <w:pPr>
        <w:pStyle w:val="2"/>
        <w:rPr>
          <w:rFonts w:hint="eastAsia" w:ascii="方正仿宋_GBK" w:eastAsia="方正仿宋_GBK"/>
          <w:sz w:val="32"/>
          <w:szCs w:val="32"/>
        </w:rPr>
      </w:pPr>
    </w:p>
    <w:p>
      <w:pPr>
        <w:pStyle w:val="2"/>
        <w:rPr>
          <w:rFonts w:hint="eastAsia"/>
        </w:rPr>
      </w:pPr>
    </w:p>
    <w:tbl>
      <w:tblPr>
        <w:tblStyle w:val="12"/>
        <w:tblW w:w="8835"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31"/>
        <w:gridCol w:w="4504"/>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331" w:type="dxa"/>
            <w:tcBorders>
              <w:top w:val="single" w:color="auto" w:sz="4" w:space="0"/>
              <w:left w:val="nil"/>
              <w:bottom w:val="single" w:color="auto" w:sz="4" w:space="0"/>
              <w:right w:val="nil"/>
            </w:tcBorders>
            <w:vAlign w:val="center"/>
          </w:tcPr>
          <w:p>
            <w:pPr>
              <w:snapToGrid w:val="0"/>
              <w:spacing w:line="600" w:lineRule="exact"/>
              <w:ind w:firstLine="280" w:firstLineChars="100"/>
              <w:rPr>
                <w:rFonts w:eastAsia="方正仿宋_GBK"/>
                <w:sz w:val="28"/>
                <w:szCs w:val="28"/>
              </w:rPr>
            </w:pPr>
            <w:r>
              <w:rPr>
                <w:rFonts w:hint="eastAsia" w:eastAsia="方正仿宋_GBK"/>
                <w:sz w:val="28"/>
                <w:szCs w:val="28"/>
              </w:rPr>
              <w:t>重庆市医疗保障局办公室</w:t>
            </w:r>
          </w:p>
        </w:tc>
        <w:tc>
          <w:tcPr>
            <w:tcW w:w="4504" w:type="dxa"/>
            <w:tcBorders>
              <w:top w:val="single" w:color="auto" w:sz="4" w:space="0"/>
              <w:left w:val="nil"/>
              <w:bottom w:val="single" w:color="auto" w:sz="4" w:space="0"/>
              <w:right w:val="nil"/>
            </w:tcBorders>
            <w:vAlign w:val="center"/>
          </w:tcPr>
          <w:p>
            <w:pPr>
              <w:spacing w:line="600" w:lineRule="exact"/>
              <w:rPr>
                <w:rFonts w:ascii="Times New Roman" w:hAnsi="Times New Roman" w:eastAsia="方正仿宋_GBK"/>
                <w:sz w:val="28"/>
                <w:szCs w:val="28"/>
              </w:rPr>
            </w:pPr>
            <w:bookmarkStart w:id="0" w:name="印发时间"/>
            <w:r>
              <w:rPr>
                <w:rFonts w:hint="eastAsia" w:eastAsia="方正仿宋_GBK"/>
                <w:sz w:val="28"/>
                <w:szCs w:val="28"/>
              </w:rPr>
              <w:t xml:space="preserve">  　　</w:t>
            </w:r>
            <w:r>
              <w:rPr>
                <w:rFonts w:hint="eastAsia" w:ascii="Times New Roman" w:eastAsia="方正仿宋_GBK"/>
                <w:sz w:val="28"/>
                <w:szCs w:val="28"/>
              </w:rPr>
              <w:t>　</w:t>
            </w:r>
            <w:r>
              <w:rPr>
                <w:rFonts w:hint="eastAsia" w:eastAsia="方正仿宋_GBK"/>
                <w:sz w:val="28"/>
                <w:szCs w:val="28"/>
                <w:lang w:val="en-US" w:eastAsia="zh-CN"/>
              </w:rPr>
              <w:t xml:space="preserve">  </w:t>
            </w:r>
            <w:r>
              <w:rPr>
                <w:rFonts w:ascii="Times New Roman" w:hAnsi="Times New Roman" w:eastAsia="方正仿宋_GBK"/>
                <w:sz w:val="28"/>
                <w:szCs w:val="28"/>
              </w:rPr>
              <w:t>20</w:t>
            </w:r>
            <w:r>
              <w:rPr>
                <w:rFonts w:hint="eastAsia" w:ascii="Times New Roman" w:hAnsi="Times New Roman" w:eastAsia="方正仿宋_GBK"/>
                <w:sz w:val="28"/>
                <w:szCs w:val="28"/>
              </w:rPr>
              <w:t>2</w:t>
            </w:r>
            <w:r>
              <w:rPr>
                <w:rFonts w:hint="eastAsia" w:eastAsia="方正仿宋_GBK"/>
                <w:sz w:val="28"/>
                <w:szCs w:val="28"/>
                <w:lang w:val="en-US" w:eastAsia="zh-CN"/>
              </w:rPr>
              <w:t>1</w:t>
            </w:r>
            <w:r>
              <w:rPr>
                <w:rFonts w:hint="eastAsia" w:ascii="Times New Roman" w:eastAsia="方正仿宋_GBK"/>
                <w:sz w:val="28"/>
                <w:szCs w:val="28"/>
              </w:rPr>
              <w:t>年</w:t>
            </w:r>
            <w:r>
              <w:rPr>
                <w:rFonts w:hint="eastAsia" w:eastAsia="方正仿宋_GBK"/>
                <w:sz w:val="28"/>
                <w:szCs w:val="28"/>
                <w:lang w:val="en-US" w:eastAsia="zh-CN"/>
              </w:rPr>
              <w:t>3</w:t>
            </w:r>
            <w:r>
              <w:rPr>
                <w:rFonts w:hint="eastAsia" w:ascii="Times New Roman" w:eastAsia="方正仿宋_GBK"/>
                <w:sz w:val="28"/>
                <w:szCs w:val="28"/>
              </w:rPr>
              <w:t>月</w:t>
            </w:r>
            <w:r>
              <w:rPr>
                <w:rFonts w:hint="eastAsia" w:eastAsia="方正仿宋_GBK"/>
                <w:sz w:val="28"/>
                <w:szCs w:val="28"/>
                <w:lang w:val="en-US" w:eastAsia="zh-CN"/>
              </w:rPr>
              <w:t>11</w:t>
            </w:r>
            <w:r>
              <w:rPr>
                <w:rFonts w:hint="eastAsia" w:ascii="Times New Roman" w:eastAsia="方正仿宋_GBK"/>
                <w:sz w:val="28"/>
                <w:szCs w:val="28"/>
              </w:rPr>
              <w:t>日</w:t>
            </w:r>
            <w:bookmarkEnd w:id="0"/>
            <w:r>
              <w:rPr>
                <w:rFonts w:hint="eastAsia" w:ascii="Times New Roman" w:eastAsia="方正仿宋_GBK"/>
                <w:sz w:val="28"/>
                <w:szCs w:val="28"/>
              </w:rPr>
              <w:t>印发</w:t>
            </w:r>
          </w:p>
        </w:tc>
      </w:tr>
    </w:tbl>
    <w:p>
      <w:pPr>
        <w:spacing w:line="600" w:lineRule="exact"/>
        <w:rPr>
          <w:vanish/>
        </w:rPr>
      </w:pPr>
    </w:p>
    <w:sectPr>
      <w:headerReference r:id="rId3" w:type="default"/>
      <w:footerReference r:id="rId4" w:type="default"/>
      <w:pgSz w:w="11906" w:h="16838"/>
      <w:pgMar w:top="2098" w:right="1474" w:bottom="1984" w:left="1588" w:header="851" w:footer="992" w:gutter="0"/>
      <w:pgNumType w:fmt="numberInDash"/>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微软雅黑"/>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2" name="文本框 1037"/>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ffectLst/>
                    </wps:spPr>
                    <wps:txbx>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1037" o:spid="_x0000_s1026" o:spt="202" type="#_x0000_t202" style="position:absolute;left:0pt;margin-top:0pt;height:18.15pt;width:35.05pt;mso-position-horizontal:outside;mso-position-horizontal-relative:margin;mso-wrap-style:none;z-index:251660288;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vOISfRAAAAAwEAAA8AAAAAAAAAAQAgAAAA&#10;IgAAAGRycy9kb3ducmV2LnhtbFBLAQIUABQAAAAIAIdO4kBj56G3EgIAABMEAAAOAAAAAAAAAAEA&#10;IAAAACABAABkcnMvZTJvRG9jLnhtbFBLBQYAAAAABgAGAFkBAACkBQAAAAA=&#10;">
              <v:fill on="f" focussize="0,0"/>
              <v:stroke on="f"/>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233680"/>
              <wp:effectExtent l="0" t="0" r="0" b="0"/>
              <wp:wrapNone/>
              <wp:docPr id="1" name="文本框 1027"/>
              <wp:cNvGraphicFramePr/>
              <a:graphic xmlns:a="http://schemas.openxmlformats.org/drawingml/2006/main">
                <a:graphicData uri="http://schemas.microsoft.com/office/word/2010/wordprocessingShape">
                  <wps:wsp>
                    <wps:cNvSpPr txBox="1">
                      <a:spLocks noChangeArrowheads="1"/>
                    </wps:cNvSpPr>
                    <wps:spPr bwMode="auto">
                      <a:xfrm>
                        <a:off x="0" y="0"/>
                        <a:ext cx="114935" cy="233680"/>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shape id="文本框 1027" o:spid="_x0000_s1026" o:spt="202" type="#_x0000_t202" style="position:absolute;left:0pt;margin-top:0pt;height:18.4pt;width:9.05pt;mso-position-horizontal:outside;mso-position-horizontal-relative:margin;mso-wrap-style:none;z-index:251659264;mso-width-relative:page;mso-height-relative:page;" filled="f" stroked="f" coordsize="21600,21600" o:gfxdata="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GbRgR0AAAAAMBAAAPAAAAAAAAAAEAIAAAACIA&#10;AABkcnMvZG93bnJldi54bWxQSwECFAAUAAAACACHTuJAL0LqQBECAAATBAAADgAAAAAAAAABACAA&#10;AAAfAQAAZHJzL2Uyb0RvYy54bWxQSwUGAAAAAAYABgBZAQAAogU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1738"/>
        <w:tab w:val="clear" w:pos="4153"/>
      </w:tabs>
      <w:jc w:val="left"/>
    </w:pP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dit="trackedChanges" w:enforcement="0"/>
  <w:defaultTabStop w:val="420"/>
  <w:drawingGridHorizontalSpacing w:val="320"/>
  <w:drawingGridVerticalSpacing w:val="221"/>
  <w:displayVerticalDrawingGridEvery w:val="2"/>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059"/>
    <w:rsid w:val="000021CC"/>
    <w:rsid w:val="00003C03"/>
    <w:rsid w:val="00013AA2"/>
    <w:rsid w:val="000151A0"/>
    <w:rsid w:val="00033299"/>
    <w:rsid w:val="0003438E"/>
    <w:rsid w:val="00046B11"/>
    <w:rsid w:val="0006362E"/>
    <w:rsid w:val="00082E4C"/>
    <w:rsid w:val="00084A46"/>
    <w:rsid w:val="00094947"/>
    <w:rsid w:val="000A1BAB"/>
    <w:rsid w:val="000A4018"/>
    <w:rsid w:val="000B5339"/>
    <w:rsid w:val="000C4E01"/>
    <w:rsid w:val="000C736E"/>
    <w:rsid w:val="000D381A"/>
    <w:rsid w:val="000E3441"/>
    <w:rsid w:val="000E4E46"/>
    <w:rsid w:val="000E5052"/>
    <w:rsid w:val="000F695F"/>
    <w:rsid w:val="0010069C"/>
    <w:rsid w:val="00101610"/>
    <w:rsid w:val="0011032B"/>
    <w:rsid w:val="00116AD0"/>
    <w:rsid w:val="00121DA4"/>
    <w:rsid w:val="00134C2F"/>
    <w:rsid w:val="001415B9"/>
    <w:rsid w:val="00156414"/>
    <w:rsid w:val="00160063"/>
    <w:rsid w:val="001624B8"/>
    <w:rsid w:val="00162995"/>
    <w:rsid w:val="001671AE"/>
    <w:rsid w:val="001711AE"/>
    <w:rsid w:val="00174D58"/>
    <w:rsid w:val="001803B1"/>
    <w:rsid w:val="00193F7E"/>
    <w:rsid w:val="00194730"/>
    <w:rsid w:val="001A7746"/>
    <w:rsid w:val="001A7CFE"/>
    <w:rsid w:val="001A7F93"/>
    <w:rsid w:val="001B3C93"/>
    <w:rsid w:val="001D083E"/>
    <w:rsid w:val="001E39DE"/>
    <w:rsid w:val="001E7BD1"/>
    <w:rsid w:val="001F06A7"/>
    <w:rsid w:val="001F0FFB"/>
    <w:rsid w:val="001F5572"/>
    <w:rsid w:val="002070D4"/>
    <w:rsid w:val="002071FE"/>
    <w:rsid w:val="00210821"/>
    <w:rsid w:val="0022067F"/>
    <w:rsid w:val="0022069F"/>
    <w:rsid w:val="00222F4E"/>
    <w:rsid w:val="00232287"/>
    <w:rsid w:val="0024090C"/>
    <w:rsid w:val="00246438"/>
    <w:rsid w:val="002606F5"/>
    <w:rsid w:val="00260F9F"/>
    <w:rsid w:val="002A0340"/>
    <w:rsid w:val="002A58DE"/>
    <w:rsid w:val="002A7724"/>
    <w:rsid w:val="002A77D4"/>
    <w:rsid w:val="002B5A9A"/>
    <w:rsid w:val="002B76F6"/>
    <w:rsid w:val="002C5B13"/>
    <w:rsid w:val="002D2A95"/>
    <w:rsid w:val="002D701B"/>
    <w:rsid w:val="002E1AD2"/>
    <w:rsid w:val="002E24A1"/>
    <w:rsid w:val="002F2BCF"/>
    <w:rsid w:val="00306F67"/>
    <w:rsid w:val="00317E57"/>
    <w:rsid w:val="00324FF4"/>
    <w:rsid w:val="0033344A"/>
    <w:rsid w:val="0034452E"/>
    <w:rsid w:val="00363154"/>
    <w:rsid w:val="00364D19"/>
    <w:rsid w:val="003751AE"/>
    <w:rsid w:val="00386D73"/>
    <w:rsid w:val="003A5E95"/>
    <w:rsid w:val="003B50BF"/>
    <w:rsid w:val="003C5061"/>
    <w:rsid w:val="003E22B9"/>
    <w:rsid w:val="003F2763"/>
    <w:rsid w:val="00401B75"/>
    <w:rsid w:val="00402AA6"/>
    <w:rsid w:val="00424448"/>
    <w:rsid w:val="00426C7B"/>
    <w:rsid w:val="00426CC8"/>
    <w:rsid w:val="004276DE"/>
    <w:rsid w:val="00430D4C"/>
    <w:rsid w:val="00431DEE"/>
    <w:rsid w:val="00432468"/>
    <w:rsid w:val="00435036"/>
    <w:rsid w:val="004410BD"/>
    <w:rsid w:val="0044196B"/>
    <w:rsid w:val="004543F1"/>
    <w:rsid w:val="00473C53"/>
    <w:rsid w:val="00473D40"/>
    <w:rsid w:val="00480A50"/>
    <w:rsid w:val="00491253"/>
    <w:rsid w:val="004A175D"/>
    <w:rsid w:val="004B4220"/>
    <w:rsid w:val="004C1911"/>
    <w:rsid w:val="004D199C"/>
    <w:rsid w:val="004D418D"/>
    <w:rsid w:val="004D5FAC"/>
    <w:rsid w:val="004E092E"/>
    <w:rsid w:val="004E4E81"/>
    <w:rsid w:val="004E703F"/>
    <w:rsid w:val="005023A4"/>
    <w:rsid w:val="00510D0D"/>
    <w:rsid w:val="00513FF4"/>
    <w:rsid w:val="00535293"/>
    <w:rsid w:val="00556781"/>
    <w:rsid w:val="0056025F"/>
    <w:rsid w:val="00562F92"/>
    <w:rsid w:val="0058597A"/>
    <w:rsid w:val="0059785C"/>
    <w:rsid w:val="005A03F7"/>
    <w:rsid w:val="005A1D0E"/>
    <w:rsid w:val="005A61B2"/>
    <w:rsid w:val="005B7E1D"/>
    <w:rsid w:val="005C4DE5"/>
    <w:rsid w:val="005C68BE"/>
    <w:rsid w:val="005C771B"/>
    <w:rsid w:val="005C7CF3"/>
    <w:rsid w:val="005D2EA6"/>
    <w:rsid w:val="005D48EF"/>
    <w:rsid w:val="005E77AD"/>
    <w:rsid w:val="005F6952"/>
    <w:rsid w:val="00606FBB"/>
    <w:rsid w:val="006120FB"/>
    <w:rsid w:val="00627600"/>
    <w:rsid w:val="00652BFE"/>
    <w:rsid w:val="00657AD5"/>
    <w:rsid w:val="006604A3"/>
    <w:rsid w:val="006643F1"/>
    <w:rsid w:val="0066479A"/>
    <w:rsid w:val="0067058D"/>
    <w:rsid w:val="00677D78"/>
    <w:rsid w:val="006862FB"/>
    <w:rsid w:val="006A3079"/>
    <w:rsid w:val="006A5A51"/>
    <w:rsid w:val="006A5B81"/>
    <w:rsid w:val="006B1E25"/>
    <w:rsid w:val="006B4314"/>
    <w:rsid w:val="006B5C91"/>
    <w:rsid w:val="006C3064"/>
    <w:rsid w:val="006E206D"/>
    <w:rsid w:val="006E41E3"/>
    <w:rsid w:val="006E6C55"/>
    <w:rsid w:val="007225A1"/>
    <w:rsid w:val="00731C2F"/>
    <w:rsid w:val="0073488C"/>
    <w:rsid w:val="0074234B"/>
    <w:rsid w:val="00750AF8"/>
    <w:rsid w:val="00752371"/>
    <w:rsid w:val="0075491C"/>
    <w:rsid w:val="0076050D"/>
    <w:rsid w:val="007705D9"/>
    <w:rsid w:val="007735D8"/>
    <w:rsid w:val="007811A8"/>
    <w:rsid w:val="00786CE2"/>
    <w:rsid w:val="007A7E06"/>
    <w:rsid w:val="007C4CE2"/>
    <w:rsid w:val="007D2059"/>
    <w:rsid w:val="007D40AE"/>
    <w:rsid w:val="007E36B2"/>
    <w:rsid w:val="007E71AE"/>
    <w:rsid w:val="008040DC"/>
    <w:rsid w:val="0082135B"/>
    <w:rsid w:val="0082359D"/>
    <w:rsid w:val="008315C9"/>
    <w:rsid w:val="00833943"/>
    <w:rsid w:val="00835CBD"/>
    <w:rsid w:val="008539C7"/>
    <w:rsid w:val="00871D6E"/>
    <w:rsid w:val="00877A16"/>
    <w:rsid w:val="008810C9"/>
    <w:rsid w:val="008854F8"/>
    <w:rsid w:val="00891D18"/>
    <w:rsid w:val="00892839"/>
    <w:rsid w:val="00896438"/>
    <w:rsid w:val="008A47EE"/>
    <w:rsid w:val="008B60A2"/>
    <w:rsid w:val="008C7349"/>
    <w:rsid w:val="008F359E"/>
    <w:rsid w:val="00904AFE"/>
    <w:rsid w:val="00905D46"/>
    <w:rsid w:val="0091012C"/>
    <w:rsid w:val="00922E66"/>
    <w:rsid w:val="00926266"/>
    <w:rsid w:val="00952E0A"/>
    <w:rsid w:val="0095387D"/>
    <w:rsid w:val="00953C3A"/>
    <w:rsid w:val="00961EC9"/>
    <w:rsid w:val="00970C07"/>
    <w:rsid w:val="00971B1E"/>
    <w:rsid w:val="00977E7F"/>
    <w:rsid w:val="0098401D"/>
    <w:rsid w:val="00994629"/>
    <w:rsid w:val="009949E9"/>
    <w:rsid w:val="009A160B"/>
    <w:rsid w:val="009A5ACA"/>
    <w:rsid w:val="009A60A1"/>
    <w:rsid w:val="009C01D0"/>
    <w:rsid w:val="009C291A"/>
    <w:rsid w:val="009D0FEA"/>
    <w:rsid w:val="009F60A5"/>
    <w:rsid w:val="00A00BB0"/>
    <w:rsid w:val="00A07C08"/>
    <w:rsid w:val="00A30B59"/>
    <w:rsid w:val="00A44538"/>
    <w:rsid w:val="00A45045"/>
    <w:rsid w:val="00A5276F"/>
    <w:rsid w:val="00A75095"/>
    <w:rsid w:val="00A804F4"/>
    <w:rsid w:val="00A82FB4"/>
    <w:rsid w:val="00AA2570"/>
    <w:rsid w:val="00AA5ECA"/>
    <w:rsid w:val="00AC7B76"/>
    <w:rsid w:val="00AE25CC"/>
    <w:rsid w:val="00AE35C7"/>
    <w:rsid w:val="00AE49F5"/>
    <w:rsid w:val="00AF3A47"/>
    <w:rsid w:val="00B07EA7"/>
    <w:rsid w:val="00B21414"/>
    <w:rsid w:val="00B438CD"/>
    <w:rsid w:val="00B707A5"/>
    <w:rsid w:val="00B76F88"/>
    <w:rsid w:val="00B8627A"/>
    <w:rsid w:val="00B86CD3"/>
    <w:rsid w:val="00BA5E11"/>
    <w:rsid w:val="00BC3D67"/>
    <w:rsid w:val="00BD07A2"/>
    <w:rsid w:val="00BE0497"/>
    <w:rsid w:val="00BE09CF"/>
    <w:rsid w:val="00BF231C"/>
    <w:rsid w:val="00BF2877"/>
    <w:rsid w:val="00BF7ED6"/>
    <w:rsid w:val="00C13E55"/>
    <w:rsid w:val="00C20144"/>
    <w:rsid w:val="00C243A5"/>
    <w:rsid w:val="00C2451B"/>
    <w:rsid w:val="00C30F04"/>
    <w:rsid w:val="00C30F9D"/>
    <w:rsid w:val="00C33521"/>
    <w:rsid w:val="00C51253"/>
    <w:rsid w:val="00C57DBB"/>
    <w:rsid w:val="00C63D26"/>
    <w:rsid w:val="00C71800"/>
    <w:rsid w:val="00C82098"/>
    <w:rsid w:val="00CA148B"/>
    <w:rsid w:val="00CA3324"/>
    <w:rsid w:val="00CA459D"/>
    <w:rsid w:val="00CA6855"/>
    <w:rsid w:val="00CC1CF4"/>
    <w:rsid w:val="00CC7B99"/>
    <w:rsid w:val="00CE3CC6"/>
    <w:rsid w:val="00CE7D93"/>
    <w:rsid w:val="00CF4412"/>
    <w:rsid w:val="00D157BB"/>
    <w:rsid w:val="00D51E7A"/>
    <w:rsid w:val="00D70947"/>
    <w:rsid w:val="00D946BF"/>
    <w:rsid w:val="00DB171F"/>
    <w:rsid w:val="00DB7DDD"/>
    <w:rsid w:val="00DC2A01"/>
    <w:rsid w:val="00DD088B"/>
    <w:rsid w:val="00DE5520"/>
    <w:rsid w:val="00DE6F7B"/>
    <w:rsid w:val="00DE785C"/>
    <w:rsid w:val="00E15123"/>
    <w:rsid w:val="00E16DDB"/>
    <w:rsid w:val="00E316AA"/>
    <w:rsid w:val="00E34939"/>
    <w:rsid w:val="00E4039A"/>
    <w:rsid w:val="00E51B1F"/>
    <w:rsid w:val="00E53B10"/>
    <w:rsid w:val="00E635D4"/>
    <w:rsid w:val="00E66391"/>
    <w:rsid w:val="00E70DCE"/>
    <w:rsid w:val="00E76A3D"/>
    <w:rsid w:val="00E76B6D"/>
    <w:rsid w:val="00E837AC"/>
    <w:rsid w:val="00EA0EDA"/>
    <w:rsid w:val="00EC5F4E"/>
    <w:rsid w:val="00ED7EC6"/>
    <w:rsid w:val="00EE0DB2"/>
    <w:rsid w:val="00EF6178"/>
    <w:rsid w:val="00F01EC9"/>
    <w:rsid w:val="00F05682"/>
    <w:rsid w:val="00F0587C"/>
    <w:rsid w:val="00F108B1"/>
    <w:rsid w:val="00F131B4"/>
    <w:rsid w:val="00F152FF"/>
    <w:rsid w:val="00F37803"/>
    <w:rsid w:val="00F4296D"/>
    <w:rsid w:val="00F55D89"/>
    <w:rsid w:val="00F56B3C"/>
    <w:rsid w:val="00F72562"/>
    <w:rsid w:val="00F801BA"/>
    <w:rsid w:val="00F828AC"/>
    <w:rsid w:val="00F96D69"/>
    <w:rsid w:val="00FA7F10"/>
    <w:rsid w:val="00FB234D"/>
    <w:rsid w:val="00FB6E8B"/>
    <w:rsid w:val="00FC3F77"/>
    <w:rsid w:val="00FD4C98"/>
    <w:rsid w:val="00FD6D6A"/>
    <w:rsid w:val="00FE0140"/>
    <w:rsid w:val="012120EA"/>
    <w:rsid w:val="01AB0EEA"/>
    <w:rsid w:val="021155E1"/>
    <w:rsid w:val="02381CF9"/>
    <w:rsid w:val="02441991"/>
    <w:rsid w:val="025517B2"/>
    <w:rsid w:val="025E71FE"/>
    <w:rsid w:val="03E94935"/>
    <w:rsid w:val="05950F8D"/>
    <w:rsid w:val="070048D5"/>
    <w:rsid w:val="076957C2"/>
    <w:rsid w:val="07EC6E0C"/>
    <w:rsid w:val="0914781F"/>
    <w:rsid w:val="0918084D"/>
    <w:rsid w:val="09885F51"/>
    <w:rsid w:val="09B43962"/>
    <w:rsid w:val="0BB13BB7"/>
    <w:rsid w:val="0C54147B"/>
    <w:rsid w:val="0CCB7D8E"/>
    <w:rsid w:val="0D8B1353"/>
    <w:rsid w:val="1079076C"/>
    <w:rsid w:val="10CA0AE8"/>
    <w:rsid w:val="11531582"/>
    <w:rsid w:val="11E8226D"/>
    <w:rsid w:val="123A777F"/>
    <w:rsid w:val="132574D5"/>
    <w:rsid w:val="1357521D"/>
    <w:rsid w:val="14337333"/>
    <w:rsid w:val="144A63DE"/>
    <w:rsid w:val="16C246E7"/>
    <w:rsid w:val="17C024B6"/>
    <w:rsid w:val="19296EF8"/>
    <w:rsid w:val="1968378C"/>
    <w:rsid w:val="1A5A741F"/>
    <w:rsid w:val="1AC44166"/>
    <w:rsid w:val="1ADC51BC"/>
    <w:rsid w:val="1B2F2EA0"/>
    <w:rsid w:val="1B633972"/>
    <w:rsid w:val="1DBD3183"/>
    <w:rsid w:val="1DC13E8E"/>
    <w:rsid w:val="1DF4732F"/>
    <w:rsid w:val="1E2F6BFE"/>
    <w:rsid w:val="1EB406AA"/>
    <w:rsid w:val="1EFC6426"/>
    <w:rsid w:val="20224B82"/>
    <w:rsid w:val="204C4845"/>
    <w:rsid w:val="208507EF"/>
    <w:rsid w:val="2095338A"/>
    <w:rsid w:val="2105730F"/>
    <w:rsid w:val="221727AE"/>
    <w:rsid w:val="236013BA"/>
    <w:rsid w:val="23FD601C"/>
    <w:rsid w:val="24002D3E"/>
    <w:rsid w:val="245C72F2"/>
    <w:rsid w:val="24D07B88"/>
    <w:rsid w:val="264D363D"/>
    <w:rsid w:val="26FD574A"/>
    <w:rsid w:val="28F44D1D"/>
    <w:rsid w:val="29B31962"/>
    <w:rsid w:val="2B853FFF"/>
    <w:rsid w:val="2B854C48"/>
    <w:rsid w:val="2C7A0633"/>
    <w:rsid w:val="2CAB7D6F"/>
    <w:rsid w:val="2CD312C2"/>
    <w:rsid w:val="2D994A76"/>
    <w:rsid w:val="2DAF1830"/>
    <w:rsid w:val="2DF55E02"/>
    <w:rsid w:val="2F445C6B"/>
    <w:rsid w:val="2F721FF0"/>
    <w:rsid w:val="2FE63A04"/>
    <w:rsid w:val="31020ECE"/>
    <w:rsid w:val="31F02ED7"/>
    <w:rsid w:val="32181435"/>
    <w:rsid w:val="32D7682A"/>
    <w:rsid w:val="330B5CD8"/>
    <w:rsid w:val="33335FBA"/>
    <w:rsid w:val="333804B8"/>
    <w:rsid w:val="334F0E91"/>
    <w:rsid w:val="34110AC2"/>
    <w:rsid w:val="34F950A0"/>
    <w:rsid w:val="35127F1A"/>
    <w:rsid w:val="36CD1A46"/>
    <w:rsid w:val="39885C97"/>
    <w:rsid w:val="3A2C643A"/>
    <w:rsid w:val="3B2D0AC8"/>
    <w:rsid w:val="3CD16A8F"/>
    <w:rsid w:val="3DED3659"/>
    <w:rsid w:val="3E2D13C0"/>
    <w:rsid w:val="3ED05151"/>
    <w:rsid w:val="40450D0B"/>
    <w:rsid w:val="40664098"/>
    <w:rsid w:val="4118065B"/>
    <w:rsid w:val="41BD7918"/>
    <w:rsid w:val="41C457D9"/>
    <w:rsid w:val="424E1501"/>
    <w:rsid w:val="42F651DF"/>
    <w:rsid w:val="435F45BF"/>
    <w:rsid w:val="439B0296"/>
    <w:rsid w:val="442F1979"/>
    <w:rsid w:val="44A57506"/>
    <w:rsid w:val="45706BA0"/>
    <w:rsid w:val="462209E8"/>
    <w:rsid w:val="466A111A"/>
    <w:rsid w:val="4706389A"/>
    <w:rsid w:val="486024E4"/>
    <w:rsid w:val="49CE4388"/>
    <w:rsid w:val="4A8973CF"/>
    <w:rsid w:val="4AE96240"/>
    <w:rsid w:val="4AFC7E5B"/>
    <w:rsid w:val="4BD434FE"/>
    <w:rsid w:val="4C4706A2"/>
    <w:rsid w:val="4C843B13"/>
    <w:rsid w:val="4D26576E"/>
    <w:rsid w:val="4FB44B8E"/>
    <w:rsid w:val="50100E41"/>
    <w:rsid w:val="514D6AF1"/>
    <w:rsid w:val="51BF1041"/>
    <w:rsid w:val="51D448DF"/>
    <w:rsid w:val="52CA27DA"/>
    <w:rsid w:val="52FC793E"/>
    <w:rsid w:val="534E478B"/>
    <w:rsid w:val="53EF20D7"/>
    <w:rsid w:val="545A5A48"/>
    <w:rsid w:val="54A7336D"/>
    <w:rsid w:val="550B4BAD"/>
    <w:rsid w:val="56F4369F"/>
    <w:rsid w:val="575B66FE"/>
    <w:rsid w:val="57855D92"/>
    <w:rsid w:val="579B5BB6"/>
    <w:rsid w:val="5AA50FB7"/>
    <w:rsid w:val="5ABA2045"/>
    <w:rsid w:val="5B463F7E"/>
    <w:rsid w:val="5B8055B8"/>
    <w:rsid w:val="5C3418D5"/>
    <w:rsid w:val="5F10323B"/>
    <w:rsid w:val="61A637F2"/>
    <w:rsid w:val="61D811B2"/>
    <w:rsid w:val="62D83631"/>
    <w:rsid w:val="62F07BBD"/>
    <w:rsid w:val="63187BEE"/>
    <w:rsid w:val="63207A81"/>
    <w:rsid w:val="63C94BAA"/>
    <w:rsid w:val="64461E53"/>
    <w:rsid w:val="646255DF"/>
    <w:rsid w:val="64DC200C"/>
    <w:rsid w:val="659D1143"/>
    <w:rsid w:val="65B41EFD"/>
    <w:rsid w:val="65F85279"/>
    <w:rsid w:val="662B4C75"/>
    <w:rsid w:val="6685660E"/>
    <w:rsid w:val="67887E6E"/>
    <w:rsid w:val="6813133D"/>
    <w:rsid w:val="68C717DE"/>
    <w:rsid w:val="697A06DC"/>
    <w:rsid w:val="6A956AC6"/>
    <w:rsid w:val="6CB5381A"/>
    <w:rsid w:val="6D2140D5"/>
    <w:rsid w:val="6DDD337E"/>
    <w:rsid w:val="6E1E6AFD"/>
    <w:rsid w:val="6FC65ADB"/>
    <w:rsid w:val="6FD138EF"/>
    <w:rsid w:val="71315E0C"/>
    <w:rsid w:val="7139185E"/>
    <w:rsid w:val="727F6D42"/>
    <w:rsid w:val="72B90ED5"/>
    <w:rsid w:val="72E86363"/>
    <w:rsid w:val="73B6418E"/>
    <w:rsid w:val="73B715EA"/>
    <w:rsid w:val="73FD347F"/>
    <w:rsid w:val="74013D68"/>
    <w:rsid w:val="741E0C47"/>
    <w:rsid w:val="754176A5"/>
    <w:rsid w:val="75C44DCE"/>
    <w:rsid w:val="7806177E"/>
    <w:rsid w:val="780D4995"/>
    <w:rsid w:val="78B16511"/>
    <w:rsid w:val="78DE2C63"/>
    <w:rsid w:val="79596BC4"/>
    <w:rsid w:val="79DA08FC"/>
    <w:rsid w:val="79FA3B7B"/>
    <w:rsid w:val="7AA358B2"/>
    <w:rsid w:val="7AB53E5F"/>
    <w:rsid w:val="7BF950F8"/>
    <w:rsid w:val="7D351262"/>
    <w:rsid w:val="7E30247C"/>
    <w:rsid w:val="7F1B427F"/>
    <w:rsid w:val="7F3074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1"/>
    <w:qFormat/>
    <w:uiPriority w:val="0"/>
    <w:pPr>
      <w:jc w:val="center"/>
    </w:pPr>
    <w:rPr>
      <w:b/>
      <w:color w:val="FF0000"/>
      <w:sz w:val="44"/>
    </w:rPr>
  </w:style>
  <w:style w:type="paragraph" w:styleId="4">
    <w:name w:val="Date"/>
    <w:basedOn w:val="1"/>
    <w:next w:val="1"/>
    <w:link w:val="17"/>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21"/>
    <w:qFormat/>
    <w:uiPriority w:val="99"/>
    <w:pPr>
      <w:tabs>
        <w:tab w:val="center" w:pos="4153"/>
        <w:tab w:val="right" w:pos="8306"/>
      </w:tabs>
      <w:snapToGrid w:val="0"/>
      <w:jc w:val="left"/>
    </w:pPr>
    <w:rPr>
      <w:sz w:val="18"/>
      <w:szCs w:val="18"/>
    </w:rPr>
  </w:style>
  <w:style w:type="paragraph" w:styleId="7">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19"/>
    <w:qFormat/>
    <w:uiPriority w:val="0"/>
    <w:pPr>
      <w:spacing w:before="240" w:after="60" w:line="312" w:lineRule="auto"/>
      <w:jc w:val="center"/>
      <w:outlineLvl w:val="1"/>
    </w:pPr>
    <w:rPr>
      <w:rFonts w:ascii="Cambria" w:hAnsi="Cambria" w:eastAsia="宋体"/>
      <w:b/>
      <w:bCs/>
      <w:kern w:val="28"/>
    </w:rPr>
  </w:style>
  <w:style w:type="paragraph" w:styleId="9">
    <w:name w:val="HTML Preformatted"/>
    <w:basedOn w:val="1"/>
    <w:link w:val="2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0">
    <w:name w:val="Normal (Web)"/>
    <w:basedOn w:val="1"/>
    <w:qFormat/>
    <w:uiPriority w:val="0"/>
    <w:pPr>
      <w:widowControl/>
      <w:spacing w:before="100" w:beforeAutospacing="1" w:after="100" w:afterAutospacing="1"/>
      <w:jc w:val="left"/>
    </w:pPr>
    <w:rPr>
      <w:rFonts w:hint="eastAsia" w:ascii="宋体" w:hAnsi="宋体" w:eastAsia="宋体"/>
      <w:sz w:val="24"/>
    </w:rPr>
  </w:style>
  <w:style w:type="paragraph" w:styleId="11">
    <w:name w:val="Title"/>
    <w:basedOn w:val="1"/>
    <w:next w:val="1"/>
    <w:qFormat/>
    <w:uiPriority w:val="0"/>
    <w:pPr>
      <w:spacing w:before="240" w:after="60"/>
      <w:jc w:val="center"/>
      <w:outlineLvl w:val="0"/>
    </w:pPr>
    <w:rPr>
      <w:rFonts w:ascii="等线 Light" w:hAnsi="等线 Light" w:eastAsia="等线 Light"/>
      <w:b/>
      <w:bCs/>
      <w:kern w:val="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qFormat/>
    <w:uiPriority w:val="0"/>
    <w:rPr>
      <w:color w:val="0000FF"/>
      <w:u w:val="single"/>
    </w:rPr>
  </w:style>
  <w:style w:type="character" w:customStyle="1" w:styleId="17">
    <w:name w:val="日期 Char"/>
    <w:link w:val="4"/>
    <w:qFormat/>
    <w:uiPriority w:val="0"/>
    <w:rPr>
      <w:rFonts w:eastAsia="仿宋_GB2312"/>
      <w:kern w:val="2"/>
      <w:sz w:val="32"/>
      <w:szCs w:val="32"/>
    </w:rPr>
  </w:style>
  <w:style w:type="character" w:customStyle="1" w:styleId="18">
    <w:name w:val="font11"/>
    <w:qFormat/>
    <w:uiPriority w:val="0"/>
    <w:rPr>
      <w:rFonts w:hint="eastAsia" w:ascii="宋体" w:hAnsi="宋体" w:eastAsia="宋体" w:cs="宋体"/>
      <w:color w:val="000000"/>
      <w:sz w:val="22"/>
      <w:szCs w:val="22"/>
      <w:u w:val="none"/>
    </w:rPr>
  </w:style>
  <w:style w:type="character" w:customStyle="1" w:styleId="19">
    <w:name w:val="副标题 Char"/>
    <w:link w:val="8"/>
    <w:qFormat/>
    <w:uiPriority w:val="0"/>
    <w:rPr>
      <w:rFonts w:ascii="Cambria" w:hAnsi="Cambria" w:cs="Times New Roman"/>
      <w:b/>
      <w:bCs/>
      <w:kern w:val="28"/>
      <w:sz w:val="32"/>
      <w:szCs w:val="32"/>
    </w:rPr>
  </w:style>
  <w:style w:type="character" w:customStyle="1" w:styleId="20">
    <w:name w:val="HTML 预设格式 Char"/>
    <w:link w:val="9"/>
    <w:qFormat/>
    <w:uiPriority w:val="99"/>
    <w:rPr>
      <w:rFonts w:ascii="宋体" w:hAnsi="宋体" w:cs="宋体"/>
      <w:sz w:val="24"/>
      <w:szCs w:val="24"/>
    </w:rPr>
  </w:style>
  <w:style w:type="character" w:customStyle="1" w:styleId="21">
    <w:name w:val="页脚 Char"/>
    <w:link w:val="6"/>
    <w:qFormat/>
    <w:uiPriority w:val="99"/>
    <w:rPr>
      <w:rFonts w:eastAsia="仿宋_GB2312"/>
      <w:kern w:val="2"/>
      <w:sz w:val="18"/>
      <w:szCs w:val="18"/>
      <w:lang w:val="en-US" w:eastAsia="zh-CN" w:bidi="ar-SA"/>
    </w:rPr>
  </w:style>
  <w:style w:type="character" w:customStyle="1" w:styleId="22">
    <w:name w:val="font21"/>
    <w:qFormat/>
    <w:uiPriority w:val="0"/>
    <w:rPr>
      <w:rFonts w:ascii="方正仿宋_GBK" w:hAnsi="方正仿宋_GBK" w:eastAsia="方正仿宋_GBK" w:cs="方正仿宋_GBK"/>
      <w:color w:val="000000"/>
      <w:sz w:val="22"/>
      <w:szCs w:val="22"/>
      <w:u w:val="none"/>
    </w:rPr>
  </w:style>
  <w:style w:type="character" w:customStyle="1" w:styleId="23">
    <w:name w:val="页眉 Char"/>
    <w:link w:val="7"/>
    <w:qFormat/>
    <w:uiPriority w:val="99"/>
    <w:rPr>
      <w:rFonts w:eastAsia="仿宋_GB2312"/>
      <w:kern w:val="2"/>
      <w:sz w:val="18"/>
      <w:szCs w:val="18"/>
    </w:rPr>
  </w:style>
  <w:style w:type="character" w:customStyle="1" w:styleId="24">
    <w:name w:val="font31"/>
    <w:qFormat/>
    <w:uiPriority w:val="0"/>
    <w:rPr>
      <w:rFonts w:hint="default" w:ascii="Times New Roman" w:hAnsi="Times New Roman" w:cs="Times New Roman"/>
      <w:color w:val="000000"/>
      <w:sz w:val="22"/>
      <w:szCs w:val="22"/>
      <w:u w:val="none"/>
    </w:rPr>
  </w:style>
  <w:style w:type="character" w:customStyle="1" w:styleId="25">
    <w:name w:val="Char Char1"/>
    <w:qFormat/>
    <w:uiPriority w:val="0"/>
    <w:rPr>
      <w:rFonts w:eastAsia="仿宋_GB2312"/>
      <w:kern w:val="2"/>
      <w:sz w:val="18"/>
      <w:lang w:val="en-US" w:eastAsia="zh-CN" w:bidi="ar-SA"/>
    </w:rPr>
  </w:style>
  <w:style w:type="paragraph" w:customStyle="1" w:styleId="26">
    <w:name w:val="Char Char Char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27">
    <w:name w:val="默认段落字体 Para Char Char Char Char Char Char Char Char Char Char"/>
    <w:basedOn w:val="1"/>
    <w:qFormat/>
    <w:uiPriority w:val="0"/>
    <w:rPr>
      <w:rFonts w:ascii="Arial" w:hAnsi="Arial" w:eastAsia="宋体" w:cs="Arial"/>
      <w:sz w:val="20"/>
      <w:szCs w:val="20"/>
    </w:rPr>
  </w:style>
  <w:style w:type="paragraph" w:customStyle="1" w:styleId="28">
    <w:name w:val="列出段落2"/>
    <w:basedOn w:val="1"/>
    <w:qFormat/>
    <w:uiPriority w:val="0"/>
    <w:pPr>
      <w:ind w:firstLine="420" w:firstLineChars="200"/>
    </w:pPr>
    <w:rPr>
      <w:rFonts w:ascii="Calibri" w:hAnsi="Calibri" w:eastAsia="宋体"/>
      <w:sz w:val="21"/>
      <w:szCs w:val="22"/>
    </w:rPr>
  </w:style>
  <w:style w:type="paragraph" w:customStyle="1" w:styleId="29">
    <w:name w:val="Char Char Char Char Char Char Char Char Char Char Char Char Char Char Char Char Char Char Char Char Char Char"/>
    <w:basedOn w:val="1"/>
    <w:qFormat/>
    <w:uiPriority w:val="0"/>
    <w:rPr>
      <w:rFonts w:eastAsia="宋体"/>
      <w:sz w:val="21"/>
      <w:szCs w:val="20"/>
    </w:rPr>
  </w:style>
  <w:style w:type="paragraph" w:customStyle="1" w:styleId="30">
    <w:name w:val="Char Char Char Char Char Char Char Char Char"/>
    <w:basedOn w:val="1"/>
    <w:qFormat/>
    <w:uiPriority w:val="0"/>
    <w:rPr>
      <w:rFonts w:ascii="Arial" w:hAnsi="Arial" w:cs="Arial"/>
      <w:sz w:val="20"/>
      <w:szCs w:val="20"/>
    </w:rPr>
  </w:style>
  <w:style w:type="character" w:customStyle="1" w:styleId="31">
    <w:name w:val="正文文本 Char"/>
    <w:link w:val="3"/>
    <w:qFormat/>
    <w:uiPriority w:val="0"/>
    <w:rPr>
      <w:rFonts w:eastAsia="仿宋_GB2312"/>
      <w:b/>
      <w:color w:val="FF0000"/>
      <w:kern w:val="2"/>
      <w:sz w:val="44"/>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88</Words>
  <Characters>505</Characters>
  <Lines>4</Lines>
  <Paragraphs>1</Paragraphs>
  <TotalTime>8</TotalTime>
  <ScaleCrop>false</ScaleCrop>
  <LinksUpToDate>false</LinksUpToDate>
  <CharactersWithSpaces>592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2020-12-16T02:07:00Z</dcterms:created>
  <dc:creator>霍丹</dc:creator>
  <cp:lastModifiedBy>医疗保障局[ybj]</cp:lastModifiedBy>
  <cp:lastPrinted>2021-03-11T02:51:00Z</cp:lastPrinted>
  <dcterms:modified xsi:type="dcterms:W3CDTF">2021-03-11T06:29:06Z</dcterms:modified>
  <dc:title>重庆市人力资源和社会保障局文件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