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16A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/>
        <w:jc w:val="center"/>
        <w:textAlignment w:val="auto"/>
        <w:rPr>
          <w:rFonts w:ascii="方正小标宋_GBK" w:hAnsi="宋体" w:eastAsia="方正小标宋_GBK"/>
          <w:bCs/>
          <w:sz w:val="44"/>
          <w:szCs w:val="44"/>
          <w:highlight w:val="none"/>
        </w:rPr>
      </w:pPr>
      <w:r>
        <w:rPr>
          <w:rFonts w:hint="eastAsia" w:ascii="方正小标宋_GBK" w:hAnsi="宋体" w:eastAsia="方正小标宋_GBK"/>
          <w:bCs/>
          <w:sz w:val="44"/>
          <w:szCs w:val="44"/>
          <w:highlight w:val="none"/>
        </w:rPr>
        <w:t>云阳县</w:t>
      </w:r>
    </w:p>
    <w:p w14:paraId="1843C8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/>
        <w:jc w:val="center"/>
        <w:textAlignment w:val="auto"/>
        <w:rPr>
          <w:rFonts w:hint="eastAsia" w:ascii="方正楷体_GBK" w:hAnsi="宋体" w:eastAsia="方正楷体_GBK"/>
          <w:b/>
          <w:bCs/>
          <w:sz w:val="44"/>
          <w:szCs w:val="44"/>
          <w:highlight w:val="none"/>
        </w:rPr>
      </w:pPr>
      <w:r>
        <w:rPr>
          <w:rFonts w:hint="eastAsia" w:ascii="方正小标宋_GBK" w:hAnsi="宋体" w:eastAsia="方正小标宋_GBK"/>
          <w:bCs/>
          <w:sz w:val="44"/>
          <w:szCs w:val="44"/>
          <w:highlight w:val="none"/>
        </w:rPr>
        <w:t>201</w:t>
      </w:r>
      <w:r>
        <w:rPr>
          <w:rFonts w:hint="eastAsia" w:ascii="方正小标宋_GBK" w:hAnsi="宋体" w:eastAsia="方正小标宋_GBK"/>
          <w:bCs/>
          <w:sz w:val="44"/>
          <w:szCs w:val="44"/>
          <w:highlight w:val="none"/>
          <w:lang w:val="en-US" w:eastAsia="zh-CN"/>
        </w:rPr>
        <w:t>9</w:t>
      </w:r>
      <w:r>
        <w:rPr>
          <w:rFonts w:hint="eastAsia" w:ascii="方正小标宋_GBK" w:hAnsi="宋体" w:eastAsia="方正小标宋_GBK"/>
          <w:bCs/>
          <w:sz w:val="44"/>
          <w:szCs w:val="44"/>
          <w:highlight w:val="none"/>
        </w:rPr>
        <w:t>年国民经济和社会发展统计公报</w:t>
      </w:r>
    </w:p>
    <w:p w14:paraId="60D03D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</w:rPr>
        <w:t>云阳县统计局</w:t>
      </w:r>
    </w:p>
    <w:p w14:paraId="3D6341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/>
        <w:jc w:val="center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2020年4月17日</w:t>
      </w:r>
    </w:p>
    <w:p w14:paraId="6BFED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4EFED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lang w:val="en-US" w:eastAsia="zh-CN"/>
        </w:rPr>
        <w:t>2019年，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在县委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县政府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领导下，深入贯彻党的十九大精神，深学笃用习近平新时代中国特色社会主义思想，全面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落实“两点”定位、“两地”“两高”目标、发挥“三个作用”要求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始终坚持发展第一要务，坚持稳中求进工作总基调，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坚决贯彻新发展理念，着力打好三大攻坚战，抓好“五个重点工作”全县经济社会发展取得新进展。</w:t>
      </w:r>
    </w:p>
    <w:p w14:paraId="50ECD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eastAsia="zh-CN"/>
        </w:rPr>
        <w:t>一、综合</w:t>
      </w:r>
    </w:p>
    <w:p w14:paraId="59718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全年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实现地区生产总值（GDP）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431.25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亿元，比上年增长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5.4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％。按常住人口计算，全县人均地区生产总值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46420元，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5.5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%。</w:t>
      </w:r>
    </w:p>
    <w:p w14:paraId="1FB17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分产业看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第一产业增加值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55.59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亿元，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比上年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4.3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第二产业增加值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159.39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亿元，增长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5.8％，其中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工业增加值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78.66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亿元，增长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8.7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％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建筑业增加值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80.74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亿元，增长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2.7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％。第三产业增加值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216.27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亿元，增长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5.5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%。三次产业结构调整为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12.9:37:50.1。</w:t>
      </w:r>
    </w:p>
    <w:p w14:paraId="667F2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截至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2019年末，全县共有各类市场主体7.4万户，比上年增长10.0%，其中内资企业1.29万户，外资企业28户，个体工商户5.96万户，农村专业合作社1664户。2019年新发展微型企业1350户，年末微型企业达1.02万户，增长7.1%。</w:t>
      </w:r>
    </w:p>
    <w:p w14:paraId="019D0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全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常住人口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92.66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万人，比上年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减少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0.48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万人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其中城镇人口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42.12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万人，占常住人口比重（常住人口城镇化率）为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45.5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%，比上年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上升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1.6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个百分点。</w:t>
      </w:r>
    </w:p>
    <w:p w14:paraId="30117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全县户籍总人口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133.73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万人，年平均人口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133.92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万人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男女性别比为1.1:1。其中，城镇人口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45.62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万人；乡村人口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88.11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万人；当年出生人口1.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37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万人，死亡人口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1.10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万人，自然增长率为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2.0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‰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，出生率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为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10.2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‰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，死亡率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为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8.2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‰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。</w:t>
      </w:r>
    </w:p>
    <w:p w14:paraId="4E1A1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全县城镇新增就业人员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15011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人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，比上年下降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14.7%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，城镇登记失业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人员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1703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人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，下降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38.7%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，城镇登记失业人员实现就业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3446人，下降16.9%。</w:t>
      </w:r>
    </w:p>
    <w:p w14:paraId="5B75E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zh-CN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eastAsia="zh-CN"/>
        </w:rPr>
        <w:t>二、农业</w:t>
      </w:r>
    </w:p>
    <w:p w14:paraId="4DF89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全年农林牧渔业总产值达89.16亿元，其中农业、林业、牧业、渔业、农林牧渔服务业产值分别为43.55亿元、4.69亿元、33.96亿元、2.77亿元和4.18亿元。全年实现农林牧渔业增加值58.50亿元，比上年增长4.5%。</w:t>
      </w:r>
    </w:p>
    <w:p w14:paraId="17EF7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全年粮食播种面积9.01万公顷，比上年减少0.4%，单产4495公斤/公顷。</w:t>
      </w:r>
    </w:p>
    <w:p w14:paraId="432DD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全年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粮食总产量40.51万吨。其中，夏粮产量8.94万吨，秋粮产量31.57万吨。蔬菜播种面积2.34万公顷，增长1.4%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产量51.32万吨，增长4.4%。水果种植面积1.85万公顷，增长2.6%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产量33.79万吨，增长6.7%。</w:t>
      </w:r>
    </w:p>
    <w:p w14:paraId="1696299A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8" w:lineRule="exact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表1  2019年主要农产品产量</w:t>
      </w:r>
    </w:p>
    <w:p w14:paraId="63E16AD9">
      <w:pPr>
        <w:pStyle w:val="4"/>
        <w:spacing w:before="0" w:beforeAutospacing="0" w:after="0" w:afterAutospacing="0"/>
        <w:jc w:val="right"/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drawing>
          <wp:inline distT="0" distB="0" distL="114300" distR="114300">
            <wp:extent cx="6216015" cy="29927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6015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D55D3">
      <w:pPr>
        <w:pStyle w:val="4"/>
        <w:spacing w:before="0" w:beforeAutospacing="0" w:after="0" w:afterAutospacing="0"/>
        <w:jc w:val="center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表2  2019年畜牧业生产情况</w:t>
      </w:r>
      <w:r>
        <w:drawing>
          <wp:inline distT="0" distB="0" distL="114300" distR="114300">
            <wp:extent cx="6337300" cy="268414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26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B1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eastAsia="zh-CN"/>
        </w:rPr>
        <w:t>三、工业和建筑业</w:t>
      </w:r>
    </w:p>
    <w:p w14:paraId="40DEC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全年实现工业增加值</w:t>
      </w:r>
      <w:r>
        <w:rPr>
          <w:rFonts w:hint="eastAsia" w:ascii="方正仿宋_GBK" w:eastAsia="方正仿宋_GBK"/>
          <w:sz w:val="32"/>
          <w:szCs w:val="32"/>
          <w:highlight w:val="none"/>
        </w:rPr>
        <w:t>78.7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亿元，比上年增长</w:t>
      </w:r>
      <w:r>
        <w:rPr>
          <w:rFonts w:hint="eastAsia" w:ascii="方正仿宋_GBK" w:eastAsia="方正仿宋_GBK"/>
          <w:sz w:val="32"/>
          <w:szCs w:val="32"/>
          <w:highlight w:val="none"/>
        </w:rPr>
        <w:t>8.7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%，占全县GDP的</w:t>
      </w:r>
      <w:r>
        <w:rPr>
          <w:rFonts w:hint="eastAsia" w:ascii="方正仿宋_GBK" w:eastAsia="方正仿宋_GBK"/>
          <w:sz w:val="32"/>
          <w:szCs w:val="32"/>
          <w:highlight w:val="none"/>
        </w:rPr>
        <w:t>18.2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。其中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，规模以上工业增加值增长</w:t>
      </w:r>
      <w:r>
        <w:rPr>
          <w:rFonts w:hint="eastAsia" w:ascii="方正仿宋_GBK" w:eastAsia="方正仿宋_GBK"/>
          <w:sz w:val="32"/>
          <w:szCs w:val="32"/>
          <w:highlight w:val="none"/>
        </w:rPr>
        <w:t>9.1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%。全县规模以上工业总产值增长10.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%。</w:t>
      </w:r>
    </w:p>
    <w:p w14:paraId="4858A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年末规模以上工业企业达到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99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家，主营业务收入比上年增长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9.6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利税总额增长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3.4%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利润总额增长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6.5%。</w:t>
      </w:r>
    </w:p>
    <w:p w14:paraId="5E20E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表3  2019年主要工业产品产量表</w:t>
      </w:r>
    </w:p>
    <w:p w14:paraId="5F6DB97A">
      <w:pPr>
        <w:rPr>
          <w:rFonts w:hint="eastAsia" w:ascii="方正仿宋_GBK" w:hAnsi="方正仿宋_GBK" w:eastAsia="方正仿宋_GBK" w:cs="方正仿宋_GBK"/>
          <w:sz w:val="22"/>
          <w:szCs w:val="28"/>
          <w:highlight w:val="none"/>
          <w:lang w:eastAsia="zh-CN"/>
        </w:rPr>
      </w:pPr>
      <w:r>
        <w:drawing>
          <wp:inline distT="0" distB="0" distL="114300" distR="114300">
            <wp:extent cx="6377305" cy="504063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77305" cy="504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8D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8" w:lineRule="exact"/>
        <w:textAlignment w:val="auto"/>
        <w:rPr>
          <w:rFonts w:hint="eastAsia" w:ascii="方正仿宋_GBK" w:hAnsi="方正仿宋_GBK" w:eastAsia="方正仿宋_GBK" w:cs="方正仿宋_GBK"/>
          <w:sz w:val="22"/>
          <w:szCs w:val="28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sz w:val="22"/>
          <w:szCs w:val="28"/>
          <w:highlight w:val="none"/>
          <w:lang w:eastAsia="zh-CN"/>
        </w:rPr>
        <w:t>备注：工业总产值增速由专业推算，市局没有正式公布反馈相关数据。</w:t>
      </w:r>
    </w:p>
    <w:p w14:paraId="0BD68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全年实现建筑业增加值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80.74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亿元，比上年增长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2.7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%。全县具有资质等级的总承包和专业承包建筑企业共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75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家，实现注册地总产值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245.1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亿元，增长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11.5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在地总产值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293.2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亿元，增长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14.5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%，全年房屋施工面积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492.6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万平方米，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下降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 xml:space="preserve">9.5 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%；房屋竣工面积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208.4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万平方米，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下降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12.0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%。</w:t>
      </w:r>
    </w:p>
    <w:p w14:paraId="4FDBF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eastAsia="zh-CN"/>
        </w:rPr>
        <w:t>四、固定资产投资</w:t>
      </w:r>
    </w:p>
    <w:p w14:paraId="27016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全年全社会固定资产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投资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比上年增长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%。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其中，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基础设施投资增长27.3%；民间固定资产投资下降2%。</w:t>
      </w:r>
    </w:p>
    <w:p w14:paraId="4E476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项目投资（单个项目500万元以上）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比上年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30.4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房地产开发投资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下降18.9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按产业划分，第一产业投资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增长79.2%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；第二产业投资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增长7.5%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，其中，工业投资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增长8.1%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；第三产业投资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增长8.6%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。</w:t>
      </w:r>
    </w:p>
    <w:p w14:paraId="14216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highlight w:val="none"/>
          <w:lang w:val="en-US" w:eastAsia="zh-CN" w:bidi="ar-SA"/>
        </w:rPr>
        <w:t>全年商品房屋施工面积377.4万平方米，比上年下降5.0%。其中，新开工面积达63.0万平方米，增长27.8%。商品房屋建筑竣工面积25.9万平方米，下降53.3%；商品房销售面积78.4万平方米，增长11.5%；实现商品房销售额51.0亿元，增长30.1%。</w:t>
      </w:r>
    </w:p>
    <w:p w14:paraId="38C2F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eastAsia="zh-CN"/>
        </w:rPr>
        <w:t>五、国内贸易和对外经济</w:t>
      </w:r>
    </w:p>
    <w:p w14:paraId="15996B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right="0" w:rightChars="0" w:firstLine="62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31"/>
          <w:szCs w:val="31"/>
          <w:shd w:val="clear" w:fill="FFFFFF"/>
        </w:rPr>
        <w:t>全年社会消费品零售总额比上年增长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14.1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%。</w:t>
      </w:r>
      <w:r>
        <w:rPr>
          <w:rFonts w:hint="eastAsia" w:ascii="方正仿宋_GBK" w:hAnsi="方正仿宋_GBK" w:eastAsia="方正仿宋_GBK" w:cs="方正仿宋_GBK"/>
          <w:color w:val="000000"/>
          <w:sz w:val="31"/>
          <w:szCs w:val="31"/>
          <w:shd w:val="clear" w:fill="FFFFFF"/>
        </w:rPr>
        <w:t>按消费类型统计，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全年商品销售额增长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12.9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住宿和餐饮业营业额增长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20.5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%。</w:t>
      </w:r>
    </w:p>
    <w:p w14:paraId="5AA98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限上批发和零售企业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189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家，其中：批发企业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42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家，当年新增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家；零售企业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147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家，当年新增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27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家。限上住宿和餐饮业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83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家，其中：住宿企业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家，当年新增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家；餐饮企业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63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家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当年新增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家。</w:t>
      </w:r>
    </w:p>
    <w:p w14:paraId="452BE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 xml:space="preserve">招商引资有成效，招商引资协议资金150.5亿元，比上年增长29.3%。其中，千万元以上项目62个，增长10.7%；到位资金121.0亿元，增长14.3%；在建项目95个，增长9.1%。 </w:t>
      </w:r>
    </w:p>
    <w:p w14:paraId="48D41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</w:rPr>
        <w:t>全年货物进出口总额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  <w:lang w:val="en-US" w:eastAsia="zh-CN"/>
        </w:rPr>
        <w:t>22825.40万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</w:rPr>
        <w:t>元，比上年增长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  <w:lang w:val="en-US" w:eastAsia="zh-CN"/>
        </w:rPr>
        <w:t>93.0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</w:rPr>
        <w:t>%。其中，出口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  <w:lang w:val="en-US" w:eastAsia="zh-CN"/>
        </w:rPr>
        <w:t>9155.33万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</w:rPr>
        <w:t>元，增长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  <w:lang w:val="en-US" w:eastAsia="zh-CN"/>
        </w:rPr>
        <w:t>17.9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</w:rPr>
        <w:t>%；进口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  <w:lang w:val="en-US" w:eastAsia="zh-CN"/>
        </w:rPr>
        <w:t>13670.07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  <w:lang w:eastAsia="zh-CN"/>
        </w:rPr>
        <w:t>万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</w:rPr>
        <w:t>元，增长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  <w:lang w:val="en-US" w:eastAsia="zh-CN"/>
        </w:rPr>
        <w:t>237.0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</w:rPr>
        <w:t>%。按美元计算，货物进出口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  <w:lang w:val="en-US" w:eastAsia="zh-CN"/>
        </w:rPr>
        <w:t>3323.22万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</w:rPr>
        <w:t>美元，比上年增长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  <w:lang w:val="en-US" w:eastAsia="zh-CN"/>
        </w:rPr>
        <w:t>90.0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</w:rPr>
        <w:t>%。其中，出口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  <w:lang w:val="en-US" w:eastAsia="zh-CN"/>
        </w:rPr>
        <w:t>1340.94万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</w:rPr>
        <w:t>美元，增长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  <w:lang w:val="en-US" w:eastAsia="zh-CN"/>
        </w:rPr>
        <w:t>18.3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</w:rPr>
        <w:t>%；进口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  <w:lang w:val="en-US" w:eastAsia="zh-CN"/>
        </w:rPr>
        <w:t>1982.28万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</w:rPr>
        <w:t>美元，增长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  <w:lang w:val="en-US" w:eastAsia="zh-CN"/>
        </w:rPr>
        <w:t>221.8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</w:rPr>
        <w:t>%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fill="FFFFFF"/>
          <w:lang w:eastAsia="zh-CN"/>
        </w:rPr>
        <w:t>。</w:t>
      </w:r>
    </w:p>
    <w:p w14:paraId="068D9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eastAsia="zh-CN"/>
        </w:rPr>
        <w:t>六、交通和邮电</w:t>
      </w:r>
    </w:p>
    <w:p w14:paraId="43F8F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全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公路通车总里程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7608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公里。其中，高速公路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70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公里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二级公路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68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公里，等外级公路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1356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公里。公路桥梁达到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座，全县支流通航里程达到137公里，长江干线69.5公里，共计206.5公里。乡镇通畅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率、行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政村公路通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畅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率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行政村公路通达率均达100%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。</w:t>
      </w:r>
    </w:p>
    <w:p w14:paraId="1C64C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全年交通运输业完成客运量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1446.8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万人次，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比上年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下降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30.5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%</w:t>
      </w:r>
      <w:r>
        <w:rPr>
          <w:rFonts w:hint="eastAsia" w:eastAsia="方正仿宋_GBK" w:cs="Times New Roman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其中，公路客运量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1423.0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万人次，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下降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30.9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；水路客运量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23.8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万人次，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与上年持平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全年交通运输货运量达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2031.7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万吨，增长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12.8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%，其中，公路货运量676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.0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万吨，增长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12.7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%；水路货运量1355.7万吨，增长12.9%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79B22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="0" w:leftChars="0" w:right="0" w:rightChars="0" w:firstLine="420" w:firstLineChars="200"/>
        <w:jc w:val="center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544195</wp:posOffset>
            </wp:positionV>
            <wp:extent cx="6309360" cy="2733675"/>
            <wp:effectExtent l="0" t="0" r="0" b="0"/>
            <wp:wrapTopAndBottom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表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  2019年客货运输量</w:t>
      </w:r>
    </w:p>
    <w:p w14:paraId="5D0B0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全县拥有营业性载客汽车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899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辆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其中，长安车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317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辆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公交车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126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辆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出租车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225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辆；营业性载货汽车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1222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辆。运输船舶实有数为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308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艘，其中，货运船舶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222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艘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普通客船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艘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机动渡船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艘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人力渡船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艘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清水河游览船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艘。</w:t>
      </w:r>
    </w:p>
    <w:p w14:paraId="1A23E729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8" w:lineRule="exact"/>
        <w:ind w:left="0" w:right="0" w:firstLine="645"/>
        <w:jc w:val="both"/>
        <w:textAlignment w:val="auto"/>
        <w:rPr>
          <w:rFonts w:hint="eastAsia" w:ascii="方正仿宋_GBK" w:hAnsi="方正仿宋_GBK" w:eastAsia="方正仿宋_GBK" w:cs="方正仿宋_GBK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1"/>
          <w:szCs w:val="31"/>
          <w:highlight w:val="none"/>
          <w:shd w:val="clear" w:fill="FFFFFF"/>
        </w:rPr>
        <w:t>全年完成邮政业务总量</w:t>
      </w:r>
      <w:r>
        <w:rPr>
          <w:rFonts w:hint="eastAsia" w:ascii="方正仿宋_GBK" w:hAnsi="方正仿宋_GBK" w:eastAsia="方正仿宋_GBK" w:cs="方正仿宋_GBK"/>
          <w:color w:val="000000"/>
          <w:sz w:val="31"/>
          <w:szCs w:val="31"/>
          <w:highlight w:val="none"/>
          <w:shd w:val="clear" w:fill="FFFFFF"/>
          <w:lang w:val="en-US" w:eastAsia="zh-CN"/>
        </w:rPr>
        <w:t>16470万</w:t>
      </w:r>
      <w:r>
        <w:rPr>
          <w:rFonts w:hint="eastAsia" w:ascii="方正仿宋_GBK" w:hAnsi="方正仿宋_GBK" w:eastAsia="方正仿宋_GBK" w:cs="方正仿宋_GBK"/>
          <w:color w:val="000000"/>
          <w:sz w:val="31"/>
          <w:szCs w:val="31"/>
          <w:highlight w:val="none"/>
          <w:shd w:val="clear" w:fill="FFFFFF"/>
        </w:rPr>
        <w:t>元，比上年增长</w:t>
      </w:r>
      <w:r>
        <w:rPr>
          <w:rFonts w:hint="eastAsia" w:ascii="方正仿宋_GBK" w:hAnsi="方正仿宋_GBK" w:eastAsia="方正仿宋_GBK" w:cs="方正仿宋_GBK"/>
          <w:color w:val="000000"/>
          <w:sz w:val="31"/>
          <w:szCs w:val="31"/>
          <w:highlight w:val="none"/>
          <w:shd w:val="clear" w:fill="FFFFFF"/>
          <w:lang w:val="en-US" w:eastAsia="zh-CN"/>
        </w:rPr>
        <w:t>9.6</w:t>
      </w:r>
      <w:r>
        <w:rPr>
          <w:rFonts w:hint="eastAsia" w:ascii="方正仿宋_GBK" w:hAnsi="方正仿宋_GBK" w:eastAsia="方正仿宋_GBK" w:cs="方正仿宋_GBK"/>
          <w:color w:val="000000"/>
          <w:sz w:val="31"/>
          <w:szCs w:val="31"/>
          <w:highlight w:val="none"/>
          <w:shd w:val="clear" w:fill="FFFFFF"/>
        </w:rPr>
        <w:t>%。邮政业全年完成邮政函件业务</w:t>
      </w:r>
      <w:r>
        <w:rPr>
          <w:rFonts w:hint="eastAsia" w:ascii="方正仿宋_GBK" w:hAnsi="方正仿宋_GBK" w:eastAsia="方正仿宋_GBK" w:cs="方正仿宋_GBK"/>
          <w:color w:val="000000"/>
          <w:sz w:val="31"/>
          <w:szCs w:val="31"/>
          <w:highlight w:val="none"/>
          <w:shd w:val="clear" w:fill="FFFFFF"/>
          <w:lang w:val="en-US" w:eastAsia="zh-CN"/>
        </w:rPr>
        <w:t>7.11</w:t>
      </w:r>
      <w:r>
        <w:rPr>
          <w:rFonts w:hint="eastAsia" w:ascii="方正仿宋_GBK" w:hAnsi="方正仿宋_GBK" w:eastAsia="方正仿宋_GBK" w:cs="方正仿宋_GBK"/>
          <w:color w:val="000000"/>
          <w:sz w:val="31"/>
          <w:szCs w:val="31"/>
          <w:highlight w:val="none"/>
          <w:shd w:val="clear" w:fill="FFFFFF"/>
        </w:rPr>
        <w:t>万件，包裹业务</w:t>
      </w:r>
      <w:r>
        <w:rPr>
          <w:rFonts w:hint="eastAsia" w:ascii="方正仿宋_GBK" w:hAnsi="方正仿宋_GBK" w:eastAsia="方正仿宋_GBK" w:cs="方正仿宋_GBK"/>
          <w:color w:val="000000"/>
          <w:sz w:val="31"/>
          <w:szCs w:val="31"/>
          <w:highlight w:val="none"/>
          <w:shd w:val="clear" w:fill="FFFFFF"/>
          <w:lang w:val="en-US" w:eastAsia="zh-CN"/>
        </w:rPr>
        <w:t>2.3</w:t>
      </w:r>
      <w:r>
        <w:rPr>
          <w:rFonts w:hint="eastAsia" w:ascii="方正仿宋_GBK" w:hAnsi="方正仿宋_GBK" w:eastAsia="方正仿宋_GBK" w:cs="方正仿宋_GBK"/>
          <w:color w:val="000000"/>
          <w:sz w:val="31"/>
          <w:szCs w:val="31"/>
          <w:highlight w:val="none"/>
          <w:shd w:val="clear" w:fill="FFFFFF"/>
        </w:rPr>
        <w:t>万件，快递业务</w:t>
      </w:r>
      <w:r>
        <w:rPr>
          <w:rFonts w:hint="eastAsia" w:ascii="方正仿宋_GBK" w:hAnsi="方正仿宋_GBK" w:eastAsia="方正仿宋_GBK" w:cs="方正仿宋_GBK"/>
          <w:color w:val="000000"/>
          <w:sz w:val="31"/>
          <w:szCs w:val="31"/>
          <w:highlight w:val="none"/>
          <w:shd w:val="clear" w:fill="FFFFFF"/>
          <w:lang w:val="en-US" w:eastAsia="zh-CN"/>
        </w:rPr>
        <w:t>92.5万</w:t>
      </w:r>
      <w:r>
        <w:rPr>
          <w:rFonts w:hint="eastAsia" w:ascii="方正仿宋_GBK" w:hAnsi="方正仿宋_GBK" w:eastAsia="方正仿宋_GBK" w:cs="方正仿宋_GBK"/>
          <w:color w:val="000000"/>
          <w:sz w:val="31"/>
          <w:szCs w:val="31"/>
          <w:highlight w:val="none"/>
          <w:shd w:val="clear" w:fill="FFFFFF"/>
        </w:rPr>
        <w:t>件，快递业务收入</w:t>
      </w:r>
      <w:r>
        <w:rPr>
          <w:rFonts w:hint="eastAsia" w:ascii="方正仿宋_GBK" w:hAnsi="方正仿宋_GBK" w:eastAsia="方正仿宋_GBK" w:cs="方正仿宋_GBK"/>
          <w:color w:val="000000"/>
          <w:sz w:val="31"/>
          <w:szCs w:val="31"/>
          <w:highlight w:val="none"/>
          <w:shd w:val="clear" w:fill="FFFFFF"/>
          <w:lang w:val="en-US" w:eastAsia="zh-CN"/>
        </w:rPr>
        <w:t>1069万</w:t>
      </w:r>
      <w:r>
        <w:rPr>
          <w:rFonts w:hint="eastAsia" w:ascii="方正仿宋_GBK" w:hAnsi="方正仿宋_GBK" w:eastAsia="方正仿宋_GBK" w:cs="方正仿宋_GBK"/>
          <w:color w:val="000000"/>
          <w:sz w:val="31"/>
          <w:szCs w:val="31"/>
          <w:highlight w:val="none"/>
          <w:shd w:val="clear" w:fill="FFFFFF"/>
        </w:rPr>
        <w:t>元。</w:t>
      </w:r>
    </w:p>
    <w:p w14:paraId="274B9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全年完成</w:t>
      </w:r>
      <w:r>
        <w:rPr>
          <w:rFonts w:hint="eastAsia" w:eastAsia="方正仿宋_GBK" w:cs="Times New Roman"/>
          <w:sz w:val="32"/>
          <w:szCs w:val="32"/>
          <w:highlight w:val="none"/>
          <w:lang w:eastAsia="zh-CN"/>
        </w:rPr>
        <w:t>电信业务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总量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51250.29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万元，比上年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下降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4.7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%。年末固定电话用户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万户，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下降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%；移动电话年末用户达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86.08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万户，增长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3.4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%。互联网宽带接入用户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26.51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万户，移动互联网用户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11.2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万户。</w:t>
      </w:r>
    </w:p>
    <w:p w14:paraId="0E57B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eastAsia="zh-CN"/>
        </w:rPr>
        <w:t>七、财政金融</w:t>
      </w:r>
    </w:p>
    <w:p w14:paraId="4B267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全年地方财政收入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29.62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亿元，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比上年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增长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3.5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%。一般公共预算收入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16.03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亿元，增长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7.3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</w:t>
      </w:r>
      <w:r>
        <w:rPr>
          <w:rFonts w:hint="eastAsia" w:eastAsia="方正仿宋_GBK" w:cs="Times New Roman"/>
          <w:sz w:val="32"/>
          <w:szCs w:val="32"/>
          <w:highlight w:val="none"/>
          <w:lang w:eastAsia="zh-CN"/>
        </w:rPr>
        <w:t>。其中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，税收收入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10.37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亿元，增长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3.0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非税收收入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5.66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亿元，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比上年增加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16.0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基金预算收入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13.46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亿元，增长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1.7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%。</w:t>
      </w:r>
    </w:p>
    <w:p w14:paraId="0A2E3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全年地方财政支出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107.32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亿元，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比上年增长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6.0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%。其中，一般公共预算支出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84.27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0.3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%。一般公共预算支出中，一般公共服务、公共安全、教育、社会保障及就业、医疗卫生、节能环保、城乡社区事务分别支出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6.58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亿元、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2.52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亿元、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19.29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亿元、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11.85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亿元、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13.03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亿元、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3.59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亿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元、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6.89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亿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元</w:t>
      </w:r>
      <w:r>
        <w:rPr>
          <w:rFonts w:hint="eastAsia" w:eastAsia="方正仿宋_GBK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增长速度分别是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30.3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4.8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2.0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-0.6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10.4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10.5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-6.4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%。基金预算支出为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22.99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亿元，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增长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36.1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%。</w:t>
      </w:r>
    </w:p>
    <w:p w14:paraId="5EC90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全县金融机构总数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43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家，其中银行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家，保险机构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22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家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证券机构2家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小额贷款公司4家，基金公司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家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，担保公司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1家。</w:t>
      </w:r>
    </w:p>
    <w:p w14:paraId="742DF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全县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年末金融机构人民币存款余额达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491.38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亿元，比上年末增长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8.5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%。其中，住户储蓄存款余额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371.29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12.2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%；人民币贷款余额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238.69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19.9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%。全县贷存比为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48.6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%，比上年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上升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4.6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个百分点。</w:t>
      </w:r>
    </w:p>
    <w:p w14:paraId="31089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表5  2019年末金融机构存贷款余额</w:t>
      </w:r>
    </w:p>
    <w:p w14:paraId="68B67B0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168275</wp:posOffset>
            </wp:positionH>
            <wp:positionV relativeFrom="paragraph">
              <wp:posOffset>67945</wp:posOffset>
            </wp:positionV>
            <wp:extent cx="6026785" cy="3010535"/>
            <wp:effectExtent l="0" t="0" r="0" b="18415"/>
            <wp:wrapTopAndBottom/>
            <wp:docPr id="3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26785" cy="301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全县保费总收入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9.28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亿元，比上年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增长9.5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%。其中，财产保险收入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3.82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亿元，比上年增长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21.7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%；人寿保险收入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5.46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亿元，增长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2.3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%。全年赔付各类保险金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2.76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亿元，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下降31.5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%。其中，财产保险赔付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1.79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亿元，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下降8.8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%；人寿保险赔付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0.98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亿元，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下降53.0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%。</w:t>
      </w:r>
    </w:p>
    <w:p w14:paraId="14B2F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八、</w:t>
      </w: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eastAsia="zh-CN"/>
        </w:rPr>
        <w:t>人民生活和社会保障</w:t>
      </w:r>
    </w:p>
    <w:p w14:paraId="59CC7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全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居民人均可支配收入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20780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元，比上年增长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10.8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%。按常住地分，城镇居民人均可支配收入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30410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元，增长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8.8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%；农村居民人均可支配收入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13261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元，增长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10.5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%。城乡居民收入比为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2.29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，城乡收入差距逐步缩小。</w:t>
      </w:r>
    </w:p>
    <w:p w14:paraId="4BD0D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全县居民人均消费支出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13844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元，比上年增长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13.6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%。按常住地分，城镇常住居民人均消费支出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17855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元，增长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14.6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%；农村常住居民人均消费支出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10712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元，增长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10.4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%。</w:t>
      </w:r>
    </w:p>
    <w:p w14:paraId="3E161022">
      <w:pPr>
        <w:pStyle w:val="4"/>
        <w:spacing w:before="99" w:beforeAutospacing="0" w:after="99" w:afterAutospacing="0" w:line="300" w:lineRule="atLeast"/>
        <w:jc w:val="center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表6　2019年居民人均可支配收入</w:t>
      </w:r>
    </w:p>
    <w:p w14:paraId="12541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right="0" w:rightChars="0" w:firstLine="42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48260</wp:posOffset>
            </wp:positionV>
            <wp:extent cx="6346190" cy="2907030"/>
            <wp:effectExtent l="0" t="0" r="0" b="0"/>
            <wp:wrapSquare wrapText="bothSides"/>
            <wp:docPr id="3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46190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全县城镇企业职工基本养老保险参保人数7.78万人，比上年下降12.8%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城乡居民社会养老保险参保人数54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1万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人，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比上年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1.5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%。城镇职工基本医疗保险参保人数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7.58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万人，增长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6.8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%。城乡居民基本医疗保险参保人数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122.33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万人，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下降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0.5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%。工伤保险参保人数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6.59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万人，增长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16.8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%。生育保险参保人数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4.47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万人，增长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7.1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%；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 xml:space="preserve"> 1086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人次享受生育保险待遇，增长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5.8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%。失业保险参保人数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3.91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万人，增长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7.7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%。</w:t>
      </w:r>
    </w:p>
    <w:p w14:paraId="74FE1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末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城镇居民最低生活保障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8.9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万户，发放低保金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6876.8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万元；农村居民最低生活保障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7.8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万户，发放低保金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16813.9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万元；城乡低保标准分别提高到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580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元/月和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440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元/月，分别比上年提高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34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元和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元。年末社会福利收养单位床位数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5610张。</w:t>
      </w:r>
    </w:p>
    <w:p w14:paraId="43AE7EC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8" w:lineRule="exact"/>
        <w:ind w:left="0" w:right="0" w:firstLine="640" w:firstLineChars="200"/>
        <w:jc w:val="both"/>
        <w:textAlignment w:val="auto"/>
        <w:rPr>
          <w:rFonts w:hint="eastAsia" w:eastAsia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eastAsia="zh-CN"/>
        </w:rPr>
        <w:t>九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、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eastAsia="zh-CN"/>
        </w:rPr>
        <w:t>教育和科学技术</w:t>
      </w:r>
    </w:p>
    <w:p w14:paraId="5F2B8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highlight w:val="none"/>
          <w:lang w:val="en-US" w:eastAsia="zh-CN" w:bidi="ar-SA"/>
        </w:rPr>
        <w:t>全县现有学校339所（包括教学点，下同）。其中，普通中学42所、普通中等职业学校2所、普通小学186所、特殊教育学校1所、幼儿园108所。专任教师10404人。其中，普通中学4176人、普通中等职业学校392人、普通小学4906人、特殊教育42人、幼儿园888人。全年招生人数共44692人。其中，普通中学20682人、普通中等职业学校2268人、普通小学10435人、特殊教育49人、幼儿园11258人。在校学生共161281人。其中，普通中学61709人、普通中等职业学校6388人、普通小学66042人、特殊教育214人、幼儿园26928人。毕业生人数共46614人。其中，普通中学20427人、普通中等职业学校2081人、普通小学12766人、特殊教育学校64人、幼儿园11276人。</w:t>
      </w:r>
    </w:p>
    <w:p w14:paraId="64A06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highlight w:val="none"/>
          <w:lang w:val="en-US" w:eastAsia="zh-CN" w:bidi="ar-SA"/>
        </w:rPr>
        <w:t>2018年全县高考参考人数10621人，上线人数达10547人，上线率99.3%。其中，本科上线人数5396人，本科上线率为50.8%。重点大学录取人数1852人。</w:t>
      </w:r>
    </w:p>
    <w:p w14:paraId="38A25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highlight w:val="none"/>
          <w:lang w:val="en-US" w:eastAsia="zh-CN" w:bidi="ar-SA"/>
        </w:rPr>
        <w:t>全年共受理专利申请336件，其中发明专利申请14件。获得专利授权415件。截至年底，有效期内高新技术企业7家，获市级和国家级科研项目数6个，获市级科委的项目数6个。</w:t>
      </w:r>
    </w:p>
    <w:p w14:paraId="4B122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十、文化旅游和</w:t>
      </w:r>
      <w:r>
        <w:rPr>
          <w:rFonts w:hint="eastAsia" w:ascii="方正黑体_GBK" w:hAnsi="方正黑体_GBK" w:eastAsia="方正黑体_GBK" w:cs="方正黑体_GBK"/>
          <w:color w:val="333333"/>
          <w:sz w:val="32"/>
          <w:szCs w:val="32"/>
          <w:shd w:val="clear" w:fill="FFFFFF"/>
        </w:rPr>
        <w:t>卫生健康</w:t>
      </w:r>
    </w:p>
    <w:p w14:paraId="2F872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全年有线无线电视用户23.6万户。其中，新增有线无线电视用户3146户，数字应急广播村村响覆盖率达38%，电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highlight w:val="none"/>
          <w:lang w:val="en-US" w:eastAsia="zh-CN" w:bidi="ar-SA"/>
        </w:rPr>
        <w:t>视综合人口覆盖率达99.1%。公共图书馆2个（不包括少儿图书馆分馆），藏书14.5万册。全县有文化馆1个，乡镇综合文化站（街道文化中心）42个，覆盖所有乡镇（街道），藏书共有24.6万册，比上年增长44.7%。农家书屋共478个，藏书157万册，增长1.2%。</w:t>
      </w:r>
    </w:p>
    <w:p w14:paraId="5FA47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全年共接待游客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2530.7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万人次，比上年增长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26.5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%。其中，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境外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游客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6.5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万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人次，过夜游客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439.5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万人次。年末拥有三星及以上星级饭店数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个，旅行社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个。全县名胜风景区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个，其中国家级2个；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等级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文物保护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单位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45个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，其中国保单位2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个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，市保单位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9个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，县保单位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34个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。</w:t>
      </w:r>
    </w:p>
    <w:p w14:paraId="5DE99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highlight w:val="none"/>
          <w:lang w:val="en-US" w:eastAsia="zh-CN" w:bidi="ar-SA"/>
        </w:rPr>
        <w:t>年末全县拥有卫生机构681个，比上年减少3个。其中，医院18个，卫生院42个，疾病预防控制中心、妇幼保健院、卫生监督机构各1个，社区卫生服务中心（站）26个，诊所、卫生所177个，村卫生室415个。卫生机构人员（在岗职工）7158人。其中，卫生技术人员6665人。卫生技术人员中，执业医师和执业助理医师共2482人，注册护师（护士）2501人。卫生机构床位数5247张。</w:t>
      </w:r>
    </w:p>
    <w:p w14:paraId="04027DB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8" w:lineRule="exact"/>
        <w:ind w:left="0" w:right="0" w:firstLine="640" w:firstLineChars="200"/>
        <w:jc w:val="both"/>
        <w:textAlignment w:val="auto"/>
        <w:rPr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十一、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资源、环境和应急管理</w:t>
      </w:r>
    </w:p>
    <w:p w14:paraId="5D982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全县幅员面积3649平方公里。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全年水资源总量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13.97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亿立方米。年平均降水量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843.8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毫米。全年总用水量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1.64亿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立方米。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全年治理水土流失面积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65.6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平方公里，治理水土流失投入资金达到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9686万元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。</w:t>
      </w:r>
    </w:p>
    <w:p w14:paraId="12811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全县已建成县级生态村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304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个、市级生态村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86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个、市级生态镇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个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。全县自然保护区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2个，自然保护区面积23.8万亩。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全县森林面积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295.7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万亩，森林覆盖率达到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54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，城市建成区绿化覆盖率达到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45.7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%，人均公园绿地达到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16.2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平方米。本年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完成营造林面积10.5万亩，退耕还林面积3万亩。</w:t>
      </w:r>
    </w:p>
    <w:p w14:paraId="22C26E5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8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全年空气质量达到或好于Ⅱ级（优良）的天数为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349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天，占全年天数的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95.6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。全县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highlight w:val="none"/>
        </w:rPr>
        <w:t>环境空气细颗粒物（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highlight w:val="none"/>
        </w:rPr>
        <w:t>PM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highlight w:val="none"/>
          <w:vertAlign w:val="subscript"/>
        </w:rPr>
        <w:t>2.5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highlight w:val="none"/>
        </w:rPr>
        <w:t>）平均浓度为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27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highlight w:val="none"/>
        </w:rPr>
        <w:t>微克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highlight w:val="none"/>
        </w:rPr>
        <w:t>/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highlight w:val="none"/>
        </w:rPr>
        <w:t>立方米，下降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6.9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highlight w:val="none"/>
        </w:rPr>
        <w:t>%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highlight w:val="none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全县区域声环境噪音平均等效声级为52.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分贝（国家标准60分贝）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道路交通干线噪声平均为6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5.6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分贝（国家标准70分贝）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。</w:t>
      </w:r>
    </w:p>
    <w:p w14:paraId="571AF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县城集中式饮水源地水质达标率100%，乡镇集中式饮水源水质达标率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90.2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%。城镇污水集中处理率为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97.4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%，农村污水集中处理率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83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%。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城市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生活垃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</w:rPr>
        <w:t>圾无害化处理率达到100%，农村生活垃圾无害化处理率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97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</w:rPr>
        <w:t>%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。</w:t>
      </w:r>
    </w:p>
    <w:p w14:paraId="2BAB1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全年发生安全事故12起，与上年持平；</w:t>
      </w:r>
      <w:r>
        <w:rPr>
          <w:rFonts w:hint="eastAsia" w:ascii="方正仿宋_GBK" w:hAnsi="方正仿宋_GBK" w:eastAsia="方正仿宋_GBK" w:cs="方正仿宋_GBK"/>
          <w:color w:val="000000"/>
          <w:sz w:val="31"/>
          <w:szCs w:val="31"/>
          <w:shd w:val="clear" w:fill="FFFFFF"/>
        </w:rPr>
        <w:t>生产安全事故死亡人数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13人，比上年增长8.3%。亿元GDP生产安全事故死亡人数为0.03人，煤矿百万吨死亡人数为0人，与上年持平。</w:t>
      </w:r>
    </w:p>
    <w:p w14:paraId="7EA49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eastAsia="zh-CN"/>
        </w:rPr>
        <w:t>十二、扶贫和移民</w:t>
      </w:r>
    </w:p>
    <w:p w14:paraId="0CF13F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78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</w:rPr>
        <w:t>全年投入财政性扶贫资金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/>
        </w:rPr>
        <w:t>1.4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</w:rPr>
        <w:t>亿元，比上年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/>
        </w:rPr>
        <w:t>3.4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</w:rPr>
        <w:t>%。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新增发放扶贫小额信贷6984户2.52亿元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eastAsia="zh-CN"/>
        </w:rPr>
        <w:t>易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</w:rPr>
        <w:t>地扶贫搬迁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/>
        </w:rPr>
        <w:t>1478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</w:rPr>
        <w:t>人，下降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/>
        </w:rPr>
        <w:t>49.0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</w:rPr>
        <w:t>%。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highlight w:val="none"/>
        </w:rPr>
        <w:t>201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highlight w:val="none"/>
        </w:rPr>
        <w:t>年末全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highlight w:val="none"/>
          <w:lang w:eastAsia="zh-CN"/>
        </w:rPr>
        <w:t>县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highlight w:val="none"/>
        </w:rPr>
        <w:t>农村贫困人口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2942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highlight w:val="none"/>
        </w:rPr>
        <w:t>人，比上年末减少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7099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highlight w:val="none"/>
        </w:rPr>
        <w:t>人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highlight w:val="none"/>
          <w:lang w:eastAsia="zh-CN"/>
        </w:rPr>
        <w:t>。</w:t>
      </w:r>
    </w:p>
    <w:p w14:paraId="592999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全县实施三峡后续项目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37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个，总投资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4.29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亿元。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全年三峡库区引进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对口支援经济合作项目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14个，项目资金1372万元。兑付农村移民后期扶持直补资金641万元，发放城镇移民困难扶助资金2613万元。</w:t>
      </w:r>
    </w:p>
    <w:p w14:paraId="62C0B0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right="0"/>
        <w:textAlignment w:val="auto"/>
        <w:rPr>
          <w:rFonts w:hint="eastAsia" w:ascii="方正仿宋_GBK" w:eastAsia="方正仿宋_GBK"/>
          <w:b/>
          <w:bCs/>
          <w:sz w:val="36"/>
          <w:szCs w:val="36"/>
          <w:highlight w:val="none"/>
        </w:rPr>
      </w:pPr>
    </w:p>
    <w:p w14:paraId="3CCBF0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right="0"/>
        <w:textAlignment w:val="auto"/>
        <w:rPr>
          <w:rFonts w:hint="eastAsia" w:ascii="方正仿宋_GBK" w:eastAsia="方正仿宋_GBK"/>
          <w:b/>
          <w:bCs/>
          <w:sz w:val="36"/>
          <w:szCs w:val="36"/>
          <w:highlight w:val="none"/>
        </w:rPr>
      </w:pPr>
    </w:p>
    <w:p w14:paraId="610A1B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right="0"/>
        <w:textAlignment w:val="auto"/>
        <w:rPr>
          <w:rFonts w:hint="eastAsia" w:ascii="方正仿宋_GBK" w:eastAsia="方正仿宋_GBK"/>
          <w:b/>
          <w:bCs/>
          <w:sz w:val="36"/>
          <w:szCs w:val="36"/>
          <w:highlight w:val="none"/>
        </w:rPr>
      </w:pPr>
    </w:p>
    <w:p w14:paraId="40C8A7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right="0"/>
        <w:textAlignment w:val="auto"/>
        <w:rPr>
          <w:rFonts w:hint="eastAsia" w:ascii="方正仿宋_GBK" w:eastAsia="方正仿宋_GBK"/>
          <w:b/>
          <w:bCs/>
          <w:sz w:val="36"/>
          <w:szCs w:val="36"/>
          <w:highlight w:val="none"/>
        </w:rPr>
      </w:pPr>
    </w:p>
    <w:p w14:paraId="0AFCD4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right="0"/>
        <w:textAlignment w:val="auto"/>
        <w:rPr>
          <w:rFonts w:hint="eastAsia" w:ascii="方正仿宋_GBK" w:eastAsia="方正仿宋_GBK"/>
          <w:b/>
          <w:bCs/>
          <w:sz w:val="36"/>
          <w:szCs w:val="36"/>
          <w:highlight w:val="none"/>
        </w:rPr>
      </w:pPr>
    </w:p>
    <w:p w14:paraId="27CA09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right="0"/>
        <w:textAlignment w:val="auto"/>
        <w:rPr>
          <w:rFonts w:hint="eastAsia" w:ascii="方正仿宋_GBK" w:eastAsia="方正仿宋_GBK"/>
          <w:b/>
          <w:bCs/>
          <w:sz w:val="36"/>
          <w:szCs w:val="36"/>
          <w:highlight w:val="none"/>
        </w:rPr>
      </w:pPr>
    </w:p>
    <w:p w14:paraId="42DB39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right="0"/>
        <w:textAlignment w:val="auto"/>
        <w:rPr>
          <w:rFonts w:hint="eastAsia" w:ascii="方正仿宋_GBK" w:eastAsia="方正仿宋_GBK"/>
          <w:b/>
          <w:bCs/>
          <w:sz w:val="36"/>
          <w:szCs w:val="36"/>
          <w:highlight w:val="none"/>
        </w:rPr>
      </w:pPr>
    </w:p>
    <w:p w14:paraId="3733DC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right="0"/>
        <w:textAlignment w:val="auto"/>
        <w:rPr>
          <w:rFonts w:hint="eastAsia" w:ascii="方正仿宋_GBK" w:eastAsia="方正仿宋_GBK"/>
          <w:b/>
          <w:bCs/>
          <w:sz w:val="36"/>
          <w:szCs w:val="36"/>
          <w:highlight w:val="none"/>
        </w:rPr>
      </w:pPr>
    </w:p>
    <w:p w14:paraId="1115B9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right="0"/>
        <w:textAlignment w:val="auto"/>
        <w:rPr>
          <w:rFonts w:hint="eastAsia" w:ascii="方正仿宋_GBK" w:eastAsia="方正仿宋_GBK"/>
          <w:b/>
          <w:bCs/>
          <w:sz w:val="36"/>
          <w:szCs w:val="36"/>
          <w:highlight w:val="none"/>
        </w:rPr>
      </w:pPr>
    </w:p>
    <w:p w14:paraId="769FFF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right="0"/>
        <w:textAlignment w:val="auto"/>
        <w:rPr>
          <w:rFonts w:hint="eastAsia" w:ascii="方正仿宋_GBK" w:eastAsia="方正仿宋_GBK"/>
          <w:b/>
          <w:bCs/>
          <w:sz w:val="36"/>
          <w:szCs w:val="36"/>
          <w:highlight w:val="none"/>
        </w:rPr>
      </w:pPr>
    </w:p>
    <w:p w14:paraId="5BABE1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right="0"/>
        <w:textAlignment w:val="auto"/>
        <w:rPr>
          <w:rFonts w:hint="eastAsia" w:ascii="方正仿宋_GBK" w:eastAsia="方正仿宋_GBK"/>
          <w:b/>
          <w:bCs/>
          <w:sz w:val="36"/>
          <w:szCs w:val="36"/>
          <w:highlight w:val="none"/>
        </w:rPr>
      </w:pPr>
    </w:p>
    <w:p w14:paraId="532216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right="0"/>
        <w:textAlignment w:val="auto"/>
        <w:rPr>
          <w:rFonts w:hint="eastAsia" w:ascii="方正仿宋_GBK" w:eastAsia="方正仿宋_GBK"/>
          <w:b/>
          <w:bCs/>
          <w:sz w:val="36"/>
          <w:szCs w:val="36"/>
          <w:highlight w:val="none"/>
        </w:rPr>
      </w:pPr>
    </w:p>
    <w:p w14:paraId="54CF09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right="0"/>
        <w:textAlignment w:val="auto"/>
        <w:rPr>
          <w:rFonts w:hint="eastAsia" w:ascii="方正仿宋_GBK" w:eastAsia="方正仿宋_GBK"/>
          <w:b/>
          <w:bCs/>
          <w:sz w:val="36"/>
          <w:szCs w:val="36"/>
          <w:highlight w:val="none"/>
        </w:rPr>
      </w:pPr>
    </w:p>
    <w:p w14:paraId="214A1C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right="0"/>
        <w:textAlignment w:val="auto"/>
        <w:rPr>
          <w:rFonts w:ascii="方正仿宋_GBK" w:eastAsia="方正仿宋_GBK"/>
          <w:b/>
          <w:bCs/>
          <w:sz w:val="36"/>
          <w:szCs w:val="36"/>
          <w:highlight w:val="none"/>
        </w:rPr>
      </w:pPr>
      <w:r>
        <w:rPr>
          <w:rFonts w:hint="eastAsia" w:ascii="方正仿宋_GBK" w:eastAsia="方正仿宋_GBK"/>
          <w:b/>
          <w:bCs/>
          <w:sz w:val="36"/>
          <w:szCs w:val="36"/>
          <w:highlight w:val="none"/>
        </w:rPr>
        <w:t>注：</w:t>
      </w:r>
    </w:p>
    <w:p w14:paraId="0639A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</w:rPr>
        <w:t>1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eastAsia="zh-CN"/>
        </w:rPr>
        <w:t>201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eastAsia="zh-CN"/>
        </w:rPr>
        <w:t>年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</w:rPr>
        <w:t>统计数据为初步核算数，正式数据以《201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</w:rPr>
        <w:t>年云阳县统计年鉴》为准。部分数据因四舍五入的原因，存在着与分项合计不等的情况。</w:t>
      </w:r>
    </w:p>
    <w:p w14:paraId="5E95B11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</w:rPr>
        <w:t>2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</w:rPr>
        <w:t>地区生产总值、各产业增加值绝对量按现价计算，增长速度按可比价计算。</w:t>
      </w:r>
    </w:p>
    <w:p w14:paraId="3A29B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</w:rPr>
        <w:t>3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</w:rPr>
        <w:t>常住人口是指在本乡镇（街道）居住半年以上的人口，或虽居住不满半年，但离开户口登记地半年以上人口以及户口待定人口。</w:t>
      </w:r>
    </w:p>
    <w:p w14:paraId="0799DAF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</w:rPr>
        <w:t>基础设施投资是指建造或购置为社会生产和生活提供基础性、大众性服务的工程和设施的支出。本公报中的基础设施投资包括电力、热力、燃气及水生产和供应业，交通运输、邮政业，电信、广播电视和卫星传输服务业，互联网和相关服务业，水利、环境和公共设施管理业投资。</w:t>
      </w:r>
    </w:p>
    <w:p w14:paraId="7AF6D5D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  <w:lang w:val="en-US" w:eastAsia="zh-CN"/>
        </w:rPr>
        <w:t>5.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</w:rPr>
        <w:t>固定资产投资是指具有集体、私营、个人性质的内资企事业单位以及由其控股（包括绝对控股和相对控股）的企业单位建造或购置固定资产的投资。</w:t>
      </w:r>
    </w:p>
    <w:p w14:paraId="7AC36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  <w:t>6.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</w:rPr>
        <w:t>行业统计标准：</w:t>
      </w:r>
    </w:p>
    <w:p w14:paraId="265F975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</w:rPr>
        <w:t>规模以上工业：年主营业务收入2000万元及以上的工业法人单位。</w:t>
      </w:r>
    </w:p>
    <w:p w14:paraId="2E61C66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</w:rPr>
        <w:t>有资质的建筑业：有总承包和专业承包资质的建筑业法人单位。</w:t>
      </w:r>
    </w:p>
    <w:p w14:paraId="266E210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</w:rPr>
        <w:t>限额以上批发和零售业：年主营业务收入2000万元及以上的批发业、年主营业务收入500万元及以上的零售业法人单位。</w:t>
      </w:r>
    </w:p>
    <w:p w14:paraId="795F762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</w:rPr>
        <w:t>限额以上住宿和餐饮业：年主营业务收入200万元及以上的住宿和餐饮业法人单位。</w:t>
      </w:r>
    </w:p>
    <w:p w14:paraId="7B5BFCF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</w:rPr>
        <w:t>房地产开发经营业：全部房地产开发经营业法人单位。</w:t>
      </w:r>
    </w:p>
    <w:p w14:paraId="3E7893D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</w:rPr>
        <w:t>规模以上服务业：年营业收入1000万元及以上，或年末从业人员50人及以上的交通运输、仓储和邮政业，信息传输、软件和信息技术服务业，房地产业（不含房地产开发经营），租赁和商务服务业，科学研究和技术服务业，水利、环境和公共设施管理业，教育，卫生和社会工作；年营业收入500万元及以上，或年末从业人员50人及以上的居民服务、修理和其他服务业，文化、体育和娱乐业法人单位。</w:t>
      </w:r>
    </w:p>
    <w:p w14:paraId="59903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  <w:t>7.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</w:rPr>
        <w:t>出生人口、死亡人口和自然增长率按照公安局提供的户籍人口计算。</w:t>
      </w:r>
    </w:p>
    <w:p w14:paraId="68B8B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  <w:t>8.邮政业务数据仅含县内发出统计数据，不包含县内接收数据。</w:t>
      </w:r>
    </w:p>
    <w:p w14:paraId="7641E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方正仿宋_GBK" w:eastAsia="方正仿宋_GBK" w:hAnsiTheme="minorEastAsia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方正仿宋_GBK" w:eastAsia="方正仿宋_GBK" w:hAnsiTheme="minorEastAsia"/>
          <w:b/>
          <w:bCs/>
          <w:sz w:val="28"/>
          <w:szCs w:val="28"/>
          <w:highlight w:val="none"/>
          <w:lang w:val="en-US" w:eastAsia="zh-CN"/>
        </w:rPr>
        <w:t>9.</w:t>
      </w:r>
      <w:r>
        <w:rPr>
          <w:rFonts w:hint="eastAsia" w:ascii="方正仿宋_GBK" w:eastAsia="方正仿宋_GBK" w:hAnsiTheme="minorEastAsia"/>
          <w:b/>
          <w:bCs/>
          <w:sz w:val="28"/>
          <w:szCs w:val="28"/>
          <w:highlight w:val="none"/>
          <w:lang w:eastAsia="zh-CN"/>
        </w:rPr>
        <w:t>资料来源（以文中数据为序）：</w:t>
      </w:r>
    </w:p>
    <w:p w14:paraId="6F2043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方正仿宋_GBK" w:eastAsia="方正仿宋_GBK" w:hAnsiTheme="minorEastAsia"/>
          <w:b w:val="0"/>
          <w:bCs w:val="0"/>
          <w:sz w:val="28"/>
          <w:szCs w:val="28"/>
          <w:highlight w:val="none"/>
          <w:lang w:eastAsia="zh-CN"/>
        </w:rPr>
      </w:pPr>
      <w:r>
        <w:rPr>
          <w:rFonts w:hint="eastAsia" w:ascii="方正仿宋_GBK" w:eastAsia="方正仿宋_GBK" w:hAnsiTheme="minorEastAsia"/>
          <w:b w:val="0"/>
          <w:bCs w:val="0"/>
          <w:sz w:val="28"/>
          <w:szCs w:val="28"/>
          <w:highlight w:val="none"/>
          <w:lang w:eastAsia="zh-CN"/>
        </w:rPr>
        <w:t>本公报中各类市场主体数据来自县市场监管局；户籍人口数据来自县公安局；就业、失业数据来自县人力社保局；招商引资数据来自县招商引资服务中心；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</w:rPr>
        <w:t>货物进出口数据来自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  <w:lang w:eastAsia="zh-CN"/>
        </w:rPr>
        <w:t>县商务委</w:t>
      </w:r>
      <w:r>
        <w:rPr>
          <w:rFonts w:hint="eastAsia" w:ascii="方正仿宋_GBK" w:eastAsia="方正仿宋_GBK" w:hAnsiTheme="minorEastAsia"/>
          <w:b w:val="0"/>
          <w:bCs w:val="0"/>
          <w:sz w:val="28"/>
          <w:szCs w:val="28"/>
          <w:highlight w:val="none"/>
          <w:lang w:eastAsia="zh-CN"/>
        </w:rPr>
        <w:t>；交通、客货运输量、车辆情况数据来自县交通局；邮政业务数据来自邮政公司；电信业务、电话数量等来自电信、移动、联通三家公司；财政数据来自县财政局；金融、保险数据来自县金融办；养老保险数据来自县人力社保局；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</w:rPr>
        <w:t>医疗保险数据来自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  <w:lang w:eastAsia="zh-CN"/>
        </w:rPr>
        <w:t>县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</w:rPr>
        <w:t>医保局；城乡低保数据来自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  <w:lang w:eastAsia="zh-CN"/>
        </w:rPr>
        <w:t>县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</w:rPr>
        <w:t>民政局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  <w:lang w:eastAsia="zh-CN"/>
        </w:rPr>
        <w:t>；</w:t>
      </w:r>
      <w:r>
        <w:rPr>
          <w:rFonts w:hint="eastAsia" w:ascii="方正仿宋_GBK" w:eastAsia="方正仿宋_GBK" w:hAnsiTheme="minorEastAsia"/>
          <w:b w:val="0"/>
          <w:bCs w:val="0"/>
          <w:sz w:val="28"/>
          <w:szCs w:val="28"/>
          <w:highlight w:val="none"/>
          <w:lang w:eastAsia="zh-CN"/>
        </w:rPr>
        <w:t>教育数据来自县教委；科技发展数据来自县经信委、县市场监督局；文化数据来自县文化旅游委、广电网络公司；旅游数据、文物保护点数据来自县文化旅游委；卫生数据来自县卫生健康委；水资源数据来自县水利局；生态村、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</w:rPr>
        <w:t>自然保护区数据来自于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  <w:lang w:eastAsia="zh-CN"/>
        </w:rPr>
        <w:t>县生态环境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</w:rPr>
        <w:t>局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</w:rPr>
        <w:t>林业、森林数据来自于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  <w:lang w:eastAsia="zh-CN"/>
        </w:rPr>
        <w:t>县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</w:rPr>
        <w:t>林业局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none"/>
          <w:lang w:eastAsia="zh-CN"/>
        </w:rPr>
        <w:t>；城市绿化面积数据来自于县城市管理局；</w:t>
      </w:r>
      <w:r>
        <w:rPr>
          <w:rFonts w:hint="eastAsia" w:ascii="方正仿宋_GBK" w:eastAsia="方正仿宋_GBK" w:hAnsiTheme="minorEastAsia"/>
          <w:b w:val="0"/>
          <w:bCs w:val="0"/>
          <w:sz w:val="28"/>
          <w:szCs w:val="28"/>
          <w:highlight w:val="none"/>
          <w:lang w:eastAsia="zh-CN"/>
        </w:rPr>
        <w:t>空气、噪音、水质数据来自县生态环境局；污水、垃圾处理数据来自县生态环境局、县住建委、县城市管理局；生产安全事故数据来自县应急管理局；扶贫数据来自县扶贫办；移民数据来自县发改委、县水利局；其他数据来自县统计局。</w:t>
      </w:r>
    </w:p>
    <w:p w14:paraId="7979D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b w:val="0"/>
          <w:bCs w:val="0"/>
          <w:highlight w:val="none"/>
        </w:rPr>
      </w:pPr>
    </w:p>
    <w:p w14:paraId="112F2B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right="0"/>
        <w:textAlignment w:val="auto"/>
      </w:pPr>
    </w:p>
    <w:p w14:paraId="0CE19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b w:val="0"/>
          <w:bCs w:val="0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A7D0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94492C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94492C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C47A57"/>
    <w:rsid w:val="0052651F"/>
    <w:rsid w:val="00A42BC3"/>
    <w:rsid w:val="01191856"/>
    <w:rsid w:val="018D6C59"/>
    <w:rsid w:val="01E77558"/>
    <w:rsid w:val="023115A2"/>
    <w:rsid w:val="02B04914"/>
    <w:rsid w:val="02BB1A57"/>
    <w:rsid w:val="02C43D73"/>
    <w:rsid w:val="02E87B71"/>
    <w:rsid w:val="02F22D4B"/>
    <w:rsid w:val="0308746A"/>
    <w:rsid w:val="031A7E04"/>
    <w:rsid w:val="03D55354"/>
    <w:rsid w:val="03D91C98"/>
    <w:rsid w:val="0418423B"/>
    <w:rsid w:val="043F0C8F"/>
    <w:rsid w:val="047821FF"/>
    <w:rsid w:val="048F193F"/>
    <w:rsid w:val="05304526"/>
    <w:rsid w:val="054801D5"/>
    <w:rsid w:val="05965BBF"/>
    <w:rsid w:val="06253040"/>
    <w:rsid w:val="063B57C5"/>
    <w:rsid w:val="067B6B10"/>
    <w:rsid w:val="07011FD4"/>
    <w:rsid w:val="07484C60"/>
    <w:rsid w:val="077E211B"/>
    <w:rsid w:val="079C64BA"/>
    <w:rsid w:val="08143724"/>
    <w:rsid w:val="085F114B"/>
    <w:rsid w:val="089E7DE5"/>
    <w:rsid w:val="08FE2528"/>
    <w:rsid w:val="09416B8B"/>
    <w:rsid w:val="09F85AAB"/>
    <w:rsid w:val="0A234279"/>
    <w:rsid w:val="0AF70162"/>
    <w:rsid w:val="0B054BD5"/>
    <w:rsid w:val="0B71421F"/>
    <w:rsid w:val="0BCC08EF"/>
    <w:rsid w:val="0C304750"/>
    <w:rsid w:val="0C454BA7"/>
    <w:rsid w:val="0C486B58"/>
    <w:rsid w:val="0CB6542A"/>
    <w:rsid w:val="0CD27ADA"/>
    <w:rsid w:val="0D355F00"/>
    <w:rsid w:val="0D5A61A3"/>
    <w:rsid w:val="0E0152CF"/>
    <w:rsid w:val="0E464992"/>
    <w:rsid w:val="0E622276"/>
    <w:rsid w:val="0E726CCC"/>
    <w:rsid w:val="0EB375DB"/>
    <w:rsid w:val="0EC2423A"/>
    <w:rsid w:val="0EC47A57"/>
    <w:rsid w:val="0EC94F83"/>
    <w:rsid w:val="0F207CE7"/>
    <w:rsid w:val="0F781A32"/>
    <w:rsid w:val="0F9A7F85"/>
    <w:rsid w:val="0FBB59D3"/>
    <w:rsid w:val="10174710"/>
    <w:rsid w:val="102D2C51"/>
    <w:rsid w:val="104A4E92"/>
    <w:rsid w:val="1076432A"/>
    <w:rsid w:val="10C136D8"/>
    <w:rsid w:val="11362451"/>
    <w:rsid w:val="11744676"/>
    <w:rsid w:val="11E6582B"/>
    <w:rsid w:val="121C1069"/>
    <w:rsid w:val="12215888"/>
    <w:rsid w:val="124140AD"/>
    <w:rsid w:val="12524499"/>
    <w:rsid w:val="12D66108"/>
    <w:rsid w:val="12DD32D3"/>
    <w:rsid w:val="12E95C09"/>
    <w:rsid w:val="132A7309"/>
    <w:rsid w:val="13A17221"/>
    <w:rsid w:val="141A4AA1"/>
    <w:rsid w:val="14985846"/>
    <w:rsid w:val="14C54F0B"/>
    <w:rsid w:val="14E00CF3"/>
    <w:rsid w:val="15694C2B"/>
    <w:rsid w:val="157131B2"/>
    <w:rsid w:val="15A73E3A"/>
    <w:rsid w:val="16204FAB"/>
    <w:rsid w:val="16246090"/>
    <w:rsid w:val="163E38A0"/>
    <w:rsid w:val="164A7472"/>
    <w:rsid w:val="165C4443"/>
    <w:rsid w:val="170B74CB"/>
    <w:rsid w:val="171B4A57"/>
    <w:rsid w:val="172D69E0"/>
    <w:rsid w:val="17357B22"/>
    <w:rsid w:val="17373D3A"/>
    <w:rsid w:val="17551EF2"/>
    <w:rsid w:val="17B71FD9"/>
    <w:rsid w:val="17E90B07"/>
    <w:rsid w:val="183F5977"/>
    <w:rsid w:val="1843112F"/>
    <w:rsid w:val="184B61CC"/>
    <w:rsid w:val="18A7670C"/>
    <w:rsid w:val="19322FD2"/>
    <w:rsid w:val="19747B8F"/>
    <w:rsid w:val="19C416C2"/>
    <w:rsid w:val="19C43719"/>
    <w:rsid w:val="1A2752F4"/>
    <w:rsid w:val="1A392CF0"/>
    <w:rsid w:val="1A430F0F"/>
    <w:rsid w:val="1A515FB8"/>
    <w:rsid w:val="1B8C6137"/>
    <w:rsid w:val="1BAA5B00"/>
    <w:rsid w:val="1BC14306"/>
    <w:rsid w:val="1C095BCD"/>
    <w:rsid w:val="1C7D2C58"/>
    <w:rsid w:val="1CBA422D"/>
    <w:rsid w:val="1DAC1D9C"/>
    <w:rsid w:val="1DDE466B"/>
    <w:rsid w:val="1DF63FFB"/>
    <w:rsid w:val="1E025ED5"/>
    <w:rsid w:val="1E2C1E99"/>
    <w:rsid w:val="1E4645DC"/>
    <w:rsid w:val="1EC33C52"/>
    <w:rsid w:val="1F906076"/>
    <w:rsid w:val="1FE44BF2"/>
    <w:rsid w:val="20384E10"/>
    <w:rsid w:val="20853E2B"/>
    <w:rsid w:val="209B520F"/>
    <w:rsid w:val="210F7891"/>
    <w:rsid w:val="213D0CB3"/>
    <w:rsid w:val="215A5648"/>
    <w:rsid w:val="215B0E27"/>
    <w:rsid w:val="2191219B"/>
    <w:rsid w:val="21BD4BD0"/>
    <w:rsid w:val="22D52992"/>
    <w:rsid w:val="236A3C8A"/>
    <w:rsid w:val="24075609"/>
    <w:rsid w:val="247E0A29"/>
    <w:rsid w:val="24D3171F"/>
    <w:rsid w:val="251D6439"/>
    <w:rsid w:val="259024CF"/>
    <w:rsid w:val="25AE592D"/>
    <w:rsid w:val="25F55839"/>
    <w:rsid w:val="265C0704"/>
    <w:rsid w:val="27131A1C"/>
    <w:rsid w:val="27282698"/>
    <w:rsid w:val="27293236"/>
    <w:rsid w:val="27616C75"/>
    <w:rsid w:val="2791667C"/>
    <w:rsid w:val="27DE4684"/>
    <w:rsid w:val="27F35328"/>
    <w:rsid w:val="28176337"/>
    <w:rsid w:val="29730237"/>
    <w:rsid w:val="2982400E"/>
    <w:rsid w:val="29A1645B"/>
    <w:rsid w:val="29C662AE"/>
    <w:rsid w:val="2A2B4259"/>
    <w:rsid w:val="2A670A84"/>
    <w:rsid w:val="2AAE0B07"/>
    <w:rsid w:val="2AE17B29"/>
    <w:rsid w:val="2B1768A7"/>
    <w:rsid w:val="2B947FA8"/>
    <w:rsid w:val="2C7A725E"/>
    <w:rsid w:val="2C7F539B"/>
    <w:rsid w:val="2CD50146"/>
    <w:rsid w:val="2D01452C"/>
    <w:rsid w:val="2D4F323B"/>
    <w:rsid w:val="2D76211D"/>
    <w:rsid w:val="2D7E4624"/>
    <w:rsid w:val="2DC933F7"/>
    <w:rsid w:val="2DD71E92"/>
    <w:rsid w:val="2E3549AA"/>
    <w:rsid w:val="2EDF25FA"/>
    <w:rsid w:val="2EE26ADB"/>
    <w:rsid w:val="2F5271ED"/>
    <w:rsid w:val="2F78271B"/>
    <w:rsid w:val="2F7F7433"/>
    <w:rsid w:val="2F9A3BA3"/>
    <w:rsid w:val="2FB25AD9"/>
    <w:rsid w:val="30827FA5"/>
    <w:rsid w:val="312D2EDE"/>
    <w:rsid w:val="314C2FD0"/>
    <w:rsid w:val="31E60143"/>
    <w:rsid w:val="3225146A"/>
    <w:rsid w:val="328A58B7"/>
    <w:rsid w:val="337246D7"/>
    <w:rsid w:val="33850726"/>
    <w:rsid w:val="346F3777"/>
    <w:rsid w:val="34B012A7"/>
    <w:rsid w:val="354A3817"/>
    <w:rsid w:val="35A55B07"/>
    <w:rsid w:val="35B44171"/>
    <w:rsid w:val="35D10761"/>
    <w:rsid w:val="36500ED6"/>
    <w:rsid w:val="36C675ED"/>
    <w:rsid w:val="38071B0C"/>
    <w:rsid w:val="385C7C1E"/>
    <w:rsid w:val="38D07BB8"/>
    <w:rsid w:val="398C2C67"/>
    <w:rsid w:val="3A0063A4"/>
    <w:rsid w:val="3A0D4273"/>
    <w:rsid w:val="3A117C5F"/>
    <w:rsid w:val="3A352898"/>
    <w:rsid w:val="3A3978BC"/>
    <w:rsid w:val="3A463CDD"/>
    <w:rsid w:val="3A861E7A"/>
    <w:rsid w:val="3B397493"/>
    <w:rsid w:val="3B780989"/>
    <w:rsid w:val="3B806AC2"/>
    <w:rsid w:val="3B8E22C1"/>
    <w:rsid w:val="3B957BE8"/>
    <w:rsid w:val="3BE81EF3"/>
    <w:rsid w:val="3BFA65AA"/>
    <w:rsid w:val="3C3F3016"/>
    <w:rsid w:val="3C83634D"/>
    <w:rsid w:val="3C9019D8"/>
    <w:rsid w:val="3D361B4F"/>
    <w:rsid w:val="3D3F0F1D"/>
    <w:rsid w:val="3D501A79"/>
    <w:rsid w:val="3E13297C"/>
    <w:rsid w:val="3E5470A1"/>
    <w:rsid w:val="3E900236"/>
    <w:rsid w:val="3F1B7F93"/>
    <w:rsid w:val="3F347861"/>
    <w:rsid w:val="3F492095"/>
    <w:rsid w:val="3F80050F"/>
    <w:rsid w:val="3F931F0A"/>
    <w:rsid w:val="40356C16"/>
    <w:rsid w:val="40456CFC"/>
    <w:rsid w:val="409169C5"/>
    <w:rsid w:val="414F4507"/>
    <w:rsid w:val="41A62D94"/>
    <w:rsid w:val="41E24B4F"/>
    <w:rsid w:val="422645BE"/>
    <w:rsid w:val="4247635E"/>
    <w:rsid w:val="42A24688"/>
    <w:rsid w:val="43722592"/>
    <w:rsid w:val="438555C3"/>
    <w:rsid w:val="4394209A"/>
    <w:rsid w:val="43B74D3A"/>
    <w:rsid w:val="43E35284"/>
    <w:rsid w:val="440C17B9"/>
    <w:rsid w:val="443260FD"/>
    <w:rsid w:val="443D339F"/>
    <w:rsid w:val="44D40F91"/>
    <w:rsid w:val="44EA6EE4"/>
    <w:rsid w:val="45CB6857"/>
    <w:rsid w:val="45E91505"/>
    <w:rsid w:val="46CC1450"/>
    <w:rsid w:val="46EF0B53"/>
    <w:rsid w:val="470F18BE"/>
    <w:rsid w:val="47472255"/>
    <w:rsid w:val="47CB5BB4"/>
    <w:rsid w:val="47CE5530"/>
    <w:rsid w:val="47E13F15"/>
    <w:rsid w:val="48943F74"/>
    <w:rsid w:val="48EA0EEF"/>
    <w:rsid w:val="48EF4555"/>
    <w:rsid w:val="49B15A07"/>
    <w:rsid w:val="4A0A4AE5"/>
    <w:rsid w:val="4A953A41"/>
    <w:rsid w:val="4AC627C0"/>
    <w:rsid w:val="4ACC34D6"/>
    <w:rsid w:val="4B8077C3"/>
    <w:rsid w:val="4B9F7104"/>
    <w:rsid w:val="4BB44A26"/>
    <w:rsid w:val="4C0D4F8B"/>
    <w:rsid w:val="4C60405B"/>
    <w:rsid w:val="4C645821"/>
    <w:rsid w:val="4D081FEC"/>
    <w:rsid w:val="4D796CC7"/>
    <w:rsid w:val="4D7D158A"/>
    <w:rsid w:val="4DAB19A4"/>
    <w:rsid w:val="4DAB6961"/>
    <w:rsid w:val="4E6B7442"/>
    <w:rsid w:val="4E8E5E6E"/>
    <w:rsid w:val="4EC95B20"/>
    <w:rsid w:val="4EEB7104"/>
    <w:rsid w:val="4F406720"/>
    <w:rsid w:val="4F6218B8"/>
    <w:rsid w:val="4F7B76BC"/>
    <w:rsid w:val="4F8E47C8"/>
    <w:rsid w:val="4FA01F81"/>
    <w:rsid w:val="4FB14C5F"/>
    <w:rsid w:val="506A0966"/>
    <w:rsid w:val="509B0A1B"/>
    <w:rsid w:val="50DF3EAB"/>
    <w:rsid w:val="51651AD5"/>
    <w:rsid w:val="51A342F4"/>
    <w:rsid w:val="51B97CDD"/>
    <w:rsid w:val="51CC6C67"/>
    <w:rsid w:val="527A12A7"/>
    <w:rsid w:val="52806EBA"/>
    <w:rsid w:val="52BD0145"/>
    <w:rsid w:val="52FC1A15"/>
    <w:rsid w:val="53736004"/>
    <w:rsid w:val="538B3E1A"/>
    <w:rsid w:val="53EF12B4"/>
    <w:rsid w:val="54025FCC"/>
    <w:rsid w:val="54101484"/>
    <w:rsid w:val="54152A23"/>
    <w:rsid w:val="54676465"/>
    <w:rsid w:val="546E67AE"/>
    <w:rsid w:val="55087895"/>
    <w:rsid w:val="55BF451C"/>
    <w:rsid w:val="55D57E4E"/>
    <w:rsid w:val="560143F4"/>
    <w:rsid w:val="564C597E"/>
    <w:rsid w:val="56BE12D8"/>
    <w:rsid w:val="57BD23B7"/>
    <w:rsid w:val="57CD01B5"/>
    <w:rsid w:val="57DD059A"/>
    <w:rsid w:val="57DF7E17"/>
    <w:rsid w:val="58043EDD"/>
    <w:rsid w:val="58F01CE9"/>
    <w:rsid w:val="599B3027"/>
    <w:rsid w:val="59AE1C6C"/>
    <w:rsid w:val="5A9A0A14"/>
    <w:rsid w:val="5AAB4DEB"/>
    <w:rsid w:val="5ACF6903"/>
    <w:rsid w:val="5AE544E7"/>
    <w:rsid w:val="5B0400F6"/>
    <w:rsid w:val="5BCF0981"/>
    <w:rsid w:val="5C397390"/>
    <w:rsid w:val="5CA05401"/>
    <w:rsid w:val="5D1263A7"/>
    <w:rsid w:val="5D983AB8"/>
    <w:rsid w:val="5DC47257"/>
    <w:rsid w:val="5E0006C9"/>
    <w:rsid w:val="5E1374AD"/>
    <w:rsid w:val="5ED8230D"/>
    <w:rsid w:val="5F3211A7"/>
    <w:rsid w:val="5F6A4C5A"/>
    <w:rsid w:val="5F995DF2"/>
    <w:rsid w:val="601364D5"/>
    <w:rsid w:val="602E5197"/>
    <w:rsid w:val="60354790"/>
    <w:rsid w:val="605E6E68"/>
    <w:rsid w:val="609D504C"/>
    <w:rsid w:val="609E6B1D"/>
    <w:rsid w:val="60D624FD"/>
    <w:rsid w:val="6101132B"/>
    <w:rsid w:val="619C37C6"/>
    <w:rsid w:val="61BB073B"/>
    <w:rsid w:val="61F93DCD"/>
    <w:rsid w:val="621F4A1B"/>
    <w:rsid w:val="62AB62DE"/>
    <w:rsid w:val="633B7304"/>
    <w:rsid w:val="63D0494E"/>
    <w:rsid w:val="63FF09CC"/>
    <w:rsid w:val="644C6820"/>
    <w:rsid w:val="64694941"/>
    <w:rsid w:val="64C06305"/>
    <w:rsid w:val="64C57377"/>
    <w:rsid w:val="658C5448"/>
    <w:rsid w:val="65A65287"/>
    <w:rsid w:val="65BB2A9B"/>
    <w:rsid w:val="65ED46CD"/>
    <w:rsid w:val="6686414F"/>
    <w:rsid w:val="66C04AE8"/>
    <w:rsid w:val="6700764C"/>
    <w:rsid w:val="671D6C78"/>
    <w:rsid w:val="673B4685"/>
    <w:rsid w:val="678C78D6"/>
    <w:rsid w:val="67D66B50"/>
    <w:rsid w:val="6908576B"/>
    <w:rsid w:val="690C5152"/>
    <w:rsid w:val="69784D99"/>
    <w:rsid w:val="6A7E317D"/>
    <w:rsid w:val="6ABE497B"/>
    <w:rsid w:val="6B091A11"/>
    <w:rsid w:val="6B0A20F5"/>
    <w:rsid w:val="6B771F9A"/>
    <w:rsid w:val="6B925280"/>
    <w:rsid w:val="6BD60DEF"/>
    <w:rsid w:val="6BF6161A"/>
    <w:rsid w:val="6C3D570D"/>
    <w:rsid w:val="6D161D6E"/>
    <w:rsid w:val="6D4A2B4C"/>
    <w:rsid w:val="6D5134E9"/>
    <w:rsid w:val="6D5371C1"/>
    <w:rsid w:val="6D847077"/>
    <w:rsid w:val="6E03225A"/>
    <w:rsid w:val="6E0F4745"/>
    <w:rsid w:val="6E1774CF"/>
    <w:rsid w:val="6EE92082"/>
    <w:rsid w:val="6EFC0412"/>
    <w:rsid w:val="6F1B12E2"/>
    <w:rsid w:val="6F243F09"/>
    <w:rsid w:val="6F8E6663"/>
    <w:rsid w:val="6FE61040"/>
    <w:rsid w:val="70013682"/>
    <w:rsid w:val="704107F2"/>
    <w:rsid w:val="70EB1FD4"/>
    <w:rsid w:val="71255E3B"/>
    <w:rsid w:val="7158067D"/>
    <w:rsid w:val="716F4889"/>
    <w:rsid w:val="71D25727"/>
    <w:rsid w:val="7378684B"/>
    <w:rsid w:val="73BA3816"/>
    <w:rsid w:val="73F866B3"/>
    <w:rsid w:val="744516EA"/>
    <w:rsid w:val="75413D3C"/>
    <w:rsid w:val="75582328"/>
    <w:rsid w:val="755D0EE5"/>
    <w:rsid w:val="755F0B5C"/>
    <w:rsid w:val="762E1E34"/>
    <w:rsid w:val="7654022E"/>
    <w:rsid w:val="767E07C0"/>
    <w:rsid w:val="771A578A"/>
    <w:rsid w:val="777E0C59"/>
    <w:rsid w:val="77D738FF"/>
    <w:rsid w:val="77EE3A56"/>
    <w:rsid w:val="77F32A47"/>
    <w:rsid w:val="79141BB3"/>
    <w:rsid w:val="7914696C"/>
    <w:rsid w:val="798325B6"/>
    <w:rsid w:val="798332AA"/>
    <w:rsid w:val="799E1ECF"/>
    <w:rsid w:val="79E072D0"/>
    <w:rsid w:val="79ED2BD2"/>
    <w:rsid w:val="7A853067"/>
    <w:rsid w:val="7AAE475B"/>
    <w:rsid w:val="7ACC56F6"/>
    <w:rsid w:val="7AD53C10"/>
    <w:rsid w:val="7B0D7270"/>
    <w:rsid w:val="7B1610D6"/>
    <w:rsid w:val="7B161A32"/>
    <w:rsid w:val="7BB100B2"/>
    <w:rsid w:val="7BD1613B"/>
    <w:rsid w:val="7C9C3207"/>
    <w:rsid w:val="7CAC6FA6"/>
    <w:rsid w:val="7D4D6F10"/>
    <w:rsid w:val="7D903E46"/>
    <w:rsid w:val="7DD8335C"/>
    <w:rsid w:val="7DEA6852"/>
    <w:rsid w:val="7ECE6B7F"/>
    <w:rsid w:val="7F1E1C7F"/>
    <w:rsid w:val="7F225E3D"/>
    <w:rsid w:val="7F9E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emf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2018-04-16T09:31:00Z</dcterms:created>
  <dc:creator>yingzi</dc:creator>
  <cp:lastModifiedBy>喵喵三个</cp:lastModifiedBy>
  <cp:lastPrinted>2020-03-23T15:27:00Z</cp:lastPrinted>
  <dcterms:modified xsi:type="dcterms:W3CDTF">2026-08-10T10:45:04Z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8500A164210F4DE8A27E7CE5C3CFD62A_12</vt:lpwstr>
  </property>
</Properties>
</file>