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9D3D5">
      <w:pPr>
        <w:spacing w:line="480" w:lineRule="exact"/>
        <w:rPr>
          <w:rFonts w:ascii="方正黑体_GBK" w:hAnsi="方正小标宋_GBK" w:eastAsia="方正黑体_GBK" w:cs="方正小标宋_GBK"/>
          <w:color w:val="000000" w:themeColor="text1"/>
          <w:szCs w:val="32"/>
        </w:rPr>
      </w:pPr>
      <w:r>
        <w:rPr>
          <w:rFonts w:hint="eastAsia" w:ascii="方正黑体_GBK" w:hAnsi="方正小标宋_GBK" w:eastAsia="方正黑体_GBK" w:cs="方正小标宋_GBK"/>
          <w:color w:val="000000" w:themeColor="text1"/>
          <w:szCs w:val="32"/>
        </w:rPr>
        <w:t>附件1</w:t>
      </w:r>
    </w:p>
    <w:p w14:paraId="3341297F">
      <w:pPr>
        <w:spacing w:line="440" w:lineRule="exact"/>
        <w:rPr>
          <w:rFonts w:ascii="方正黑体_GBK" w:hAnsi="方正小标宋_GBK" w:eastAsia="方正黑体_GBK" w:cs="方正小标宋_GBK"/>
          <w:color w:val="000000" w:themeColor="text1"/>
          <w:szCs w:val="32"/>
        </w:rPr>
      </w:pPr>
    </w:p>
    <w:p w14:paraId="75C2CCB3">
      <w:pPr>
        <w:spacing w:line="480" w:lineRule="exact"/>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云阳县乡镇（街道）综合行政执法法定权责清单（2022年版）</w:t>
      </w:r>
    </w:p>
    <w:p w14:paraId="38718EC1">
      <w:pPr>
        <w:spacing w:line="440" w:lineRule="exact"/>
        <w:jc w:val="center"/>
        <w:rPr>
          <w:rFonts w:ascii="方正小标宋_GBK" w:hAnsi="方正小标宋_GBK" w:eastAsia="方正小标宋_GBK" w:cs="方正小标宋_GBK"/>
          <w:color w:val="000000" w:themeColor="text1"/>
          <w:sz w:val="44"/>
          <w:szCs w:val="44"/>
        </w:rPr>
      </w:pPr>
    </w:p>
    <w:tbl>
      <w:tblPr>
        <w:tblStyle w:val="12"/>
        <w:tblW w:w="4580" w:type="pct"/>
        <w:jc w:val="center"/>
        <w:tblLayout w:type="autofit"/>
        <w:tblCellMar>
          <w:top w:w="0" w:type="dxa"/>
          <w:left w:w="57" w:type="dxa"/>
          <w:bottom w:w="0" w:type="dxa"/>
          <w:right w:w="57" w:type="dxa"/>
        </w:tblCellMar>
      </w:tblPr>
      <w:tblGrid>
        <w:gridCol w:w="274"/>
        <w:gridCol w:w="651"/>
        <w:gridCol w:w="520"/>
        <w:gridCol w:w="5174"/>
        <w:gridCol w:w="2446"/>
        <w:gridCol w:w="4386"/>
        <w:gridCol w:w="518"/>
      </w:tblGrid>
      <w:tr w14:paraId="17DE285C">
        <w:tblPrEx>
          <w:tblCellMar>
            <w:top w:w="0" w:type="dxa"/>
            <w:left w:w="57" w:type="dxa"/>
            <w:bottom w:w="0" w:type="dxa"/>
            <w:right w:w="57" w:type="dxa"/>
          </w:tblCellMar>
        </w:tblPrEx>
        <w:trPr>
          <w:cantSpli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0E85AC4F">
            <w:pPr>
              <w:widowControl/>
              <w:adjustRightInd w:val="0"/>
              <w:snapToGrid w:val="0"/>
              <w:spacing w:line="200" w:lineRule="atLeast"/>
              <w:jc w:val="center"/>
              <w:textAlignment w:val="center"/>
              <w:rPr>
                <w:rFonts w:ascii="方正黑体_GBK" w:hAnsi="方正黑体_GBK" w:eastAsia="方正黑体_GBK" w:cs="方正黑体_GBK"/>
                <w:color w:val="000000" w:themeColor="text1"/>
                <w:sz w:val="13"/>
                <w:szCs w:val="13"/>
              </w:rPr>
            </w:pPr>
            <w:r>
              <w:rPr>
                <w:rFonts w:hint="eastAsia" w:ascii="方正黑体_GBK" w:hAnsi="方正黑体_GBK" w:eastAsia="方正黑体_GBK" w:cs="方正黑体_GBK"/>
                <w:color w:val="000000" w:themeColor="text1"/>
                <w:kern w:val="0"/>
                <w:sz w:val="13"/>
                <w:szCs w:val="13"/>
              </w:rPr>
              <w:t>序号</w:t>
            </w:r>
          </w:p>
        </w:tc>
        <w:tc>
          <w:tcPr>
            <w:tcW w:w="233" w:type="pct"/>
            <w:tcBorders>
              <w:top w:val="single" w:color="000000" w:sz="4" w:space="0"/>
              <w:left w:val="single" w:color="000000" w:sz="4" w:space="0"/>
              <w:bottom w:val="single" w:color="000000" w:sz="4" w:space="0"/>
              <w:right w:val="single" w:color="000000" w:sz="4" w:space="0"/>
            </w:tcBorders>
            <w:vAlign w:val="center"/>
          </w:tcPr>
          <w:p w14:paraId="412BC889">
            <w:pPr>
              <w:widowControl/>
              <w:adjustRightInd w:val="0"/>
              <w:snapToGrid w:val="0"/>
              <w:spacing w:line="200" w:lineRule="atLeast"/>
              <w:jc w:val="center"/>
              <w:textAlignment w:val="center"/>
              <w:rPr>
                <w:rFonts w:ascii="方正黑体_GBK" w:hAnsi="方正黑体_GBK" w:eastAsia="方正黑体_GBK" w:cs="方正黑体_GBK"/>
                <w:color w:val="000000" w:themeColor="text1"/>
                <w:kern w:val="0"/>
                <w:sz w:val="13"/>
                <w:szCs w:val="13"/>
              </w:rPr>
            </w:pPr>
            <w:r>
              <w:rPr>
                <w:rFonts w:hint="eastAsia" w:ascii="方正黑体_GBK" w:hAnsi="方正黑体_GBK" w:eastAsia="方正黑体_GBK" w:cs="方正黑体_GBK"/>
                <w:color w:val="000000" w:themeColor="text1"/>
                <w:kern w:val="0"/>
                <w:sz w:val="13"/>
                <w:szCs w:val="13"/>
              </w:rPr>
              <w:t>事项</w:t>
            </w:r>
          </w:p>
          <w:p w14:paraId="7CA31A7B">
            <w:pPr>
              <w:widowControl/>
              <w:adjustRightInd w:val="0"/>
              <w:snapToGrid w:val="0"/>
              <w:spacing w:line="200" w:lineRule="atLeast"/>
              <w:jc w:val="center"/>
              <w:textAlignment w:val="center"/>
              <w:rPr>
                <w:rFonts w:ascii="方正黑体_GBK" w:hAnsi="方正黑体_GBK" w:eastAsia="方正黑体_GBK" w:cs="方正黑体_GBK"/>
                <w:color w:val="000000" w:themeColor="text1"/>
                <w:sz w:val="13"/>
                <w:szCs w:val="13"/>
              </w:rPr>
            </w:pPr>
            <w:r>
              <w:rPr>
                <w:rFonts w:hint="eastAsia" w:ascii="方正黑体_GBK" w:hAnsi="方正黑体_GBK" w:eastAsia="方正黑体_GBK" w:cs="方正黑体_GBK"/>
                <w:color w:val="000000" w:themeColor="text1"/>
                <w:kern w:val="0"/>
                <w:sz w:val="13"/>
                <w:szCs w:val="13"/>
              </w:rPr>
              <w:t>名称</w:t>
            </w:r>
          </w:p>
        </w:tc>
        <w:tc>
          <w:tcPr>
            <w:tcW w:w="186" w:type="pct"/>
            <w:tcBorders>
              <w:top w:val="single" w:color="000000" w:sz="4" w:space="0"/>
              <w:left w:val="single" w:color="000000" w:sz="4" w:space="0"/>
              <w:bottom w:val="single" w:color="000000" w:sz="4" w:space="0"/>
              <w:right w:val="single" w:color="000000" w:sz="4" w:space="0"/>
            </w:tcBorders>
            <w:vAlign w:val="center"/>
          </w:tcPr>
          <w:p w14:paraId="02756C06">
            <w:pPr>
              <w:widowControl/>
              <w:adjustRightInd w:val="0"/>
              <w:snapToGrid w:val="0"/>
              <w:spacing w:line="200" w:lineRule="atLeast"/>
              <w:jc w:val="center"/>
              <w:textAlignment w:val="center"/>
              <w:rPr>
                <w:rFonts w:ascii="方正黑体_GBK" w:hAnsi="方正黑体_GBK" w:eastAsia="方正黑体_GBK" w:cs="方正黑体_GBK"/>
                <w:snapToGrid w:val="0"/>
                <w:color w:val="000000" w:themeColor="text1"/>
                <w:kern w:val="0"/>
                <w:sz w:val="13"/>
                <w:szCs w:val="13"/>
              </w:rPr>
            </w:pPr>
            <w:r>
              <w:rPr>
                <w:rFonts w:hint="eastAsia" w:ascii="方正黑体_GBK" w:hAnsi="方正黑体_GBK" w:eastAsia="方正黑体_GBK" w:cs="方正黑体_GBK"/>
                <w:snapToGrid w:val="0"/>
                <w:color w:val="000000" w:themeColor="text1"/>
                <w:kern w:val="0"/>
                <w:sz w:val="13"/>
                <w:szCs w:val="13"/>
              </w:rPr>
              <w:t>事项</w:t>
            </w:r>
          </w:p>
          <w:p w14:paraId="0974D80F">
            <w:pPr>
              <w:widowControl/>
              <w:adjustRightInd w:val="0"/>
              <w:snapToGrid w:val="0"/>
              <w:spacing w:line="200" w:lineRule="atLeast"/>
              <w:jc w:val="center"/>
              <w:textAlignment w:val="center"/>
              <w:rPr>
                <w:rFonts w:ascii="方正黑体_GBK" w:hAnsi="方正黑体_GBK" w:eastAsia="方正黑体_GBK" w:cs="方正黑体_GBK"/>
                <w:snapToGrid w:val="0"/>
                <w:color w:val="000000" w:themeColor="text1"/>
                <w:kern w:val="0"/>
                <w:sz w:val="13"/>
                <w:szCs w:val="13"/>
              </w:rPr>
            </w:pPr>
            <w:r>
              <w:rPr>
                <w:rFonts w:hint="eastAsia" w:ascii="方正黑体_GBK" w:hAnsi="方正黑体_GBK" w:eastAsia="方正黑体_GBK" w:cs="方正黑体_GBK"/>
                <w:snapToGrid w:val="0"/>
                <w:color w:val="000000" w:themeColor="text1"/>
                <w:kern w:val="0"/>
                <w:sz w:val="13"/>
                <w:szCs w:val="13"/>
              </w:rPr>
              <w:t>类型</w:t>
            </w:r>
          </w:p>
        </w:tc>
        <w:tc>
          <w:tcPr>
            <w:tcW w:w="1851" w:type="pct"/>
            <w:tcBorders>
              <w:top w:val="single" w:color="000000" w:sz="4" w:space="0"/>
              <w:left w:val="single" w:color="000000" w:sz="4" w:space="0"/>
              <w:bottom w:val="single" w:color="000000" w:sz="4" w:space="0"/>
              <w:right w:val="single" w:color="000000" w:sz="4" w:space="0"/>
            </w:tcBorders>
            <w:vAlign w:val="center"/>
          </w:tcPr>
          <w:p w14:paraId="7487EFD6">
            <w:pPr>
              <w:widowControl/>
              <w:adjustRightInd w:val="0"/>
              <w:snapToGrid w:val="0"/>
              <w:spacing w:line="200" w:lineRule="atLeast"/>
              <w:jc w:val="center"/>
              <w:textAlignment w:val="center"/>
              <w:rPr>
                <w:rFonts w:ascii="方正黑体_GBK" w:hAnsi="方正黑体_GBK" w:eastAsia="方正黑体_GBK" w:cs="方正黑体_GBK"/>
                <w:color w:val="000000" w:themeColor="text1"/>
                <w:sz w:val="13"/>
                <w:szCs w:val="13"/>
              </w:rPr>
            </w:pPr>
            <w:r>
              <w:rPr>
                <w:rFonts w:hint="eastAsia" w:ascii="方正黑体_GBK" w:hAnsi="方正黑体_GBK" w:eastAsia="方正黑体_GBK" w:cs="方正黑体_GBK"/>
                <w:color w:val="000000" w:themeColor="text1"/>
                <w:kern w:val="0"/>
                <w:sz w:val="13"/>
                <w:szCs w:val="13"/>
              </w:rPr>
              <w:t>设定依据</w:t>
            </w:r>
          </w:p>
        </w:tc>
        <w:tc>
          <w:tcPr>
            <w:tcW w:w="875" w:type="pct"/>
            <w:tcBorders>
              <w:top w:val="single" w:color="000000" w:sz="4" w:space="0"/>
              <w:left w:val="single" w:color="000000" w:sz="4" w:space="0"/>
              <w:bottom w:val="single" w:color="000000" w:sz="4" w:space="0"/>
              <w:right w:val="single" w:color="000000" w:sz="4" w:space="0"/>
            </w:tcBorders>
            <w:vAlign w:val="center"/>
          </w:tcPr>
          <w:p w14:paraId="77B1215A">
            <w:pPr>
              <w:widowControl/>
              <w:adjustRightInd w:val="0"/>
              <w:snapToGrid w:val="0"/>
              <w:spacing w:line="200" w:lineRule="atLeast"/>
              <w:jc w:val="center"/>
              <w:textAlignment w:val="center"/>
              <w:rPr>
                <w:rFonts w:ascii="方正黑体_GBK" w:hAnsi="方正黑体_GBK" w:eastAsia="方正黑体_GBK" w:cs="方正黑体_GBK"/>
                <w:color w:val="000000" w:themeColor="text1"/>
                <w:sz w:val="13"/>
                <w:szCs w:val="13"/>
              </w:rPr>
            </w:pPr>
            <w:r>
              <w:rPr>
                <w:rFonts w:hint="eastAsia" w:ascii="方正黑体_GBK" w:hAnsi="方正黑体_GBK" w:eastAsia="方正黑体_GBK" w:cs="方正黑体_GBK"/>
                <w:color w:val="000000" w:themeColor="text1"/>
                <w:kern w:val="0"/>
                <w:sz w:val="13"/>
                <w:szCs w:val="13"/>
              </w:rPr>
              <w:t>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024E4AFA">
            <w:pPr>
              <w:widowControl/>
              <w:adjustRightInd w:val="0"/>
              <w:snapToGrid w:val="0"/>
              <w:spacing w:line="200" w:lineRule="atLeast"/>
              <w:jc w:val="center"/>
              <w:textAlignment w:val="center"/>
              <w:rPr>
                <w:rFonts w:ascii="方正黑体_GBK" w:hAnsi="方正黑体_GBK" w:eastAsia="方正黑体_GBK" w:cs="方正黑体_GBK"/>
                <w:color w:val="000000" w:themeColor="text1"/>
                <w:sz w:val="13"/>
                <w:szCs w:val="13"/>
              </w:rPr>
            </w:pPr>
            <w:r>
              <w:rPr>
                <w:rFonts w:hint="eastAsia" w:ascii="方正黑体_GBK" w:hAnsi="方正黑体_GBK" w:eastAsia="方正黑体_GBK" w:cs="方正黑体_GBK"/>
                <w:color w:val="000000" w:themeColor="text1"/>
                <w:kern w:val="0"/>
                <w:sz w:val="13"/>
                <w:szCs w:val="13"/>
              </w:rPr>
              <w:t>追责依据</w:t>
            </w:r>
          </w:p>
        </w:tc>
        <w:tc>
          <w:tcPr>
            <w:tcW w:w="185" w:type="pct"/>
            <w:tcBorders>
              <w:top w:val="single" w:color="000000" w:sz="4" w:space="0"/>
              <w:left w:val="single" w:color="000000" w:sz="4" w:space="0"/>
              <w:bottom w:val="single" w:color="000000" w:sz="4" w:space="0"/>
              <w:right w:val="single" w:color="000000" w:sz="4" w:space="0"/>
            </w:tcBorders>
            <w:vAlign w:val="center"/>
          </w:tcPr>
          <w:p w14:paraId="5300B326">
            <w:pPr>
              <w:widowControl/>
              <w:spacing w:line="200" w:lineRule="atLeast"/>
              <w:jc w:val="center"/>
              <w:textAlignment w:val="center"/>
              <w:rPr>
                <w:rFonts w:ascii="方正黑体_GBK" w:hAnsi="方正黑体_GBK" w:eastAsia="方正黑体_GBK" w:cs="方正黑体_GBK"/>
                <w:color w:val="000000" w:themeColor="text1"/>
                <w:kern w:val="0"/>
                <w:sz w:val="13"/>
                <w:szCs w:val="13"/>
              </w:rPr>
            </w:pPr>
            <w:r>
              <w:rPr>
                <w:rFonts w:hint="eastAsia" w:ascii="方正黑体_GBK" w:hAnsi="方正黑体_GBK" w:eastAsia="方正黑体_GBK" w:cs="方正黑体_GBK"/>
                <w:color w:val="000000" w:themeColor="text1"/>
                <w:kern w:val="0"/>
                <w:sz w:val="13"/>
                <w:szCs w:val="13"/>
              </w:rPr>
              <w:t>县级指导</w:t>
            </w:r>
          </w:p>
          <w:p w14:paraId="2AB24E30">
            <w:pPr>
              <w:widowControl/>
              <w:spacing w:line="200" w:lineRule="atLeast"/>
              <w:jc w:val="center"/>
              <w:textAlignment w:val="center"/>
              <w:rPr>
                <w:rFonts w:ascii="方正仿宋_GBK" w:hAnsi="方正仿宋_GBK" w:cs="方正仿宋_GBK"/>
                <w:color w:val="000000" w:themeColor="text1"/>
                <w:kern w:val="0"/>
                <w:sz w:val="13"/>
                <w:szCs w:val="13"/>
              </w:rPr>
            </w:pPr>
            <w:r>
              <w:rPr>
                <w:rFonts w:hint="eastAsia" w:ascii="方正黑体_GBK" w:hAnsi="方正黑体_GBK" w:eastAsia="方正黑体_GBK" w:cs="方正黑体_GBK"/>
                <w:color w:val="000000" w:themeColor="text1"/>
                <w:kern w:val="0"/>
                <w:sz w:val="13"/>
                <w:szCs w:val="13"/>
              </w:rPr>
              <w:t>部门</w:t>
            </w:r>
          </w:p>
        </w:tc>
      </w:tr>
      <w:tr w14:paraId="7097AC68">
        <w:tblPrEx>
          <w:tblCellMar>
            <w:top w:w="0" w:type="dxa"/>
            <w:left w:w="57" w:type="dxa"/>
            <w:bottom w:w="0" w:type="dxa"/>
            <w:right w:w="57" w:type="dxa"/>
          </w:tblCellMar>
        </w:tblPrEx>
        <w:trPr>
          <w:cantSplit/>
          <w:trHeight w:val="4287"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55D7E964">
            <w:pPr>
              <w:widowControl/>
              <w:adjustRightInd w:val="0"/>
              <w:snapToGrid w:val="0"/>
              <w:spacing w:line="200" w:lineRule="atLeast"/>
              <w:textAlignment w:val="bottom"/>
              <w:rPr>
                <w:color w:val="000000" w:themeColor="text1"/>
                <w:sz w:val="13"/>
                <w:szCs w:val="13"/>
              </w:rPr>
            </w:pPr>
            <w:r>
              <w:rPr>
                <w:color w:val="000000" w:themeColor="text1"/>
                <w:kern w:val="0"/>
                <w:sz w:val="13"/>
                <w:szCs w:val="13"/>
              </w:rPr>
              <w:t>1</w:t>
            </w:r>
          </w:p>
        </w:tc>
        <w:tc>
          <w:tcPr>
            <w:tcW w:w="233" w:type="pct"/>
            <w:tcBorders>
              <w:top w:val="single" w:color="000000" w:sz="4" w:space="0"/>
              <w:left w:val="single" w:color="000000" w:sz="4" w:space="0"/>
              <w:bottom w:val="single" w:color="000000" w:sz="4" w:space="0"/>
              <w:right w:val="single" w:color="000000" w:sz="4" w:space="0"/>
            </w:tcBorders>
            <w:vAlign w:val="center"/>
          </w:tcPr>
          <w:p w14:paraId="17C19420">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强制拆除、砍伐或者清除在电力设施保护区内修建的建筑物、构筑物或者种植植物、堆放物品</w:t>
            </w:r>
          </w:p>
        </w:tc>
        <w:tc>
          <w:tcPr>
            <w:tcW w:w="186" w:type="pct"/>
            <w:tcBorders>
              <w:top w:val="single" w:color="000000" w:sz="4" w:space="0"/>
              <w:left w:val="single" w:color="000000" w:sz="4" w:space="0"/>
              <w:bottom w:val="single" w:color="000000" w:sz="4" w:space="0"/>
              <w:right w:val="single" w:color="000000" w:sz="4" w:space="0"/>
            </w:tcBorders>
            <w:vAlign w:val="center"/>
          </w:tcPr>
          <w:p w14:paraId="566F2ABE">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行政强制</w:t>
            </w:r>
          </w:p>
        </w:tc>
        <w:tc>
          <w:tcPr>
            <w:tcW w:w="1851" w:type="pct"/>
            <w:tcBorders>
              <w:top w:val="single" w:color="000000" w:sz="4" w:space="0"/>
              <w:left w:val="single" w:color="000000" w:sz="4" w:space="0"/>
              <w:bottom w:val="single" w:color="000000" w:sz="4" w:space="0"/>
              <w:right w:val="single" w:color="000000" w:sz="4" w:space="0"/>
            </w:tcBorders>
            <w:vAlign w:val="center"/>
          </w:tcPr>
          <w:p w14:paraId="7391DFD6">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875" w:type="pct"/>
            <w:tcBorders>
              <w:top w:val="single" w:color="000000" w:sz="4" w:space="0"/>
              <w:left w:val="single" w:color="000000" w:sz="4" w:space="0"/>
              <w:bottom w:val="single" w:color="000000" w:sz="4" w:space="0"/>
              <w:right w:val="single" w:color="000000" w:sz="4" w:space="0"/>
            </w:tcBorders>
            <w:vAlign w:val="center"/>
          </w:tcPr>
          <w:p w14:paraId="160939CD">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没有法律、法规依据的； </w:t>
            </w:r>
          </w:p>
          <w:p w14:paraId="1AA55429">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改变行政强制对象、条件、方式的； </w:t>
            </w:r>
          </w:p>
          <w:p w14:paraId="2FBD826C">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xml:space="preserve">. 违反法定程序实施行政强制的； </w:t>
            </w:r>
          </w:p>
          <w:p w14:paraId="047A6BB6">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4</w:t>
            </w:r>
            <w:r>
              <w:rPr>
                <w:rFonts w:hint="eastAsia" w:ascii="方正仿宋_GBK" w:hAnsi="方正仿宋_GBK" w:cs="方正仿宋_GBK"/>
                <w:color w:val="000000" w:themeColor="text1"/>
                <w:kern w:val="0"/>
                <w:sz w:val="13"/>
                <w:szCs w:val="13"/>
              </w:rPr>
              <w:t xml:space="preserve">. 违反法律规定，在夜间或者法定节假日实施行政强制执行的； </w:t>
            </w:r>
          </w:p>
          <w:p w14:paraId="0E3B2C16">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5</w:t>
            </w:r>
            <w:r>
              <w:rPr>
                <w:rFonts w:hint="eastAsia" w:ascii="方正仿宋_GBK" w:hAnsi="方正仿宋_GBK" w:cs="方正仿宋_GBK"/>
                <w:color w:val="000000" w:themeColor="text1"/>
                <w:kern w:val="0"/>
                <w:sz w:val="13"/>
                <w:szCs w:val="13"/>
              </w:rPr>
              <w:t xml:space="preserve">. 对居民生活采取停止供水、供电、供热、供燃气等方式迫使当事人履行相关行政决定的； </w:t>
            </w:r>
          </w:p>
          <w:p w14:paraId="0B5506A8">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6</w:t>
            </w:r>
            <w:r>
              <w:rPr>
                <w:rFonts w:hint="eastAsia" w:ascii="方正仿宋_GBK" w:hAnsi="方正仿宋_GBK" w:cs="方正仿宋_GBK"/>
                <w:color w:val="000000" w:themeColor="text1"/>
                <w:kern w:val="0"/>
                <w:sz w:val="13"/>
                <w:szCs w:val="13"/>
              </w:rPr>
              <w:t>. 有其他违法实施行政强制情形的。</w:t>
            </w:r>
          </w:p>
        </w:tc>
        <w:tc>
          <w:tcPr>
            <w:tcW w:w="1569" w:type="pct"/>
            <w:tcBorders>
              <w:top w:val="single" w:color="000000" w:sz="4" w:space="0"/>
              <w:left w:val="single" w:color="000000" w:sz="4" w:space="0"/>
              <w:bottom w:val="single" w:color="000000" w:sz="4" w:space="0"/>
              <w:right w:val="single" w:color="000000" w:sz="4" w:space="0"/>
            </w:tcBorders>
            <w:vAlign w:val="center"/>
          </w:tcPr>
          <w:p w14:paraId="4A101BCC">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《行政强制法》第六十一条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 第六十四条行政机关及其工作人员利用行政强制权为单位或者个人谋取利益的，由上级行政机关或者有关部门责令改正，对直接负责的主管人员和其他直接责任人员依法给予处分。 第六十八条违反本法规定，给公民、法人或者其他组织造成损失的，依法给予赔偿。  违反本法规定，构成犯罪的，依法追究刑事责任。</w:t>
            </w:r>
          </w:p>
          <w:p w14:paraId="103FA09F">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《行政机关公务员处分条例》第二十条 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85" w:type="pct"/>
            <w:tcBorders>
              <w:top w:val="single" w:color="000000" w:sz="4" w:space="0"/>
              <w:left w:val="single" w:color="000000" w:sz="4" w:space="0"/>
              <w:bottom w:val="single" w:color="000000" w:sz="4" w:space="0"/>
              <w:right w:val="single" w:color="000000" w:sz="4" w:space="0"/>
            </w:tcBorders>
            <w:vAlign w:val="center"/>
          </w:tcPr>
          <w:p w14:paraId="12C01FD4">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经济信息委</w:t>
            </w:r>
          </w:p>
        </w:tc>
      </w:tr>
      <w:tr w14:paraId="7B8D1114">
        <w:tblPrEx>
          <w:tblCellMar>
            <w:top w:w="0" w:type="dxa"/>
            <w:left w:w="57" w:type="dxa"/>
            <w:bottom w:w="0" w:type="dxa"/>
            <w:right w:w="57" w:type="dxa"/>
          </w:tblCellMar>
        </w:tblPrEx>
        <w:trPr>
          <w:cantSplit/>
          <w:trHeight w:val="2024"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0DDF1B71">
            <w:pPr>
              <w:widowControl/>
              <w:adjustRightInd w:val="0"/>
              <w:snapToGrid w:val="0"/>
              <w:spacing w:line="200" w:lineRule="atLeast"/>
              <w:textAlignment w:val="bottom"/>
              <w:rPr>
                <w:color w:val="000000" w:themeColor="text1"/>
                <w:sz w:val="13"/>
                <w:szCs w:val="13"/>
              </w:rPr>
            </w:pPr>
            <w:r>
              <w:rPr>
                <w:color w:val="000000" w:themeColor="text1"/>
                <w:kern w:val="0"/>
                <w:sz w:val="13"/>
                <w:szCs w:val="13"/>
              </w:rPr>
              <w:t>2</w:t>
            </w:r>
          </w:p>
        </w:tc>
        <w:tc>
          <w:tcPr>
            <w:tcW w:w="233" w:type="pct"/>
            <w:tcBorders>
              <w:top w:val="single" w:color="000000" w:sz="4" w:space="0"/>
              <w:left w:val="single" w:color="000000" w:sz="4" w:space="0"/>
              <w:bottom w:val="single" w:color="000000" w:sz="4" w:space="0"/>
              <w:right w:val="single" w:color="000000" w:sz="4" w:space="0"/>
            </w:tcBorders>
            <w:vAlign w:val="center"/>
          </w:tcPr>
          <w:p w14:paraId="1A3AA4F0">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铲除非法种植毒品原植物</w:t>
            </w:r>
          </w:p>
        </w:tc>
        <w:tc>
          <w:tcPr>
            <w:tcW w:w="186" w:type="pct"/>
            <w:tcBorders>
              <w:top w:val="single" w:color="000000" w:sz="4" w:space="0"/>
              <w:left w:val="single" w:color="000000" w:sz="4" w:space="0"/>
              <w:bottom w:val="single" w:color="000000" w:sz="4" w:space="0"/>
              <w:right w:val="single" w:color="000000" w:sz="4" w:space="0"/>
            </w:tcBorders>
            <w:vAlign w:val="center"/>
          </w:tcPr>
          <w:p w14:paraId="001501F4">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行政强制</w:t>
            </w:r>
          </w:p>
        </w:tc>
        <w:tc>
          <w:tcPr>
            <w:tcW w:w="1851" w:type="pct"/>
            <w:tcBorders>
              <w:top w:val="single" w:color="000000" w:sz="4" w:space="0"/>
              <w:left w:val="single" w:color="000000" w:sz="4" w:space="0"/>
              <w:bottom w:val="single" w:color="000000" w:sz="4" w:space="0"/>
              <w:right w:val="single" w:color="000000" w:sz="4" w:space="0"/>
            </w:tcBorders>
            <w:vAlign w:val="center"/>
          </w:tcPr>
          <w:p w14:paraId="5D469EA0">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《中华人民共和国禁毒法》第十九条第二款 地方各级人民政府发现非法种植毒品原植物的，应当立即采取措施予以制止、铲除。村民委员会、居民委员会发现非法种植毒品原植物的，应当及时予以制止、铲除，并向当地公安机关报告。</w:t>
            </w:r>
          </w:p>
        </w:tc>
        <w:tc>
          <w:tcPr>
            <w:tcW w:w="875" w:type="pct"/>
            <w:tcBorders>
              <w:top w:val="single" w:color="000000" w:sz="4" w:space="0"/>
              <w:left w:val="single" w:color="000000" w:sz="4" w:space="0"/>
              <w:bottom w:val="single" w:color="000000" w:sz="4" w:space="0"/>
              <w:right w:val="single" w:color="000000" w:sz="4" w:space="0"/>
            </w:tcBorders>
            <w:vAlign w:val="center"/>
          </w:tcPr>
          <w:p w14:paraId="69E435D4">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没有法律、法规依据的； </w:t>
            </w:r>
          </w:p>
          <w:p w14:paraId="7D16A725">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改变行政强制对象、条件、方式的； </w:t>
            </w:r>
          </w:p>
          <w:p w14:paraId="65216FFB">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xml:space="preserve">. 违反法定程序实施行政强制的； </w:t>
            </w:r>
          </w:p>
          <w:p w14:paraId="2EA59526">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4</w:t>
            </w:r>
            <w:r>
              <w:rPr>
                <w:rFonts w:hint="eastAsia" w:ascii="方正仿宋_GBK" w:hAnsi="方正仿宋_GBK" w:cs="方正仿宋_GBK"/>
                <w:color w:val="000000" w:themeColor="text1"/>
                <w:kern w:val="0"/>
                <w:sz w:val="13"/>
                <w:szCs w:val="13"/>
              </w:rPr>
              <w:t xml:space="preserve">. 违反法律规定，在夜间或者法定节假日实施行政强制执行的； </w:t>
            </w:r>
          </w:p>
          <w:p w14:paraId="6C783C64">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5</w:t>
            </w:r>
            <w:r>
              <w:rPr>
                <w:rFonts w:hint="eastAsia" w:ascii="方正仿宋_GBK" w:hAnsi="方正仿宋_GBK" w:cs="方正仿宋_GBK"/>
                <w:color w:val="000000" w:themeColor="text1"/>
                <w:kern w:val="0"/>
                <w:sz w:val="13"/>
                <w:szCs w:val="13"/>
              </w:rPr>
              <w:t xml:space="preserve">. 对居民生活采取停止供水、供电、供热、供燃气等方式迫使当事人履行相关行政决定的； </w:t>
            </w:r>
          </w:p>
          <w:p w14:paraId="6241C43E">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6</w:t>
            </w:r>
            <w:r>
              <w:rPr>
                <w:rFonts w:hint="eastAsia" w:ascii="方正仿宋_GBK" w:hAnsi="方正仿宋_GBK" w:cs="方正仿宋_GBK"/>
                <w:color w:val="000000" w:themeColor="text1"/>
                <w:kern w:val="0"/>
                <w:sz w:val="13"/>
                <w:szCs w:val="13"/>
              </w:rPr>
              <w:t>. 有其他违法实施行政强制情形的。</w:t>
            </w:r>
          </w:p>
        </w:tc>
        <w:tc>
          <w:tcPr>
            <w:tcW w:w="1569" w:type="pct"/>
            <w:tcBorders>
              <w:top w:val="single" w:color="000000" w:sz="4" w:space="0"/>
              <w:left w:val="single" w:color="000000" w:sz="4" w:space="0"/>
              <w:bottom w:val="single" w:color="000000" w:sz="4" w:space="0"/>
              <w:right w:val="single" w:color="000000" w:sz="4" w:space="0"/>
            </w:tcBorders>
            <w:vAlign w:val="center"/>
          </w:tcPr>
          <w:p w14:paraId="6FE8C298">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《行政强制法》第六十一条。</w:t>
            </w:r>
          </w:p>
        </w:tc>
        <w:tc>
          <w:tcPr>
            <w:tcW w:w="185" w:type="pct"/>
            <w:tcBorders>
              <w:top w:val="single" w:color="000000" w:sz="4" w:space="0"/>
              <w:left w:val="single" w:color="000000" w:sz="4" w:space="0"/>
              <w:bottom w:val="single" w:color="000000" w:sz="4" w:space="0"/>
              <w:right w:val="single" w:color="000000" w:sz="4" w:space="0"/>
            </w:tcBorders>
            <w:vAlign w:val="center"/>
          </w:tcPr>
          <w:p w14:paraId="49AD7436">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县公安局</w:t>
            </w:r>
          </w:p>
        </w:tc>
      </w:tr>
      <w:tr w14:paraId="61508813">
        <w:tblPrEx>
          <w:tblCellMar>
            <w:top w:w="0" w:type="dxa"/>
            <w:left w:w="57" w:type="dxa"/>
            <w:bottom w:w="0" w:type="dxa"/>
            <w:right w:w="57" w:type="dxa"/>
          </w:tblCellMar>
        </w:tblPrEx>
        <w:trPr>
          <w:cantSplit/>
          <w:trHeight w:val="8654"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47955A0C">
            <w:pPr>
              <w:widowControl/>
              <w:adjustRightInd w:val="0"/>
              <w:snapToGrid w:val="0"/>
              <w:spacing w:line="200" w:lineRule="atLeast"/>
              <w:textAlignment w:val="bottom"/>
              <w:rPr>
                <w:color w:val="000000" w:themeColor="text1"/>
                <w:sz w:val="13"/>
                <w:szCs w:val="13"/>
              </w:rPr>
            </w:pPr>
            <w:r>
              <w:rPr>
                <w:color w:val="000000" w:themeColor="text1"/>
                <w:kern w:val="0"/>
                <w:sz w:val="13"/>
                <w:szCs w:val="13"/>
              </w:rPr>
              <w:t>3</w:t>
            </w:r>
          </w:p>
        </w:tc>
        <w:tc>
          <w:tcPr>
            <w:tcW w:w="233" w:type="pct"/>
            <w:tcBorders>
              <w:top w:val="single" w:color="000000" w:sz="4" w:space="0"/>
              <w:left w:val="single" w:color="000000" w:sz="4" w:space="0"/>
              <w:bottom w:val="single" w:color="000000" w:sz="4" w:space="0"/>
              <w:right w:val="single" w:color="000000" w:sz="4" w:space="0"/>
            </w:tcBorders>
            <w:vAlign w:val="center"/>
          </w:tcPr>
          <w:p w14:paraId="1224DBD7">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对在乡、村庄规划区内未依法取得乡村建设规划许可证或者未按照乡村建设规划许可证的规定进行建设的强制</w:t>
            </w:r>
          </w:p>
        </w:tc>
        <w:tc>
          <w:tcPr>
            <w:tcW w:w="186" w:type="pct"/>
            <w:tcBorders>
              <w:top w:val="single" w:color="000000" w:sz="4" w:space="0"/>
              <w:left w:val="single" w:color="000000" w:sz="4" w:space="0"/>
              <w:bottom w:val="single" w:color="000000" w:sz="4" w:space="0"/>
              <w:right w:val="single" w:color="000000" w:sz="4" w:space="0"/>
            </w:tcBorders>
            <w:vAlign w:val="center"/>
          </w:tcPr>
          <w:p w14:paraId="196D5C10">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行政强制</w:t>
            </w:r>
          </w:p>
        </w:tc>
        <w:tc>
          <w:tcPr>
            <w:tcW w:w="1851" w:type="pct"/>
            <w:tcBorders>
              <w:top w:val="single" w:color="000000" w:sz="4" w:space="0"/>
              <w:left w:val="single" w:color="000000" w:sz="4" w:space="0"/>
              <w:bottom w:val="single" w:color="000000" w:sz="4" w:space="0"/>
              <w:right w:val="single" w:color="000000" w:sz="4" w:space="0"/>
            </w:tcBorders>
            <w:vAlign w:val="center"/>
          </w:tcPr>
          <w:p w14:paraId="3D32D555">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sz w:val="13"/>
                <w:szCs w:val="13"/>
              </w:rPr>
              <w:t>1.《重庆市城乡规划条例》第八十三条城乡规划主管部门对本条例第七十三条第一款第一项至第三项所列的违法建设，应当责令停止建设，并按照以下规定进行查处：（一）尚可采取改正措施消除对规划实施影响的，责令限期改正。在限期内改正的，处建设工程造价百分之五罚款；对逾期未改正的，依法采取强制拆除等措施，处建设工程造价百分之十罚款；（二）无法采取改正措施消除对规划实施影响的，责令限期拆除。在规定期限内拆除的，不予罚款；逾期未拆除的，依法强制拆除，处建设工程造价百分之十罚款；不能拆除的，没收实物或者违法收入，可以并处建设工程造价百分之十罚款。违法建设轻微并及时自行纠正，没有造成危害后果的，不予行政处罚。城乡规划主管部门对本条例第七十三条第一款第四项所列的违法建设，应当责令限期拆除，可以并处临时建设工程造价一倍以下罚款。乡（镇）人民政府、街道办事处对本条例第七十三条第二款所列的违法建设，应当责令停止建设、限期改正；逾期不改正的，可以拆除。当事人逾期未改正、拆除（回填）违法建设的，城乡规划主管部门或者乡（镇）人民政府、街道办事处依法提请区县（自治县）人民政府强制执行；当事人逾期未缴纳罚款、未上缴被处没收的违法收入的，可以每日按照罚款数额、没收数额的百分之三加处罚款。</w:t>
            </w:r>
          </w:p>
          <w:p w14:paraId="09426FF5">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sz w:val="13"/>
                <w:szCs w:val="13"/>
              </w:rPr>
              <w:t>2.《中华人民共和国城乡规划法》第六十五条在乡、村庄规划区内未依法取得乡村建设规划许可证或者未按照乡村建设规划许可证的规定进行建设的，由乡、镇人民政府责令停止建设、限期改正；逾期不改正的，可以拆除。</w:t>
            </w:r>
          </w:p>
          <w:p w14:paraId="69C780C0">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sz w:val="13"/>
                <w:szCs w:val="13"/>
              </w:rPr>
              <w:t>3.《重庆市城乡规划条例》第七十三条进入规划审批程序的下列违法建设由城乡规划主管部门负责查处：（一）取得选址意见书、附有规划条件的国有建设用地使用权、建设用地规划许可证或者建设工程设计方案通过审查，但未取得建设工程规划许可证进行建设的；（二）擅自改变建设工程规划许可证及附件、附图的许可内容进行建设的；（三）擅自改变城乡规划主管部门核发的乡村建设规划许可证及附件、附图的许可内容进行建设的；（四）擅自改变临时建设工程规划批准文件的内容进行建设，经批准建设的临时建（构）筑物逾期未拆除或者使用期限未满因实施城乡规划需要拆除而逾期未拆除的。乡（镇）人民政府、街道办事处负责查处擅自改变其核发的乡村建设规划许可证及附件、附图进行建设的违法建设。</w:t>
            </w:r>
          </w:p>
        </w:tc>
        <w:tc>
          <w:tcPr>
            <w:tcW w:w="875" w:type="pct"/>
            <w:tcBorders>
              <w:top w:val="single" w:color="000000" w:sz="4" w:space="0"/>
              <w:left w:val="single" w:color="000000" w:sz="4" w:space="0"/>
              <w:bottom w:val="single" w:color="000000" w:sz="4" w:space="0"/>
              <w:right w:val="single" w:color="000000" w:sz="4" w:space="0"/>
            </w:tcBorders>
            <w:vAlign w:val="center"/>
          </w:tcPr>
          <w:p w14:paraId="25A95E94">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中华人民共和国城乡规划法》的情形：依照本法规定应当给予行政处罚，而有关城乡规划主管部门不给予行政处罚的，上级人民政府城乡规划主管部门有权责令其作出行政处罚决定或者建议有关人民政府责令其给予行政处罚。 </w:t>
            </w:r>
          </w:p>
          <w:p w14:paraId="3B0BADD9">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14:paraId="587ADB4E">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违反《公务员法》《国家监察法》《行政机关公务员处分条例》《事业单位工作人员处分暂行规定》等的追责情形。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3789B0B7">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《中华人民共和国城乡规划法》第五十六条。 </w:t>
            </w:r>
          </w:p>
          <w:p w14:paraId="77D5A433">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《行政处罚法》第七十六条、第七十七条、第七十八条、第七十九条、第八十条、第八十一条、第八十二条、第八十三条。 </w:t>
            </w:r>
          </w:p>
          <w:p w14:paraId="5DA34505">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《公务员法》《国家监察法》《行政机关公务员处分条例》《事业单位工作人员处分暂行规定》等法律、法规及规章。</w:t>
            </w:r>
          </w:p>
        </w:tc>
        <w:tc>
          <w:tcPr>
            <w:tcW w:w="185" w:type="pct"/>
            <w:tcBorders>
              <w:top w:val="single" w:color="000000" w:sz="4" w:space="0"/>
              <w:left w:val="single" w:color="000000" w:sz="4" w:space="0"/>
              <w:bottom w:val="single" w:color="000000" w:sz="4" w:space="0"/>
              <w:right w:val="single" w:color="000000" w:sz="4" w:space="0"/>
            </w:tcBorders>
            <w:vAlign w:val="center"/>
          </w:tcPr>
          <w:p w14:paraId="29B900EE">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规划自然资源局</w:t>
            </w:r>
          </w:p>
        </w:tc>
      </w:tr>
      <w:tr w14:paraId="0E114636">
        <w:tblPrEx>
          <w:tblCellMar>
            <w:top w:w="0" w:type="dxa"/>
            <w:left w:w="57" w:type="dxa"/>
            <w:bottom w:w="0" w:type="dxa"/>
            <w:right w:w="57" w:type="dxa"/>
          </w:tblCellMar>
        </w:tblPrEx>
        <w:trPr>
          <w:cantSplit/>
          <w:trHeight w:val="3808"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37E7F2EA">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4</w:t>
            </w:r>
          </w:p>
        </w:tc>
        <w:tc>
          <w:tcPr>
            <w:tcW w:w="233" w:type="pct"/>
            <w:tcBorders>
              <w:top w:val="single" w:color="000000" w:sz="4" w:space="0"/>
              <w:left w:val="single" w:color="000000" w:sz="4" w:space="0"/>
              <w:bottom w:val="single" w:color="000000" w:sz="4" w:space="0"/>
              <w:right w:val="single" w:color="000000" w:sz="4" w:space="0"/>
            </w:tcBorders>
            <w:vAlign w:val="center"/>
          </w:tcPr>
          <w:p w14:paraId="05A5747C">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地质灾害应急疏散</w:t>
            </w:r>
          </w:p>
        </w:tc>
        <w:tc>
          <w:tcPr>
            <w:tcW w:w="186" w:type="pct"/>
            <w:tcBorders>
              <w:top w:val="single" w:color="000000" w:sz="4" w:space="0"/>
              <w:left w:val="single" w:color="000000" w:sz="4" w:space="0"/>
              <w:bottom w:val="single" w:color="000000" w:sz="4" w:space="0"/>
              <w:right w:val="single" w:color="000000" w:sz="4" w:space="0"/>
            </w:tcBorders>
            <w:vAlign w:val="center"/>
          </w:tcPr>
          <w:p w14:paraId="06A59A7C">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行政强制</w:t>
            </w:r>
          </w:p>
        </w:tc>
        <w:tc>
          <w:tcPr>
            <w:tcW w:w="1851" w:type="pct"/>
            <w:tcBorders>
              <w:top w:val="single" w:color="000000" w:sz="4" w:space="0"/>
              <w:left w:val="single" w:color="000000" w:sz="4" w:space="0"/>
              <w:bottom w:val="single" w:color="000000" w:sz="4" w:space="0"/>
              <w:right w:val="single" w:color="000000" w:sz="4" w:space="0"/>
            </w:tcBorders>
            <w:vAlign w:val="center"/>
          </w:tcPr>
          <w:p w14:paraId="79C835BC">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 《地质灾害防治条例》第二十九条 接到地质灾害险情报告的当地人民政府、基层群众自治组织应当根据实际情况，及时动员受到地质灾害威胁的居民以及其他人员转移到安全地带；情况紧急时，可以强行组织避灾疏散。</w:t>
            </w:r>
          </w:p>
          <w:p w14:paraId="574C44C7">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 《重庆市地质灾害防治条例》第三十四条发现地质灾害灾情或者险情的单位和个人，应当立即报告当地人民政府或者应急主管部门、规划自然资源主管部门。其他部门或者村（居）民委员会接到报告的，应当立即转报当地人民政府。</w:t>
            </w:r>
          </w:p>
          <w:p w14:paraId="39FFCD3B">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当地人民政府或者应急主管部门、规划自然资源主管部门接到报告后，应当立即派人赶赴现场开展应急处置，并按照国家及本市有关规定分级报告。情况危急时，当地人民政府应当立即组织受威胁对象撤出危险地带，必要时可以强行组织避灾疏散。</w:t>
            </w:r>
          </w:p>
        </w:tc>
        <w:tc>
          <w:tcPr>
            <w:tcW w:w="875" w:type="pct"/>
            <w:tcBorders>
              <w:top w:val="single" w:color="000000" w:sz="4" w:space="0"/>
              <w:left w:val="single" w:color="000000" w:sz="4" w:space="0"/>
              <w:bottom w:val="single" w:color="000000" w:sz="4" w:space="0"/>
              <w:right w:val="single" w:color="000000" w:sz="4" w:space="0"/>
            </w:tcBorders>
            <w:vAlign w:val="center"/>
          </w:tcPr>
          <w:p w14:paraId="7E586011">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color w:val="000000" w:themeColor="text1"/>
                <w:kern w:val="0"/>
                <w:sz w:val="13"/>
                <w:szCs w:val="13"/>
              </w:rPr>
              <w:t>1.未按照规定编制突发性地质灾害应急预案，或者未按照突发性地质灾害应急预案的要求采取有关措施、履行有关义务的；2.在编制地质灾害易</w:t>
            </w:r>
            <w:r>
              <w:rPr>
                <w:rFonts w:hint="eastAsia" w:ascii="方正仿宋_GBK" w:hAnsi="方正仿宋_GBK" w:cs="方正仿宋_GBK"/>
                <w:color w:val="000000" w:themeColor="text1"/>
                <w:sz w:val="13"/>
                <w:szCs w:val="13"/>
              </w:rPr>
              <w:t>发区内的国土空间规划时，未按照规定对规划区进行地质灾害危险性评估的；3.批准未包含地质灾害危险性评估结果的建设用地或者规划许可手续的；4.隐瞒、谎报或者授意他人隐瞒、谎报地质灾害灾情</w:t>
            </w:r>
            <w:r>
              <w:rPr>
                <w:rFonts w:hint="eastAsia" w:ascii="方正仿宋_GBK" w:hAnsi="方正仿宋_GBK" w:cs="方正仿宋_GBK"/>
                <w:color w:val="000000" w:themeColor="text1"/>
                <w:sz w:val="13"/>
                <w:szCs w:val="13"/>
                <w:lang w:eastAsia="zh-CN"/>
              </w:rPr>
              <w:t>或者</w:t>
            </w:r>
            <w:bookmarkStart w:id="0" w:name="_GoBack"/>
            <w:bookmarkEnd w:id="0"/>
            <w:r>
              <w:rPr>
                <w:rFonts w:hint="eastAsia" w:ascii="方正仿宋_GBK" w:hAnsi="方正仿宋_GBK" w:cs="方正仿宋_GBK"/>
                <w:color w:val="000000" w:themeColor="text1"/>
                <w:sz w:val="13"/>
                <w:szCs w:val="13"/>
              </w:rPr>
              <w:t>擅自发布地质灾害预报的；5.给不符合条件的单位颁发地质灾害危险性评估资质证书或者地质灾害治理工程勘察、设计、施工、监理资质证书的；6.在地质灾害防治工作中有其他失职、渎职行为的。</w:t>
            </w:r>
          </w:p>
          <w:p w14:paraId="68EADEBD">
            <w:pPr>
              <w:widowControl/>
              <w:adjustRightInd w:val="0"/>
              <w:snapToGrid w:val="0"/>
              <w:spacing w:line="200" w:lineRule="atLeast"/>
              <w:textAlignment w:val="center"/>
              <w:rPr>
                <w:color w:val="000000" w:themeColor="text1"/>
                <w:kern w:val="0"/>
                <w:sz w:val="13"/>
                <w:szCs w:val="13"/>
              </w:rPr>
            </w:pPr>
          </w:p>
        </w:tc>
        <w:tc>
          <w:tcPr>
            <w:tcW w:w="1569" w:type="pct"/>
            <w:tcBorders>
              <w:top w:val="single" w:color="000000" w:sz="4" w:space="0"/>
              <w:left w:val="single" w:color="000000" w:sz="4" w:space="0"/>
              <w:bottom w:val="single" w:color="000000" w:sz="4" w:space="0"/>
              <w:right w:val="single" w:color="000000" w:sz="4" w:space="0"/>
            </w:tcBorders>
            <w:vAlign w:val="center"/>
          </w:tcPr>
          <w:p w14:paraId="796BF1A1">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《重庆市地质灾害防治条例》第四十八条。</w:t>
            </w:r>
          </w:p>
        </w:tc>
        <w:tc>
          <w:tcPr>
            <w:tcW w:w="185" w:type="pct"/>
            <w:tcBorders>
              <w:top w:val="single" w:color="000000" w:sz="4" w:space="0"/>
              <w:left w:val="single" w:color="000000" w:sz="4" w:space="0"/>
              <w:bottom w:val="single" w:color="000000" w:sz="4" w:space="0"/>
              <w:right w:val="single" w:color="000000" w:sz="4" w:space="0"/>
            </w:tcBorders>
            <w:vAlign w:val="center"/>
          </w:tcPr>
          <w:p w14:paraId="2E56203F">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县应急局/县规划自然资源局</w:t>
            </w:r>
          </w:p>
        </w:tc>
      </w:tr>
      <w:tr w14:paraId="7ACE5865">
        <w:tblPrEx>
          <w:tblCellMar>
            <w:top w:w="0" w:type="dxa"/>
            <w:left w:w="57" w:type="dxa"/>
            <w:bottom w:w="0" w:type="dxa"/>
            <w:right w:w="57" w:type="dxa"/>
          </w:tblCellMar>
        </w:tblPrEx>
        <w:trPr>
          <w:cantSplit/>
          <w:trHeight w:val="4885"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4023ABDA">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5</w:t>
            </w:r>
          </w:p>
        </w:tc>
        <w:tc>
          <w:tcPr>
            <w:tcW w:w="233" w:type="pct"/>
            <w:tcBorders>
              <w:top w:val="single" w:color="000000" w:sz="4" w:space="0"/>
              <w:left w:val="single" w:color="000000" w:sz="4" w:space="0"/>
              <w:bottom w:val="single" w:color="000000" w:sz="4" w:space="0"/>
              <w:right w:val="single" w:color="000000" w:sz="4" w:space="0"/>
            </w:tcBorders>
            <w:vAlign w:val="center"/>
          </w:tcPr>
          <w:p w14:paraId="7B67A04B">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防汛遇到阻拦和拖延时组织强制实施</w:t>
            </w:r>
          </w:p>
        </w:tc>
        <w:tc>
          <w:tcPr>
            <w:tcW w:w="186" w:type="pct"/>
            <w:tcBorders>
              <w:top w:val="single" w:color="000000" w:sz="4" w:space="0"/>
              <w:left w:val="single" w:color="000000" w:sz="4" w:space="0"/>
              <w:bottom w:val="single" w:color="000000" w:sz="4" w:space="0"/>
              <w:right w:val="single" w:color="000000" w:sz="4" w:space="0"/>
            </w:tcBorders>
            <w:vAlign w:val="center"/>
          </w:tcPr>
          <w:p w14:paraId="3DBDE97E">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行政强制</w:t>
            </w:r>
          </w:p>
        </w:tc>
        <w:tc>
          <w:tcPr>
            <w:tcW w:w="1851" w:type="pct"/>
            <w:tcBorders>
              <w:top w:val="single" w:color="000000" w:sz="4" w:space="0"/>
              <w:left w:val="single" w:color="000000" w:sz="4" w:space="0"/>
              <w:bottom w:val="single" w:color="000000" w:sz="4" w:space="0"/>
              <w:right w:val="single" w:color="000000" w:sz="4" w:space="0"/>
            </w:tcBorders>
            <w:vAlign w:val="center"/>
          </w:tcPr>
          <w:p w14:paraId="378B9AFB">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中华人民共和国防汛条例》第三十三条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875" w:type="pct"/>
            <w:tcBorders>
              <w:top w:val="single" w:color="000000" w:sz="4" w:space="0"/>
              <w:left w:val="single" w:color="000000" w:sz="4" w:space="0"/>
              <w:bottom w:val="single" w:color="000000" w:sz="4" w:space="0"/>
              <w:right w:val="single" w:color="000000" w:sz="4" w:space="0"/>
            </w:tcBorders>
            <w:vAlign w:val="center"/>
          </w:tcPr>
          <w:p w14:paraId="6FFA225C">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1.未按规定履行职责的； </w:t>
            </w:r>
          </w:p>
          <w:p w14:paraId="1A3C350A">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2.违法实施行政强制的；</w:t>
            </w:r>
          </w:p>
          <w:p w14:paraId="09AE611A">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3.行政机关及其工作人员利用行政强制权为单位或者个人谋取利益的，由上级行政机关或者有关部门责令改正，对直接负责的主管人员和其他直接责任人员依法给予处分； </w:t>
            </w:r>
          </w:p>
          <w:p w14:paraId="6379EB6B">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4.违反法律规定，给公民、法人或者其他组织造成损失的，依法给予赔偿。违反本法规定，构成犯罪的，依法追究刑事责任。</w:t>
            </w:r>
          </w:p>
        </w:tc>
        <w:tc>
          <w:tcPr>
            <w:tcW w:w="1569" w:type="pct"/>
            <w:tcBorders>
              <w:top w:val="single" w:color="000000" w:sz="4" w:space="0"/>
              <w:left w:val="single" w:color="000000" w:sz="4" w:space="0"/>
              <w:bottom w:val="single" w:color="000000" w:sz="4" w:space="0"/>
              <w:right w:val="single" w:color="000000" w:sz="4" w:space="0"/>
            </w:tcBorders>
            <w:vAlign w:val="center"/>
          </w:tcPr>
          <w:p w14:paraId="4546D8CB">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 第六十四条行政机关及其工作人员利用行政强制权为单位或者个人谋取利益的，由上级行政机关或者有关部门责令改正，对直接负责的主管人员和其他直接责任人员依法给予处分。 第六十八条违反本法规定，给公民、法人或者其他组织造成损失的，依法给予赔偿。 违反本法规定，构成犯罪的，依法追究刑事责任。 2.《行政机关公务员处分条例》第二十条　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85" w:type="pct"/>
            <w:tcBorders>
              <w:top w:val="single" w:color="000000" w:sz="4" w:space="0"/>
              <w:left w:val="single" w:color="000000" w:sz="4" w:space="0"/>
              <w:bottom w:val="single" w:color="000000" w:sz="4" w:space="0"/>
              <w:right w:val="single" w:color="000000" w:sz="4" w:space="0"/>
            </w:tcBorders>
            <w:vAlign w:val="center"/>
          </w:tcPr>
          <w:p w14:paraId="33262B87">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县应急局</w:t>
            </w:r>
          </w:p>
        </w:tc>
      </w:tr>
      <w:tr w14:paraId="1EFDB9B4">
        <w:tblPrEx>
          <w:tblCellMar>
            <w:top w:w="0" w:type="dxa"/>
            <w:left w:w="57" w:type="dxa"/>
            <w:bottom w:w="0" w:type="dxa"/>
            <w:right w:w="57" w:type="dxa"/>
          </w:tblCellMar>
        </w:tblPrEx>
        <w:trPr>
          <w:cantSplit/>
          <w:trHeight w:val="4318"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1427FF8F">
            <w:pPr>
              <w:widowControl/>
              <w:adjustRightInd w:val="0"/>
              <w:snapToGrid w:val="0"/>
              <w:spacing w:line="200" w:lineRule="atLeast"/>
              <w:textAlignment w:val="bottom"/>
              <w:rPr>
                <w:rFonts w:ascii="方正仿宋_GBK" w:hAnsi="方正仿宋_GBK" w:cs="方正仿宋_GBK"/>
                <w:color w:val="000000" w:themeColor="text1"/>
                <w:sz w:val="13"/>
                <w:szCs w:val="13"/>
              </w:rPr>
            </w:pPr>
            <w:r>
              <w:rPr>
                <w:rFonts w:hint="eastAsia"/>
                <w:color w:val="000000" w:themeColor="text1"/>
                <w:kern w:val="0"/>
                <w:sz w:val="13"/>
                <w:szCs w:val="13"/>
              </w:rPr>
              <w:t>6</w:t>
            </w:r>
          </w:p>
        </w:tc>
        <w:tc>
          <w:tcPr>
            <w:tcW w:w="233" w:type="pct"/>
            <w:tcBorders>
              <w:top w:val="single" w:color="000000" w:sz="4" w:space="0"/>
              <w:left w:val="single" w:color="000000" w:sz="4" w:space="0"/>
              <w:bottom w:val="single" w:color="000000" w:sz="4" w:space="0"/>
              <w:right w:val="single" w:color="000000" w:sz="4" w:space="0"/>
            </w:tcBorders>
            <w:vAlign w:val="center"/>
          </w:tcPr>
          <w:p w14:paraId="1CA7C3F6">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对受洪水威胁的群众的强制转移</w:t>
            </w:r>
          </w:p>
        </w:tc>
        <w:tc>
          <w:tcPr>
            <w:tcW w:w="186" w:type="pct"/>
            <w:tcBorders>
              <w:top w:val="single" w:color="000000" w:sz="4" w:space="0"/>
              <w:left w:val="single" w:color="000000" w:sz="4" w:space="0"/>
              <w:bottom w:val="single" w:color="000000" w:sz="4" w:space="0"/>
              <w:right w:val="single" w:color="000000" w:sz="4" w:space="0"/>
            </w:tcBorders>
            <w:vAlign w:val="center"/>
          </w:tcPr>
          <w:p w14:paraId="7C0E0488">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行政强制</w:t>
            </w:r>
          </w:p>
        </w:tc>
        <w:tc>
          <w:tcPr>
            <w:tcW w:w="1851" w:type="pct"/>
            <w:tcBorders>
              <w:top w:val="single" w:color="000000" w:sz="4" w:space="0"/>
              <w:left w:val="single" w:color="000000" w:sz="4" w:space="0"/>
              <w:bottom w:val="single" w:color="000000" w:sz="4" w:space="0"/>
              <w:right w:val="single" w:color="000000" w:sz="4" w:space="0"/>
            </w:tcBorders>
            <w:vAlign w:val="center"/>
          </w:tcPr>
          <w:p w14:paraId="7D5F6243">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《中华人民共和国防汛条例》第三十四条 当洪水威胁群众安全时，当地人民政府应当及时组织群众撤离至安全地带，并做好生活安排。 </w:t>
            </w:r>
          </w:p>
          <w:p w14:paraId="60A5C51D">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《重庆市防汛抗旱条例》第三十条 当洪水威胁群众安全时，受威胁地区的群众应当按照转移信息自主分散转移，并及时向村（居）民委员会或者有关部门报告。对受洪水威胁的群众，当地人民政府应当依照防汛预案组织群众转移。实行集中转移的，应当告知转移地点和转移方式，妥善安排被转移群众的基本生活。被转移群众应当服从统一安排，在转移指令解除前不得擅自返回。情况特别紧急时，有关人民政府可以对经劝导仍拒绝转移的群众实施强制转移。</w:t>
            </w:r>
          </w:p>
        </w:tc>
        <w:tc>
          <w:tcPr>
            <w:tcW w:w="875" w:type="pct"/>
            <w:tcBorders>
              <w:top w:val="single" w:color="000000" w:sz="4" w:space="0"/>
              <w:left w:val="single" w:color="000000" w:sz="4" w:space="0"/>
              <w:bottom w:val="single" w:color="000000" w:sz="4" w:space="0"/>
              <w:right w:val="single" w:color="000000" w:sz="4" w:space="0"/>
            </w:tcBorders>
            <w:vAlign w:val="center"/>
          </w:tcPr>
          <w:p w14:paraId="5E11C286">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拒不执行经批准的防御洪水方案、洪水调度方案，或者拒不执行有管辖权的防汛指挥机构的防汛调度方案或者防汛抢险指令的； </w:t>
            </w:r>
          </w:p>
          <w:p w14:paraId="56C5CCCA">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玩忽职守，或者在防汛抢险的紧要关头临阵逃脱的； </w:t>
            </w:r>
          </w:p>
          <w:p w14:paraId="6BC0B436">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xml:space="preserve">. 非法扒口决堤或者开闸的； </w:t>
            </w:r>
          </w:p>
          <w:p w14:paraId="63314027">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4</w:t>
            </w:r>
            <w:r>
              <w:rPr>
                <w:rFonts w:hint="eastAsia" w:ascii="方正仿宋_GBK" w:hAnsi="方正仿宋_GBK" w:cs="方正仿宋_GBK"/>
                <w:color w:val="000000" w:themeColor="text1"/>
                <w:kern w:val="0"/>
                <w:sz w:val="13"/>
                <w:szCs w:val="13"/>
              </w:rPr>
              <w:t xml:space="preserve">. 挪用、盗窃、贪污防汛或者救灾的钱款或者物资的； </w:t>
            </w:r>
          </w:p>
          <w:p w14:paraId="6CEFCBB9">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5</w:t>
            </w:r>
            <w:r>
              <w:rPr>
                <w:rFonts w:hint="eastAsia" w:ascii="方正仿宋_GBK" w:hAnsi="方正仿宋_GBK" w:cs="方正仿宋_GBK"/>
                <w:color w:val="000000" w:themeColor="text1"/>
                <w:kern w:val="0"/>
                <w:sz w:val="13"/>
                <w:szCs w:val="13"/>
              </w:rPr>
              <w:t>. 阻碍防汛指挥机构工作人员依法执行职务的。</w:t>
            </w:r>
          </w:p>
        </w:tc>
        <w:tc>
          <w:tcPr>
            <w:tcW w:w="1569" w:type="pct"/>
            <w:tcBorders>
              <w:top w:val="single" w:color="000000" w:sz="4" w:space="0"/>
              <w:left w:val="single" w:color="000000" w:sz="4" w:space="0"/>
              <w:bottom w:val="single" w:color="000000" w:sz="4" w:space="0"/>
              <w:right w:val="single" w:color="000000" w:sz="4" w:space="0"/>
            </w:tcBorders>
            <w:vAlign w:val="center"/>
          </w:tcPr>
          <w:p w14:paraId="75ECB92B">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《中华人民共和国防汛条例》第四十三条 有下列行为之一者，视情节和危害后果，由其所在单位或者上级主管机关给予行政处分；应当给予治安管理处罚的，依照《中华人民共和国治安管理处罚法》的规定处罚；构成犯罪的，依法追究刑事责任：（一）拒不执行经批准的防御洪水方案、洪水调度方案，或者拒不执行有管辖权的防汛指挥机构的防汛调度方案或者防汛抢险指令的；（二）玩忽职守，或者在防汛抢险的紧要关头临阵逃脱的；（三）非法扒口决堤或者开闸的；（四）挪用、盗窃、贪污防汛或者救灾的钱款或者物资的；（五）阻碍防汛指挥机构工作人员依法执行职务的；（六）盗窃、毁损或者破坏堤防、护岸、闸坝等水工程建筑物和防汛工程设施以及水文监测、测量设施、气象测报设施、河岸地质监测设施、通信照明设施的；（七）其他危害防汛抢险工作的。 </w:t>
            </w:r>
          </w:p>
          <w:p w14:paraId="7DAB2DCD">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《行政机关公务员处分条例》第二十条 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85" w:type="pct"/>
            <w:tcBorders>
              <w:top w:val="single" w:color="000000" w:sz="4" w:space="0"/>
              <w:left w:val="single" w:color="000000" w:sz="4" w:space="0"/>
              <w:bottom w:val="single" w:color="000000" w:sz="4" w:space="0"/>
              <w:right w:val="single" w:color="000000" w:sz="4" w:space="0"/>
            </w:tcBorders>
            <w:vAlign w:val="center"/>
          </w:tcPr>
          <w:p w14:paraId="40AF40F3">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应急局</w:t>
            </w:r>
          </w:p>
        </w:tc>
      </w:tr>
      <w:tr w14:paraId="77AA2C08">
        <w:tblPrEx>
          <w:tblCellMar>
            <w:top w:w="0" w:type="dxa"/>
            <w:left w:w="57" w:type="dxa"/>
            <w:bottom w:w="0" w:type="dxa"/>
            <w:right w:w="57" w:type="dxa"/>
          </w:tblCellMar>
        </w:tblPrEx>
        <w:trPr>
          <w:cantSplit/>
          <w:trHeight w:val="4391"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74DFB829">
            <w:pPr>
              <w:widowControl/>
              <w:adjustRightInd w:val="0"/>
              <w:snapToGrid w:val="0"/>
              <w:spacing w:line="200" w:lineRule="atLeast"/>
              <w:textAlignment w:val="bottom"/>
              <w:rPr>
                <w:color w:val="000000" w:themeColor="text1"/>
                <w:sz w:val="13"/>
                <w:szCs w:val="13"/>
              </w:rPr>
            </w:pPr>
            <w:r>
              <w:rPr>
                <w:rFonts w:hint="eastAsia"/>
                <w:color w:val="000000" w:themeColor="text1"/>
                <w:kern w:val="0"/>
                <w:sz w:val="13"/>
                <w:szCs w:val="13"/>
              </w:rPr>
              <w:t>7</w:t>
            </w:r>
          </w:p>
        </w:tc>
        <w:tc>
          <w:tcPr>
            <w:tcW w:w="233" w:type="pct"/>
            <w:tcBorders>
              <w:top w:val="single" w:color="000000" w:sz="4" w:space="0"/>
              <w:left w:val="single" w:color="000000" w:sz="4" w:space="0"/>
              <w:bottom w:val="single" w:color="000000" w:sz="4" w:space="0"/>
              <w:right w:val="single" w:color="000000" w:sz="4" w:space="0"/>
            </w:tcBorders>
            <w:vAlign w:val="center"/>
          </w:tcPr>
          <w:p w14:paraId="1411CAB2">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对辖区内鉴定为危房且危及公共安全情形的房屋进行强制治理</w:t>
            </w:r>
          </w:p>
        </w:tc>
        <w:tc>
          <w:tcPr>
            <w:tcW w:w="186" w:type="pct"/>
            <w:tcBorders>
              <w:top w:val="single" w:color="000000" w:sz="4" w:space="0"/>
              <w:left w:val="single" w:color="000000" w:sz="4" w:space="0"/>
              <w:bottom w:val="single" w:color="000000" w:sz="4" w:space="0"/>
              <w:right w:val="single" w:color="000000" w:sz="4" w:space="0"/>
            </w:tcBorders>
            <w:vAlign w:val="center"/>
          </w:tcPr>
          <w:p w14:paraId="4BC36936">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行政强制</w:t>
            </w:r>
          </w:p>
        </w:tc>
        <w:tc>
          <w:tcPr>
            <w:tcW w:w="1851" w:type="pct"/>
            <w:tcBorders>
              <w:top w:val="single" w:color="000000" w:sz="4" w:space="0"/>
              <w:left w:val="single" w:color="000000" w:sz="4" w:space="0"/>
              <w:bottom w:val="single" w:color="000000" w:sz="4" w:space="0"/>
              <w:right w:val="single" w:color="000000" w:sz="4" w:space="0"/>
            </w:tcBorders>
            <w:vAlign w:val="center"/>
          </w:tcPr>
          <w:p w14:paraId="3F4DCC13">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《重庆市村镇规划建设管理条例》第二十九条 第一款、第二款、第三款房屋所有人或者使用人应当保证房屋的使用安全，禁止危及公共安全的房屋使用行为。区县</w:t>
            </w:r>
            <w:r>
              <w:rPr>
                <w:rFonts w:hint="eastAsia" w:hAnsi="方正仿宋_GBK" w:cs="方正仿宋_GBK"/>
                <w:color w:val="000000" w:themeColor="text1"/>
                <w:kern w:val="0"/>
                <w:sz w:val="13"/>
                <w:szCs w:val="13"/>
              </w:rPr>
              <w:t>（</w:t>
            </w:r>
            <w:r>
              <w:rPr>
                <w:rFonts w:hint="eastAsia" w:ascii="方正仿宋_GBK" w:hAnsi="方正仿宋_GBK" w:cs="方正仿宋_GBK"/>
                <w:color w:val="000000" w:themeColor="text1"/>
                <w:kern w:val="0"/>
                <w:sz w:val="13"/>
                <w:szCs w:val="13"/>
              </w:rPr>
              <w:t>自治县）和乡（镇）人民政府应当指导农村居民对存在安全隐患、防灾能力低的农村危房，进行修缮、加固、重建，或者按照国家和本市规定进行工程治理、搬迁改造，确保困难群众基本的居住安全。对于村镇建筑已出现明显结构变形、局部垮塌、发生灾害危及使用安全、主体结构拆改荷载明显增大等经鉴定为危房且危及公共安全情形的，乡（镇）人民政府有权责令停止使用、消除危险，并设置明显的安全警戒标志，必要时做出强制治理决定。</w:t>
            </w:r>
          </w:p>
        </w:tc>
        <w:tc>
          <w:tcPr>
            <w:tcW w:w="875" w:type="pct"/>
            <w:tcBorders>
              <w:top w:val="single" w:color="000000" w:sz="4" w:space="0"/>
              <w:left w:val="single" w:color="000000" w:sz="4" w:space="0"/>
              <w:bottom w:val="single" w:color="000000" w:sz="4" w:space="0"/>
              <w:right w:val="single" w:color="000000" w:sz="4" w:space="0"/>
            </w:tcBorders>
            <w:vAlign w:val="center"/>
          </w:tcPr>
          <w:p w14:paraId="2B80DD51">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未按规定履行职责的； </w:t>
            </w:r>
          </w:p>
          <w:p w14:paraId="07CDCB1B">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违法实施行政强制的； </w:t>
            </w:r>
          </w:p>
          <w:p w14:paraId="3A3DD95A">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xml:space="preserve">. 行政机关及其工作人员利用行政强制权为单位或者个人谋取利益的，由上级行政机关或者有关部门责令改正，对直接负责的主管人员和其他直接责任人员依法给予处分； </w:t>
            </w:r>
          </w:p>
          <w:p w14:paraId="442D2F01">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4</w:t>
            </w:r>
            <w:r>
              <w:rPr>
                <w:rFonts w:hint="eastAsia" w:ascii="方正仿宋_GBK" w:hAnsi="方正仿宋_GBK" w:cs="方正仿宋_GBK"/>
                <w:color w:val="000000" w:themeColor="text1"/>
                <w:kern w:val="0"/>
                <w:sz w:val="13"/>
                <w:szCs w:val="13"/>
              </w:rPr>
              <w:t>. 违反法律规定，给公民、法人或者其他组织造成损失的，依法给予赔偿。违反本法规定，构成犯罪的，依法追究刑事责任。</w:t>
            </w:r>
          </w:p>
        </w:tc>
        <w:tc>
          <w:tcPr>
            <w:tcW w:w="1569" w:type="pct"/>
            <w:tcBorders>
              <w:top w:val="single" w:color="000000" w:sz="4" w:space="0"/>
              <w:left w:val="single" w:color="000000" w:sz="4" w:space="0"/>
              <w:bottom w:val="single" w:color="000000" w:sz="4" w:space="0"/>
              <w:right w:val="single" w:color="000000" w:sz="4" w:space="0"/>
            </w:tcBorders>
            <w:vAlign w:val="center"/>
          </w:tcPr>
          <w:p w14:paraId="2BC8904E">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《行政强制法》第六十一条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 第六十四条行政机关及其工作人员利用行政强制权为单位或者个人谋取利益的，由上级行政机关或者有关部门责令改正，对直接负责的主管人员和其他直接责任人员依法给予处分。 第六十八条违反本法规定，给公民、法人或者其他组织造成损失的，依法给予赔偿。  违反本法规定，构成犯罪的，依法追究刑事责任。 </w:t>
            </w:r>
          </w:p>
          <w:p w14:paraId="13E7979A">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《行政机关公务员处分条例》第二十条 有下列行为之一，给予记过、记大过处分；情节较重的，给予降级或者撤职处分；情节严重的，给予开除处分：（一）不依法履行职责，致使可以避免的爆炸、火灾、传染病传播流行、严重环境污染、严重人员伤亡等重大事故或者群体性事件发生的；（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85" w:type="pct"/>
            <w:tcBorders>
              <w:top w:val="single" w:color="000000" w:sz="4" w:space="0"/>
              <w:left w:val="single" w:color="000000" w:sz="4" w:space="0"/>
              <w:bottom w:val="single" w:color="000000" w:sz="4" w:space="0"/>
              <w:right w:val="single" w:color="000000" w:sz="4" w:space="0"/>
            </w:tcBorders>
            <w:vAlign w:val="center"/>
          </w:tcPr>
          <w:p w14:paraId="180C09C9">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住房城乡建委</w:t>
            </w:r>
          </w:p>
        </w:tc>
      </w:tr>
      <w:tr w14:paraId="47DD40DB">
        <w:tblPrEx>
          <w:tblCellMar>
            <w:top w:w="0" w:type="dxa"/>
            <w:left w:w="57" w:type="dxa"/>
            <w:bottom w:w="0" w:type="dxa"/>
            <w:right w:w="57" w:type="dxa"/>
          </w:tblCellMar>
        </w:tblPrEx>
        <w:trPr>
          <w:cantSplit/>
          <w:trHeight w:val="8723"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20B2569A">
            <w:pPr>
              <w:widowControl/>
              <w:adjustRightInd w:val="0"/>
              <w:snapToGrid w:val="0"/>
              <w:spacing w:line="200" w:lineRule="atLeast"/>
              <w:textAlignment w:val="bottom"/>
              <w:rPr>
                <w:rFonts w:ascii="方正仿宋_GBK" w:hAnsi="方正仿宋_GBK" w:cs="方正仿宋_GBK"/>
                <w:color w:val="000000" w:themeColor="text1"/>
                <w:sz w:val="13"/>
                <w:szCs w:val="13"/>
              </w:rPr>
            </w:pPr>
            <w:r>
              <w:rPr>
                <w:rFonts w:hint="eastAsia"/>
                <w:color w:val="000000" w:themeColor="text1"/>
                <w:kern w:val="0"/>
                <w:sz w:val="13"/>
                <w:szCs w:val="13"/>
              </w:rPr>
              <w:t>8</w:t>
            </w:r>
          </w:p>
        </w:tc>
        <w:tc>
          <w:tcPr>
            <w:tcW w:w="233" w:type="pct"/>
            <w:tcBorders>
              <w:top w:val="single" w:color="000000" w:sz="4" w:space="0"/>
              <w:left w:val="single" w:color="000000" w:sz="4" w:space="0"/>
              <w:bottom w:val="single" w:color="000000" w:sz="4" w:space="0"/>
              <w:right w:val="single" w:color="000000" w:sz="4" w:space="0"/>
            </w:tcBorders>
            <w:vAlign w:val="center"/>
          </w:tcPr>
          <w:p w14:paraId="1CE16778">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对造成公路、公路附属设施损坏且拒不接受公路管理机构现场调查处理的车辆、工具予以扣留</w:t>
            </w:r>
          </w:p>
        </w:tc>
        <w:tc>
          <w:tcPr>
            <w:tcW w:w="186" w:type="pct"/>
            <w:tcBorders>
              <w:top w:val="single" w:color="000000" w:sz="4" w:space="0"/>
              <w:left w:val="single" w:color="000000" w:sz="4" w:space="0"/>
              <w:bottom w:val="single" w:color="000000" w:sz="4" w:space="0"/>
              <w:right w:val="single" w:color="000000" w:sz="4" w:space="0"/>
            </w:tcBorders>
            <w:vAlign w:val="center"/>
          </w:tcPr>
          <w:p w14:paraId="030E599E">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行政强制</w:t>
            </w:r>
          </w:p>
        </w:tc>
        <w:tc>
          <w:tcPr>
            <w:tcW w:w="1851" w:type="pct"/>
            <w:tcBorders>
              <w:top w:val="single" w:color="000000" w:sz="4" w:space="0"/>
              <w:left w:val="single" w:color="000000" w:sz="4" w:space="0"/>
              <w:bottom w:val="single" w:color="000000" w:sz="4" w:space="0"/>
              <w:right w:val="single" w:color="000000" w:sz="4" w:space="0"/>
            </w:tcBorders>
            <w:vAlign w:val="center"/>
          </w:tcPr>
          <w:p w14:paraId="3EF6A9B2">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《重庆市公路管理条例》第六十八条 造成公路、公路附属设施损坏，拒不接受公路管理机构现场调查处理的，公路管理机构可以扣留车辆、工具。公路管理机构对被扣留的车辆、工具应当妥善保管，不得使用。公路管理机构扣留车辆、工具的，应当当场出具凭证，并告知当事人在规定期限内到公路管理机构接受处理，处理完毕后，应当立即退还扣留的车辆、工具；逾期不接受处理，并且经公告三个月仍不来接受处理的，对扣留的车辆、工具，公路管理机构可以依法拍卖，所得价款扣除拍卖费用，抵扣应缴赔偿费及罚款后，不足部分继续追缴，超过部分余款退还当事人。前两款规定涉及村道的，由乡(镇)人民政府、街道办事处负责实施。对载有乘客、鲜活物品、危险物品等不宜暂扣的车辆，可以对驾驶人的驾驶证、车辆行驶证予以先行登记保存，且当场出具凭证，并在七日内作出处理决定。处理完毕后，应当立即退还驾驶人的驾驶证、车辆行驶证。</w:t>
            </w:r>
          </w:p>
        </w:tc>
        <w:tc>
          <w:tcPr>
            <w:tcW w:w="875" w:type="pct"/>
            <w:tcBorders>
              <w:top w:val="single" w:color="000000" w:sz="4" w:space="0"/>
              <w:left w:val="single" w:color="000000" w:sz="4" w:space="0"/>
              <w:bottom w:val="single" w:color="000000" w:sz="4" w:space="0"/>
              <w:right w:val="single" w:color="000000" w:sz="4" w:space="0"/>
            </w:tcBorders>
            <w:vAlign w:val="center"/>
          </w:tcPr>
          <w:p w14:paraId="7D2CE601">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违反《重庆市公路管理条例》的情形：交通运输主管部门、公路管理机构以及其他相关部门的国家工作人员在公路管理工作中滥用职权、玩忽职守或者徇私舞弊的。 </w:t>
            </w:r>
          </w:p>
          <w:p w14:paraId="4F4B9453">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违反《行政强制法》的情形：（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）没有法律、法规依据的；（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）改变行政强制对象、条件、方式的；（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）违反法定程序实施行政强制的；（</w:t>
            </w:r>
            <w:r>
              <w:rPr>
                <w:color w:val="000000" w:themeColor="text1"/>
                <w:kern w:val="0"/>
                <w:sz w:val="13"/>
                <w:szCs w:val="13"/>
              </w:rPr>
              <w:t>4</w:t>
            </w:r>
            <w:r>
              <w:rPr>
                <w:rFonts w:hint="eastAsia" w:ascii="方正仿宋_GBK" w:hAnsi="方正仿宋_GBK" w:cs="方正仿宋_GBK"/>
                <w:color w:val="000000" w:themeColor="text1"/>
                <w:kern w:val="0"/>
                <w:sz w:val="13"/>
                <w:szCs w:val="13"/>
              </w:rPr>
              <w:t>）利用行政强制权为单位或者个人谋取利益的；（</w:t>
            </w:r>
            <w:r>
              <w:rPr>
                <w:color w:val="000000" w:themeColor="text1"/>
                <w:kern w:val="0"/>
                <w:sz w:val="13"/>
                <w:szCs w:val="13"/>
              </w:rPr>
              <w:t>5</w:t>
            </w:r>
            <w:r>
              <w:rPr>
                <w:rFonts w:hint="eastAsia" w:ascii="方正仿宋_GBK" w:hAnsi="方正仿宋_GBK" w:cs="方正仿宋_GBK"/>
                <w:color w:val="000000" w:themeColor="text1"/>
                <w:kern w:val="0"/>
                <w:sz w:val="13"/>
                <w:szCs w:val="13"/>
              </w:rPr>
              <w:t>）扩大查封、扣押、冻结范围的；（</w:t>
            </w:r>
            <w:r>
              <w:rPr>
                <w:color w:val="000000" w:themeColor="text1"/>
                <w:kern w:val="0"/>
                <w:sz w:val="13"/>
                <w:szCs w:val="13"/>
              </w:rPr>
              <w:t>6</w:t>
            </w:r>
            <w:r>
              <w:rPr>
                <w:rFonts w:hint="eastAsia" w:ascii="方正仿宋_GBK" w:hAnsi="方正仿宋_GBK" w:cs="方正仿宋_GBK"/>
                <w:color w:val="000000" w:themeColor="text1"/>
                <w:kern w:val="0"/>
                <w:sz w:val="13"/>
                <w:szCs w:val="13"/>
              </w:rPr>
              <w:t>）使用或者损毁查封、扣押场所、设施或者财物的；（</w:t>
            </w:r>
            <w:r>
              <w:rPr>
                <w:color w:val="000000" w:themeColor="text1"/>
                <w:kern w:val="0"/>
                <w:sz w:val="13"/>
                <w:szCs w:val="13"/>
              </w:rPr>
              <w:t>7</w:t>
            </w:r>
            <w:r>
              <w:rPr>
                <w:rFonts w:hint="eastAsia" w:ascii="方正仿宋_GBK" w:hAnsi="方正仿宋_GBK" w:cs="方正仿宋_GBK"/>
                <w:color w:val="000000" w:themeColor="text1"/>
                <w:kern w:val="0"/>
                <w:sz w:val="13"/>
                <w:szCs w:val="13"/>
              </w:rPr>
              <w:t>）在查封、扣押法定期间不作出处理决定或者未依法及时解除查封、扣押的；（</w:t>
            </w:r>
            <w:r>
              <w:rPr>
                <w:color w:val="000000" w:themeColor="text1"/>
                <w:kern w:val="0"/>
                <w:sz w:val="13"/>
                <w:szCs w:val="13"/>
              </w:rPr>
              <w:t>8</w:t>
            </w:r>
            <w:r>
              <w:rPr>
                <w:rFonts w:hint="eastAsia" w:ascii="方正仿宋_GBK" w:hAnsi="方正仿宋_GBK" w:cs="方正仿宋_GBK"/>
                <w:color w:val="000000" w:themeColor="text1"/>
                <w:kern w:val="0"/>
                <w:sz w:val="13"/>
                <w:szCs w:val="13"/>
              </w:rPr>
              <w:t>）将查封、扣押的财物或者划拨的存款、汇款以及拍卖和依法处理所得的款项，截留、私分或者变相私分的，或利用职务上的便利，将查封、扣押的场所、设施或者财物据为己有的；（</w:t>
            </w:r>
            <w:r>
              <w:rPr>
                <w:color w:val="000000" w:themeColor="text1"/>
                <w:kern w:val="0"/>
                <w:sz w:val="13"/>
                <w:szCs w:val="13"/>
              </w:rPr>
              <w:t>9</w:t>
            </w:r>
            <w:r>
              <w:rPr>
                <w:rFonts w:hint="eastAsia" w:ascii="方正仿宋_GBK" w:hAnsi="方正仿宋_GBK" w:cs="方正仿宋_GBK"/>
                <w:color w:val="000000" w:themeColor="text1"/>
                <w:kern w:val="0"/>
                <w:sz w:val="13"/>
                <w:szCs w:val="13"/>
              </w:rPr>
              <w:t xml:space="preserve">）有其他违法实施行政强制情形的。 </w:t>
            </w:r>
          </w:p>
          <w:p w14:paraId="781C92D9">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.违反《行政机关公务员处分条例》的情形：（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）玩忽职守；（</w:t>
            </w:r>
            <w:r>
              <w:rPr>
                <w:color w:val="000000" w:themeColor="text1"/>
                <w:kern w:val="0"/>
                <w:sz w:val="13"/>
                <w:szCs w:val="13"/>
              </w:rPr>
              <w:t>2</w:t>
            </w:r>
            <w:r>
              <w:rPr>
                <w:rFonts w:hint="eastAsia" w:ascii="方正仿宋_GBK" w:hAnsi="方正仿宋_GBK" w:cs="方正仿宋_GBK"/>
                <w:color w:val="000000" w:themeColor="text1"/>
                <w:kern w:val="0"/>
                <w:sz w:val="13"/>
                <w:szCs w:val="13"/>
              </w:rPr>
              <w:t>）徇私舞弊；（</w:t>
            </w:r>
            <w:r>
              <w:rPr>
                <w:color w:val="000000" w:themeColor="text1"/>
                <w:kern w:val="0"/>
                <w:sz w:val="13"/>
                <w:szCs w:val="13"/>
              </w:rPr>
              <w:t>3</w:t>
            </w:r>
            <w:r>
              <w:rPr>
                <w:rFonts w:hint="eastAsia" w:ascii="方正仿宋_GBK" w:hAnsi="方正仿宋_GBK" w:cs="方正仿宋_GBK"/>
                <w:color w:val="000000" w:themeColor="text1"/>
                <w:kern w:val="0"/>
                <w:sz w:val="13"/>
                <w:szCs w:val="13"/>
              </w:rPr>
              <w:t xml:space="preserve">）滥用职权的。 </w:t>
            </w:r>
          </w:p>
          <w:p w14:paraId="0625F0EE">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4</w:t>
            </w:r>
            <w:r>
              <w:rPr>
                <w:rFonts w:hint="eastAsia" w:ascii="方正仿宋_GBK" w:hAnsi="方正仿宋_GBK" w:cs="方正仿宋_GBK"/>
                <w:color w:val="000000" w:themeColor="text1"/>
                <w:kern w:val="0"/>
                <w:sz w:val="13"/>
                <w:szCs w:val="13"/>
              </w:rPr>
              <w:t>.违反《公务员法》《监察法》《事业单位工作人员处分暂行规定》等的追责情形。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7556FA1B">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《重庆市公路管理条例》第六十九条。 </w:t>
            </w:r>
          </w:p>
          <w:p w14:paraId="098998A3">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《行政强制法》第六十一条、第六十二条、第六十三条、第六十四条、第六十八条。 </w:t>
            </w:r>
          </w:p>
          <w:p w14:paraId="4DB588FF">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185" w:type="pct"/>
            <w:tcBorders>
              <w:top w:val="single" w:color="000000" w:sz="4" w:space="0"/>
              <w:left w:val="single" w:color="000000" w:sz="4" w:space="0"/>
              <w:bottom w:val="single" w:color="000000" w:sz="4" w:space="0"/>
              <w:right w:val="single" w:color="000000" w:sz="4" w:space="0"/>
            </w:tcBorders>
            <w:vAlign w:val="center"/>
          </w:tcPr>
          <w:p w14:paraId="7B1EF213">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交通局</w:t>
            </w:r>
          </w:p>
        </w:tc>
      </w:tr>
      <w:tr w14:paraId="1A24061B">
        <w:tblPrEx>
          <w:tblCellMar>
            <w:top w:w="0" w:type="dxa"/>
            <w:left w:w="57" w:type="dxa"/>
            <w:bottom w:w="0" w:type="dxa"/>
            <w:right w:w="57" w:type="dxa"/>
          </w:tblCellMar>
        </w:tblPrEx>
        <w:trPr>
          <w:cantSplit/>
          <w:trHeight w:val="3883"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001DCAA1">
            <w:pPr>
              <w:widowControl/>
              <w:adjustRightInd w:val="0"/>
              <w:snapToGrid w:val="0"/>
              <w:spacing w:line="200" w:lineRule="atLeast"/>
              <w:textAlignment w:val="bottom"/>
              <w:rPr>
                <w:color w:val="000000" w:themeColor="text1"/>
                <w:sz w:val="13"/>
                <w:szCs w:val="13"/>
              </w:rPr>
            </w:pPr>
            <w:r>
              <w:rPr>
                <w:rFonts w:hint="eastAsia"/>
                <w:color w:val="000000" w:themeColor="text1"/>
                <w:kern w:val="0"/>
                <w:sz w:val="13"/>
                <w:szCs w:val="13"/>
              </w:rPr>
              <w:t>9</w:t>
            </w:r>
          </w:p>
        </w:tc>
        <w:tc>
          <w:tcPr>
            <w:tcW w:w="233" w:type="pct"/>
            <w:tcBorders>
              <w:top w:val="single" w:color="000000" w:sz="4" w:space="0"/>
              <w:left w:val="single" w:color="000000" w:sz="4" w:space="0"/>
              <w:bottom w:val="single" w:color="000000" w:sz="4" w:space="0"/>
              <w:right w:val="single" w:color="000000" w:sz="4" w:space="0"/>
            </w:tcBorders>
            <w:vAlign w:val="center"/>
          </w:tcPr>
          <w:p w14:paraId="6C3AFA92">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对污染分散式饮用水源的处罚</w:t>
            </w:r>
          </w:p>
        </w:tc>
        <w:tc>
          <w:tcPr>
            <w:tcW w:w="186" w:type="pct"/>
            <w:tcBorders>
              <w:top w:val="single" w:color="000000" w:sz="4" w:space="0"/>
              <w:left w:val="single" w:color="000000" w:sz="4" w:space="0"/>
              <w:bottom w:val="single" w:color="000000" w:sz="4" w:space="0"/>
              <w:right w:val="single" w:color="000000" w:sz="4" w:space="0"/>
            </w:tcBorders>
            <w:vAlign w:val="center"/>
          </w:tcPr>
          <w:p w14:paraId="61926D42">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851" w:type="pct"/>
            <w:tcBorders>
              <w:top w:val="single" w:color="000000" w:sz="4" w:space="0"/>
              <w:left w:val="single" w:color="000000" w:sz="4" w:space="0"/>
              <w:bottom w:val="single" w:color="000000" w:sz="4" w:space="0"/>
              <w:right w:val="single" w:color="000000" w:sz="4" w:space="0"/>
            </w:tcBorders>
            <w:vAlign w:val="center"/>
          </w:tcPr>
          <w:p w14:paraId="292C9064">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《重庆市水资源管理条例》第三条第四款 乡（镇）人民政府、街道办事处应当加强水资源的节约和保护工作。第十六条第三款乡（镇）人民政府、街道办事处对本辖区内分散式饮用水水源的水污染防治实施监督管理。第十八条分散式饮用水源保护范围内禁止下列行为：（一）新建厕所、化粪池；（二）设立粪便、生活垃圾的收集、转运站，堆放医疗垃圾，设立有毒有害化学品仓库、堆栈；（三）施用高残留、高毒农药；（四）从事规模畜禽养殖、网箱网栏养殖；（五）排放工业污水；（六）其他污染饮用水水体的行为。第三十九条 有本条例第十八条所列行为之一的，由当地乡（镇）人民政府、街道办事处责令限期改正或者采取补救措施；逾期不履行的，对个人处二百元以上五百元以下罚款，对单位处五千元以上二万元以下罚款。</w:t>
            </w:r>
          </w:p>
        </w:tc>
        <w:tc>
          <w:tcPr>
            <w:tcW w:w="875" w:type="pct"/>
            <w:tcBorders>
              <w:top w:val="single" w:color="000000" w:sz="4" w:space="0"/>
              <w:left w:val="single" w:color="000000" w:sz="4" w:space="0"/>
              <w:bottom w:val="single" w:color="000000" w:sz="4" w:space="0"/>
              <w:right w:val="single" w:color="000000" w:sz="4" w:space="0"/>
            </w:tcBorders>
            <w:vAlign w:val="center"/>
          </w:tcPr>
          <w:p w14:paraId="5AB3C00D">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违法设定行政许可、行政征收、行政处罚、行政强制等行政权项的； </w:t>
            </w:r>
          </w:p>
          <w:p w14:paraId="34ED4E6F">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违反法定权限、程序和时限实施行政执法的； </w:t>
            </w:r>
          </w:p>
          <w:p w14:paraId="109200C5">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xml:space="preserve">. 强制、误导服务对象接受无法律依据的前置培训、检查检测（验）、勘验鉴定、评估评价，或者强行推销物品、搭车收费以及谋取其它私利的； </w:t>
            </w:r>
          </w:p>
          <w:p w14:paraId="145BE7C1">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4</w:t>
            </w:r>
            <w:r>
              <w:rPr>
                <w:rFonts w:hint="eastAsia" w:ascii="方正仿宋_GBK" w:hAnsi="方正仿宋_GBK" w:cs="方正仿宋_GBK"/>
                <w:color w:val="000000" w:themeColor="text1"/>
                <w:kern w:val="0"/>
                <w:sz w:val="13"/>
                <w:szCs w:val="13"/>
              </w:rPr>
              <w:t xml:space="preserve">. 利用职权乱收费、乱检查、乱摊派、乱罚款和“吃、拿、卡、要”的； </w:t>
            </w:r>
          </w:p>
          <w:p w14:paraId="0D0E734C">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5</w:t>
            </w:r>
            <w:r>
              <w:rPr>
                <w:rFonts w:hint="eastAsia" w:ascii="方正仿宋_GBK" w:hAnsi="方正仿宋_GBK" w:cs="方正仿宋_GBK"/>
                <w:color w:val="000000" w:themeColor="text1"/>
                <w:kern w:val="0"/>
                <w:sz w:val="13"/>
                <w:szCs w:val="13"/>
              </w:rPr>
              <w:t xml:space="preserve">. 未实行罚缴分离和违反收支两条线管理规定的； </w:t>
            </w:r>
          </w:p>
          <w:p w14:paraId="5D35731A">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6</w:t>
            </w:r>
            <w:r>
              <w:rPr>
                <w:rFonts w:hint="eastAsia" w:ascii="方正仿宋_GBK" w:hAnsi="方正仿宋_GBK" w:cs="方正仿宋_GBK"/>
                <w:color w:val="000000" w:themeColor="text1"/>
                <w:kern w:val="0"/>
                <w:sz w:val="13"/>
                <w:szCs w:val="13"/>
              </w:rPr>
              <w:t xml:space="preserve">. 发现违法行为而隐瞒、包庇、袒护、纵容、未制止和不纠正或对应当依法移送司法机关而不移送的； </w:t>
            </w:r>
          </w:p>
          <w:p w14:paraId="706E4997">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7</w:t>
            </w:r>
            <w:r>
              <w:rPr>
                <w:rFonts w:hint="eastAsia" w:ascii="方正仿宋_GBK" w:hAnsi="方正仿宋_GBK" w:cs="方正仿宋_GBK"/>
                <w:color w:val="000000" w:themeColor="text1"/>
                <w:kern w:val="0"/>
                <w:sz w:val="13"/>
                <w:szCs w:val="13"/>
              </w:rPr>
              <w:t>. 实施具体行政行为，损害行政管理相对人的合法权益而被提起行政复议或行政诉讼又被撤销或败诉的。</w:t>
            </w:r>
          </w:p>
        </w:tc>
        <w:tc>
          <w:tcPr>
            <w:tcW w:w="1569" w:type="pct"/>
            <w:tcBorders>
              <w:top w:val="single" w:color="000000" w:sz="4" w:space="0"/>
              <w:left w:val="single" w:color="000000" w:sz="4" w:space="0"/>
              <w:bottom w:val="single" w:color="000000" w:sz="4" w:space="0"/>
              <w:right w:val="single" w:color="000000" w:sz="4" w:space="0"/>
            </w:tcBorders>
            <w:vAlign w:val="center"/>
          </w:tcPr>
          <w:p w14:paraId="032B946E">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《重庆市水资源管理条例》第三十八条第一款第（四）项 其他不依法履行法定职责的。第三十八条第二款 前款所列单位的工作人员在行使职权时侵犯组织或者个人合法权益，造成损害，当事人要求赔偿的，违法行为人所在单位应当依法赔偿。 </w:t>
            </w:r>
          </w:p>
          <w:p w14:paraId="01BE2F84">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《中华人民共和国行政处罚法》第七十六条、第七十七条、第七十八条、第七十九条、第八十条、第八十一条、第八十二条、第八十三条。 </w:t>
            </w:r>
          </w:p>
          <w:p w14:paraId="147BE4F1">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85" w:type="pct"/>
            <w:tcBorders>
              <w:top w:val="single" w:color="000000" w:sz="4" w:space="0"/>
              <w:left w:val="single" w:color="000000" w:sz="4" w:space="0"/>
              <w:bottom w:val="single" w:color="000000" w:sz="4" w:space="0"/>
              <w:right w:val="single" w:color="000000" w:sz="4" w:space="0"/>
            </w:tcBorders>
            <w:vAlign w:val="center"/>
          </w:tcPr>
          <w:p w14:paraId="2D4D93A2">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生态环境局</w:t>
            </w:r>
          </w:p>
        </w:tc>
      </w:tr>
      <w:tr w14:paraId="5239798E">
        <w:tblPrEx>
          <w:tblCellMar>
            <w:top w:w="0" w:type="dxa"/>
            <w:left w:w="57" w:type="dxa"/>
            <w:bottom w:w="0" w:type="dxa"/>
            <w:right w:w="57" w:type="dxa"/>
          </w:tblCellMar>
        </w:tblPrEx>
        <w:trPr>
          <w:cantSplit/>
          <w:trHeight w:val="4602"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5813E3C7">
            <w:pPr>
              <w:pStyle w:val="3"/>
              <w:spacing w:line="200" w:lineRule="atLeast"/>
              <w:jc w:val="both"/>
              <w:rPr>
                <w:color w:val="000000" w:themeColor="text1"/>
                <w:sz w:val="13"/>
                <w:szCs w:val="13"/>
              </w:rPr>
            </w:pPr>
            <w:r>
              <w:rPr>
                <w:rFonts w:hint="eastAsia"/>
                <w:b w:val="0"/>
                <w:bCs w:val="0"/>
                <w:color w:val="000000" w:themeColor="text1"/>
                <w:sz w:val="13"/>
                <w:szCs w:val="13"/>
              </w:rPr>
              <w:t>10</w:t>
            </w:r>
          </w:p>
        </w:tc>
        <w:tc>
          <w:tcPr>
            <w:tcW w:w="233" w:type="pct"/>
            <w:tcBorders>
              <w:top w:val="single" w:color="000000" w:sz="4" w:space="0"/>
              <w:left w:val="single" w:color="000000" w:sz="4" w:space="0"/>
              <w:bottom w:val="single" w:color="000000" w:sz="4" w:space="0"/>
              <w:right w:val="single" w:color="000000" w:sz="4" w:space="0"/>
            </w:tcBorders>
            <w:vAlign w:val="center"/>
          </w:tcPr>
          <w:p w14:paraId="22336547">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对损坏村庄、集镇的房屋、公共设施和破坏村容镇貌、环境卫生的处罚</w:t>
            </w:r>
          </w:p>
        </w:tc>
        <w:tc>
          <w:tcPr>
            <w:tcW w:w="186" w:type="pct"/>
            <w:tcBorders>
              <w:top w:val="single" w:color="000000" w:sz="4" w:space="0"/>
              <w:left w:val="single" w:color="000000" w:sz="4" w:space="0"/>
              <w:bottom w:val="single" w:color="000000" w:sz="4" w:space="0"/>
              <w:right w:val="single" w:color="000000" w:sz="4" w:space="0"/>
            </w:tcBorders>
            <w:vAlign w:val="center"/>
          </w:tcPr>
          <w:p w14:paraId="65AD1648">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851" w:type="pct"/>
            <w:tcBorders>
              <w:top w:val="single" w:color="000000" w:sz="4" w:space="0"/>
              <w:left w:val="single" w:color="000000" w:sz="4" w:space="0"/>
              <w:bottom w:val="single" w:color="000000" w:sz="4" w:space="0"/>
              <w:right w:val="single" w:color="000000" w:sz="4" w:space="0"/>
            </w:tcBorders>
            <w:vAlign w:val="center"/>
          </w:tcPr>
          <w:p w14:paraId="720802C4">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《村庄和集镇规划建设管理条例》第三十九条 有下列行为之一的，由乡级人民政府责令停止侵害，可以处以罚款；造成损失的，并应当赔偿：（一）损坏村庄和集镇的房屋、公共设施的；（二）乱堆粪便、垃圾、柴草，破坏村容镇貌和环境卫生的。 </w:t>
            </w:r>
          </w:p>
          <w:p w14:paraId="0F07B141">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《重庆市村镇规划建设管理条例》第五十条 违反村镇环境卫生和村容镇貌管理的规定，乱堆粪便、垃圾、柴草、杂物的，由村民委员会批评教育，责令改正；拒不改正的，乡（镇）人民政府可以处五百元以下罚款。破坏绿化、损毁古树名木，或者有其他破坏村容镇貌和环境卫生行为的，由乡（镇）人民政府或者有关主管部门责令改正，依照法律、法规的规定处以罚款；造成损失的，应当依法赔偿。</w:t>
            </w:r>
          </w:p>
        </w:tc>
        <w:tc>
          <w:tcPr>
            <w:tcW w:w="875" w:type="pct"/>
            <w:tcBorders>
              <w:top w:val="single" w:color="000000" w:sz="4" w:space="0"/>
              <w:left w:val="single" w:color="000000" w:sz="4" w:space="0"/>
              <w:bottom w:val="single" w:color="000000" w:sz="4" w:space="0"/>
              <w:right w:val="single" w:color="000000" w:sz="4" w:space="0"/>
            </w:tcBorders>
            <w:vAlign w:val="center"/>
          </w:tcPr>
          <w:p w14:paraId="1EF198C2">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违法设定行政许可、行政征收、行政处罚、行政强制等行政权项的； </w:t>
            </w:r>
          </w:p>
          <w:p w14:paraId="6B0486E4">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违反法定权限、程序和时限实施行政执法的； </w:t>
            </w:r>
          </w:p>
          <w:p w14:paraId="5B61468A">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xml:space="preserve">. 强制、误导服务对象接受无法律依据的前置培训、检查检测（验）、勘验鉴定、评估评价，或者强行推销物品、搭车收费以及谋取其它私利的； </w:t>
            </w:r>
          </w:p>
          <w:p w14:paraId="08F5CA0A">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4</w:t>
            </w:r>
            <w:r>
              <w:rPr>
                <w:rFonts w:hint="eastAsia" w:ascii="方正仿宋_GBK" w:hAnsi="方正仿宋_GBK" w:cs="方正仿宋_GBK"/>
                <w:color w:val="000000" w:themeColor="text1"/>
                <w:kern w:val="0"/>
                <w:sz w:val="13"/>
                <w:szCs w:val="13"/>
              </w:rPr>
              <w:t xml:space="preserve">. 利用职权乱收费、乱检查、乱摊派、乱罚款和“吃、拿、卡、要”的； </w:t>
            </w:r>
          </w:p>
          <w:p w14:paraId="42E59FA6">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5</w:t>
            </w:r>
            <w:r>
              <w:rPr>
                <w:rFonts w:hint="eastAsia" w:ascii="方正仿宋_GBK" w:hAnsi="方正仿宋_GBK" w:cs="方正仿宋_GBK"/>
                <w:color w:val="000000" w:themeColor="text1"/>
                <w:kern w:val="0"/>
                <w:sz w:val="13"/>
                <w:szCs w:val="13"/>
              </w:rPr>
              <w:t xml:space="preserve">. 未实行罚缴分离和违反收支两条线管理规定的； </w:t>
            </w:r>
          </w:p>
          <w:p w14:paraId="79FE05AB">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6</w:t>
            </w:r>
            <w:r>
              <w:rPr>
                <w:rFonts w:hint="eastAsia" w:ascii="方正仿宋_GBK" w:hAnsi="方正仿宋_GBK" w:cs="方正仿宋_GBK"/>
                <w:color w:val="000000" w:themeColor="text1"/>
                <w:kern w:val="0"/>
                <w:sz w:val="13"/>
                <w:szCs w:val="13"/>
              </w:rPr>
              <w:t xml:space="preserve">. 发现违法行为而隐瞒、包庇、袒护、纵容、未制止和不纠正或对应当依法移送司法机关而不移送的； </w:t>
            </w:r>
          </w:p>
          <w:p w14:paraId="071B7CD9">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7</w:t>
            </w:r>
            <w:r>
              <w:rPr>
                <w:rFonts w:hint="eastAsia" w:ascii="方正仿宋_GBK" w:hAnsi="方正仿宋_GBK" w:cs="方正仿宋_GBK"/>
                <w:color w:val="000000" w:themeColor="text1"/>
                <w:kern w:val="0"/>
                <w:sz w:val="13"/>
                <w:szCs w:val="13"/>
              </w:rPr>
              <w:t>. 实施具体行政行为，损害行政管理相对人的合法权益而被提起行政复议或行政诉讼又被撤销或败诉的。</w:t>
            </w:r>
          </w:p>
        </w:tc>
        <w:tc>
          <w:tcPr>
            <w:tcW w:w="1569" w:type="pct"/>
            <w:tcBorders>
              <w:top w:val="single" w:color="000000" w:sz="4" w:space="0"/>
              <w:left w:val="single" w:color="000000" w:sz="4" w:space="0"/>
              <w:bottom w:val="single" w:color="000000" w:sz="4" w:space="0"/>
              <w:right w:val="single" w:color="000000" w:sz="4" w:space="0"/>
            </w:tcBorders>
            <w:vAlign w:val="center"/>
          </w:tcPr>
          <w:p w14:paraId="6102334A">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《重庆市村镇规划建设管理条例》第五十一条 村镇规划、建设和管理人员滥用职权、玩忽职守或者徇私舞弊的，依法给予处分；构成犯罪的，依法追究刑事责任。 </w:t>
            </w:r>
          </w:p>
          <w:p w14:paraId="41CAF773">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《中华人民共和国行政处罚法》第七十六条、第七十七条、第七十八条、第七十九条、第八十条、第八十一条、第八十二条、第八十三条。 </w:t>
            </w:r>
          </w:p>
          <w:p w14:paraId="2A217A62">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《行政机关公务员处分条例》第二十三条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85" w:type="pct"/>
            <w:tcBorders>
              <w:top w:val="single" w:color="000000" w:sz="4" w:space="0"/>
              <w:left w:val="single" w:color="000000" w:sz="4" w:space="0"/>
              <w:bottom w:val="single" w:color="000000" w:sz="4" w:space="0"/>
              <w:right w:val="single" w:color="000000" w:sz="4" w:space="0"/>
            </w:tcBorders>
            <w:vAlign w:val="center"/>
          </w:tcPr>
          <w:p w14:paraId="5905F941">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城市管理局</w:t>
            </w:r>
          </w:p>
        </w:tc>
      </w:tr>
      <w:tr w14:paraId="2C7C206D">
        <w:tblPrEx>
          <w:tblCellMar>
            <w:top w:w="0" w:type="dxa"/>
            <w:left w:w="57" w:type="dxa"/>
            <w:bottom w:w="0" w:type="dxa"/>
            <w:right w:w="57" w:type="dxa"/>
          </w:tblCellMar>
        </w:tblPrEx>
        <w:trPr>
          <w:cantSplit/>
          <w:trHeight w:val="8630"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413EF022">
            <w:pPr>
              <w:widowControl/>
              <w:adjustRightInd w:val="0"/>
              <w:snapToGrid w:val="0"/>
              <w:spacing w:line="200" w:lineRule="atLeast"/>
              <w:textAlignment w:val="bottom"/>
              <w:rPr>
                <w:rFonts w:ascii="方正仿宋_GBK" w:hAnsi="方正仿宋_GBK" w:cs="方正仿宋_GBK"/>
                <w:color w:val="000000" w:themeColor="text1"/>
                <w:sz w:val="13"/>
                <w:szCs w:val="13"/>
              </w:rPr>
            </w:pPr>
            <w:r>
              <w:rPr>
                <w:color w:val="000000" w:themeColor="text1"/>
                <w:kern w:val="0"/>
                <w:sz w:val="13"/>
                <w:szCs w:val="13"/>
              </w:rPr>
              <w:t>1</w:t>
            </w:r>
            <w:r>
              <w:rPr>
                <w:rFonts w:hint="eastAsia"/>
                <w:color w:val="000000" w:themeColor="text1"/>
                <w:kern w:val="0"/>
                <w:sz w:val="13"/>
                <w:szCs w:val="13"/>
              </w:rPr>
              <w:t>1</w:t>
            </w:r>
          </w:p>
        </w:tc>
        <w:tc>
          <w:tcPr>
            <w:tcW w:w="233" w:type="pct"/>
            <w:tcBorders>
              <w:top w:val="single" w:color="000000" w:sz="4" w:space="0"/>
              <w:left w:val="single" w:color="000000" w:sz="4" w:space="0"/>
              <w:bottom w:val="single" w:color="000000" w:sz="4" w:space="0"/>
              <w:right w:val="single" w:color="000000" w:sz="4" w:space="0"/>
            </w:tcBorders>
            <w:vAlign w:val="center"/>
          </w:tcPr>
          <w:p w14:paraId="54EF93B2">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对在村道建筑控制区内修建、扩建建筑物、地面构筑物的处罚</w:t>
            </w:r>
          </w:p>
        </w:tc>
        <w:tc>
          <w:tcPr>
            <w:tcW w:w="186" w:type="pct"/>
            <w:tcBorders>
              <w:top w:val="single" w:color="000000" w:sz="4" w:space="0"/>
              <w:left w:val="single" w:color="000000" w:sz="4" w:space="0"/>
              <w:bottom w:val="single" w:color="000000" w:sz="4" w:space="0"/>
              <w:right w:val="single" w:color="000000" w:sz="4" w:space="0"/>
            </w:tcBorders>
            <w:vAlign w:val="center"/>
          </w:tcPr>
          <w:p w14:paraId="25710B82">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851" w:type="pct"/>
            <w:tcBorders>
              <w:top w:val="single" w:color="000000" w:sz="4" w:space="0"/>
              <w:left w:val="single" w:color="000000" w:sz="4" w:space="0"/>
              <w:bottom w:val="single" w:color="000000" w:sz="4" w:space="0"/>
              <w:right w:val="single" w:color="000000" w:sz="4" w:space="0"/>
            </w:tcBorders>
            <w:vAlign w:val="center"/>
          </w:tcPr>
          <w:p w14:paraId="153D2923">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《重庆市公路管理条例》第五十九条 在村道建筑控制区内修建、扩建建筑物、地面构筑物的，由乡（镇）人民政府、街道办事处责令限期拆除；逾期不拆除的，处三千元以上三万元以下罚款。</w:t>
            </w:r>
          </w:p>
        </w:tc>
        <w:tc>
          <w:tcPr>
            <w:tcW w:w="875" w:type="pct"/>
            <w:tcBorders>
              <w:top w:val="single" w:color="000000" w:sz="4" w:space="0"/>
              <w:left w:val="single" w:color="000000" w:sz="4" w:space="0"/>
              <w:bottom w:val="single" w:color="000000" w:sz="4" w:space="0"/>
              <w:right w:val="single" w:color="000000" w:sz="4" w:space="0"/>
            </w:tcBorders>
            <w:vAlign w:val="center"/>
          </w:tcPr>
          <w:p w14:paraId="781C6278">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违反《重庆市公路管理条例》的情形：交通运输主管部门、公路管理机构以及其他相关部门的国家工作人员在公路管理工作中滥用职权、玩忽职守或者徇私舞弊的。 </w:t>
            </w:r>
          </w:p>
          <w:p w14:paraId="07AD2535">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14:paraId="11BE18F6">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违反《公务员法》、《监察法》、《行政机关公务员处分条例》等的追责情形。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3D667688">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《重庆市公路管理条例》第六十九条。 </w:t>
            </w:r>
          </w:p>
          <w:p w14:paraId="6F7A23B8">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《行政处罚法》第七十六条、第七十七条、第七十八条、第七十九条、第八十条、第八十一条、第八十二条、第八十三条。 </w:t>
            </w:r>
          </w:p>
          <w:p w14:paraId="2B625D1B">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《公务员法》、《监察法》、《行政机关公务员处分条例》等法律、法规及规章。</w:t>
            </w:r>
          </w:p>
        </w:tc>
        <w:tc>
          <w:tcPr>
            <w:tcW w:w="185" w:type="pct"/>
            <w:tcBorders>
              <w:top w:val="single" w:color="000000" w:sz="4" w:space="0"/>
              <w:left w:val="single" w:color="000000" w:sz="4" w:space="0"/>
              <w:bottom w:val="single" w:color="000000" w:sz="4" w:space="0"/>
              <w:right w:val="single" w:color="000000" w:sz="4" w:space="0"/>
            </w:tcBorders>
            <w:vAlign w:val="center"/>
          </w:tcPr>
          <w:p w14:paraId="57392B13">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交通局</w:t>
            </w:r>
          </w:p>
        </w:tc>
      </w:tr>
      <w:tr w14:paraId="55F67502">
        <w:tblPrEx>
          <w:tblCellMar>
            <w:top w:w="0" w:type="dxa"/>
            <w:left w:w="57" w:type="dxa"/>
            <w:bottom w:w="0" w:type="dxa"/>
            <w:right w:w="57" w:type="dxa"/>
          </w:tblCellMar>
        </w:tblPrEx>
        <w:trPr>
          <w:cantSplit/>
          <w:trHeight w:val="8667"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1E38045B">
            <w:pPr>
              <w:widowControl/>
              <w:adjustRightInd w:val="0"/>
              <w:snapToGrid w:val="0"/>
              <w:spacing w:line="200" w:lineRule="atLeast"/>
              <w:textAlignment w:val="bottom"/>
              <w:rPr>
                <w:rFonts w:ascii="方正仿宋_GBK" w:hAnsi="方正仿宋_GBK" w:cs="方正仿宋_GBK"/>
                <w:color w:val="000000" w:themeColor="text1"/>
                <w:sz w:val="13"/>
                <w:szCs w:val="13"/>
              </w:rPr>
            </w:pPr>
            <w:r>
              <w:rPr>
                <w:color w:val="000000" w:themeColor="text1"/>
                <w:kern w:val="0"/>
                <w:sz w:val="13"/>
                <w:szCs w:val="13"/>
              </w:rPr>
              <w:t>1</w:t>
            </w:r>
            <w:r>
              <w:rPr>
                <w:rFonts w:hint="eastAsia"/>
                <w:color w:val="000000" w:themeColor="text1"/>
                <w:kern w:val="0"/>
                <w:sz w:val="13"/>
                <w:szCs w:val="13"/>
              </w:rPr>
              <w:t>2</w:t>
            </w:r>
          </w:p>
        </w:tc>
        <w:tc>
          <w:tcPr>
            <w:tcW w:w="233" w:type="pct"/>
            <w:tcBorders>
              <w:top w:val="single" w:color="000000" w:sz="4" w:space="0"/>
              <w:left w:val="single" w:color="000000" w:sz="4" w:space="0"/>
              <w:bottom w:val="single" w:color="000000" w:sz="4" w:space="0"/>
              <w:right w:val="single" w:color="000000" w:sz="4" w:space="0"/>
            </w:tcBorders>
            <w:vAlign w:val="center"/>
          </w:tcPr>
          <w:p w14:paraId="74EC1F11">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对违反《重庆市公路管理条例》的处罚（涉及村道）</w:t>
            </w:r>
          </w:p>
        </w:tc>
        <w:tc>
          <w:tcPr>
            <w:tcW w:w="186" w:type="pct"/>
            <w:tcBorders>
              <w:top w:val="single" w:color="000000" w:sz="4" w:space="0"/>
              <w:left w:val="single" w:color="000000" w:sz="4" w:space="0"/>
              <w:bottom w:val="single" w:color="000000" w:sz="4" w:space="0"/>
              <w:right w:val="single" w:color="000000" w:sz="4" w:space="0"/>
            </w:tcBorders>
            <w:vAlign w:val="center"/>
          </w:tcPr>
          <w:p w14:paraId="3CEAB947">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851" w:type="pct"/>
            <w:tcBorders>
              <w:top w:val="single" w:color="000000" w:sz="4" w:space="0"/>
              <w:left w:val="single" w:color="000000" w:sz="4" w:space="0"/>
              <w:bottom w:val="single" w:color="000000" w:sz="4" w:space="0"/>
              <w:right w:val="single" w:color="000000" w:sz="4" w:space="0"/>
            </w:tcBorders>
            <w:vAlign w:val="center"/>
          </w:tcPr>
          <w:p w14:paraId="6F35C4C5">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《重庆市公路管理条例》第七十条  本条例规定的行政处罚，涉及国道、省道、县道的，由区县（自治县）公路管理机构负责实施；涉及乡道的，由公路管理机构委托乡（镇）人民政府、街道办事处实施；涉及村道的，由乡（镇）人民政府、街道办事处负责实施；涉及交通综合行政执法改革的，由交通综合行政执法机构负责实施。</w:t>
            </w:r>
          </w:p>
        </w:tc>
        <w:tc>
          <w:tcPr>
            <w:tcW w:w="875" w:type="pct"/>
            <w:tcBorders>
              <w:top w:val="single" w:color="000000" w:sz="4" w:space="0"/>
              <w:left w:val="single" w:color="000000" w:sz="4" w:space="0"/>
              <w:bottom w:val="single" w:color="000000" w:sz="4" w:space="0"/>
              <w:right w:val="single" w:color="000000" w:sz="4" w:space="0"/>
            </w:tcBorders>
            <w:vAlign w:val="center"/>
          </w:tcPr>
          <w:p w14:paraId="796ED65F">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违反《重庆市公路管理条例》的情形：交通运输主管部门、公路管理机构以及其他相关部门的国家工作人员在公路管理工作中滥用职权、玩忽职守或者徇私舞弊的。 </w:t>
            </w:r>
          </w:p>
          <w:p w14:paraId="2151BAD4">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14:paraId="261E0284">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违反《公务员法》、《监察法》、《行政机关公务员处分条例》等的追责情形。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7A74A6CC">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《重庆市公路管理条例》第六十九条。 </w:t>
            </w:r>
          </w:p>
          <w:p w14:paraId="50167812">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《行政处罚法》第七十六条、第七十七条、第七十八条、第七十九条、第八十条、第八十一条、第八十二条、第八十三条。 </w:t>
            </w:r>
          </w:p>
          <w:p w14:paraId="63A337B7">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《公务员法》、《监察法》、《行政机关公务员处分条例》等法律、法规及规章。</w:t>
            </w:r>
          </w:p>
        </w:tc>
        <w:tc>
          <w:tcPr>
            <w:tcW w:w="185" w:type="pct"/>
            <w:tcBorders>
              <w:top w:val="single" w:color="000000" w:sz="4" w:space="0"/>
              <w:left w:val="single" w:color="000000" w:sz="4" w:space="0"/>
              <w:bottom w:val="single" w:color="000000" w:sz="4" w:space="0"/>
              <w:right w:val="single" w:color="000000" w:sz="4" w:space="0"/>
            </w:tcBorders>
            <w:vAlign w:val="center"/>
          </w:tcPr>
          <w:p w14:paraId="51D51923">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交通局</w:t>
            </w:r>
          </w:p>
        </w:tc>
      </w:tr>
      <w:tr w14:paraId="3EA9C5F5">
        <w:tblPrEx>
          <w:tblCellMar>
            <w:top w:w="0" w:type="dxa"/>
            <w:left w:w="57" w:type="dxa"/>
            <w:bottom w:w="0" w:type="dxa"/>
            <w:right w:w="57" w:type="dxa"/>
          </w:tblCellMar>
        </w:tblPrEx>
        <w:trPr>
          <w:cantSplit/>
          <w:trHeight w:val="8681"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1A30357E">
            <w:pPr>
              <w:widowControl/>
              <w:adjustRightInd w:val="0"/>
              <w:snapToGrid w:val="0"/>
              <w:spacing w:line="200" w:lineRule="atLeast"/>
              <w:textAlignment w:val="bottom"/>
              <w:rPr>
                <w:rFonts w:ascii="方正仿宋_GBK" w:hAnsi="方正仿宋_GBK" w:cs="方正仿宋_GBK"/>
                <w:color w:val="000000" w:themeColor="text1"/>
                <w:sz w:val="13"/>
                <w:szCs w:val="13"/>
              </w:rPr>
            </w:pPr>
            <w:r>
              <w:rPr>
                <w:color w:val="000000" w:themeColor="text1"/>
                <w:kern w:val="0"/>
                <w:sz w:val="13"/>
                <w:szCs w:val="13"/>
              </w:rPr>
              <w:t>1</w:t>
            </w:r>
            <w:r>
              <w:rPr>
                <w:rFonts w:hint="eastAsia"/>
                <w:color w:val="000000" w:themeColor="text1"/>
                <w:kern w:val="0"/>
                <w:sz w:val="13"/>
                <w:szCs w:val="13"/>
              </w:rPr>
              <w:t>3</w:t>
            </w:r>
          </w:p>
        </w:tc>
        <w:tc>
          <w:tcPr>
            <w:tcW w:w="233" w:type="pct"/>
            <w:tcBorders>
              <w:top w:val="single" w:color="000000" w:sz="4" w:space="0"/>
              <w:left w:val="single" w:color="000000" w:sz="4" w:space="0"/>
              <w:bottom w:val="single" w:color="000000" w:sz="4" w:space="0"/>
              <w:right w:val="single" w:color="000000" w:sz="4" w:space="0"/>
            </w:tcBorders>
            <w:vAlign w:val="center"/>
          </w:tcPr>
          <w:p w14:paraId="5C011D4B">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对新建供水工程未经批准的处罚</w:t>
            </w:r>
          </w:p>
        </w:tc>
        <w:tc>
          <w:tcPr>
            <w:tcW w:w="186" w:type="pct"/>
            <w:tcBorders>
              <w:top w:val="single" w:color="000000" w:sz="4" w:space="0"/>
              <w:left w:val="single" w:color="000000" w:sz="4" w:space="0"/>
              <w:bottom w:val="single" w:color="000000" w:sz="4" w:space="0"/>
              <w:right w:val="single" w:color="000000" w:sz="4" w:space="0"/>
            </w:tcBorders>
            <w:vAlign w:val="center"/>
          </w:tcPr>
          <w:p w14:paraId="4C99DD34">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851" w:type="pct"/>
            <w:tcBorders>
              <w:top w:val="single" w:color="000000" w:sz="4" w:space="0"/>
              <w:left w:val="single" w:color="000000" w:sz="4" w:space="0"/>
              <w:bottom w:val="single" w:color="000000" w:sz="4" w:space="0"/>
              <w:right w:val="single" w:color="000000" w:sz="4" w:space="0"/>
            </w:tcBorders>
            <w:vAlign w:val="center"/>
          </w:tcPr>
          <w:p w14:paraId="0F0BCF55">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《重庆市村镇供水条例》第四十八条 违反本条例规定，新建村镇供水工程未经批准，但符合村镇供水规划的，应当责令建设单位或者个人补办审批手续，可以处两千元以上两万元以下罚款。违反本条例规定，有下列情形之一的，责令限期拆除，可以处一万元以上十万元以下罚款：（一）新建村镇供水工程未经批准，且不符合村镇供水规划的；（二）在规模化供水覆盖区域内，新建经营性的供水工程或者供水设施的；（三）企业事业单位在规模化供水覆盖区域内，新建用于生活用水的自备水厂或者供水设施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875" w:type="pct"/>
            <w:tcBorders>
              <w:top w:val="single" w:color="000000" w:sz="4" w:space="0"/>
              <w:left w:val="single" w:color="000000" w:sz="4" w:space="0"/>
              <w:bottom w:val="single" w:color="000000" w:sz="4" w:space="0"/>
              <w:right w:val="single" w:color="000000" w:sz="4" w:space="0"/>
            </w:tcBorders>
            <w:vAlign w:val="center"/>
          </w:tcPr>
          <w:p w14:paraId="13F69FE1">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违反《重庆市村镇供水条例》的情形：在村镇供水监督管理和检测工作中滥用职权、玩忽职守或者徇私舞弊的。 </w:t>
            </w:r>
          </w:p>
          <w:p w14:paraId="0F03E03F">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14:paraId="56EAFAA5">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3. 违反《公务员法》、《监察法》、《行政机关公务员处分条例》等的追责情形。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70F06B64">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《重庆市村镇供水条例》第五十四条。 </w:t>
            </w:r>
          </w:p>
          <w:p w14:paraId="0EC9BD9D">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《行政处罚法》第七十六条、第七十七条、第七十八条、第七十九条、第八十条、第八十一条、第八十二条、第八十三条。 </w:t>
            </w:r>
          </w:p>
          <w:p w14:paraId="6A8C193C">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《公务员法》、《监察法》、《行政机关公务员处分条例》等法律、法规及规章。</w:t>
            </w:r>
          </w:p>
        </w:tc>
        <w:tc>
          <w:tcPr>
            <w:tcW w:w="185" w:type="pct"/>
            <w:tcBorders>
              <w:top w:val="single" w:color="000000" w:sz="4" w:space="0"/>
              <w:left w:val="single" w:color="000000" w:sz="4" w:space="0"/>
              <w:bottom w:val="single" w:color="000000" w:sz="4" w:space="0"/>
              <w:right w:val="single" w:color="000000" w:sz="4" w:space="0"/>
            </w:tcBorders>
            <w:vAlign w:val="center"/>
          </w:tcPr>
          <w:p w14:paraId="57E3CDD8">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水利局</w:t>
            </w:r>
          </w:p>
        </w:tc>
      </w:tr>
      <w:tr w14:paraId="009EA2AC">
        <w:tblPrEx>
          <w:tblCellMar>
            <w:top w:w="0" w:type="dxa"/>
            <w:left w:w="57" w:type="dxa"/>
            <w:bottom w:w="0" w:type="dxa"/>
            <w:right w:w="57" w:type="dxa"/>
          </w:tblCellMar>
        </w:tblPrEx>
        <w:trPr>
          <w:cantSplit/>
          <w:trHeight w:val="8736"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7BEEE8A3">
            <w:pPr>
              <w:widowControl/>
              <w:adjustRightInd w:val="0"/>
              <w:snapToGrid w:val="0"/>
              <w:spacing w:line="200" w:lineRule="atLeast"/>
              <w:textAlignment w:val="bottom"/>
              <w:rPr>
                <w:rFonts w:ascii="方正仿宋_GBK" w:hAnsi="方正仿宋_GBK" w:cs="方正仿宋_GBK"/>
                <w:color w:val="000000" w:themeColor="text1"/>
                <w:sz w:val="13"/>
                <w:szCs w:val="13"/>
              </w:rPr>
            </w:pPr>
            <w:r>
              <w:rPr>
                <w:color w:val="000000" w:themeColor="text1"/>
                <w:kern w:val="0"/>
                <w:sz w:val="13"/>
                <w:szCs w:val="13"/>
              </w:rPr>
              <w:t>1</w:t>
            </w:r>
            <w:r>
              <w:rPr>
                <w:rFonts w:hint="eastAsia"/>
                <w:color w:val="000000" w:themeColor="text1"/>
                <w:kern w:val="0"/>
                <w:sz w:val="13"/>
                <w:szCs w:val="13"/>
              </w:rPr>
              <w:t>4</w:t>
            </w:r>
          </w:p>
        </w:tc>
        <w:tc>
          <w:tcPr>
            <w:tcW w:w="233" w:type="pct"/>
            <w:tcBorders>
              <w:top w:val="single" w:color="000000" w:sz="4" w:space="0"/>
              <w:left w:val="single" w:color="000000" w:sz="4" w:space="0"/>
              <w:bottom w:val="single" w:color="000000" w:sz="4" w:space="0"/>
              <w:right w:val="single" w:color="000000" w:sz="4" w:space="0"/>
            </w:tcBorders>
            <w:vAlign w:val="center"/>
          </w:tcPr>
          <w:p w14:paraId="059E2126">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对供水单位规模化供水水质不符合国家生活饮用水卫生标准的处罚</w:t>
            </w:r>
          </w:p>
        </w:tc>
        <w:tc>
          <w:tcPr>
            <w:tcW w:w="186" w:type="pct"/>
            <w:tcBorders>
              <w:top w:val="single" w:color="000000" w:sz="4" w:space="0"/>
              <w:left w:val="single" w:color="000000" w:sz="4" w:space="0"/>
              <w:bottom w:val="single" w:color="000000" w:sz="4" w:space="0"/>
              <w:right w:val="single" w:color="000000" w:sz="4" w:space="0"/>
            </w:tcBorders>
            <w:vAlign w:val="center"/>
          </w:tcPr>
          <w:p w14:paraId="3E9BBE34">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851" w:type="pct"/>
            <w:tcBorders>
              <w:top w:val="single" w:color="000000" w:sz="4" w:space="0"/>
              <w:left w:val="single" w:color="000000" w:sz="4" w:space="0"/>
              <w:bottom w:val="single" w:color="000000" w:sz="4" w:space="0"/>
              <w:right w:val="single" w:color="000000" w:sz="4" w:space="0"/>
            </w:tcBorders>
            <w:vAlign w:val="center"/>
          </w:tcPr>
          <w:p w14:paraId="65FC81A2">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《重庆市村镇供水条例》第四十九条 违反本条例规定，规模化供水水质不符合国家生活饮用水卫生标准的，责令限期整改；逾期不整改或者整改后仍不合格的，处三千元以上三万元以下罚款。第五十三条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875" w:type="pct"/>
            <w:tcBorders>
              <w:top w:val="single" w:color="000000" w:sz="4" w:space="0"/>
              <w:left w:val="single" w:color="000000" w:sz="4" w:space="0"/>
              <w:bottom w:val="single" w:color="000000" w:sz="4" w:space="0"/>
              <w:right w:val="single" w:color="000000" w:sz="4" w:space="0"/>
            </w:tcBorders>
            <w:vAlign w:val="center"/>
          </w:tcPr>
          <w:p w14:paraId="5E33479A">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违反《重庆市村镇供水条例》的情形：在村镇供水监督管理和检测工作中滥用职权、玩忽职守或者徇私舞弊的。 </w:t>
            </w:r>
          </w:p>
          <w:p w14:paraId="5AF361C4">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14:paraId="15BD5454">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违反《公务员法》、《监察法》、《行政机关公务员处分条例》等的追责情形。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18E28BCD">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《重庆市村镇供水条例》第五十四条。 </w:t>
            </w:r>
          </w:p>
          <w:p w14:paraId="74F21774">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《行政处罚法》第七十六条、第七十七条、第七十八条、第七十九条、第八十条、第八十一条、第八十二条、第八十三条。 </w:t>
            </w:r>
          </w:p>
          <w:p w14:paraId="0C74C209">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《公务员法》、《监察法》、《行政机关公务员处分条例》等法律、法规及规章。</w:t>
            </w:r>
          </w:p>
        </w:tc>
        <w:tc>
          <w:tcPr>
            <w:tcW w:w="185" w:type="pct"/>
            <w:tcBorders>
              <w:top w:val="single" w:color="000000" w:sz="4" w:space="0"/>
              <w:left w:val="single" w:color="000000" w:sz="4" w:space="0"/>
              <w:bottom w:val="single" w:color="000000" w:sz="4" w:space="0"/>
              <w:right w:val="single" w:color="000000" w:sz="4" w:space="0"/>
            </w:tcBorders>
            <w:vAlign w:val="center"/>
          </w:tcPr>
          <w:p w14:paraId="4A54C8CF">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水利局</w:t>
            </w:r>
          </w:p>
        </w:tc>
      </w:tr>
      <w:tr w14:paraId="2A0BE6AF">
        <w:tblPrEx>
          <w:tblCellMar>
            <w:top w:w="0" w:type="dxa"/>
            <w:left w:w="57" w:type="dxa"/>
            <w:bottom w:w="0" w:type="dxa"/>
            <w:right w:w="57" w:type="dxa"/>
          </w:tblCellMar>
        </w:tblPrEx>
        <w:trPr>
          <w:cantSplit/>
          <w:trHeight w:val="8793"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1787B6F4">
            <w:pPr>
              <w:widowControl/>
              <w:adjustRightInd w:val="0"/>
              <w:snapToGrid w:val="0"/>
              <w:spacing w:line="200" w:lineRule="atLeast"/>
              <w:textAlignment w:val="bottom"/>
              <w:rPr>
                <w:rFonts w:ascii="方正仿宋_GBK" w:hAnsi="方正仿宋_GBK" w:cs="方正仿宋_GBK"/>
                <w:color w:val="000000" w:themeColor="text1"/>
                <w:sz w:val="13"/>
                <w:szCs w:val="13"/>
              </w:rPr>
            </w:pPr>
            <w:r>
              <w:rPr>
                <w:color w:val="000000" w:themeColor="text1"/>
                <w:kern w:val="0"/>
                <w:sz w:val="13"/>
                <w:szCs w:val="13"/>
              </w:rPr>
              <w:t>1</w:t>
            </w:r>
            <w:r>
              <w:rPr>
                <w:rFonts w:hint="eastAsia"/>
                <w:color w:val="000000" w:themeColor="text1"/>
                <w:kern w:val="0"/>
                <w:sz w:val="13"/>
                <w:szCs w:val="13"/>
              </w:rPr>
              <w:t>5</w:t>
            </w:r>
          </w:p>
        </w:tc>
        <w:tc>
          <w:tcPr>
            <w:tcW w:w="233" w:type="pct"/>
            <w:tcBorders>
              <w:top w:val="single" w:color="000000" w:sz="4" w:space="0"/>
              <w:left w:val="single" w:color="000000" w:sz="4" w:space="0"/>
              <w:bottom w:val="single" w:color="000000" w:sz="4" w:space="0"/>
              <w:right w:val="single" w:color="000000" w:sz="4" w:space="0"/>
            </w:tcBorders>
            <w:vAlign w:val="center"/>
          </w:tcPr>
          <w:p w14:paraId="469527D2">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对损坏供水设施和危害村镇供水工程及其设施安全活动的处罚</w:t>
            </w:r>
          </w:p>
        </w:tc>
        <w:tc>
          <w:tcPr>
            <w:tcW w:w="186" w:type="pct"/>
            <w:tcBorders>
              <w:top w:val="single" w:color="000000" w:sz="4" w:space="0"/>
              <w:left w:val="single" w:color="000000" w:sz="4" w:space="0"/>
              <w:bottom w:val="single" w:color="000000" w:sz="4" w:space="0"/>
              <w:right w:val="single" w:color="000000" w:sz="4" w:space="0"/>
            </w:tcBorders>
            <w:vAlign w:val="center"/>
          </w:tcPr>
          <w:p w14:paraId="6F77FDED">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851" w:type="pct"/>
            <w:tcBorders>
              <w:top w:val="single" w:color="000000" w:sz="4" w:space="0"/>
              <w:left w:val="single" w:color="000000" w:sz="4" w:space="0"/>
              <w:bottom w:val="single" w:color="000000" w:sz="4" w:space="0"/>
              <w:right w:val="single" w:color="000000" w:sz="4" w:space="0"/>
            </w:tcBorders>
            <w:vAlign w:val="center"/>
          </w:tcPr>
          <w:p w14:paraId="24C1829A">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《重庆市村镇供水条例》第五十条 违反本条例规定，有下列情形之一的，责令其停止违法行为，限期改正或者恢复原状；逾期不改正或者不恢复原状的，对个人处五百元以上五千元以下罚款，对单位处三千元以上三万元以下罚款；造成损失的，依法赔偿损失：（一）损坏村镇供水设施及其附属设施的；（二）在村镇供水工程保护范围内擅自修建与供水设施无关的建筑物或者构筑物的；（三）在村镇供水工程保护范围内擅自从事挖坑（沟、井）、取土、堆渣、爆破、打桩、顶进作业等危害村镇供水工程及其设施安全活动的；（四）在村镇供水工程保护范围内修建畜禽饲养场、厕所、渗水坑、污水沟道的；（五）在村镇供水工程保护范围内排放有毒有害物或者堆放垃圾、粪便等污染物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875" w:type="pct"/>
            <w:tcBorders>
              <w:top w:val="single" w:color="000000" w:sz="4" w:space="0"/>
              <w:left w:val="single" w:color="000000" w:sz="4" w:space="0"/>
              <w:bottom w:val="single" w:color="000000" w:sz="4" w:space="0"/>
              <w:right w:val="single" w:color="000000" w:sz="4" w:space="0"/>
            </w:tcBorders>
            <w:vAlign w:val="center"/>
          </w:tcPr>
          <w:p w14:paraId="4607202A">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违反《重庆市村镇供水条例》的情形：在村镇供水监督管理和检测工作中滥用职权、玩忽职守或者徇私舞弊的。 </w:t>
            </w:r>
          </w:p>
          <w:p w14:paraId="691E5D6C">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14:paraId="3998C444">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违反《公务员法》、《监察法》、《行政机关公务员处分条例》等的追责情形。。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2FA0F300">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《重庆市村镇供水条例》第五十四条。 </w:t>
            </w:r>
          </w:p>
          <w:p w14:paraId="15C7700B">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《行政处罚法》第七十六条、第七十七条、第七十八条、第七十九条、第八十条、第八十一条、第八十二条、第八十三条。 </w:t>
            </w:r>
          </w:p>
          <w:p w14:paraId="346655FD">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《公务员法》、《监察法》、《行政机关公务员处分条例》等法律、法规及规章。</w:t>
            </w:r>
          </w:p>
        </w:tc>
        <w:tc>
          <w:tcPr>
            <w:tcW w:w="185" w:type="pct"/>
            <w:tcBorders>
              <w:top w:val="single" w:color="000000" w:sz="4" w:space="0"/>
              <w:left w:val="single" w:color="000000" w:sz="4" w:space="0"/>
              <w:bottom w:val="single" w:color="000000" w:sz="4" w:space="0"/>
              <w:right w:val="single" w:color="000000" w:sz="4" w:space="0"/>
            </w:tcBorders>
            <w:vAlign w:val="center"/>
          </w:tcPr>
          <w:p w14:paraId="1A39199E">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水利局</w:t>
            </w:r>
          </w:p>
        </w:tc>
      </w:tr>
      <w:tr w14:paraId="726FCE0D">
        <w:tblPrEx>
          <w:tblCellMar>
            <w:top w:w="0" w:type="dxa"/>
            <w:left w:w="57" w:type="dxa"/>
            <w:bottom w:w="0" w:type="dxa"/>
            <w:right w:w="57" w:type="dxa"/>
          </w:tblCellMar>
        </w:tblPrEx>
        <w:trPr>
          <w:cantSplit/>
          <w:trHeight w:val="8662"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34EBAD7C">
            <w:pPr>
              <w:widowControl/>
              <w:adjustRightInd w:val="0"/>
              <w:snapToGrid w:val="0"/>
              <w:spacing w:line="200" w:lineRule="atLeast"/>
              <w:textAlignment w:val="bottom"/>
              <w:rPr>
                <w:rFonts w:ascii="方正仿宋_GBK" w:hAnsi="方正仿宋_GBK" w:cs="方正仿宋_GBK"/>
                <w:color w:val="000000" w:themeColor="text1"/>
                <w:sz w:val="13"/>
                <w:szCs w:val="13"/>
              </w:rPr>
            </w:pPr>
            <w:r>
              <w:rPr>
                <w:rFonts w:hint="eastAsia"/>
                <w:color w:val="000000" w:themeColor="text1"/>
                <w:kern w:val="0"/>
                <w:sz w:val="13"/>
                <w:szCs w:val="13"/>
              </w:rPr>
              <w:t>16</w:t>
            </w:r>
          </w:p>
        </w:tc>
        <w:tc>
          <w:tcPr>
            <w:tcW w:w="233" w:type="pct"/>
            <w:tcBorders>
              <w:top w:val="single" w:color="000000" w:sz="4" w:space="0"/>
              <w:left w:val="single" w:color="000000" w:sz="4" w:space="0"/>
              <w:bottom w:val="single" w:color="000000" w:sz="4" w:space="0"/>
              <w:right w:val="single" w:color="000000" w:sz="4" w:space="0"/>
            </w:tcBorders>
            <w:vAlign w:val="center"/>
          </w:tcPr>
          <w:p w14:paraId="71710F0F">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对供水单位不执行村镇供水相关规定的处罚</w:t>
            </w:r>
          </w:p>
        </w:tc>
        <w:tc>
          <w:tcPr>
            <w:tcW w:w="186" w:type="pct"/>
            <w:tcBorders>
              <w:top w:val="single" w:color="000000" w:sz="4" w:space="0"/>
              <w:left w:val="single" w:color="000000" w:sz="4" w:space="0"/>
              <w:bottom w:val="single" w:color="000000" w:sz="4" w:space="0"/>
              <w:right w:val="single" w:color="000000" w:sz="4" w:space="0"/>
            </w:tcBorders>
            <w:vAlign w:val="center"/>
          </w:tcPr>
          <w:p w14:paraId="549A5CBD">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851" w:type="pct"/>
            <w:tcBorders>
              <w:top w:val="single" w:color="000000" w:sz="4" w:space="0"/>
              <w:left w:val="single" w:color="000000" w:sz="4" w:space="0"/>
              <w:bottom w:val="single" w:color="000000" w:sz="4" w:space="0"/>
              <w:right w:val="single" w:color="000000" w:sz="4" w:space="0"/>
            </w:tcBorders>
            <w:vAlign w:val="center"/>
          </w:tcPr>
          <w:p w14:paraId="137F8865">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《重庆市村镇供水条例》第五十一条 违反本条例规定，有下列情形之一的，责令改正，可以处两千元以上两万元以下罚款，造成损失的，依法赔偿损失：（一）随意停止供水的；（二）未按照规定时限检修供水设施或者在供水设施发生故障后未及时组织抢修的；（三）发生供水突发事件未及时采取处置措施或者不配合实施供水应急预案的；（四）安排患有有碍饮用水卫生的疾病病人或者病原携带者从事直接供水、管水工作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875" w:type="pct"/>
            <w:tcBorders>
              <w:top w:val="single" w:color="000000" w:sz="4" w:space="0"/>
              <w:left w:val="single" w:color="000000" w:sz="4" w:space="0"/>
              <w:bottom w:val="single" w:color="000000" w:sz="4" w:space="0"/>
              <w:right w:val="single" w:color="000000" w:sz="4" w:space="0"/>
            </w:tcBorders>
            <w:vAlign w:val="center"/>
          </w:tcPr>
          <w:p w14:paraId="0783DB4A">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违反《重庆市村镇供水条例》的情形：在村镇供水监督管理和检测工作中滥用职权、玩忽职守或者徇私舞弊的。 </w:t>
            </w:r>
          </w:p>
          <w:p w14:paraId="621452C2">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14:paraId="456FF42C">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违反《公务员法》、《监察法》、《行政机关公务员处分条例》等的追责情形。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1D793553">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《重庆市村镇供水条例》第五十四条。 </w:t>
            </w:r>
          </w:p>
          <w:p w14:paraId="6710C6FE">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《行政处罚法》第七十六条、第七十七条、第七十八条、第七十九条、第八十条、第八十一条、第八十二条、第八十三条。 </w:t>
            </w:r>
          </w:p>
          <w:p w14:paraId="452BBE4B">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《公务员法》、《监察法》、《行政机关公务员处分条例》等法律、法规及规章。</w:t>
            </w:r>
          </w:p>
        </w:tc>
        <w:tc>
          <w:tcPr>
            <w:tcW w:w="185" w:type="pct"/>
            <w:tcBorders>
              <w:top w:val="single" w:color="000000" w:sz="4" w:space="0"/>
              <w:left w:val="single" w:color="000000" w:sz="4" w:space="0"/>
              <w:bottom w:val="single" w:color="000000" w:sz="4" w:space="0"/>
              <w:right w:val="single" w:color="000000" w:sz="4" w:space="0"/>
            </w:tcBorders>
            <w:vAlign w:val="center"/>
          </w:tcPr>
          <w:p w14:paraId="6766AB8A">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水利局</w:t>
            </w:r>
          </w:p>
        </w:tc>
      </w:tr>
      <w:tr w14:paraId="3494D7B3">
        <w:tblPrEx>
          <w:tblCellMar>
            <w:top w:w="0" w:type="dxa"/>
            <w:left w:w="57" w:type="dxa"/>
            <w:bottom w:w="0" w:type="dxa"/>
            <w:right w:w="57" w:type="dxa"/>
          </w:tblCellMar>
        </w:tblPrEx>
        <w:trPr>
          <w:cantSplit/>
          <w:trHeight w:val="8623"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064C4668">
            <w:pPr>
              <w:widowControl/>
              <w:adjustRightInd w:val="0"/>
              <w:snapToGrid w:val="0"/>
              <w:spacing w:line="200" w:lineRule="atLeast"/>
              <w:textAlignment w:val="bottom"/>
              <w:rPr>
                <w:rFonts w:ascii="方正仿宋_GBK" w:hAnsi="方正仿宋_GBK" w:cs="方正仿宋_GBK"/>
                <w:color w:val="000000" w:themeColor="text1"/>
                <w:sz w:val="13"/>
                <w:szCs w:val="13"/>
              </w:rPr>
            </w:pPr>
            <w:r>
              <w:rPr>
                <w:rFonts w:hint="eastAsia"/>
                <w:color w:val="000000" w:themeColor="text1"/>
                <w:kern w:val="0"/>
                <w:sz w:val="13"/>
                <w:szCs w:val="13"/>
              </w:rPr>
              <w:t>17</w:t>
            </w:r>
          </w:p>
        </w:tc>
        <w:tc>
          <w:tcPr>
            <w:tcW w:w="233" w:type="pct"/>
            <w:tcBorders>
              <w:top w:val="single" w:color="000000" w:sz="4" w:space="0"/>
              <w:left w:val="single" w:color="000000" w:sz="4" w:space="0"/>
              <w:bottom w:val="single" w:color="000000" w:sz="4" w:space="0"/>
              <w:right w:val="single" w:color="000000" w:sz="4" w:space="0"/>
            </w:tcBorders>
            <w:vAlign w:val="center"/>
          </w:tcPr>
          <w:p w14:paraId="4D441C18">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对影响村镇正常供水违法行为的处罚</w:t>
            </w:r>
          </w:p>
        </w:tc>
        <w:tc>
          <w:tcPr>
            <w:tcW w:w="186" w:type="pct"/>
            <w:tcBorders>
              <w:top w:val="single" w:color="000000" w:sz="4" w:space="0"/>
              <w:left w:val="single" w:color="000000" w:sz="4" w:space="0"/>
              <w:bottom w:val="single" w:color="000000" w:sz="4" w:space="0"/>
              <w:right w:val="single" w:color="000000" w:sz="4" w:space="0"/>
            </w:tcBorders>
            <w:vAlign w:val="center"/>
          </w:tcPr>
          <w:p w14:paraId="5EE3F278">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851" w:type="pct"/>
            <w:tcBorders>
              <w:top w:val="single" w:color="000000" w:sz="4" w:space="0"/>
              <w:left w:val="single" w:color="000000" w:sz="4" w:space="0"/>
              <w:bottom w:val="single" w:color="000000" w:sz="4" w:space="0"/>
              <w:right w:val="single" w:color="000000" w:sz="4" w:space="0"/>
            </w:tcBorders>
            <w:vAlign w:val="center"/>
          </w:tcPr>
          <w:p w14:paraId="33A694F2">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《重庆市村镇供水条例》第五十二条 违反本条例规定，有下列情形之一的，责令改正，可以处一千元以上两万元以下罚款，造成损失的，依法赔偿损失：（一）阻挠供水设施抢修的；（二）盗用水或者擅自在供水单位管理的供水管道上连接取水设施的；（三）擅自拆卸、启封、围压、损坏水表，影响水表正常计量的；（四）生产或者使用有毒、有害物质的单位将其用水管网与村镇供水管网直接连接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875" w:type="pct"/>
            <w:tcBorders>
              <w:top w:val="single" w:color="000000" w:sz="4" w:space="0"/>
              <w:left w:val="single" w:color="000000" w:sz="4" w:space="0"/>
              <w:bottom w:val="single" w:color="000000" w:sz="4" w:space="0"/>
              <w:right w:val="single" w:color="000000" w:sz="4" w:space="0"/>
            </w:tcBorders>
            <w:vAlign w:val="center"/>
          </w:tcPr>
          <w:p w14:paraId="7495876E">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违反《重庆市村镇供水条例》的情形：在村镇供水监督管理和检测工作中滥用职权、玩忽职守或者徇私舞弊的。 </w:t>
            </w:r>
          </w:p>
          <w:p w14:paraId="235F10B2">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14:paraId="5ED87E7E">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违反《公务员法》、《监察法》、《行政机关公务员处分条例》等的追责情形。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39CD0867">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xml:space="preserve">. 《重庆市村镇供水条例》第五十四条。 </w:t>
            </w:r>
          </w:p>
          <w:p w14:paraId="01E5A59A">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xml:space="preserve">. 《行政处罚法》第七十六条、第七十七条、第七十八条、第七十九条、第八十条、第八十一条、第八十二条、第八十三条。 </w:t>
            </w:r>
          </w:p>
          <w:p w14:paraId="553EC690">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3</w:t>
            </w:r>
            <w:r>
              <w:rPr>
                <w:rFonts w:hint="eastAsia" w:ascii="方正仿宋_GBK" w:hAnsi="方正仿宋_GBK" w:cs="方正仿宋_GBK"/>
                <w:color w:val="000000" w:themeColor="text1"/>
                <w:kern w:val="0"/>
                <w:sz w:val="13"/>
                <w:szCs w:val="13"/>
              </w:rPr>
              <w:t>. 《公务员法》、《监察法》、《行政机关公务员处分条例》等法律、法规及规章。</w:t>
            </w:r>
          </w:p>
        </w:tc>
        <w:tc>
          <w:tcPr>
            <w:tcW w:w="185" w:type="pct"/>
            <w:tcBorders>
              <w:top w:val="single" w:color="000000" w:sz="4" w:space="0"/>
              <w:left w:val="single" w:color="000000" w:sz="4" w:space="0"/>
              <w:bottom w:val="single" w:color="000000" w:sz="4" w:space="0"/>
              <w:right w:val="single" w:color="000000" w:sz="4" w:space="0"/>
            </w:tcBorders>
            <w:vAlign w:val="center"/>
          </w:tcPr>
          <w:p w14:paraId="2A9D1E38">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水利局</w:t>
            </w:r>
          </w:p>
        </w:tc>
      </w:tr>
      <w:tr w14:paraId="63798189">
        <w:tblPrEx>
          <w:tblCellMar>
            <w:top w:w="0" w:type="dxa"/>
            <w:left w:w="57" w:type="dxa"/>
            <w:bottom w:w="0" w:type="dxa"/>
            <w:right w:w="57" w:type="dxa"/>
          </w:tblCellMar>
        </w:tblPrEx>
        <w:trPr>
          <w:cantSplit/>
          <w:trHeight w:val="8669"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06506DA4">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18</w:t>
            </w:r>
          </w:p>
        </w:tc>
        <w:tc>
          <w:tcPr>
            <w:tcW w:w="233" w:type="pct"/>
            <w:tcBorders>
              <w:top w:val="single" w:color="000000" w:sz="4" w:space="0"/>
              <w:left w:val="single" w:color="000000" w:sz="4" w:space="0"/>
              <w:bottom w:val="single" w:color="000000" w:sz="4" w:space="0"/>
              <w:right w:val="single" w:color="000000" w:sz="4" w:space="0"/>
            </w:tcBorders>
            <w:vAlign w:val="center"/>
          </w:tcPr>
          <w:p w14:paraId="242210CB">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对违反《重庆市水资源管理条例》第十八条规定的处罚</w:t>
            </w:r>
          </w:p>
        </w:tc>
        <w:tc>
          <w:tcPr>
            <w:tcW w:w="186" w:type="pct"/>
            <w:tcBorders>
              <w:top w:val="single" w:color="000000" w:sz="4" w:space="0"/>
              <w:left w:val="single" w:color="000000" w:sz="4" w:space="0"/>
              <w:bottom w:val="single" w:color="000000" w:sz="4" w:space="0"/>
              <w:right w:val="single" w:color="000000" w:sz="4" w:space="0"/>
            </w:tcBorders>
            <w:vAlign w:val="center"/>
          </w:tcPr>
          <w:p w14:paraId="0B89E49A">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851" w:type="pct"/>
            <w:tcBorders>
              <w:top w:val="single" w:color="000000" w:sz="4" w:space="0"/>
              <w:left w:val="single" w:color="000000" w:sz="4" w:space="0"/>
              <w:bottom w:val="single" w:color="000000" w:sz="4" w:space="0"/>
              <w:right w:val="single" w:color="000000" w:sz="4" w:space="0"/>
            </w:tcBorders>
            <w:vAlign w:val="center"/>
          </w:tcPr>
          <w:p w14:paraId="2983AD61">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《重庆市水资源管理条例》第十八条　分散式饮用水源保护范围内禁止下列行为：（一）新建厕所、化粪池；（二）设立粪便、生活垃圾的收集、转运站，堆放医疗垃圾，设立有毒有害化学品仓库、堆栈；（三）施用高残留、高毒农药；（四）从事规模畜禽养殖、网箱网栏养殖；（五）排放工业污水；（六）其他污染饮用水水体的行为。第三十九条  有本条例第十八条所列行为之一的，由当地乡（镇）人民政府、街道办事处责令限期改正或者采取补救措施；逾期不履行的，对个人处二百元以上五百元以下罚款，对单位处五千元以上二万元以下罚款。</w:t>
            </w:r>
          </w:p>
        </w:tc>
        <w:tc>
          <w:tcPr>
            <w:tcW w:w="875" w:type="pct"/>
            <w:tcBorders>
              <w:top w:val="single" w:color="000000" w:sz="4" w:space="0"/>
              <w:left w:val="single" w:color="000000" w:sz="4" w:space="0"/>
              <w:bottom w:val="single" w:color="000000" w:sz="4" w:space="0"/>
              <w:right w:val="single" w:color="000000" w:sz="4" w:space="0"/>
            </w:tcBorders>
            <w:vAlign w:val="center"/>
          </w:tcPr>
          <w:p w14:paraId="03FA564D">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 违反《重庆市水资源管理条例》的情形：滥用职权、玩忽职守或者徇私舞弊，有下列情形之一的，对负有责任的主管人员和其他责任人员依法给予处分；构成犯罪的，依法追究刑事责任：（1）对不符合法定条件的单位或者个人核发许可证、签署审查同意意见或者不按照规定程序审批的；（2）不按照水量分配方案分配水量的；（3）不按照国家有关规定收取水资源费或者截留、侵占、挪用水资源费的；（4）其他不依法履行法定职责的。</w:t>
            </w:r>
          </w:p>
          <w:p w14:paraId="68385608">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14:paraId="36D57FA2">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3. 违反《公务员法》、《监察法》、《行政机关公务员处分条例》等的追责情形。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0AAB0E6B">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 《重庆市水资源管理条例》第三十八条。</w:t>
            </w:r>
          </w:p>
          <w:p w14:paraId="2AE60DB3">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 《行政处罚法》</w:t>
            </w:r>
            <w:r>
              <w:rPr>
                <w:rFonts w:hint="eastAsia" w:ascii="方正仿宋_GBK" w:hAnsi="方正仿宋_GBK" w:cs="方正仿宋_GBK"/>
                <w:color w:val="000000" w:themeColor="text1"/>
                <w:kern w:val="0"/>
                <w:sz w:val="13"/>
                <w:szCs w:val="13"/>
              </w:rPr>
              <w:t xml:space="preserve">第七十六条、第七十七条、第七十八条、第七十九条、第八十条、第八十一条、第八十二条、第八十三条。 </w:t>
            </w:r>
          </w:p>
          <w:p w14:paraId="0858FE7A">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3. 《公务员法》、《监察法》、《行政机关公务员处分条例》等法律、法规及规章。</w:t>
            </w:r>
          </w:p>
        </w:tc>
        <w:tc>
          <w:tcPr>
            <w:tcW w:w="185" w:type="pct"/>
            <w:tcBorders>
              <w:top w:val="single" w:color="000000" w:sz="4" w:space="0"/>
              <w:left w:val="single" w:color="000000" w:sz="4" w:space="0"/>
              <w:bottom w:val="single" w:color="000000" w:sz="4" w:space="0"/>
              <w:right w:val="single" w:color="000000" w:sz="4" w:space="0"/>
            </w:tcBorders>
            <w:vAlign w:val="center"/>
          </w:tcPr>
          <w:p w14:paraId="0837A43C">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县水利局</w:t>
            </w:r>
          </w:p>
        </w:tc>
      </w:tr>
      <w:tr w14:paraId="53817380">
        <w:tblPrEx>
          <w:tblCellMar>
            <w:top w:w="0" w:type="dxa"/>
            <w:left w:w="57" w:type="dxa"/>
            <w:bottom w:w="0" w:type="dxa"/>
            <w:right w:w="57" w:type="dxa"/>
          </w:tblCellMar>
        </w:tblPrEx>
        <w:trPr>
          <w:cantSplit/>
          <w:trHeight w:val="8746"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3FFEA9F1">
            <w:pPr>
              <w:widowControl/>
              <w:adjustRightInd w:val="0"/>
              <w:snapToGrid w:val="0"/>
              <w:spacing w:line="200" w:lineRule="atLeast"/>
              <w:textAlignment w:val="bottom"/>
              <w:rPr>
                <w:rFonts w:ascii="方正仿宋_GBK" w:hAnsi="方正仿宋_GBK" w:cs="方正仿宋_GBK"/>
                <w:color w:val="000000" w:themeColor="text1"/>
                <w:sz w:val="13"/>
                <w:szCs w:val="13"/>
              </w:rPr>
            </w:pPr>
            <w:r>
              <w:rPr>
                <w:rFonts w:hint="eastAsia"/>
                <w:color w:val="000000" w:themeColor="text1"/>
                <w:kern w:val="0"/>
                <w:sz w:val="13"/>
                <w:szCs w:val="13"/>
              </w:rPr>
              <w:t>19</w:t>
            </w:r>
          </w:p>
        </w:tc>
        <w:tc>
          <w:tcPr>
            <w:tcW w:w="233" w:type="pct"/>
            <w:tcBorders>
              <w:top w:val="single" w:color="000000" w:sz="4" w:space="0"/>
              <w:left w:val="single" w:color="000000" w:sz="4" w:space="0"/>
              <w:bottom w:val="single" w:color="000000" w:sz="4" w:space="0"/>
              <w:right w:val="single" w:color="000000" w:sz="4" w:space="0"/>
            </w:tcBorders>
            <w:vAlign w:val="center"/>
          </w:tcPr>
          <w:p w14:paraId="03EA8CA2">
            <w:pPr>
              <w:widowControl/>
              <w:adjustRightInd w:val="0"/>
              <w:snapToGrid w:val="0"/>
              <w:spacing w:line="200" w:lineRule="atLeas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对在规定期限内对（长江两岸）林区砍柴、放牧，致使森林、林木受到毁坏的行政处罚</w:t>
            </w:r>
          </w:p>
        </w:tc>
        <w:tc>
          <w:tcPr>
            <w:tcW w:w="186" w:type="pct"/>
            <w:tcBorders>
              <w:top w:val="single" w:color="000000" w:sz="4" w:space="0"/>
              <w:left w:val="single" w:color="000000" w:sz="4" w:space="0"/>
              <w:bottom w:val="single" w:color="000000" w:sz="4" w:space="0"/>
              <w:right w:val="single" w:color="000000" w:sz="4" w:space="0"/>
            </w:tcBorders>
            <w:vAlign w:val="center"/>
          </w:tcPr>
          <w:p w14:paraId="1F2F82F6">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851" w:type="pct"/>
            <w:tcBorders>
              <w:top w:val="single" w:color="000000" w:sz="4" w:space="0"/>
              <w:left w:val="single" w:color="000000" w:sz="4" w:space="0"/>
              <w:bottom w:val="single" w:color="000000" w:sz="4" w:space="0"/>
              <w:right w:val="single" w:color="000000" w:sz="4" w:space="0"/>
            </w:tcBorders>
            <w:vAlign w:val="center"/>
          </w:tcPr>
          <w:p w14:paraId="25CDE7FC">
            <w:pPr>
              <w:widowControl/>
              <w:adjustRightInd w:val="0"/>
              <w:snapToGrid w:val="0"/>
              <w:spacing w:line="200" w:lineRule="atLeast"/>
              <w:jc w:val="lef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1.《重庆市长江防护林体系管理条例》第五条：地方各级人民政府负责本行政区域内长江防护林体系建设的领导工作，组织动员广大人民群众积极投入长江防护林体系建设。地方各级林业主管部门是本行政区域内长江防护林体系建设的行政主管部门，负责组织长江防护林体系的规划、建设、保护和管理。农业、水利、土地、环保等部门按照各自的职责，做好长江防护林体系建设管理的有关工作。</w:t>
            </w:r>
          </w:p>
          <w:p w14:paraId="77C58DC8">
            <w:pPr>
              <w:widowControl/>
              <w:adjustRightInd w:val="0"/>
              <w:snapToGrid w:val="0"/>
              <w:spacing w:line="200" w:lineRule="atLeast"/>
              <w:jc w:val="lef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 xml:space="preserve">2.《重庆市长江防护林体系管理条例》第三十三条：新造的水源涵养林、水土保持林，在五年内禁止剃枝、放牧。期满后，可在林业主管部门的指导下进行以改善林分结构和卫生条件为目的的卫生伐、抚育伐。                               </w:t>
            </w:r>
          </w:p>
          <w:p w14:paraId="4522703F">
            <w:pPr>
              <w:widowControl/>
              <w:adjustRightInd w:val="0"/>
              <w:snapToGrid w:val="0"/>
              <w:spacing w:line="200" w:lineRule="atLeast"/>
              <w:jc w:val="left"/>
              <w:textAlignment w:val="center"/>
              <w:rPr>
                <w:rFonts w:ascii="方正仿宋_GBK" w:hAnsi="方正仿宋_GBK" w:cs="方正仿宋_GBK"/>
                <w:color w:val="000000" w:themeColor="text1"/>
                <w:sz w:val="13"/>
                <w:szCs w:val="13"/>
              </w:rPr>
            </w:pPr>
            <w:r>
              <w:rPr>
                <w:rFonts w:hint="eastAsia" w:ascii="方正仿宋_GBK" w:hAnsi="方正仿宋_GBK" w:cs="方正仿宋_GBK"/>
                <w:color w:val="000000" w:themeColor="text1"/>
                <w:kern w:val="0"/>
                <w:sz w:val="13"/>
                <w:szCs w:val="13"/>
              </w:rPr>
              <w:t>3.《重庆市长江防护林体系管理条例》第四十条：违反本条例第三十三条规定，在规定期限内到林区砍柴、放牧，致使森林、林木受到毁坏的，依法赔偿损失；由林业主管部门责令停止违法行为，补种毁坏株数一倍以上三倍以下的树木。构成犯罪的，依法追究刑事责任。拒不补种树木或者补种不符合国家有关规定的，由林业主管部门代为补种，所需费用由违法者支付。                                                                                                     4.《重庆市长江防护林体系管理条例》第四十一条：本条例规定的行政处罚，由县级以上林业主管部门依法决定。第三十八条、第四十条规定的行政处罚，可由乡镇人民政府决定。</w:t>
            </w:r>
          </w:p>
        </w:tc>
        <w:tc>
          <w:tcPr>
            <w:tcW w:w="875" w:type="pct"/>
            <w:tcBorders>
              <w:top w:val="single" w:color="000000" w:sz="4" w:space="0"/>
              <w:left w:val="single" w:color="000000" w:sz="4" w:space="0"/>
              <w:bottom w:val="single" w:color="000000" w:sz="4" w:space="0"/>
              <w:right w:val="single" w:color="000000" w:sz="4" w:space="0"/>
            </w:tcBorders>
            <w:vAlign w:val="center"/>
          </w:tcPr>
          <w:p w14:paraId="4D8E3E3B">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违反《林业行政执法监督办法》《行政处罚法》的情形：（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14:paraId="799B296C">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违反《公务员法》《监察法》《行政机关公务员处分条例》等的追责情形。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3491381C">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《林业行政执法监督办法》第二十九条，《行政处罚法》第七十六条、第七十七条、第七十八条、第七十九条、第八十条、第八十一条、第八十二条、第八十三条。</w:t>
            </w:r>
          </w:p>
          <w:p w14:paraId="576CE76F">
            <w:pPr>
              <w:widowControl/>
              <w:adjustRightInd w:val="0"/>
              <w:snapToGrid w:val="0"/>
              <w:spacing w:line="200" w:lineRule="atLeast"/>
              <w:textAlignment w:val="center"/>
              <w:rPr>
                <w:rFonts w:ascii="方正仿宋_GBK" w:hAnsi="方正仿宋_GBK" w:cs="方正仿宋_GBK"/>
                <w:color w:val="000000" w:themeColor="text1"/>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《公务员法》《监察法》《行政机关公务员处分条例》等法律、法规及规章。</w:t>
            </w:r>
          </w:p>
        </w:tc>
        <w:tc>
          <w:tcPr>
            <w:tcW w:w="185" w:type="pct"/>
            <w:tcBorders>
              <w:top w:val="single" w:color="000000" w:sz="4" w:space="0"/>
              <w:left w:val="single" w:color="000000" w:sz="4" w:space="0"/>
              <w:bottom w:val="single" w:color="000000" w:sz="4" w:space="0"/>
              <w:right w:val="single" w:color="000000" w:sz="4" w:space="0"/>
            </w:tcBorders>
            <w:vAlign w:val="center"/>
          </w:tcPr>
          <w:p w14:paraId="61B466AE">
            <w:pPr>
              <w:widowControl/>
              <w:spacing w:line="200" w:lineRule="atLeast"/>
              <w:textAlignment w:val="center"/>
              <w:rPr>
                <w:rFonts w:ascii="方正仿宋_GBK" w:hAnsi="方正仿宋_GBK" w:cs="方正仿宋_GBK"/>
                <w:color w:val="000000" w:themeColor="text1"/>
                <w:kern w:val="0"/>
                <w:sz w:val="13"/>
                <w:szCs w:val="13"/>
              </w:rPr>
            </w:pPr>
            <w:r>
              <w:rPr>
                <w:rFonts w:hint="eastAsia" w:hAnsi="方正仿宋_GBK" w:cs="方正仿宋_GBK"/>
                <w:color w:val="000000" w:themeColor="text1"/>
                <w:kern w:val="0"/>
                <w:sz w:val="13"/>
                <w:szCs w:val="13"/>
              </w:rPr>
              <w:t>县</w:t>
            </w:r>
            <w:r>
              <w:rPr>
                <w:rFonts w:hint="eastAsia" w:ascii="方正仿宋_GBK" w:hAnsi="方正仿宋_GBK" w:cs="方正仿宋_GBK"/>
                <w:color w:val="000000" w:themeColor="text1"/>
                <w:kern w:val="0"/>
                <w:sz w:val="13"/>
                <w:szCs w:val="13"/>
              </w:rPr>
              <w:t>林业局</w:t>
            </w:r>
          </w:p>
        </w:tc>
      </w:tr>
      <w:tr w14:paraId="6009E956">
        <w:tblPrEx>
          <w:tblCellMar>
            <w:top w:w="0" w:type="dxa"/>
            <w:left w:w="57" w:type="dxa"/>
            <w:bottom w:w="0" w:type="dxa"/>
            <w:right w:w="57" w:type="dxa"/>
          </w:tblCellMar>
        </w:tblPrEx>
        <w:trPr>
          <w:cantSplit/>
          <w:trHeight w:val="8661"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6D3D3314">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20</w:t>
            </w:r>
          </w:p>
        </w:tc>
        <w:tc>
          <w:tcPr>
            <w:tcW w:w="233" w:type="pct"/>
            <w:tcBorders>
              <w:top w:val="single" w:color="000000" w:sz="4" w:space="0"/>
              <w:left w:val="single" w:color="000000" w:sz="4" w:space="0"/>
              <w:bottom w:val="single" w:color="000000" w:sz="4" w:space="0"/>
              <w:right w:val="single" w:color="000000" w:sz="4" w:space="0"/>
            </w:tcBorders>
            <w:vAlign w:val="center"/>
          </w:tcPr>
          <w:p w14:paraId="491DE447">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对损坏防护标志和护林碑牌的处罚</w:t>
            </w:r>
          </w:p>
        </w:tc>
        <w:tc>
          <w:tcPr>
            <w:tcW w:w="186" w:type="pct"/>
            <w:tcBorders>
              <w:top w:val="single" w:color="000000" w:sz="4" w:space="0"/>
              <w:left w:val="single" w:color="000000" w:sz="4" w:space="0"/>
              <w:bottom w:val="single" w:color="000000" w:sz="4" w:space="0"/>
              <w:right w:val="single" w:color="000000" w:sz="4" w:space="0"/>
            </w:tcBorders>
            <w:vAlign w:val="center"/>
          </w:tcPr>
          <w:p w14:paraId="0CFDFBFC">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851" w:type="pct"/>
            <w:tcBorders>
              <w:top w:val="single" w:color="000000" w:sz="4" w:space="0"/>
              <w:left w:val="single" w:color="000000" w:sz="4" w:space="0"/>
              <w:bottom w:val="single" w:color="000000" w:sz="4" w:space="0"/>
              <w:right w:val="single" w:color="000000" w:sz="4" w:space="0"/>
            </w:tcBorders>
            <w:vAlign w:val="center"/>
          </w:tcPr>
          <w:p w14:paraId="66D61515">
            <w:pPr>
              <w:widowControl/>
              <w:adjustRightInd w:val="0"/>
              <w:snapToGrid w:val="0"/>
              <w:spacing w:line="200" w:lineRule="atLeast"/>
              <w:jc w:val="lef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1.《重庆长江防护林体系管理条例》第五条：地方各级人民政府负责本行政区域内长江防护林体系建设的领导工作，组织动员广大人民群众积极投入长江防护林体系建设。地方各级林业主管部门是本行政区域内长江防护林体系建设的行政主管部门，负责组织长江防护林体系的规划、建设、保护和管理。农业、水利、土地、环保等部门按照各自的职责，做好长江防护林体系建设管理的有关工作。                                                                                    2.《重庆长江防护林体系管理条例》第三十条：长江防护林营造后，需要封山护林的，由区县（自治县）人民政府发布公告，实行封山护林。封山护林的时间不得少于三年。区县（自治县）、乡（镇）人民政府应在长江防护林营造后建立管护组织，制定管护制度，落实管护人员和经费。长江防护林的标志和护林碑牌，任何人不得损坏。                                                                                                                                   3.《重庆长江防护林体系管理条例》第三十八条：违反本条例第三十条规定，损坏防护标志和护林碑牌的，责令恢复标志和护林碑牌，并处一百元以上一千元以下罚款。                                                                  4.《重庆长江防护林体系管理条例》第四十一条：本条例规定的行政处罚，由县级以上林业主管部门依法决定。第三十八条、第四十条规定的行政处罚，可由乡镇人民政府决定。</w:t>
            </w:r>
          </w:p>
        </w:tc>
        <w:tc>
          <w:tcPr>
            <w:tcW w:w="875" w:type="pct"/>
            <w:tcBorders>
              <w:top w:val="single" w:color="000000" w:sz="4" w:space="0"/>
              <w:left w:val="single" w:color="000000" w:sz="4" w:space="0"/>
              <w:bottom w:val="single" w:color="000000" w:sz="4" w:space="0"/>
              <w:right w:val="single" w:color="000000" w:sz="4" w:space="0"/>
            </w:tcBorders>
            <w:vAlign w:val="center"/>
          </w:tcPr>
          <w:p w14:paraId="59C7B245">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违反《林业行政执法监督办法》《行政处罚法》的情形：（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p w14:paraId="3A788C94">
            <w:pPr>
              <w:widowControl/>
              <w:adjustRightInd w:val="0"/>
              <w:snapToGrid w:val="0"/>
              <w:spacing w:line="200" w:lineRule="atLeast"/>
              <w:textAlignment w:val="center"/>
              <w:rPr>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违反《公务员法》《监察法》《行政机关公务员处分条例》等的追责情形。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45C1B964">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color w:val="000000" w:themeColor="text1"/>
                <w:kern w:val="0"/>
                <w:sz w:val="13"/>
                <w:szCs w:val="13"/>
              </w:rPr>
              <w:t>1</w:t>
            </w:r>
            <w:r>
              <w:rPr>
                <w:rFonts w:hint="eastAsia" w:ascii="方正仿宋_GBK" w:hAnsi="方正仿宋_GBK" w:cs="方正仿宋_GBK"/>
                <w:color w:val="000000" w:themeColor="text1"/>
                <w:kern w:val="0"/>
                <w:sz w:val="13"/>
                <w:szCs w:val="13"/>
              </w:rPr>
              <w:t>. 《林业行政执法监督办法》第二十九条，《行政处罚法》第七十六条、第七十七条、第七十八条、第七十九条、第八十条、第八十一条、第八十二条、第八十三条。</w:t>
            </w:r>
          </w:p>
          <w:p w14:paraId="3DA4EF90">
            <w:pPr>
              <w:widowControl/>
              <w:adjustRightInd w:val="0"/>
              <w:snapToGrid w:val="0"/>
              <w:spacing w:line="200" w:lineRule="atLeast"/>
              <w:textAlignment w:val="center"/>
              <w:rPr>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《公务员法》《监察法》《行政机关公务员处分条例》等法律、法规及规章。</w:t>
            </w:r>
          </w:p>
        </w:tc>
        <w:tc>
          <w:tcPr>
            <w:tcW w:w="185" w:type="pct"/>
            <w:tcBorders>
              <w:top w:val="single" w:color="000000" w:sz="4" w:space="0"/>
              <w:left w:val="single" w:color="000000" w:sz="4" w:space="0"/>
              <w:bottom w:val="single" w:color="000000" w:sz="4" w:space="0"/>
              <w:right w:val="single" w:color="000000" w:sz="4" w:space="0"/>
            </w:tcBorders>
            <w:vAlign w:val="center"/>
          </w:tcPr>
          <w:p w14:paraId="0BEE4CCB">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县林业局</w:t>
            </w:r>
          </w:p>
        </w:tc>
      </w:tr>
      <w:tr w14:paraId="3B430621">
        <w:tblPrEx>
          <w:tblCellMar>
            <w:top w:w="0" w:type="dxa"/>
            <w:left w:w="57" w:type="dxa"/>
            <w:bottom w:w="0" w:type="dxa"/>
            <w:right w:w="57" w:type="dxa"/>
          </w:tblCellMar>
        </w:tblPrEx>
        <w:trPr>
          <w:cantSpli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27328E5A">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21</w:t>
            </w:r>
          </w:p>
        </w:tc>
        <w:tc>
          <w:tcPr>
            <w:tcW w:w="233" w:type="pct"/>
            <w:tcBorders>
              <w:top w:val="single" w:color="000000" w:sz="4" w:space="0"/>
              <w:left w:val="single" w:color="000000" w:sz="4" w:space="0"/>
              <w:bottom w:val="single" w:color="000000" w:sz="4" w:space="0"/>
              <w:right w:val="single" w:color="000000" w:sz="4" w:space="0"/>
            </w:tcBorders>
            <w:vAlign w:val="center"/>
          </w:tcPr>
          <w:p w14:paraId="0442CDA1">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对损坏或者擅自移动有钉螺地带警示标志的处罚</w:t>
            </w:r>
          </w:p>
        </w:tc>
        <w:tc>
          <w:tcPr>
            <w:tcW w:w="186" w:type="pct"/>
            <w:tcBorders>
              <w:top w:val="single" w:color="000000" w:sz="4" w:space="0"/>
              <w:left w:val="single" w:color="000000" w:sz="4" w:space="0"/>
              <w:bottom w:val="single" w:color="000000" w:sz="4" w:space="0"/>
              <w:right w:val="single" w:color="000000" w:sz="4" w:space="0"/>
            </w:tcBorders>
            <w:vAlign w:val="center"/>
          </w:tcPr>
          <w:p w14:paraId="129E680E">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行政处罚</w:t>
            </w:r>
          </w:p>
        </w:tc>
        <w:tc>
          <w:tcPr>
            <w:tcW w:w="1851" w:type="pct"/>
            <w:tcBorders>
              <w:top w:val="single" w:color="000000" w:sz="4" w:space="0"/>
              <w:left w:val="single" w:color="000000" w:sz="4" w:space="0"/>
              <w:bottom w:val="single" w:color="000000" w:sz="4" w:space="0"/>
              <w:right w:val="single" w:color="000000" w:sz="4" w:space="0"/>
            </w:tcBorders>
            <w:vAlign w:val="center"/>
          </w:tcPr>
          <w:p w14:paraId="0F3D2A3F">
            <w:pPr>
              <w:widowControl/>
              <w:adjustRightInd w:val="0"/>
              <w:snapToGrid w:val="0"/>
              <w:spacing w:line="200" w:lineRule="atLeast"/>
              <w:jc w:val="lef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875" w:type="pct"/>
            <w:tcBorders>
              <w:top w:val="single" w:color="000000" w:sz="4" w:space="0"/>
              <w:left w:val="single" w:color="000000" w:sz="4" w:space="0"/>
              <w:bottom w:val="single" w:color="000000" w:sz="4" w:space="0"/>
              <w:right w:val="single" w:color="000000" w:sz="4" w:space="0"/>
            </w:tcBorders>
            <w:vAlign w:val="center"/>
          </w:tcPr>
          <w:p w14:paraId="7D3E722F">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1.因不履行或不正确履行行政职责，有下列情形的，行政机关及相关工作人员应承担相应责任：（1）玩忽职守、徇私舞弊的；（2） 发生腐败行为的。</w:t>
            </w:r>
          </w:p>
          <w:p w14:paraId="1ED417DB">
            <w:pPr>
              <w:widowControl/>
              <w:adjustRightInd w:val="0"/>
              <w:snapToGrid w:val="0"/>
              <w:spacing w:line="200" w:lineRule="atLeast"/>
              <w:textAlignment w:val="center"/>
              <w:rPr>
                <w:color w:val="000000" w:themeColor="text1"/>
                <w:kern w:val="0"/>
                <w:sz w:val="13"/>
                <w:szCs w:val="13"/>
              </w:rPr>
            </w:pPr>
            <w:r>
              <w:rPr>
                <w:color w:val="000000" w:themeColor="text1"/>
                <w:kern w:val="0"/>
                <w:sz w:val="13"/>
                <w:szCs w:val="13"/>
              </w:rPr>
              <w:t>2</w:t>
            </w:r>
            <w:r>
              <w:rPr>
                <w:rFonts w:hint="eastAsia" w:ascii="方正仿宋_GBK" w:hAnsi="方正仿宋_GBK" w:cs="方正仿宋_GBK"/>
                <w:color w:val="000000" w:themeColor="text1"/>
                <w:kern w:val="0"/>
                <w:sz w:val="13"/>
                <w:szCs w:val="13"/>
              </w:rPr>
              <w:t>. 违反《行政处罚法》的情形：（</w:t>
            </w:r>
            <w:r>
              <w:rPr>
                <w:color w:val="000000" w:themeColor="text1"/>
                <w:kern w:val="0"/>
                <w:sz w:val="13"/>
                <w:szCs w:val="13"/>
              </w:rPr>
              <w:t>1</w:t>
            </w:r>
            <w:r>
              <w:rPr>
                <w:rFonts w:hint="eastAsia" w:ascii="方正仿宋_GBK" w:hAnsi="方正仿宋_GBK" w:cs="方正仿宋_GBK"/>
                <w:color w:val="000000" w:themeColor="text1"/>
                <w:kern w:val="0"/>
                <w:sz w:val="13"/>
                <w:szCs w:val="13"/>
              </w:rPr>
              <w:t>）没有法定的行政处罚依据的；（</w:t>
            </w:r>
            <w:r>
              <w:rPr>
                <w:color w:val="000000" w:themeColor="text1"/>
                <w:kern w:val="0"/>
                <w:sz w:val="13"/>
                <w:szCs w:val="13"/>
              </w:rPr>
              <w:t>2</w:t>
            </w:r>
            <w:r>
              <w:rPr>
                <w:rFonts w:hint="eastAsia" w:ascii="方正仿宋_GBK" w:hAnsi="方正仿宋_GBK" w:cs="方正仿宋_GBK"/>
                <w:color w:val="000000" w:themeColor="text1"/>
                <w:kern w:val="0"/>
                <w:sz w:val="13"/>
                <w:szCs w:val="13"/>
              </w:rPr>
              <w:t>）擅自改变行政处罚种类、幅度的；（</w:t>
            </w:r>
            <w:r>
              <w:rPr>
                <w:color w:val="000000" w:themeColor="text1"/>
                <w:kern w:val="0"/>
                <w:sz w:val="13"/>
                <w:szCs w:val="13"/>
              </w:rPr>
              <w:t>3</w:t>
            </w:r>
            <w:r>
              <w:rPr>
                <w:rFonts w:hint="eastAsia" w:ascii="方正仿宋_GBK" w:hAnsi="方正仿宋_GBK" w:cs="方正仿宋_GBK"/>
                <w:color w:val="000000" w:themeColor="text1"/>
                <w:kern w:val="0"/>
                <w:sz w:val="13"/>
                <w:szCs w:val="13"/>
              </w:rPr>
              <w:t>）违反法定的行政处罚程序的；（</w:t>
            </w:r>
            <w:r>
              <w:rPr>
                <w:color w:val="000000" w:themeColor="text1"/>
                <w:kern w:val="0"/>
                <w:sz w:val="13"/>
                <w:szCs w:val="13"/>
              </w:rPr>
              <w:t>4</w:t>
            </w:r>
            <w:r>
              <w:rPr>
                <w:rFonts w:hint="eastAsia" w:ascii="方正仿宋_GBK" w:hAnsi="方正仿宋_GBK" w:cs="方正仿宋_GBK"/>
                <w:color w:val="000000" w:themeColor="text1"/>
                <w:kern w:val="0"/>
                <w:sz w:val="13"/>
                <w:szCs w:val="13"/>
              </w:rPr>
              <w:t>）违反《行政处罚法》第十八条关于委托处罚的规定的；（5）执法人员未取得执法证件的；（6）行政机关对符合立案标准的案件不及时立案的；（7）对当事人进行罚款、没收财物等行政处罚不使用法定单据的；（8）违反“罚缴分离”规定，擅自收取罚款的；（</w:t>
            </w:r>
            <w:r>
              <w:rPr>
                <w:rFonts w:hint="eastAsia"/>
                <w:color w:val="000000" w:themeColor="text1"/>
                <w:kern w:val="0"/>
                <w:sz w:val="13"/>
                <w:szCs w:val="13"/>
              </w:rPr>
              <w:t>9</w:t>
            </w:r>
            <w:r>
              <w:rPr>
                <w:rFonts w:hint="eastAsia" w:ascii="方正仿宋_GBK" w:hAnsi="方正仿宋_GBK" w:cs="方正仿宋_GBK"/>
                <w:color w:val="000000" w:themeColor="text1"/>
                <w:kern w:val="0"/>
                <w:sz w:val="13"/>
                <w:szCs w:val="13"/>
              </w:rPr>
              <w:t>）将罚款、没收的违法所得或者财物截留、私分或者变相私分的；（</w:t>
            </w:r>
            <w:r>
              <w:rPr>
                <w:rFonts w:hint="eastAsia"/>
                <w:color w:val="000000" w:themeColor="text1"/>
                <w:kern w:val="0"/>
                <w:sz w:val="13"/>
                <w:szCs w:val="13"/>
              </w:rPr>
              <w:t>10</w:t>
            </w:r>
            <w:r>
              <w:rPr>
                <w:rFonts w:hint="eastAsia" w:ascii="方正仿宋_GBK" w:hAnsi="方正仿宋_GBK" w:cs="方正仿宋_GBK"/>
                <w:color w:val="000000" w:themeColor="text1"/>
                <w:kern w:val="0"/>
                <w:sz w:val="13"/>
                <w:szCs w:val="13"/>
              </w:rPr>
              <w:t>）在行政处罚过程中发生腐败行为的；（</w:t>
            </w:r>
            <w:r>
              <w:rPr>
                <w:rFonts w:hint="eastAsia"/>
                <w:color w:val="000000" w:themeColor="text1"/>
                <w:kern w:val="0"/>
                <w:sz w:val="13"/>
                <w:szCs w:val="13"/>
              </w:rPr>
              <w:t>11</w:t>
            </w:r>
            <w:r>
              <w:rPr>
                <w:rFonts w:hint="eastAsia" w:ascii="方正仿宋_GBK" w:hAnsi="方正仿宋_GBK" w:cs="方正仿宋_GBK"/>
                <w:color w:val="000000" w:themeColor="text1"/>
                <w:kern w:val="0"/>
                <w:sz w:val="13"/>
                <w:szCs w:val="13"/>
              </w:rPr>
              <w:t>）使用或者损毁扣押的财物，对当事人造成损失的；（</w:t>
            </w:r>
            <w:r>
              <w:rPr>
                <w:color w:val="000000" w:themeColor="text1"/>
                <w:kern w:val="0"/>
                <w:sz w:val="13"/>
                <w:szCs w:val="13"/>
              </w:rPr>
              <w:t>1</w:t>
            </w:r>
            <w:r>
              <w:rPr>
                <w:rFonts w:hint="eastAsia"/>
                <w:color w:val="000000" w:themeColor="text1"/>
                <w:kern w:val="0"/>
                <w:sz w:val="13"/>
                <w:szCs w:val="13"/>
              </w:rPr>
              <w:t>2</w:t>
            </w:r>
            <w:r>
              <w:rPr>
                <w:rFonts w:hint="eastAsia" w:ascii="方正仿宋_GBK" w:hAnsi="方正仿宋_GBK" w:cs="方正仿宋_GBK"/>
                <w:color w:val="000000" w:themeColor="text1"/>
                <w:kern w:val="0"/>
                <w:sz w:val="13"/>
                <w:szCs w:val="13"/>
              </w:rPr>
              <w:t>）违法实行检查措施或者执行措施，给公民人身或者财产造成损害、给法人或者其他组织造成损失的；（</w:t>
            </w:r>
            <w:r>
              <w:rPr>
                <w:color w:val="000000" w:themeColor="text1"/>
                <w:kern w:val="0"/>
                <w:sz w:val="13"/>
                <w:szCs w:val="13"/>
              </w:rPr>
              <w:t>1</w:t>
            </w:r>
            <w:r>
              <w:rPr>
                <w:rFonts w:hint="eastAsia"/>
                <w:color w:val="000000" w:themeColor="text1"/>
                <w:kern w:val="0"/>
                <w:sz w:val="13"/>
                <w:szCs w:val="13"/>
              </w:rPr>
              <w:t>3</w:t>
            </w:r>
            <w:r>
              <w:rPr>
                <w:rFonts w:hint="eastAsia" w:ascii="方正仿宋_GBK" w:hAnsi="方正仿宋_GBK" w:cs="方正仿宋_GBK"/>
                <w:color w:val="000000" w:themeColor="text1"/>
                <w:kern w:val="0"/>
                <w:sz w:val="13"/>
                <w:szCs w:val="13"/>
              </w:rPr>
              <w:t>）应当移送追究刑事责任，而未依法移送司法机关的；（</w:t>
            </w:r>
            <w:r>
              <w:rPr>
                <w:color w:val="000000" w:themeColor="text1"/>
                <w:kern w:val="0"/>
                <w:sz w:val="13"/>
                <w:szCs w:val="13"/>
              </w:rPr>
              <w:t>1</w:t>
            </w:r>
            <w:r>
              <w:rPr>
                <w:rFonts w:hint="eastAsia"/>
                <w:color w:val="000000" w:themeColor="text1"/>
                <w:kern w:val="0"/>
                <w:sz w:val="13"/>
                <w:szCs w:val="13"/>
              </w:rPr>
              <w:t>4</w:t>
            </w:r>
            <w:r>
              <w:rPr>
                <w:rFonts w:hint="eastAsia" w:ascii="方正仿宋_GBK" w:hAnsi="方正仿宋_GBK" w:cs="方正仿宋_GBK"/>
                <w:color w:val="000000" w:themeColor="text1"/>
                <w:kern w:val="0"/>
                <w:sz w:val="13"/>
                <w:szCs w:val="13"/>
              </w:rPr>
              <w:t>）对应当予以制止和处罚的违法行为不予制止、处罚，致使公民、法人或者其他组织的合法权益、公共利益和社会秩序遭受损害的；（</w:t>
            </w:r>
            <w:r>
              <w:rPr>
                <w:color w:val="000000" w:themeColor="text1"/>
                <w:kern w:val="0"/>
                <w:sz w:val="13"/>
                <w:szCs w:val="13"/>
              </w:rPr>
              <w:t>1</w:t>
            </w:r>
            <w:r>
              <w:rPr>
                <w:rFonts w:hint="eastAsia"/>
                <w:color w:val="000000" w:themeColor="text1"/>
                <w:kern w:val="0"/>
                <w:sz w:val="13"/>
                <w:szCs w:val="13"/>
              </w:rPr>
              <w:t>5</w:t>
            </w:r>
            <w:r>
              <w:rPr>
                <w:rFonts w:hint="eastAsia" w:ascii="方正仿宋_GBK" w:hAnsi="方正仿宋_GBK" w:cs="方正仿宋_GBK"/>
                <w:color w:val="000000" w:themeColor="text1"/>
                <w:kern w:val="0"/>
                <w:sz w:val="13"/>
                <w:szCs w:val="13"/>
              </w:rPr>
              <w:t>）徇私舞弊、玩忽职守、失密泄密的；（</w:t>
            </w:r>
            <w:r>
              <w:rPr>
                <w:color w:val="000000" w:themeColor="text1"/>
                <w:kern w:val="0"/>
                <w:sz w:val="13"/>
                <w:szCs w:val="13"/>
              </w:rPr>
              <w:t>1</w:t>
            </w:r>
            <w:r>
              <w:rPr>
                <w:rFonts w:hint="eastAsia"/>
                <w:color w:val="000000" w:themeColor="text1"/>
                <w:kern w:val="0"/>
                <w:sz w:val="13"/>
                <w:szCs w:val="13"/>
              </w:rPr>
              <w:t>6</w:t>
            </w:r>
            <w:r>
              <w:rPr>
                <w:rFonts w:hint="eastAsia" w:ascii="方正仿宋_GBK" w:hAnsi="方正仿宋_GBK" w:cs="方正仿宋_GBK"/>
                <w:color w:val="000000" w:themeColor="text1"/>
                <w:kern w:val="0"/>
                <w:sz w:val="13"/>
                <w:szCs w:val="13"/>
              </w:rPr>
              <w:t xml:space="preserve">）其他违反法律法规规章文件规定的行为。 </w:t>
            </w:r>
          </w:p>
        </w:tc>
        <w:tc>
          <w:tcPr>
            <w:tcW w:w="1569" w:type="pct"/>
            <w:tcBorders>
              <w:top w:val="single" w:color="000000" w:sz="4" w:space="0"/>
              <w:left w:val="single" w:color="000000" w:sz="4" w:space="0"/>
              <w:bottom w:val="single" w:color="000000" w:sz="4" w:space="0"/>
              <w:right w:val="single" w:color="000000" w:sz="4" w:space="0"/>
            </w:tcBorders>
            <w:vAlign w:val="center"/>
          </w:tcPr>
          <w:p w14:paraId="70BF83FF">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1.《行政机关公务员处分条例》第二十条、第二十三条、第二十五条。</w:t>
            </w:r>
          </w:p>
          <w:p w14:paraId="7374E958">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2.《行政处罚法》第七十六条、第七十七条、第七十八条、第七十九条、第八十条、第八十一条、第八十二条、第八十三条。</w:t>
            </w:r>
          </w:p>
          <w:p w14:paraId="74AB9449">
            <w:pPr>
              <w:widowControl/>
              <w:adjustRightInd w:val="0"/>
              <w:snapToGrid w:val="0"/>
              <w:spacing w:line="200" w:lineRule="atLeast"/>
              <w:textAlignment w:val="center"/>
              <w:rPr>
                <w:color w:val="000000" w:themeColor="text1"/>
                <w:kern w:val="0"/>
                <w:sz w:val="13"/>
                <w:szCs w:val="13"/>
              </w:rPr>
            </w:pPr>
          </w:p>
        </w:tc>
        <w:tc>
          <w:tcPr>
            <w:tcW w:w="185" w:type="pct"/>
            <w:tcBorders>
              <w:top w:val="single" w:color="000000" w:sz="4" w:space="0"/>
              <w:left w:val="single" w:color="000000" w:sz="4" w:space="0"/>
              <w:bottom w:val="single" w:color="000000" w:sz="4" w:space="0"/>
              <w:right w:val="single" w:color="000000" w:sz="4" w:space="0"/>
            </w:tcBorders>
            <w:vAlign w:val="center"/>
          </w:tcPr>
          <w:p w14:paraId="3875D29F">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县卫生健康委</w:t>
            </w:r>
          </w:p>
        </w:tc>
      </w:tr>
      <w:tr w14:paraId="7354668F">
        <w:tblPrEx>
          <w:tblCellMar>
            <w:top w:w="0" w:type="dxa"/>
            <w:left w:w="57" w:type="dxa"/>
            <w:bottom w:w="0" w:type="dxa"/>
            <w:right w:w="57" w:type="dxa"/>
          </w:tblCellMar>
        </w:tblPrEx>
        <w:trPr>
          <w:cantSplit/>
          <w:trHeight w:val="1196"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6B962167">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22</w:t>
            </w:r>
          </w:p>
        </w:tc>
        <w:tc>
          <w:tcPr>
            <w:tcW w:w="233" w:type="pct"/>
            <w:tcBorders>
              <w:top w:val="single" w:color="000000" w:sz="4" w:space="0"/>
              <w:left w:val="single" w:color="000000" w:sz="4" w:space="0"/>
              <w:bottom w:val="single" w:color="000000" w:sz="4" w:space="0"/>
              <w:right w:val="single" w:color="000000" w:sz="4" w:space="0"/>
            </w:tcBorders>
            <w:vAlign w:val="center"/>
          </w:tcPr>
          <w:p w14:paraId="188ACD63">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定期对签单发航制度的实施情况进行检查</w:t>
            </w:r>
          </w:p>
        </w:tc>
        <w:tc>
          <w:tcPr>
            <w:tcW w:w="186" w:type="pct"/>
            <w:tcBorders>
              <w:top w:val="single" w:color="000000" w:sz="4" w:space="0"/>
              <w:left w:val="single" w:color="000000" w:sz="4" w:space="0"/>
              <w:bottom w:val="single" w:color="000000" w:sz="4" w:space="0"/>
              <w:right w:val="single" w:color="000000" w:sz="4" w:space="0"/>
            </w:tcBorders>
            <w:vAlign w:val="center"/>
          </w:tcPr>
          <w:p w14:paraId="3F046D97">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851" w:type="pct"/>
            <w:tcBorders>
              <w:top w:val="single" w:color="000000" w:sz="4" w:space="0"/>
              <w:left w:val="single" w:color="000000" w:sz="4" w:space="0"/>
              <w:bottom w:val="single" w:color="000000" w:sz="4" w:space="0"/>
              <w:right w:val="single" w:color="000000" w:sz="4" w:space="0"/>
            </w:tcBorders>
            <w:vAlign w:val="center"/>
          </w:tcPr>
          <w:p w14:paraId="2BF4FA89">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《内河渡口渡船安全管理规定》第三十六条第三款 乡镇人民政府应当定期对签单发航制度的实施情况进行检查。</w:t>
            </w:r>
          </w:p>
        </w:tc>
        <w:tc>
          <w:tcPr>
            <w:tcW w:w="875" w:type="pct"/>
            <w:tcBorders>
              <w:top w:val="single" w:color="000000" w:sz="4" w:space="0"/>
              <w:left w:val="single" w:color="000000" w:sz="4" w:space="0"/>
              <w:bottom w:val="single" w:color="000000" w:sz="4" w:space="0"/>
              <w:right w:val="single" w:color="000000" w:sz="4" w:space="0"/>
            </w:tcBorders>
            <w:vAlign w:val="center"/>
          </w:tcPr>
          <w:p w14:paraId="06648FD4">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1.违反《内河渡口渡船安全管理规定》的情形：主管机关工作人员滥用职权、玩忽职守导致严重失职的。 </w:t>
            </w:r>
          </w:p>
          <w:p w14:paraId="0CE19D5E">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2.违反《公务员法》、《监察法》、《行政机关公务员处分条例》等的追责情形。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04965022">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1.《内河渡口渡船安全管理规定》第四十九条。 </w:t>
            </w:r>
          </w:p>
          <w:p w14:paraId="7BB38827">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185" w:type="pct"/>
            <w:tcBorders>
              <w:top w:val="single" w:color="000000" w:sz="4" w:space="0"/>
              <w:left w:val="single" w:color="000000" w:sz="4" w:space="0"/>
              <w:bottom w:val="single" w:color="000000" w:sz="4" w:space="0"/>
              <w:right w:val="single" w:color="000000" w:sz="4" w:space="0"/>
            </w:tcBorders>
            <w:vAlign w:val="center"/>
          </w:tcPr>
          <w:p w14:paraId="4D203034">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县交通局</w:t>
            </w:r>
          </w:p>
        </w:tc>
      </w:tr>
      <w:tr w14:paraId="25B97071">
        <w:tblPrEx>
          <w:tblCellMar>
            <w:top w:w="0" w:type="dxa"/>
            <w:left w:w="57" w:type="dxa"/>
            <w:bottom w:w="0" w:type="dxa"/>
            <w:right w:w="57" w:type="dxa"/>
          </w:tblCellMar>
        </w:tblPrEx>
        <w:trPr>
          <w:cantSplit/>
          <w:trHeight w:val="1712"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3A696800">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23</w:t>
            </w:r>
          </w:p>
        </w:tc>
        <w:tc>
          <w:tcPr>
            <w:tcW w:w="233" w:type="pct"/>
            <w:tcBorders>
              <w:top w:val="single" w:color="000000" w:sz="4" w:space="0"/>
              <w:left w:val="single" w:color="000000" w:sz="4" w:space="0"/>
              <w:bottom w:val="single" w:color="000000" w:sz="4" w:space="0"/>
              <w:right w:val="single" w:color="000000" w:sz="4" w:space="0"/>
            </w:tcBorders>
            <w:vAlign w:val="center"/>
          </w:tcPr>
          <w:p w14:paraId="5374682A">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对渡口渡运的安全检查</w:t>
            </w:r>
          </w:p>
        </w:tc>
        <w:tc>
          <w:tcPr>
            <w:tcW w:w="186" w:type="pct"/>
            <w:tcBorders>
              <w:top w:val="single" w:color="000000" w:sz="4" w:space="0"/>
              <w:left w:val="single" w:color="000000" w:sz="4" w:space="0"/>
              <w:bottom w:val="single" w:color="000000" w:sz="4" w:space="0"/>
              <w:right w:val="single" w:color="000000" w:sz="4" w:space="0"/>
            </w:tcBorders>
            <w:vAlign w:val="center"/>
          </w:tcPr>
          <w:p w14:paraId="25EC4350">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851" w:type="pct"/>
            <w:tcBorders>
              <w:top w:val="single" w:color="000000" w:sz="4" w:space="0"/>
              <w:left w:val="single" w:color="000000" w:sz="4" w:space="0"/>
              <w:bottom w:val="single" w:color="000000" w:sz="4" w:space="0"/>
              <w:right w:val="single" w:color="000000" w:sz="4" w:space="0"/>
            </w:tcBorders>
            <w:vAlign w:val="center"/>
          </w:tcPr>
          <w:p w14:paraId="5DE6E624">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《内河渡口渡船安全管理规定》第三十五条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875" w:type="pct"/>
            <w:tcBorders>
              <w:top w:val="single" w:color="000000" w:sz="4" w:space="0"/>
              <w:left w:val="single" w:color="000000" w:sz="4" w:space="0"/>
              <w:bottom w:val="single" w:color="000000" w:sz="4" w:space="0"/>
              <w:right w:val="single" w:color="000000" w:sz="4" w:space="0"/>
            </w:tcBorders>
            <w:vAlign w:val="center"/>
          </w:tcPr>
          <w:p w14:paraId="58D2794D">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1.违反《内河渡口渡船安全管理规定》的情形：主管机关工作人员滥用职权、玩忽职守导致严重失职的。 </w:t>
            </w:r>
          </w:p>
          <w:p w14:paraId="1FFF49DB">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2.违反《公务员法》、《监察法》、《行政机关公务员处分条例》等的追责情形。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14772DC7">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1.《内河渡口渡船安全管理规定》第四十九条。 </w:t>
            </w:r>
          </w:p>
          <w:p w14:paraId="18B880C4">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185" w:type="pct"/>
            <w:tcBorders>
              <w:top w:val="single" w:color="000000" w:sz="4" w:space="0"/>
              <w:left w:val="single" w:color="000000" w:sz="4" w:space="0"/>
              <w:bottom w:val="single" w:color="000000" w:sz="4" w:space="0"/>
              <w:right w:val="single" w:color="000000" w:sz="4" w:space="0"/>
            </w:tcBorders>
            <w:vAlign w:val="center"/>
          </w:tcPr>
          <w:p w14:paraId="5D0CF5B6">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县交通局</w:t>
            </w:r>
          </w:p>
        </w:tc>
      </w:tr>
      <w:tr w14:paraId="43D3EA35">
        <w:tblPrEx>
          <w:tblCellMar>
            <w:top w:w="0" w:type="dxa"/>
            <w:left w:w="57" w:type="dxa"/>
            <w:bottom w:w="0" w:type="dxa"/>
            <w:right w:w="57" w:type="dxa"/>
          </w:tblCellMar>
        </w:tblPrEx>
        <w:trPr>
          <w:cantSplit/>
          <w:trHeight w:val="3048"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3F54D4D7">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24</w:t>
            </w:r>
          </w:p>
        </w:tc>
        <w:tc>
          <w:tcPr>
            <w:tcW w:w="233" w:type="pct"/>
            <w:tcBorders>
              <w:top w:val="single" w:color="000000" w:sz="4" w:space="0"/>
              <w:left w:val="single" w:color="000000" w:sz="4" w:space="0"/>
              <w:bottom w:val="single" w:color="000000" w:sz="4" w:space="0"/>
              <w:right w:val="single" w:color="000000" w:sz="4" w:space="0"/>
            </w:tcBorders>
            <w:vAlign w:val="center"/>
          </w:tcPr>
          <w:p w14:paraId="3BACF3DE">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督促本行政区域内的船舶所有人、经营人和船员遵守内河交通安全法律法规</w:t>
            </w:r>
          </w:p>
        </w:tc>
        <w:tc>
          <w:tcPr>
            <w:tcW w:w="186" w:type="pct"/>
            <w:tcBorders>
              <w:top w:val="single" w:color="000000" w:sz="4" w:space="0"/>
              <w:left w:val="single" w:color="000000" w:sz="4" w:space="0"/>
              <w:bottom w:val="single" w:color="000000" w:sz="4" w:space="0"/>
              <w:right w:val="single" w:color="000000" w:sz="4" w:space="0"/>
            </w:tcBorders>
            <w:vAlign w:val="center"/>
          </w:tcPr>
          <w:p w14:paraId="7C6F81E1">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851" w:type="pct"/>
            <w:tcBorders>
              <w:top w:val="single" w:color="000000" w:sz="4" w:space="0"/>
              <w:left w:val="single" w:color="000000" w:sz="4" w:space="0"/>
              <w:bottom w:val="single" w:color="000000" w:sz="4" w:space="0"/>
              <w:right w:val="single" w:color="000000" w:sz="4" w:space="0"/>
            </w:tcBorders>
            <w:vAlign w:val="center"/>
          </w:tcPr>
          <w:p w14:paraId="23D2DAC3">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《中华人民共和国内河交通安全管理条例》第五条第二款 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tc>
        <w:tc>
          <w:tcPr>
            <w:tcW w:w="875" w:type="pct"/>
            <w:tcBorders>
              <w:top w:val="single" w:color="000000" w:sz="4" w:space="0"/>
              <w:left w:val="single" w:color="000000" w:sz="4" w:space="0"/>
              <w:bottom w:val="single" w:color="000000" w:sz="4" w:space="0"/>
              <w:right w:val="single" w:color="000000" w:sz="4" w:space="0"/>
            </w:tcBorders>
            <w:vAlign w:val="center"/>
          </w:tcPr>
          <w:p w14:paraId="0448012A">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违反《中华人民共和国内河交通安全管理条例》的情形：（1）不依据法定的安全条件进行审批、许可的；（2）对审批、许可的安全事项不实施监督检查的；（3）发现船舶、浮动设施不再具备安全航行、停泊、作业条件而不及时撤销批准或者许可并予以处理的；（4）对未经审批、许可擅自从事旅客、危险货物运输的船舶不实施监督检查，或者发现内河交通安全隐患不及时依法处理，或者对违法行为不依法予以处罚的。 </w:t>
            </w:r>
          </w:p>
          <w:p w14:paraId="622EB95C">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2.违反《公务员法》、《监察法》、《行政机关公务员处分条例》等的追责情形。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1F27E769">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1.《中华人民共和国内河交通安全管理条例》第八十五条、第八十六条、第八十七条、第八十八条。 2.《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185" w:type="pct"/>
            <w:tcBorders>
              <w:top w:val="single" w:color="000000" w:sz="4" w:space="0"/>
              <w:left w:val="single" w:color="000000" w:sz="4" w:space="0"/>
              <w:bottom w:val="single" w:color="000000" w:sz="4" w:space="0"/>
              <w:right w:val="single" w:color="000000" w:sz="4" w:space="0"/>
            </w:tcBorders>
            <w:vAlign w:val="center"/>
          </w:tcPr>
          <w:p w14:paraId="4ED3E434">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县交通局</w:t>
            </w:r>
          </w:p>
        </w:tc>
      </w:tr>
      <w:tr w14:paraId="7388415E">
        <w:tblPrEx>
          <w:tblCellMar>
            <w:top w:w="0" w:type="dxa"/>
            <w:left w:w="57" w:type="dxa"/>
            <w:bottom w:w="0" w:type="dxa"/>
            <w:right w:w="57" w:type="dxa"/>
          </w:tblCellMar>
        </w:tblPrEx>
        <w:trPr>
          <w:cantSplit/>
          <w:trHeight w:val="2023"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096425C8">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25</w:t>
            </w:r>
          </w:p>
        </w:tc>
        <w:tc>
          <w:tcPr>
            <w:tcW w:w="233" w:type="pct"/>
            <w:tcBorders>
              <w:top w:val="single" w:color="000000" w:sz="4" w:space="0"/>
              <w:left w:val="single" w:color="000000" w:sz="4" w:space="0"/>
              <w:bottom w:val="single" w:color="000000" w:sz="4" w:space="0"/>
              <w:right w:val="single" w:color="000000" w:sz="4" w:space="0"/>
            </w:tcBorders>
            <w:vAlign w:val="center"/>
          </w:tcPr>
          <w:p w14:paraId="52072F47">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对水上交通安全进行安全隐患检查及安全隐患督查整改</w:t>
            </w:r>
          </w:p>
        </w:tc>
        <w:tc>
          <w:tcPr>
            <w:tcW w:w="186" w:type="pct"/>
            <w:tcBorders>
              <w:top w:val="single" w:color="000000" w:sz="4" w:space="0"/>
              <w:left w:val="single" w:color="000000" w:sz="4" w:space="0"/>
              <w:bottom w:val="single" w:color="000000" w:sz="4" w:space="0"/>
              <w:right w:val="single" w:color="000000" w:sz="4" w:space="0"/>
            </w:tcBorders>
            <w:vAlign w:val="center"/>
          </w:tcPr>
          <w:p w14:paraId="1218B75F">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851" w:type="pct"/>
            <w:tcBorders>
              <w:top w:val="single" w:color="000000" w:sz="4" w:space="0"/>
              <w:left w:val="single" w:color="000000" w:sz="4" w:space="0"/>
              <w:bottom w:val="single" w:color="000000" w:sz="4" w:space="0"/>
              <w:right w:val="single" w:color="000000" w:sz="4" w:space="0"/>
            </w:tcBorders>
            <w:vAlign w:val="center"/>
          </w:tcPr>
          <w:p w14:paraId="44F17E71">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1.《重庆市水上交通安全管理条例》第四条第二款第（五）项乡（镇）人民政府、街道办事处对本行政区域内的水上交通安全管理履行下列职责:（五）组织安全宣传、安全检查和安全隐患督察整改，以及安全管理人员的考评。</w:t>
            </w:r>
          </w:p>
        </w:tc>
        <w:tc>
          <w:tcPr>
            <w:tcW w:w="875" w:type="pct"/>
            <w:tcBorders>
              <w:top w:val="single" w:color="000000" w:sz="4" w:space="0"/>
              <w:left w:val="single" w:color="000000" w:sz="4" w:space="0"/>
              <w:bottom w:val="single" w:color="000000" w:sz="4" w:space="0"/>
              <w:right w:val="single" w:color="000000" w:sz="4" w:space="0"/>
            </w:tcBorders>
            <w:vAlign w:val="center"/>
          </w:tcPr>
          <w:p w14:paraId="0B321452">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1.违反《重庆市水上交通安全管理条例》的情形：在水上交通安全管理活动中滥用职权、玩忽职守、徇私舞弊的。 </w:t>
            </w:r>
          </w:p>
          <w:p w14:paraId="1E0843B2">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2.违反《公务员法》、《监察法》、《行政机关公务员处分条例》等的追责情形。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79F314CA">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1.《重庆市水上交通安全管理条例》第四十七条。 </w:t>
            </w:r>
          </w:p>
          <w:p w14:paraId="433821DA">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公务员法》、《监察法》、《行政机关公务员处分条例》、《事业单位工作人员处分暂行规定》等法律、法规、规章；涉嫌犯罪的，依法追究刑事责任。中国共产党各级党组织和党员违反有关规定的，适用《中国共产党纪律处分条例》、《关于实行党政领导干部问责的暂行规定》等有关党内法规。</w:t>
            </w:r>
          </w:p>
        </w:tc>
        <w:tc>
          <w:tcPr>
            <w:tcW w:w="185" w:type="pct"/>
            <w:tcBorders>
              <w:top w:val="single" w:color="000000" w:sz="4" w:space="0"/>
              <w:left w:val="single" w:color="000000" w:sz="4" w:space="0"/>
              <w:bottom w:val="single" w:color="000000" w:sz="4" w:space="0"/>
              <w:right w:val="single" w:color="000000" w:sz="4" w:space="0"/>
            </w:tcBorders>
            <w:vAlign w:val="center"/>
          </w:tcPr>
          <w:p w14:paraId="1A478278">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县交通局</w:t>
            </w:r>
          </w:p>
        </w:tc>
      </w:tr>
      <w:tr w14:paraId="71F3A9C4">
        <w:tblPrEx>
          <w:tblCellMar>
            <w:top w:w="0" w:type="dxa"/>
            <w:left w:w="57" w:type="dxa"/>
            <w:bottom w:w="0" w:type="dxa"/>
            <w:right w:w="57" w:type="dxa"/>
          </w:tblCellMar>
        </w:tblPrEx>
        <w:trPr>
          <w:cantSplit/>
          <w:trHeight w:val="3487"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68E0651B">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26</w:t>
            </w:r>
          </w:p>
        </w:tc>
        <w:tc>
          <w:tcPr>
            <w:tcW w:w="233" w:type="pct"/>
            <w:tcBorders>
              <w:top w:val="single" w:color="000000" w:sz="4" w:space="0"/>
              <w:left w:val="single" w:color="000000" w:sz="4" w:space="0"/>
              <w:bottom w:val="single" w:color="000000" w:sz="4" w:space="0"/>
              <w:right w:val="single" w:color="000000" w:sz="4" w:space="0"/>
            </w:tcBorders>
            <w:vAlign w:val="center"/>
          </w:tcPr>
          <w:p w14:paraId="13CEA2FA">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对永久性测量标志的检查、维护</w:t>
            </w:r>
          </w:p>
        </w:tc>
        <w:tc>
          <w:tcPr>
            <w:tcW w:w="186" w:type="pct"/>
            <w:tcBorders>
              <w:top w:val="single" w:color="000000" w:sz="4" w:space="0"/>
              <w:left w:val="single" w:color="000000" w:sz="4" w:space="0"/>
              <w:bottom w:val="single" w:color="000000" w:sz="4" w:space="0"/>
              <w:right w:val="single" w:color="000000" w:sz="4" w:space="0"/>
            </w:tcBorders>
            <w:vAlign w:val="center"/>
          </w:tcPr>
          <w:p w14:paraId="3B478A9D">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851" w:type="pct"/>
            <w:tcBorders>
              <w:top w:val="single" w:color="000000" w:sz="4" w:space="0"/>
              <w:left w:val="single" w:color="000000" w:sz="4" w:space="0"/>
              <w:bottom w:val="single" w:color="000000" w:sz="4" w:space="0"/>
              <w:right w:val="single" w:color="000000" w:sz="4" w:space="0"/>
            </w:tcBorders>
            <w:vAlign w:val="center"/>
          </w:tcPr>
          <w:p w14:paraId="3F11F595">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1.《中华人民共和国测绘法》第四十五条县级以上人民政府应当采取有效措施加强测量标志的保护工作。县级以上人民政府测绘地理信息主管部门应当按照规定检查、维护永久性测量标志。乡级人民政府应当做好本行政区域内的测量标志保护工作。2.《重庆市测绘管理条例》第三十八条市测绘行政主管部门应当建立本市永久性测量标志的档案，对全市的测量标志实行定期巡查和维护。永久性测量标志的维护管理费用，纳入基础测绘经费预算。</w:t>
            </w:r>
          </w:p>
          <w:p w14:paraId="25A63A0A">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p>
          <w:p w14:paraId="132B1334">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p>
        </w:tc>
        <w:tc>
          <w:tcPr>
            <w:tcW w:w="875" w:type="pct"/>
            <w:tcBorders>
              <w:top w:val="single" w:color="000000" w:sz="4" w:space="0"/>
              <w:left w:val="single" w:color="000000" w:sz="4" w:space="0"/>
              <w:bottom w:val="single" w:color="000000" w:sz="4" w:space="0"/>
              <w:right w:val="single" w:color="000000" w:sz="4" w:space="0"/>
            </w:tcBorders>
            <w:vAlign w:val="center"/>
          </w:tcPr>
          <w:p w14:paraId="023948C1">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违反《中华人民共和国测绘法》的情形：违反本法规定，县级以上人民政府测绘地理信息主管部门或者其他有关部门工作人员利用职务上的便利收受他人财物、其他好处或者玩忽职守，对不符合法定条件的单位核发测绘资质证书，不依法履行监督管理职责，或者发现违法行为不予查处的，对负有责任的领导人员和直接责任人员，依法给予处分；构成犯罪的，依法追究刑事责任。 </w:t>
            </w:r>
          </w:p>
          <w:p w14:paraId="08A61558">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2.违反《公务员法》《监察法》《行政机关公务员处分条例》《事业单位工作人员处分暂行规定》等的追责情形。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298931E4">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1.《中华人民共和国测绘法》第五十条。 </w:t>
            </w:r>
          </w:p>
          <w:p w14:paraId="1FD4403A">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2.《公务员法》《监察法》《行政机关公务员处分条例》《事业单位工作人员处分暂行规定》等法律、法规及规章。</w:t>
            </w:r>
          </w:p>
        </w:tc>
        <w:tc>
          <w:tcPr>
            <w:tcW w:w="185" w:type="pct"/>
            <w:tcBorders>
              <w:top w:val="single" w:color="000000" w:sz="4" w:space="0"/>
              <w:left w:val="single" w:color="000000" w:sz="4" w:space="0"/>
              <w:bottom w:val="single" w:color="000000" w:sz="4" w:space="0"/>
              <w:right w:val="single" w:color="000000" w:sz="4" w:space="0"/>
            </w:tcBorders>
            <w:vAlign w:val="center"/>
          </w:tcPr>
          <w:p w14:paraId="6A96C8D9">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县规划自然资源局</w:t>
            </w:r>
          </w:p>
        </w:tc>
      </w:tr>
      <w:tr w14:paraId="16AC0E06">
        <w:tblPrEx>
          <w:tblCellMar>
            <w:top w:w="0" w:type="dxa"/>
            <w:left w:w="57" w:type="dxa"/>
            <w:bottom w:w="0" w:type="dxa"/>
            <w:right w:w="57" w:type="dxa"/>
          </w:tblCellMar>
        </w:tblPrEx>
        <w:trPr>
          <w:cantSplit/>
          <w:trHeight w:val="8623"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513C29A7">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27</w:t>
            </w:r>
          </w:p>
        </w:tc>
        <w:tc>
          <w:tcPr>
            <w:tcW w:w="233" w:type="pct"/>
            <w:tcBorders>
              <w:top w:val="single" w:color="000000" w:sz="4" w:space="0"/>
              <w:left w:val="single" w:color="000000" w:sz="4" w:space="0"/>
              <w:bottom w:val="single" w:color="000000" w:sz="4" w:space="0"/>
              <w:right w:val="single" w:color="000000" w:sz="4" w:space="0"/>
            </w:tcBorders>
            <w:vAlign w:val="center"/>
          </w:tcPr>
          <w:p w14:paraId="52BE258C">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对城乡规划实施情况进行监督检查</w:t>
            </w:r>
          </w:p>
        </w:tc>
        <w:tc>
          <w:tcPr>
            <w:tcW w:w="186" w:type="pct"/>
            <w:tcBorders>
              <w:top w:val="single" w:color="000000" w:sz="4" w:space="0"/>
              <w:left w:val="single" w:color="000000" w:sz="4" w:space="0"/>
              <w:bottom w:val="single" w:color="000000" w:sz="4" w:space="0"/>
              <w:right w:val="single" w:color="000000" w:sz="4" w:space="0"/>
            </w:tcBorders>
            <w:vAlign w:val="center"/>
          </w:tcPr>
          <w:p w14:paraId="7183CE64">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851" w:type="pct"/>
            <w:tcBorders>
              <w:top w:val="single" w:color="000000" w:sz="4" w:space="0"/>
              <w:left w:val="single" w:color="000000" w:sz="4" w:space="0"/>
              <w:bottom w:val="single" w:color="000000" w:sz="4" w:space="0"/>
              <w:right w:val="single" w:color="000000" w:sz="4" w:space="0"/>
            </w:tcBorders>
            <w:vAlign w:val="center"/>
          </w:tcPr>
          <w:p w14:paraId="7049FFC4">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《重庆市城乡规划条例》第七十六条  城乡规划主管部门和乡（镇）人民政府、街道办事处对城乡规划的实施情况进行监督检查，有权采取以下措施:（一）要求有关单位和人员提供与监督检查事项有关的文件、资料，并进行复制；（二）要求有关单位和人员就监督事项涉及的问题作出解释和说明，并根据需要进入现场进行勘测；（三）责令有关单位和人员停止违反城乡规划法律、法规的行为。   有关行政机关在调查或者进行检查时，执法人员不得少于两人。执法人员应当出示执法证件，并为被监督检查的单位和个人保守商业秘密。被监督检查的单位和人员应当予以配合，不得妨碍和阻挠依法进行的监督检查活动。</w:t>
            </w:r>
          </w:p>
        </w:tc>
        <w:tc>
          <w:tcPr>
            <w:tcW w:w="875" w:type="pct"/>
            <w:tcBorders>
              <w:top w:val="single" w:color="000000" w:sz="4" w:space="0"/>
              <w:left w:val="single" w:color="000000" w:sz="4" w:space="0"/>
              <w:bottom w:val="single" w:color="000000" w:sz="4" w:space="0"/>
              <w:right w:val="single" w:color="000000" w:sz="4" w:space="0"/>
            </w:tcBorders>
            <w:vAlign w:val="center"/>
          </w:tcPr>
          <w:p w14:paraId="31447677">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 违反《重庆市城乡规划条例》的情形：乡（镇）人民政府、街道办事处、城乡规划主管部门有下列行为之一的，由本级人民政府、上级人民政府或者上级人民政府城乡规划主管部门责令改正，通报批评；对直接负责的主管人员和其他直接责任人员依法给予警告或者记过处分；情节严重的，给予降级或者撤职处分；情节特别严重的，给予开除处分；构成犯罪的，依法追究刑事责任：（一）依法应当组织编制城乡规划而未组织编制，或者委托不具备相应资质等级的编制单位编制城乡规划的；（二）未按照法定权限、依据、程序组织编制、修改城乡规划的；（三）对经批准的城乡规划、经审定的修建性详细规划或者建设工程施工图的总平面图未依法予以公布的；（四）同意修改建设工程施工图的总平面图前未依法听取利害关系人意见的；（五）核发建设用地规划许可证时擅自改变国有建设用地使用权出让合同确定的规划条件的；（六）未在法定期限内对符合法定条件的申请人核发建设用地规划许可证、建设工程规划许可证、乡村建设规划许可证或者其附图、附件的；（七）超越职权核发或者对不符合法定条件的申请人核发建设用地规划许可证、建设工程规划许可证、乡村建设规划许可证及其附图、附件的；（八）对发现的违反城乡规划的违法建设未按照规定职责进行移交、查处的。</w:t>
            </w:r>
          </w:p>
          <w:p w14:paraId="277F9D10">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 违反《公务员法》《国家监察法》《行政机关公务员处分条例》《事业单位工作人员处分暂行规定》等的追责情形。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5A81D9E3">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 《重庆市城乡规划条例》第八十一条。</w:t>
            </w:r>
          </w:p>
          <w:p w14:paraId="67B960C6">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 《公务员法》《国家监察法》《行政机关公务员处分条例》《事业单位工作人员处分暂行规定》等法律、法规及规章。</w:t>
            </w:r>
          </w:p>
        </w:tc>
        <w:tc>
          <w:tcPr>
            <w:tcW w:w="185" w:type="pct"/>
            <w:tcBorders>
              <w:top w:val="single" w:color="000000" w:sz="4" w:space="0"/>
              <w:left w:val="single" w:color="000000" w:sz="4" w:space="0"/>
              <w:bottom w:val="single" w:color="000000" w:sz="4" w:space="0"/>
              <w:right w:val="single" w:color="000000" w:sz="4" w:space="0"/>
            </w:tcBorders>
            <w:vAlign w:val="center"/>
          </w:tcPr>
          <w:p w14:paraId="52BDBE6B">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县规划自然资源局</w:t>
            </w:r>
          </w:p>
        </w:tc>
      </w:tr>
      <w:tr w14:paraId="572C9164">
        <w:tblPrEx>
          <w:tblCellMar>
            <w:top w:w="0" w:type="dxa"/>
            <w:left w:w="57" w:type="dxa"/>
            <w:bottom w:w="0" w:type="dxa"/>
            <w:right w:w="57" w:type="dxa"/>
          </w:tblCellMar>
        </w:tblPrEx>
        <w:trPr>
          <w:cantSpli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0369B4DE">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28</w:t>
            </w:r>
          </w:p>
        </w:tc>
        <w:tc>
          <w:tcPr>
            <w:tcW w:w="233" w:type="pct"/>
            <w:tcBorders>
              <w:top w:val="single" w:color="000000" w:sz="4" w:space="0"/>
              <w:left w:val="single" w:color="000000" w:sz="4" w:space="0"/>
              <w:bottom w:val="single" w:color="000000" w:sz="4" w:space="0"/>
              <w:right w:val="single" w:color="000000" w:sz="4" w:space="0"/>
            </w:tcBorders>
            <w:vAlign w:val="center"/>
          </w:tcPr>
          <w:p w14:paraId="159E0A8C">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对城乡社区档案工作进行指导和监督</w:t>
            </w:r>
          </w:p>
        </w:tc>
        <w:tc>
          <w:tcPr>
            <w:tcW w:w="186" w:type="pct"/>
            <w:tcBorders>
              <w:top w:val="single" w:color="000000" w:sz="4" w:space="0"/>
              <w:left w:val="single" w:color="000000" w:sz="4" w:space="0"/>
              <w:bottom w:val="single" w:color="000000" w:sz="4" w:space="0"/>
              <w:right w:val="single" w:color="000000" w:sz="4" w:space="0"/>
            </w:tcBorders>
            <w:vAlign w:val="center"/>
          </w:tcPr>
          <w:p w14:paraId="6B7CBD67">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851" w:type="pct"/>
            <w:tcBorders>
              <w:top w:val="single" w:color="000000" w:sz="4" w:space="0"/>
              <w:left w:val="single" w:color="000000" w:sz="4" w:space="0"/>
              <w:bottom w:val="single" w:color="000000" w:sz="4" w:space="0"/>
              <w:right w:val="single" w:color="000000" w:sz="4" w:space="0"/>
            </w:tcBorders>
            <w:vAlign w:val="center"/>
          </w:tcPr>
          <w:p w14:paraId="43C58643">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《城市社区档案管理办法》第三条 社区档案工作在业务上接受街道办事处（乡镇人民政府）以及档案行政管理部门和民政部门的监督和指导。</w:t>
            </w:r>
          </w:p>
        </w:tc>
        <w:tc>
          <w:tcPr>
            <w:tcW w:w="875" w:type="pct"/>
            <w:tcBorders>
              <w:top w:val="single" w:color="000000" w:sz="4" w:space="0"/>
              <w:left w:val="single" w:color="000000" w:sz="4" w:space="0"/>
              <w:bottom w:val="single" w:color="000000" w:sz="4" w:space="0"/>
              <w:right w:val="single" w:color="000000" w:sz="4" w:space="0"/>
            </w:tcBorders>
            <w:vAlign w:val="center"/>
          </w:tcPr>
          <w:p w14:paraId="468A4F95">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 损毁、丢失属于国家所有的档案的； </w:t>
            </w:r>
          </w:p>
          <w:p w14:paraId="2625AAED">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2. 擅自提供、抄录、公布、销毁属于国家所有的档案的； </w:t>
            </w:r>
          </w:p>
          <w:p w14:paraId="5E4D6ED1">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3. 涂改、伪造档案的；</w:t>
            </w:r>
          </w:p>
          <w:p w14:paraId="5EAE0C4B">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4. 违反本法第十六条、第十七条规定，擅自出卖或者转让档案的； </w:t>
            </w:r>
          </w:p>
          <w:p w14:paraId="63C34D0B">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5. 倒卖档案牟利或者将档案卖给、赠送给外国人的； </w:t>
            </w:r>
          </w:p>
          <w:p w14:paraId="403E20B2">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6. 违反本法第十条、第十一条规定，不按规定归档或者不按期移交档案的； </w:t>
            </w:r>
          </w:p>
          <w:p w14:paraId="6F9F5A9D">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7. 明知所保存的档案面临危险而不采取措施，造成档案损失的； </w:t>
            </w:r>
          </w:p>
          <w:p w14:paraId="2CA3A71B">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8. 档案工作人员玩忽职守，造成档案损失的。</w:t>
            </w:r>
          </w:p>
        </w:tc>
        <w:tc>
          <w:tcPr>
            <w:tcW w:w="1569" w:type="pct"/>
            <w:tcBorders>
              <w:top w:val="single" w:color="000000" w:sz="4" w:space="0"/>
              <w:left w:val="single" w:color="000000" w:sz="4" w:space="0"/>
              <w:bottom w:val="single" w:color="000000" w:sz="4" w:space="0"/>
              <w:right w:val="single" w:color="000000" w:sz="4" w:space="0"/>
            </w:tcBorders>
            <w:vAlign w:val="center"/>
          </w:tcPr>
          <w:p w14:paraId="7368F5A7">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 《公务员法》第五十三条、第五十五条。 </w:t>
            </w:r>
          </w:p>
          <w:p w14:paraId="26608F26">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2. 《行政机关公务员处分条例》第三章。 </w:t>
            </w:r>
          </w:p>
          <w:p w14:paraId="1D2395C8">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3. 《中国共产党纪律处分条例》第二十七条、第八十三条、第八十六条、第一百零五条。 </w:t>
            </w:r>
          </w:p>
          <w:p w14:paraId="26EE6995">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4. 《重庆市实施〈关于实行党政领导干部问责的暂行规定〉办法》第五条。</w:t>
            </w:r>
          </w:p>
        </w:tc>
        <w:tc>
          <w:tcPr>
            <w:tcW w:w="185" w:type="pct"/>
            <w:tcBorders>
              <w:top w:val="single" w:color="000000" w:sz="4" w:space="0"/>
              <w:left w:val="single" w:color="000000" w:sz="4" w:space="0"/>
              <w:bottom w:val="single" w:color="000000" w:sz="4" w:space="0"/>
              <w:right w:val="single" w:color="000000" w:sz="4" w:space="0"/>
            </w:tcBorders>
            <w:vAlign w:val="center"/>
          </w:tcPr>
          <w:p w14:paraId="6BF739C4">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县民政局</w:t>
            </w:r>
          </w:p>
        </w:tc>
      </w:tr>
      <w:tr w14:paraId="550AC127">
        <w:tblPrEx>
          <w:tblCellMar>
            <w:top w:w="0" w:type="dxa"/>
            <w:left w:w="57" w:type="dxa"/>
            <w:bottom w:w="0" w:type="dxa"/>
            <w:right w:w="57" w:type="dxa"/>
          </w:tblCellMar>
        </w:tblPrEx>
        <w:trPr>
          <w:cantSplit/>
          <w:trHeight w:val="5926"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4C13C9AF">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29</w:t>
            </w:r>
          </w:p>
        </w:tc>
        <w:tc>
          <w:tcPr>
            <w:tcW w:w="233" w:type="pct"/>
            <w:tcBorders>
              <w:top w:val="single" w:color="000000" w:sz="4" w:space="0"/>
              <w:left w:val="single" w:color="000000" w:sz="4" w:space="0"/>
              <w:bottom w:val="single" w:color="000000" w:sz="4" w:space="0"/>
              <w:right w:val="single" w:color="000000" w:sz="4" w:space="0"/>
            </w:tcBorders>
            <w:vAlign w:val="center"/>
          </w:tcPr>
          <w:p w14:paraId="1D90CC36">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对生产经营单位安全生产状况的监督检查</w:t>
            </w:r>
          </w:p>
        </w:tc>
        <w:tc>
          <w:tcPr>
            <w:tcW w:w="186" w:type="pct"/>
            <w:tcBorders>
              <w:top w:val="single" w:color="000000" w:sz="4" w:space="0"/>
              <w:left w:val="single" w:color="000000" w:sz="4" w:space="0"/>
              <w:bottom w:val="single" w:color="000000" w:sz="4" w:space="0"/>
              <w:right w:val="single" w:color="000000" w:sz="4" w:space="0"/>
            </w:tcBorders>
            <w:vAlign w:val="center"/>
          </w:tcPr>
          <w:p w14:paraId="6A722056">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851" w:type="pct"/>
            <w:tcBorders>
              <w:top w:val="single" w:color="000000" w:sz="4" w:space="0"/>
              <w:left w:val="single" w:color="000000" w:sz="4" w:space="0"/>
              <w:bottom w:val="single" w:color="000000" w:sz="4" w:space="0"/>
              <w:right w:val="single" w:color="000000" w:sz="4" w:space="0"/>
            </w:tcBorders>
            <w:vAlign w:val="center"/>
          </w:tcPr>
          <w:p w14:paraId="0DD8AD1C">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 xml:space="preserve">1.《中华人民共和国安全生产法》第九条第二款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 </w:t>
            </w:r>
          </w:p>
          <w:p w14:paraId="50D681CC">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2.《重庆市安全生产条例》第六条第三款  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第三十五条第一款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w:t>
            </w:r>
          </w:p>
        </w:tc>
        <w:tc>
          <w:tcPr>
            <w:tcW w:w="875" w:type="pct"/>
            <w:tcBorders>
              <w:top w:val="single" w:color="000000" w:sz="4" w:space="0"/>
              <w:left w:val="single" w:color="000000" w:sz="4" w:space="0"/>
              <w:bottom w:val="single" w:color="000000" w:sz="4" w:space="0"/>
              <w:right w:val="single" w:color="000000" w:sz="4" w:space="0"/>
            </w:tcBorders>
            <w:vAlign w:val="center"/>
          </w:tcPr>
          <w:p w14:paraId="0401FE1E">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１.第九十条　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 负有安全生产监督管理职责的部门的工作人员有前款规定以外的滥用职权、玩忽职守、徇私舞弊行为的，依法给予处分；构成犯罪的，依照刑法有关规定追究刑事责任。</w:t>
            </w:r>
          </w:p>
          <w:p w14:paraId="1EBF9003">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2. 违反《公务员法》《国家监察法》《行政机关公务员处分条例》《事业单位工作人员处分暂行规定》等的追责情形。</w:t>
            </w:r>
          </w:p>
        </w:tc>
        <w:tc>
          <w:tcPr>
            <w:tcW w:w="1569" w:type="pct"/>
            <w:tcBorders>
              <w:top w:val="single" w:color="000000" w:sz="4" w:space="0"/>
              <w:left w:val="single" w:color="000000" w:sz="4" w:space="0"/>
              <w:bottom w:val="single" w:color="000000" w:sz="4" w:space="0"/>
              <w:right w:val="single" w:color="000000" w:sz="4" w:space="0"/>
            </w:tcBorders>
            <w:vAlign w:val="center"/>
          </w:tcPr>
          <w:p w14:paraId="3DAB2742">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 xml:space="preserve">1.《中华人民共和国安全生产法》第九十条； </w:t>
            </w:r>
          </w:p>
          <w:p w14:paraId="21C3607A">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2.《公务员法》《国家监察法》《行政机关公务员处分条例》《事业单位工作人员处分暂行规定》等法律、法规及规章。</w:t>
            </w:r>
          </w:p>
        </w:tc>
        <w:tc>
          <w:tcPr>
            <w:tcW w:w="185" w:type="pct"/>
            <w:tcBorders>
              <w:top w:val="single" w:color="000000" w:sz="4" w:space="0"/>
              <w:left w:val="single" w:color="000000" w:sz="4" w:space="0"/>
              <w:bottom w:val="single" w:color="000000" w:sz="4" w:space="0"/>
              <w:right w:val="single" w:color="000000" w:sz="4" w:space="0"/>
            </w:tcBorders>
            <w:vAlign w:val="center"/>
          </w:tcPr>
          <w:p w14:paraId="4967F8F3">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县应急局</w:t>
            </w:r>
          </w:p>
        </w:tc>
      </w:tr>
      <w:tr w14:paraId="518D45D0">
        <w:tblPrEx>
          <w:tblCellMar>
            <w:top w:w="0" w:type="dxa"/>
            <w:left w:w="57" w:type="dxa"/>
            <w:bottom w:w="0" w:type="dxa"/>
            <w:right w:w="57" w:type="dxa"/>
          </w:tblCellMar>
        </w:tblPrEx>
        <w:trPr>
          <w:cantSpli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764EC566">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30</w:t>
            </w:r>
          </w:p>
        </w:tc>
        <w:tc>
          <w:tcPr>
            <w:tcW w:w="233" w:type="pct"/>
            <w:tcBorders>
              <w:top w:val="single" w:color="000000" w:sz="4" w:space="0"/>
              <w:left w:val="single" w:color="000000" w:sz="4" w:space="0"/>
              <w:bottom w:val="single" w:color="000000" w:sz="4" w:space="0"/>
              <w:right w:val="single" w:color="000000" w:sz="4" w:space="0"/>
            </w:tcBorders>
            <w:vAlign w:val="center"/>
          </w:tcPr>
          <w:p w14:paraId="19A16E40">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对污染防治情况、污染物排放情况、环境风险防范情况等进行现场检查</w:t>
            </w:r>
          </w:p>
        </w:tc>
        <w:tc>
          <w:tcPr>
            <w:tcW w:w="186" w:type="pct"/>
            <w:tcBorders>
              <w:top w:val="single" w:color="000000" w:sz="4" w:space="0"/>
              <w:left w:val="single" w:color="000000" w:sz="4" w:space="0"/>
              <w:bottom w:val="single" w:color="000000" w:sz="4" w:space="0"/>
              <w:right w:val="single" w:color="000000" w:sz="4" w:space="0"/>
            </w:tcBorders>
            <w:vAlign w:val="center"/>
          </w:tcPr>
          <w:p w14:paraId="1F2C836C">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851" w:type="pct"/>
            <w:tcBorders>
              <w:top w:val="single" w:color="000000" w:sz="4" w:space="0"/>
              <w:left w:val="single" w:color="000000" w:sz="4" w:space="0"/>
              <w:bottom w:val="single" w:color="000000" w:sz="4" w:space="0"/>
              <w:right w:val="single" w:color="000000" w:sz="4" w:space="0"/>
            </w:tcBorders>
            <w:vAlign w:val="center"/>
          </w:tcPr>
          <w:p w14:paraId="5AAA92DA">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《重庆市环境保护条例》第四条第三款  乡镇人民政府、街道办事处应当做好本辖区内环境保护基础设施的日常监督管理、饮用水水源保护巡查、污染源现场监督检查、环境污染投诉调查及损害纠纷调解等环境保护工作。第三十六条  环境保护主管部门和负有环境保护监督管理职责的部门应当建立环境保护现场检查制度，对企业事业单位及其他生产经营者的污染物排放情况、污染防治情况、环境风险防范情况以及各项环境保护法律制度的执行情况进行检查。乡镇人民政府、街道办事处在环境保护日常监督管理工作中，可以对本辖区企业事业单位和其他生产经营者的污染防治情况、污染物排放情况、环境风险防范情况等进行现场检查，发现环境违法行为应当及时制止，并将相关情况及时报告区县（自治县）环境保护主管部门。现场检查可以采取采样、监测、摄影、摄像、文字记录和查阅、复制有关资料等方式。检查记录由当事人签字确认；当事人拒绝签字的，应当在检查记录中予以注明。</w:t>
            </w:r>
          </w:p>
        </w:tc>
        <w:tc>
          <w:tcPr>
            <w:tcW w:w="875" w:type="pct"/>
            <w:tcBorders>
              <w:top w:val="single" w:color="000000" w:sz="4" w:space="0"/>
              <w:left w:val="single" w:color="000000" w:sz="4" w:space="0"/>
              <w:bottom w:val="single" w:color="000000" w:sz="4" w:space="0"/>
              <w:right w:val="single" w:color="000000" w:sz="4" w:space="0"/>
            </w:tcBorders>
            <w:vAlign w:val="center"/>
          </w:tcPr>
          <w:p w14:paraId="04C754DC">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因不履行或不正确履行行政职责，有下列情形的，行政机关及相关工作人员应承担相应责任：</w:t>
            </w:r>
          </w:p>
          <w:p w14:paraId="7F622B9E">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1. 违法实行检查措施或者执行措施，给公民人身或者财产造成损害、给法人或者其他组织造成损失的；</w:t>
            </w:r>
          </w:p>
          <w:p w14:paraId="622604E0">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 为牟取本单位私利，应当移送追究刑事责任，而未依法移送司法机关的，以行政处罚代替刑罚，经上级行政机关或者有关部门责令纠正而拒不纠正；</w:t>
            </w:r>
          </w:p>
          <w:p w14:paraId="5D320F05">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3. 徇私舞弊、包庇纵容违法行为的；</w:t>
            </w:r>
          </w:p>
          <w:p w14:paraId="66D18A95">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4. 在行政执法过程中发生腐败行为的；</w:t>
            </w:r>
          </w:p>
          <w:p w14:paraId="1E889305">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5. 其他违反法律法规规章文件规定的行为。</w:t>
            </w:r>
          </w:p>
        </w:tc>
        <w:tc>
          <w:tcPr>
            <w:tcW w:w="1569" w:type="pct"/>
            <w:tcBorders>
              <w:top w:val="single" w:color="000000" w:sz="4" w:space="0"/>
              <w:left w:val="single" w:color="000000" w:sz="4" w:space="0"/>
              <w:bottom w:val="single" w:color="000000" w:sz="4" w:space="0"/>
              <w:right w:val="single" w:color="000000" w:sz="4" w:space="0"/>
            </w:tcBorders>
            <w:vAlign w:val="center"/>
          </w:tcPr>
          <w:p w14:paraId="09898B5B">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color w:val="000000" w:themeColor="text1"/>
                <w:kern w:val="0"/>
                <w:sz w:val="13"/>
                <w:szCs w:val="13"/>
              </w:rPr>
              <w:t>1. 《行政处罚法》</w:t>
            </w:r>
            <w:r>
              <w:rPr>
                <w:rFonts w:hint="eastAsia" w:ascii="方正仿宋_GBK" w:hAnsi="方正仿宋_GBK" w:cs="方正仿宋_GBK"/>
                <w:color w:val="000000" w:themeColor="text1"/>
                <w:kern w:val="0"/>
                <w:sz w:val="13"/>
                <w:szCs w:val="13"/>
              </w:rPr>
              <w:t>第七十六条、第七十七条、第七十八条、第七十九条、第八十条、第八十一条、第八十二条、第八十三条。</w:t>
            </w:r>
          </w:p>
          <w:p w14:paraId="6FE9CB42">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2. 《环境保护法》第六十八条、第六十九条。</w:t>
            </w:r>
          </w:p>
          <w:p w14:paraId="56535CCC">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3. 《行政机关公务员处分条例》第二十三条。</w:t>
            </w:r>
          </w:p>
        </w:tc>
        <w:tc>
          <w:tcPr>
            <w:tcW w:w="185" w:type="pct"/>
            <w:tcBorders>
              <w:top w:val="single" w:color="000000" w:sz="4" w:space="0"/>
              <w:left w:val="single" w:color="000000" w:sz="4" w:space="0"/>
              <w:bottom w:val="single" w:color="000000" w:sz="4" w:space="0"/>
              <w:right w:val="single" w:color="000000" w:sz="4" w:space="0"/>
            </w:tcBorders>
            <w:vAlign w:val="center"/>
          </w:tcPr>
          <w:p w14:paraId="4BBF2A07">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县生态环境局</w:t>
            </w:r>
          </w:p>
        </w:tc>
      </w:tr>
      <w:tr w14:paraId="1DF4B8E7">
        <w:tblPrEx>
          <w:tblCellMar>
            <w:top w:w="0" w:type="dxa"/>
            <w:left w:w="57" w:type="dxa"/>
            <w:bottom w:w="0" w:type="dxa"/>
            <w:right w:w="57" w:type="dxa"/>
          </w:tblCellMar>
        </w:tblPrEx>
        <w:trPr>
          <w:cantSplit/>
          <w:trHeight w:val="5846" w:hRule="atLeast"/>
          <w:jc w:val="center"/>
        </w:trPr>
        <w:tc>
          <w:tcPr>
            <w:tcW w:w="98" w:type="pct"/>
            <w:tcBorders>
              <w:top w:val="single" w:color="000000" w:sz="4" w:space="0"/>
              <w:left w:val="single" w:color="000000" w:sz="4" w:space="0"/>
              <w:bottom w:val="single" w:color="000000" w:sz="4" w:space="0"/>
              <w:right w:val="single" w:color="000000" w:sz="4" w:space="0"/>
            </w:tcBorders>
            <w:vAlign w:val="center"/>
          </w:tcPr>
          <w:p w14:paraId="2FAEEE3C">
            <w:pPr>
              <w:widowControl/>
              <w:adjustRightInd w:val="0"/>
              <w:snapToGrid w:val="0"/>
              <w:spacing w:line="200" w:lineRule="atLeast"/>
              <w:textAlignment w:val="bottom"/>
              <w:rPr>
                <w:color w:val="000000" w:themeColor="text1"/>
                <w:kern w:val="0"/>
                <w:sz w:val="13"/>
                <w:szCs w:val="13"/>
              </w:rPr>
            </w:pPr>
            <w:r>
              <w:rPr>
                <w:rFonts w:hint="eastAsia"/>
                <w:color w:val="000000" w:themeColor="text1"/>
                <w:kern w:val="0"/>
                <w:sz w:val="13"/>
                <w:szCs w:val="13"/>
              </w:rPr>
              <w:t>31</w:t>
            </w:r>
          </w:p>
        </w:tc>
        <w:tc>
          <w:tcPr>
            <w:tcW w:w="233" w:type="pct"/>
            <w:tcBorders>
              <w:top w:val="single" w:color="000000" w:sz="4" w:space="0"/>
              <w:left w:val="single" w:color="000000" w:sz="4" w:space="0"/>
              <w:bottom w:val="single" w:color="000000" w:sz="4" w:space="0"/>
              <w:right w:val="single" w:color="000000" w:sz="4" w:space="0"/>
            </w:tcBorders>
            <w:vAlign w:val="center"/>
          </w:tcPr>
          <w:p w14:paraId="649F88D1">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本行政区域内房屋使用安全隐患排查、督促房屋隐患整改、设立危险房屋警示标志、房屋安全应急管理等监督管理工作</w:t>
            </w:r>
          </w:p>
        </w:tc>
        <w:tc>
          <w:tcPr>
            <w:tcW w:w="186" w:type="pct"/>
            <w:tcBorders>
              <w:top w:val="single" w:color="000000" w:sz="4" w:space="0"/>
              <w:left w:val="single" w:color="000000" w:sz="4" w:space="0"/>
              <w:bottom w:val="single" w:color="000000" w:sz="4" w:space="0"/>
              <w:right w:val="single" w:color="000000" w:sz="4" w:space="0"/>
            </w:tcBorders>
            <w:vAlign w:val="center"/>
          </w:tcPr>
          <w:p w14:paraId="28F7441A">
            <w:pPr>
              <w:widowControl/>
              <w:adjustRightInd w:val="0"/>
              <w:snapToGrid w:val="0"/>
              <w:spacing w:line="200" w:lineRule="atLeast"/>
              <w:textAlignment w:val="center"/>
              <w:rPr>
                <w:rFonts w:ascii="方正仿宋_GBK" w:hAnsi="方正仿宋_GBK" w:cs="方正仿宋_GBK"/>
                <w:snapToGrid w:val="0"/>
                <w:color w:val="000000" w:themeColor="text1"/>
                <w:kern w:val="0"/>
                <w:sz w:val="13"/>
                <w:szCs w:val="13"/>
              </w:rPr>
            </w:pPr>
            <w:r>
              <w:rPr>
                <w:rFonts w:hint="eastAsia" w:ascii="方正仿宋_GBK" w:hAnsi="方正仿宋_GBK" w:cs="方正仿宋_GBK"/>
                <w:snapToGrid w:val="0"/>
                <w:color w:val="000000" w:themeColor="text1"/>
                <w:kern w:val="0"/>
                <w:sz w:val="13"/>
                <w:szCs w:val="13"/>
              </w:rPr>
              <w:t>行政检查</w:t>
            </w:r>
          </w:p>
        </w:tc>
        <w:tc>
          <w:tcPr>
            <w:tcW w:w="1851" w:type="pct"/>
            <w:tcBorders>
              <w:top w:val="single" w:color="000000" w:sz="4" w:space="0"/>
              <w:left w:val="single" w:color="000000" w:sz="4" w:space="0"/>
              <w:bottom w:val="single" w:color="000000" w:sz="4" w:space="0"/>
              <w:right w:val="single" w:color="000000" w:sz="4" w:space="0"/>
            </w:tcBorders>
            <w:vAlign w:val="center"/>
          </w:tcPr>
          <w:p w14:paraId="1251BA96">
            <w:pPr>
              <w:widowControl/>
              <w:adjustRightInd w:val="0"/>
              <w:snapToGrid w:val="0"/>
              <w:spacing w:line="200" w:lineRule="atLeast"/>
              <w:textAlignment w:val="center"/>
              <w:rPr>
                <w:rFonts w:ascii="方正仿宋_GBK" w:hAnsi="方正仿宋_GBK" w:cs="方正仿宋_GBK"/>
                <w:color w:val="000000" w:themeColor="text1"/>
                <w:kern w:val="0"/>
                <w:sz w:val="13"/>
                <w:szCs w:val="13"/>
              </w:rPr>
            </w:pPr>
            <w:r>
              <w:rPr>
                <w:rFonts w:hint="eastAsia" w:ascii="方正仿宋_GBK" w:hAnsi="方正仿宋_GBK" w:cs="方正仿宋_GBK"/>
                <w:color w:val="000000" w:themeColor="text1"/>
                <w:kern w:val="0"/>
                <w:sz w:val="13"/>
                <w:szCs w:val="13"/>
              </w:rPr>
              <w:t>《重庆市城镇房屋使用安全管理办法》第四条第五款  乡镇人民政府、街道办事处具体承担本行政区域内房屋使用安全隐患排查、督促房屋隐患整改、设立危险房屋警示标志、房屋安全应急管理等监督管理工作，并接受区县（自治县）房屋行政主管部门的业务指导。第九条第三款  乡镇人民政府、街道办事处负责组织本行政区域内的房屋使用安全隐患排查，重点排查危险房屋、重要公共建筑和存在房屋使用安全隐患的房屋。第十四条  乡镇人民政府、街道办事处应当对本行政区域内被鉴定为危险房屋的，设置危险房屋警示标志。第十七条第二款  乡镇人民政府、街道办事处应当制定本行政区域的房屋使用安全应急预案。</w:t>
            </w:r>
          </w:p>
        </w:tc>
        <w:tc>
          <w:tcPr>
            <w:tcW w:w="875" w:type="pct"/>
            <w:tcBorders>
              <w:top w:val="single" w:color="000000" w:sz="4" w:space="0"/>
              <w:left w:val="single" w:color="000000" w:sz="4" w:space="0"/>
              <w:bottom w:val="single" w:color="000000" w:sz="4" w:space="0"/>
              <w:right w:val="single" w:color="000000" w:sz="4" w:space="0"/>
            </w:tcBorders>
            <w:vAlign w:val="center"/>
          </w:tcPr>
          <w:p w14:paraId="6B11220B">
            <w:pPr>
              <w:widowControl/>
              <w:adjustRightInd w:val="0"/>
              <w:snapToGrid w:val="0"/>
              <w:spacing w:line="200" w:lineRule="atLeast"/>
              <w:textAlignment w:val="center"/>
              <w:rPr>
                <w:color w:val="000000" w:themeColor="text1"/>
                <w:kern w:val="0"/>
                <w:sz w:val="13"/>
                <w:szCs w:val="13"/>
              </w:rPr>
            </w:pPr>
            <w:r>
              <w:rPr>
                <w:rFonts w:hint="eastAsia"/>
                <w:color w:val="000000" w:themeColor="text1"/>
                <w:kern w:val="0"/>
                <w:sz w:val="13"/>
                <w:szCs w:val="13"/>
              </w:rPr>
              <w:t>行政机关工作人员在房屋使用安全管理工作中玩忽职守、滥用职权、徇私舞弊的，由有权机关对有关负责人和直接责任人给予行政处分；涉嫌犯罪的，移送司法机关依法追究刑事责任。</w:t>
            </w:r>
          </w:p>
        </w:tc>
        <w:tc>
          <w:tcPr>
            <w:tcW w:w="1569" w:type="pct"/>
            <w:tcBorders>
              <w:top w:val="single" w:color="000000" w:sz="4" w:space="0"/>
              <w:left w:val="single" w:color="000000" w:sz="4" w:space="0"/>
              <w:bottom w:val="single" w:color="000000" w:sz="4" w:space="0"/>
              <w:right w:val="single" w:color="000000" w:sz="4" w:space="0"/>
            </w:tcBorders>
            <w:vAlign w:val="center"/>
          </w:tcPr>
          <w:p w14:paraId="36F28C3C">
            <w:pPr>
              <w:widowControl/>
              <w:adjustRightInd w:val="0"/>
              <w:snapToGrid w:val="0"/>
              <w:spacing w:line="200" w:lineRule="atLeast"/>
              <w:textAlignment w:val="center"/>
              <w:rPr>
                <w:color w:val="000000" w:themeColor="text1"/>
                <w:kern w:val="0"/>
                <w:sz w:val="13"/>
                <w:szCs w:val="13"/>
              </w:rPr>
            </w:pPr>
            <w:r>
              <w:rPr>
                <w:rFonts w:hint="eastAsia" w:ascii="方正仿宋_GBK" w:hAnsi="方正仿宋_GBK" w:cs="方正仿宋_GBK"/>
                <w:color w:val="000000" w:themeColor="text1"/>
                <w:kern w:val="0"/>
                <w:sz w:val="13"/>
                <w:szCs w:val="13"/>
              </w:rPr>
              <w:t>《重庆市城镇房屋使用安全管理办法》第二十五条。</w:t>
            </w:r>
          </w:p>
        </w:tc>
        <w:tc>
          <w:tcPr>
            <w:tcW w:w="185" w:type="pct"/>
            <w:tcBorders>
              <w:top w:val="single" w:color="000000" w:sz="4" w:space="0"/>
              <w:left w:val="single" w:color="000000" w:sz="4" w:space="0"/>
              <w:bottom w:val="single" w:color="000000" w:sz="4" w:space="0"/>
              <w:right w:val="single" w:color="000000" w:sz="4" w:space="0"/>
            </w:tcBorders>
            <w:vAlign w:val="center"/>
          </w:tcPr>
          <w:p w14:paraId="6D0BF00B">
            <w:pPr>
              <w:widowControl/>
              <w:spacing w:line="200" w:lineRule="atLeast"/>
              <w:textAlignment w:val="center"/>
              <w:rPr>
                <w:rFonts w:hAnsi="方正仿宋_GBK" w:cs="方正仿宋_GBK"/>
                <w:color w:val="000000" w:themeColor="text1"/>
                <w:kern w:val="0"/>
                <w:sz w:val="13"/>
                <w:szCs w:val="13"/>
              </w:rPr>
            </w:pPr>
            <w:r>
              <w:rPr>
                <w:rFonts w:hint="eastAsia" w:hAnsi="方正仿宋_GBK" w:cs="方正仿宋_GBK"/>
                <w:color w:val="000000" w:themeColor="text1"/>
                <w:kern w:val="0"/>
                <w:sz w:val="13"/>
                <w:szCs w:val="13"/>
              </w:rPr>
              <w:t>县住房城乡建委</w:t>
            </w:r>
          </w:p>
        </w:tc>
      </w:tr>
    </w:tbl>
    <w:p w14:paraId="6FDEC077">
      <w:pPr>
        <w:widowControl/>
        <w:spacing w:line="20" w:lineRule="exact"/>
        <w:jc w:val="left"/>
        <w:rPr>
          <w:szCs w:val="32"/>
        </w:rPr>
      </w:pPr>
    </w:p>
    <w:sectPr>
      <w:footerReference r:id="rId5" w:type="first"/>
      <w:footerReference r:id="rId3" w:type="default"/>
      <w:footerReference r:id="rId4" w:type="even"/>
      <w:pgSz w:w="16838" w:h="11906" w:orient="landscape"/>
      <w:pgMar w:top="1531" w:right="851" w:bottom="1134" w:left="851" w:header="851" w:footer="102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F2412">
    <w:pPr>
      <w:ind w:right="360" w:firstLine="360"/>
      <w:jc w:val="right"/>
      <w:rPr>
        <w:sz w:val="28"/>
      </w:rPr>
    </w:pPr>
    <w:r>
      <w:rPr>
        <w:rFonts w:hint="eastAsia"/>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17</w:t>
    </w:r>
    <w:r>
      <w:rPr>
        <w:kern w:val="0"/>
        <w:sz w:val="28"/>
      </w:rPr>
      <w:fldChar w:fldCharType="end"/>
    </w:r>
    <w:r>
      <w:rPr>
        <w:rFonts w:hint="eastAsia"/>
        <w:kern w:val="0"/>
        <w:sz w:val="28"/>
      </w:rPr>
      <w:t xml:space="preserve"> </w:t>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3A126">
    <w:pPr>
      <w:ind w:right="360" w:firstLine="360"/>
      <w:rPr>
        <w:sz w:val="28"/>
      </w:rPr>
    </w:pPr>
    <w:r>
      <w:rPr>
        <w:rFonts w:hint="eastAsia"/>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18</w:t>
    </w:r>
    <w:r>
      <w:rPr>
        <w:kern w:val="0"/>
        <w:sz w:val="28"/>
      </w:rPr>
      <w:fldChar w:fldCharType="end"/>
    </w:r>
    <w:r>
      <w:rPr>
        <w:rFonts w:hint="eastAsia"/>
        <w:kern w:val="0"/>
        <w:sz w:val="28"/>
      </w:rPr>
      <w:t xml:space="preserve"> </w:t>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F98CC">
    <w:pPr>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5"/>
  <w:evenAndOddHeaders w:val="1"/>
  <w:drawingGridHorizontalSpacing w:val="158"/>
  <w:drawingGridVerticalSpacing w:val="531"/>
  <w:displayHorizontalDrawingGridEvery w:val="2"/>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docVars>
    <w:docVar w:name="commondata" w:val="eyJoZGlkIjoiODcxNTI5ZDA2MWJlOTE0ZmYxMTNjZDE3NmRjMDk1MDIifQ=="/>
  </w:docVars>
  <w:rsids>
    <w:rsidRoot w:val="00172A27"/>
    <w:rsid w:val="000000FE"/>
    <w:rsid w:val="000064E0"/>
    <w:rsid w:val="00007C51"/>
    <w:rsid w:val="00011B0F"/>
    <w:rsid w:val="00014A94"/>
    <w:rsid w:val="000151B9"/>
    <w:rsid w:val="00020083"/>
    <w:rsid w:val="00021D95"/>
    <w:rsid w:val="0002200F"/>
    <w:rsid w:val="00022922"/>
    <w:rsid w:val="00022CC0"/>
    <w:rsid w:val="00023186"/>
    <w:rsid w:val="000237E7"/>
    <w:rsid w:val="00031292"/>
    <w:rsid w:val="00033052"/>
    <w:rsid w:val="0003420F"/>
    <w:rsid w:val="000357AB"/>
    <w:rsid w:val="00035CEC"/>
    <w:rsid w:val="00036D37"/>
    <w:rsid w:val="000439A1"/>
    <w:rsid w:val="00044BB7"/>
    <w:rsid w:val="00044CB3"/>
    <w:rsid w:val="00045862"/>
    <w:rsid w:val="000472B4"/>
    <w:rsid w:val="00051734"/>
    <w:rsid w:val="0005339C"/>
    <w:rsid w:val="00054B72"/>
    <w:rsid w:val="00055584"/>
    <w:rsid w:val="0005730E"/>
    <w:rsid w:val="000605D1"/>
    <w:rsid w:val="00065399"/>
    <w:rsid w:val="00065A17"/>
    <w:rsid w:val="000672EA"/>
    <w:rsid w:val="000725FA"/>
    <w:rsid w:val="00072D6D"/>
    <w:rsid w:val="000732CC"/>
    <w:rsid w:val="00074047"/>
    <w:rsid w:val="000773E6"/>
    <w:rsid w:val="00083954"/>
    <w:rsid w:val="00083D1B"/>
    <w:rsid w:val="00083DE1"/>
    <w:rsid w:val="00084E6E"/>
    <w:rsid w:val="000856A3"/>
    <w:rsid w:val="00086BBF"/>
    <w:rsid w:val="0008713F"/>
    <w:rsid w:val="00091A52"/>
    <w:rsid w:val="00091B89"/>
    <w:rsid w:val="00092B6B"/>
    <w:rsid w:val="00094BD7"/>
    <w:rsid w:val="0009515D"/>
    <w:rsid w:val="00095FFA"/>
    <w:rsid w:val="00096821"/>
    <w:rsid w:val="00096A84"/>
    <w:rsid w:val="00096E0D"/>
    <w:rsid w:val="000B2288"/>
    <w:rsid w:val="000B3458"/>
    <w:rsid w:val="000B5D98"/>
    <w:rsid w:val="000C37EB"/>
    <w:rsid w:val="000C75C4"/>
    <w:rsid w:val="000D0A2C"/>
    <w:rsid w:val="000D455C"/>
    <w:rsid w:val="000D64DC"/>
    <w:rsid w:val="000D77A4"/>
    <w:rsid w:val="000E1BD3"/>
    <w:rsid w:val="000E47C7"/>
    <w:rsid w:val="000E635E"/>
    <w:rsid w:val="000E7D7E"/>
    <w:rsid w:val="000F2ACD"/>
    <w:rsid w:val="000F4F90"/>
    <w:rsid w:val="000F74C8"/>
    <w:rsid w:val="000F7599"/>
    <w:rsid w:val="0010043B"/>
    <w:rsid w:val="00100B76"/>
    <w:rsid w:val="001067BA"/>
    <w:rsid w:val="001077C7"/>
    <w:rsid w:val="00110114"/>
    <w:rsid w:val="0011199D"/>
    <w:rsid w:val="00112B60"/>
    <w:rsid w:val="001164FF"/>
    <w:rsid w:val="001221D4"/>
    <w:rsid w:val="0012598F"/>
    <w:rsid w:val="0012690D"/>
    <w:rsid w:val="00127563"/>
    <w:rsid w:val="00137BD9"/>
    <w:rsid w:val="00140F94"/>
    <w:rsid w:val="00142ACD"/>
    <w:rsid w:val="00143DDA"/>
    <w:rsid w:val="00144817"/>
    <w:rsid w:val="00146E47"/>
    <w:rsid w:val="00146ED4"/>
    <w:rsid w:val="001471E5"/>
    <w:rsid w:val="00147EAC"/>
    <w:rsid w:val="001526BA"/>
    <w:rsid w:val="0015742A"/>
    <w:rsid w:val="00160797"/>
    <w:rsid w:val="00160995"/>
    <w:rsid w:val="00160DA8"/>
    <w:rsid w:val="00166C47"/>
    <w:rsid w:val="001709D2"/>
    <w:rsid w:val="0017141E"/>
    <w:rsid w:val="00172A27"/>
    <w:rsid w:val="0017755E"/>
    <w:rsid w:val="0018029E"/>
    <w:rsid w:val="00180E5B"/>
    <w:rsid w:val="00184E6D"/>
    <w:rsid w:val="001864AE"/>
    <w:rsid w:val="0019210A"/>
    <w:rsid w:val="00194553"/>
    <w:rsid w:val="00194783"/>
    <w:rsid w:val="0019521E"/>
    <w:rsid w:val="001A64FE"/>
    <w:rsid w:val="001A776B"/>
    <w:rsid w:val="001B3A85"/>
    <w:rsid w:val="001B5E55"/>
    <w:rsid w:val="001B670D"/>
    <w:rsid w:val="001C0E58"/>
    <w:rsid w:val="001C505A"/>
    <w:rsid w:val="001C71B0"/>
    <w:rsid w:val="001C7310"/>
    <w:rsid w:val="001D1270"/>
    <w:rsid w:val="001D22E6"/>
    <w:rsid w:val="001D7898"/>
    <w:rsid w:val="001E02FC"/>
    <w:rsid w:val="001E09D8"/>
    <w:rsid w:val="001E21F2"/>
    <w:rsid w:val="001E260E"/>
    <w:rsid w:val="001E31E1"/>
    <w:rsid w:val="001E3466"/>
    <w:rsid w:val="001E4189"/>
    <w:rsid w:val="001E42C3"/>
    <w:rsid w:val="001E6556"/>
    <w:rsid w:val="001F5DAF"/>
    <w:rsid w:val="001F60A1"/>
    <w:rsid w:val="001F61A8"/>
    <w:rsid w:val="00201606"/>
    <w:rsid w:val="0020289A"/>
    <w:rsid w:val="00206C58"/>
    <w:rsid w:val="002074D2"/>
    <w:rsid w:val="002107F2"/>
    <w:rsid w:val="00211A7B"/>
    <w:rsid w:val="00212613"/>
    <w:rsid w:val="00213247"/>
    <w:rsid w:val="00214598"/>
    <w:rsid w:val="002163EB"/>
    <w:rsid w:val="00220C9E"/>
    <w:rsid w:val="00222179"/>
    <w:rsid w:val="002233E5"/>
    <w:rsid w:val="002251B0"/>
    <w:rsid w:val="00226FBE"/>
    <w:rsid w:val="00231A6A"/>
    <w:rsid w:val="002320FF"/>
    <w:rsid w:val="0023335F"/>
    <w:rsid w:val="00233F57"/>
    <w:rsid w:val="0023592E"/>
    <w:rsid w:val="00236D72"/>
    <w:rsid w:val="00237974"/>
    <w:rsid w:val="00240594"/>
    <w:rsid w:val="002427FA"/>
    <w:rsid w:val="002506AF"/>
    <w:rsid w:val="00251758"/>
    <w:rsid w:val="002534AB"/>
    <w:rsid w:val="00254088"/>
    <w:rsid w:val="00260E74"/>
    <w:rsid w:val="002617F4"/>
    <w:rsid w:val="002623C6"/>
    <w:rsid w:val="00266D97"/>
    <w:rsid w:val="00267BC1"/>
    <w:rsid w:val="0027267A"/>
    <w:rsid w:val="00274207"/>
    <w:rsid w:val="00275031"/>
    <w:rsid w:val="00280BBD"/>
    <w:rsid w:val="0028270F"/>
    <w:rsid w:val="00283FD2"/>
    <w:rsid w:val="00284921"/>
    <w:rsid w:val="00286495"/>
    <w:rsid w:val="00286B74"/>
    <w:rsid w:val="00286F71"/>
    <w:rsid w:val="00287C96"/>
    <w:rsid w:val="00292AB1"/>
    <w:rsid w:val="00293CA6"/>
    <w:rsid w:val="00293F81"/>
    <w:rsid w:val="00294071"/>
    <w:rsid w:val="002952F7"/>
    <w:rsid w:val="002957D7"/>
    <w:rsid w:val="002A3D7B"/>
    <w:rsid w:val="002A52BD"/>
    <w:rsid w:val="002A5AC7"/>
    <w:rsid w:val="002A7F39"/>
    <w:rsid w:val="002B0318"/>
    <w:rsid w:val="002B1989"/>
    <w:rsid w:val="002B22D6"/>
    <w:rsid w:val="002B3FDF"/>
    <w:rsid w:val="002B4219"/>
    <w:rsid w:val="002B69EE"/>
    <w:rsid w:val="002B782C"/>
    <w:rsid w:val="002C3A40"/>
    <w:rsid w:val="002C465E"/>
    <w:rsid w:val="002C59BF"/>
    <w:rsid w:val="002D0141"/>
    <w:rsid w:val="002D30FF"/>
    <w:rsid w:val="002D374C"/>
    <w:rsid w:val="002D69B9"/>
    <w:rsid w:val="002D7EB5"/>
    <w:rsid w:val="002E667F"/>
    <w:rsid w:val="002E6E49"/>
    <w:rsid w:val="002F550B"/>
    <w:rsid w:val="002F60CF"/>
    <w:rsid w:val="002F6173"/>
    <w:rsid w:val="002F7AFB"/>
    <w:rsid w:val="003009B0"/>
    <w:rsid w:val="00311111"/>
    <w:rsid w:val="00312088"/>
    <w:rsid w:val="00315DF9"/>
    <w:rsid w:val="00322753"/>
    <w:rsid w:val="00323FB0"/>
    <w:rsid w:val="0033213A"/>
    <w:rsid w:val="00332660"/>
    <w:rsid w:val="003342AF"/>
    <w:rsid w:val="00343138"/>
    <w:rsid w:val="00345492"/>
    <w:rsid w:val="00347B85"/>
    <w:rsid w:val="00352551"/>
    <w:rsid w:val="003539DA"/>
    <w:rsid w:val="003563B7"/>
    <w:rsid w:val="003578C6"/>
    <w:rsid w:val="00360154"/>
    <w:rsid w:val="003614C7"/>
    <w:rsid w:val="003711CA"/>
    <w:rsid w:val="00371D66"/>
    <w:rsid w:val="0037507E"/>
    <w:rsid w:val="003764C0"/>
    <w:rsid w:val="00383570"/>
    <w:rsid w:val="00385C64"/>
    <w:rsid w:val="00387524"/>
    <w:rsid w:val="003907C5"/>
    <w:rsid w:val="0039496D"/>
    <w:rsid w:val="003972F3"/>
    <w:rsid w:val="00397609"/>
    <w:rsid w:val="00397FCA"/>
    <w:rsid w:val="003A1D27"/>
    <w:rsid w:val="003A4070"/>
    <w:rsid w:val="003A4279"/>
    <w:rsid w:val="003A64CC"/>
    <w:rsid w:val="003A7095"/>
    <w:rsid w:val="003B03E3"/>
    <w:rsid w:val="003B191C"/>
    <w:rsid w:val="003B2493"/>
    <w:rsid w:val="003B29F1"/>
    <w:rsid w:val="003B3847"/>
    <w:rsid w:val="003B6303"/>
    <w:rsid w:val="003B6FE3"/>
    <w:rsid w:val="003B74B4"/>
    <w:rsid w:val="003C08F2"/>
    <w:rsid w:val="003C0A75"/>
    <w:rsid w:val="003C46EB"/>
    <w:rsid w:val="003D0CD0"/>
    <w:rsid w:val="003D26A9"/>
    <w:rsid w:val="003D6929"/>
    <w:rsid w:val="003E03DB"/>
    <w:rsid w:val="003E4A07"/>
    <w:rsid w:val="003E500F"/>
    <w:rsid w:val="003E576D"/>
    <w:rsid w:val="003E7286"/>
    <w:rsid w:val="003F30D1"/>
    <w:rsid w:val="003F4B26"/>
    <w:rsid w:val="003F6118"/>
    <w:rsid w:val="00407280"/>
    <w:rsid w:val="004109DA"/>
    <w:rsid w:val="004111FD"/>
    <w:rsid w:val="00411BB3"/>
    <w:rsid w:val="00416223"/>
    <w:rsid w:val="004268A3"/>
    <w:rsid w:val="00426CB6"/>
    <w:rsid w:val="00427D2B"/>
    <w:rsid w:val="00427EEA"/>
    <w:rsid w:val="00433D16"/>
    <w:rsid w:val="00434FAD"/>
    <w:rsid w:val="00435242"/>
    <w:rsid w:val="00436025"/>
    <w:rsid w:val="004360A7"/>
    <w:rsid w:val="0043727A"/>
    <w:rsid w:val="00437695"/>
    <w:rsid w:val="00442429"/>
    <w:rsid w:val="004433BE"/>
    <w:rsid w:val="0044508B"/>
    <w:rsid w:val="004506F3"/>
    <w:rsid w:val="00451A2F"/>
    <w:rsid w:val="00456A7E"/>
    <w:rsid w:val="00460BE2"/>
    <w:rsid w:val="004619EE"/>
    <w:rsid w:val="0046288C"/>
    <w:rsid w:val="00464599"/>
    <w:rsid w:val="00466D7A"/>
    <w:rsid w:val="004700E5"/>
    <w:rsid w:val="00472271"/>
    <w:rsid w:val="00476408"/>
    <w:rsid w:val="00476503"/>
    <w:rsid w:val="00476A5E"/>
    <w:rsid w:val="00480ABA"/>
    <w:rsid w:val="00480CB6"/>
    <w:rsid w:val="004834EA"/>
    <w:rsid w:val="00491DC5"/>
    <w:rsid w:val="00492C31"/>
    <w:rsid w:val="00493647"/>
    <w:rsid w:val="004942AD"/>
    <w:rsid w:val="00496665"/>
    <w:rsid w:val="00496816"/>
    <w:rsid w:val="004A53AC"/>
    <w:rsid w:val="004A5986"/>
    <w:rsid w:val="004A6270"/>
    <w:rsid w:val="004A6416"/>
    <w:rsid w:val="004A6557"/>
    <w:rsid w:val="004A6CCC"/>
    <w:rsid w:val="004A7416"/>
    <w:rsid w:val="004B4F2E"/>
    <w:rsid w:val="004C0903"/>
    <w:rsid w:val="004C1C99"/>
    <w:rsid w:val="004C29B4"/>
    <w:rsid w:val="004C5B46"/>
    <w:rsid w:val="004C7D8E"/>
    <w:rsid w:val="004D3229"/>
    <w:rsid w:val="004D5B23"/>
    <w:rsid w:val="004D5D98"/>
    <w:rsid w:val="004E1D18"/>
    <w:rsid w:val="004E3308"/>
    <w:rsid w:val="004E3B0F"/>
    <w:rsid w:val="004E4E3B"/>
    <w:rsid w:val="004E5BCC"/>
    <w:rsid w:val="004F2080"/>
    <w:rsid w:val="004F64D7"/>
    <w:rsid w:val="004F7A19"/>
    <w:rsid w:val="004F7CA8"/>
    <w:rsid w:val="00501C54"/>
    <w:rsid w:val="005042BF"/>
    <w:rsid w:val="00504FC1"/>
    <w:rsid w:val="005111D9"/>
    <w:rsid w:val="00511DEB"/>
    <w:rsid w:val="00512CDC"/>
    <w:rsid w:val="0051499B"/>
    <w:rsid w:val="00517C80"/>
    <w:rsid w:val="00520920"/>
    <w:rsid w:val="0052386D"/>
    <w:rsid w:val="00524687"/>
    <w:rsid w:val="005272F1"/>
    <w:rsid w:val="005323D1"/>
    <w:rsid w:val="00532B2D"/>
    <w:rsid w:val="00532DA0"/>
    <w:rsid w:val="00537925"/>
    <w:rsid w:val="005412A7"/>
    <w:rsid w:val="00542854"/>
    <w:rsid w:val="0054286C"/>
    <w:rsid w:val="00545512"/>
    <w:rsid w:val="005455E6"/>
    <w:rsid w:val="00547175"/>
    <w:rsid w:val="00551ED6"/>
    <w:rsid w:val="00552056"/>
    <w:rsid w:val="00553FC1"/>
    <w:rsid w:val="00554A45"/>
    <w:rsid w:val="00554E4C"/>
    <w:rsid w:val="0055510C"/>
    <w:rsid w:val="005560EB"/>
    <w:rsid w:val="00557274"/>
    <w:rsid w:val="00557965"/>
    <w:rsid w:val="00565D35"/>
    <w:rsid w:val="00567885"/>
    <w:rsid w:val="0057499F"/>
    <w:rsid w:val="00574E72"/>
    <w:rsid w:val="005773F6"/>
    <w:rsid w:val="00577DF0"/>
    <w:rsid w:val="0058233D"/>
    <w:rsid w:val="005827AF"/>
    <w:rsid w:val="00596E06"/>
    <w:rsid w:val="005979E9"/>
    <w:rsid w:val="005A1051"/>
    <w:rsid w:val="005A186D"/>
    <w:rsid w:val="005A1FC1"/>
    <w:rsid w:val="005A6B45"/>
    <w:rsid w:val="005A7D61"/>
    <w:rsid w:val="005B0D51"/>
    <w:rsid w:val="005B1496"/>
    <w:rsid w:val="005B5B55"/>
    <w:rsid w:val="005B6905"/>
    <w:rsid w:val="005C0C15"/>
    <w:rsid w:val="005C2D7B"/>
    <w:rsid w:val="005C3686"/>
    <w:rsid w:val="005C4556"/>
    <w:rsid w:val="005C6838"/>
    <w:rsid w:val="005D0181"/>
    <w:rsid w:val="005D13CD"/>
    <w:rsid w:val="005D26B6"/>
    <w:rsid w:val="005D280A"/>
    <w:rsid w:val="005D3506"/>
    <w:rsid w:val="005D6D8F"/>
    <w:rsid w:val="005E24F7"/>
    <w:rsid w:val="005E6114"/>
    <w:rsid w:val="005E7C6F"/>
    <w:rsid w:val="005F0A2C"/>
    <w:rsid w:val="005F2EFB"/>
    <w:rsid w:val="005F3DAA"/>
    <w:rsid w:val="005F4136"/>
    <w:rsid w:val="005F5B00"/>
    <w:rsid w:val="005F7535"/>
    <w:rsid w:val="006020F8"/>
    <w:rsid w:val="00605486"/>
    <w:rsid w:val="00606387"/>
    <w:rsid w:val="0061140E"/>
    <w:rsid w:val="00612964"/>
    <w:rsid w:val="006139E9"/>
    <w:rsid w:val="00614A24"/>
    <w:rsid w:val="006160D1"/>
    <w:rsid w:val="00616432"/>
    <w:rsid w:val="00616EE4"/>
    <w:rsid w:val="00617435"/>
    <w:rsid w:val="00620C57"/>
    <w:rsid w:val="0062475D"/>
    <w:rsid w:val="00632A9F"/>
    <w:rsid w:val="00633E30"/>
    <w:rsid w:val="00633EA9"/>
    <w:rsid w:val="0063495D"/>
    <w:rsid w:val="006353F4"/>
    <w:rsid w:val="00637170"/>
    <w:rsid w:val="00640658"/>
    <w:rsid w:val="0064176A"/>
    <w:rsid w:val="006426EF"/>
    <w:rsid w:val="0064296D"/>
    <w:rsid w:val="006455FA"/>
    <w:rsid w:val="006459A1"/>
    <w:rsid w:val="00650116"/>
    <w:rsid w:val="00650223"/>
    <w:rsid w:val="006544CC"/>
    <w:rsid w:val="006603E5"/>
    <w:rsid w:val="006605F0"/>
    <w:rsid w:val="00662307"/>
    <w:rsid w:val="00663C53"/>
    <w:rsid w:val="00667297"/>
    <w:rsid w:val="006702AB"/>
    <w:rsid w:val="00677F9D"/>
    <w:rsid w:val="00680911"/>
    <w:rsid w:val="006826B8"/>
    <w:rsid w:val="00683CC9"/>
    <w:rsid w:val="00685088"/>
    <w:rsid w:val="00685198"/>
    <w:rsid w:val="00685A43"/>
    <w:rsid w:val="006871EC"/>
    <w:rsid w:val="00690C8B"/>
    <w:rsid w:val="00691627"/>
    <w:rsid w:val="00692301"/>
    <w:rsid w:val="006953E1"/>
    <w:rsid w:val="006A1CC4"/>
    <w:rsid w:val="006A63E4"/>
    <w:rsid w:val="006A6E9A"/>
    <w:rsid w:val="006B02AF"/>
    <w:rsid w:val="006B054A"/>
    <w:rsid w:val="006B2732"/>
    <w:rsid w:val="006B4513"/>
    <w:rsid w:val="006B4A42"/>
    <w:rsid w:val="006B5ED7"/>
    <w:rsid w:val="006B64DD"/>
    <w:rsid w:val="006C08CD"/>
    <w:rsid w:val="006C1B2A"/>
    <w:rsid w:val="006C3FA4"/>
    <w:rsid w:val="006C43C2"/>
    <w:rsid w:val="006C56D0"/>
    <w:rsid w:val="006C5FB7"/>
    <w:rsid w:val="006D0D03"/>
    <w:rsid w:val="006D2794"/>
    <w:rsid w:val="006D2E23"/>
    <w:rsid w:val="006D3540"/>
    <w:rsid w:val="006D3B02"/>
    <w:rsid w:val="006D6B4D"/>
    <w:rsid w:val="006E2695"/>
    <w:rsid w:val="006F2181"/>
    <w:rsid w:val="006F4156"/>
    <w:rsid w:val="006F67E3"/>
    <w:rsid w:val="006F6993"/>
    <w:rsid w:val="006F69A6"/>
    <w:rsid w:val="006F70C7"/>
    <w:rsid w:val="006F7CDC"/>
    <w:rsid w:val="00701E20"/>
    <w:rsid w:val="0070338D"/>
    <w:rsid w:val="00705CF2"/>
    <w:rsid w:val="007103C3"/>
    <w:rsid w:val="00713063"/>
    <w:rsid w:val="007147E4"/>
    <w:rsid w:val="0071654C"/>
    <w:rsid w:val="00716D70"/>
    <w:rsid w:val="0071711C"/>
    <w:rsid w:val="00717E82"/>
    <w:rsid w:val="007235C0"/>
    <w:rsid w:val="00726A4D"/>
    <w:rsid w:val="00727738"/>
    <w:rsid w:val="00727F2B"/>
    <w:rsid w:val="00732BF1"/>
    <w:rsid w:val="00735B60"/>
    <w:rsid w:val="00735BD2"/>
    <w:rsid w:val="00737724"/>
    <w:rsid w:val="00737784"/>
    <w:rsid w:val="007403A7"/>
    <w:rsid w:val="00741A9D"/>
    <w:rsid w:val="007422F1"/>
    <w:rsid w:val="0074437C"/>
    <w:rsid w:val="00744D33"/>
    <w:rsid w:val="00744F30"/>
    <w:rsid w:val="00745837"/>
    <w:rsid w:val="00746716"/>
    <w:rsid w:val="00750116"/>
    <w:rsid w:val="0075171F"/>
    <w:rsid w:val="00752A9E"/>
    <w:rsid w:val="00752CA6"/>
    <w:rsid w:val="00754731"/>
    <w:rsid w:val="00762F0E"/>
    <w:rsid w:val="00766609"/>
    <w:rsid w:val="00766A86"/>
    <w:rsid w:val="00770052"/>
    <w:rsid w:val="00772238"/>
    <w:rsid w:val="0077248F"/>
    <w:rsid w:val="00782054"/>
    <w:rsid w:val="007870A4"/>
    <w:rsid w:val="00790792"/>
    <w:rsid w:val="00790E55"/>
    <w:rsid w:val="00791686"/>
    <w:rsid w:val="00791C6A"/>
    <w:rsid w:val="007926D6"/>
    <w:rsid w:val="007937F5"/>
    <w:rsid w:val="00797FAD"/>
    <w:rsid w:val="007A0FE4"/>
    <w:rsid w:val="007A2C83"/>
    <w:rsid w:val="007A461C"/>
    <w:rsid w:val="007A51CE"/>
    <w:rsid w:val="007A5EAB"/>
    <w:rsid w:val="007B4F5E"/>
    <w:rsid w:val="007B5F53"/>
    <w:rsid w:val="007C267F"/>
    <w:rsid w:val="007C7096"/>
    <w:rsid w:val="007C7457"/>
    <w:rsid w:val="007D0736"/>
    <w:rsid w:val="007D14F8"/>
    <w:rsid w:val="007D1A45"/>
    <w:rsid w:val="007D2EEA"/>
    <w:rsid w:val="007D5FDE"/>
    <w:rsid w:val="007E1146"/>
    <w:rsid w:val="007E1CCE"/>
    <w:rsid w:val="007E1D5F"/>
    <w:rsid w:val="007E3AE1"/>
    <w:rsid w:val="007F0141"/>
    <w:rsid w:val="007F29F6"/>
    <w:rsid w:val="007F55AA"/>
    <w:rsid w:val="007F59E9"/>
    <w:rsid w:val="007F6313"/>
    <w:rsid w:val="00801C16"/>
    <w:rsid w:val="00801D28"/>
    <w:rsid w:val="00802E09"/>
    <w:rsid w:val="00802E24"/>
    <w:rsid w:val="0080433A"/>
    <w:rsid w:val="0080455A"/>
    <w:rsid w:val="00804B64"/>
    <w:rsid w:val="00804FE4"/>
    <w:rsid w:val="0080763C"/>
    <w:rsid w:val="008109D9"/>
    <w:rsid w:val="0081633F"/>
    <w:rsid w:val="00820122"/>
    <w:rsid w:val="00823702"/>
    <w:rsid w:val="0082415E"/>
    <w:rsid w:val="0083055D"/>
    <w:rsid w:val="00831E11"/>
    <w:rsid w:val="00840538"/>
    <w:rsid w:val="00840821"/>
    <w:rsid w:val="00842E6B"/>
    <w:rsid w:val="00847A22"/>
    <w:rsid w:val="00851E21"/>
    <w:rsid w:val="008525BB"/>
    <w:rsid w:val="008543BC"/>
    <w:rsid w:val="00856DE2"/>
    <w:rsid w:val="0085754D"/>
    <w:rsid w:val="00862779"/>
    <w:rsid w:val="008653FB"/>
    <w:rsid w:val="008705CF"/>
    <w:rsid w:val="00872555"/>
    <w:rsid w:val="00872953"/>
    <w:rsid w:val="00872958"/>
    <w:rsid w:val="00872F22"/>
    <w:rsid w:val="008736D6"/>
    <w:rsid w:val="008760A1"/>
    <w:rsid w:val="008766AE"/>
    <w:rsid w:val="00876C61"/>
    <w:rsid w:val="00887082"/>
    <w:rsid w:val="00890AF6"/>
    <w:rsid w:val="00895658"/>
    <w:rsid w:val="00896DF5"/>
    <w:rsid w:val="008A15AC"/>
    <w:rsid w:val="008A7C0C"/>
    <w:rsid w:val="008B1376"/>
    <w:rsid w:val="008B1CCB"/>
    <w:rsid w:val="008B5907"/>
    <w:rsid w:val="008B7AA6"/>
    <w:rsid w:val="008C0E38"/>
    <w:rsid w:val="008C2982"/>
    <w:rsid w:val="008C4B6D"/>
    <w:rsid w:val="008C65FA"/>
    <w:rsid w:val="008C7706"/>
    <w:rsid w:val="008D2649"/>
    <w:rsid w:val="008D60E4"/>
    <w:rsid w:val="008D62AB"/>
    <w:rsid w:val="008E120A"/>
    <w:rsid w:val="008E12DB"/>
    <w:rsid w:val="008E3147"/>
    <w:rsid w:val="008E3D9D"/>
    <w:rsid w:val="008E3E6A"/>
    <w:rsid w:val="008E5390"/>
    <w:rsid w:val="008E6568"/>
    <w:rsid w:val="008F44BD"/>
    <w:rsid w:val="008F4BB1"/>
    <w:rsid w:val="008F56AA"/>
    <w:rsid w:val="008F570A"/>
    <w:rsid w:val="00900392"/>
    <w:rsid w:val="00900EE4"/>
    <w:rsid w:val="00902FCD"/>
    <w:rsid w:val="00903227"/>
    <w:rsid w:val="00903908"/>
    <w:rsid w:val="009048AB"/>
    <w:rsid w:val="0090523D"/>
    <w:rsid w:val="00906740"/>
    <w:rsid w:val="00906CF1"/>
    <w:rsid w:val="0091070B"/>
    <w:rsid w:val="00910C69"/>
    <w:rsid w:val="00911AAB"/>
    <w:rsid w:val="0091297E"/>
    <w:rsid w:val="0091349B"/>
    <w:rsid w:val="009177D0"/>
    <w:rsid w:val="00917E16"/>
    <w:rsid w:val="00921F97"/>
    <w:rsid w:val="0092207E"/>
    <w:rsid w:val="00925B71"/>
    <w:rsid w:val="009316D3"/>
    <w:rsid w:val="009317BC"/>
    <w:rsid w:val="009321E8"/>
    <w:rsid w:val="00933771"/>
    <w:rsid w:val="00933A70"/>
    <w:rsid w:val="00934158"/>
    <w:rsid w:val="00934187"/>
    <w:rsid w:val="0093755E"/>
    <w:rsid w:val="00942549"/>
    <w:rsid w:val="00945102"/>
    <w:rsid w:val="00946616"/>
    <w:rsid w:val="009504BE"/>
    <w:rsid w:val="009509DE"/>
    <w:rsid w:val="00950EB0"/>
    <w:rsid w:val="0095232F"/>
    <w:rsid w:val="0095354A"/>
    <w:rsid w:val="00955061"/>
    <w:rsid w:val="00965855"/>
    <w:rsid w:val="00966F9C"/>
    <w:rsid w:val="00971E63"/>
    <w:rsid w:val="009721FF"/>
    <w:rsid w:val="00975859"/>
    <w:rsid w:val="00975F7A"/>
    <w:rsid w:val="009834E5"/>
    <w:rsid w:val="009841DB"/>
    <w:rsid w:val="00984915"/>
    <w:rsid w:val="00991730"/>
    <w:rsid w:val="00992A0B"/>
    <w:rsid w:val="00992AB3"/>
    <w:rsid w:val="00992E47"/>
    <w:rsid w:val="00994604"/>
    <w:rsid w:val="00994CC0"/>
    <w:rsid w:val="00996C4C"/>
    <w:rsid w:val="009971AB"/>
    <w:rsid w:val="009A3F5B"/>
    <w:rsid w:val="009A6A73"/>
    <w:rsid w:val="009A6BFC"/>
    <w:rsid w:val="009B0B8B"/>
    <w:rsid w:val="009B1AF1"/>
    <w:rsid w:val="009B1F66"/>
    <w:rsid w:val="009B3ABA"/>
    <w:rsid w:val="009B45C2"/>
    <w:rsid w:val="009B5945"/>
    <w:rsid w:val="009C01C5"/>
    <w:rsid w:val="009C1454"/>
    <w:rsid w:val="009C2CCB"/>
    <w:rsid w:val="009C32BB"/>
    <w:rsid w:val="009C36DA"/>
    <w:rsid w:val="009C38CE"/>
    <w:rsid w:val="009C48BA"/>
    <w:rsid w:val="009D2901"/>
    <w:rsid w:val="009D3BBE"/>
    <w:rsid w:val="009D4108"/>
    <w:rsid w:val="009D6DFD"/>
    <w:rsid w:val="009E1634"/>
    <w:rsid w:val="009E20D9"/>
    <w:rsid w:val="009E3B08"/>
    <w:rsid w:val="009E3FAB"/>
    <w:rsid w:val="009F0987"/>
    <w:rsid w:val="009F10C6"/>
    <w:rsid w:val="009F303B"/>
    <w:rsid w:val="009F32E6"/>
    <w:rsid w:val="009F5B7E"/>
    <w:rsid w:val="009F5DA9"/>
    <w:rsid w:val="00A0370B"/>
    <w:rsid w:val="00A043C8"/>
    <w:rsid w:val="00A06C61"/>
    <w:rsid w:val="00A12C5E"/>
    <w:rsid w:val="00A150AF"/>
    <w:rsid w:val="00A211F8"/>
    <w:rsid w:val="00A2170C"/>
    <w:rsid w:val="00A21F41"/>
    <w:rsid w:val="00A235B7"/>
    <w:rsid w:val="00A266A9"/>
    <w:rsid w:val="00A3188D"/>
    <w:rsid w:val="00A32825"/>
    <w:rsid w:val="00A33775"/>
    <w:rsid w:val="00A34884"/>
    <w:rsid w:val="00A352DF"/>
    <w:rsid w:val="00A35464"/>
    <w:rsid w:val="00A3695A"/>
    <w:rsid w:val="00A413E5"/>
    <w:rsid w:val="00A42381"/>
    <w:rsid w:val="00A51A76"/>
    <w:rsid w:val="00A52C95"/>
    <w:rsid w:val="00A53CDF"/>
    <w:rsid w:val="00A5440C"/>
    <w:rsid w:val="00A64BD0"/>
    <w:rsid w:val="00A65322"/>
    <w:rsid w:val="00A677DB"/>
    <w:rsid w:val="00A70055"/>
    <w:rsid w:val="00A70D70"/>
    <w:rsid w:val="00A713A8"/>
    <w:rsid w:val="00A72564"/>
    <w:rsid w:val="00A731B3"/>
    <w:rsid w:val="00A73D12"/>
    <w:rsid w:val="00A74F33"/>
    <w:rsid w:val="00A7653D"/>
    <w:rsid w:val="00A7699A"/>
    <w:rsid w:val="00A7758E"/>
    <w:rsid w:val="00A827DC"/>
    <w:rsid w:val="00A843D3"/>
    <w:rsid w:val="00A951A5"/>
    <w:rsid w:val="00A95FFC"/>
    <w:rsid w:val="00A96F68"/>
    <w:rsid w:val="00A97A28"/>
    <w:rsid w:val="00A97B04"/>
    <w:rsid w:val="00AA23FB"/>
    <w:rsid w:val="00AA54C0"/>
    <w:rsid w:val="00AA75B4"/>
    <w:rsid w:val="00AB266D"/>
    <w:rsid w:val="00AC3C13"/>
    <w:rsid w:val="00AC73F5"/>
    <w:rsid w:val="00AD0920"/>
    <w:rsid w:val="00AD0BAD"/>
    <w:rsid w:val="00AD47EF"/>
    <w:rsid w:val="00AD6F4D"/>
    <w:rsid w:val="00AE0A34"/>
    <w:rsid w:val="00AE1205"/>
    <w:rsid w:val="00AE229F"/>
    <w:rsid w:val="00AE2A02"/>
    <w:rsid w:val="00AE2A65"/>
    <w:rsid w:val="00AE361B"/>
    <w:rsid w:val="00AE4BF8"/>
    <w:rsid w:val="00AE7DD9"/>
    <w:rsid w:val="00AF4282"/>
    <w:rsid w:val="00AF48E3"/>
    <w:rsid w:val="00AF54C3"/>
    <w:rsid w:val="00AF7FA8"/>
    <w:rsid w:val="00B03DC2"/>
    <w:rsid w:val="00B03EF2"/>
    <w:rsid w:val="00B042B9"/>
    <w:rsid w:val="00B04C69"/>
    <w:rsid w:val="00B04F86"/>
    <w:rsid w:val="00B068C3"/>
    <w:rsid w:val="00B072DF"/>
    <w:rsid w:val="00B10CF0"/>
    <w:rsid w:val="00B11095"/>
    <w:rsid w:val="00B122FC"/>
    <w:rsid w:val="00B157DC"/>
    <w:rsid w:val="00B15994"/>
    <w:rsid w:val="00B211F2"/>
    <w:rsid w:val="00B212C9"/>
    <w:rsid w:val="00B2188D"/>
    <w:rsid w:val="00B222CC"/>
    <w:rsid w:val="00B2759D"/>
    <w:rsid w:val="00B30E54"/>
    <w:rsid w:val="00B35C1D"/>
    <w:rsid w:val="00B36B22"/>
    <w:rsid w:val="00B405D9"/>
    <w:rsid w:val="00B4150E"/>
    <w:rsid w:val="00B46256"/>
    <w:rsid w:val="00B47EFF"/>
    <w:rsid w:val="00B47F3F"/>
    <w:rsid w:val="00B50EB4"/>
    <w:rsid w:val="00B51389"/>
    <w:rsid w:val="00B52E61"/>
    <w:rsid w:val="00B53C32"/>
    <w:rsid w:val="00B53E4B"/>
    <w:rsid w:val="00B53F4E"/>
    <w:rsid w:val="00B55ACD"/>
    <w:rsid w:val="00B63FDC"/>
    <w:rsid w:val="00B64BAB"/>
    <w:rsid w:val="00B67B02"/>
    <w:rsid w:val="00B70E69"/>
    <w:rsid w:val="00B76574"/>
    <w:rsid w:val="00B809D2"/>
    <w:rsid w:val="00B82FBC"/>
    <w:rsid w:val="00B87291"/>
    <w:rsid w:val="00B90EFD"/>
    <w:rsid w:val="00B91C02"/>
    <w:rsid w:val="00B93E94"/>
    <w:rsid w:val="00B95122"/>
    <w:rsid w:val="00B97AC3"/>
    <w:rsid w:val="00BA0F5A"/>
    <w:rsid w:val="00BA2B7F"/>
    <w:rsid w:val="00BA317B"/>
    <w:rsid w:val="00BA3577"/>
    <w:rsid w:val="00BB3DD6"/>
    <w:rsid w:val="00BC02C2"/>
    <w:rsid w:val="00BC2534"/>
    <w:rsid w:val="00BC2E71"/>
    <w:rsid w:val="00BC369B"/>
    <w:rsid w:val="00BC758E"/>
    <w:rsid w:val="00BC773E"/>
    <w:rsid w:val="00BD2305"/>
    <w:rsid w:val="00BD4DF4"/>
    <w:rsid w:val="00BD4FCC"/>
    <w:rsid w:val="00BD53B3"/>
    <w:rsid w:val="00BD6CFC"/>
    <w:rsid w:val="00BD76A9"/>
    <w:rsid w:val="00BE010C"/>
    <w:rsid w:val="00BE4D04"/>
    <w:rsid w:val="00BE4ECF"/>
    <w:rsid w:val="00BE7633"/>
    <w:rsid w:val="00BE7EA2"/>
    <w:rsid w:val="00BF4A0C"/>
    <w:rsid w:val="00BF5D46"/>
    <w:rsid w:val="00BF5E64"/>
    <w:rsid w:val="00BF5E96"/>
    <w:rsid w:val="00BF7044"/>
    <w:rsid w:val="00C05DE1"/>
    <w:rsid w:val="00C1374E"/>
    <w:rsid w:val="00C15AB4"/>
    <w:rsid w:val="00C20E7C"/>
    <w:rsid w:val="00C22016"/>
    <w:rsid w:val="00C2380A"/>
    <w:rsid w:val="00C25270"/>
    <w:rsid w:val="00C26B17"/>
    <w:rsid w:val="00C30095"/>
    <w:rsid w:val="00C301BA"/>
    <w:rsid w:val="00C30B8E"/>
    <w:rsid w:val="00C31324"/>
    <w:rsid w:val="00C31CE4"/>
    <w:rsid w:val="00C31F41"/>
    <w:rsid w:val="00C3219F"/>
    <w:rsid w:val="00C35AD1"/>
    <w:rsid w:val="00C35FC2"/>
    <w:rsid w:val="00C42511"/>
    <w:rsid w:val="00C438F7"/>
    <w:rsid w:val="00C50BD9"/>
    <w:rsid w:val="00C533F8"/>
    <w:rsid w:val="00C53D38"/>
    <w:rsid w:val="00C53E72"/>
    <w:rsid w:val="00C57087"/>
    <w:rsid w:val="00C60383"/>
    <w:rsid w:val="00C62027"/>
    <w:rsid w:val="00C658F9"/>
    <w:rsid w:val="00C6678E"/>
    <w:rsid w:val="00C706BD"/>
    <w:rsid w:val="00C72EDC"/>
    <w:rsid w:val="00C735D2"/>
    <w:rsid w:val="00C73708"/>
    <w:rsid w:val="00C749B5"/>
    <w:rsid w:val="00C74A60"/>
    <w:rsid w:val="00C8169E"/>
    <w:rsid w:val="00C81A8E"/>
    <w:rsid w:val="00C850C5"/>
    <w:rsid w:val="00C86A42"/>
    <w:rsid w:val="00C87D66"/>
    <w:rsid w:val="00C906EA"/>
    <w:rsid w:val="00C90D73"/>
    <w:rsid w:val="00C9109C"/>
    <w:rsid w:val="00C921B4"/>
    <w:rsid w:val="00C941DF"/>
    <w:rsid w:val="00C9614A"/>
    <w:rsid w:val="00CA02C4"/>
    <w:rsid w:val="00CA04E1"/>
    <w:rsid w:val="00CA144D"/>
    <w:rsid w:val="00CA2D4B"/>
    <w:rsid w:val="00CA452A"/>
    <w:rsid w:val="00CA488B"/>
    <w:rsid w:val="00CA5315"/>
    <w:rsid w:val="00CA718B"/>
    <w:rsid w:val="00CB1037"/>
    <w:rsid w:val="00CB13BA"/>
    <w:rsid w:val="00CB219B"/>
    <w:rsid w:val="00CB2C68"/>
    <w:rsid w:val="00CB2F47"/>
    <w:rsid w:val="00CB3C19"/>
    <w:rsid w:val="00CB42DC"/>
    <w:rsid w:val="00CB6410"/>
    <w:rsid w:val="00CB77AA"/>
    <w:rsid w:val="00CC00C3"/>
    <w:rsid w:val="00CC18A0"/>
    <w:rsid w:val="00CC1992"/>
    <w:rsid w:val="00CC1E45"/>
    <w:rsid w:val="00CC22D2"/>
    <w:rsid w:val="00CC396A"/>
    <w:rsid w:val="00CC60B3"/>
    <w:rsid w:val="00CC7880"/>
    <w:rsid w:val="00CD6C09"/>
    <w:rsid w:val="00CD7A7B"/>
    <w:rsid w:val="00CE1283"/>
    <w:rsid w:val="00CE2569"/>
    <w:rsid w:val="00CE34D0"/>
    <w:rsid w:val="00CF01FF"/>
    <w:rsid w:val="00CF6E5E"/>
    <w:rsid w:val="00D00A66"/>
    <w:rsid w:val="00D0199E"/>
    <w:rsid w:val="00D12E07"/>
    <w:rsid w:val="00D13E4F"/>
    <w:rsid w:val="00D140B9"/>
    <w:rsid w:val="00D147DD"/>
    <w:rsid w:val="00D176CE"/>
    <w:rsid w:val="00D21F6F"/>
    <w:rsid w:val="00D258F6"/>
    <w:rsid w:val="00D26AC2"/>
    <w:rsid w:val="00D32C00"/>
    <w:rsid w:val="00D3391D"/>
    <w:rsid w:val="00D34B15"/>
    <w:rsid w:val="00D34B6A"/>
    <w:rsid w:val="00D3617B"/>
    <w:rsid w:val="00D4101C"/>
    <w:rsid w:val="00D44CAD"/>
    <w:rsid w:val="00D45D25"/>
    <w:rsid w:val="00D462D4"/>
    <w:rsid w:val="00D4799F"/>
    <w:rsid w:val="00D51229"/>
    <w:rsid w:val="00D51615"/>
    <w:rsid w:val="00D52793"/>
    <w:rsid w:val="00D52D5E"/>
    <w:rsid w:val="00D53302"/>
    <w:rsid w:val="00D54C73"/>
    <w:rsid w:val="00D5781A"/>
    <w:rsid w:val="00D63A70"/>
    <w:rsid w:val="00D64749"/>
    <w:rsid w:val="00D65071"/>
    <w:rsid w:val="00D65391"/>
    <w:rsid w:val="00D67647"/>
    <w:rsid w:val="00D67BE3"/>
    <w:rsid w:val="00D715C8"/>
    <w:rsid w:val="00D71FD7"/>
    <w:rsid w:val="00D7694E"/>
    <w:rsid w:val="00D81B15"/>
    <w:rsid w:val="00D8241A"/>
    <w:rsid w:val="00D838C6"/>
    <w:rsid w:val="00D8458D"/>
    <w:rsid w:val="00D879A9"/>
    <w:rsid w:val="00D91B1F"/>
    <w:rsid w:val="00D93456"/>
    <w:rsid w:val="00D9399F"/>
    <w:rsid w:val="00D96756"/>
    <w:rsid w:val="00DA066C"/>
    <w:rsid w:val="00DA0EC5"/>
    <w:rsid w:val="00DA3362"/>
    <w:rsid w:val="00DA3806"/>
    <w:rsid w:val="00DA3979"/>
    <w:rsid w:val="00DA3A38"/>
    <w:rsid w:val="00DB056B"/>
    <w:rsid w:val="00DB202D"/>
    <w:rsid w:val="00DB41AF"/>
    <w:rsid w:val="00DB6439"/>
    <w:rsid w:val="00DC0E0D"/>
    <w:rsid w:val="00DC1632"/>
    <w:rsid w:val="00DC4A24"/>
    <w:rsid w:val="00DC6D78"/>
    <w:rsid w:val="00DD32E7"/>
    <w:rsid w:val="00DD6F96"/>
    <w:rsid w:val="00DD7EEC"/>
    <w:rsid w:val="00DE1EAE"/>
    <w:rsid w:val="00DE38DC"/>
    <w:rsid w:val="00DE4F59"/>
    <w:rsid w:val="00DE66DA"/>
    <w:rsid w:val="00DE7536"/>
    <w:rsid w:val="00DF0F6D"/>
    <w:rsid w:val="00DF6C5D"/>
    <w:rsid w:val="00DF6ECD"/>
    <w:rsid w:val="00E02A20"/>
    <w:rsid w:val="00E03B14"/>
    <w:rsid w:val="00E03EE1"/>
    <w:rsid w:val="00E04FE6"/>
    <w:rsid w:val="00E0557B"/>
    <w:rsid w:val="00E06E30"/>
    <w:rsid w:val="00E11B87"/>
    <w:rsid w:val="00E131BD"/>
    <w:rsid w:val="00E13BE4"/>
    <w:rsid w:val="00E1676E"/>
    <w:rsid w:val="00E16794"/>
    <w:rsid w:val="00E1735C"/>
    <w:rsid w:val="00E21B24"/>
    <w:rsid w:val="00E25425"/>
    <w:rsid w:val="00E25451"/>
    <w:rsid w:val="00E2639F"/>
    <w:rsid w:val="00E2764B"/>
    <w:rsid w:val="00E31DFB"/>
    <w:rsid w:val="00E35024"/>
    <w:rsid w:val="00E375CD"/>
    <w:rsid w:val="00E4014A"/>
    <w:rsid w:val="00E403D0"/>
    <w:rsid w:val="00E4486C"/>
    <w:rsid w:val="00E44D5C"/>
    <w:rsid w:val="00E4540C"/>
    <w:rsid w:val="00E5030A"/>
    <w:rsid w:val="00E50D95"/>
    <w:rsid w:val="00E53B4B"/>
    <w:rsid w:val="00E5590C"/>
    <w:rsid w:val="00E56396"/>
    <w:rsid w:val="00E604AD"/>
    <w:rsid w:val="00E64DC3"/>
    <w:rsid w:val="00E6641B"/>
    <w:rsid w:val="00E71ABA"/>
    <w:rsid w:val="00E750DF"/>
    <w:rsid w:val="00E76506"/>
    <w:rsid w:val="00E76D6B"/>
    <w:rsid w:val="00E77307"/>
    <w:rsid w:val="00E7778E"/>
    <w:rsid w:val="00E77BC7"/>
    <w:rsid w:val="00E8086E"/>
    <w:rsid w:val="00E82E26"/>
    <w:rsid w:val="00E832F4"/>
    <w:rsid w:val="00E83EF0"/>
    <w:rsid w:val="00E9215D"/>
    <w:rsid w:val="00E928D0"/>
    <w:rsid w:val="00E934B6"/>
    <w:rsid w:val="00E96BA7"/>
    <w:rsid w:val="00EA0F26"/>
    <w:rsid w:val="00EA5D4D"/>
    <w:rsid w:val="00EA721D"/>
    <w:rsid w:val="00EA7B31"/>
    <w:rsid w:val="00EB69B6"/>
    <w:rsid w:val="00EB72CF"/>
    <w:rsid w:val="00EC1794"/>
    <w:rsid w:val="00EC1D20"/>
    <w:rsid w:val="00EC2C5B"/>
    <w:rsid w:val="00EC34B3"/>
    <w:rsid w:val="00EC4675"/>
    <w:rsid w:val="00EC590C"/>
    <w:rsid w:val="00ED074D"/>
    <w:rsid w:val="00ED1F75"/>
    <w:rsid w:val="00ED25E7"/>
    <w:rsid w:val="00ED3390"/>
    <w:rsid w:val="00ED36A7"/>
    <w:rsid w:val="00EE179E"/>
    <w:rsid w:val="00EE20E8"/>
    <w:rsid w:val="00EE2A58"/>
    <w:rsid w:val="00EE3470"/>
    <w:rsid w:val="00EE51F9"/>
    <w:rsid w:val="00EE6A42"/>
    <w:rsid w:val="00EE7439"/>
    <w:rsid w:val="00EF0197"/>
    <w:rsid w:val="00EF2348"/>
    <w:rsid w:val="00EF2650"/>
    <w:rsid w:val="00EF36D3"/>
    <w:rsid w:val="00EF5E32"/>
    <w:rsid w:val="00EF7D2B"/>
    <w:rsid w:val="00F021E4"/>
    <w:rsid w:val="00F04A17"/>
    <w:rsid w:val="00F04DEA"/>
    <w:rsid w:val="00F07554"/>
    <w:rsid w:val="00F079DD"/>
    <w:rsid w:val="00F07A55"/>
    <w:rsid w:val="00F104CF"/>
    <w:rsid w:val="00F12023"/>
    <w:rsid w:val="00F2208C"/>
    <w:rsid w:val="00F3096B"/>
    <w:rsid w:val="00F32088"/>
    <w:rsid w:val="00F32590"/>
    <w:rsid w:val="00F40622"/>
    <w:rsid w:val="00F40D13"/>
    <w:rsid w:val="00F46C3F"/>
    <w:rsid w:val="00F47A76"/>
    <w:rsid w:val="00F51A57"/>
    <w:rsid w:val="00F528AE"/>
    <w:rsid w:val="00F52F14"/>
    <w:rsid w:val="00F55189"/>
    <w:rsid w:val="00F6195A"/>
    <w:rsid w:val="00F61C1A"/>
    <w:rsid w:val="00F65650"/>
    <w:rsid w:val="00F67C86"/>
    <w:rsid w:val="00F720AB"/>
    <w:rsid w:val="00F72AFC"/>
    <w:rsid w:val="00F77933"/>
    <w:rsid w:val="00F836D0"/>
    <w:rsid w:val="00F83F00"/>
    <w:rsid w:val="00F8609B"/>
    <w:rsid w:val="00F90212"/>
    <w:rsid w:val="00F946CC"/>
    <w:rsid w:val="00FA090B"/>
    <w:rsid w:val="00FA096B"/>
    <w:rsid w:val="00FA21CF"/>
    <w:rsid w:val="00FA246D"/>
    <w:rsid w:val="00FA375C"/>
    <w:rsid w:val="00FA3ADA"/>
    <w:rsid w:val="00FA4638"/>
    <w:rsid w:val="00FA6B9B"/>
    <w:rsid w:val="00FA72B2"/>
    <w:rsid w:val="00FB11F5"/>
    <w:rsid w:val="00FB224F"/>
    <w:rsid w:val="00FB4012"/>
    <w:rsid w:val="00FB687A"/>
    <w:rsid w:val="00FC6E98"/>
    <w:rsid w:val="00FD12F8"/>
    <w:rsid w:val="00FD1300"/>
    <w:rsid w:val="00FD43D2"/>
    <w:rsid w:val="00FD4C54"/>
    <w:rsid w:val="00FD51EC"/>
    <w:rsid w:val="00FD6099"/>
    <w:rsid w:val="00FD68BC"/>
    <w:rsid w:val="00FE2C17"/>
    <w:rsid w:val="00FE2EFF"/>
    <w:rsid w:val="00FE6409"/>
    <w:rsid w:val="00FE6C66"/>
    <w:rsid w:val="00FF6EE8"/>
    <w:rsid w:val="00FF77BF"/>
    <w:rsid w:val="059E765C"/>
    <w:rsid w:val="18344A5B"/>
    <w:rsid w:val="19DC1B87"/>
    <w:rsid w:val="1CD44E01"/>
    <w:rsid w:val="20797798"/>
    <w:rsid w:val="25052E4A"/>
    <w:rsid w:val="35642473"/>
    <w:rsid w:val="469C2A67"/>
    <w:rsid w:val="77F6EB8D"/>
    <w:rsid w:val="AEBCAF91"/>
    <w:rsid w:val="B7DF3B53"/>
    <w:rsid w:val="F6DE8F09"/>
    <w:rsid w:val="FBEF7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3"/>
    <w:basedOn w:val="1"/>
    <w:next w:val="1"/>
    <w:link w:val="17"/>
    <w:qFormat/>
    <w:uiPriority w:val="0"/>
    <w:pPr>
      <w:keepNext/>
      <w:keepLines/>
      <w:spacing w:before="260" w:after="260" w:line="413" w:lineRule="auto"/>
      <w:outlineLvl w:val="2"/>
    </w:pPr>
    <w:rPr>
      <w:rFonts w:ascii="Calibri" w:hAnsi="Calibri" w:eastAsia="宋体"/>
      <w:b/>
      <w:kern w:val="0"/>
      <w:szCs w:val="2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jc w:val="center"/>
    </w:pPr>
    <w:rPr>
      <w:rFonts w:eastAsia="楷体_GB2312"/>
      <w:b/>
      <w:bCs/>
      <w:sz w:val="44"/>
      <w:szCs w:val="24"/>
    </w:rPr>
  </w:style>
  <w:style w:type="paragraph" w:styleId="4">
    <w:name w:val="Body Text Indent"/>
    <w:basedOn w:val="1"/>
    <w:link w:val="19"/>
    <w:qFormat/>
    <w:uiPriority w:val="0"/>
    <w:pPr>
      <w:spacing w:after="120"/>
      <w:ind w:left="420" w:leftChars="200"/>
    </w:pPr>
  </w:style>
  <w:style w:type="paragraph" w:styleId="5">
    <w:name w:val="Date"/>
    <w:basedOn w:val="1"/>
    <w:next w:val="1"/>
    <w:link w:val="20"/>
    <w:qFormat/>
    <w:uiPriority w:val="0"/>
    <w:pPr>
      <w:ind w:left="100" w:leftChars="2500"/>
    </w:pPr>
  </w:style>
  <w:style w:type="paragraph" w:styleId="6">
    <w:name w:val="Balloon Text"/>
    <w:basedOn w:val="1"/>
    <w:link w:val="21"/>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9">
    <w:name w:val="HTML Preformatted"/>
    <w:basedOn w:val="1"/>
    <w:link w:val="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5"/>
    <w:qFormat/>
    <w:uiPriority w:val="0"/>
    <w:pPr>
      <w:spacing w:before="240" w:after="60"/>
      <w:jc w:val="center"/>
      <w:outlineLvl w:val="0"/>
    </w:pPr>
    <w:rPr>
      <w:rFonts w:ascii="Cambria" w:hAnsi="Cambria" w:eastAsia="宋体" w:cs="黑体"/>
      <w:b/>
      <w:bCs/>
      <w:szCs w:val="32"/>
    </w:rPr>
  </w:style>
  <w:style w:type="character" w:styleId="14">
    <w:name w:val="Strong"/>
    <w:basedOn w:val="13"/>
    <w:qFormat/>
    <w:uiPriority w:val="0"/>
    <w:rPr>
      <w:rFonts w:cs="Times New Roman"/>
      <w:b/>
      <w:bCs/>
      <w:color w:val="000000"/>
      <w:sz w:val="24"/>
      <w:szCs w:val="24"/>
    </w:rPr>
  </w:style>
  <w:style w:type="character" w:styleId="15">
    <w:name w:val="page number"/>
    <w:basedOn w:val="13"/>
    <w:qFormat/>
    <w:uiPriority w:val="0"/>
  </w:style>
  <w:style w:type="character" w:styleId="16">
    <w:name w:val="Hyperlink"/>
    <w:qFormat/>
    <w:uiPriority w:val="0"/>
    <w:rPr>
      <w:color w:val="0000FF"/>
      <w:u w:val="single"/>
    </w:rPr>
  </w:style>
  <w:style w:type="character" w:customStyle="1" w:styleId="17">
    <w:name w:val="标题 3 Char"/>
    <w:link w:val="2"/>
    <w:qFormat/>
    <w:uiPriority w:val="0"/>
    <w:rPr>
      <w:rFonts w:ascii="Calibri" w:hAnsi="Calibri" w:eastAsia="宋体"/>
      <w:b/>
      <w:sz w:val="32"/>
      <w:szCs w:val="22"/>
      <w:lang w:val="en-US" w:eastAsia="zh-CN" w:bidi="ar-SA"/>
    </w:rPr>
  </w:style>
  <w:style w:type="character" w:customStyle="1" w:styleId="18">
    <w:name w:val="正文文本 Char"/>
    <w:basedOn w:val="13"/>
    <w:link w:val="3"/>
    <w:qFormat/>
    <w:uiPriority w:val="0"/>
    <w:rPr>
      <w:rFonts w:eastAsia="楷体_GB2312"/>
      <w:b/>
      <w:bCs/>
      <w:kern w:val="2"/>
      <w:sz w:val="44"/>
      <w:szCs w:val="24"/>
      <w:lang w:bidi="ar-SA"/>
    </w:rPr>
  </w:style>
  <w:style w:type="character" w:customStyle="1" w:styleId="19">
    <w:name w:val="正文文本缩进 Char"/>
    <w:link w:val="4"/>
    <w:qFormat/>
    <w:uiPriority w:val="0"/>
    <w:rPr>
      <w:rFonts w:eastAsia="方正仿宋_GBK"/>
      <w:kern w:val="2"/>
      <w:sz w:val="32"/>
      <w:lang w:val="en-US" w:eastAsia="zh-CN" w:bidi="ar-SA"/>
    </w:rPr>
  </w:style>
  <w:style w:type="character" w:customStyle="1" w:styleId="20">
    <w:name w:val="日期 Char"/>
    <w:link w:val="5"/>
    <w:qFormat/>
    <w:uiPriority w:val="0"/>
    <w:rPr>
      <w:rFonts w:eastAsia="方正仿宋_GBK"/>
      <w:kern w:val="2"/>
      <w:sz w:val="32"/>
      <w:lang w:val="en-US" w:eastAsia="zh-CN" w:bidi="ar-SA"/>
    </w:rPr>
  </w:style>
  <w:style w:type="character" w:customStyle="1" w:styleId="21">
    <w:name w:val="批注框文本 Char"/>
    <w:link w:val="6"/>
    <w:qFormat/>
    <w:uiPriority w:val="0"/>
    <w:rPr>
      <w:rFonts w:eastAsia="方正仿宋_GBK"/>
      <w:kern w:val="2"/>
      <w:sz w:val="18"/>
      <w:szCs w:val="18"/>
      <w:lang w:val="en-US" w:eastAsia="zh-CN" w:bidi="ar-SA"/>
    </w:rPr>
  </w:style>
  <w:style w:type="character" w:customStyle="1" w:styleId="22">
    <w:name w:val="页脚 Char"/>
    <w:link w:val="7"/>
    <w:qFormat/>
    <w:uiPriority w:val="0"/>
    <w:rPr>
      <w:rFonts w:eastAsia="方正仿宋_GBK"/>
      <w:kern w:val="2"/>
      <w:sz w:val="18"/>
      <w:lang w:val="en-US" w:eastAsia="zh-CN" w:bidi="ar-SA"/>
    </w:rPr>
  </w:style>
  <w:style w:type="character" w:customStyle="1" w:styleId="23">
    <w:name w:val="页眉 Char"/>
    <w:basedOn w:val="13"/>
    <w:link w:val="8"/>
    <w:qFormat/>
    <w:locked/>
    <w:uiPriority w:val="0"/>
    <w:rPr>
      <w:rFonts w:eastAsia="方正仿宋_GBK"/>
      <w:kern w:val="2"/>
      <w:sz w:val="18"/>
      <w:lang w:val="en-US" w:eastAsia="zh-CN" w:bidi="ar-SA"/>
    </w:rPr>
  </w:style>
  <w:style w:type="character" w:customStyle="1" w:styleId="24">
    <w:name w:val="HTML 预设格式 Char"/>
    <w:link w:val="9"/>
    <w:qFormat/>
    <w:uiPriority w:val="0"/>
    <w:rPr>
      <w:rFonts w:ascii="宋体" w:hAnsi="宋体" w:eastAsia="宋体" w:cs="宋体"/>
      <w:sz w:val="24"/>
      <w:szCs w:val="24"/>
      <w:lang w:val="en-US" w:eastAsia="zh-CN" w:bidi="ar-SA"/>
    </w:rPr>
  </w:style>
  <w:style w:type="character" w:customStyle="1" w:styleId="25">
    <w:name w:val="标题 Char"/>
    <w:link w:val="11"/>
    <w:qFormat/>
    <w:uiPriority w:val="0"/>
    <w:rPr>
      <w:rFonts w:ascii="Cambria" w:hAnsi="Cambria" w:eastAsia="宋体" w:cs="黑体"/>
      <w:b/>
      <w:bCs/>
      <w:kern w:val="2"/>
      <w:sz w:val="32"/>
      <w:szCs w:val="32"/>
      <w:lang w:val="en-US" w:eastAsia="zh-CN" w:bidi="ar-SA"/>
    </w:rPr>
  </w:style>
  <w:style w:type="paragraph" w:customStyle="1" w:styleId="26">
    <w:name w:val="Char Char Char Char Char Char Char Char Char Char"/>
    <w:basedOn w:val="1"/>
    <w:qFormat/>
    <w:uiPriority w:val="0"/>
    <w:rPr>
      <w:color w:val="000000"/>
      <w:sz w:val="33"/>
      <w:szCs w:val="32"/>
    </w:rPr>
  </w:style>
  <w:style w:type="paragraph" w:customStyle="1" w:styleId="27">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9">
    <w:name w:val="普通(网站)1"/>
    <w:basedOn w:val="1"/>
    <w:qFormat/>
    <w:uiPriority w:val="0"/>
    <w:pPr>
      <w:spacing w:before="100" w:beforeAutospacing="1" w:after="100" w:afterAutospacing="1"/>
      <w:jc w:val="left"/>
    </w:pPr>
    <w:rPr>
      <w:rFonts w:ascii="Calibri" w:hAnsi="Calibri" w:cs="黑体"/>
      <w:kern w:val="0"/>
      <w:sz w:val="24"/>
      <w:szCs w:val="24"/>
    </w:rPr>
  </w:style>
  <w:style w:type="paragraph" w:customStyle="1" w:styleId="30">
    <w:name w:val="列出段落1"/>
    <w:basedOn w:val="1"/>
    <w:qFormat/>
    <w:uiPriority w:val="0"/>
    <w:pPr>
      <w:ind w:firstLine="420" w:firstLineChars="200"/>
    </w:pPr>
    <w:rPr>
      <w:rFonts w:ascii="Calibri" w:hAnsi="Calibri" w:eastAsia="宋体"/>
      <w:sz w:val="21"/>
      <w:szCs w:val="24"/>
    </w:rPr>
  </w:style>
  <w:style w:type="character" w:customStyle="1" w:styleId="31">
    <w:name w:val="Footer Char"/>
    <w:basedOn w:val="13"/>
    <w:qFormat/>
    <w:locked/>
    <w:uiPriority w:val="0"/>
    <w:rPr>
      <w:rFonts w:ascii="Times New Roman" w:hAnsi="Times New Roman" w:eastAsia="方正仿宋_GBK" w:cs="Times New Roman"/>
      <w:sz w:val="20"/>
      <w:szCs w:val="20"/>
    </w:rPr>
  </w:style>
  <w:style w:type="character" w:customStyle="1" w:styleId="32">
    <w:name w:val="页码1"/>
    <w:basedOn w:val="13"/>
    <w:qFormat/>
    <w:uiPriority w:val="0"/>
    <w:rPr>
      <w:rFonts w:cs="Times New Roman"/>
    </w:rPr>
  </w:style>
  <w:style w:type="paragraph" w:customStyle="1" w:styleId="3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5">
    <w:name w:val="xl75"/>
    <w:basedOn w:val="1"/>
    <w:qFormat/>
    <w:uiPriority w:val="0"/>
    <w:pPr>
      <w:widowControl/>
      <w:spacing w:before="100" w:beforeAutospacing="1" w:after="100" w:afterAutospacing="1"/>
      <w:jc w:val="center"/>
    </w:pPr>
    <w:rPr>
      <w:rFonts w:ascii="方正仿宋_GBK" w:hAnsi="宋体" w:cs="宋体"/>
      <w:kern w:val="0"/>
      <w:sz w:val="24"/>
      <w:szCs w:val="24"/>
    </w:rPr>
  </w:style>
  <w:style w:type="paragraph" w:customStyle="1" w:styleId="3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24"/>
      <w:szCs w:val="24"/>
    </w:rPr>
  </w:style>
  <w:style w:type="paragraph" w:customStyle="1" w:styleId="3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黑体_GBK" w:hAnsi="宋体" w:eastAsia="方正黑体_GBK" w:cs="宋体"/>
      <w:kern w:val="0"/>
      <w:sz w:val="24"/>
      <w:szCs w:val="24"/>
    </w:rPr>
  </w:style>
  <w:style w:type="paragraph" w:customStyle="1" w:styleId="3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3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4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4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cs="宋体"/>
      <w:kern w:val="0"/>
      <w:sz w:val="24"/>
      <w:szCs w:val="24"/>
    </w:rPr>
  </w:style>
  <w:style w:type="paragraph" w:customStyle="1" w:styleId="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4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方正仿宋_GBK" w:hAnsi="宋体" w:cs="宋体"/>
      <w:kern w:val="0"/>
      <w:sz w:val="24"/>
      <w:szCs w:val="24"/>
    </w:rPr>
  </w:style>
  <w:style w:type="paragraph" w:customStyle="1" w:styleId="4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4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49">
    <w:name w:val="xl8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5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5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方正仿宋_GBK" w:hAnsi="宋体" w:cs="宋体"/>
      <w:kern w:val="0"/>
      <w:sz w:val="24"/>
      <w:szCs w:val="24"/>
    </w:rPr>
  </w:style>
  <w:style w:type="paragraph" w:customStyle="1" w:styleId="5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方正仿宋_GBK" w:hAnsi="宋体" w:cs="宋体"/>
      <w:kern w:val="0"/>
      <w:sz w:val="24"/>
      <w:szCs w:val="24"/>
    </w:rPr>
  </w:style>
  <w:style w:type="paragraph" w:customStyle="1" w:styleId="5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方正仿宋_GBK" w:hAnsi="宋体" w:cs="宋体"/>
      <w:kern w:val="0"/>
      <w:sz w:val="24"/>
      <w:szCs w:val="24"/>
    </w:rPr>
  </w:style>
  <w:style w:type="paragraph" w:customStyle="1" w:styleId="59">
    <w:name w:val="xl99"/>
    <w:basedOn w:val="1"/>
    <w:qFormat/>
    <w:uiPriority w:val="0"/>
    <w:pPr>
      <w:widowControl/>
      <w:spacing w:before="100" w:beforeAutospacing="1" w:after="100" w:afterAutospacing="1"/>
      <w:jc w:val="center"/>
    </w:pPr>
    <w:rPr>
      <w:rFonts w:ascii="方正小标宋_GBK" w:hAnsi="宋体" w:eastAsia="方正小标宋_GBK" w:cs="宋体"/>
      <w:kern w:val="0"/>
      <w:sz w:val="40"/>
      <w:szCs w:val="40"/>
    </w:rPr>
  </w:style>
  <w:style w:type="paragraph" w:customStyle="1" w:styleId="60">
    <w:name w:val="xl100"/>
    <w:basedOn w:val="1"/>
    <w:qFormat/>
    <w:uiPriority w:val="0"/>
    <w:pPr>
      <w:widowControl/>
      <w:spacing w:before="100" w:beforeAutospacing="1" w:after="100" w:afterAutospacing="1"/>
      <w:jc w:val="left"/>
    </w:pPr>
    <w:rPr>
      <w:rFonts w:ascii="方正小标宋_GBK" w:hAnsi="宋体" w:eastAsia="方正小标宋_GBK" w:cs="宋体"/>
      <w:kern w:val="0"/>
      <w:sz w:val="40"/>
      <w:szCs w:val="40"/>
    </w:rPr>
  </w:style>
  <w:style w:type="paragraph" w:customStyle="1" w:styleId="61">
    <w:name w:val="xl101"/>
    <w:basedOn w:val="1"/>
    <w:qFormat/>
    <w:uiPriority w:val="0"/>
    <w:pPr>
      <w:widowControl/>
      <w:shd w:val="clear" w:color="000000" w:fill="FFFFFF"/>
      <w:spacing w:before="100" w:beforeAutospacing="1" w:after="100" w:afterAutospacing="1"/>
    </w:pPr>
    <w:rPr>
      <w:rFonts w:ascii="方正小标宋_GBK" w:hAnsi="宋体" w:eastAsia="方正小标宋_GBK" w:cs="宋体"/>
      <w:kern w:val="0"/>
      <w:sz w:val="40"/>
      <w:szCs w:val="40"/>
    </w:rPr>
  </w:style>
  <w:style w:type="paragraph" w:customStyle="1" w:styleId="62">
    <w:name w:val="xl102"/>
    <w:basedOn w:val="1"/>
    <w:qFormat/>
    <w:uiPriority w:val="0"/>
    <w:pPr>
      <w:widowControl/>
      <w:spacing w:before="100" w:beforeAutospacing="1" w:after="100" w:afterAutospacing="1"/>
    </w:pPr>
    <w:rPr>
      <w:rFonts w:ascii="方正小标宋_GBK" w:hAnsi="宋体" w:eastAsia="方正小标宋_GBK" w:cs="宋体"/>
      <w:kern w:val="0"/>
      <w:sz w:val="40"/>
      <w:szCs w:val="40"/>
    </w:rPr>
  </w:style>
  <w:style w:type="paragraph" w:customStyle="1" w:styleId="63">
    <w:name w:val="样式1"/>
    <w:basedOn w:val="1"/>
    <w:qFormat/>
    <w:uiPriority w:val="0"/>
    <w:pPr>
      <w:spacing w:line="560" w:lineRule="exact"/>
      <w:ind w:firstLine="200" w:firstLineChars="200"/>
    </w:pPr>
  </w:style>
  <w:style w:type="paragraph" w:customStyle="1" w:styleId="64">
    <w:name w:val="列出段落2"/>
    <w:basedOn w:val="1"/>
    <w:qFormat/>
    <w:uiPriority w:val="0"/>
    <w:pPr>
      <w:ind w:firstLine="420" w:firstLineChars="200"/>
    </w:pPr>
  </w:style>
  <w:style w:type="character" w:customStyle="1" w:styleId="65">
    <w:name w:val="Char Char2"/>
    <w:qFormat/>
    <w:uiPriority w:val="0"/>
    <w:rPr>
      <w:rFonts w:eastAsia="宋体"/>
      <w:kern w:val="2"/>
      <w:sz w:val="18"/>
      <w:lang w:val="en-US" w:eastAsia="zh-CN" w:bidi="ar-SA"/>
    </w:rPr>
  </w:style>
  <w:style w:type="character" w:customStyle="1" w:styleId="66">
    <w:name w:val="font31"/>
    <w:basedOn w:val="13"/>
    <w:qFormat/>
    <w:uiPriority w:val="0"/>
    <w:rPr>
      <w:rFonts w:hint="default" w:ascii="Times New Roman" w:hAnsi="Times New Roman" w:eastAsia="宋体" w:cs="Times New Roman"/>
      <w:color w:val="000000"/>
      <w:sz w:val="20"/>
      <w:szCs w:val="20"/>
      <w:u w:val="none"/>
    </w:rPr>
  </w:style>
  <w:style w:type="character" w:customStyle="1" w:styleId="67">
    <w:name w:val="font01"/>
    <w:basedOn w:val="13"/>
    <w:qFormat/>
    <w:uiPriority w:val="0"/>
    <w:rPr>
      <w:rFonts w:ascii="方正仿宋_GBK" w:hAnsi="方正仿宋_GBK" w:eastAsia="方正仿宋_GBK" w:cs="Times New Roman"/>
      <w:b/>
      <w:color w:val="000000"/>
      <w:sz w:val="20"/>
      <w:u w:val="none"/>
    </w:rPr>
  </w:style>
  <w:style w:type="character" w:customStyle="1" w:styleId="68">
    <w:name w:val="font21"/>
    <w:basedOn w:val="13"/>
    <w:qFormat/>
    <w:uiPriority w:val="0"/>
    <w:rPr>
      <w:rFonts w:hint="eastAsia" w:ascii="宋体" w:hAnsi="宋体" w:eastAsia="宋体" w:cs="宋体"/>
      <w:color w:val="000000"/>
      <w:sz w:val="20"/>
      <w:szCs w:val="20"/>
      <w:u w:val="none"/>
    </w:rPr>
  </w:style>
  <w:style w:type="character" w:customStyle="1" w:styleId="69">
    <w:name w:val="font11"/>
    <w:basedOn w:val="13"/>
    <w:qFormat/>
    <w:uiPriority w:val="0"/>
    <w:rPr>
      <w:rFonts w:hint="default" w:ascii="Times New Roman" w:hAnsi="Times New Roman" w:eastAsia="宋体" w:cs="Times New Roman"/>
      <w:color w:val="000000"/>
      <w:sz w:val="20"/>
      <w:szCs w:val="20"/>
      <w:u w:val="none"/>
    </w:rPr>
  </w:style>
  <w:style w:type="character" w:customStyle="1" w:styleId="70">
    <w:name w:val="font41"/>
    <w:basedOn w:val="13"/>
    <w:qFormat/>
    <w:uiPriority w:val="0"/>
    <w:rPr>
      <w:rFonts w:hint="default" w:ascii="Times New Roman" w:hAnsi="Times New Roman" w:eastAsia="宋体" w:cs="Times New Roman"/>
      <w:color w:val="000000"/>
      <w:sz w:val="18"/>
      <w:szCs w:val="18"/>
      <w:u w:val="none"/>
    </w:rPr>
  </w:style>
  <w:style w:type="character" w:customStyle="1" w:styleId="71">
    <w:name w:val="font51"/>
    <w:basedOn w:val="13"/>
    <w:qFormat/>
    <w:uiPriority w:val="0"/>
    <w:rPr>
      <w:rFonts w:ascii="仿宋" w:hAnsi="仿宋" w:eastAsia="仿宋" w:cs="Times New Roman"/>
      <w:color w:val="000000"/>
      <w:sz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21</Pages>
  <Words>25690</Words>
  <Characters>26009</Characters>
  <Lines>192</Lines>
  <Paragraphs>54</Paragraphs>
  <TotalTime>3</TotalTime>
  <ScaleCrop>false</ScaleCrop>
  <LinksUpToDate>false</LinksUpToDate>
  <CharactersWithSpaces>26754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2023-03-24T08:19:00Z</dcterms:created>
  <dc:creator>微软中国</dc:creator>
  <cp:lastModifiedBy>鱼丸粗面</cp:lastModifiedBy>
  <cp:lastPrinted>2022-10-09T15:26:00Z</cp:lastPrinted>
  <dcterms:modified xsi:type="dcterms:W3CDTF">2025-01-16T10:34:46Z</dcterms:modified>
  <dc:title>（来文单位：□□□□）</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7347446DDEB4435F94F8D8E060CDEFCE</vt:lpwstr>
  </property>
  <property fmtid="{D5CDD505-2E9C-101B-9397-08002B2CF9AE}" pid="4" name="KSOTemplateDocerSaveRecord">
    <vt:lpwstr>eyJoZGlkIjoiODc1ODY5ODY1OWNiMDA5MjJhOTU4YjVlZTY0N2MwMTkiLCJ1c2VySWQiOiIyNzUyNTk2MTIifQ==</vt:lpwstr>
  </property>
</Properties>
</file>