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spacing w:line="560" w:lineRule="exact"/>
        <w:ind w:left="316" w:right="316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重庆市第二批实行告知承诺制证明事项目录</w:t>
      </w:r>
    </w:p>
    <w:bookmarkEnd w:id="0"/>
    <w:p>
      <w:pPr>
        <w:pStyle w:val="2"/>
        <w:spacing w:line="560" w:lineRule="exact"/>
        <w:ind w:left="316" w:right="316"/>
        <w:jc w:val="center"/>
        <w:rPr>
          <w:rFonts w:ascii="方正楷体_GBK" w:hAnsi="方正楷体_GBK" w:eastAsia="方正楷体_GBK" w:cs="方正楷体_GBK"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8"/>
        <w:tblW w:w="13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66"/>
        <w:gridCol w:w="1955"/>
        <w:gridCol w:w="3075"/>
        <w:gridCol w:w="469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721" w:type="dxa"/>
            <w:vAlign w:val="center"/>
          </w:tcPr>
          <w:p>
            <w:pPr>
              <w:pStyle w:val="17"/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6" w:type="dxa"/>
            <w:vAlign w:val="center"/>
          </w:tcPr>
          <w:p>
            <w:pPr>
              <w:pStyle w:val="17"/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证明名称</w:t>
            </w:r>
          </w:p>
        </w:tc>
        <w:tc>
          <w:tcPr>
            <w:tcW w:w="1955" w:type="dxa"/>
            <w:vAlign w:val="center"/>
          </w:tcPr>
          <w:p>
            <w:pPr>
              <w:pStyle w:val="17"/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索要单位</w:t>
            </w:r>
          </w:p>
        </w:tc>
        <w:tc>
          <w:tcPr>
            <w:tcW w:w="3075" w:type="dxa"/>
            <w:vAlign w:val="center"/>
          </w:tcPr>
          <w:p>
            <w:pPr>
              <w:pStyle w:val="17"/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证明用途</w:t>
            </w:r>
          </w:p>
          <w:p>
            <w:pPr>
              <w:pStyle w:val="17"/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（对应办理的行政事项）</w:t>
            </w:r>
          </w:p>
        </w:tc>
        <w:tc>
          <w:tcPr>
            <w:tcW w:w="4695" w:type="dxa"/>
            <w:vAlign w:val="center"/>
          </w:tcPr>
          <w:p>
            <w:pPr>
              <w:pStyle w:val="17"/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设定依据</w:t>
            </w:r>
          </w:p>
        </w:tc>
        <w:tc>
          <w:tcPr>
            <w:tcW w:w="1448" w:type="dxa"/>
            <w:vAlign w:val="center"/>
          </w:tcPr>
          <w:p>
            <w:pPr>
              <w:pStyle w:val="17"/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依据层级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校长或者主要行政负责人的资格证明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教育部门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高等学校和其他高等教育机构设置审批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《中华人民共和国民办教育促进法》第十五条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《中华人民共和国中外合作办学条例》第十七条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校长或者主要行政负责人的资格证明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教育部门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中等及以下学校和其他教育机构设置审批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《中华人民共和国民办教育促进法》第十五条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《中华人民共和国中外合作办学条例》第十七条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资产来源、资金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数额及有效证明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教育部门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高等学校和其他高等教育机构筹设审批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《中华人民共和国民办教育促进法》第十三条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《中华人民共和国中外合作办学条例》第十四条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资产来源、资金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数额及有效证明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教育部门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民办、中外合作开办中等及以下学校和其他教育机构筹设审批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《中华人民共和国民办教育促进法》第十三条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《中华人民共和国中外合作办学条例》第十四条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居住地住址证明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公安机关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核发居住证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《居住证暂行条例》第二条、第九条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兵役状况证明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公安机关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户口登记非主项信息变更</w:t>
            </w:r>
            <w:r>
              <w:rPr>
                <w:rFonts w:hint="eastAsia" w:cs="Times New Roman"/>
                <w:kern w:val="0"/>
                <w:sz w:val="21"/>
                <w:szCs w:val="21"/>
              </w:rPr>
              <w:t>（</w:t>
            </w:r>
            <w:r>
              <w:rPr>
                <w:rFonts w:cs="Times New Roman"/>
                <w:kern w:val="0"/>
                <w:sz w:val="21"/>
                <w:szCs w:val="21"/>
              </w:rPr>
              <w:t>变更兵役状况</w:t>
            </w:r>
            <w:r>
              <w:rPr>
                <w:rFonts w:hint="eastAsia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《中华人民共和国户口登记条例》第十七条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户口迁移证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公安机关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户口登记（迁出未落户在迁出地恢复户口）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《中华人民共和国户口登记条例》第十三条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准予迁入证明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公安机关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户籍迁移</w:t>
            </w:r>
            <w:r>
              <w:rPr>
                <w:rFonts w:hint="eastAsia" w:cs="Times New Roman"/>
                <w:kern w:val="0"/>
                <w:sz w:val="21"/>
                <w:szCs w:val="21"/>
              </w:rPr>
              <w:t>（</w:t>
            </w:r>
            <w:r>
              <w:rPr>
                <w:rFonts w:cs="Times New Roman"/>
                <w:kern w:val="0"/>
                <w:sz w:val="21"/>
                <w:szCs w:val="21"/>
              </w:rPr>
              <w:t>户口迁出</w:t>
            </w:r>
            <w:r>
              <w:rPr>
                <w:rFonts w:hint="eastAsia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《中华人民共和国户口登记条例》第十条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户口迁移证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公安机关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户籍迁移（迁入落户）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《中华人民共和国户口登记条例》第十三条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验资报告或验资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民政部门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社会团体成立登记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《社会团体登记管理条例》第十一条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住所使用权证明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民政部门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慈善组织认定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《中华人民共和国慈善法》第九条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负有限责任的会计师事务所的出资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财政部门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会计师事务所及其分支机构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设立审批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《中华人民共和国注册会计师法》第二十五条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死亡证明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不动产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登记机构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用于不动产登记中非公证继承情况下，被继承人死亡时其父母先亡，且被继承人死亡时已满（含）80周岁，申请人确实无法提供被继承人父母死亡证明的，可提交书面承诺代替被继承人父母的死亡证明。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《不动产登记暂行条例》第十六条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《不动产登记暂行条例实施细则》第十四条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行政法规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部门规章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公安交通管理部门意见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城市管理部门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市政设施建设类审批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《城市道路管理条例》第二十九条、第三十条、第三十一条、第三十三条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《国务院对确需保留的行政审批项目设定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行政许可的决定》附件第109项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被拆除、改动、迁移供水管道的供水企业意见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城市管理部门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拆除、改动、迁移城市公共供水设施审核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《城市供水条例》第三十条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经营场所、停车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场地有关使用证明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交通主管部门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出租汽车经营许可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《国务院对确需保留的行政审批项目设定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行政许可的决定》附件第112项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《巡游出租汽车经营服务管理规定》第九条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行政法规部门规章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17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与第三者利害关系的相关说明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水利部门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取水许可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《中华人民共和国水法》第四十八条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《取水许可和水资源费征收管理条例》第十一条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合法固定的经营场所、办公用房产权证明或租赁合同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农业农村部门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兽药经营许可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《兽药管理条例》第二十二条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健康证明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农业农村部门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生猪定点屠宰厂（场）设置审查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《生猪屠宰管理条例》第十一条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单采血浆站用房的房屋产权证明或者使用权证明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卫生健康部门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单采血浆站设置审批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《血液制品管理条例》第七条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《单采血浆站管理办法》第十条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行政法规部门规章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21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拟设单采血浆站的法定代表人及其主要负责人的身份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卫生健康部门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单采血浆站设置审批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《血液制品管理条例》第七条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《单采血浆站管理办法》第十条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行政法规部门规章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固定资产法定证明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应急管理部门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安全评价检测检验机构资质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认定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《中华人民共和国安全生产法》第七十二条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《安全评价检测检验机构管理办法》第七条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部门规章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23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截至申请之日三年内无重大违法失信记录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应急管理部门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安全评价检测检验机构资质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认定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《中华人民共和国安全生产法》第七十二条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《安全评价检测检验机构管理办法》第七条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部门规章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安全评价师专业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能力证明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应急管理部门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安全评价检测检验机构资质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认定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《中华人民共和国安全生产法》第七十二条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《安全评价检测检验机构管理办法》第七条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部门规章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工作场所及档案室面积证明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应急管理部门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安全评价检测检验机构资质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认定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《中华人民共和国安全生产法》第七十二条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《安全评价检测检验机构管理办法》第六条、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第七条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部门规章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26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法定代表人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身份证明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体育部门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从事射击竞技体育运动单位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审批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《中华人民共和国枪支管理法》第六条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《射击竞技体育运动枪支管理办法》第六条、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第七条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部门规章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27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射击场地所有权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或者使用权证明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体育部门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从事射击竞技体育运动单位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审批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《中华人民共和国枪支管理法》第六条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《射击竞技体育运动枪支管理办法》第六条、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第七条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部门规章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28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成绩证明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体育部门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国家三级运动员认定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《中华人民共和国体育法》第三十条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《运动员技术等级管理办法》第九条、第十条、第十五条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部门规章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29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营业场所证明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药品监督部门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药品零售企业经营许可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《中华人民共和国药品管理法》第五十一条、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第五十二条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30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营业场所证明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药品监督部门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药品批发企业经营许可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《中华人民共和国药品管理法》第五十一条、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第五十二条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Times New Roman"/>
                <w:kern w:val="0"/>
                <w:sz w:val="21"/>
                <w:szCs w:val="21"/>
              </w:rPr>
              <w:t>法律</w:t>
            </w:r>
          </w:p>
        </w:tc>
      </w:tr>
    </w:tbl>
    <w:p>
      <w:pPr>
        <w:spacing w:line="578" w:lineRule="exact"/>
        <w:ind w:right="627" w:rightChars="196"/>
        <w:jc w:val="right"/>
      </w:pPr>
    </w:p>
    <w:p>
      <w:pPr>
        <w:pStyle w:val="2"/>
        <w:spacing w:line="20" w:lineRule="exact"/>
        <w:ind w:leftChars="0" w:right="320"/>
        <w:rPr>
          <w:rFonts w:ascii="方正仿宋_GBK" w:hAnsi="方正仿宋_GBK" w:eastAsia="方正仿宋_GBK" w:cs="方正仿宋_GBK"/>
          <w:kern w:val="4"/>
          <w:position w:val="6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2098" w:bottom="1531" w:left="1985" w:header="851" w:footer="992" w:gutter="0"/>
      <w:cols w:space="425" w:num="1"/>
      <w:titlePg/>
      <w:docGrid w:type="lines" w:linePitch="5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67668"/>
      <w:docPartObj>
        <w:docPartGallery w:val="AutoText"/>
      </w:docPartObj>
    </w:sdtPr>
    <w:sdtContent>
      <w:p>
        <w:pPr>
          <w:pStyle w:val="5"/>
          <w:ind w:right="278" w:rightChars="87"/>
          <w:jc w:val="right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67660"/>
      <w:docPartObj>
        <w:docPartGallery w:val="AutoText"/>
      </w:docPartObj>
    </w:sdtPr>
    <w:sdtContent>
      <w:p>
        <w:pPr>
          <w:pStyle w:val="5"/>
          <w:ind w:firstLine="140" w:firstLineChars="78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67650"/>
      <w:docPartObj>
        <w:docPartGallery w:val="AutoText"/>
      </w:docPartObj>
    </w:sdtPr>
    <w:sdtContent>
      <w:p>
        <w:pPr>
          <w:pStyle w:val="5"/>
          <w:ind w:right="278" w:rightChars="87"/>
          <w:jc w:val="right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5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8D"/>
    <w:rsid w:val="000224E8"/>
    <w:rsid w:val="00104CFA"/>
    <w:rsid w:val="00221D6B"/>
    <w:rsid w:val="0025159B"/>
    <w:rsid w:val="0030458D"/>
    <w:rsid w:val="00314227"/>
    <w:rsid w:val="00315386"/>
    <w:rsid w:val="0036152B"/>
    <w:rsid w:val="0036370A"/>
    <w:rsid w:val="00495E2F"/>
    <w:rsid w:val="004E6680"/>
    <w:rsid w:val="0055352A"/>
    <w:rsid w:val="005836A2"/>
    <w:rsid w:val="00584EC8"/>
    <w:rsid w:val="00591FF2"/>
    <w:rsid w:val="00634062"/>
    <w:rsid w:val="007E2348"/>
    <w:rsid w:val="0083389D"/>
    <w:rsid w:val="009A2F3B"/>
    <w:rsid w:val="00A13983"/>
    <w:rsid w:val="00AB65B0"/>
    <w:rsid w:val="00AE0733"/>
    <w:rsid w:val="00AF4D22"/>
    <w:rsid w:val="00B65395"/>
    <w:rsid w:val="00B84FB3"/>
    <w:rsid w:val="00BB4628"/>
    <w:rsid w:val="00BD466F"/>
    <w:rsid w:val="00BF65C0"/>
    <w:rsid w:val="00CC7457"/>
    <w:rsid w:val="00D55BFF"/>
    <w:rsid w:val="00DA620B"/>
    <w:rsid w:val="00DD2DF1"/>
    <w:rsid w:val="00E21E33"/>
    <w:rsid w:val="00E76D07"/>
    <w:rsid w:val="00EB2BDE"/>
    <w:rsid w:val="6D7D8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ind w:left="100" w:leftChars="100" w:right="100" w:rightChars="100"/>
    </w:pPr>
    <w:rPr>
      <w:rFonts w:eastAsia="宋体" w:cs="Times New Roman"/>
      <w:sz w:val="21"/>
      <w:szCs w:val="24"/>
    </w:rPr>
  </w:style>
  <w:style w:type="paragraph" w:styleId="3">
    <w:name w:val="toc 3"/>
    <w:basedOn w:val="1"/>
    <w:next w:val="1"/>
    <w:qFormat/>
    <w:uiPriority w:val="0"/>
    <w:pPr>
      <w:ind w:left="840" w:leftChars="400"/>
    </w:pPr>
    <w:rPr>
      <w:rFonts w:ascii="Calibri" w:hAnsi="Calibri" w:cs="Times New Roman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Char Char Char1 Char Char Char Char Char Char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character" w:customStyle="1" w:styleId="13">
    <w:name w:val="日期 Char"/>
    <w:basedOn w:val="9"/>
    <w:link w:val="4"/>
    <w:semiHidden/>
    <w:qFormat/>
    <w:uiPriority w:val="99"/>
    <w:rPr>
      <w:rFonts w:ascii="Times New Roman" w:hAnsi="Times New Roman" w:eastAsia="方正仿宋_GBK"/>
      <w:sz w:val="32"/>
    </w:rPr>
  </w:style>
  <w:style w:type="character" w:customStyle="1" w:styleId="14">
    <w:name w:val="正文文本 Char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Char Char Char1 Char Char Char Char Char Char Char Char Char Char1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customStyle="1" w:styleId="16">
    <w:name w:val="Char Char Char1 Char Char Char Char Char Char Char Char Char Char2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customStyle="1" w:styleId="17">
    <w:name w:val="普通(网站)1"/>
    <w:basedOn w:val="1"/>
    <w:qFormat/>
    <w:uiPriority w:val="0"/>
    <w:pPr>
      <w:jc w:val="left"/>
    </w:pPr>
    <w:rPr>
      <w:rFonts w:ascii="Calibri" w:hAnsi="Calibri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588</Words>
  <Characters>3358</Characters>
  <Lines>27</Lines>
  <Paragraphs>7</Paragraphs>
  <TotalTime>61</TotalTime>
  <ScaleCrop>false</ScaleCrop>
  <LinksUpToDate>false</LinksUpToDate>
  <CharactersWithSpaces>3939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2022-07-07T16:11:00Z</dcterms:created>
  <dc:creator>lenovo</dc:creator>
  <cp:lastModifiedBy>user</cp:lastModifiedBy>
  <dcterms:modified xsi:type="dcterms:W3CDTF">2022-07-08T17:19:02Z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