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napToGrid w:val="0"/>
        <w:spacing w:line="480" w:lineRule="auto"/>
        <w:ind w:left="31" w:leftChars="15" w:right="0" w:firstLine="0" w:firstLineChars="0"/>
        <w:jc w:val="center"/>
        <w:rPr>
          <w:rFonts w:ascii="宋体" w:hAnsi="宋体" w:eastAsia="宋体"/>
          <w:b/>
          <w:color w:val="auto"/>
          <w:sz w:val="48"/>
          <w:szCs w:val="48"/>
          <w:highlight w:val="none"/>
        </w:rPr>
      </w:pPr>
    </w:p>
    <w:p>
      <w:pPr>
        <w:pStyle w:val="19"/>
        <w:snapToGrid w:val="0"/>
        <w:spacing w:line="360" w:lineRule="auto"/>
        <w:ind w:left="0" w:right="0" w:firstLine="0" w:firstLineChars="0"/>
        <w:jc w:val="center"/>
        <w:rPr>
          <w:rFonts w:ascii="宋体" w:hAnsi="宋体" w:eastAsia="宋体"/>
          <w:color w:val="auto"/>
          <w:sz w:val="48"/>
          <w:szCs w:val="48"/>
          <w:highlight w:val="none"/>
        </w:rPr>
      </w:pPr>
      <w:r>
        <w:rPr>
          <w:rFonts w:ascii="宋体" w:hAnsi="宋体" w:eastAsia="宋体"/>
          <w:color w:val="auto"/>
          <w:sz w:val="48"/>
          <w:szCs w:val="48"/>
          <w:highlight w:val="none"/>
        </w:rPr>
        <w:t>重庆市</w:t>
      </w:r>
      <w:r>
        <w:rPr>
          <w:rFonts w:hint="eastAsia" w:ascii="宋体" w:hAnsi="宋体" w:eastAsia="宋体"/>
          <w:color w:val="auto"/>
          <w:sz w:val="48"/>
          <w:szCs w:val="48"/>
          <w:highlight w:val="none"/>
        </w:rPr>
        <w:t>地质灾害治理</w:t>
      </w:r>
      <w:r>
        <w:rPr>
          <w:rFonts w:ascii="宋体" w:hAnsi="宋体" w:eastAsia="宋体"/>
          <w:color w:val="auto"/>
          <w:sz w:val="48"/>
          <w:szCs w:val="48"/>
          <w:highlight w:val="none"/>
        </w:rPr>
        <w:t>工程</w:t>
      </w:r>
      <w:r>
        <w:rPr>
          <w:rFonts w:hint="eastAsia" w:ascii="宋体" w:hAnsi="宋体" w:eastAsia="宋体"/>
          <w:color w:val="auto"/>
          <w:sz w:val="48"/>
          <w:szCs w:val="48"/>
          <w:highlight w:val="none"/>
        </w:rPr>
        <w:t>施工</w:t>
      </w:r>
    </w:p>
    <w:p>
      <w:pPr>
        <w:pStyle w:val="19"/>
        <w:snapToGrid w:val="0"/>
        <w:spacing w:line="360" w:lineRule="auto"/>
        <w:ind w:left="0" w:right="0" w:firstLine="0" w:firstLineChars="0"/>
        <w:jc w:val="center"/>
        <w:rPr>
          <w:rFonts w:ascii="宋体" w:hAnsi="宋体" w:eastAsia="宋体"/>
          <w:color w:val="auto"/>
          <w:sz w:val="48"/>
          <w:szCs w:val="48"/>
          <w:highlight w:val="none"/>
        </w:rPr>
      </w:pPr>
    </w:p>
    <w:p>
      <w:pPr>
        <w:pStyle w:val="19"/>
        <w:snapToGrid w:val="0"/>
        <w:spacing w:line="360" w:lineRule="auto"/>
        <w:ind w:left="0" w:right="0" w:firstLine="0" w:firstLineChars="0"/>
        <w:jc w:val="center"/>
        <w:rPr>
          <w:rFonts w:hint="eastAsia" w:ascii="宋体" w:hAnsi="宋体" w:eastAsia="宋体"/>
          <w:b/>
          <w:color w:val="auto"/>
          <w:sz w:val="84"/>
          <w:szCs w:val="84"/>
          <w:highlight w:val="none"/>
          <w:lang w:val="en-US" w:eastAsia="zh-CN"/>
        </w:rPr>
      </w:pPr>
      <w:r>
        <w:rPr>
          <w:rFonts w:ascii="宋体" w:hAnsi="宋体" w:eastAsia="宋体"/>
          <w:b/>
          <w:color w:val="auto"/>
          <w:sz w:val="84"/>
          <w:szCs w:val="84"/>
          <w:highlight w:val="none"/>
        </w:rPr>
        <w:t>招标文件</w:t>
      </w:r>
      <w:r>
        <w:rPr>
          <w:rFonts w:hint="eastAsia" w:ascii="宋体" w:hAnsi="宋体" w:eastAsia="宋体"/>
          <w:b/>
          <w:color w:val="auto"/>
          <w:sz w:val="84"/>
          <w:szCs w:val="84"/>
          <w:highlight w:val="none"/>
          <w:lang w:val="en-US" w:eastAsia="zh-CN"/>
        </w:rPr>
        <w:t>示范文本</w:t>
      </w:r>
    </w:p>
    <w:p>
      <w:pPr>
        <w:pStyle w:val="19"/>
        <w:snapToGrid w:val="0"/>
        <w:spacing w:line="360" w:lineRule="auto"/>
        <w:ind w:left="0" w:right="0" w:firstLine="0" w:firstLineChars="0"/>
        <w:jc w:val="center"/>
        <w:rPr>
          <w:rFonts w:ascii="宋体" w:hAnsi="宋体" w:eastAsia="宋体"/>
          <w:color w:val="auto"/>
          <w:sz w:val="48"/>
          <w:szCs w:val="48"/>
          <w:highlight w:val="none"/>
        </w:rPr>
      </w:pPr>
      <w:r>
        <w:rPr>
          <w:rFonts w:hint="eastAsia" w:ascii="宋体" w:hAnsi="宋体" w:eastAsia="宋体"/>
          <w:color w:val="auto"/>
          <w:sz w:val="48"/>
          <w:szCs w:val="48"/>
          <w:highlight w:val="none"/>
        </w:rPr>
        <w:t>（</w:t>
      </w:r>
      <w:r>
        <w:rPr>
          <w:rFonts w:hint="eastAsia" w:ascii="宋体" w:hAnsi="宋体" w:eastAsia="宋体"/>
          <w:sz w:val="48"/>
          <w:szCs w:val="48"/>
          <w:lang w:val="en-US" w:eastAsia="zh-CN"/>
        </w:rPr>
        <w:t>2025年版</w:t>
      </w:r>
      <w:r>
        <w:rPr>
          <w:rFonts w:hint="eastAsia" w:ascii="宋体" w:hAnsi="宋体" w:eastAsia="宋体"/>
          <w:color w:val="auto"/>
          <w:sz w:val="48"/>
          <w:szCs w:val="48"/>
          <w:highlight w:val="none"/>
        </w:rPr>
        <w:t>）</w:t>
      </w:r>
    </w:p>
    <w:p>
      <w:pPr>
        <w:autoSpaceDE w:val="0"/>
        <w:autoSpaceDN w:val="0"/>
        <w:adjustRightInd w:val="0"/>
        <w:snapToGrid w:val="0"/>
        <w:spacing w:line="360" w:lineRule="auto"/>
        <w:jc w:val="center"/>
        <w:rPr>
          <w:rFonts w:ascii="宋体" w:hAnsi="宋体"/>
          <w:color w:val="auto"/>
          <w:kern w:val="0"/>
          <w:position w:val="-5"/>
          <w:sz w:val="44"/>
          <w:szCs w:val="44"/>
          <w:highlight w:val="none"/>
        </w:rPr>
      </w:pPr>
      <w:r>
        <w:rPr>
          <w:rFonts w:hint="eastAsia" w:ascii="宋体" w:hAnsi="宋体"/>
          <w:color w:val="auto"/>
          <w:sz w:val="48"/>
          <w:szCs w:val="48"/>
          <w:highlight w:val="none"/>
        </w:rPr>
        <w:t xml:space="preserve"> </w:t>
      </w: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color w:val="auto"/>
          <w:kern w:val="0"/>
          <w:position w:val="-5"/>
          <w:sz w:val="44"/>
          <w:szCs w:val="44"/>
          <w:highlight w:val="none"/>
        </w:rPr>
      </w:pPr>
    </w:p>
    <w:p>
      <w:pPr>
        <w:autoSpaceDE w:val="0"/>
        <w:autoSpaceDN w:val="0"/>
        <w:adjustRightInd w:val="0"/>
        <w:snapToGrid w:val="0"/>
        <w:spacing w:line="360" w:lineRule="auto"/>
        <w:jc w:val="center"/>
        <w:rPr>
          <w:rFonts w:ascii="宋体" w:hAnsi="宋体"/>
          <w:b/>
          <w:color w:val="auto"/>
          <w:kern w:val="0"/>
          <w:position w:val="-5"/>
          <w:sz w:val="44"/>
          <w:szCs w:val="44"/>
          <w:highlight w:val="none"/>
        </w:rPr>
      </w:pPr>
    </w:p>
    <w:p>
      <w:pPr>
        <w:autoSpaceDE w:val="0"/>
        <w:autoSpaceDN w:val="0"/>
        <w:adjustRightInd w:val="0"/>
        <w:snapToGrid w:val="0"/>
        <w:spacing w:line="360" w:lineRule="auto"/>
        <w:jc w:val="center"/>
        <w:rPr>
          <w:rFonts w:ascii="宋体" w:hAnsi="宋体"/>
          <w:b/>
          <w:color w:val="auto"/>
          <w:kern w:val="0"/>
          <w:position w:val="-5"/>
          <w:sz w:val="44"/>
          <w:szCs w:val="44"/>
          <w:highlight w:val="none"/>
        </w:rPr>
      </w:pPr>
    </w:p>
    <w:p>
      <w:pPr>
        <w:autoSpaceDE w:val="0"/>
        <w:autoSpaceDN w:val="0"/>
        <w:adjustRightInd w:val="0"/>
        <w:snapToGrid w:val="0"/>
        <w:spacing w:line="360" w:lineRule="auto"/>
        <w:jc w:val="center"/>
        <w:rPr>
          <w:rFonts w:ascii="宋体" w:hAnsi="宋体"/>
          <w:b/>
          <w:color w:val="auto"/>
          <w:kern w:val="0"/>
          <w:position w:val="-5"/>
          <w:sz w:val="32"/>
          <w:szCs w:val="48"/>
          <w:highlight w:val="none"/>
        </w:rPr>
      </w:pPr>
    </w:p>
    <w:p>
      <w:pPr>
        <w:autoSpaceDE w:val="0"/>
        <w:autoSpaceDN w:val="0"/>
        <w:adjustRightInd w:val="0"/>
        <w:snapToGrid w:val="0"/>
        <w:spacing w:line="360" w:lineRule="auto"/>
        <w:rPr>
          <w:rFonts w:ascii="宋体" w:hAnsi="宋体"/>
          <w:color w:val="auto"/>
          <w:kern w:val="0"/>
          <w:position w:val="-5"/>
          <w:sz w:val="32"/>
          <w:szCs w:val="48"/>
          <w:highlight w:val="none"/>
        </w:rPr>
      </w:pPr>
    </w:p>
    <w:p>
      <w:pPr>
        <w:adjustRightInd w:val="0"/>
        <w:snapToGrid w:val="0"/>
        <w:spacing w:line="360" w:lineRule="auto"/>
        <w:jc w:val="center"/>
        <w:rPr>
          <w:rFonts w:ascii="宋体" w:hAnsi="宋体"/>
          <w:color w:val="auto"/>
          <w:sz w:val="36"/>
          <w:szCs w:val="36"/>
          <w:highlight w:val="none"/>
        </w:rPr>
      </w:pPr>
    </w:p>
    <w:p>
      <w:pPr>
        <w:adjustRightInd w:val="0"/>
        <w:snapToGrid w:val="0"/>
        <w:spacing w:line="360" w:lineRule="auto"/>
        <w:jc w:val="center"/>
        <w:rPr>
          <w:rFonts w:ascii="宋体" w:hAnsi="宋体"/>
          <w:color w:val="auto"/>
          <w:sz w:val="36"/>
          <w:szCs w:val="36"/>
          <w:highlight w:val="none"/>
        </w:rPr>
      </w:pPr>
      <w:r>
        <w:rPr>
          <w:rFonts w:hint="eastAsia" w:ascii="宋体" w:hAnsi="宋体"/>
          <w:sz w:val="36"/>
          <w:szCs w:val="36"/>
        </w:rPr>
        <w:t>重庆市发展和改革委员会</w:t>
      </w:r>
      <w:r>
        <w:rPr>
          <w:rFonts w:hint="eastAsia" w:ascii="宋体" w:hAnsi="宋体"/>
          <w:color w:val="auto"/>
          <w:sz w:val="36"/>
          <w:szCs w:val="36"/>
          <w:highlight w:val="none"/>
        </w:rPr>
        <w:t xml:space="preserve"> 制</w:t>
      </w:r>
    </w:p>
    <w:p>
      <w:pPr>
        <w:spacing w:line="360" w:lineRule="auto"/>
        <w:jc w:val="center"/>
        <w:rPr>
          <w:rFonts w:ascii="宋体" w:hAnsi="宋体"/>
          <w:color w:val="auto"/>
          <w:kern w:val="0"/>
          <w:position w:val="-5"/>
          <w:sz w:val="36"/>
          <w:szCs w:val="36"/>
          <w:highlight w:val="none"/>
        </w:rPr>
        <w:sectPr>
          <w:footerReference r:id="rId5" w:type="first"/>
          <w:headerReference r:id="rId3" w:type="default"/>
          <w:footerReference r:id="rId4" w:type="even"/>
          <w:pgSz w:w="11907" w:h="16840"/>
          <w:pgMar w:top="1304" w:right="1134" w:bottom="1304" w:left="1304" w:header="851" w:footer="992" w:gutter="0"/>
          <w:pgNumType w:fmt="numberInDash" w:start="1"/>
          <w:cols w:space="720" w:num="1"/>
          <w:docGrid w:linePitch="312" w:charSpace="0"/>
        </w:sectPr>
      </w:pPr>
      <w:r>
        <w:rPr>
          <w:rFonts w:ascii="宋体" w:hAnsi="宋体"/>
          <w:color w:val="auto"/>
          <w:kern w:val="0"/>
          <w:position w:val="-5"/>
          <w:sz w:val="36"/>
          <w:szCs w:val="36"/>
          <w:highlight w:val="none"/>
        </w:rPr>
        <w:t>20</w:t>
      </w:r>
      <w:r>
        <w:rPr>
          <w:rFonts w:hint="eastAsia" w:ascii="宋体" w:hAnsi="宋体"/>
          <w:kern w:val="0"/>
          <w:position w:val="-5"/>
          <w:sz w:val="36"/>
          <w:szCs w:val="36"/>
          <w:lang w:val="en-US" w:eastAsia="zh-CN"/>
        </w:rPr>
        <w:t>25</w:t>
      </w:r>
      <w:r>
        <w:rPr>
          <w:rFonts w:ascii="宋体" w:hAnsi="宋体"/>
          <w:kern w:val="0"/>
          <w:position w:val="-5"/>
          <w:sz w:val="36"/>
          <w:szCs w:val="36"/>
        </w:rPr>
        <w:t>年</w:t>
      </w:r>
      <w:del w:id="0" w:author="fgw" w:date="2025-09-05T09:44:13Z">
        <w:r>
          <w:rPr>
            <w:rFonts w:hint="default" w:ascii="宋体" w:hAnsi="宋体"/>
            <w:kern w:val="0"/>
            <w:position w:val="-5"/>
            <w:sz w:val="36"/>
            <w:szCs w:val="36"/>
            <w:lang w:val="en-US" w:eastAsia="zh-CN"/>
          </w:rPr>
          <w:delText>8</w:delText>
        </w:r>
      </w:del>
      <w:ins w:id="1" w:author="fgw" w:date="2025-09-05T09:44:13Z">
        <w:r>
          <w:rPr>
            <w:rFonts w:hint="eastAsia" w:ascii="宋体" w:hAnsi="宋体"/>
            <w:kern w:val="0"/>
            <w:position w:val="-5"/>
            <w:sz w:val="36"/>
            <w:szCs w:val="36"/>
            <w:lang w:val="en-US" w:eastAsia="zh-CN"/>
          </w:rPr>
          <w:t>9</w:t>
        </w:r>
      </w:ins>
      <w:bookmarkStart w:id="2397" w:name="_GoBack"/>
      <w:bookmarkEnd w:id="2397"/>
      <w:r>
        <w:rPr>
          <w:rFonts w:hint="eastAsia" w:ascii="宋体" w:hAnsi="宋体"/>
          <w:color w:val="auto"/>
          <w:kern w:val="0"/>
          <w:position w:val="-5"/>
          <w:sz w:val="36"/>
          <w:szCs w:val="36"/>
          <w:highlight w:val="none"/>
        </w:rPr>
        <w:t>月</w:t>
      </w:r>
    </w:p>
    <w:p>
      <w:pPr>
        <w:autoSpaceDE w:val="0"/>
        <w:autoSpaceDN w:val="0"/>
        <w:adjustRightInd w:val="0"/>
        <w:snapToGrid w:val="0"/>
        <w:spacing w:line="590" w:lineRule="exact"/>
        <w:jc w:val="center"/>
        <w:rPr>
          <w:rFonts w:ascii="宋体" w:hAnsi="宋体"/>
          <w:color w:val="auto"/>
          <w:kern w:val="0"/>
          <w:sz w:val="44"/>
          <w:szCs w:val="44"/>
          <w:highlight w:val="none"/>
        </w:rPr>
      </w:pPr>
      <w:bookmarkStart w:id="0" w:name="_Toc287620665"/>
      <w:r>
        <w:rPr>
          <w:rFonts w:ascii="宋体" w:hAnsi="宋体"/>
          <w:color w:val="auto"/>
          <w:kern w:val="0"/>
          <w:sz w:val="44"/>
          <w:szCs w:val="44"/>
          <w:highlight w:val="none"/>
        </w:rPr>
        <w:t>使 用 说 明</w:t>
      </w:r>
    </w:p>
    <w:p>
      <w:pPr>
        <w:spacing w:line="590" w:lineRule="exact"/>
        <w:jc w:val="center"/>
        <w:rPr>
          <w:rFonts w:ascii="宋体" w:hAnsi="宋体"/>
          <w:color w:val="auto"/>
          <w:kern w:val="0"/>
          <w:sz w:val="44"/>
          <w:szCs w:val="44"/>
          <w:highlight w:val="none"/>
        </w:rPr>
      </w:pP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zh-CN"/>
        </w:rPr>
        <w:t>一、《</w:t>
      </w:r>
      <w:r>
        <w:rPr>
          <w:rFonts w:hint="eastAsia" w:ascii="宋体" w:hAnsi="宋体" w:cs="宋体"/>
          <w:color w:val="auto"/>
          <w:kern w:val="0"/>
          <w:szCs w:val="21"/>
          <w:highlight w:val="none"/>
          <w:lang w:val="zh-CN"/>
        </w:rPr>
        <w:t>重庆市地质灾害治理工程施工招标文件示范文本</w:t>
      </w:r>
      <w:r>
        <w:rPr>
          <w:rFonts w:hint="eastAsia" w:ascii="宋体" w:hAnsi="宋体"/>
          <w:color w:val="auto"/>
          <w:kern w:val="0"/>
          <w:szCs w:val="21"/>
          <w:highlight w:val="none"/>
          <w:lang w:val="zh-CN"/>
        </w:rPr>
        <w:t>》是以《中华人民共和国标准施工招标文件》（2007年版）为框架，贯彻《中华人民共和国招标投标法》</w:t>
      </w:r>
      <w:r>
        <w:rPr>
          <w:rFonts w:hint="eastAsia" w:ascii="宋体" w:hAnsi="宋体"/>
          <w:kern w:val="0"/>
          <w:szCs w:val="21"/>
          <w:lang w:val="zh-CN"/>
        </w:rPr>
        <w:t>《中华人民共和国招标投标法实施条例》《</w:t>
      </w:r>
      <w:r>
        <w:rPr>
          <w:rFonts w:hint="eastAsia" w:ascii="宋体" w:hAnsi="宋体"/>
          <w:kern w:val="0"/>
          <w:szCs w:val="21"/>
        </w:rPr>
        <w:t>重庆市招标投标条例</w:t>
      </w:r>
      <w:r>
        <w:rPr>
          <w:rFonts w:hint="eastAsia" w:ascii="宋体" w:hAnsi="宋体"/>
          <w:kern w:val="0"/>
          <w:szCs w:val="21"/>
          <w:lang w:val="zh-CN"/>
        </w:rPr>
        <w:t>》</w:t>
      </w:r>
      <w:r>
        <w:rPr>
          <w:rFonts w:hint="eastAsia" w:asciiTheme="minorEastAsia" w:hAnsiTheme="minorEastAsia" w:eastAsiaTheme="minorEastAsia"/>
          <w:color w:val="auto"/>
          <w:szCs w:val="21"/>
          <w:highlight w:val="none"/>
          <w:lang w:eastAsia="zh-CN"/>
        </w:rPr>
        <w:t>《</w:t>
      </w:r>
      <w:r>
        <w:rPr>
          <w:rFonts w:hint="eastAsia" w:asciiTheme="minorEastAsia" w:hAnsiTheme="minorEastAsia" w:eastAsiaTheme="minorEastAsia"/>
          <w:color w:val="auto"/>
          <w:szCs w:val="21"/>
          <w:highlight w:val="none"/>
          <w:lang w:val="en-US" w:eastAsia="zh-CN"/>
        </w:rPr>
        <w:t>电子招标投标办法</w:t>
      </w:r>
      <w:r>
        <w:rPr>
          <w:rFonts w:hint="eastAsia" w:asciiTheme="minorEastAsia" w:hAnsiTheme="minorEastAsia" w:eastAsiaTheme="minorEastAsia"/>
          <w:color w:val="auto"/>
          <w:szCs w:val="21"/>
          <w:highlight w:val="none"/>
          <w:lang w:eastAsia="zh-CN"/>
        </w:rPr>
        <w:t>》</w:t>
      </w:r>
      <w:r>
        <w:rPr>
          <w:rFonts w:hint="eastAsia" w:ascii="宋体" w:hAnsi="宋体"/>
          <w:color w:val="auto"/>
          <w:kern w:val="0"/>
          <w:szCs w:val="21"/>
          <w:highlight w:val="none"/>
          <w:lang w:val="zh-CN"/>
        </w:rPr>
        <w:t>等文件精神编制。</w:t>
      </w:r>
    </w:p>
    <w:p>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二、《重庆市地质灾害治理工程施工招标文件示范文本》</w:t>
      </w:r>
      <w:r>
        <w:rPr>
          <w:rFonts w:hint="eastAsia" w:ascii="宋体" w:hAnsi="宋体"/>
          <w:kern w:val="0"/>
          <w:szCs w:val="21"/>
          <w:lang w:val="en-US" w:eastAsia="zh-CN"/>
        </w:rPr>
        <w:t>用于指导招标人编制</w:t>
      </w:r>
      <w:r>
        <w:rPr>
          <w:rFonts w:hint="eastAsia" w:ascii="宋体" w:hAnsi="宋体" w:cs="宋体"/>
          <w:color w:val="auto"/>
          <w:kern w:val="0"/>
          <w:szCs w:val="21"/>
          <w:highlight w:val="none"/>
          <w:lang w:val="zh-CN"/>
        </w:rPr>
        <w:t>地质灾害治理工程施工</w:t>
      </w:r>
      <w:r>
        <w:rPr>
          <w:rFonts w:hint="eastAsia" w:ascii="宋体" w:hAnsi="宋体" w:cs="宋体"/>
          <w:color w:val="auto"/>
          <w:kern w:val="0"/>
          <w:szCs w:val="21"/>
          <w:highlight w:val="none"/>
          <w:lang w:val="en-US" w:eastAsia="zh-CN"/>
        </w:rPr>
        <w:t>招标文件</w:t>
      </w:r>
      <w:r>
        <w:rPr>
          <w:rFonts w:hint="eastAsia" w:ascii="宋体" w:hAnsi="宋体" w:cs="宋体"/>
          <w:color w:val="auto"/>
          <w:kern w:val="0"/>
          <w:szCs w:val="21"/>
          <w:highlight w:val="none"/>
          <w:lang w:val="zh-CN"/>
        </w:rPr>
        <w:t>。</w:t>
      </w:r>
    </w:p>
    <w:p>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kern w:val="0"/>
          <w:szCs w:val="21"/>
          <w:lang w:val="en-US" w:eastAsia="zh-CN"/>
        </w:rPr>
        <w:t>三、</w:t>
      </w:r>
      <w:r>
        <w:rPr>
          <w:rFonts w:hint="eastAsia" w:ascii="宋体" w:hAnsi="宋体"/>
          <w:kern w:val="0"/>
          <w:szCs w:val="21"/>
        </w:rPr>
        <w:t>招标人在招投标过程中不得脱离招标项目的具体特点和实际需要，设定不相适应或者与合同履行无关的资质资格、技术、商务条件或者业绩、奖项要求；不得将国家已经明令取消的内容作为资格、技术、商务条件</w:t>
      </w:r>
      <w:r>
        <w:rPr>
          <w:rFonts w:hint="eastAsia" w:ascii="宋体" w:hAnsi="宋体"/>
          <w:kern w:val="0"/>
          <w:szCs w:val="21"/>
          <w:lang w:eastAsia="zh-CN"/>
        </w:rPr>
        <w:t>。</w:t>
      </w:r>
      <w:r>
        <w:rPr>
          <w:rFonts w:hint="eastAsia" w:ascii="宋体" w:hAnsi="宋体"/>
          <w:kern w:val="0"/>
          <w:szCs w:val="21"/>
        </w:rPr>
        <w:t>不得限定潜在投标人或者投标人所有制形式或者组织形式；不得设定企业股东背景、年平均承接项目数量或者金额、从业人员、纳税额、营业场所面积等规模条件；除投融建项目外，不得设定企业注册资本、资产总额、净资产规模、营业收入、利润、授信额度等财务指标</w:t>
      </w:r>
      <w:r>
        <w:rPr>
          <w:rFonts w:hint="eastAsia" w:ascii="宋体" w:hAnsi="宋体"/>
          <w:kern w:val="0"/>
          <w:szCs w:val="21"/>
          <w:lang w:eastAsia="zh-CN"/>
        </w:rPr>
        <w:t>；</w:t>
      </w:r>
      <w:r>
        <w:rPr>
          <w:rFonts w:hint="eastAsia" w:ascii="宋体" w:hAnsi="宋体"/>
          <w:kern w:val="0"/>
          <w:szCs w:val="21"/>
        </w:rPr>
        <w:t>不得以营业执照记载的经营范围作为确定投标人经营资质资格的依据，不得将投标人营业执照记载的经营范围采用某种特定表述或者明确记载某个特定经营范围细项作为投标、加分或者中标条件，不得以招标项目超出投标人营业执照记载的经营范围为由认定其投标无效。招标项目对投标人经营资质资格有明确要求的，应当对其是否被准予行政许可、取得相关资质资格情况进行审查，不应以对营业执照经营范围的审查代替，或以营业执照经营范围明确记载行政许可批准证件上的具体内容作为审查标准</w:t>
      </w:r>
      <w:r>
        <w:rPr>
          <w:rFonts w:hint="eastAsia" w:ascii="宋体" w:hAnsi="宋体"/>
          <w:kern w:val="0"/>
          <w:szCs w:val="21"/>
          <w:lang w:eastAsia="zh-CN"/>
        </w:rPr>
        <w:t>。</w:t>
      </w:r>
      <w:r>
        <w:rPr>
          <w:rFonts w:hint="eastAsia" w:ascii="宋体" w:hAnsi="宋体"/>
          <w:kern w:val="0"/>
          <w:szCs w:val="21"/>
        </w:rPr>
        <w:t>不得限定或者指定特定的专利、商标、品牌、原产地或者供应商；在编制招标文件时，如果必须引用某一品牌或生产供应商才能准确清楚地说明招标项目</w:t>
      </w:r>
      <w:r>
        <w:rPr>
          <w:rFonts w:hint="eastAsia" w:ascii="宋体" w:hAnsi="宋体"/>
          <w:kern w:val="0"/>
          <w:szCs w:val="21"/>
          <w:lang w:val="en-US" w:eastAsia="zh-CN"/>
        </w:rPr>
        <w:t>的</w:t>
      </w:r>
      <w:r>
        <w:rPr>
          <w:rFonts w:hint="eastAsia" w:ascii="宋体" w:hAnsi="宋体"/>
          <w:kern w:val="0"/>
          <w:szCs w:val="21"/>
        </w:rPr>
        <w:t>技术标准和要求，则应当在引用的品牌或生产供应商名称前加上“参照或相当于”的字样，而且引用的货物品牌或生产供应商在市场上具有可选择性</w:t>
      </w:r>
      <w:r>
        <w:rPr>
          <w:rFonts w:hint="eastAsia" w:ascii="宋体" w:hAnsi="宋体"/>
          <w:kern w:val="0"/>
          <w:szCs w:val="21"/>
          <w:lang w:eastAsia="zh-CN"/>
        </w:rPr>
        <w:t>。</w:t>
      </w:r>
      <w:r>
        <w:rPr>
          <w:rFonts w:hint="eastAsia" w:ascii="宋体" w:hAnsi="宋体"/>
          <w:kern w:val="0"/>
          <w:szCs w:val="21"/>
        </w:rPr>
        <w:t>不得提出注册地址、所有制性质、市场占有率、特定行政区域或者特定行业的业绩或奖项、取得非强制资质认证、设立本地分支机构、在本地拥有一定办公面积、本地缴纳税收社保、与本地企业组成联合体、取得特定地区或者特定行业组织成员身份、采用不同信用评价标准等要求，或套用特定生产供应者的条件设定投标人资格、技术、商务条件等。不得将战略合作协议、招商引资协议、会议纪要、合作意向书、备忘录等作为资格、商务条件。评标、定标规则不得向国有企业、本地企业、大型企业倾斜，排斥民营企业、外资企业、外地企业、中小企业</w:t>
      </w:r>
      <w:r>
        <w:rPr>
          <w:rFonts w:hint="eastAsia" w:ascii="宋体" w:hAnsi="宋体"/>
          <w:kern w:val="0"/>
          <w:szCs w:val="21"/>
          <w:lang w:eastAsia="zh-CN"/>
        </w:rPr>
        <w:t>。</w:t>
      </w:r>
      <w:r>
        <w:rPr>
          <w:rFonts w:hint="eastAsia" w:ascii="宋体" w:hAnsi="宋体"/>
          <w:kern w:val="0"/>
          <w:szCs w:val="21"/>
        </w:rPr>
        <w:t>不得强制要求投标人、中标人交纳保证金的形式；不得要求投标人、中标人缴纳除投标保证金、履约保证金、工程质量保证金、农民工工资保证金以外的其他保证金；不得要求投标人、中标人从特定机构开具保函（保险）；不得在招标文件之外设定保证金退还前置条件</w:t>
      </w:r>
      <w:r>
        <w:rPr>
          <w:rFonts w:hint="eastAsia" w:ascii="宋体" w:hAnsi="宋体"/>
          <w:kern w:val="0"/>
          <w:szCs w:val="21"/>
          <w:lang w:eastAsia="zh-CN"/>
        </w:rPr>
        <w:t>。</w:t>
      </w:r>
      <w:r>
        <w:rPr>
          <w:rFonts w:hint="eastAsia" w:ascii="宋体" w:hAnsi="宋体"/>
          <w:kern w:val="0"/>
          <w:szCs w:val="21"/>
        </w:rPr>
        <w:t>不得强制要求投标人在投标环节提供原件；不得强制要求投标人的法定代表人、技术负责人、项目负责人或者其他特定人员在开标环节到场</w:t>
      </w:r>
      <w:r>
        <w:rPr>
          <w:rFonts w:hint="eastAsia" w:ascii="宋体" w:hAnsi="宋体"/>
          <w:kern w:val="0"/>
          <w:szCs w:val="21"/>
          <w:lang w:eastAsia="zh-CN"/>
        </w:rPr>
        <w:t>。</w:t>
      </w:r>
    </w:p>
    <w:p>
      <w:pPr>
        <w:spacing w:line="360" w:lineRule="auto"/>
        <w:ind w:firstLine="420" w:firstLineChars="200"/>
        <w:rPr>
          <w:rFonts w:ascii="宋体" w:hAnsi="宋体" w:cs="宋体"/>
          <w:color w:val="auto"/>
          <w:kern w:val="0"/>
          <w:szCs w:val="21"/>
          <w:highlight w:val="none"/>
          <w:lang w:val="zh-CN"/>
        </w:rPr>
      </w:pPr>
      <w:r>
        <w:rPr>
          <w:rFonts w:hint="eastAsia" w:ascii="宋体" w:hAnsi="宋体" w:cs="宋体"/>
          <w:color w:val="auto"/>
          <w:kern w:val="0"/>
          <w:szCs w:val="21"/>
          <w:highlight w:val="none"/>
          <w:lang w:val="en-US" w:eastAsia="zh-CN"/>
        </w:rPr>
        <w:t>四</w:t>
      </w:r>
      <w:r>
        <w:rPr>
          <w:rFonts w:hint="eastAsia" w:ascii="宋体" w:hAnsi="宋体" w:cs="宋体"/>
          <w:color w:val="auto"/>
          <w:kern w:val="0"/>
          <w:szCs w:val="21"/>
          <w:highlight w:val="none"/>
          <w:lang w:val="zh-CN"/>
        </w:rPr>
        <w:t>、招标人按照《重庆市地质灾害治理工程施工招标文件示范文本》第一章的格式发布招标公告或发出投标邀请书后，将实际发布的招标公告或实际发出的投标邀请书编入招标文件中，作为投标邀请。其中，招标公告应同时注明发布所在地所有</w:t>
      </w:r>
      <w:r>
        <w:rPr>
          <w:rFonts w:hint="eastAsia" w:ascii="宋体" w:hAnsi="宋体" w:cs="宋体"/>
          <w:color w:val="auto"/>
          <w:kern w:val="0"/>
          <w:szCs w:val="21"/>
          <w:highlight w:val="none"/>
        </w:rPr>
        <w:t>指定</w:t>
      </w:r>
      <w:r>
        <w:rPr>
          <w:rFonts w:hint="eastAsia" w:ascii="宋体" w:hAnsi="宋体" w:cs="宋体"/>
          <w:color w:val="auto"/>
          <w:kern w:val="0"/>
          <w:szCs w:val="21"/>
          <w:highlight w:val="none"/>
          <w:lang w:val="zh-CN"/>
        </w:rPr>
        <w:t>媒介名称。</w:t>
      </w: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en-US" w:eastAsia="zh-CN"/>
        </w:rPr>
        <w:t>五</w:t>
      </w:r>
      <w:r>
        <w:rPr>
          <w:rFonts w:ascii="宋体" w:hAnsi="宋体"/>
          <w:color w:val="auto"/>
          <w:kern w:val="0"/>
          <w:szCs w:val="21"/>
          <w:highlight w:val="none"/>
          <w:lang w:val="zh-CN"/>
        </w:rPr>
        <w:t>、《</w:t>
      </w:r>
      <w:r>
        <w:rPr>
          <w:rFonts w:hint="eastAsia" w:ascii="宋体" w:hAnsi="宋体" w:cs="宋体"/>
          <w:color w:val="auto"/>
          <w:kern w:val="0"/>
          <w:szCs w:val="21"/>
          <w:highlight w:val="none"/>
          <w:lang w:val="zh-CN"/>
        </w:rPr>
        <w:t>重庆市地质灾害治理工程施工招标文件示范文本</w:t>
      </w:r>
      <w:r>
        <w:rPr>
          <w:rFonts w:ascii="宋体" w:hAnsi="宋体"/>
          <w:color w:val="auto"/>
          <w:kern w:val="0"/>
          <w:szCs w:val="21"/>
          <w:highlight w:val="none"/>
          <w:lang w:val="zh-CN"/>
        </w:rPr>
        <w:t>》第三章“评标办法”分别规定</w:t>
      </w:r>
      <w:r>
        <w:rPr>
          <w:rFonts w:hint="eastAsia" w:ascii="宋体" w:hAnsi="宋体"/>
          <w:color w:val="auto"/>
          <w:kern w:val="0"/>
          <w:szCs w:val="21"/>
          <w:highlight w:val="none"/>
          <w:lang w:val="zh-CN"/>
        </w:rPr>
        <w:t>了</w:t>
      </w:r>
      <w:r>
        <w:rPr>
          <w:rFonts w:ascii="宋体" w:hAnsi="宋体"/>
          <w:color w:val="auto"/>
          <w:kern w:val="0"/>
          <w:szCs w:val="21"/>
          <w:highlight w:val="none"/>
          <w:lang w:val="zh-CN"/>
        </w:rPr>
        <w:t>综合评估法</w:t>
      </w:r>
      <w:r>
        <w:rPr>
          <w:rFonts w:hint="eastAsia" w:ascii="宋体" w:hAnsi="宋体"/>
          <w:color w:val="auto"/>
          <w:kern w:val="0"/>
          <w:szCs w:val="21"/>
          <w:highlight w:val="none"/>
        </w:rPr>
        <w:t>和</w:t>
      </w:r>
      <w:r>
        <w:rPr>
          <w:rFonts w:hint="eastAsia" w:ascii="宋体" w:hAnsi="宋体"/>
          <w:color w:val="auto"/>
          <w:kern w:val="0"/>
          <w:szCs w:val="21"/>
          <w:highlight w:val="none"/>
          <w:lang w:val="zh-CN"/>
        </w:rPr>
        <w:t>经评审的最低投标价法</w:t>
      </w:r>
      <w:r>
        <w:rPr>
          <w:rFonts w:ascii="宋体" w:hAnsi="宋体"/>
          <w:color w:val="auto"/>
          <w:kern w:val="0"/>
          <w:szCs w:val="21"/>
          <w:highlight w:val="none"/>
          <w:lang w:val="zh-CN"/>
        </w:rPr>
        <w:t>两种评标方法供招标人根据招标项目具体特点和实际需要选择。</w:t>
      </w:r>
    </w:p>
    <w:p>
      <w:pPr>
        <w:pStyle w:val="41"/>
        <w:shd w:val="clear" w:color="auto" w:fill="auto"/>
        <w:spacing w:before="0" w:beforeAutospacing="0" w:after="0" w:afterAutospacing="0" w:line="360" w:lineRule="auto"/>
        <w:ind w:firstLine="420"/>
        <w:rPr>
          <w:color w:val="auto"/>
          <w:sz w:val="21"/>
          <w:szCs w:val="21"/>
          <w:highlight w:val="none"/>
          <w:lang w:val="zh-CN"/>
        </w:rPr>
      </w:pPr>
      <w:r>
        <w:rPr>
          <w:rFonts w:hint="eastAsia"/>
          <w:color w:val="auto"/>
          <w:szCs w:val="21"/>
          <w:highlight w:val="none"/>
          <w:lang w:val="en-US" w:eastAsia="zh-CN"/>
        </w:rPr>
        <w:t>六</w:t>
      </w:r>
      <w:r>
        <w:rPr>
          <w:rFonts w:hint="eastAsia"/>
          <w:color w:val="auto"/>
          <w:szCs w:val="21"/>
          <w:highlight w:val="none"/>
          <w:lang w:val="zh-CN"/>
        </w:rPr>
        <w:t>、</w:t>
      </w:r>
      <w:r>
        <w:rPr>
          <w:rFonts w:hint="eastAsia"/>
          <w:color w:val="auto"/>
          <w:sz w:val="21"/>
          <w:szCs w:val="21"/>
          <w:highlight w:val="none"/>
          <w:lang w:val="zh-CN"/>
        </w:rPr>
        <w:t>《重庆市地质灾害治理工程施工招标文件示范文本》第四章“合同条款及格式”</w:t>
      </w:r>
      <w:r>
        <w:rPr>
          <w:rFonts w:hint="eastAsia"/>
          <w:color w:val="auto"/>
          <w:sz w:val="21"/>
          <w:szCs w:val="21"/>
          <w:highlight w:val="none"/>
        </w:rPr>
        <w:t>参照《</w:t>
      </w:r>
      <w:r>
        <w:rPr>
          <w:color w:val="auto"/>
          <w:sz w:val="21"/>
          <w:szCs w:val="21"/>
          <w:highlight w:val="none"/>
          <w:lang w:val="zh-CN"/>
        </w:rPr>
        <w:t>建设工程施工合同</w:t>
      </w:r>
      <w:r>
        <w:rPr>
          <w:rFonts w:hint="eastAsia"/>
          <w:color w:val="auto"/>
          <w:sz w:val="21"/>
          <w:szCs w:val="21"/>
          <w:highlight w:val="none"/>
        </w:rPr>
        <w:t>示范文本</w:t>
      </w:r>
      <w:r>
        <w:rPr>
          <w:rFonts w:hint="eastAsia"/>
          <w:color w:val="auto"/>
          <w:sz w:val="21"/>
          <w:szCs w:val="21"/>
          <w:highlight w:val="none"/>
          <w:lang w:val="zh-CN"/>
        </w:rPr>
        <w:t>》</w:t>
      </w:r>
      <w:r>
        <w:rPr>
          <w:rFonts w:hint="eastAsia"/>
          <w:color w:val="auto"/>
          <w:sz w:val="21"/>
          <w:szCs w:val="21"/>
          <w:highlight w:val="none"/>
        </w:rPr>
        <w:t>制定，</w:t>
      </w:r>
      <w:r>
        <w:rPr>
          <w:rFonts w:hint="eastAsia"/>
          <w:color w:val="auto"/>
          <w:sz w:val="21"/>
          <w:szCs w:val="21"/>
          <w:highlight w:val="none"/>
          <w:lang w:val="zh-CN"/>
        </w:rPr>
        <w:t>内容由合同协议书、通用合同条款和专用合同条款三部分组成。合同协议书共计</w:t>
      </w:r>
      <w:r>
        <w:rPr>
          <w:rFonts w:hint="eastAsia"/>
          <w:color w:val="auto"/>
          <w:sz w:val="21"/>
          <w:szCs w:val="21"/>
          <w:highlight w:val="none"/>
        </w:rPr>
        <w:t>10</w:t>
      </w:r>
      <w:r>
        <w:rPr>
          <w:rFonts w:hint="eastAsia"/>
          <w:color w:val="auto"/>
          <w:sz w:val="21"/>
          <w:szCs w:val="21"/>
          <w:highlight w:val="none"/>
          <w:lang w:val="zh-CN"/>
        </w:rPr>
        <w:t>条，主要包括：工程概况、</w:t>
      </w:r>
      <w:r>
        <w:rPr>
          <w:rFonts w:hint="eastAsia"/>
          <w:color w:val="auto"/>
          <w:sz w:val="21"/>
          <w:szCs w:val="21"/>
          <w:highlight w:val="none"/>
        </w:rPr>
        <w:t>工程承包范围、</w:t>
      </w:r>
      <w:r>
        <w:rPr>
          <w:rFonts w:hint="eastAsia"/>
          <w:color w:val="auto"/>
          <w:sz w:val="21"/>
          <w:szCs w:val="21"/>
          <w:highlight w:val="none"/>
          <w:lang w:val="zh-CN"/>
        </w:rPr>
        <w:t>合同工期、质量标准、</w:t>
      </w:r>
      <w:r>
        <w:rPr>
          <w:rFonts w:hint="eastAsia"/>
          <w:color w:val="auto"/>
          <w:sz w:val="21"/>
          <w:szCs w:val="21"/>
          <w:highlight w:val="none"/>
        </w:rPr>
        <w:t>合同价款</w:t>
      </w:r>
      <w:r>
        <w:rPr>
          <w:rFonts w:hint="eastAsia"/>
          <w:color w:val="auto"/>
          <w:sz w:val="21"/>
          <w:szCs w:val="21"/>
          <w:highlight w:val="none"/>
          <w:lang w:val="zh-CN"/>
        </w:rPr>
        <w:t>、</w:t>
      </w:r>
      <w:r>
        <w:rPr>
          <w:rFonts w:hint="eastAsia"/>
          <w:color w:val="auto"/>
          <w:sz w:val="21"/>
          <w:szCs w:val="21"/>
          <w:highlight w:val="none"/>
        </w:rPr>
        <w:t>组成合同的文件</w:t>
      </w:r>
      <w:r>
        <w:rPr>
          <w:rFonts w:hint="eastAsia"/>
          <w:color w:val="auto"/>
          <w:sz w:val="21"/>
          <w:szCs w:val="21"/>
          <w:highlight w:val="none"/>
          <w:lang w:val="zh-CN"/>
        </w:rPr>
        <w:t>、</w:t>
      </w:r>
      <w:r>
        <w:rPr>
          <w:rFonts w:hint="eastAsia"/>
          <w:color w:val="auto"/>
          <w:sz w:val="21"/>
          <w:szCs w:val="21"/>
          <w:highlight w:val="none"/>
        </w:rPr>
        <w:t>本协议书中有关词语含义与本合同《通用条款》和《专用条款》中分别赋予它们的定义相同、承包人向发包人承诺按照合同约定进行施工、竣工并在质量保修期内承担工程质量保修责任、发包人向承包人承诺按照合同约定的期限和方式支付合同价款及其他应当支付的款项、合同生效</w:t>
      </w:r>
      <w:r>
        <w:rPr>
          <w:rFonts w:hint="eastAsia"/>
          <w:color w:val="auto"/>
          <w:sz w:val="21"/>
          <w:szCs w:val="21"/>
          <w:highlight w:val="none"/>
          <w:lang w:val="zh-CN"/>
        </w:rPr>
        <w:t>。通用合同条款共计</w:t>
      </w:r>
      <w:r>
        <w:rPr>
          <w:rFonts w:hint="eastAsia"/>
          <w:color w:val="auto"/>
          <w:sz w:val="21"/>
          <w:szCs w:val="21"/>
          <w:highlight w:val="none"/>
        </w:rPr>
        <w:t>12</w:t>
      </w:r>
      <w:r>
        <w:rPr>
          <w:rFonts w:hint="eastAsia"/>
          <w:color w:val="auto"/>
          <w:sz w:val="21"/>
          <w:szCs w:val="21"/>
          <w:highlight w:val="none"/>
          <w:lang w:val="zh-CN"/>
        </w:rPr>
        <w:t>条，主要包括：词语定义及合同文件、双方一般权利和义务、施工组织设计和工期、质量与检验、安全施工、合同价款与支付、材料设备供应、工程变更、竣工验收与结算、违约、索赔和争议、其他、补充条款。专用合同条款共计</w:t>
      </w:r>
      <w:r>
        <w:rPr>
          <w:rFonts w:hint="eastAsia"/>
          <w:color w:val="auto"/>
          <w:sz w:val="21"/>
          <w:szCs w:val="21"/>
          <w:highlight w:val="none"/>
        </w:rPr>
        <w:t>12条，是对通用合同条款原则性约定的细化、完善、补充、修改或另行约定的条款。</w:t>
      </w:r>
    </w:p>
    <w:p>
      <w:pPr>
        <w:spacing w:line="360" w:lineRule="auto"/>
        <w:ind w:firstLine="420" w:firstLineChars="200"/>
        <w:rPr>
          <w:rFonts w:ascii="宋体" w:hAnsi="宋体"/>
          <w:color w:val="auto"/>
          <w:highlight w:val="none"/>
        </w:rPr>
      </w:pPr>
      <w:r>
        <w:rPr>
          <w:rFonts w:hint="eastAsia" w:ascii="宋体" w:hAnsi="宋体"/>
          <w:color w:val="auto"/>
          <w:kern w:val="0"/>
          <w:szCs w:val="21"/>
          <w:highlight w:val="none"/>
          <w:lang w:val="en-US" w:eastAsia="zh-CN"/>
        </w:rPr>
        <w:t>七</w:t>
      </w:r>
      <w:r>
        <w:rPr>
          <w:rFonts w:ascii="宋体" w:hAnsi="宋体"/>
          <w:color w:val="auto"/>
          <w:kern w:val="0"/>
          <w:szCs w:val="21"/>
          <w:highlight w:val="none"/>
          <w:lang w:val="zh-CN"/>
        </w:rPr>
        <w:t>、《</w:t>
      </w:r>
      <w:r>
        <w:rPr>
          <w:rFonts w:hint="eastAsia" w:ascii="宋体" w:hAnsi="宋体" w:cs="宋体"/>
          <w:color w:val="auto"/>
          <w:kern w:val="0"/>
          <w:szCs w:val="21"/>
          <w:highlight w:val="none"/>
          <w:lang w:val="zh-CN"/>
        </w:rPr>
        <w:t>重庆市地质灾害治理工程施工招标文件示范文本</w:t>
      </w:r>
      <w:r>
        <w:rPr>
          <w:rFonts w:ascii="宋体" w:hAnsi="宋体"/>
          <w:color w:val="auto"/>
          <w:kern w:val="0"/>
          <w:szCs w:val="21"/>
          <w:highlight w:val="none"/>
          <w:lang w:val="zh-CN"/>
        </w:rPr>
        <w:t>》第五章“工程量清单”</w:t>
      </w:r>
      <w:r>
        <w:rPr>
          <w:rFonts w:hint="eastAsia" w:ascii="宋体" w:hAnsi="宋体"/>
          <w:lang w:val="zh-CN"/>
        </w:rPr>
        <w:t>由</w:t>
      </w:r>
      <w:r>
        <w:rPr>
          <w:rFonts w:hint="eastAsia" w:ascii="宋体" w:hAnsi="宋体"/>
          <w:kern w:val="0"/>
          <w:szCs w:val="21"/>
          <w:lang w:val="en-US" w:eastAsia="zh-CN"/>
        </w:rPr>
        <w:t>招标人</w:t>
      </w:r>
      <w:r>
        <w:rPr>
          <w:rFonts w:ascii="宋体" w:hAnsi="宋体"/>
          <w:color w:val="auto"/>
          <w:highlight w:val="none"/>
          <w:lang w:val="zh-CN"/>
        </w:rPr>
        <w:t>根据</w:t>
      </w:r>
      <w:r>
        <w:rPr>
          <w:rFonts w:hint="eastAsia" w:ascii="宋体" w:hAnsi="宋体"/>
          <w:color w:val="auto"/>
          <w:highlight w:val="none"/>
        </w:rPr>
        <w:t>自然资源</w:t>
      </w:r>
      <w:r>
        <w:rPr>
          <w:rFonts w:ascii="宋体" w:hAnsi="宋体"/>
          <w:color w:val="auto"/>
          <w:highlight w:val="none"/>
          <w:lang w:val="zh-CN"/>
        </w:rPr>
        <w:t>部及重庆市</w:t>
      </w:r>
      <w:r>
        <w:rPr>
          <w:rFonts w:hint="eastAsia" w:ascii="宋体" w:hAnsi="宋体"/>
          <w:color w:val="auto"/>
          <w:highlight w:val="none"/>
        </w:rPr>
        <w:t>规划和自然资源局</w:t>
      </w:r>
      <w:r>
        <w:rPr>
          <w:rFonts w:hint="eastAsia" w:ascii="宋体" w:hAnsi="宋体"/>
          <w:color w:val="auto"/>
          <w:highlight w:val="none"/>
          <w:lang w:val="zh-CN"/>
        </w:rPr>
        <w:t>现行</w:t>
      </w:r>
      <w:r>
        <w:rPr>
          <w:rFonts w:ascii="宋体" w:hAnsi="宋体"/>
          <w:color w:val="auto"/>
          <w:highlight w:val="none"/>
          <w:lang w:val="zh-CN"/>
        </w:rPr>
        <w:t>有关规定、招标项目具体特点和实际需要编制，并与</w:t>
      </w:r>
      <w:r>
        <w:rPr>
          <w:rFonts w:hint="eastAsia" w:ascii="宋体" w:hAnsi="宋体"/>
          <w:color w:val="auto"/>
          <w:highlight w:val="none"/>
          <w:lang w:val="zh-CN"/>
        </w:rPr>
        <w:t>“</w:t>
      </w:r>
      <w:r>
        <w:rPr>
          <w:rFonts w:ascii="宋体" w:hAnsi="宋体"/>
          <w:color w:val="auto"/>
          <w:highlight w:val="none"/>
          <w:lang w:val="zh-CN"/>
        </w:rPr>
        <w:t>投标人须知</w:t>
      </w:r>
      <w:r>
        <w:rPr>
          <w:rFonts w:hint="eastAsia" w:ascii="宋体" w:hAnsi="宋体"/>
          <w:color w:val="auto"/>
          <w:highlight w:val="none"/>
          <w:lang w:val="zh-CN"/>
        </w:rPr>
        <w:t>”、“</w:t>
      </w:r>
      <w:r>
        <w:rPr>
          <w:rFonts w:ascii="宋体" w:hAnsi="宋体"/>
          <w:color w:val="auto"/>
          <w:highlight w:val="none"/>
          <w:lang w:val="zh-CN"/>
        </w:rPr>
        <w:t>通用合同条款</w:t>
      </w:r>
      <w:r>
        <w:rPr>
          <w:rFonts w:hint="eastAsia" w:ascii="宋体" w:hAnsi="宋体"/>
          <w:color w:val="auto"/>
          <w:highlight w:val="none"/>
          <w:lang w:val="zh-CN"/>
        </w:rPr>
        <w:t>”、“</w:t>
      </w:r>
      <w:r>
        <w:rPr>
          <w:rFonts w:ascii="宋体" w:hAnsi="宋体"/>
          <w:color w:val="auto"/>
          <w:highlight w:val="none"/>
          <w:lang w:val="zh-CN"/>
        </w:rPr>
        <w:t>专用合同条款</w:t>
      </w:r>
      <w:r>
        <w:rPr>
          <w:rFonts w:hint="eastAsia" w:ascii="宋体" w:hAnsi="宋体"/>
          <w:color w:val="auto"/>
          <w:highlight w:val="none"/>
          <w:lang w:val="zh-CN"/>
        </w:rPr>
        <w:t>”、“</w:t>
      </w:r>
      <w:r>
        <w:rPr>
          <w:rFonts w:ascii="宋体" w:hAnsi="宋体"/>
          <w:color w:val="auto"/>
          <w:highlight w:val="none"/>
          <w:lang w:val="zh-CN"/>
        </w:rPr>
        <w:t>技术规范</w:t>
      </w:r>
      <w:r>
        <w:rPr>
          <w:rFonts w:hint="eastAsia" w:ascii="宋体" w:hAnsi="宋体"/>
          <w:color w:val="auto"/>
          <w:highlight w:val="none"/>
          <w:lang w:val="zh-CN"/>
        </w:rPr>
        <w:t>”、“</w:t>
      </w:r>
      <w:r>
        <w:rPr>
          <w:rFonts w:ascii="宋体" w:hAnsi="宋体"/>
          <w:color w:val="auto"/>
          <w:highlight w:val="none"/>
          <w:lang w:val="zh-CN"/>
        </w:rPr>
        <w:t>工程量清单计量规则</w:t>
      </w:r>
      <w:r>
        <w:rPr>
          <w:rFonts w:hint="eastAsia" w:ascii="宋体" w:hAnsi="宋体"/>
          <w:color w:val="auto"/>
          <w:highlight w:val="none"/>
          <w:lang w:val="zh-CN"/>
        </w:rPr>
        <w:t>”、“</w:t>
      </w:r>
      <w:r>
        <w:rPr>
          <w:rFonts w:ascii="宋体" w:hAnsi="宋体"/>
          <w:color w:val="auto"/>
          <w:highlight w:val="none"/>
          <w:lang w:val="zh-CN"/>
        </w:rPr>
        <w:t>图纸</w:t>
      </w:r>
      <w:r>
        <w:rPr>
          <w:rFonts w:hint="eastAsia" w:ascii="宋体" w:hAnsi="宋体"/>
          <w:color w:val="auto"/>
          <w:highlight w:val="none"/>
          <w:lang w:val="zh-CN"/>
        </w:rPr>
        <w:t>”</w:t>
      </w:r>
      <w:r>
        <w:rPr>
          <w:rFonts w:ascii="宋体" w:hAnsi="宋体"/>
          <w:color w:val="auto"/>
          <w:highlight w:val="none"/>
          <w:lang w:val="zh-CN"/>
        </w:rPr>
        <w:t>相衔接。</w:t>
      </w:r>
      <w:r>
        <w:rPr>
          <w:rFonts w:hint="eastAsia" w:ascii="宋体" w:hAnsi="宋体"/>
          <w:color w:val="auto"/>
          <w:highlight w:val="none"/>
        </w:rPr>
        <w:t xml:space="preserve"> </w:t>
      </w: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en-US" w:eastAsia="zh-CN"/>
        </w:rPr>
        <w:t>八</w:t>
      </w:r>
      <w:r>
        <w:rPr>
          <w:rFonts w:ascii="宋体" w:hAnsi="宋体"/>
          <w:color w:val="auto"/>
          <w:kern w:val="0"/>
          <w:szCs w:val="21"/>
          <w:highlight w:val="none"/>
          <w:lang w:val="zh-CN"/>
        </w:rPr>
        <w:t>、《</w:t>
      </w:r>
      <w:r>
        <w:rPr>
          <w:rFonts w:hint="eastAsia" w:ascii="宋体" w:hAnsi="宋体" w:cs="宋体"/>
          <w:color w:val="auto"/>
          <w:kern w:val="0"/>
          <w:szCs w:val="21"/>
          <w:highlight w:val="none"/>
          <w:lang w:val="zh-CN"/>
        </w:rPr>
        <w:t>重庆市地质灾害治理工程施工招标文件示范文本</w:t>
      </w:r>
      <w:r>
        <w:rPr>
          <w:rFonts w:ascii="宋体" w:hAnsi="宋体"/>
          <w:color w:val="auto"/>
          <w:kern w:val="0"/>
          <w:szCs w:val="21"/>
          <w:highlight w:val="none"/>
          <w:lang w:val="zh-CN"/>
        </w:rPr>
        <w:t>》第六章“图纸”由招标人根据招标项目具体特点和实际需要编制，并与“投标人须知”、“通用合同条款”、“专用合同条款”、“技术标准和要求”相</w:t>
      </w:r>
      <w:r>
        <w:rPr>
          <w:rFonts w:hint="eastAsia" w:ascii="宋体" w:hAnsi="宋体"/>
          <w:color w:val="auto"/>
          <w:kern w:val="0"/>
          <w:szCs w:val="21"/>
          <w:highlight w:val="none"/>
          <w:lang w:val="zh-CN"/>
        </w:rPr>
        <w:t>衔接</w:t>
      </w:r>
      <w:r>
        <w:rPr>
          <w:rFonts w:ascii="宋体" w:hAnsi="宋体"/>
          <w:color w:val="auto"/>
          <w:kern w:val="0"/>
          <w:szCs w:val="21"/>
          <w:highlight w:val="none"/>
          <w:lang w:val="zh-CN"/>
        </w:rPr>
        <w:t>。</w:t>
      </w: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en-US" w:eastAsia="zh-CN"/>
        </w:rPr>
        <w:t>九</w:t>
      </w:r>
      <w:r>
        <w:rPr>
          <w:rFonts w:ascii="宋体" w:hAnsi="宋体"/>
          <w:color w:val="auto"/>
          <w:kern w:val="0"/>
          <w:szCs w:val="21"/>
          <w:highlight w:val="none"/>
          <w:lang w:val="zh-CN"/>
        </w:rPr>
        <w:t>、《</w:t>
      </w:r>
      <w:r>
        <w:rPr>
          <w:rFonts w:hint="eastAsia" w:ascii="宋体" w:hAnsi="宋体" w:cs="宋体"/>
          <w:color w:val="auto"/>
          <w:kern w:val="0"/>
          <w:szCs w:val="21"/>
          <w:highlight w:val="none"/>
          <w:lang w:val="zh-CN"/>
        </w:rPr>
        <w:t>重庆市地质灾害治理工程施工招标文件示范文本</w:t>
      </w:r>
      <w:r>
        <w:rPr>
          <w:rFonts w:ascii="宋体" w:hAnsi="宋体"/>
          <w:color w:val="auto"/>
          <w:kern w:val="0"/>
          <w:szCs w:val="21"/>
          <w:highlight w:val="none"/>
          <w:lang w:val="zh-CN"/>
        </w:rPr>
        <w:t>》第七章“技术标准和要求”由招标人根据招标项目具体特点和实际需要编制。</w:t>
      </w:r>
    </w:p>
    <w:p>
      <w:pPr>
        <w:spacing w:line="360" w:lineRule="auto"/>
        <w:ind w:firstLine="420" w:firstLineChars="200"/>
        <w:rPr>
          <w:rFonts w:ascii="宋体" w:hAnsi="宋体"/>
          <w:color w:val="auto"/>
          <w:kern w:val="0"/>
          <w:szCs w:val="21"/>
          <w:highlight w:val="none"/>
          <w:lang w:val="zh-CN"/>
        </w:rPr>
      </w:pPr>
      <w:r>
        <w:rPr>
          <w:rFonts w:hint="eastAsia" w:ascii="宋体" w:hAnsi="宋体"/>
          <w:color w:val="auto"/>
          <w:kern w:val="0"/>
          <w:szCs w:val="21"/>
          <w:highlight w:val="none"/>
          <w:lang w:val="en-US" w:eastAsia="zh-CN"/>
        </w:rPr>
        <w:t>十</w:t>
      </w:r>
      <w:r>
        <w:rPr>
          <w:rFonts w:ascii="宋体" w:hAnsi="宋体"/>
          <w:color w:val="auto"/>
          <w:kern w:val="0"/>
          <w:szCs w:val="21"/>
          <w:highlight w:val="none"/>
          <w:lang w:val="zh-CN"/>
        </w:rPr>
        <w:t>、</w:t>
      </w:r>
      <w:r>
        <w:rPr>
          <w:rFonts w:hint="eastAsia" w:ascii="宋体" w:hAnsi="宋体"/>
          <w:color w:val="auto"/>
          <w:kern w:val="0"/>
          <w:szCs w:val="21"/>
          <w:highlight w:val="none"/>
        </w:rPr>
        <w:t>第二章“</w:t>
      </w:r>
      <w:r>
        <w:rPr>
          <w:rFonts w:ascii="宋体" w:hAnsi="宋体"/>
          <w:color w:val="auto"/>
          <w:kern w:val="0"/>
          <w:szCs w:val="21"/>
          <w:highlight w:val="none"/>
          <w:lang w:val="zh-CN"/>
        </w:rPr>
        <w:t>投标人须知前附表</w:t>
      </w:r>
      <w:r>
        <w:rPr>
          <w:rFonts w:hint="eastAsia" w:ascii="宋体" w:hAnsi="宋体"/>
          <w:color w:val="auto"/>
          <w:kern w:val="0"/>
          <w:szCs w:val="21"/>
          <w:highlight w:val="none"/>
          <w:lang w:val="zh-CN"/>
        </w:rPr>
        <w:t>”</w:t>
      </w:r>
      <w:r>
        <w:rPr>
          <w:rFonts w:ascii="宋体" w:hAnsi="宋体"/>
          <w:color w:val="auto"/>
          <w:kern w:val="0"/>
          <w:szCs w:val="21"/>
          <w:highlight w:val="none"/>
          <w:lang w:val="zh-CN"/>
        </w:rPr>
        <w:t>与其正文不一致的以</w:t>
      </w:r>
      <w:r>
        <w:rPr>
          <w:rFonts w:hint="eastAsia" w:ascii="宋体" w:hAnsi="宋体"/>
          <w:color w:val="auto"/>
          <w:kern w:val="0"/>
          <w:szCs w:val="21"/>
          <w:highlight w:val="none"/>
          <w:lang w:val="zh-CN"/>
        </w:rPr>
        <w:t>“投标人须知</w:t>
      </w:r>
      <w:r>
        <w:rPr>
          <w:rFonts w:ascii="宋体" w:hAnsi="宋体"/>
          <w:color w:val="auto"/>
          <w:kern w:val="0"/>
          <w:szCs w:val="21"/>
          <w:highlight w:val="none"/>
          <w:lang w:val="zh-CN"/>
        </w:rPr>
        <w:t>前附表</w:t>
      </w:r>
      <w:r>
        <w:rPr>
          <w:rFonts w:hint="eastAsia" w:ascii="宋体" w:hAnsi="宋体"/>
          <w:color w:val="auto"/>
          <w:kern w:val="0"/>
          <w:szCs w:val="21"/>
          <w:highlight w:val="none"/>
          <w:lang w:val="zh-CN"/>
        </w:rPr>
        <w:t>”</w:t>
      </w:r>
      <w:r>
        <w:rPr>
          <w:rFonts w:ascii="宋体" w:hAnsi="宋体"/>
          <w:color w:val="auto"/>
          <w:kern w:val="0"/>
          <w:szCs w:val="21"/>
          <w:highlight w:val="none"/>
          <w:lang w:val="zh-CN"/>
        </w:rPr>
        <w:t>为准，</w:t>
      </w:r>
      <w:r>
        <w:rPr>
          <w:rFonts w:hint="eastAsia" w:ascii="宋体" w:hAnsi="宋体"/>
          <w:color w:val="auto"/>
          <w:kern w:val="0"/>
          <w:szCs w:val="21"/>
          <w:highlight w:val="none"/>
        </w:rPr>
        <w:t>第三章“</w:t>
      </w:r>
      <w:r>
        <w:rPr>
          <w:rFonts w:ascii="宋体" w:hAnsi="宋体"/>
          <w:color w:val="auto"/>
          <w:kern w:val="0"/>
          <w:szCs w:val="21"/>
          <w:highlight w:val="none"/>
          <w:lang w:val="zh-CN"/>
        </w:rPr>
        <w:t>评标办法前附表</w:t>
      </w:r>
      <w:r>
        <w:rPr>
          <w:rFonts w:hint="eastAsia" w:ascii="宋体" w:hAnsi="宋体"/>
          <w:color w:val="auto"/>
          <w:kern w:val="0"/>
          <w:szCs w:val="21"/>
          <w:highlight w:val="none"/>
          <w:lang w:val="zh-CN"/>
        </w:rPr>
        <w:t>”</w:t>
      </w:r>
      <w:r>
        <w:rPr>
          <w:rFonts w:ascii="宋体" w:hAnsi="宋体"/>
          <w:color w:val="auto"/>
          <w:kern w:val="0"/>
          <w:szCs w:val="21"/>
          <w:highlight w:val="none"/>
          <w:lang w:val="zh-CN"/>
        </w:rPr>
        <w:t>与其正文不一致的以</w:t>
      </w:r>
      <w:r>
        <w:rPr>
          <w:rFonts w:hint="eastAsia" w:ascii="宋体" w:hAnsi="宋体"/>
          <w:color w:val="auto"/>
          <w:kern w:val="0"/>
          <w:szCs w:val="21"/>
          <w:highlight w:val="none"/>
          <w:lang w:val="zh-CN"/>
        </w:rPr>
        <w:t>“评标办法</w:t>
      </w:r>
      <w:r>
        <w:rPr>
          <w:rFonts w:ascii="宋体" w:hAnsi="宋体"/>
          <w:color w:val="auto"/>
          <w:kern w:val="0"/>
          <w:szCs w:val="21"/>
          <w:highlight w:val="none"/>
          <w:lang w:val="zh-CN"/>
        </w:rPr>
        <w:t>前附表</w:t>
      </w:r>
      <w:r>
        <w:rPr>
          <w:rFonts w:hint="eastAsia" w:ascii="宋体" w:hAnsi="宋体"/>
          <w:color w:val="auto"/>
          <w:kern w:val="0"/>
          <w:szCs w:val="21"/>
          <w:highlight w:val="none"/>
          <w:lang w:val="zh-CN"/>
        </w:rPr>
        <w:t>”</w:t>
      </w:r>
      <w:r>
        <w:rPr>
          <w:rFonts w:ascii="宋体" w:hAnsi="宋体"/>
          <w:color w:val="auto"/>
          <w:kern w:val="0"/>
          <w:szCs w:val="21"/>
          <w:highlight w:val="none"/>
          <w:lang w:val="zh-CN"/>
        </w:rPr>
        <w:t>为准</w:t>
      </w:r>
      <w:r>
        <w:rPr>
          <w:rFonts w:hint="eastAsia" w:ascii="宋体" w:hAnsi="宋体"/>
          <w:color w:val="auto"/>
          <w:kern w:val="0"/>
          <w:szCs w:val="21"/>
          <w:highlight w:val="none"/>
          <w:lang w:val="zh-CN"/>
        </w:rPr>
        <w:t>，第二章“投标人须知正文”与第三章“评标办法正文”不允许修改。招标人必须将所有涉及否决投标的情形逐条清晰的列入第三章“否决投标情况一览表”中，否则不得作为否决投标的依据。第四章“合同条款及格式”中的第二部分通用合同条款不允许修改。</w:t>
      </w:r>
    </w:p>
    <w:p>
      <w:pPr>
        <w:spacing w:line="360" w:lineRule="auto"/>
        <w:ind w:firstLine="420" w:firstLineChars="200"/>
        <w:rPr>
          <w:rFonts w:ascii="宋体" w:hAnsi="宋体"/>
          <w:color w:val="auto"/>
          <w:kern w:val="0"/>
          <w:szCs w:val="21"/>
          <w:highlight w:val="none"/>
        </w:rPr>
        <w:sectPr>
          <w:footerReference r:id="rId6" w:type="default"/>
          <w:pgSz w:w="11907" w:h="16840"/>
          <w:pgMar w:top="1304" w:right="1134" w:bottom="1304" w:left="1304" w:header="851" w:footer="992" w:gutter="0"/>
          <w:pgNumType w:fmt="numberInDash" w:start="1"/>
          <w:cols w:space="720" w:num="1"/>
          <w:docGrid w:linePitch="312" w:charSpace="0"/>
        </w:sectPr>
      </w:pPr>
      <w:r>
        <w:rPr>
          <w:rFonts w:ascii="宋体" w:hAnsi="宋体"/>
          <w:color w:val="auto"/>
          <w:kern w:val="0"/>
          <w:szCs w:val="21"/>
          <w:highlight w:val="none"/>
          <w:lang w:val="zh-CN"/>
        </w:rPr>
        <w:t>十一、《</w:t>
      </w:r>
      <w:r>
        <w:rPr>
          <w:rFonts w:hint="eastAsia" w:ascii="宋体" w:hAnsi="宋体" w:cs="宋体"/>
          <w:color w:val="auto"/>
          <w:kern w:val="0"/>
          <w:szCs w:val="21"/>
          <w:highlight w:val="none"/>
          <w:lang w:val="zh-CN"/>
        </w:rPr>
        <w:t>重庆市地质灾害治理工程施工招标文件示范文本</w:t>
      </w:r>
      <w:r>
        <w:rPr>
          <w:rFonts w:ascii="宋体" w:hAnsi="宋体"/>
          <w:color w:val="auto"/>
          <w:kern w:val="0"/>
          <w:szCs w:val="21"/>
          <w:highlight w:val="none"/>
          <w:lang w:val="zh-CN"/>
        </w:rPr>
        <w:t>》将根据实际执行过程中出现的问题及时进行修改。各使用单位或个人对《</w:t>
      </w:r>
      <w:r>
        <w:rPr>
          <w:rFonts w:hint="eastAsia" w:ascii="宋体" w:hAnsi="宋体" w:cs="宋体"/>
          <w:color w:val="auto"/>
          <w:kern w:val="0"/>
          <w:szCs w:val="21"/>
          <w:highlight w:val="none"/>
          <w:lang w:val="zh-CN"/>
        </w:rPr>
        <w:t>重庆市地质灾害治理工程施工招标文件示范文本</w:t>
      </w:r>
      <w:r>
        <w:rPr>
          <w:rFonts w:ascii="宋体" w:hAnsi="宋体"/>
          <w:color w:val="auto"/>
          <w:kern w:val="0"/>
          <w:szCs w:val="21"/>
          <w:highlight w:val="none"/>
          <w:lang w:val="zh-CN"/>
        </w:rPr>
        <w:t>》的修改意见和建议，可向</w:t>
      </w:r>
      <w:r>
        <w:rPr>
          <w:rFonts w:hint="eastAsia" w:ascii="宋体" w:hAnsi="宋体"/>
          <w:kern w:val="0"/>
          <w:szCs w:val="21"/>
          <w:lang w:val="zh-CN"/>
        </w:rPr>
        <w:t>重庆市发展和改革委员会</w:t>
      </w:r>
      <w:r>
        <w:rPr>
          <w:rFonts w:ascii="宋体" w:hAnsi="宋体"/>
          <w:color w:val="auto"/>
          <w:kern w:val="0"/>
          <w:szCs w:val="21"/>
          <w:highlight w:val="none"/>
          <w:lang w:val="zh-CN"/>
        </w:rPr>
        <w:t>反映。联系电话</w:t>
      </w:r>
      <w:r>
        <w:rPr>
          <w:rFonts w:hint="eastAsia" w:ascii="宋体" w:hAnsi="宋体"/>
          <w:color w:val="auto"/>
          <w:kern w:val="0"/>
          <w:szCs w:val="21"/>
          <w:highlight w:val="none"/>
          <w:lang w:val="zh-CN"/>
        </w:rPr>
        <w:t>：023-</w:t>
      </w:r>
      <w:r>
        <w:rPr>
          <w:rFonts w:hint="eastAsia" w:ascii="宋体" w:hAnsi="宋体"/>
          <w:kern w:val="0"/>
          <w:szCs w:val="21"/>
          <w:lang w:val="zh-CN"/>
        </w:rPr>
        <w:t>67575759</w:t>
      </w:r>
      <w:r>
        <w:rPr>
          <w:rFonts w:hint="eastAsia" w:ascii="宋体" w:hAnsi="宋体"/>
          <w:color w:val="auto"/>
          <w:kern w:val="0"/>
          <w:szCs w:val="21"/>
          <w:highlight w:val="none"/>
          <w:lang w:val="zh-CN"/>
        </w:rPr>
        <w:t>或023-</w:t>
      </w:r>
      <w:r>
        <w:rPr>
          <w:rFonts w:hint="eastAsia" w:ascii="宋体" w:hAnsi="宋体"/>
          <w:kern w:val="0"/>
          <w:szCs w:val="21"/>
          <w:lang w:val="zh-CN"/>
        </w:rPr>
        <w:t>67575877</w:t>
      </w:r>
      <w:r>
        <w:rPr>
          <w:rFonts w:hint="eastAsia" w:ascii="宋体" w:hAnsi="宋体"/>
          <w:color w:val="auto"/>
          <w:kern w:val="0"/>
          <w:szCs w:val="21"/>
          <w:highlight w:val="none"/>
          <w:lang w:val="zh-CN"/>
        </w:rPr>
        <w:t>。</w:t>
      </w:r>
    </w:p>
    <w:p>
      <w:pPr>
        <w:jc w:val="center"/>
        <w:rPr>
          <w:rFonts w:ascii="宋体" w:hAnsi="宋体"/>
          <w:b/>
          <w:color w:val="auto"/>
          <w:sz w:val="44"/>
          <w:szCs w:val="44"/>
          <w:highlight w:val="none"/>
        </w:rPr>
      </w:pP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s="宋体"/>
          <w:color w:val="auto"/>
          <w:kern w:val="0"/>
          <w:sz w:val="72"/>
          <w:szCs w:val="72"/>
          <w:highlight w:val="none"/>
          <w:lang w:val="en-US" w:eastAsia="zh-CN"/>
        </w:rPr>
        <w:t xml:space="preserve">施 工 </w:t>
      </w:r>
      <w:r>
        <w:rPr>
          <w:rFonts w:ascii="宋体" w:hAnsi="宋体"/>
          <w:color w:val="auto"/>
          <w:kern w:val="0"/>
          <w:sz w:val="72"/>
          <w:szCs w:val="72"/>
          <w:highlight w:val="none"/>
        </w:rPr>
        <w:t>招</w:t>
      </w:r>
      <w:r>
        <w:rPr>
          <w:rFonts w:hint="eastAsia" w:ascii="宋体" w:hAnsi="宋体"/>
          <w:color w:val="auto"/>
          <w:kern w:val="0"/>
          <w:sz w:val="72"/>
          <w:szCs w:val="72"/>
          <w:highlight w:val="none"/>
          <w:lang w:val="en-US" w:eastAsia="zh-CN"/>
        </w:rPr>
        <w:t xml:space="preserve"> </w:t>
      </w:r>
      <w:r>
        <w:rPr>
          <w:rFonts w:ascii="宋体" w:hAnsi="宋体"/>
          <w:color w:val="auto"/>
          <w:kern w:val="0"/>
          <w:sz w:val="72"/>
          <w:szCs w:val="72"/>
          <w:highlight w:val="none"/>
        </w:rPr>
        <w:t>标</w:t>
      </w:r>
      <w:r>
        <w:rPr>
          <w:rFonts w:hint="eastAsia" w:ascii="宋体" w:hAnsi="宋体"/>
          <w:color w:val="auto"/>
          <w:kern w:val="0"/>
          <w:sz w:val="72"/>
          <w:szCs w:val="72"/>
          <w:highlight w:val="none"/>
          <w:lang w:val="en-US" w:eastAsia="zh-CN"/>
        </w:rPr>
        <w:t xml:space="preserve"> </w:t>
      </w:r>
      <w:r>
        <w:rPr>
          <w:rFonts w:ascii="宋体" w:hAnsi="宋体"/>
          <w:color w:val="auto"/>
          <w:kern w:val="0"/>
          <w:sz w:val="72"/>
          <w:szCs w:val="72"/>
          <w:highlight w:val="none"/>
        </w:rPr>
        <w:t>文</w:t>
      </w:r>
      <w:r>
        <w:rPr>
          <w:rFonts w:hint="eastAsia" w:ascii="宋体" w:hAnsi="宋体"/>
          <w:color w:val="auto"/>
          <w:kern w:val="0"/>
          <w:sz w:val="72"/>
          <w:szCs w:val="72"/>
          <w:highlight w:val="none"/>
          <w:lang w:val="en-US" w:eastAsia="zh-CN"/>
        </w:rPr>
        <w:t xml:space="preserve"> </w:t>
      </w:r>
      <w:r>
        <w:rPr>
          <w:rFonts w:ascii="宋体" w:hAnsi="宋体"/>
          <w:color w:val="auto"/>
          <w:kern w:val="0"/>
          <w:sz w:val="72"/>
          <w:szCs w:val="72"/>
          <w:highlight w:val="none"/>
        </w:rPr>
        <w:t>件</w:t>
      </w:r>
    </w:p>
    <w:p>
      <w:pPr>
        <w:autoSpaceDE w:val="0"/>
        <w:autoSpaceDN w:val="0"/>
        <w:adjustRightInd w:val="0"/>
        <w:snapToGrid w:val="0"/>
        <w:spacing w:line="360" w:lineRule="auto"/>
        <w:jc w:val="left"/>
        <w:rPr>
          <w:rFonts w:ascii="宋体" w:hAnsi="宋体"/>
          <w:color w:val="auto"/>
          <w:kern w:val="0"/>
          <w:sz w:val="10"/>
          <w:szCs w:val="1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tabs>
          <w:tab w:val="left" w:pos="6219"/>
        </w:tabs>
        <w:autoSpaceDE w:val="0"/>
        <w:autoSpaceDN w:val="0"/>
        <w:adjustRightInd w:val="0"/>
        <w:snapToGrid w:val="0"/>
        <w:spacing w:line="360" w:lineRule="auto"/>
        <w:jc w:val="center"/>
        <w:rPr>
          <w:rFonts w:ascii="宋体" w:hAnsi="宋体"/>
          <w:bCs/>
          <w:color w:val="auto"/>
          <w:w w:val="99"/>
          <w:kern w:val="0"/>
          <w:sz w:val="28"/>
          <w:szCs w:val="28"/>
          <w:highlight w:val="none"/>
        </w:rPr>
      </w:pPr>
      <w:r>
        <w:rPr>
          <w:rFonts w:ascii="宋体" w:hAnsi="宋体"/>
          <w:bCs/>
          <w:color w:val="auto"/>
          <w:w w:val="99"/>
          <w:kern w:val="0"/>
          <w:sz w:val="28"/>
          <w:szCs w:val="28"/>
          <w:highlight w:val="none"/>
        </w:rPr>
        <w:t>招</w:t>
      </w:r>
      <w:r>
        <w:rPr>
          <w:rFonts w:hint="eastAsia" w:ascii="宋体" w:hAnsi="宋体"/>
          <w:bCs/>
          <w:color w:val="auto"/>
          <w:w w:val="99"/>
          <w:kern w:val="0"/>
          <w:sz w:val="28"/>
          <w:szCs w:val="28"/>
          <w:highlight w:val="none"/>
        </w:rPr>
        <w:t xml:space="preserve">   </w:t>
      </w:r>
      <w:r>
        <w:rPr>
          <w:rFonts w:ascii="宋体" w:hAnsi="宋体"/>
          <w:bCs/>
          <w:color w:val="auto"/>
          <w:w w:val="99"/>
          <w:kern w:val="0"/>
          <w:sz w:val="28"/>
          <w:szCs w:val="28"/>
          <w:highlight w:val="none"/>
        </w:rPr>
        <w:t>标</w:t>
      </w:r>
      <w:r>
        <w:rPr>
          <w:rFonts w:hint="eastAsia" w:ascii="宋体" w:hAnsi="宋体"/>
          <w:bCs/>
          <w:color w:val="auto"/>
          <w:w w:val="99"/>
          <w:kern w:val="0"/>
          <w:sz w:val="28"/>
          <w:szCs w:val="28"/>
          <w:highlight w:val="none"/>
        </w:rPr>
        <w:t xml:space="preserve">   </w:t>
      </w:r>
      <w:r>
        <w:rPr>
          <w:rFonts w:ascii="宋体" w:hAnsi="宋体"/>
          <w:bCs/>
          <w:color w:val="auto"/>
          <w:w w:val="99"/>
          <w:kern w:val="0"/>
          <w:sz w:val="28"/>
          <w:szCs w:val="28"/>
          <w:highlight w:val="none"/>
        </w:rPr>
        <w:t>人：</w:t>
      </w:r>
      <w:r>
        <w:rPr>
          <w:rFonts w:ascii="宋体" w:hAnsi="宋体"/>
          <w:bCs/>
          <w:color w:val="auto"/>
          <w:kern w:val="0"/>
          <w:sz w:val="28"/>
          <w:szCs w:val="28"/>
          <w:highlight w:val="none"/>
          <w:u w:val="single"/>
        </w:rPr>
        <w:tab/>
      </w:r>
      <w:r>
        <w:rPr>
          <w:rFonts w:ascii="宋体" w:hAnsi="宋体"/>
          <w:bCs/>
          <w:color w:val="auto"/>
          <w:kern w:val="0"/>
          <w:sz w:val="28"/>
          <w:szCs w:val="28"/>
          <w:highlight w:val="none"/>
          <w:u w:val="single"/>
        </w:rPr>
        <w:t xml:space="preserve">   </w:t>
      </w:r>
      <w:r>
        <w:rPr>
          <w:rFonts w:ascii="宋体" w:hAnsi="宋体"/>
          <w:bCs/>
          <w:color w:val="auto"/>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ascii="宋体" w:hAnsi="宋体"/>
          <w:bCs/>
          <w:color w:val="auto"/>
          <w:w w:val="99"/>
          <w:kern w:val="0"/>
          <w:sz w:val="28"/>
          <w:szCs w:val="28"/>
          <w:highlight w:val="none"/>
        </w:rPr>
      </w:pPr>
      <w:r>
        <w:rPr>
          <w:rFonts w:ascii="宋体" w:hAnsi="宋体"/>
          <w:bCs/>
          <w:color w:val="auto"/>
          <w:spacing w:val="8"/>
          <w:kern w:val="0"/>
          <w:sz w:val="28"/>
          <w:szCs w:val="28"/>
          <w:highlight w:val="none"/>
        </w:rPr>
        <w:t>招标代理机构：</w:t>
      </w:r>
      <w:r>
        <w:rPr>
          <w:rFonts w:ascii="宋体" w:hAnsi="宋体"/>
          <w:bCs/>
          <w:color w:val="auto"/>
          <w:kern w:val="0"/>
          <w:sz w:val="28"/>
          <w:szCs w:val="28"/>
          <w:highlight w:val="none"/>
          <w:u w:val="single"/>
        </w:rPr>
        <w:tab/>
      </w:r>
      <w:r>
        <w:rPr>
          <w:rFonts w:ascii="宋体" w:hAnsi="宋体"/>
          <w:bCs/>
          <w:color w:val="auto"/>
          <w:kern w:val="0"/>
          <w:sz w:val="28"/>
          <w:szCs w:val="28"/>
          <w:highlight w:val="none"/>
          <w:u w:val="single"/>
        </w:rPr>
        <w:t xml:space="preserve">   </w:t>
      </w:r>
      <w:r>
        <w:rPr>
          <w:rFonts w:ascii="宋体" w:hAnsi="宋体"/>
          <w:bCs/>
          <w:color w:val="auto"/>
          <w:w w:val="99"/>
          <w:kern w:val="0"/>
          <w:sz w:val="28"/>
          <w:szCs w:val="28"/>
          <w:highlight w:val="none"/>
        </w:rPr>
        <w:t>（盖单位法人章）</w:t>
      </w:r>
    </w:p>
    <w:p>
      <w:pPr>
        <w:autoSpaceDE w:val="0"/>
        <w:autoSpaceDN w:val="0"/>
        <w:adjustRightInd w:val="0"/>
        <w:snapToGrid w:val="0"/>
        <w:spacing w:line="360" w:lineRule="auto"/>
        <w:jc w:val="center"/>
        <w:rPr>
          <w:rFonts w:ascii="宋体" w:hAnsi="宋体"/>
          <w:bCs/>
          <w:color w:val="auto"/>
          <w:kern w:val="0"/>
          <w:sz w:val="20"/>
          <w:szCs w:val="20"/>
          <w:highlight w:val="none"/>
        </w:rPr>
      </w:pP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rPr>
          <w:rFonts w:ascii="宋体" w:hAnsi="宋体"/>
          <w:bCs/>
          <w:color w:val="auto"/>
          <w:kern w:val="0"/>
          <w:sz w:val="20"/>
          <w:szCs w:val="20"/>
          <w:highlight w:val="none"/>
        </w:rPr>
      </w:pPr>
    </w:p>
    <w:p>
      <w:pPr>
        <w:tabs>
          <w:tab w:val="left" w:pos="6252"/>
        </w:tabs>
        <w:autoSpaceDE w:val="0"/>
        <w:autoSpaceDN w:val="0"/>
        <w:adjustRightInd w:val="0"/>
        <w:snapToGrid w:val="0"/>
        <w:spacing w:line="360" w:lineRule="auto"/>
        <w:jc w:val="center"/>
        <w:rPr>
          <w:rFonts w:ascii="宋体" w:hAnsi="宋体"/>
          <w:bCs/>
          <w:color w:val="auto"/>
          <w:spacing w:val="8"/>
          <w:kern w:val="0"/>
          <w:sz w:val="28"/>
          <w:szCs w:val="28"/>
          <w:highlight w:val="none"/>
        </w:rPr>
      </w:pPr>
      <w:bookmarkStart w:id="1" w:name="_Toc509218549"/>
      <w:bookmarkStart w:id="2" w:name="_Toc536797277"/>
      <w:bookmarkStart w:id="3" w:name="_Toc536796736"/>
      <w:bookmarkStart w:id="4" w:name="_Toc13210649"/>
      <w:bookmarkStart w:id="5" w:name="_Toc536621766"/>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年</w:t>
      </w:r>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月</w:t>
      </w:r>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日</w:t>
      </w:r>
      <w:bookmarkEnd w:id="1"/>
      <w:bookmarkEnd w:id="2"/>
      <w:bookmarkEnd w:id="3"/>
      <w:bookmarkEnd w:id="4"/>
      <w:bookmarkEnd w:id="5"/>
    </w:p>
    <w:p>
      <w:pPr>
        <w:pStyle w:val="3"/>
        <w:spacing w:line="360" w:lineRule="auto"/>
        <w:outlineLvl w:val="9"/>
        <w:rPr>
          <w:rFonts w:ascii="宋体" w:hAnsi="宋体"/>
          <w:color w:val="auto"/>
          <w:w w:val="99"/>
          <w:kern w:val="0"/>
          <w:sz w:val="24"/>
          <w:highlight w:val="none"/>
        </w:rPr>
        <w:sectPr>
          <w:footerReference r:id="rId7" w:type="default"/>
          <w:pgSz w:w="11907" w:h="16840"/>
          <w:pgMar w:top="1304" w:right="1134" w:bottom="1304" w:left="1304" w:header="851" w:footer="992" w:gutter="0"/>
          <w:pgNumType w:fmt="numberInDash" w:start="1"/>
          <w:cols w:space="720" w:num="1"/>
          <w:docGrid w:linePitch="312" w:charSpace="0"/>
        </w:sectPr>
      </w:pPr>
    </w:p>
    <w:p>
      <w:pPr>
        <w:rPr>
          <w:rFonts w:ascii="宋体" w:hAnsi="宋体"/>
          <w:bCs/>
          <w:color w:val="auto"/>
          <w:szCs w:val="20"/>
          <w:highlight w:val="none"/>
          <w:lang w:val="zh-CN"/>
        </w:rPr>
      </w:pPr>
    </w:p>
    <w:sdt>
      <w:sdtPr>
        <w:rPr>
          <w:rFonts w:ascii="宋体" w:hAnsi="宋体" w:eastAsia="宋体" w:cs="Times New Roman"/>
          <w:color w:val="auto"/>
          <w:kern w:val="2"/>
          <w:sz w:val="44"/>
          <w:szCs w:val="52"/>
          <w:highlight w:val="none"/>
          <w:lang w:val="en-US" w:eastAsia="zh-CN" w:bidi="ar-SA"/>
        </w:rPr>
        <w:id w:val="147474003"/>
        <w15:color w:val="DBDBDB"/>
      </w:sdtPr>
      <w:sdtEndPr>
        <w:rPr>
          <w:rFonts w:ascii="Times New Roman" w:hAnsi="Times New Roman" w:eastAsia="宋体" w:cs="Times New Roman"/>
          <w:b/>
          <w:color w:val="auto"/>
          <w:kern w:val="2"/>
          <w:sz w:val="21"/>
          <w:szCs w:val="24"/>
          <w:highlight w:val="none"/>
          <w:lang w:val="en-US" w:eastAsia="zh-CN" w:bidi="ar-SA"/>
        </w:rPr>
      </w:sdtEndPr>
      <w:sdtContent>
        <w:p>
          <w:pPr>
            <w:spacing w:before="0" w:beforeLines="0" w:after="0" w:afterLines="0" w:line="240" w:lineRule="auto"/>
            <w:ind w:left="0" w:leftChars="0" w:right="0" w:rightChars="0" w:firstLine="0" w:firstLineChars="0"/>
            <w:jc w:val="center"/>
            <w:rPr>
              <w:color w:val="auto"/>
              <w:sz w:val="44"/>
              <w:szCs w:val="52"/>
              <w:highlight w:val="none"/>
            </w:rPr>
          </w:pPr>
          <w:r>
            <w:rPr>
              <w:rFonts w:ascii="宋体" w:hAnsi="宋体" w:eastAsia="宋体"/>
              <w:color w:val="auto"/>
              <w:sz w:val="44"/>
              <w:szCs w:val="52"/>
              <w:highlight w:val="none"/>
            </w:rPr>
            <w:t>目</w:t>
          </w:r>
          <w:r>
            <w:rPr>
              <w:rFonts w:hint="eastAsia" w:ascii="宋体" w:hAnsi="宋体"/>
              <w:color w:val="auto"/>
              <w:sz w:val="44"/>
              <w:szCs w:val="52"/>
              <w:highlight w:val="none"/>
              <w:lang w:val="en-US" w:eastAsia="zh-CN"/>
            </w:rPr>
            <w:t xml:space="preserve"> </w:t>
          </w:r>
          <w:r>
            <w:rPr>
              <w:rFonts w:ascii="宋体" w:hAnsi="宋体" w:eastAsia="宋体"/>
              <w:color w:val="auto"/>
              <w:sz w:val="44"/>
              <w:szCs w:val="52"/>
              <w:highlight w:val="none"/>
            </w:rPr>
            <w:t>录</w:t>
          </w:r>
        </w:p>
        <w:p>
          <w:pPr>
            <w:pStyle w:val="31"/>
            <w:tabs>
              <w:tab w:val="right" w:leader="dot" w:pos="9469"/>
            </w:tabs>
          </w:pPr>
          <w:r>
            <w:rPr>
              <w:color w:val="auto"/>
              <w:highlight w:val="none"/>
            </w:rPr>
            <w:fldChar w:fldCharType="begin"/>
          </w:r>
          <w:r>
            <w:rPr>
              <w:color w:val="auto"/>
              <w:highlight w:val="none"/>
            </w:rPr>
            <w:instrText xml:space="preserve">TOC \o "1-2" \h \u </w:instrText>
          </w:r>
          <w:r>
            <w:rPr>
              <w:color w:val="auto"/>
              <w:highlight w:val="none"/>
            </w:rPr>
            <w:fldChar w:fldCharType="separate"/>
          </w:r>
          <w:r>
            <w:rPr>
              <w:color w:val="auto"/>
              <w:highlight w:val="none"/>
            </w:rPr>
            <w:fldChar w:fldCharType="begin"/>
          </w:r>
          <w:r>
            <w:rPr>
              <w:highlight w:val="none"/>
            </w:rPr>
            <w:instrText xml:space="preserve"> HYPERLINK \l _Toc5411 </w:instrText>
          </w:r>
          <w:r>
            <w:rPr>
              <w:highlight w:val="none"/>
            </w:rPr>
            <w:fldChar w:fldCharType="separate"/>
          </w:r>
          <w:r>
            <w:rPr>
              <w:rFonts w:hint="eastAsia" w:ascii="宋体" w:hAnsi="宋体"/>
              <w:szCs w:val="52"/>
              <w:highlight w:val="none"/>
            </w:rPr>
            <w:t>第 一 卷</w:t>
          </w:r>
          <w:r>
            <w:tab/>
          </w:r>
          <w:r>
            <w:fldChar w:fldCharType="begin"/>
          </w:r>
          <w:r>
            <w:instrText xml:space="preserve"> PAGEREF _Toc5411 \h </w:instrText>
          </w:r>
          <w:r>
            <w:fldChar w:fldCharType="separate"/>
          </w:r>
          <w:r>
            <w:t>3</w:t>
          </w:r>
          <w:r>
            <w:fldChar w:fldCharType="end"/>
          </w:r>
          <w:r>
            <w:rPr>
              <w:color w:val="auto"/>
              <w:highlight w:val="none"/>
            </w:rPr>
            <w:fldChar w:fldCharType="end"/>
          </w:r>
        </w:p>
        <w:p>
          <w:pPr>
            <w:pStyle w:val="31"/>
            <w:tabs>
              <w:tab w:val="right" w:leader="dot" w:pos="9469"/>
            </w:tabs>
          </w:pPr>
          <w:r>
            <w:rPr>
              <w:color w:val="auto"/>
              <w:highlight w:val="none"/>
            </w:rPr>
            <w:fldChar w:fldCharType="begin"/>
          </w:r>
          <w:r>
            <w:rPr>
              <w:highlight w:val="none"/>
            </w:rPr>
            <w:instrText xml:space="preserve"> HYPERLINK \l _Toc29271 </w:instrText>
          </w:r>
          <w:r>
            <w:rPr>
              <w:highlight w:val="none"/>
            </w:rPr>
            <w:fldChar w:fldCharType="separate"/>
          </w:r>
          <w:r>
            <w:rPr>
              <w:rFonts w:ascii="宋体" w:hAnsi="宋体"/>
              <w:snapToGrid w:val="0"/>
              <w:kern w:val="0"/>
              <w:highlight w:val="none"/>
            </w:rPr>
            <w:t>第一章  招标公告（</w:t>
          </w:r>
          <w:r>
            <w:rPr>
              <w:rFonts w:hint="eastAsia" w:ascii="宋体" w:hAnsi="宋体"/>
              <w:snapToGrid w:val="0"/>
              <w:kern w:val="0"/>
              <w:highlight w:val="none"/>
            </w:rPr>
            <w:t>适用于公开招标）</w:t>
          </w:r>
          <w:r>
            <w:tab/>
          </w:r>
          <w:r>
            <w:fldChar w:fldCharType="begin"/>
          </w:r>
          <w:r>
            <w:instrText xml:space="preserve"> PAGEREF _Toc29271 \h </w:instrText>
          </w:r>
          <w:r>
            <w:fldChar w:fldCharType="separate"/>
          </w:r>
          <w:r>
            <w:t>4</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_Toc26259 </w:instrText>
          </w:r>
          <w:r>
            <w:rPr>
              <w:highlight w:val="none"/>
            </w:rPr>
            <w:fldChar w:fldCharType="separate"/>
          </w:r>
          <w:r>
            <w:rPr>
              <w:rFonts w:ascii="宋体" w:hAnsi="宋体"/>
              <w:snapToGrid w:val="0"/>
              <w:szCs w:val="28"/>
              <w:highlight w:val="none"/>
            </w:rPr>
            <w:t xml:space="preserve">1. </w:t>
          </w:r>
          <w:r>
            <w:rPr>
              <w:rFonts w:hint="eastAsia" w:ascii="宋体" w:hAnsi="宋体"/>
              <w:snapToGrid w:val="0"/>
              <w:szCs w:val="28"/>
              <w:highlight w:val="none"/>
            </w:rPr>
            <w:t xml:space="preserve"> </w:t>
          </w:r>
          <w:r>
            <w:rPr>
              <w:rFonts w:ascii="宋体" w:hAnsi="宋体"/>
              <w:snapToGrid w:val="0"/>
              <w:szCs w:val="28"/>
              <w:highlight w:val="none"/>
            </w:rPr>
            <w:t>招标条件</w:t>
          </w:r>
          <w:r>
            <w:tab/>
          </w:r>
          <w:r>
            <w:fldChar w:fldCharType="begin"/>
          </w:r>
          <w:r>
            <w:instrText xml:space="preserve"> PAGEREF _Toc26259 \h </w:instrText>
          </w:r>
          <w:r>
            <w:fldChar w:fldCharType="separate"/>
          </w:r>
          <w:r>
            <w:t>4</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_Toc16707 </w:instrText>
          </w:r>
          <w:r>
            <w:rPr>
              <w:highlight w:val="none"/>
            </w:rPr>
            <w:fldChar w:fldCharType="separate"/>
          </w:r>
          <w:r>
            <w:rPr>
              <w:rFonts w:ascii="宋体" w:hAnsi="宋体"/>
              <w:snapToGrid w:val="0"/>
              <w:szCs w:val="28"/>
              <w:highlight w:val="none"/>
            </w:rPr>
            <w:t>2.</w:t>
          </w:r>
          <w:r>
            <w:rPr>
              <w:rFonts w:hint="eastAsia" w:ascii="宋体" w:hAnsi="宋体"/>
              <w:snapToGrid w:val="0"/>
              <w:szCs w:val="28"/>
              <w:highlight w:val="none"/>
            </w:rPr>
            <w:t xml:space="preserve"> </w:t>
          </w:r>
          <w:r>
            <w:rPr>
              <w:rFonts w:ascii="宋体" w:hAnsi="宋体"/>
              <w:snapToGrid w:val="0"/>
              <w:szCs w:val="28"/>
              <w:highlight w:val="none"/>
            </w:rPr>
            <w:t xml:space="preserve"> 项目概况与招标范围</w:t>
          </w:r>
          <w:r>
            <w:tab/>
          </w:r>
          <w:r>
            <w:fldChar w:fldCharType="begin"/>
          </w:r>
          <w:r>
            <w:instrText xml:space="preserve"> PAGEREF _Toc16707 \h </w:instrText>
          </w:r>
          <w:r>
            <w:fldChar w:fldCharType="separate"/>
          </w:r>
          <w:r>
            <w:t>4</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_Toc14910 </w:instrText>
          </w:r>
          <w:r>
            <w:rPr>
              <w:highlight w:val="none"/>
            </w:rPr>
            <w:fldChar w:fldCharType="separate"/>
          </w:r>
          <w:r>
            <w:rPr>
              <w:rFonts w:hint="eastAsia" w:ascii="宋体" w:hAnsi="宋体"/>
              <w:snapToGrid w:val="0"/>
              <w:szCs w:val="28"/>
              <w:lang w:val="en-US" w:eastAsia="zh-CN"/>
            </w:rPr>
            <w:t>3.  政府采购工程</w:t>
          </w:r>
          <w:r>
            <w:tab/>
          </w:r>
          <w:r>
            <w:fldChar w:fldCharType="begin"/>
          </w:r>
          <w:r>
            <w:instrText xml:space="preserve"> PAGEREF _Toc14910 \h </w:instrText>
          </w:r>
          <w:r>
            <w:fldChar w:fldCharType="separate"/>
          </w:r>
          <w:r>
            <w:t>4</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_Toc26271 </w:instrText>
          </w:r>
          <w:r>
            <w:rPr>
              <w:highlight w:val="none"/>
            </w:rPr>
            <w:fldChar w:fldCharType="separate"/>
          </w:r>
          <w:r>
            <w:rPr>
              <w:rFonts w:hint="eastAsia" w:ascii="宋体" w:hAnsi="宋体"/>
              <w:snapToGrid w:val="0"/>
              <w:szCs w:val="28"/>
              <w:highlight w:val="none"/>
              <w:lang w:val="en-US" w:eastAsia="zh-CN"/>
            </w:rPr>
            <w:t>4</w:t>
          </w:r>
          <w:r>
            <w:rPr>
              <w:rFonts w:ascii="宋体" w:hAnsi="宋体"/>
              <w:snapToGrid w:val="0"/>
              <w:szCs w:val="28"/>
              <w:highlight w:val="none"/>
            </w:rPr>
            <w:t xml:space="preserve">. </w:t>
          </w:r>
          <w:r>
            <w:rPr>
              <w:rFonts w:hint="eastAsia" w:ascii="宋体" w:hAnsi="宋体"/>
              <w:snapToGrid w:val="0"/>
              <w:szCs w:val="28"/>
              <w:highlight w:val="none"/>
            </w:rPr>
            <w:t xml:space="preserve"> </w:t>
          </w:r>
          <w:r>
            <w:rPr>
              <w:rFonts w:ascii="宋体" w:hAnsi="宋体"/>
              <w:snapToGrid w:val="0"/>
              <w:szCs w:val="28"/>
              <w:highlight w:val="none"/>
            </w:rPr>
            <w:t>投标人资格要求</w:t>
          </w:r>
          <w:r>
            <w:tab/>
          </w:r>
          <w:r>
            <w:fldChar w:fldCharType="begin"/>
          </w:r>
          <w:r>
            <w:instrText xml:space="preserve"> PAGEREF _Toc26271 \h </w:instrText>
          </w:r>
          <w:r>
            <w:fldChar w:fldCharType="separate"/>
          </w:r>
          <w:r>
            <w:t>5</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_Toc17459 </w:instrText>
          </w:r>
          <w:r>
            <w:rPr>
              <w:highlight w:val="none"/>
            </w:rPr>
            <w:fldChar w:fldCharType="separate"/>
          </w:r>
          <w:r>
            <w:rPr>
              <w:rFonts w:hint="eastAsia" w:ascii="宋体" w:hAnsi="宋体"/>
              <w:snapToGrid w:val="0"/>
              <w:szCs w:val="28"/>
              <w:lang w:val="en-US" w:eastAsia="zh-CN"/>
            </w:rPr>
            <w:t>5</w:t>
          </w:r>
          <w:r>
            <w:rPr>
              <w:rFonts w:ascii="宋体" w:hAnsi="宋体"/>
              <w:snapToGrid w:val="0"/>
              <w:szCs w:val="28"/>
              <w:highlight w:val="none"/>
            </w:rPr>
            <w:t xml:space="preserve">. </w:t>
          </w:r>
          <w:r>
            <w:rPr>
              <w:rFonts w:hint="eastAsia" w:ascii="宋体" w:hAnsi="宋体"/>
              <w:snapToGrid w:val="0"/>
              <w:szCs w:val="28"/>
              <w:highlight w:val="none"/>
            </w:rPr>
            <w:t xml:space="preserve"> </w:t>
          </w:r>
          <w:r>
            <w:rPr>
              <w:rFonts w:ascii="宋体" w:hAnsi="宋体"/>
              <w:snapToGrid w:val="0"/>
              <w:szCs w:val="28"/>
              <w:highlight w:val="none"/>
            </w:rPr>
            <w:t>招标文件的获取</w:t>
          </w:r>
          <w:r>
            <w:tab/>
          </w:r>
          <w:r>
            <w:fldChar w:fldCharType="begin"/>
          </w:r>
          <w:r>
            <w:instrText xml:space="preserve"> PAGEREF _Toc17459 \h </w:instrText>
          </w:r>
          <w:r>
            <w:fldChar w:fldCharType="separate"/>
          </w:r>
          <w:r>
            <w:t>5</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_Toc18748 </w:instrText>
          </w:r>
          <w:r>
            <w:rPr>
              <w:highlight w:val="none"/>
            </w:rPr>
            <w:fldChar w:fldCharType="separate"/>
          </w:r>
          <w:r>
            <w:rPr>
              <w:rFonts w:hint="eastAsia" w:ascii="宋体" w:hAnsi="宋体"/>
              <w:snapToGrid w:val="0"/>
              <w:szCs w:val="28"/>
              <w:lang w:val="en-US" w:eastAsia="zh-CN"/>
            </w:rPr>
            <w:t>6</w:t>
          </w:r>
          <w:r>
            <w:rPr>
              <w:rFonts w:ascii="宋体" w:hAnsi="宋体"/>
              <w:snapToGrid w:val="0"/>
              <w:szCs w:val="28"/>
              <w:highlight w:val="none"/>
            </w:rPr>
            <w:t xml:space="preserve">. </w:t>
          </w:r>
          <w:r>
            <w:rPr>
              <w:rFonts w:hint="eastAsia" w:ascii="宋体" w:hAnsi="宋体"/>
              <w:snapToGrid w:val="0"/>
              <w:szCs w:val="28"/>
              <w:highlight w:val="none"/>
            </w:rPr>
            <w:t xml:space="preserve"> </w:t>
          </w:r>
          <w:r>
            <w:rPr>
              <w:rFonts w:ascii="宋体" w:hAnsi="宋体"/>
              <w:snapToGrid w:val="0"/>
              <w:szCs w:val="28"/>
              <w:highlight w:val="none"/>
            </w:rPr>
            <w:t>投标文件的递交</w:t>
          </w:r>
          <w:r>
            <w:tab/>
          </w:r>
          <w:r>
            <w:fldChar w:fldCharType="begin"/>
          </w:r>
          <w:r>
            <w:instrText xml:space="preserve"> PAGEREF _Toc18748 \h </w:instrText>
          </w:r>
          <w:r>
            <w:fldChar w:fldCharType="separate"/>
          </w:r>
          <w:r>
            <w:t>5</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_Toc20224 </w:instrText>
          </w:r>
          <w:r>
            <w:rPr>
              <w:highlight w:val="none"/>
            </w:rPr>
            <w:fldChar w:fldCharType="separate"/>
          </w:r>
          <w:r>
            <w:rPr>
              <w:rFonts w:hint="eastAsia" w:ascii="宋体" w:hAnsi="宋体"/>
              <w:snapToGrid w:val="0"/>
              <w:szCs w:val="28"/>
              <w:lang w:val="en-US" w:eastAsia="zh-CN"/>
            </w:rPr>
            <w:t>7</w:t>
          </w:r>
          <w:r>
            <w:rPr>
              <w:rFonts w:ascii="宋体" w:hAnsi="宋体"/>
              <w:snapToGrid w:val="0"/>
              <w:szCs w:val="28"/>
              <w:highlight w:val="none"/>
            </w:rPr>
            <w:t xml:space="preserve">. </w:t>
          </w:r>
          <w:r>
            <w:rPr>
              <w:rFonts w:hint="eastAsia" w:ascii="宋体" w:hAnsi="宋体"/>
              <w:snapToGrid w:val="0"/>
              <w:szCs w:val="28"/>
              <w:highlight w:val="none"/>
            </w:rPr>
            <w:t xml:space="preserve"> </w:t>
          </w:r>
          <w:r>
            <w:rPr>
              <w:rFonts w:ascii="宋体" w:hAnsi="宋体"/>
              <w:snapToGrid w:val="0"/>
              <w:szCs w:val="28"/>
              <w:highlight w:val="none"/>
            </w:rPr>
            <w:t>发布公告的媒介</w:t>
          </w:r>
          <w:r>
            <w:tab/>
          </w:r>
          <w:r>
            <w:fldChar w:fldCharType="begin"/>
          </w:r>
          <w:r>
            <w:instrText xml:space="preserve"> PAGEREF _Toc20224 \h </w:instrText>
          </w:r>
          <w:r>
            <w:fldChar w:fldCharType="separate"/>
          </w:r>
          <w:r>
            <w:t>5</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_Toc16160 </w:instrText>
          </w:r>
          <w:r>
            <w:rPr>
              <w:highlight w:val="none"/>
            </w:rPr>
            <w:fldChar w:fldCharType="separate"/>
          </w:r>
          <w:r>
            <w:rPr>
              <w:rFonts w:hint="eastAsia" w:ascii="宋体" w:hAnsi="宋体"/>
              <w:snapToGrid w:val="0"/>
              <w:szCs w:val="28"/>
              <w:lang w:val="en-US" w:eastAsia="zh-CN"/>
            </w:rPr>
            <w:t>8</w:t>
          </w:r>
          <w:r>
            <w:rPr>
              <w:rFonts w:ascii="宋体" w:hAnsi="宋体"/>
              <w:snapToGrid w:val="0"/>
              <w:szCs w:val="28"/>
              <w:highlight w:val="none"/>
            </w:rPr>
            <w:t xml:space="preserve">. </w:t>
          </w:r>
          <w:r>
            <w:rPr>
              <w:rFonts w:hint="eastAsia" w:ascii="宋体" w:hAnsi="宋体"/>
              <w:snapToGrid w:val="0"/>
              <w:szCs w:val="28"/>
              <w:highlight w:val="none"/>
            </w:rPr>
            <w:t xml:space="preserve"> </w:t>
          </w:r>
          <w:r>
            <w:rPr>
              <w:rFonts w:ascii="宋体" w:hAnsi="宋体"/>
              <w:snapToGrid w:val="0"/>
              <w:szCs w:val="28"/>
              <w:highlight w:val="none"/>
            </w:rPr>
            <w:t>联系方式</w:t>
          </w:r>
          <w:r>
            <w:tab/>
          </w:r>
          <w:r>
            <w:fldChar w:fldCharType="begin"/>
          </w:r>
          <w:r>
            <w:instrText xml:space="preserve"> PAGEREF _Toc16160 \h </w:instrText>
          </w:r>
          <w:r>
            <w:fldChar w:fldCharType="separate"/>
          </w:r>
          <w:r>
            <w:t>5</w:t>
          </w:r>
          <w:r>
            <w:fldChar w:fldCharType="end"/>
          </w:r>
          <w:r>
            <w:rPr>
              <w:color w:val="auto"/>
              <w:highlight w:val="none"/>
            </w:rPr>
            <w:fldChar w:fldCharType="end"/>
          </w:r>
        </w:p>
        <w:p>
          <w:pPr>
            <w:pStyle w:val="31"/>
            <w:tabs>
              <w:tab w:val="right" w:leader="dot" w:pos="9469"/>
            </w:tabs>
          </w:pPr>
          <w:r>
            <w:rPr>
              <w:color w:val="auto"/>
              <w:highlight w:val="none"/>
            </w:rPr>
            <w:fldChar w:fldCharType="begin"/>
          </w:r>
          <w:r>
            <w:rPr>
              <w:highlight w:val="none"/>
            </w:rPr>
            <w:instrText xml:space="preserve"> HYPERLINK \l _Toc20147 </w:instrText>
          </w:r>
          <w:r>
            <w:rPr>
              <w:highlight w:val="none"/>
            </w:rPr>
            <w:fldChar w:fldCharType="separate"/>
          </w:r>
          <w:r>
            <w:rPr>
              <w:rFonts w:ascii="宋体" w:hAnsi="宋体"/>
              <w:snapToGrid w:val="0"/>
              <w:highlight w:val="none"/>
            </w:rPr>
            <w:t>第一章  投标邀请书（</w:t>
          </w:r>
          <w:r>
            <w:rPr>
              <w:rFonts w:hint="eastAsia" w:ascii="宋体" w:hAnsi="宋体"/>
              <w:snapToGrid w:val="0"/>
              <w:highlight w:val="none"/>
            </w:rPr>
            <w:t>适用于邀请招标</w:t>
          </w:r>
          <w:r>
            <w:rPr>
              <w:rFonts w:ascii="宋体" w:hAnsi="宋体"/>
              <w:snapToGrid w:val="0"/>
              <w:highlight w:val="none"/>
            </w:rPr>
            <w:t>）</w:t>
          </w:r>
          <w:r>
            <w:tab/>
          </w:r>
          <w:r>
            <w:fldChar w:fldCharType="begin"/>
          </w:r>
          <w:r>
            <w:instrText xml:space="preserve"> PAGEREF _Toc20147 \h </w:instrText>
          </w:r>
          <w:r>
            <w:fldChar w:fldCharType="separate"/>
          </w:r>
          <w:r>
            <w:t>7</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_Toc12071 </w:instrText>
          </w:r>
          <w:r>
            <w:rPr>
              <w:highlight w:val="none"/>
            </w:rPr>
            <w:fldChar w:fldCharType="separate"/>
          </w:r>
          <w:r>
            <w:rPr>
              <w:rFonts w:ascii="宋体" w:hAnsi="宋体"/>
              <w:snapToGrid w:val="0"/>
              <w:szCs w:val="28"/>
              <w:highlight w:val="none"/>
            </w:rPr>
            <w:t>1.  招标条件</w:t>
          </w:r>
          <w:r>
            <w:tab/>
          </w:r>
          <w:r>
            <w:fldChar w:fldCharType="begin"/>
          </w:r>
          <w:r>
            <w:instrText xml:space="preserve"> PAGEREF _Toc12071 \h </w:instrText>
          </w:r>
          <w:r>
            <w:fldChar w:fldCharType="separate"/>
          </w:r>
          <w:r>
            <w:t>7</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_Toc2222 </w:instrText>
          </w:r>
          <w:r>
            <w:rPr>
              <w:highlight w:val="none"/>
            </w:rPr>
            <w:fldChar w:fldCharType="separate"/>
          </w:r>
          <w:r>
            <w:rPr>
              <w:rFonts w:ascii="宋体" w:hAnsi="宋体"/>
              <w:snapToGrid w:val="0"/>
              <w:szCs w:val="28"/>
              <w:highlight w:val="none"/>
            </w:rPr>
            <w:t>2.  项目概况与招标范围</w:t>
          </w:r>
          <w:r>
            <w:tab/>
          </w:r>
          <w:r>
            <w:fldChar w:fldCharType="begin"/>
          </w:r>
          <w:r>
            <w:instrText xml:space="preserve"> PAGEREF _Toc2222 \h </w:instrText>
          </w:r>
          <w:r>
            <w:fldChar w:fldCharType="separate"/>
          </w:r>
          <w:r>
            <w:t>7</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_Toc21027 </w:instrText>
          </w:r>
          <w:r>
            <w:rPr>
              <w:highlight w:val="none"/>
            </w:rPr>
            <w:fldChar w:fldCharType="separate"/>
          </w:r>
          <w:r>
            <w:rPr>
              <w:rFonts w:hint="eastAsia" w:ascii="宋体" w:hAnsi="宋体"/>
              <w:snapToGrid w:val="0"/>
              <w:szCs w:val="28"/>
              <w:lang w:val="en-US" w:eastAsia="zh-CN"/>
            </w:rPr>
            <w:t>3.  政府采购工程</w:t>
          </w:r>
          <w:r>
            <w:tab/>
          </w:r>
          <w:r>
            <w:fldChar w:fldCharType="begin"/>
          </w:r>
          <w:r>
            <w:instrText xml:space="preserve"> PAGEREF _Toc21027 \h </w:instrText>
          </w:r>
          <w:r>
            <w:fldChar w:fldCharType="separate"/>
          </w:r>
          <w:r>
            <w:t>7</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_Toc24470 </w:instrText>
          </w:r>
          <w:r>
            <w:rPr>
              <w:highlight w:val="none"/>
            </w:rPr>
            <w:fldChar w:fldCharType="separate"/>
          </w:r>
          <w:r>
            <w:rPr>
              <w:rFonts w:hint="eastAsia" w:ascii="宋体" w:hAnsi="宋体"/>
              <w:snapToGrid w:val="0"/>
              <w:szCs w:val="28"/>
              <w:lang w:val="en-US" w:eastAsia="zh-CN"/>
            </w:rPr>
            <w:t>4</w:t>
          </w:r>
          <w:r>
            <w:rPr>
              <w:rFonts w:ascii="宋体" w:hAnsi="宋体"/>
              <w:snapToGrid w:val="0"/>
              <w:szCs w:val="28"/>
              <w:highlight w:val="none"/>
            </w:rPr>
            <w:t>.  投标人资格要求</w:t>
          </w:r>
          <w:r>
            <w:tab/>
          </w:r>
          <w:r>
            <w:fldChar w:fldCharType="begin"/>
          </w:r>
          <w:r>
            <w:instrText xml:space="preserve"> PAGEREF _Toc24470 \h </w:instrText>
          </w:r>
          <w:r>
            <w:fldChar w:fldCharType="separate"/>
          </w:r>
          <w:r>
            <w:t>8</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_Toc30201 </w:instrText>
          </w:r>
          <w:r>
            <w:rPr>
              <w:highlight w:val="none"/>
            </w:rPr>
            <w:fldChar w:fldCharType="separate"/>
          </w:r>
          <w:r>
            <w:rPr>
              <w:rFonts w:hint="eastAsia" w:ascii="宋体" w:hAnsi="宋体"/>
              <w:snapToGrid w:val="0"/>
              <w:szCs w:val="28"/>
              <w:lang w:val="en-US" w:eastAsia="zh-CN"/>
            </w:rPr>
            <w:t>5</w:t>
          </w:r>
          <w:r>
            <w:rPr>
              <w:rFonts w:ascii="宋体" w:hAnsi="宋体"/>
              <w:snapToGrid w:val="0"/>
              <w:szCs w:val="28"/>
              <w:highlight w:val="none"/>
            </w:rPr>
            <w:t>.  招标文件的获取</w:t>
          </w:r>
          <w:r>
            <w:tab/>
          </w:r>
          <w:r>
            <w:fldChar w:fldCharType="begin"/>
          </w:r>
          <w:r>
            <w:instrText xml:space="preserve"> PAGEREF _Toc30201 \h </w:instrText>
          </w:r>
          <w:r>
            <w:fldChar w:fldCharType="separate"/>
          </w:r>
          <w:r>
            <w:t>8</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_Toc16907 </w:instrText>
          </w:r>
          <w:r>
            <w:rPr>
              <w:highlight w:val="none"/>
            </w:rPr>
            <w:fldChar w:fldCharType="separate"/>
          </w:r>
          <w:r>
            <w:rPr>
              <w:rFonts w:hint="eastAsia" w:ascii="宋体" w:hAnsi="宋体"/>
              <w:snapToGrid w:val="0"/>
              <w:szCs w:val="28"/>
              <w:lang w:val="en-US" w:eastAsia="zh-CN"/>
            </w:rPr>
            <w:t>6</w:t>
          </w:r>
          <w:r>
            <w:rPr>
              <w:rFonts w:ascii="宋体" w:hAnsi="宋体"/>
              <w:snapToGrid w:val="0"/>
              <w:szCs w:val="28"/>
              <w:highlight w:val="none"/>
            </w:rPr>
            <w:t>.  投标文件的递交</w:t>
          </w:r>
          <w:r>
            <w:tab/>
          </w:r>
          <w:r>
            <w:fldChar w:fldCharType="begin"/>
          </w:r>
          <w:r>
            <w:instrText xml:space="preserve"> PAGEREF _Toc16907 \h </w:instrText>
          </w:r>
          <w:r>
            <w:fldChar w:fldCharType="separate"/>
          </w:r>
          <w:r>
            <w:t>8</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_Toc3539 </w:instrText>
          </w:r>
          <w:r>
            <w:rPr>
              <w:highlight w:val="none"/>
            </w:rPr>
            <w:fldChar w:fldCharType="separate"/>
          </w:r>
          <w:r>
            <w:rPr>
              <w:rFonts w:hint="eastAsia" w:ascii="宋体" w:hAnsi="宋体"/>
              <w:snapToGrid w:val="0"/>
              <w:szCs w:val="28"/>
              <w:lang w:val="en-US" w:eastAsia="zh-CN"/>
            </w:rPr>
            <w:t>7</w:t>
          </w:r>
          <w:r>
            <w:rPr>
              <w:rFonts w:ascii="宋体" w:hAnsi="宋体"/>
              <w:snapToGrid w:val="0"/>
              <w:szCs w:val="28"/>
              <w:highlight w:val="none"/>
            </w:rPr>
            <w:t>.  确认</w:t>
          </w:r>
          <w:r>
            <w:tab/>
          </w:r>
          <w:r>
            <w:fldChar w:fldCharType="begin"/>
          </w:r>
          <w:r>
            <w:instrText xml:space="preserve"> PAGEREF _Toc3539 \h </w:instrText>
          </w:r>
          <w:r>
            <w:fldChar w:fldCharType="separate"/>
          </w:r>
          <w:r>
            <w:t>8</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_Toc16755 </w:instrText>
          </w:r>
          <w:r>
            <w:rPr>
              <w:highlight w:val="none"/>
            </w:rPr>
            <w:fldChar w:fldCharType="separate"/>
          </w:r>
          <w:r>
            <w:rPr>
              <w:rFonts w:hint="eastAsia" w:ascii="宋体" w:hAnsi="宋体"/>
              <w:snapToGrid w:val="0"/>
              <w:szCs w:val="28"/>
              <w:lang w:val="en-US" w:eastAsia="zh-CN"/>
            </w:rPr>
            <w:t>8</w:t>
          </w:r>
          <w:r>
            <w:rPr>
              <w:rFonts w:ascii="宋体" w:hAnsi="宋体"/>
              <w:snapToGrid w:val="0"/>
              <w:szCs w:val="28"/>
              <w:highlight w:val="none"/>
            </w:rPr>
            <w:t>.  联系方式</w:t>
          </w:r>
          <w:r>
            <w:tab/>
          </w:r>
          <w:r>
            <w:fldChar w:fldCharType="begin"/>
          </w:r>
          <w:r>
            <w:instrText xml:space="preserve"> PAGEREF _Toc16755 \h </w:instrText>
          </w:r>
          <w:r>
            <w:fldChar w:fldCharType="separate"/>
          </w:r>
          <w:r>
            <w:t>8</w:t>
          </w:r>
          <w:r>
            <w:fldChar w:fldCharType="end"/>
          </w:r>
          <w:r>
            <w:rPr>
              <w:color w:val="auto"/>
              <w:highlight w:val="none"/>
            </w:rPr>
            <w:fldChar w:fldCharType="end"/>
          </w:r>
        </w:p>
        <w:p>
          <w:pPr>
            <w:pStyle w:val="31"/>
            <w:tabs>
              <w:tab w:val="right" w:leader="dot" w:pos="9469"/>
            </w:tabs>
          </w:pPr>
          <w:r>
            <w:rPr>
              <w:color w:val="auto"/>
              <w:highlight w:val="none"/>
            </w:rPr>
            <w:fldChar w:fldCharType="begin"/>
          </w:r>
          <w:r>
            <w:rPr>
              <w:highlight w:val="none"/>
            </w:rPr>
            <w:instrText xml:space="preserve"> HYPERLINK \l _Toc11481 </w:instrText>
          </w:r>
          <w:r>
            <w:rPr>
              <w:highlight w:val="none"/>
            </w:rPr>
            <w:fldChar w:fldCharType="separate"/>
          </w:r>
          <w:r>
            <w:rPr>
              <w:rFonts w:ascii="宋体" w:hAnsi="宋体"/>
              <w:snapToGrid w:val="0"/>
              <w:kern w:val="0"/>
              <w:highlight w:val="none"/>
            </w:rPr>
            <w:t>第二章  投标人须知</w:t>
          </w:r>
          <w:r>
            <w:tab/>
          </w:r>
          <w:r>
            <w:fldChar w:fldCharType="begin"/>
          </w:r>
          <w:r>
            <w:instrText xml:space="preserve"> PAGEREF _Toc11481 \h </w:instrText>
          </w:r>
          <w:r>
            <w:fldChar w:fldCharType="separate"/>
          </w:r>
          <w:r>
            <w:t>10</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_Toc13897 </w:instrText>
          </w:r>
          <w:r>
            <w:rPr>
              <w:highlight w:val="none"/>
            </w:rPr>
            <w:fldChar w:fldCharType="separate"/>
          </w:r>
          <w:r>
            <w:rPr>
              <w:rFonts w:hint="eastAsia" w:ascii="宋体" w:hAnsi="宋体"/>
              <w:highlight w:val="none"/>
            </w:rPr>
            <w:t>投标人须知前附表</w:t>
          </w:r>
          <w:r>
            <w:tab/>
          </w:r>
          <w:r>
            <w:fldChar w:fldCharType="begin"/>
          </w:r>
          <w:r>
            <w:instrText xml:space="preserve"> PAGEREF _Toc13897 \h </w:instrText>
          </w:r>
          <w:r>
            <w:fldChar w:fldCharType="separate"/>
          </w:r>
          <w:r>
            <w:t>10</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_Toc23492 </w:instrText>
          </w:r>
          <w:r>
            <w:rPr>
              <w:highlight w:val="none"/>
            </w:rPr>
            <w:fldChar w:fldCharType="separate"/>
          </w:r>
          <w:r>
            <w:rPr>
              <w:rFonts w:hint="eastAsia" w:asciiTheme="minorEastAsia" w:hAnsiTheme="minorEastAsia" w:eastAsiaTheme="minorEastAsia" w:cstheme="minorEastAsia"/>
              <w:bCs w:val="0"/>
              <w:snapToGrid w:val="0"/>
              <w:highlight w:val="none"/>
            </w:rPr>
            <w:t>1.  总则</w:t>
          </w:r>
          <w:r>
            <w:tab/>
          </w:r>
          <w:r>
            <w:fldChar w:fldCharType="begin"/>
          </w:r>
          <w:r>
            <w:instrText xml:space="preserve"> PAGEREF _Toc23492 \h </w:instrText>
          </w:r>
          <w:r>
            <w:fldChar w:fldCharType="separate"/>
          </w:r>
          <w:r>
            <w:t>37</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_Toc30687 </w:instrText>
          </w:r>
          <w:r>
            <w:rPr>
              <w:highlight w:val="none"/>
            </w:rPr>
            <w:fldChar w:fldCharType="separate"/>
          </w:r>
          <w:r>
            <w:rPr>
              <w:rFonts w:hint="eastAsia" w:asciiTheme="minorEastAsia" w:hAnsiTheme="minorEastAsia" w:eastAsiaTheme="minorEastAsia" w:cstheme="minorEastAsia"/>
              <w:bCs w:val="0"/>
              <w:snapToGrid w:val="0"/>
              <w:highlight w:val="none"/>
            </w:rPr>
            <w:t>2.  招标文件</w:t>
          </w:r>
          <w:r>
            <w:tab/>
          </w:r>
          <w:r>
            <w:fldChar w:fldCharType="begin"/>
          </w:r>
          <w:r>
            <w:instrText xml:space="preserve"> PAGEREF _Toc30687 \h </w:instrText>
          </w:r>
          <w:r>
            <w:fldChar w:fldCharType="separate"/>
          </w:r>
          <w:r>
            <w:t>39</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_Toc18456 </w:instrText>
          </w:r>
          <w:r>
            <w:rPr>
              <w:highlight w:val="none"/>
            </w:rPr>
            <w:fldChar w:fldCharType="separate"/>
          </w:r>
          <w:r>
            <w:rPr>
              <w:rFonts w:hint="eastAsia" w:asciiTheme="minorEastAsia" w:hAnsiTheme="minorEastAsia" w:eastAsiaTheme="minorEastAsia" w:cstheme="minorEastAsia"/>
              <w:bCs w:val="0"/>
              <w:snapToGrid w:val="0"/>
              <w:highlight w:val="none"/>
            </w:rPr>
            <w:t>3.  投标文件</w:t>
          </w:r>
          <w:r>
            <w:tab/>
          </w:r>
          <w:r>
            <w:fldChar w:fldCharType="begin"/>
          </w:r>
          <w:r>
            <w:instrText xml:space="preserve"> PAGEREF _Toc18456 \h </w:instrText>
          </w:r>
          <w:r>
            <w:fldChar w:fldCharType="separate"/>
          </w:r>
          <w:r>
            <w:t>40</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_Toc19265 </w:instrText>
          </w:r>
          <w:r>
            <w:rPr>
              <w:highlight w:val="none"/>
            </w:rPr>
            <w:fldChar w:fldCharType="separate"/>
          </w:r>
          <w:r>
            <w:rPr>
              <w:rFonts w:hint="eastAsia" w:asciiTheme="minorEastAsia" w:hAnsiTheme="minorEastAsia" w:eastAsiaTheme="minorEastAsia" w:cstheme="minorEastAsia"/>
              <w:bCs w:val="0"/>
              <w:snapToGrid w:val="0"/>
              <w:highlight w:val="none"/>
            </w:rPr>
            <w:t>4.  投标</w:t>
          </w:r>
          <w:r>
            <w:tab/>
          </w:r>
          <w:r>
            <w:fldChar w:fldCharType="begin"/>
          </w:r>
          <w:r>
            <w:instrText xml:space="preserve"> PAGEREF _Toc19265 \h </w:instrText>
          </w:r>
          <w:r>
            <w:fldChar w:fldCharType="separate"/>
          </w:r>
          <w:r>
            <w:t>42</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_Toc508 </w:instrText>
          </w:r>
          <w:r>
            <w:rPr>
              <w:highlight w:val="none"/>
            </w:rPr>
            <w:fldChar w:fldCharType="separate"/>
          </w:r>
          <w:r>
            <w:rPr>
              <w:rFonts w:hint="eastAsia" w:asciiTheme="minorEastAsia" w:hAnsiTheme="minorEastAsia" w:eastAsiaTheme="minorEastAsia" w:cstheme="minorEastAsia"/>
              <w:bCs w:val="0"/>
              <w:snapToGrid w:val="0"/>
              <w:highlight w:val="none"/>
            </w:rPr>
            <w:t>5.  开标</w:t>
          </w:r>
          <w:r>
            <w:tab/>
          </w:r>
          <w:r>
            <w:fldChar w:fldCharType="begin"/>
          </w:r>
          <w:r>
            <w:instrText xml:space="preserve"> PAGEREF _Toc508 \h </w:instrText>
          </w:r>
          <w:r>
            <w:fldChar w:fldCharType="separate"/>
          </w:r>
          <w:r>
            <w:t>42</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_Toc2584 </w:instrText>
          </w:r>
          <w:r>
            <w:rPr>
              <w:highlight w:val="none"/>
            </w:rPr>
            <w:fldChar w:fldCharType="separate"/>
          </w:r>
          <w:r>
            <w:rPr>
              <w:rFonts w:hint="eastAsia" w:asciiTheme="minorEastAsia" w:hAnsiTheme="minorEastAsia" w:eastAsiaTheme="minorEastAsia" w:cstheme="minorEastAsia"/>
              <w:bCs w:val="0"/>
              <w:snapToGrid w:val="0"/>
              <w:highlight w:val="none"/>
            </w:rPr>
            <w:t>6.  评标</w:t>
          </w:r>
          <w:r>
            <w:tab/>
          </w:r>
          <w:r>
            <w:fldChar w:fldCharType="begin"/>
          </w:r>
          <w:r>
            <w:instrText xml:space="preserve"> PAGEREF _Toc2584 \h </w:instrText>
          </w:r>
          <w:r>
            <w:fldChar w:fldCharType="separate"/>
          </w:r>
          <w:r>
            <w:t>43</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_Toc26125 </w:instrText>
          </w:r>
          <w:r>
            <w:rPr>
              <w:highlight w:val="none"/>
            </w:rPr>
            <w:fldChar w:fldCharType="separate"/>
          </w:r>
          <w:r>
            <w:rPr>
              <w:rFonts w:hint="eastAsia" w:asciiTheme="minorEastAsia" w:hAnsiTheme="minorEastAsia" w:eastAsiaTheme="minorEastAsia" w:cstheme="minorEastAsia"/>
              <w:bCs w:val="0"/>
              <w:snapToGrid w:val="0"/>
              <w:highlight w:val="none"/>
            </w:rPr>
            <w:t>7.  合同授予</w:t>
          </w:r>
          <w:r>
            <w:tab/>
          </w:r>
          <w:r>
            <w:fldChar w:fldCharType="begin"/>
          </w:r>
          <w:r>
            <w:instrText xml:space="preserve"> PAGEREF _Toc26125 \h </w:instrText>
          </w:r>
          <w:r>
            <w:fldChar w:fldCharType="separate"/>
          </w:r>
          <w:r>
            <w:t>43</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_Toc18879 </w:instrText>
          </w:r>
          <w:r>
            <w:rPr>
              <w:highlight w:val="none"/>
            </w:rPr>
            <w:fldChar w:fldCharType="separate"/>
          </w:r>
          <w:r>
            <w:rPr>
              <w:rFonts w:hint="eastAsia" w:asciiTheme="minorEastAsia" w:hAnsiTheme="minorEastAsia" w:eastAsiaTheme="minorEastAsia" w:cstheme="minorEastAsia"/>
              <w:bCs w:val="0"/>
              <w:snapToGrid w:val="0"/>
              <w:highlight w:val="none"/>
            </w:rPr>
            <w:t>8.  重新招标和不再招标</w:t>
          </w:r>
          <w:r>
            <w:tab/>
          </w:r>
          <w:r>
            <w:fldChar w:fldCharType="begin"/>
          </w:r>
          <w:r>
            <w:instrText xml:space="preserve"> PAGEREF _Toc18879 \h </w:instrText>
          </w:r>
          <w:r>
            <w:fldChar w:fldCharType="separate"/>
          </w:r>
          <w:r>
            <w:t>44</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_Toc31398 </w:instrText>
          </w:r>
          <w:r>
            <w:rPr>
              <w:highlight w:val="none"/>
            </w:rPr>
            <w:fldChar w:fldCharType="separate"/>
          </w:r>
          <w:r>
            <w:rPr>
              <w:rFonts w:hint="eastAsia" w:asciiTheme="minorEastAsia" w:hAnsiTheme="minorEastAsia" w:eastAsiaTheme="minorEastAsia" w:cstheme="minorEastAsia"/>
              <w:bCs w:val="0"/>
              <w:snapToGrid w:val="0"/>
              <w:highlight w:val="none"/>
            </w:rPr>
            <w:t>9.  纪律和监督</w:t>
          </w:r>
          <w:r>
            <w:tab/>
          </w:r>
          <w:r>
            <w:fldChar w:fldCharType="begin"/>
          </w:r>
          <w:r>
            <w:instrText xml:space="preserve"> PAGEREF _Toc31398 \h </w:instrText>
          </w:r>
          <w:r>
            <w:fldChar w:fldCharType="separate"/>
          </w:r>
          <w:r>
            <w:t>45</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_Toc19433 </w:instrText>
          </w:r>
          <w:r>
            <w:rPr>
              <w:highlight w:val="none"/>
            </w:rPr>
            <w:fldChar w:fldCharType="separate"/>
          </w:r>
          <w:r>
            <w:rPr>
              <w:rFonts w:hint="eastAsia" w:asciiTheme="minorEastAsia" w:hAnsiTheme="minorEastAsia" w:eastAsiaTheme="minorEastAsia" w:cstheme="minorEastAsia"/>
              <w:bCs w:val="0"/>
              <w:snapToGrid w:val="0"/>
              <w:highlight w:val="none"/>
            </w:rPr>
            <w:t>10. 需要补充的其他内容</w:t>
          </w:r>
          <w:r>
            <w:tab/>
          </w:r>
          <w:r>
            <w:fldChar w:fldCharType="begin"/>
          </w:r>
          <w:r>
            <w:instrText xml:space="preserve"> PAGEREF _Toc19433 \h </w:instrText>
          </w:r>
          <w:r>
            <w:fldChar w:fldCharType="separate"/>
          </w:r>
          <w:r>
            <w:t>46</w:t>
          </w:r>
          <w:r>
            <w:fldChar w:fldCharType="end"/>
          </w:r>
          <w:r>
            <w:rPr>
              <w:color w:val="auto"/>
              <w:highlight w:val="none"/>
            </w:rPr>
            <w:fldChar w:fldCharType="end"/>
          </w:r>
        </w:p>
        <w:p>
          <w:pPr>
            <w:pStyle w:val="31"/>
            <w:tabs>
              <w:tab w:val="right" w:leader="dot" w:pos="9469"/>
            </w:tabs>
          </w:pPr>
          <w:r>
            <w:rPr>
              <w:color w:val="auto"/>
              <w:highlight w:val="none"/>
            </w:rPr>
            <w:fldChar w:fldCharType="begin"/>
          </w:r>
          <w:r>
            <w:rPr>
              <w:highlight w:val="none"/>
            </w:rPr>
            <w:instrText xml:space="preserve"> HYPERLINK \l _Toc1128 </w:instrText>
          </w:r>
          <w:r>
            <w:rPr>
              <w:highlight w:val="none"/>
            </w:rPr>
            <w:fldChar w:fldCharType="separate"/>
          </w:r>
          <w:r>
            <w:rPr>
              <w:rFonts w:ascii="宋体" w:hAnsi="宋体"/>
              <w:highlight w:val="none"/>
            </w:rPr>
            <w:t xml:space="preserve">第三章 </w:t>
          </w:r>
          <w:r>
            <w:rPr>
              <w:rFonts w:hint="eastAsia" w:ascii="宋体" w:hAnsi="宋体"/>
              <w:highlight w:val="none"/>
            </w:rPr>
            <w:t xml:space="preserve"> </w:t>
          </w:r>
          <w:r>
            <w:rPr>
              <w:rFonts w:ascii="宋体" w:hAnsi="宋体"/>
              <w:highlight w:val="none"/>
            </w:rPr>
            <w:t>评标办法（综合评估法）</w:t>
          </w:r>
          <w:r>
            <w:tab/>
          </w:r>
          <w:r>
            <w:fldChar w:fldCharType="begin"/>
          </w:r>
          <w:r>
            <w:instrText xml:space="preserve"> PAGEREF _Toc1128 \h </w:instrText>
          </w:r>
          <w:r>
            <w:fldChar w:fldCharType="separate"/>
          </w:r>
          <w:r>
            <w:t>52</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_Toc3462 </w:instrText>
          </w:r>
          <w:r>
            <w:rPr>
              <w:highlight w:val="none"/>
            </w:rPr>
            <w:fldChar w:fldCharType="separate"/>
          </w:r>
          <w:r>
            <w:rPr>
              <w:rFonts w:hint="eastAsia" w:ascii="宋体" w:hAnsi="宋体"/>
              <w:highlight w:val="none"/>
            </w:rPr>
            <w:t>评标办法前附表</w:t>
          </w:r>
          <w:r>
            <w:tab/>
          </w:r>
          <w:r>
            <w:fldChar w:fldCharType="begin"/>
          </w:r>
          <w:r>
            <w:instrText xml:space="preserve"> PAGEREF _Toc3462 \h </w:instrText>
          </w:r>
          <w:r>
            <w:fldChar w:fldCharType="separate"/>
          </w:r>
          <w:r>
            <w:t>52</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_Toc29707 </w:instrText>
          </w:r>
          <w:r>
            <w:rPr>
              <w:highlight w:val="none"/>
            </w:rPr>
            <w:fldChar w:fldCharType="separate"/>
          </w:r>
          <w:r>
            <w:rPr>
              <w:rFonts w:ascii="宋体" w:hAnsi="宋体"/>
              <w:bCs w:val="0"/>
              <w:snapToGrid w:val="0"/>
              <w:highlight w:val="none"/>
            </w:rPr>
            <w:t>1.  评标方法</w:t>
          </w:r>
          <w:r>
            <w:tab/>
          </w:r>
          <w:r>
            <w:fldChar w:fldCharType="begin"/>
          </w:r>
          <w:r>
            <w:instrText xml:space="preserve"> PAGEREF _Toc29707 \h </w:instrText>
          </w:r>
          <w:r>
            <w:fldChar w:fldCharType="separate"/>
          </w:r>
          <w:r>
            <w:t>60</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_Toc11726 </w:instrText>
          </w:r>
          <w:r>
            <w:rPr>
              <w:highlight w:val="none"/>
            </w:rPr>
            <w:fldChar w:fldCharType="separate"/>
          </w:r>
          <w:r>
            <w:rPr>
              <w:rFonts w:ascii="宋体" w:hAnsi="宋体"/>
              <w:bCs w:val="0"/>
              <w:snapToGrid w:val="0"/>
              <w:highlight w:val="none"/>
            </w:rPr>
            <w:t>2.  评审标准</w:t>
          </w:r>
          <w:r>
            <w:tab/>
          </w:r>
          <w:r>
            <w:fldChar w:fldCharType="begin"/>
          </w:r>
          <w:r>
            <w:instrText xml:space="preserve"> PAGEREF _Toc11726 \h </w:instrText>
          </w:r>
          <w:r>
            <w:fldChar w:fldCharType="separate"/>
          </w:r>
          <w:r>
            <w:t>60</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_Toc8131 </w:instrText>
          </w:r>
          <w:r>
            <w:rPr>
              <w:highlight w:val="none"/>
            </w:rPr>
            <w:fldChar w:fldCharType="separate"/>
          </w:r>
          <w:r>
            <w:rPr>
              <w:rFonts w:ascii="宋体" w:hAnsi="宋体"/>
              <w:bCs w:val="0"/>
              <w:snapToGrid w:val="0"/>
              <w:highlight w:val="none"/>
            </w:rPr>
            <w:t>3.  评标程序</w:t>
          </w:r>
          <w:r>
            <w:tab/>
          </w:r>
          <w:r>
            <w:fldChar w:fldCharType="begin"/>
          </w:r>
          <w:r>
            <w:instrText xml:space="preserve"> PAGEREF _Toc8131 \h </w:instrText>
          </w:r>
          <w:r>
            <w:fldChar w:fldCharType="separate"/>
          </w:r>
          <w:r>
            <w:t>60</w:t>
          </w:r>
          <w:r>
            <w:fldChar w:fldCharType="end"/>
          </w:r>
          <w:r>
            <w:rPr>
              <w:color w:val="auto"/>
              <w:highlight w:val="none"/>
            </w:rPr>
            <w:fldChar w:fldCharType="end"/>
          </w:r>
        </w:p>
        <w:p>
          <w:pPr>
            <w:pStyle w:val="31"/>
            <w:tabs>
              <w:tab w:val="right" w:leader="dot" w:pos="9469"/>
            </w:tabs>
          </w:pPr>
          <w:r>
            <w:rPr>
              <w:color w:val="auto"/>
              <w:highlight w:val="none"/>
            </w:rPr>
            <w:fldChar w:fldCharType="begin"/>
          </w:r>
          <w:r>
            <w:rPr>
              <w:highlight w:val="none"/>
            </w:rPr>
            <w:instrText xml:space="preserve"> HYPERLINK \l _Toc30357 </w:instrText>
          </w:r>
          <w:r>
            <w:rPr>
              <w:highlight w:val="none"/>
            </w:rPr>
            <w:fldChar w:fldCharType="separate"/>
          </w:r>
          <w:r>
            <w:rPr>
              <w:rFonts w:ascii="宋体" w:hAnsi="宋体"/>
              <w:snapToGrid w:val="0"/>
              <w:kern w:val="0"/>
              <w:highlight w:val="none"/>
            </w:rPr>
            <w:t xml:space="preserve">第三章 </w:t>
          </w:r>
          <w:r>
            <w:rPr>
              <w:rFonts w:hint="eastAsia" w:ascii="宋体" w:hAnsi="宋体"/>
              <w:snapToGrid w:val="0"/>
              <w:kern w:val="0"/>
              <w:highlight w:val="none"/>
            </w:rPr>
            <w:t xml:space="preserve"> </w:t>
          </w:r>
          <w:r>
            <w:rPr>
              <w:rFonts w:ascii="宋体" w:hAnsi="宋体"/>
              <w:snapToGrid w:val="0"/>
              <w:kern w:val="0"/>
              <w:highlight w:val="none"/>
            </w:rPr>
            <w:t>评标办法（</w:t>
          </w:r>
          <w:r>
            <w:rPr>
              <w:rFonts w:hint="eastAsia" w:ascii="宋体" w:hAnsi="宋体"/>
              <w:snapToGrid w:val="0"/>
              <w:kern w:val="0"/>
              <w:highlight w:val="none"/>
            </w:rPr>
            <w:t>经评审的最低投标价法</w:t>
          </w:r>
          <w:r>
            <w:rPr>
              <w:rFonts w:ascii="宋体" w:hAnsi="宋体"/>
              <w:snapToGrid w:val="0"/>
              <w:kern w:val="0"/>
              <w:highlight w:val="none"/>
            </w:rPr>
            <w:t>）</w:t>
          </w:r>
          <w:r>
            <w:tab/>
          </w:r>
          <w:r>
            <w:fldChar w:fldCharType="begin"/>
          </w:r>
          <w:r>
            <w:instrText xml:space="preserve"> PAGEREF _Toc30357 \h </w:instrText>
          </w:r>
          <w:r>
            <w:fldChar w:fldCharType="separate"/>
          </w:r>
          <w:r>
            <w:t>65</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_Toc3261 </w:instrText>
          </w:r>
          <w:r>
            <w:rPr>
              <w:highlight w:val="none"/>
            </w:rPr>
            <w:fldChar w:fldCharType="separate"/>
          </w:r>
          <w:r>
            <w:rPr>
              <w:rFonts w:hint="eastAsia" w:ascii="宋体" w:hAnsi="宋体"/>
              <w:szCs w:val="32"/>
              <w:highlight w:val="none"/>
            </w:rPr>
            <w:t>评标办法前附表</w:t>
          </w:r>
          <w:r>
            <w:tab/>
          </w:r>
          <w:r>
            <w:fldChar w:fldCharType="begin"/>
          </w:r>
          <w:r>
            <w:instrText xml:space="preserve"> PAGEREF _Toc3261 \h </w:instrText>
          </w:r>
          <w:r>
            <w:fldChar w:fldCharType="separate"/>
          </w:r>
          <w:r>
            <w:t>65</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_Toc22617 </w:instrText>
          </w:r>
          <w:r>
            <w:rPr>
              <w:highlight w:val="none"/>
            </w:rPr>
            <w:fldChar w:fldCharType="separate"/>
          </w:r>
          <w:r>
            <w:rPr>
              <w:rFonts w:ascii="宋体" w:hAnsi="宋体"/>
              <w:snapToGrid w:val="0"/>
            </w:rPr>
            <w:t>1.  评标方法</w:t>
          </w:r>
          <w:r>
            <w:tab/>
          </w:r>
          <w:r>
            <w:fldChar w:fldCharType="begin"/>
          </w:r>
          <w:r>
            <w:instrText xml:space="preserve"> PAGEREF _Toc22617 \h </w:instrText>
          </w:r>
          <w:r>
            <w:fldChar w:fldCharType="separate"/>
          </w:r>
          <w:r>
            <w:t>70</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_Toc29050 </w:instrText>
          </w:r>
          <w:r>
            <w:rPr>
              <w:highlight w:val="none"/>
            </w:rPr>
            <w:fldChar w:fldCharType="separate"/>
          </w:r>
          <w:r>
            <w:rPr>
              <w:rFonts w:ascii="宋体" w:hAnsi="宋体"/>
              <w:snapToGrid w:val="0"/>
            </w:rPr>
            <w:t>2.  评审标准</w:t>
          </w:r>
          <w:r>
            <w:tab/>
          </w:r>
          <w:r>
            <w:fldChar w:fldCharType="begin"/>
          </w:r>
          <w:r>
            <w:instrText xml:space="preserve"> PAGEREF _Toc29050 \h </w:instrText>
          </w:r>
          <w:r>
            <w:fldChar w:fldCharType="separate"/>
          </w:r>
          <w:r>
            <w:t>70</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_Toc32681 </w:instrText>
          </w:r>
          <w:r>
            <w:rPr>
              <w:highlight w:val="none"/>
            </w:rPr>
            <w:fldChar w:fldCharType="separate"/>
          </w:r>
          <w:r>
            <w:rPr>
              <w:rFonts w:ascii="宋体" w:hAnsi="宋体"/>
              <w:snapToGrid w:val="0"/>
            </w:rPr>
            <w:t>3.  评标程序</w:t>
          </w:r>
          <w:r>
            <w:tab/>
          </w:r>
          <w:r>
            <w:fldChar w:fldCharType="begin"/>
          </w:r>
          <w:r>
            <w:instrText xml:space="preserve"> PAGEREF _Toc32681 \h </w:instrText>
          </w:r>
          <w:r>
            <w:fldChar w:fldCharType="separate"/>
          </w:r>
          <w:r>
            <w:t>70</w:t>
          </w:r>
          <w:r>
            <w:fldChar w:fldCharType="end"/>
          </w:r>
          <w:r>
            <w:rPr>
              <w:color w:val="auto"/>
              <w:highlight w:val="none"/>
            </w:rPr>
            <w:fldChar w:fldCharType="end"/>
          </w:r>
        </w:p>
        <w:p>
          <w:pPr>
            <w:pStyle w:val="31"/>
            <w:tabs>
              <w:tab w:val="right" w:leader="dot" w:pos="9469"/>
            </w:tabs>
          </w:pPr>
          <w:r>
            <w:rPr>
              <w:color w:val="auto"/>
              <w:highlight w:val="none"/>
            </w:rPr>
            <w:fldChar w:fldCharType="begin"/>
          </w:r>
          <w:r>
            <w:rPr>
              <w:highlight w:val="none"/>
            </w:rPr>
            <w:instrText xml:space="preserve"> HYPERLINK \l _Toc8213 </w:instrText>
          </w:r>
          <w:r>
            <w:rPr>
              <w:highlight w:val="none"/>
            </w:rPr>
            <w:fldChar w:fldCharType="separate"/>
          </w:r>
          <w:r>
            <w:rPr>
              <w:rFonts w:hint="eastAsia" w:ascii="宋体" w:hAnsi="宋体"/>
              <w:kern w:val="0"/>
              <w:highlight w:val="none"/>
            </w:rPr>
            <w:t>第四章  合同条款及格式</w:t>
          </w:r>
          <w:r>
            <w:tab/>
          </w:r>
          <w:r>
            <w:fldChar w:fldCharType="begin"/>
          </w:r>
          <w:r>
            <w:instrText xml:space="preserve"> PAGEREF _Toc8213 \h </w:instrText>
          </w:r>
          <w:r>
            <w:fldChar w:fldCharType="separate"/>
          </w:r>
          <w:r>
            <w:t>76</w:t>
          </w:r>
          <w:r>
            <w:fldChar w:fldCharType="end"/>
          </w:r>
          <w:r>
            <w:rPr>
              <w:color w:val="auto"/>
              <w:highlight w:val="none"/>
            </w:rPr>
            <w:fldChar w:fldCharType="end"/>
          </w:r>
        </w:p>
        <w:p>
          <w:pPr>
            <w:pStyle w:val="31"/>
            <w:tabs>
              <w:tab w:val="right" w:leader="dot" w:pos="9469"/>
            </w:tabs>
          </w:pPr>
          <w:r>
            <w:rPr>
              <w:color w:val="auto"/>
              <w:highlight w:val="none"/>
            </w:rPr>
            <w:fldChar w:fldCharType="begin"/>
          </w:r>
          <w:r>
            <w:rPr>
              <w:highlight w:val="none"/>
            </w:rPr>
            <w:instrText xml:space="preserve"> HYPERLINK \l _Toc5844 </w:instrText>
          </w:r>
          <w:r>
            <w:rPr>
              <w:highlight w:val="none"/>
            </w:rPr>
            <w:fldChar w:fldCharType="separate"/>
          </w:r>
          <w:r>
            <w:rPr>
              <w:rFonts w:hint="eastAsia" w:ascii="宋体" w:hAnsi="宋体"/>
              <w:highlight w:val="none"/>
            </w:rPr>
            <w:t>第五章  工程量清单</w:t>
          </w:r>
          <w:r>
            <w:tab/>
          </w:r>
          <w:r>
            <w:fldChar w:fldCharType="begin"/>
          </w:r>
          <w:r>
            <w:instrText xml:space="preserve"> PAGEREF _Toc5844 \h </w:instrText>
          </w:r>
          <w:r>
            <w:fldChar w:fldCharType="separate"/>
          </w:r>
          <w:r>
            <w:t>136</w:t>
          </w:r>
          <w:r>
            <w:fldChar w:fldCharType="end"/>
          </w:r>
          <w:r>
            <w:rPr>
              <w:color w:val="auto"/>
              <w:highlight w:val="none"/>
            </w:rPr>
            <w:fldChar w:fldCharType="end"/>
          </w:r>
        </w:p>
        <w:p>
          <w:pPr>
            <w:pStyle w:val="31"/>
            <w:tabs>
              <w:tab w:val="right" w:leader="dot" w:pos="9469"/>
            </w:tabs>
          </w:pPr>
          <w:r>
            <w:rPr>
              <w:color w:val="auto"/>
              <w:highlight w:val="none"/>
            </w:rPr>
            <w:fldChar w:fldCharType="begin"/>
          </w:r>
          <w:r>
            <w:rPr>
              <w:highlight w:val="none"/>
            </w:rPr>
            <w:instrText xml:space="preserve"> HYPERLINK \l _Toc7683 </w:instrText>
          </w:r>
          <w:r>
            <w:rPr>
              <w:highlight w:val="none"/>
            </w:rPr>
            <w:fldChar w:fldCharType="separate"/>
          </w:r>
          <w:r>
            <w:rPr>
              <w:rFonts w:ascii="宋体" w:hAnsi="宋体"/>
              <w:szCs w:val="52"/>
              <w:highlight w:val="none"/>
            </w:rPr>
            <w:t>第 二 卷</w:t>
          </w:r>
          <w:r>
            <w:tab/>
          </w:r>
          <w:r>
            <w:fldChar w:fldCharType="begin"/>
          </w:r>
          <w:r>
            <w:instrText xml:space="preserve"> PAGEREF _Toc7683 \h </w:instrText>
          </w:r>
          <w:r>
            <w:fldChar w:fldCharType="separate"/>
          </w:r>
          <w:r>
            <w:t>137</w:t>
          </w:r>
          <w:r>
            <w:fldChar w:fldCharType="end"/>
          </w:r>
          <w:r>
            <w:rPr>
              <w:color w:val="auto"/>
              <w:highlight w:val="none"/>
            </w:rPr>
            <w:fldChar w:fldCharType="end"/>
          </w:r>
        </w:p>
        <w:p>
          <w:pPr>
            <w:pStyle w:val="31"/>
            <w:tabs>
              <w:tab w:val="right" w:leader="dot" w:pos="9469"/>
            </w:tabs>
          </w:pPr>
          <w:r>
            <w:rPr>
              <w:color w:val="auto"/>
              <w:highlight w:val="none"/>
            </w:rPr>
            <w:fldChar w:fldCharType="begin"/>
          </w:r>
          <w:r>
            <w:rPr>
              <w:highlight w:val="none"/>
            </w:rPr>
            <w:instrText xml:space="preserve"> HYPERLINK \l _Toc14048 </w:instrText>
          </w:r>
          <w:r>
            <w:rPr>
              <w:highlight w:val="none"/>
            </w:rPr>
            <w:fldChar w:fldCharType="separate"/>
          </w:r>
          <w:r>
            <w:rPr>
              <w:rFonts w:hint="eastAsia" w:ascii="宋体" w:hAnsi="宋体"/>
              <w:highlight w:val="none"/>
            </w:rPr>
            <w:t>第六章  图纸</w:t>
          </w:r>
          <w:r>
            <w:tab/>
          </w:r>
          <w:r>
            <w:fldChar w:fldCharType="begin"/>
          </w:r>
          <w:r>
            <w:instrText xml:space="preserve"> PAGEREF _Toc14048 \h </w:instrText>
          </w:r>
          <w:r>
            <w:fldChar w:fldCharType="separate"/>
          </w:r>
          <w:r>
            <w:t>138</w:t>
          </w:r>
          <w:r>
            <w:fldChar w:fldCharType="end"/>
          </w:r>
          <w:r>
            <w:rPr>
              <w:color w:val="auto"/>
              <w:highlight w:val="none"/>
            </w:rPr>
            <w:fldChar w:fldCharType="end"/>
          </w:r>
        </w:p>
        <w:p>
          <w:pPr>
            <w:pStyle w:val="31"/>
            <w:tabs>
              <w:tab w:val="right" w:leader="dot" w:pos="9469"/>
            </w:tabs>
          </w:pPr>
          <w:r>
            <w:rPr>
              <w:color w:val="auto"/>
              <w:highlight w:val="none"/>
            </w:rPr>
            <w:fldChar w:fldCharType="begin"/>
          </w:r>
          <w:r>
            <w:rPr>
              <w:highlight w:val="none"/>
            </w:rPr>
            <w:instrText xml:space="preserve"> HYPERLINK \l _Toc21800 </w:instrText>
          </w:r>
          <w:r>
            <w:rPr>
              <w:highlight w:val="none"/>
            </w:rPr>
            <w:fldChar w:fldCharType="separate"/>
          </w:r>
          <w:r>
            <w:rPr>
              <w:rFonts w:hint="eastAsia" w:ascii="宋体" w:hAnsi="宋体"/>
              <w:szCs w:val="52"/>
              <w:highlight w:val="none"/>
            </w:rPr>
            <w:t>第 三 卷</w:t>
          </w:r>
          <w:r>
            <w:tab/>
          </w:r>
          <w:r>
            <w:fldChar w:fldCharType="begin"/>
          </w:r>
          <w:r>
            <w:instrText xml:space="preserve"> PAGEREF _Toc21800 \h </w:instrText>
          </w:r>
          <w:r>
            <w:fldChar w:fldCharType="separate"/>
          </w:r>
          <w:r>
            <w:t>139</w:t>
          </w:r>
          <w:r>
            <w:fldChar w:fldCharType="end"/>
          </w:r>
          <w:r>
            <w:rPr>
              <w:color w:val="auto"/>
              <w:highlight w:val="none"/>
            </w:rPr>
            <w:fldChar w:fldCharType="end"/>
          </w:r>
        </w:p>
        <w:p>
          <w:pPr>
            <w:pStyle w:val="31"/>
            <w:tabs>
              <w:tab w:val="right" w:leader="dot" w:pos="9469"/>
            </w:tabs>
          </w:pPr>
          <w:r>
            <w:rPr>
              <w:color w:val="auto"/>
              <w:highlight w:val="none"/>
            </w:rPr>
            <w:fldChar w:fldCharType="begin"/>
          </w:r>
          <w:r>
            <w:rPr>
              <w:highlight w:val="none"/>
            </w:rPr>
            <w:instrText xml:space="preserve"> HYPERLINK \l _Toc29667 </w:instrText>
          </w:r>
          <w:r>
            <w:rPr>
              <w:highlight w:val="none"/>
            </w:rPr>
            <w:fldChar w:fldCharType="separate"/>
          </w:r>
          <w:r>
            <w:rPr>
              <w:rFonts w:ascii="宋体" w:hAnsi="宋体"/>
              <w:highlight w:val="none"/>
            </w:rPr>
            <w:t>第七章</w:t>
          </w:r>
          <w:r>
            <w:rPr>
              <w:rFonts w:hint="eastAsia" w:ascii="宋体" w:hAnsi="宋体"/>
              <w:highlight w:val="none"/>
            </w:rPr>
            <w:t xml:space="preserve">  </w:t>
          </w:r>
          <w:r>
            <w:rPr>
              <w:rFonts w:ascii="宋体" w:hAnsi="宋体"/>
              <w:highlight w:val="none"/>
            </w:rPr>
            <w:t>技术标准和要求</w:t>
          </w:r>
          <w:r>
            <w:tab/>
          </w:r>
          <w:r>
            <w:fldChar w:fldCharType="begin"/>
          </w:r>
          <w:r>
            <w:instrText xml:space="preserve"> PAGEREF _Toc29667 \h </w:instrText>
          </w:r>
          <w:r>
            <w:fldChar w:fldCharType="separate"/>
          </w:r>
          <w:r>
            <w:t>140</w:t>
          </w:r>
          <w:r>
            <w:fldChar w:fldCharType="end"/>
          </w:r>
          <w:r>
            <w:rPr>
              <w:color w:val="auto"/>
              <w:highlight w:val="none"/>
            </w:rPr>
            <w:fldChar w:fldCharType="end"/>
          </w:r>
        </w:p>
        <w:p>
          <w:pPr>
            <w:pStyle w:val="31"/>
            <w:tabs>
              <w:tab w:val="right" w:leader="dot" w:pos="9469"/>
            </w:tabs>
          </w:pPr>
          <w:r>
            <w:rPr>
              <w:color w:val="auto"/>
              <w:highlight w:val="none"/>
            </w:rPr>
            <w:fldChar w:fldCharType="begin"/>
          </w:r>
          <w:r>
            <w:rPr>
              <w:highlight w:val="none"/>
            </w:rPr>
            <w:instrText xml:space="preserve"> HYPERLINK \l _Toc20075 </w:instrText>
          </w:r>
          <w:r>
            <w:rPr>
              <w:highlight w:val="none"/>
            </w:rPr>
            <w:fldChar w:fldCharType="separate"/>
          </w:r>
          <w:r>
            <w:rPr>
              <w:rFonts w:ascii="宋体" w:hAnsi="宋体"/>
              <w:szCs w:val="52"/>
              <w:highlight w:val="none"/>
            </w:rPr>
            <w:t>第 四 卷</w:t>
          </w:r>
          <w:r>
            <w:tab/>
          </w:r>
          <w:r>
            <w:fldChar w:fldCharType="begin"/>
          </w:r>
          <w:r>
            <w:instrText xml:space="preserve"> PAGEREF _Toc20075 \h </w:instrText>
          </w:r>
          <w:r>
            <w:fldChar w:fldCharType="separate"/>
          </w:r>
          <w:r>
            <w:t>141</w:t>
          </w:r>
          <w:r>
            <w:fldChar w:fldCharType="end"/>
          </w:r>
          <w:r>
            <w:rPr>
              <w:color w:val="auto"/>
              <w:highlight w:val="none"/>
            </w:rPr>
            <w:fldChar w:fldCharType="end"/>
          </w:r>
        </w:p>
        <w:p>
          <w:pPr>
            <w:pStyle w:val="31"/>
            <w:tabs>
              <w:tab w:val="right" w:leader="dot" w:pos="9469"/>
            </w:tabs>
          </w:pPr>
          <w:r>
            <w:rPr>
              <w:color w:val="auto"/>
              <w:highlight w:val="none"/>
            </w:rPr>
            <w:fldChar w:fldCharType="begin"/>
          </w:r>
          <w:r>
            <w:rPr>
              <w:highlight w:val="none"/>
            </w:rPr>
            <w:instrText xml:space="preserve"> HYPERLINK \l _Toc28758 </w:instrText>
          </w:r>
          <w:r>
            <w:rPr>
              <w:highlight w:val="none"/>
            </w:rPr>
            <w:fldChar w:fldCharType="separate"/>
          </w:r>
          <w:r>
            <w:rPr>
              <w:rFonts w:hint="eastAsia" w:ascii="宋体" w:hAnsi="宋体"/>
              <w:highlight w:val="none"/>
            </w:rPr>
            <w:t>第八章  投标文件格式</w:t>
          </w:r>
          <w:r>
            <w:tab/>
          </w:r>
          <w:r>
            <w:fldChar w:fldCharType="begin"/>
          </w:r>
          <w:r>
            <w:instrText xml:space="preserve"> PAGEREF _Toc28758 \h </w:instrText>
          </w:r>
          <w:r>
            <w:fldChar w:fldCharType="separate"/>
          </w:r>
          <w:r>
            <w:t>142</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_Toc22442 </w:instrText>
          </w:r>
          <w:r>
            <w:rPr>
              <w:highlight w:val="none"/>
            </w:rPr>
            <w:fldChar w:fldCharType="separate"/>
          </w:r>
          <w:r>
            <w:rPr>
              <w:rFonts w:hint="eastAsia" w:ascii="宋体" w:hAnsi="宋体"/>
              <w:bCs w:val="0"/>
              <w:szCs w:val="44"/>
              <w:highlight w:val="none"/>
            </w:rPr>
            <w:t>一、投标函部分</w:t>
          </w:r>
          <w:r>
            <w:tab/>
          </w:r>
          <w:r>
            <w:fldChar w:fldCharType="begin"/>
          </w:r>
          <w:r>
            <w:instrText xml:space="preserve"> PAGEREF _Toc22442 \h </w:instrText>
          </w:r>
          <w:r>
            <w:fldChar w:fldCharType="separate"/>
          </w:r>
          <w:r>
            <w:t>144</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_Toc20956 </w:instrText>
          </w:r>
          <w:r>
            <w:rPr>
              <w:highlight w:val="none"/>
            </w:rPr>
            <w:fldChar w:fldCharType="separate"/>
          </w:r>
          <w:r>
            <w:rPr>
              <w:rFonts w:hint="eastAsia" w:ascii="宋体" w:hAnsi="宋体"/>
              <w:bCs w:val="0"/>
              <w:szCs w:val="44"/>
              <w:highlight w:val="none"/>
            </w:rPr>
            <w:t>二、</w:t>
          </w:r>
          <w:r>
            <w:rPr>
              <w:rFonts w:hint="eastAsia" w:ascii="宋体" w:hAnsi="宋体"/>
              <w:bCs w:val="0"/>
              <w:szCs w:val="44"/>
              <w:highlight w:val="none"/>
              <w:lang w:val="en-US" w:eastAsia="zh-CN"/>
            </w:rPr>
            <w:t>报价</w:t>
          </w:r>
          <w:r>
            <w:rPr>
              <w:rFonts w:hint="eastAsia" w:ascii="宋体" w:hAnsi="宋体"/>
              <w:bCs w:val="0"/>
              <w:szCs w:val="44"/>
              <w:highlight w:val="none"/>
            </w:rPr>
            <w:t>部分</w:t>
          </w:r>
          <w:r>
            <w:tab/>
          </w:r>
          <w:r>
            <w:fldChar w:fldCharType="begin"/>
          </w:r>
          <w:r>
            <w:instrText xml:space="preserve"> PAGEREF _Toc20956 \h </w:instrText>
          </w:r>
          <w:r>
            <w:fldChar w:fldCharType="separate"/>
          </w:r>
          <w:r>
            <w:t>152</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_Toc28981 </w:instrText>
          </w:r>
          <w:r>
            <w:rPr>
              <w:highlight w:val="none"/>
            </w:rPr>
            <w:fldChar w:fldCharType="separate"/>
          </w:r>
          <w:r>
            <w:rPr>
              <w:rFonts w:hint="eastAsia" w:ascii="宋体" w:hAnsi="宋体"/>
              <w:bCs w:val="0"/>
              <w:szCs w:val="44"/>
              <w:highlight w:val="none"/>
            </w:rPr>
            <w:t>三、商务部分</w:t>
          </w:r>
          <w:r>
            <w:tab/>
          </w:r>
          <w:r>
            <w:fldChar w:fldCharType="begin"/>
          </w:r>
          <w:r>
            <w:instrText xml:space="preserve"> PAGEREF _Toc28981 \h </w:instrText>
          </w:r>
          <w:r>
            <w:fldChar w:fldCharType="separate"/>
          </w:r>
          <w:r>
            <w:t>156</w:t>
          </w:r>
          <w:r>
            <w:fldChar w:fldCharType="end"/>
          </w:r>
          <w:r>
            <w:rPr>
              <w:color w:val="auto"/>
              <w:highlight w:val="none"/>
            </w:rPr>
            <w:fldChar w:fldCharType="end"/>
          </w:r>
        </w:p>
        <w:p>
          <w:pPr>
            <w:pStyle w:val="37"/>
            <w:tabs>
              <w:tab w:val="right" w:leader="dot" w:pos="9469"/>
            </w:tabs>
          </w:pPr>
          <w:r>
            <w:rPr>
              <w:color w:val="auto"/>
              <w:highlight w:val="none"/>
            </w:rPr>
            <w:fldChar w:fldCharType="begin"/>
          </w:r>
          <w:r>
            <w:rPr>
              <w:highlight w:val="none"/>
            </w:rPr>
            <w:instrText xml:space="preserve"> HYPERLINK \l _Toc17421 </w:instrText>
          </w:r>
          <w:r>
            <w:rPr>
              <w:highlight w:val="none"/>
            </w:rPr>
            <w:fldChar w:fldCharType="separate"/>
          </w:r>
          <w:r>
            <w:rPr>
              <w:rFonts w:hint="eastAsia" w:ascii="宋体" w:hAnsi="宋体"/>
              <w:bCs w:val="0"/>
              <w:szCs w:val="44"/>
              <w:highlight w:val="none"/>
              <w:lang w:val="en-US" w:eastAsia="zh-CN"/>
            </w:rPr>
            <w:t>四</w:t>
          </w:r>
          <w:r>
            <w:rPr>
              <w:rFonts w:hint="eastAsia" w:ascii="宋体" w:hAnsi="宋体"/>
              <w:bCs w:val="0"/>
              <w:szCs w:val="44"/>
              <w:highlight w:val="none"/>
            </w:rPr>
            <w:t>、技术部分</w:t>
          </w:r>
          <w:r>
            <w:tab/>
          </w:r>
          <w:r>
            <w:fldChar w:fldCharType="begin"/>
          </w:r>
          <w:r>
            <w:instrText xml:space="preserve"> PAGEREF _Toc17421 \h </w:instrText>
          </w:r>
          <w:r>
            <w:fldChar w:fldCharType="separate"/>
          </w:r>
          <w:r>
            <w:t>160</w:t>
          </w:r>
          <w:r>
            <w:fldChar w:fldCharType="end"/>
          </w:r>
          <w:r>
            <w:rPr>
              <w:color w:val="auto"/>
              <w:highlight w:val="none"/>
            </w:rPr>
            <w:fldChar w:fldCharType="end"/>
          </w:r>
        </w:p>
        <w:p>
          <w:pPr>
            <w:pStyle w:val="37"/>
            <w:tabs>
              <w:tab w:val="right" w:leader="dot" w:pos="9469"/>
            </w:tabs>
            <w:rPr>
              <w:color w:val="auto"/>
              <w:highlight w:val="none"/>
            </w:rPr>
          </w:pPr>
          <w:r>
            <w:rPr>
              <w:color w:val="auto"/>
              <w:highlight w:val="none"/>
            </w:rPr>
            <w:fldChar w:fldCharType="begin"/>
          </w:r>
          <w:r>
            <w:rPr>
              <w:highlight w:val="none"/>
            </w:rPr>
            <w:instrText xml:space="preserve"> HYPERLINK \l _Toc821 </w:instrText>
          </w:r>
          <w:r>
            <w:rPr>
              <w:highlight w:val="none"/>
            </w:rPr>
            <w:fldChar w:fldCharType="separate"/>
          </w:r>
          <w:r>
            <w:rPr>
              <w:rFonts w:hint="eastAsia" w:ascii="宋体" w:hAnsi="宋体"/>
              <w:bCs w:val="0"/>
              <w:szCs w:val="44"/>
              <w:highlight w:val="none"/>
              <w:lang w:val="en-US" w:eastAsia="zh-CN"/>
            </w:rPr>
            <w:t>五</w:t>
          </w:r>
          <w:r>
            <w:rPr>
              <w:rFonts w:hint="eastAsia" w:ascii="宋体" w:hAnsi="宋体"/>
              <w:bCs w:val="0"/>
              <w:szCs w:val="44"/>
              <w:highlight w:val="none"/>
            </w:rPr>
            <w:t>、资格审查部分</w:t>
          </w:r>
          <w:r>
            <w:tab/>
          </w:r>
          <w:r>
            <w:fldChar w:fldCharType="begin"/>
          </w:r>
          <w:r>
            <w:instrText xml:space="preserve"> PAGEREF _Toc821 \h </w:instrText>
          </w:r>
          <w:r>
            <w:fldChar w:fldCharType="separate"/>
          </w:r>
          <w:r>
            <w:t>162</w:t>
          </w:r>
          <w:r>
            <w:fldChar w:fldCharType="end"/>
          </w:r>
          <w:r>
            <w:rPr>
              <w:color w:val="auto"/>
              <w:highlight w:val="none"/>
            </w:rPr>
            <w:fldChar w:fldCharType="end"/>
          </w:r>
          <w:r>
            <w:rPr>
              <w:color w:val="auto"/>
              <w:highlight w:val="none"/>
            </w:rPr>
            <w:fldChar w:fldCharType="end"/>
          </w:r>
        </w:p>
      </w:sdtContent>
    </w:sdt>
    <w:bookmarkEnd w:id="0"/>
    <w:p>
      <w:pPr>
        <w:spacing w:line="20" w:lineRule="exact"/>
        <w:rPr>
          <w:rFonts w:ascii="宋体" w:hAnsi="宋体"/>
          <w:color w:val="auto"/>
          <w:highlight w:val="none"/>
        </w:rPr>
      </w:pPr>
      <w:bookmarkStart w:id="6" w:name="_Toc430530414"/>
    </w:p>
    <w:p>
      <w:pPr>
        <w:spacing w:line="20" w:lineRule="exact"/>
        <w:jc w:val="left"/>
        <w:rPr>
          <w:rFonts w:ascii="宋体" w:hAnsi="宋体"/>
          <w:color w:val="auto"/>
          <w:highlight w:val="none"/>
        </w:rPr>
        <w:sectPr>
          <w:footerReference r:id="rId8" w:type="default"/>
          <w:pgSz w:w="11907" w:h="16840"/>
          <w:pgMar w:top="1304" w:right="1134" w:bottom="1304" w:left="1304" w:header="851" w:footer="992" w:gutter="0"/>
          <w:pgNumType w:fmt="numberInDash" w:start="1"/>
          <w:cols w:space="720" w:num="1"/>
          <w:docGrid w:linePitch="312" w:charSpace="0"/>
        </w:sectPr>
      </w:pPr>
    </w:p>
    <w:bookmarkEnd w:id="6"/>
    <w:p>
      <w:pPr>
        <w:spacing w:line="360" w:lineRule="auto"/>
        <w:rPr>
          <w:rFonts w:ascii="宋体" w:hAnsi="宋体"/>
          <w:color w:val="auto"/>
          <w:highlight w:val="none"/>
        </w:rPr>
      </w:pPr>
    </w:p>
    <w:p>
      <w:pPr>
        <w:pStyle w:val="3"/>
        <w:spacing w:before="0" w:after="0" w:line="480" w:lineRule="auto"/>
        <w:jc w:val="center"/>
        <w:rPr>
          <w:rFonts w:ascii="宋体" w:hAnsi="宋体"/>
          <w:color w:val="auto"/>
          <w:sz w:val="52"/>
          <w:szCs w:val="52"/>
          <w:highlight w:val="none"/>
        </w:rPr>
      </w:pPr>
      <w:bookmarkStart w:id="7" w:name="_Toc509218690"/>
      <w:bookmarkStart w:id="8" w:name="_Toc9100"/>
      <w:bookmarkStart w:id="9" w:name="_Toc9775"/>
      <w:bookmarkStart w:id="10" w:name="_Toc5411"/>
      <w:bookmarkStart w:id="11" w:name="_Toc24603"/>
      <w:r>
        <w:rPr>
          <w:rFonts w:hint="eastAsia" w:ascii="宋体" w:hAnsi="宋体"/>
          <w:color w:val="auto"/>
          <w:sz w:val="52"/>
          <w:szCs w:val="52"/>
          <w:highlight w:val="none"/>
        </w:rPr>
        <w:t>第 一 卷</w:t>
      </w:r>
      <w:bookmarkEnd w:id="7"/>
      <w:bookmarkEnd w:id="8"/>
      <w:bookmarkEnd w:id="9"/>
      <w:bookmarkEnd w:id="10"/>
      <w:bookmarkEnd w:id="11"/>
    </w:p>
    <w:p>
      <w:pPr>
        <w:spacing w:line="200" w:lineRule="exact"/>
        <w:rPr>
          <w:rFonts w:ascii="宋体" w:hAnsi="宋体"/>
          <w:color w:val="auto"/>
          <w:highlight w:val="none"/>
        </w:rPr>
      </w:pPr>
      <w:r>
        <w:rPr>
          <w:rFonts w:ascii="宋体" w:hAnsi="宋体"/>
          <w:color w:val="auto"/>
          <w:highlight w:val="none"/>
        </w:rPr>
        <w:br w:type="page"/>
      </w:r>
    </w:p>
    <w:p>
      <w:pPr>
        <w:pStyle w:val="3"/>
        <w:spacing w:line="360" w:lineRule="auto"/>
        <w:jc w:val="center"/>
        <w:rPr>
          <w:rFonts w:ascii="宋体" w:hAnsi="宋体"/>
          <w:snapToGrid w:val="0"/>
          <w:color w:val="auto"/>
          <w:kern w:val="0"/>
          <w:highlight w:val="none"/>
        </w:rPr>
      </w:pPr>
      <w:bookmarkStart w:id="12" w:name="_Toc8097"/>
      <w:bookmarkStart w:id="13" w:name="_Toc430530415"/>
      <w:bookmarkStart w:id="14" w:name="_Toc287607727"/>
      <w:bookmarkStart w:id="15" w:name="_Toc287620666"/>
      <w:bookmarkStart w:id="16" w:name="_Toc509218691"/>
      <w:bookmarkStart w:id="17" w:name="_Toc277082535"/>
      <w:bookmarkStart w:id="18" w:name="_Toc224103298"/>
      <w:bookmarkStart w:id="19" w:name="_Toc1356"/>
      <w:bookmarkStart w:id="20" w:name="_Toc31788"/>
      <w:bookmarkStart w:id="21" w:name="_Toc29271"/>
      <w:r>
        <w:rPr>
          <w:rFonts w:ascii="宋体" w:hAnsi="宋体"/>
          <w:snapToGrid w:val="0"/>
          <w:color w:val="auto"/>
          <w:kern w:val="0"/>
          <w:highlight w:val="none"/>
        </w:rPr>
        <w:t>第一章  招标公告（</w:t>
      </w:r>
      <w:bookmarkEnd w:id="12"/>
      <w:bookmarkEnd w:id="13"/>
      <w:bookmarkEnd w:id="14"/>
      <w:bookmarkEnd w:id="15"/>
      <w:bookmarkEnd w:id="16"/>
      <w:bookmarkEnd w:id="17"/>
      <w:bookmarkEnd w:id="18"/>
      <w:r>
        <w:rPr>
          <w:rFonts w:hint="eastAsia" w:ascii="宋体" w:hAnsi="宋体"/>
          <w:snapToGrid w:val="0"/>
          <w:color w:val="auto"/>
          <w:kern w:val="0"/>
          <w:highlight w:val="none"/>
        </w:rPr>
        <w:t>适用于公开招标）</w:t>
      </w:r>
      <w:bookmarkEnd w:id="19"/>
      <w:bookmarkEnd w:id="20"/>
      <w:bookmarkEnd w:id="21"/>
    </w:p>
    <w:p>
      <w:pPr>
        <w:pageBreakBefore w:val="0"/>
        <w:widowControl w:val="0"/>
        <w:kinsoku/>
        <w:wordWrap/>
        <w:overflowPunct/>
        <w:topLinePunct w:val="0"/>
        <w:autoSpaceDE w:val="0"/>
        <w:autoSpaceDN w:val="0"/>
        <w:bidi w:val="0"/>
        <w:adjustRightInd w:val="0"/>
        <w:snapToGrid w:val="0"/>
        <w:spacing w:line="360" w:lineRule="auto"/>
        <w:jc w:val="center"/>
        <w:textAlignment w:val="auto"/>
        <w:rPr>
          <w:rFonts w:ascii="宋体" w:hAnsi="宋体"/>
          <w:snapToGrid w:val="0"/>
          <w:color w:val="auto"/>
          <w:kern w:val="0"/>
          <w:sz w:val="28"/>
          <w:szCs w:val="28"/>
          <w:highlight w:val="none"/>
        </w:rPr>
      </w:pPr>
      <w:r>
        <w:rPr>
          <w:rFonts w:ascii="宋体" w:hAnsi="宋体"/>
          <w:snapToGrid w:val="0"/>
          <w:color w:val="auto"/>
          <w:kern w:val="0"/>
          <w:sz w:val="28"/>
          <w:szCs w:val="28"/>
          <w:highlight w:val="none"/>
          <w:u w:val="single"/>
        </w:rPr>
        <w:t xml:space="preserve">                 （项目名称）</w:t>
      </w:r>
      <w:r>
        <w:rPr>
          <w:rFonts w:ascii="宋体" w:hAnsi="宋体"/>
          <w:snapToGrid w:val="0"/>
          <w:color w:val="auto"/>
          <w:w w:val="99"/>
          <w:kern w:val="0"/>
          <w:sz w:val="28"/>
          <w:szCs w:val="28"/>
          <w:highlight w:val="none"/>
        </w:rPr>
        <w:t>招标公告</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22" w:name="_Toc277082536"/>
      <w:bookmarkStart w:id="23" w:name="_Toc2207"/>
      <w:bookmarkStart w:id="24" w:name="_Toc287620667"/>
      <w:bookmarkStart w:id="25" w:name="_Toc287607728"/>
      <w:bookmarkStart w:id="26" w:name="_Toc224103299"/>
      <w:bookmarkStart w:id="27" w:name="_Toc430530416"/>
      <w:bookmarkStart w:id="28" w:name="_Toc26259"/>
      <w:bookmarkStart w:id="29" w:name="_Toc29926"/>
      <w:bookmarkStart w:id="30" w:name="_Toc509218692"/>
      <w:bookmarkStart w:id="31" w:name="_Toc200359238"/>
      <w:bookmarkStart w:id="32" w:name="_Toc200359427"/>
      <w:bookmarkStart w:id="33" w:name="_Toc26615"/>
      <w:r>
        <w:rPr>
          <w:rFonts w:ascii="宋体" w:hAnsi="宋体"/>
          <w:snapToGrid w:val="0"/>
          <w:color w:val="auto"/>
          <w:sz w:val="28"/>
          <w:szCs w:val="28"/>
          <w:highlight w:val="none"/>
        </w:rPr>
        <w:t xml:space="preserve">1. </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招标条件</w:t>
      </w:r>
      <w:bookmarkEnd w:id="22"/>
      <w:bookmarkEnd w:id="23"/>
      <w:bookmarkEnd w:id="24"/>
      <w:bookmarkEnd w:id="25"/>
      <w:bookmarkEnd w:id="26"/>
      <w:bookmarkEnd w:id="27"/>
      <w:bookmarkEnd w:id="28"/>
      <w:bookmarkEnd w:id="29"/>
      <w:bookmarkEnd w:id="30"/>
      <w:bookmarkEnd w:id="31"/>
      <w:bookmarkEnd w:id="32"/>
      <w:bookmarkEnd w:id="33"/>
    </w:p>
    <w:p>
      <w:pPr>
        <w:pageBreakBefore w:val="0"/>
        <w:widowControl w:val="0"/>
        <w:tabs>
          <w:tab w:val="left" w:pos="3315"/>
          <w:tab w:val="left" w:pos="3390"/>
          <w:tab w:val="left" w:pos="6120"/>
          <w:tab w:val="left" w:pos="8850"/>
        </w:tabs>
        <w:kinsoku/>
        <w:wordWrap/>
        <w:overflowPunct/>
        <w:topLinePunct w:val="0"/>
        <w:autoSpaceDE w:val="0"/>
        <w:autoSpaceDN w:val="0"/>
        <w:bidi w:val="0"/>
        <w:adjustRightInd w:val="0"/>
        <w:snapToGrid w:val="0"/>
        <w:spacing w:line="360" w:lineRule="auto"/>
        <w:ind w:firstLine="420"/>
        <w:jc w:val="distribute"/>
        <w:textAlignment w:val="auto"/>
        <w:rPr>
          <w:rFonts w:ascii="宋体" w:hAnsi="宋体"/>
          <w:snapToGrid w:val="0"/>
          <w:color w:val="auto"/>
          <w:kern w:val="0"/>
          <w:sz w:val="21"/>
          <w:szCs w:val="21"/>
          <w:highlight w:val="none"/>
        </w:rPr>
      </w:pPr>
      <w:r>
        <w:rPr>
          <w:rFonts w:ascii="宋体" w:hAnsi="宋体"/>
          <w:snapToGrid w:val="0"/>
          <w:color w:val="auto"/>
          <w:kern w:val="0"/>
          <w:sz w:val="21"/>
          <w:szCs w:val="21"/>
          <w:highlight w:val="none"/>
        </w:rPr>
        <w:t>本招标项目</w:t>
      </w:r>
      <w:r>
        <w:rPr>
          <w:rFonts w:hint="eastAsia"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u w:val="single"/>
        </w:rPr>
        <w:t>（项目名称）</w:t>
      </w:r>
      <w:r>
        <w:rPr>
          <w:rFonts w:ascii="宋体" w:hAnsi="宋体"/>
          <w:snapToGrid w:val="0"/>
          <w:color w:val="auto"/>
          <w:kern w:val="0"/>
          <w:sz w:val="21"/>
          <w:szCs w:val="21"/>
          <w:highlight w:val="none"/>
        </w:rPr>
        <w:t>已由</w:t>
      </w:r>
      <w:r>
        <w:rPr>
          <w:rFonts w:hint="eastAsia"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u w:val="single"/>
        </w:rPr>
        <w:t>（项目审批</w:t>
      </w:r>
      <w:r>
        <w:rPr>
          <w:rFonts w:hint="eastAsia" w:ascii="宋体" w:hAnsi="宋体"/>
          <w:snapToGrid w:val="0"/>
          <w:color w:val="auto"/>
          <w:kern w:val="0"/>
          <w:sz w:val="21"/>
          <w:szCs w:val="21"/>
          <w:highlight w:val="none"/>
          <w:u w:val="single"/>
          <w:lang w:val="en-US" w:eastAsia="zh-CN"/>
        </w:rPr>
        <w:t>或</w:t>
      </w:r>
      <w:r>
        <w:rPr>
          <w:rFonts w:ascii="宋体" w:hAnsi="宋体"/>
          <w:snapToGrid w:val="0"/>
          <w:color w:val="auto"/>
          <w:kern w:val="0"/>
          <w:sz w:val="21"/>
          <w:szCs w:val="21"/>
          <w:highlight w:val="none"/>
          <w:u w:val="single"/>
        </w:rPr>
        <w:t>核准机关名称）</w:t>
      </w:r>
      <w:r>
        <w:rPr>
          <w:rFonts w:ascii="宋体" w:hAnsi="宋体"/>
          <w:snapToGrid w:val="0"/>
          <w:color w:val="auto"/>
          <w:kern w:val="0"/>
          <w:sz w:val="21"/>
          <w:szCs w:val="21"/>
          <w:highlight w:val="none"/>
        </w:rPr>
        <w:t>以</w:t>
      </w:r>
      <w:r>
        <w:rPr>
          <w:rFonts w:hint="eastAsia"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u w:val="single"/>
        </w:rPr>
        <w:t>（批文名称及编号）</w:t>
      </w:r>
      <w:r>
        <w:rPr>
          <w:rFonts w:ascii="宋体" w:hAnsi="宋体"/>
          <w:snapToGrid w:val="0"/>
          <w:color w:val="auto"/>
          <w:kern w:val="0"/>
          <w:sz w:val="21"/>
          <w:szCs w:val="21"/>
          <w:highlight w:val="none"/>
        </w:rPr>
        <w:t>批准建设，项目业主为</w:t>
      </w:r>
      <w:r>
        <w:rPr>
          <w:rFonts w:hint="eastAsia"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rPr>
        <w:t>，</w:t>
      </w:r>
    </w:p>
    <w:p>
      <w:pPr>
        <w:pageBreakBefore w:val="0"/>
        <w:widowControl w:val="0"/>
        <w:tabs>
          <w:tab w:val="left" w:pos="3390"/>
          <w:tab w:val="left" w:pos="3420"/>
          <w:tab w:val="left" w:pos="6120"/>
          <w:tab w:val="left" w:pos="7540"/>
          <w:tab w:val="left" w:pos="8320"/>
        </w:tabs>
        <w:kinsoku/>
        <w:wordWrap/>
        <w:overflowPunct/>
        <w:topLinePunct w:val="0"/>
        <w:autoSpaceDE w:val="0"/>
        <w:autoSpaceDN w:val="0"/>
        <w:bidi w:val="0"/>
        <w:adjustRightInd w:val="0"/>
        <w:snapToGrid w:val="0"/>
        <w:spacing w:line="360" w:lineRule="auto"/>
        <w:textAlignment w:val="auto"/>
        <w:rPr>
          <w:rFonts w:ascii="宋体" w:hAnsi="宋体"/>
          <w:snapToGrid w:val="0"/>
          <w:color w:val="auto"/>
          <w:kern w:val="0"/>
          <w:sz w:val="21"/>
          <w:szCs w:val="21"/>
          <w:highlight w:val="none"/>
        </w:rPr>
      </w:pPr>
      <w:r>
        <w:rPr>
          <w:rFonts w:ascii="宋体" w:hAnsi="宋体"/>
          <w:snapToGrid w:val="0"/>
          <w:color w:val="auto"/>
          <w:kern w:val="0"/>
          <w:sz w:val="21"/>
          <w:szCs w:val="21"/>
          <w:highlight w:val="none"/>
        </w:rPr>
        <w:t>建设资金来自</w:t>
      </w:r>
      <w:r>
        <w:rPr>
          <w:rFonts w:hint="eastAsia"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u w:val="single"/>
        </w:rPr>
        <w:t>（资金来源）</w:t>
      </w:r>
      <w:r>
        <w:rPr>
          <w:rFonts w:ascii="宋体" w:hAnsi="宋体"/>
          <w:snapToGrid w:val="0"/>
          <w:color w:val="auto"/>
          <w:kern w:val="0"/>
          <w:sz w:val="21"/>
          <w:szCs w:val="21"/>
          <w:highlight w:val="none"/>
        </w:rPr>
        <w:t>，项目出资比例为</w:t>
      </w:r>
      <w:r>
        <w:rPr>
          <w:rFonts w:hint="eastAsia"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rPr>
        <w:t>，招标人</w:t>
      </w:r>
      <w:r>
        <w:rPr>
          <w:rFonts w:ascii="宋体" w:hAnsi="宋体"/>
          <w:snapToGrid w:val="0"/>
          <w:color w:val="auto"/>
          <w:kern w:val="0"/>
          <w:position w:val="-2"/>
          <w:sz w:val="21"/>
          <w:szCs w:val="21"/>
          <w:highlight w:val="none"/>
        </w:rPr>
        <w:t>为</w:t>
      </w:r>
      <w:r>
        <w:rPr>
          <w:rFonts w:hint="eastAsia" w:ascii="宋体" w:hAnsi="宋体"/>
          <w:snapToGrid w:val="0"/>
          <w:color w:val="auto"/>
          <w:kern w:val="0"/>
          <w:sz w:val="21"/>
          <w:szCs w:val="21"/>
          <w:highlight w:val="none"/>
          <w:u w:val="single"/>
        </w:rPr>
        <w:t xml:space="preserve">                 </w:t>
      </w:r>
      <w:r>
        <w:rPr>
          <w:rFonts w:ascii="宋体" w:hAnsi="宋体"/>
          <w:snapToGrid w:val="0"/>
          <w:color w:val="auto"/>
          <w:kern w:val="0"/>
          <w:position w:val="-2"/>
          <w:sz w:val="21"/>
          <w:szCs w:val="21"/>
          <w:highlight w:val="none"/>
        </w:rPr>
        <w:t>。项目已具备招标条件，现对</w:t>
      </w:r>
      <w:r>
        <w:rPr>
          <w:rFonts w:hint="eastAsia" w:ascii="宋体" w:hAnsi="宋体"/>
          <w:snapToGrid w:val="0"/>
          <w:color w:val="auto"/>
          <w:kern w:val="0"/>
          <w:position w:val="-2"/>
          <w:sz w:val="21"/>
          <w:szCs w:val="21"/>
          <w:highlight w:val="none"/>
          <w:u w:val="single"/>
        </w:rPr>
        <w:t>该项目的施工</w:t>
      </w:r>
      <w:r>
        <w:rPr>
          <w:rFonts w:ascii="宋体" w:hAnsi="宋体"/>
          <w:snapToGrid w:val="0"/>
          <w:color w:val="auto"/>
          <w:kern w:val="0"/>
          <w:position w:val="-2"/>
          <w:sz w:val="21"/>
          <w:szCs w:val="21"/>
          <w:highlight w:val="none"/>
        </w:rPr>
        <w:t>进行公开招标。</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34" w:name="_Toc10401"/>
      <w:bookmarkStart w:id="35" w:name="_Toc16707"/>
      <w:bookmarkStart w:id="36" w:name="_Toc287620668"/>
      <w:bookmarkStart w:id="37" w:name="_Toc200359239"/>
      <w:bookmarkStart w:id="38" w:name="_Toc224103300"/>
      <w:bookmarkStart w:id="39" w:name="_Toc7491"/>
      <w:bookmarkStart w:id="40" w:name="_Toc277082537"/>
      <w:bookmarkStart w:id="41" w:name="_Toc29813"/>
      <w:bookmarkStart w:id="42" w:name="_Toc430530417"/>
      <w:bookmarkStart w:id="43" w:name="_Toc287607729"/>
      <w:bookmarkStart w:id="44" w:name="_Toc200359428"/>
      <w:bookmarkStart w:id="45" w:name="_Toc509218693"/>
      <w:r>
        <w:rPr>
          <w:rFonts w:ascii="宋体" w:hAnsi="宋体"/>
          <w:snapToGrid w:val="0"/>
          <w:color w:val="auto"/>
          <w:sz w:val="28"/>
          <w:szCs w:val="28"/>
          <w:highlight w:val="none"/>
        </w:rPr>
        <w:t>2.</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 xml:space="preserve"> 项目概况与招标范围</w:t>
      </w:r>
      <w:bookmarkEnd w:id="34"/>
      <w:bookmarkEnd w:id="35"/>
      <w:bookmarkEnd w:id="36"/>
      <w:bookmarkEnd w:id="37"/>
      <w:bookmarkEnd w:id="38"/>
      <w:bookmarkEnd w:id="39"/>
      <w:bookmarkEnd w:id="40"/>
      <w:bookmarkEnd w:id="41"/>
      <w:bookmarkEnd w:id="42"/>
      <w:bookmarkEnd w:id="43"/>
      <w:bookmarkEnd w:id="44"/>
      <w:bookmarkEnd w:id="45"/>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u w:val="single"/>
        </w:rPr>
      </w:pPr>
      <w:r>
        <w:rPr>
          <w:rFonts w:hint="eastAsia" w:ascii="宋体" w:hAnsi="宋体"/>
          <w:snapToGrid w:val="0"/>
          <w:color w:val="auto"/>
          <w:kern w:val="0"/>
          <w:sz w:val="21"/>
          <w:szCs w:val="21"/>
          <w:highlight w:val="none"/>
        </w:rPr>
        <w:t>2.1 建设地点：</w:t>
      </w:r>
      <w:r>
        <w:rPr>
          <w:rFonts w:hint="eastAsia" w:ascii="宋体" w:hAnsi="宋体"/>
          <w:snapToGrid w:val="0"/>
          <w:color w:val="auto"/>
          <w:kern w:val="0"/>
          <w:sz w:val="21"/>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2.2 项目概况与建设规模：</w:t>
      </w:r>
      <w:r>
        <w:rPr>
          <w:rFonts w:hint="eastAsia" w:ascii="宋体" w:hAnsi="宋体"/>
          <w:snapToGrid w:val="0"/>
          <w:color w:val="auto"/>
          <w:kern w:val="0"/>
          <w:sz w:val="21"/>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cs="宋体"/>
          <w:b w:val="0"/>
          <w:bCs w:val="0"/>
          <w:i/>
          <w:iCs/>
          <w:color w:val="auto"/>
          <w:sz w:val="21"/>
          <w:szCs w:val="21"/>
          <w:highlight w:val="none"/>
        </w:rPr>
      </w:pPr>
      <w:r>
        <w:rPr>
          <w:rFonts w:hint="eastAsia" w:ascii="宋体" w:hAnsi="宋体" w:cs="宋体"/>
          <w:b w:val="0"/>
          <w:bCs w:val="0"/>
          <w:i/>
          <w:iCs/>
          <w:color w:val="auto"/>
          <w:sz w:val="21"/>
          <w:szCs w:val="21"/>
          <w:highlight w:val="none"/>
        </w:rPr>
        <w:t>[提示：</w:t>
      </w:r>
      <w:r>
        <w:rPr>
          <w:rFonts w:hint="eastAsia" w:asciiTheme="minorEastAsia" w:hAnsiTheme="minorEastAsia" w:eastAsiaTheme="minorEastAsia"/>
          <w:i/>
          <w:color w:val="auto"/>
          <w:szCs w:val="21"/>
          <w:highlight w:val="none"/>
        </w:rPr>
        <w:t>项目概况与建设规模</w:t>
      </w:r>
      <w:r>
        <w:rPr>
          <w:rFonts w:hint="eastAsia" w:ascii="宋体" w:hAnsi="宋体"/>
          <w:i/>
          <w:snapToGrid w:val="0"/>
          <w:kern w:val="0"/>
          <w:szCs w:val="21"/>
        </w:rPr>
        <w:t>应体现与业绩</w:t>
      </w:r>
      <w:r>
        <w:rPr>
          <w:rFonts w:hint="eastAsia" w:ascii="宋体" w:hAnsi="宋体"/>
          <w:i/>
          <w:snapToGrid w:val="0"/>
          <w:kern w:val="0"/>
          <w:szCs w:val="21"/>
          <w:lang w:val="en-US" w:eastAsia="zh-CN"/>
        </w:rPr>
        <w:t>要求</w:t>
      </w:r>
      <w:r>
        <w:rPr>
          <w:rFonts w:hint="eastAsia" w:ascii="宋体" w:hAnsi="宋体"/>
          <w:i/>
          <w:snapToGrid w:val="0"/>
          <w:kern w:val="0"/>
          <w:szCs w:val="21"/>
        </w:rPr>
        <w:t>对应的参数</w:t>
      </w:r>
      <w:r>
        <w:rPr>
          <w:rFonts w:hint="eastAsia" w:ascii="宋体" w:hAnsi="宋体" w:cs="宋体"/>
          <w:b w:val="0"/>
          <w:bCs w:val="0"/>
          <w:i/>
          <w:iCs/>
          <w:color w:val="auto"/>
          <w:sz w:val="21"/>
          <w:szCs w:val="21"/>
          <w:highlight w:val="none"/>
          <w:lang w:eastAsia="zh-CN"/>
        </w:rPr>
        <w:t>，</w:t>
      </w:r>
      <w:r>
        <w:rPr>
          <w:rFonts w:hint="eastAsia" w:ascii="宋体" w:hAnsi="宋体" w:cs="宋体"/>
          <w:b w:val="0"/>
          <w:bCs w:val="0"/>
          <w:i/>
          <w:iCs/>
          <w:color w:val="auto"/>
          <w:sz w:val="21"/>
          <w:szCs w:val="21"/>
          <w:highlight w:val="none"/>
        </w:rPr>
        <w:t>包括但不限于：山体崩塌、滑坡、泥石流、地面塌陷、地裂缝、地面沉降等与地质作用有关的灾害分级，根据施工经费、勘察经费、设计经费，灾情和险情的分级</w:t>
      </w:r>
      <w:r>
        <w:rPr>
          <w:rFonts w:hint="eastAsia" w:ascii="宋体" w:hAnsi="宋体" w:cs="宋体"/>
          <w:b w:val="0"/>
          <w:bCs w:val="0"/>
          <w:i/>
          <w:iCs/>
          <w:color w:val="auto"/>
          <w:sz w:val="21"/>
          <w:szCs w:val="21"/>
          <w:highlight w:val="none"/>
          <w:lang w:val="en-US" w:eastAsia="zh-CN"/>
        </w:rPr>
        <w:t>等</w:t>
      </w:r>
      <w:r>
        <w:rPr>
          <w:rFonts w:hint="eastAsia" w:ascii="宋体" w:hAnsi="宋体" w:cs="宋体"/>
          <w:b w:val="0"/>
          <w:bCs w:val="0"/>
          <w:i/>
          <w:iCs/>
          <w:color w:val="auto"/>
          <w:sz w:val="21"/>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u w:val="single"/>
        </w:rPr>
      </w:pPr>
      <w:r>
        <w:rPr>
          <w:rFonts w:hint="eastAsia" w:ascii="宋体" w:hAnsi="宋体"/>
          <w:snapToGrid w:val="0"/>
          <w:color w:val="auto"/>
          <w:kern w:val="0"/>
          <w:sz w:val="21"/>
          <w:szCs w:val="21"/>
          <w:highlight w:val="none"/>
        </w:rPr>
        <w:t>2.3 □本项目工程总投资</w:t>
      </w:r>
      <w:r>
        <w:rPr>
          <w:rFonts w:hint="eastAsia" w:ascii="宋体" w:hAnsi="宋体"/>
          <w:snapToGrid w:val="0"/>
          <w:color w:val="auto"/>
          <w:kern w:val="0"/>
          <w:sz w:val="21"/>
          <w:szCs w:val="21"/>
          <w:highlight w:val="none"/>
          <w:lang w:val="en-US" w:eastAsia="zh-CN"/>
        </w:rPr>
        <w:t>金</w:t>
      </w:r>
      <w:r>
        <w:rPr>
          <w:rFonts w:hint="eastAsia" w:ascii="宋体" w:hAnsi="宋体"/>
          <w:snapToGrid w:val="0"/>
          <w:color w:val="auto"/>
          <w:kern w:val="0"/>
          <w:sz w:val="21"/>
          <w:szCs w:val="21"/>
          <w:highlight w:val="none"/>
        </w:rPr>
        <w:t>额：</w:t>
      </w:r>
      <w:r>
        <w:rPr>
          <w:rFonts w:hint="eastAsia" w:ascii="宋体" w:hAnsi="宋体"/>
          <w:snapToGrid w:val="0"/>
          <w:color w:val="auto"/>
          <w:kern w:val="0"/>
          <w:sz w:val="21"/>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ascii="宋体" w:hAnsi="宋体"/>
          <w:snapToGrid w:val="0"/>
          <w:color w:val="auto"/>
          <w:kern w:val="0"/>
          <w:sz w:val="21"/>
          <w:szCs w:val="21"/>
          <w:highlight w:val="none"/>
          <w:u w:val="single"/>
        </w:rPr>
      </w:pPr>
      <w:r>
        <w:rPr>
          <w:rFonts w:hint="eastAsia" w:ascii="宋体" w:hAnsi="宋体"/>
          <w:snapToGrid w:val="0"/>
          <w:color w:val="auto"/>
          <w:kern w:val="0"/>
          <w:sz w:val="21"/>
          <w:szCs w:val="21"/>
          <w:highlight w:val="none"/>
        </w:rPr>
        <w:t>□本次招标项目合同估算金额：</w:t>
      </w:r>
      <w:r>
        <w:rPr>
          <w:rFonts w:hint="eastAsia" w:ascii="宋体" w:hAnsi="宋体"/>
          <w:snapToGrid w:val="0"/>
          <w:color w:val="auto"/>
          <w:kern w:val="0"/>
          <w:sz w:val="21"/>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u w:val="single"/>
        </w:rPr>
      </w:pPr>
      <w:r>
        <w:rPr>
          <w:rFonts w:hint="eastAsia" w:ascii="宋体" w:hAnsi="宋体"/>
          <w:snapToGrid w:val="0"/>
          <w:color w:val="auto"/>
          <w:kern w:val="0"/>
          <w:sz w:val="21"/>
          <w:szCs w:val="21"/>
          <w:highlight w:val="none"/>
        </w:rPr>
        <w:t>2.4 招标范围：</w:t>
      </w:r>
      <w:r>
        <w:rPr>
          <w:rFonts w:hint="eastAsia" w:ascii="宋体" w:hAnsi="宋体"/>
          <w:snapToGrid w:val="0"/>
          <w:color w:val="auto"/>
          <w:kern w:val="0"/>
          <w:sz w:val="21"/>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u w:val="single"/>
        </w:rPr>
      </w:pPr>
      <w:r>
        <w:rPr>
          <w:rFonts w:hint="eastAsia" w:ascii="宋体" w:hAnsi="宋体"/>
          <w:i/>
          <w:snapToGrid w:val="0"/>
          <w:color w:val="auto"/>
          <w:kern w:val="0"/>
          <w:sz w:val="21"/>
          <w:szCs w:val="21"/>
          <w:highlight w:val="none"/>
        </w:rPr>
        <w:t>[提示：</w:t>
      </w:r>
      <w:r>
        <w:rPr>
          <w:rFonts w:ascii="宋体" w:hAnsi="宋体"/>
          <w:i/>
          <w:color w:val="auto"/>
          <w:sz w:val="21"/>
          <w:szCs w:val="21"/>
          <w:highlight w:val="none"/>
        </w:rPr>
        <w:t>招标范围应准确明了，</w:t>
      </w:r>
      <w:r>
        <w:rPr>
          <w:rFonts w:hint="eastAsia" w:ascii="宋体" w:hAnsi="宋体"/>
          <w:i/>
          <w:color w:val="auto"/>
          <w:sz w:val="21"/>
          <w:szCs w:val="21"/>
          <w:highlight w:val="none"/>
        </w:rPr>
        <w:t>按照项目审批、核准文件</w:t>
      </w:r>
      <w:r>
        <w:rPr>
          <w:rFonts w:ascii="宋体" w:hAnsi="宋体"/>
          <w:i/>
          <w:color w:val="auto"/>
          <w:sz w:val="21"/>
          <w:szCs w:val="21"/>
          <w:highlight w:val="none"/>
        </w:rPr>
        <w:t>采用工程专业术语</w:t>
      </w:r>
      <w:r>
        <w:rPr>
          <w:rFonts w:hint="eastAsia" w:ascii="宋体" w:hAnsi="宋体"/>
          <w:i/>
          <w:color w:val="auto"/>
          <w:sz w:val="21"/>
          <w:szCs w:val="21"/>
          <w:highlight w:val="none"/>
        </w:rPr>
        <w:t>进行</w:t>
      </w:r>
      <w:r>
        <w:rPr>
          <w:rFonts w:ascii="宋体" w:hAnsi="宋体"/>
          <w:i/>
          <w:color w:val="auto"/>
          <w:sz w:val="21"/>
          <w:szCs w:val="21"/>
          <w:highlight w:val="none"/>
        </w:rPr>
        <w:t>填写</w:t>
      </w:r>
      <w:r>
        <w:rPr>
          <w:rFonts w:hint="eastAsia" w:ascii="宋体" w:hAnsi="宋体"/>
          <w:i/>
          <w:color w:val="auto"/>
          <w:sz w:val="21"/>
          <w:szCs w:val="21"/>
          <w:highlight w:val="none"/>
        </w:rPr>
        <w:t>。</w:t>
      </w:r>
      <w:r>
        <w:rPr>
          <w:rFonts w:hint="eastAsia" w:ascii="宋体" w:hAnsi="宋体"/>
          <w:i/>
          <w:snapToGrid w:val="0"/>
          <w:color w:val="auto"/>
          <w:kern w:val="0"/>
          <w:sz w:val="21"/>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u w:val="single"/>
        </w:rPr>
      </w:pPr>
      <w:r>
        <w:rPr>
          <w:rFonts w:hint="eastAsia" w:ascii="宋体" w:hAnsi="宋体"/>
          <w:snapToGrid w:val="0"/>
          <w:color w:val="auto"/>
          <w:kern w:val="0"/>
          <w:sz w:val="21"/>
          <w:szCs w:val="21"/>
          <w:highlight w:val="none"/>
        </w:rPr>
        <w:t>2.5 工期要求：</w:t>
      </w:r>
      <w:r>
        <w:rPr>
          <w:rFonts w:hint="eastAsia" w:ascii="宋体" w:hAnsi="宋体"/>
          <w:snapToGrid w:val="0"/>
          <w:color w:val="auto"/>
          <w:kern w:val="0"/>
          <w:sz w:val="21"/>
          <w:szCs w:val="21"/>
          <w:highlight w:val="none"/>
          <w:u w:val="single"/>
        </w:rPr>
        <w:t xml:space="preserve">        日历天</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 xml:space="preserve">    缺陷责任期要求：</w:t>
      </w:r>
      <w:r>
        <w:rPr>
          <w:rFonts w:hint="eastAsia" w:ascii="宋体" w:hAnsi="宋体"/>
          <w:snapToGrid w:val="0"/>
          <w:color w:val="auto"/>
          <w:kern w:val="0"/>
          <w:sz w:val="21"/>
          <w:szCs w:val="21"/>
          <w:highlight w:val="none"/>
          <w:u w:val="single"/>
        </w:rPr>
        <w:t xml:space="preserve">        个月</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rPr>
      </w:pPr>
      <w:r>
        <w:rPr>
          <w:rFonts w:hint="eastAsia" w:ascii="宋体" w:hAnsi="宋体"/>
          <w:snapToGrid w:val="0"/>
          <w:color w:val="auto"/>
          <w:kern w:val="0"/>
          <w:sz w:val="21"/>
          <w:szCs w:val="21"/>
          <w:highlight w:val="none"/>
        </w:rPr>
        <w:t>2.6 标段划分（如有）：</w:t>
      </w:r>
      <w:r>
        <w:rPr>
          <w:rFonts w:hint="eastAsia" w:ascii="宋体" w:hAnsi="宋体"/>
          <w:snapToGrid w:val="0"/>
          <w:color w:val="auto"/>
          <w:kern w:val="0"/>
          <w:sz w:val="21"/>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 w:val="21"/>
          <w:szCs w:val="21"/>
        </w:rPr>
      </w:pPr>
      <w:r>
        <w:rPr>
          <w:rFonts w:hint="eastAsia" w:ascii="宋体" w:hAnsi="宋体"/>
          <w:snapToGrid w:val="0"/>
          <w:kern w:val="0"/>
          <w:szCs w:val="21"/>
          <w:lang w:val="en-US" w:eastAsia="zh-CN"/>
        </w:rPr>
        <w:t>2.</w:t>
      </w:r>
      <w:r>
        <w:rPr>
          <w:rFonts w:hint="default" w:ascii="宋体" w:hAnsi="宋体"/>
          <w:snapToGrid w:val="0"/>
          <w:kern w:val="0"/>
          <w:sz w:val="21"/>
          <w:szCs w:val="21"/>
          <w:lang w:val="en-US"/>
        </w:rPr>
        <w:t>7</w:t>
      </w:r>
      <w:r>
        <w:rPr>
          <w:rFonts w:hint="eastAsia" w:ascii="宋体" w:hAnsi="宋体"/>
          <w:snapToGrid w:val="0"/>
          <w:kern w:val="0"/>
          <w:sz w:val="21"/>
          <w:szCs w:val="21"/>
        </w:rPr>
        <w:t xml:space="preserve"> 其他：</w:t>
      </w:r>
      <w:r>
        <w:rPr>
          <w:rFonts w:hint="eastAsia" w:ascii="宋体" w:hAnsi="宋体"/>
          <w:snapToGrid w:val="0"/>
          <w:kern w:val="0"/>
          <w:sz w:val="21"/>
          <w:szCs w:val="21"/>
          <w:u w:val="single"/>
        </w:rPr>
        <w:t xml:space="preserve">        </w:t>
      </w:r>
    </w:p>
    <w:p>
      <w:pPr>
        <w:pStyle w:val="4"/>
        <w:pageBreakBefore w:val="0"/>
        <w:widowControl w:val="0"/>
        <w:kinsoku/>
        <w:wordWrap/>
        <w:overflowPunct/>
        <w:topLinePunct w:val="0"/>
        <w:bidi w:val="0"/>
        <w:spacing w:before="100" w:after="100" w:line="360" w:lineRule="auto"/>
        <w:textAlignment w:val="auto"/>
        <w:rPr>
          <w:rFonts w:hint="default" w:ascii="宋体" w:hAnsi="宋体" w:eastAsia="宋体"/>
          <w:snapToGrid w:val="0"/>
          <w:sz w:val="28"/>
          <w:szCs w:val="28"/>
          <w:lang w:val="en-US" w:eastAsia="zh-CN"/>
        </w:rPr>
      </w:pPr>
      <w:bookmarkStart w:id="46" w:name="_Toc22394"/>
      <w:bookmarkStart w:id="47" w:name="_Toc14910"/>
      <w:r>
        <w:rPr>
          <w:rFonts w:hint="eastAsia" w:ascii="宋体" w:hAnsi="宋体"/>
          <w:snapToGrid w:val="0"/>
          <w:sz w:val="28"/>
          <w:szCs w:val="28"/>
          <w:lang w:val="en-US" w:eastAsia="zh-CN"/>
        </w:rPr>
        <w:t>3.  政府采购工程</w:t>
      </w:r>
      <w:bookmarkEnd w:id="46"/>
      <w:bookmarkEnd w:id="47"/>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default" w:ascii="宋体" w:hAnsi="宋体"/>
          <w:snapToGrid w:val="0"/>
          <w:kern w:val="0"/>
          <w:szCs w:val="21"/>
          <w:lang w:val="en-US" w:eastAsia="zh-CN"/>
        </w:rPr>
      </w:pPr>
      <w:r>
        <w:rPr>
          <w:rFonts w:hint="eastAsia" w:ascii="宋体" w:hAnsi="宋体"/>
          <w:snapToGrid w:val="0"/>
          <w:kern w:val="0"/>
          <w:szCs w:val="21"/>
          <w:lang w:val="en-US" w:eastAsia="zh-CN"/>
        </w:rPr>
        <w:t xml:space="preserve">3.1 </w:t>
      </w:r>
      <w:r>
        <w:rPr>
          <w:rFonts w:hint="eastAsia" w:ascii="宋体" w:hAnsi="宋体"/>
          <w:snapToGrid w:val="0"/>
          <w:kern w:val="0"/>
          <w:szCs w:val="21"/>
        </w:rPr>
        <w:t>是否属于政府采购工程</w:t>
      </w:r>
      <w:r>
        <w:rPr>
          <w:rFonts w:hint="eastAsia" w:ascii="宋体" w:hAnsi="宋体"/>
          <w:snapToGrid w:val="0"/>
          <w:kern w:val="0"/>
          <w:szCs w:val="21"/>
          <w:lang w:eastAsia="zh-CN"/>
        </w:rPr>
        <w:t>：</w:t>
      </w:r>
      <w:r>
        <w:rPr>
          <w:rFonts w:hint="eastAsia" w:ascii="宋体" w:hAnsi="宋体"/>
          <w:snapToGrid w:val="0"/>
          <w:kern w:val="0"/>
          <w:szCs w:val="21"/>
        </w:rPr>
        <w:t>□是</w:t>
      </w:r>
      <w:r>
        <w:rPr>
          <w:rFonts w:hint="eastAsia" w:ascii="宋体" w:hAnsi="宋体"/>
          <w:snapToGrid w:val="0"/>
          <w:kern w:val="0"/>
          <w:szCs w:val="21"/>
          <w:lang w:val="en-US" w:eastAsia="zh-CN"/>
        </w:rPr>
        <w:t xml:space="preserve"> </w:t>
      </w:r>
      <w:r>
        <w:rPr>
          <w:rFonts w:hint="eastAsia" w:ascii="宋体" w:hAnsi="宋体"/>
          <w:snapToGrid w:val="0"/>
          <w:kern w:val="0"/>
          <w:szCs w:val="21"/>
        </w:rPr>
        <w:t>□否</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rPr>
      </w:pPr>
      <w:r>
        <w:rPr>
          <w:rFonts w:hint="eastAsia" w:ascii="宋体" w:hAnsi="宋体"/>
          <w:snapToGrid w:val="0"/>
          <w:kern w:val="0"/>
          <w:szCs w:val="21"/>
          <w:lang w:val="en-US" w:eastAsia="zh-CN"/>
        </w:rPr>
        <w:t xml:space="preserve">3.2 </w:t>
      </w:r>
      <w:r>
        <w:rPr>
          <w:rFonts w:hint="eastAsia" w:ascii="宋体" w:hAnsi="宋体"/>
          <w:snapToGrid w:val="0"/>
          <w:kern w:val="0"/>
          <w:szCs w:val="21"/>
        </w:rPr>
        <w:t>是否专门面向中小企业预留：□是</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snapToGrid w:val="0"/>
          <w:kern w:val="0"/>
          <w:szCs w:val="21"/>
          <w:highlight w:val="none"/>
          <w:lang w:val="en-US" w:eastAsia="zh-CN"/>
        </w:rPr>
      </w:pPr>
      <w:r>
        <w:rPr>
          <w:rFonts w:hint="eastAsia" w:ascii="宋体" w:hAnsi="宋体"/>
          <w:snapToGrid w:val="0"/>
          <w:kern w:val="0"/>
          <w:szCs w:val="21"/>
        </w:rPr>
        <w:t>专门面向中小企业预留的实施方式</w:t>
      </w:r>
      <w:r>
        <w:rPr>
          <w:rFonts w:hint="eastAsia" w:ascii="宋体" w:hAnsi="宋体"/>
          <w:snapToGrid w:val="0"/>
          <w:kern w:val="0"/>
          <w:szCs w:val="21"/>
          <w:highlight w:val="none"/>
        </w:rPr>
        <w:t>：</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w:t>
      </w:r>
      <w:r>
        <w:rPr>
          <w:rFonts w:hint="eastAsia" w:ascii="宋体" w:hAnsi="宋体"/>
          <w:i/>
          <w:iCs/>
          <w:snapToGrid w:val="0"/>
          <w:kern w:val="0"/>
          <w:szCs w:val="21"/>
          <w:u w:val="none"/>
        </w:rPr>
        <w:t>不低于40%</w:t>
      </w:r>
      <w:r>
        <w:rPr>
          <w:rFonts w:hint="eastAsia" w:ascii="宋体" w:hAnsi="宋体"/>
          <w:i/>
          <w:iCs/>
          <w:snapToGrid w:val="0"/>
          <w:kern w:val="0"/>
          <w:szCs w:val="21"/>
          <w:highlight w:val="none"/>
          <w:u w:val="none"/>
        </w:rPr>
        <w:t>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rPr>
        <w:t>本项目整体面向中小企业</w:t>
      </w:r>
      <w:r>
        <w:rPr>
          <w:rFonts w:hint="eastAsia" w:ascii="宋体" w:hAnsi="宋体"/>
          <w:snapToGrid w:val="0"/>
          <w:kern w:val="0"/>
          <w:szCs w:val="21"/>
          <w:highlight w:val="none"/>
          <w:lang w:eastAsia="zh-CN"/>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w:t>
      </w:r>
      <w:r>
        <w:rPr>
          <w:rFonts w:hint="eastAsia" w:ascii="宋体" w:hAnsi="宋体"/>
          <w:snapToGrid w:val="0"/>
          <w:kern w:val="0"/>
          <w:szCs w:val="21"/>
        </w:rPr>
        <w:t>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rPr>
      </w:pPr>
      <w:r>
        <w:rPr>
          <w:rFonts w:hint="eastAsia" w:ascii="宋体" w:hAnsi="宋体"/>
          <w:snapToGrid w:val="0"/>
          <w:kern w:val="0"/>
          <w:szCs w:val="21"/>
        </w:rPr>
        <w:t>□否</w:t>
      </w:r>
      <w:r>
        <w:rPr>
          <w:rFonts w:hint="eastAsia" w:ascii="宋体" w:hAnsi="宋体"/>
          <w:snapToGrid w:val="0"/>
          <w:kern w:val="0"/>
          <w:szCs w:val="21"/>
          <w:highlight w:val="none"/>
          <w:lang w:eastAsia="zh-CN"/>
        </w:rPr>
        <w:t>，</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none"/>
          <w:lang w:val="en-US" w:eastAsia="zh-CN"/>
        </w:rPr>
        <w:t>。</w:t>
      </w:r>
      <w:r>
        <w:rPr>
          <w:rFonts w:hint="eastAsia" w:ascii="宋体" w:hAnsi="宋体"/>
          <w:i/>
          <w:iCs/>
          <w:snapToGrid w:val="0"/>
          <w:kern w:val="0"/>
          <w:szCs w:val="21"/>
          <w:u w:val="none"/>
        </w:rPr>
        <w:t>[提示：填写不专门面向中小企业采购的原因及适用条款</w:t>
      </w:r>
      <w:r>
        <w:rPr>
          <w:rFonts w:hint="eastAsia" w:ascii="宋体" w:hAnsi="宋体"/>
          <w:i/>
          <w:iCs/>
          <w:snapToGrid w:val="0"/>
          <w:kern w:val="0"/>
          <w:szCs w:val="21"/>
          <w:highlight w:val="none"/>
          <w:u w:val="none"/>
          <w:lang w:eastAsia="zh-CN"/>
        </w:rPr>
        <w:t>，详见《政府采购促进中小企业发展管理办法》第六条</w:t>
      </w:r>
      <w:r>
        <w:rPr>
          <w:rFonts w:hint="eastAsia" w:ascii="宋体" w:hAnsi="宋体"/>
          <w:snapToGrid w:val="0"/>
          <w:kern w:val="0"/>
          <w:szCs w:val="21"/>
        </w:rPr>
        <w:t>。</w:t>
      </w:r>
      <w:r>
        <w:rPr>
          <w:rFonts w:hint="eastAsia" w:ascii="宋体" w:hAnsi="宋体"/>
          <w:i/>
          <w:iCs/>
          <w:snapToGrid w:val="0"/>
          <w:kern w:val="0"/>
          <w:szCs w:val="21"/>
          <w:highlight w:val="none"/>
          <w:u w:val="none"/>
        </w:rPr>
        <w:t>]</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48" w:name="_Toc12952"/>
      <w:bookmarkStart w:id="49" w:name="_Toc430530418"/>
      <w:bookmarkStart w:id="50" w:name="_Toc200359429"/>
      <w:bookmarkStart w:id="51" w:name="_Toc277082538"/>
      <w:bookmarkStart w:id="52" w:name="_Toc23950"/>
      <w:bookmarkStart w:id="53" w:name="_Toc9184"/>
      <w:bookmarkStart w:id="54" w:name="_Toc509218694"/>
      <w:bookmarkStart w:id="55" w:name="_Toc287607730"/>
      <w:bookmarkStart w:id="56" w:name="_Toc287620669"/>
      <w:bookmarkStart w:id="57" w:name="_Toc224103301"/>
      <w:bookmarkStart w:id="58" w:name="_Toc200359240"/>
      <w:bookmarkStart w:id="59" w:name="_Toc26271"/>
      <w:r>
        <w:rPr>
          <w:rFonts w:hint="eastAsia" w:ascii="宋体" w:hAnsi="宋体"/>
          <w:snapToGrid w:val="0"/>
          <w:color w:val="auto"/>
          <w:sz w:val="28"/>
          <w:szCs w:val="28"/>
          <w:highlight w:val="none"/>
          <w:lang w:val="en-US" w:eastAsia="zh-CN"/>
        </w:rPr>
        <w:t>4</w:t>
      </w:r>
      <w:r>
        <w:rPr>
          <w:rFonts w:ascii="宋体" w:hAnsi="宋体"/>
          <w:snapToGrid w:val="0"/>
          <w:color w:val="auto"/>
          <w:sz w:val="28"/>
          <w:szCs w:val="28"/>
          <w:highlight w:val="none"/>
        </w:rPr>
        <w:t xml:space="preserve">. </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投标人资格要求</w:t>
      </w:r>
      <w:bookmarkEnd w:id="48"/>
      <w:bookmarkEnd w:id="49"/>
      <w:bookmarkEnd w:id="50"/>
      <w:bookmarkEnd w:id="51"/>
      <w:bookmarkEnd w:id="52"/>
      <w:bookmarkEnd w:id="53"/>
      <w:bookmarkEnd w:id="54"/>
      <w:bookmarkEnd w:id="55"/>
      <w:bookmarkEnd w:id="56"/>
      <w:bookmarkEnd w:id="57"/>
      <w:bookmarkEnd w:id="58"/>
      <w:bookmarkEnd w:id="59"/>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rPr>
      </w:pPr>
      <w:r>
        <w:rPr>
          <w:rFonts w:hint="eastAsia" w:ascii="宋体" w:hAnsi="宋体"/>
          <w:snapToGrid w:val="0"/>
          <w:kern w:val="0"/>
          <w:sz w:val="21"/>
          <w:szCs w:val="21"/>
          <w:lang w:val="en-US" w:eastAsia="zh-CN"/>
        </w:rPr>
        <w:t>4</w:t>
      </w:r>
      <w:r>
        <w:rPr>
          <w:rFonts w:ascii="宋体" w:hAnsi="宋体"/>
          <w:snapToGrid w:val="0"/>
          <w:color w:val="auto"/>
          <w:kern w:val="0"/>
          <w:sz w:val="21"/>
          <w:szCs w:val="21"/>
          <w:highlight w:val="none"/>
        </w:rPr>
        <w:t>.1  本次招标要求投标人须具备</w:t>
      </w:r>
      <w:r>
        <w:rPr>
          <w:rFonts w:hint="eastAsia" w:ascii="宋体" w:hAnsi="宋体"/>
          <w:snapToGrid w:val="0"/>
          <w:color w:val="auto"/>
          <w:kern w:val="0"/>
          <w:sz w:val="21"/>
          <w:szCs w:val="21"/>
          <w:highlight w:val="none"/>
        </w:rPr>
        <w:t>以下条件：</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rPr>
      </w:pPr>
      <w:r>
        <w:rPr>
          <w:rFonts w:hint="eastAsia" w:ascii="宋体" w:hAnsi="宋体"/>
          <w:snapToGrid w:val="0"/>
          <w:kern w:val="0"/>
          <w:sz w:val="21"/>
          <w:szCs w:val="21"/>
          <w:lang w:val="en-US" w:eastAsia="zh-CN"/>
        </w:rPr>
        <w:t>4</w:t>
      </w:r>
      <w:r>
        <w:rPr>
          <w:rFonts w:hint="eastAsia" w:ascii="宋体" w:hAnsi="宋体"/>
          <w:snapToGrid w:val="0"/>
          <w:color w:val="auto"/>
          <w:kern w:val="0"/>
          <w:sz w:val="21"/>
          <w:szCs w:val="21"/>
          <w:highlight w:val="none"/>
        </w:rPr>
        <w:t>.1.1 本次招标要求投标人具备的资质条件：</w:t>
      </w:r>
      <w:r>
        <w:rPr>
          <w:rFonts w:hint="eastAsia" w:ascii="宋体" w:hAnsi="宋体"/>
          <w:snapToGrid w:val="0"/>
          <w:color w:val="auto"/>
          <w:kern w:val="0"/>
          <w:sz w:val="21"/>
          <w:szCs w:val="21"/>
          <w:highlight w:val="none"/>
          <w:u w:val="single"/>
        </w:rPr>
        <w:t xml:space="preserve">                   </w:t>
      </w:r>
      <w:r>
        <w:rPr>
          <w:rFonts w:hint="eastAsia" w:ascii="宋体" w:hAnsi="宋体"/>
          <w:snapToGrid w:val="0"/>
          <w:color w:val="auto"/>
          <w:kern w:val="0"/>
          <w:sz w:val="21"/>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default" w:ascii="宋体" w:hAnsi="宋体" w:eastAsia="宋体" w:cs="宋体"/>
          <w:b w:val="0"/>
          <w:bCs w:val="0"/>
          <w:i/>
          <w:iCs/>
          <w:color w:val="auto"/>
          <w:sz w:val="21"/>
          <w:szCs w:val="21"/>
          <w:highlight w:val="none"/>
          <w:lang w:val="en-US" w:eastAsia="zh-CN"/>
        </w:rPr>
      </w:pPr>
      <w:r>
        <w:rPr>
          <w:rFonts w:hint="eastAsia" w:ascii="宋体" w:hAnsi="宋体" w:cs="宋体"/>
          <w:b w:val="0"/>
          <w:bCs w:val="0"/>
          <w:i/>
          <w:iCs/>
          <w:color w:val="auto"/>
          <w:sz w:val="21"/>
          <w:szCs w:val="21"/>
          <w:highlight w:val="none"/>
        </w:rPr>
        <w:t>[提示：资质的</w:t>
      </w:r>
      <w:r>
        <w:rPr>
          <w:rFonts w:hint="eastAsia" w:ascii="宋体" w:hAnsi="宋体" w:cs="宋体"/>
          <w:b w:val="0"/>
          <w:bCs w:val="0"/>
          <w:i/>
          <w:iCs/>
          <w:color w:val="auto"/>
          <w:sz w:val="21"/>
          <w:szCs w:val="21"/>
          <w:highlight w:val="none"/>
          <w:lang w:val="en-US" w:eastAsia="zh-CN"/>
        </w:rPr>
        <w:t>设置按照</w:t>
      </w:r>
      <w:r>
        <w:rPr>
          <w:rFonts w:ascii="宋体" w:hAnsi="宋体" w:cs="宋体"/>
          <w:b w:val="0"/>
          <w:bCs w:val="0"/>
          <w:i/>
          <w:iCs/>
          <w:color w:val="auto"/>
          <w:sz w:val="21"/>
          <w:szCs w:val="21"/>
          <w:highlight w:val="none"/>
        </w:rPr>
        <w:t>自然资源</w:t>
      </w:r>
      <w:r>
        <w:rPr>
          <w:rFonts w:hint="eastAsia" w:ascii="宋体" w:hAnsi="宋体" w:cs="宋体"/>
          <w:b w:val="0"/>
          <w:bCs w:val="0"/>
          <w:i/>
          <w:iCs/>
          <w:color w:val="auto"/>
          <w:sz w:val="21"/>
          <w:szCs w:val="21"/>
          <w:highlight w:val="none"/>
          <w:lang w:val="en-US" w:eastAsia="zh-CN"/>
        </w:rPr>
        <w:t>行业主管部门相关规定执行。]</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color w:val="auto"/>
          <w:sz w:val="21"/>
          <w:szCs w:val="21"/>
          <w:highlight w:val="none"/>
        </w:rPr>
      </w:pPr>
      <w:r>
        <w:rPr>
          <w:rFonts w:hint="eastAsia" w:ascii="宋体" w:hAnsi="宋体"/>
          <w:snapToGrid w:val="0"/>
          <w:kern w:val="0"/>
          <w:sz w:val="21"/>
          <w:szCs w:val="21"/>
          <w:lang w:val="en-US" w:eastAsia="zh-CN"/>
        </w:rPr>
        <w:t>4</w:t>
      </w:r>
      <w:r>
        <w:rPr>
          <w:rFonts w:hint="eastAsia" w:ascii="宋体" w:hAnsi="宋体"/>
          <w:snapToGrid w:val="0"/>
          <w:color w:val="auto"/>
          <w:kern w:val="0"/>
          <w:sz w:val="21"/>
          <w:szCs w:val="21"/>
          <w:highlight w:val="none"/>
        </w:rPr>
        <w:t>.1.</w:t>
      </w:r>
      <w:r>
        <w:rPr>
          <w:rFonts w:hint="eastAsia" w:ascii="宋体" w:hAnsi="宋体"/>
          <w:snapToGrid w:val="0"/>
          <w:color w:val="auto"/>
          <w:kern w:val="0"/>
          <w:sz w:val="21"/>
          <w:szCs w:val="21"/>
          <w:highlight w:val="none"/>
          <w:lang w:val="en-US" w:eastAsia="zh-CN"/>
        </w:rPr>
        <w:t>2</w:t>
      </w:r>
      <w:r>
        <w:rPr>
          <w:rFonts w:hint="eastAsia" w:ascii="宋体" w:hAnsi="宋体"/>
          <w:snapToGrid w:val="0"/>
          <w:color w:val="auto"/>
          <w:kern w:val="0"/>
          <w:sz w:val="21"/>
          <w:szCs w:val="21"/>
          <w:highlight w:val="none"/>
        </w:rPr>
        <w:t xml:space="preserve"> 投标人还应在人员、</w:t>
      </w:r>
      <w:r>
        <w:rPr>
          <w:rFonts w:hint="eastAsia" w:ascii="宋体" w:hAnsi="宋体"/>
          <w:snapToGrid w:val="0"/>
          <w:color w:val="auto"/>
          <w:kern w:val="0"/>
          <w:sz w:val="21"/>
          <w:szCs w:val="21"/>
          <w:highlight w:val="none"/>
          <w:lang w:val="en-US" w:eastAsia="zh-CN"/>
        </w:rPr>
        <w:t>业绩、</w:t>
      </w:r>
      <w:r>
        <w:rPr>
          <w:rFonts w:hint="eastAsia" w:ascii="宋体" w:hAnsi="宋体"/>
          <w:snapToGrid w:val="0"/>
          <w:color w:val="auto"/>
          <w:kern w:val="0"/>
          <w:sz w:val="21"/>
          <w:szCs w:val="21"/>
          <w:highlight w:val="none"/>
        </w:rPr>
        <w:t>设备、资金等方面具有相应的施工能力，详见招标文件第二章投标人须知前附表第1.4.1项内容。</w:t>
      </w:r>
    </w:p>
    <w:p>
      <w:pPr>
        <w:pageBreakBefore w:val="0"/>
        <w:widowControl w:val="0"/>
        <w:tabs>
          <w:tab w:val="left" w:pos="3045"/>
          <w:tab w:val="left" w:pos="8310"/>
        </w:tabs>
        <w:kinsoku/>
        <w:wordWrap/>
        <w:overflowPunct/>
        <w:topLinePunct w:val="0"/>
        <w:autoSpaceDE w:val="0"/>
        <w:autoSpaceDN w:val="0"/>
        <w:bidi w:val="0"/>
        <w:adjustRightInd w:val="0"/>
        <w:snapToGrid w:val="0"/>
        <w:spacing w:line="360" w:lineRule="auto"/>
        <w:ind w:firstLine="420" w:firstLineChars="200"/>
        <w:textAlignment w:val="auto"/>
        <w:rPr>
          <w:rFonts w:ascii="宋体" w:hAnsi="宋体"/>
          <w:snapToGrid w:val="0"/>
          <w:color w:val="auto"/>
          <w:kern w:val="0"/>
          <w:sz w:val="21"/>
          <w:szCs w:val="21"/>
          <w:highlight w:val="none"/>
        </w:rPr>
      </w:pPr>
      <w:r>
        <w:rPr>
          <w:rFonts w:hint="eastAsia" w:ascii="宋体" w:hAnsi="宋体"/>
          <w:snapToGrid w:val="0"/>
          <w:kern w:val="0"/>
          <w:sz w:val="21"/>
          <w:szCs w:val="21"/>
          <w:lang w:val="en-US" w:eastAsia="zh-CN"/>
        </w:rPr>
        <w:t>4</w:t>
      </w:r>
      <w:r>
        <w:rPr>
          <w:rFonts w:ascii="宋体" w:hAnsi="宋体"/>
          <w:snapToGrid w:val="0"/>
          <w:color w:val="auto"/>
          <w:kern w:val="0"/>
          <w:sz w:val="21"/>
          <w:szCs w:val="21"/>
          <w:highlight w:val="none"/>
        </w:rPr>
        <w:t>.2  本次招标</w:t>
      </w:r>
      <w:r>
        <w:rPr>
          <w:rFonts w:hint="eastAsia" w:ascii="宋体" w:hAnsi="宋体"/>
          <w:snapToGrid w:val="0"/>
          <w:color w:val="auto"/>
          <w:kern w:val="0"/>
          <w:sz w:val="21"/>
          <w:szCs w:val="21"/>
          <w:highlight w:val="none"/>
        </w:rPr>
        <w:t>□接受 □不接受</w:t>
      </w:r>
      <w:r>
        <w:rPr>
          <w:rFonts w:ascii="宋体" w:hAnsi="宋体"/>
          <w:snapToGrid w:val="0"/>
          <w:color w:val="auto"/>
          <w:kern w:val="0"/>
          <w:sz w:val="21"/>
          <w:szCs w:val="21"/>
          <w:highlight w:val="none"/>
        </w:rPr>
        <w:t>联合体投标。联合体投标的，应满足下列要求：</w:t>
      </w:r>
      <w:r>
        <w:rPr>
          <w:rFonts w:hint="eastAsia"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rPr>
        <w:t>。</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60" w:name="_Toc224103302"/>
      <w:bookmarkStart w:id="61" w:name="_Toc287607731"/>
      <w:bookmarkStart w:id="62" w:name="_Toc277082539"/>
      <w:bookmarkStart w:id="63" w:name="_Toc509218695"/>
      <w:bookmarkStart w:id="64" w:name="_Toc200359241"/>
      <w:bookmarkStart w:id="65" w:name="_Toc200359430"/>
      <w:bookmarkStart w:id="66" w:name="_Toc24320"/>
      <w:bookmarkStart w:id="67" w:name="_Toc23926"/>
      <w:bookmarkStart w:id="68" w:name="_Toc287620670"/>
      <w:bookmarkStart w:id="69" w:name="_Toc17459"/>
      <w:bookmarkStart w:id="70" w:name="_Toc18119"/>
      <w:bookmarkStart w:id="71" w:name="_Toc430530419"/>
      <w:r>
        <w:rPr>
          <w:rFonts w:hint="eastAsia" w:ascii="宋体" w:hAnsi="宋体"/>
          <w:snapToGrid w:val="0"/>
          <w:sz w:val="28"/>
          <w:szCs w:val="28"/>
          <w:lang w:val="en-US" w:eastAsia="zh-CN"/>
        </w:rPr>
        <w:t>5</w:t>
      </w:r>
      <w:r>
        <w:rPr>
          <w:rFonts w:ascii="宋体" w:hAnsi="宋体"/>
          <w:snapToGrid w:val="0"/>
          <w:color w:val="auto"/>
          <w:sz w:val="28"/>
          <w:szCs w:val="28"/>
          <w:highlight w:val="none"/>
        </w:rPr>
        <w:t xml:space="preserve">. </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招标文件的获取</w:t>
      </w:r>
      <w:bookmarkEnd w:id="60"/>
      <w:bookmarkEnd w:id="61"/>
      <w:bookmarkEnd w:id="62"/>
      <w:bookmarkEnd w:id="63"/>
      <w:bookmarkEnd w:id="64"/>
      <w:bookmarkEnd w:id="65"/>
      <w:bookmarkEnd w:id="66"/>
      <w:bookmarkEnd w:id="67"/>
      <w:bookmarkEnd w:id="68"/>
      <w:bookmarkEnd w:id="69"/>
      <w:bookmarkEnd w:id="70"/>
      <w:bookmarkEnd w:id="71"/>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color w:val="auto"/>
          <w:kern w:val="0"/>
          <w:sz w:val="21"/>
          <w:szCs w:val="21"/>
          <w:highlight w:val="none"/>
        </w:rPr>
      </w:pPr>
      <w:r>
        <w:rPr>
          <w:rFonts w:hint="eastAsia" w:ascii="宋体" w:hAnsi="宋体"/>
          <w:snapToGrid w:val="0"/>
          <w:kern w:val="0"/>
          <w:sz w:val="21"/>
          <w:szCs w:val="21"/>
          <w:lang w:val="en-US" w:eastAsia="zh-CN"/>
        </w:rPr>
        <w:t>5</w:t>
      </w:r>
      <w:r>
        <w:rPr>
          <w:rFonts w:hint="eastAsia" w:ascii="宋体" w:hAnsi="宋体"/>
          <w:snapToGrid w:val="0"/>
          <w:color w:val="auto"/>
          <w:kern w:val="0"/>
          <w:sz w:val="21"/>
          <w:szCs w:val="21"/>
          <w:highlight w:val="none"/>
        </w:rPr>
        <w:t xml:space="preserve">.1  </w:t>
      </w:r>
      <w:r>
        <w:rPr>
          <w:rFonts w:ascii="宋体" w:hAnsi="宋体"/>
          <w:snapToGrid w:val="0"/>
          <w:color w:val="auto"/>
          <w:kern w:val="0"/>
          <w:sz w:val="21"/>
          <w:szCs w:val="21"/>
          <w:highlight w:val="none"/>
        </w:rPr>
        <w:t>本招标项目采用</w:t>
      </w:r>
      <w:r>
        <w:rPr>
          <w:rFonts w:hint="eastAsia" w:ascii="宋体" w:hAnsi="宋体"/>
          <w:snapToGrid w:val="0"/>
          <w:color w:val="auto"/>
          <w:kern w:val="0"/>
          <w:sz w:val="21"/>
          <w:szCs w:val="21"/>
          <w:highlight w:val="none"/>
        </w:rPr>
        <w:t>全流程电子</w:t>
      </w:r>
      <w:r>
        <w:rPr>
          <w:rFonts w:ascii="宋体" w:hAnsi="宋体"/>
          <w:snapToGrid w:val="0"/>
          <w:color w:val="auto"/>
          <w:kern w:val="0"/>
          <w:sz w:val="21"/>
          <w:szCs w:val="21"/>
          <w:highlight w:val="none"/>
        </w:rPr>
        <w:t>招投标，投标人在投标前可在</w:t>
      </w:r>
      <w:r>
        <w:rPr>
          <w:rFonts w:hint="eastAsia" w:ascii="宋体" w:hAnsi="宋体"/>
          <w:snapToGrid w:val="0"/>
          <w:color w:val="auto"/>
          <w:kern w:val="0"/>
          <w:sz w:val="21"/>
          <w:szCs w:val="21"/>
          <w:highlight w:val="none"/>
          <w:u w:val="single"/>
        </w:rPr>
        <w:t>重庆市公共资源交易网</w:t>
      </w:r>
      <w:r>
        <w:rPr>
          <w:rFonts w:hint="eastAsia" w:ascii="宋体" w:hAnsi="宋体"/>
          <w:i/>
          <w:color w:val="auto"/>
          <w:szCs w:val="21"/>
          <w:highlight w:val="none"/>
        </w:rPr>
        <w:t>[提示：下载</w:t>
      </w:r>
      <w:r>
        <w:rPr>
          <w:rFonts w:hint="eastAsia" w:ascii="宋体" w:hAnsi="宋体"/>
          <w:i/>
          <w:color w:val="auto"/>
          <w:szCs w:val="21"/>
          <w:highlight w:val="none"/>
          <w:lang w:val="en-US" w:eastAsia="zh-CN"/>
        </w:rPr>
        <w:t>网站</w:t>
      </w:r>
      <w:r>
        <w:rPr>
          <w:rFonts w:hint="eastAsia" w:ascii="宋体" w:hAnsi="宋体"/>
          <w:i/>
          <w:color w:val="auto"/>
          <w:szCs w:val="21"/>
          <w:highlight w:val="none"/>
        </w:rPr>
        <w:t>采用其他</w:t>
      </w:r>
      <w:r>
        <w:rPr>
          <w:rFonts w:hint="eastAsia" w:ascii="宋体" w:hAnsi="宋体"/>
          <w:i/>
          <w:color w:val="auto"/>
          <w:szCs w:val="21"/>
          <w:highlight w:val="none"/>
          <w:lang w:val="en-US" w:eastAsia="zh-CN"/>
        </w:rPr>
        <w:t>网站</w:t>
      </w:r>
      <w:r>
        <w:rPr>
          <w:rFonts w:hint="eastAsia" w:ascii="宋体" w:hAnsi="宋体"/>
          <w:i/>
          <w:color w:val="auto"/>
          <w:szCs w:val="21"/>
          <w:highlight w:val="none"/>
        </w:rPr>
        <w:t>的应注明</w:t>
      </w:r>
      <w:r>
        <w:rPr>
          <w:rFonts w:hint="eastAsia" w:ascii="宋体" w:hAnsi="宋体"/>
          <w:i/>
          <w:color w:val="auto"/>
          <w:szCs w:val="21"/>
          <w:highlight w:val="none"/>
          <w:lang w:eastAsia="zh-CN"/>
        </w:rPr>
        <w:t>。</w:t>
      </w:r>
      <w:r>
        <w:rPr>
          <w:rFonts w:hint="eastAsia" w:ascii="宋体" w:hAnsi="宋体"/>
          <w:i/>
          <w:color w:val="auto"/>
          <w:szCs w:val="21"/>
          <w:highlight w:val="none"/>
        </w:rPr>
        <w:t>]</w:t>
      </w:r>
      <w:r>
        <w:rPr>
          <w:rFonts w:ascii="宋体" w:hAnsi="宋体"/>
          <w:snapToGrid w:val="0"/>
          <w:color w:val="auto"/>
          <w:kern w:val="0"/>
          <w:sz w:val="21"/>
          <w:szCs w:val="21"/>
          <w:highlight w:val="none"/>
        </w:rPr>
        <w:t>下载招标文件、工程量清单、电子图纸等资料。参与投标的投标人</w:t>
      </w:r>
      <w:r>
        <w:rPr>
          <w:rFonts w:hint="eastAsia" w:ascii="宋体" w:hAnsi="宋体"/>
          <w:snapToGrid w:val="0"/>
          <w:color w:val="auto"/>
          <w:kern w:val="0"/>
          <w:sz w:val="21"/>
          <w:szCs w:val="21"/>
          <w:highlight w:val="none"/>
        </w:rPr>
        <w:t>需在</w:t>
      </w:r>
      <w:r>
        <w:rPr>
          <w:rFonts w:hint="eastAsia" w:ascii="宋体" w:hAnsi="宋体"/>
          <w:snapToGrid w:val="0"/>
          <w:color w:val="auto"/>
          <w:kern w:val="0"/>
          <w:sz w:val="21"/>
          <w:szCs w:val="21"/>
          <w:highlight w:val="none"/>
          <w:u w:val="single"/>
        </w:rPr>
        <w:t>重庆市公共资源交易网</w:t>
      </w:r>
      <w:r>
        <w:rPr>
          <w:rFonts w:hint="eastAsia" w:ascii="宋体" w:hAnsi="宋体"/>
          <w:snapToGrid w:val="0"/>
          <w:color w:val="auto"/>
          <w:kern w:val="0"/>
          <w:sz w:val="21"/>
          <w:szCs w:val="21"/>
          <w:highlight w:val="none"/>
        </w:rPr>
        <w:t>完成市场主体信息登记以及 CA 数字证书办理，办理方式请参见</w:t>
      </w:r>
      <w:r>
        <w:rPr>
          <w:rFonts w:hint="eastAsia" w:ascii="宋体" w:hAnsi="宋体"/>
          <w:snapToGrid w:val="0"/>
          <w:color w:val="auto"/>
          <w:kern w:val="0"/>
          <w:sz w:val="21"/>
          <w:szCs w:val="21"/>
          <w:highlight w:val="none"/>
          <w:u w:val="single"/>
        </w:rPr>
        <w:t>重庆市公共资源交易网</w:t>
      </w:r>
      <w:r>
        <w:rPr>
          <w:rFonts w:hint="eastAsia" w:ascii="宋体" w:hAnsi="宋体"/>
          <w:snapToGrid w:val="0"/>
          <w:color w:val="auto"/>
          <w:kern w:val="0"/>
          <w:sz w:val="21"/>
          <w:szCs w:val="21"/>
          <w:highlight w:val="none"/>
        </w:rPr>
        <w:t>导航栏“主体信息”页面中“市场主体信息登记”“CA 数字证书办理”。若投标人未及时完成市场主体信息登记和 CA 数字证书办理导致无法完成全流程电子招投标的，责任自负</w:t>
      </w:r>
      <w:r>
        <w:rPr>
          <w:rFonts w:ascii="宋体" w:hAnsi="宋体"/>
          <w:snapToGrid w:val="0"/>
          <w:color w:val="auto"/>
          <w:kern w:val="0"/>
          <w:sz w:val="21"/>
          <w:szCs w:val="21"/>
          <w:highlight w:val="none"/>
        </w:rPr>
        <w:t>。</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color w:val="auto"/>
          <w:kern w:val="0"/>
          <w:sz w:val="21"/>
          <w:szCs w:val="21"/>
          <w:highlight w:val="none"/>
        </w:rPr>
      </w:pPr>
      <w:r>
        <w:rPr>
          <w:rFonts w:hint="eastAsia" w:ascii="宋体" w:hAnsi="宋体"/>
          <w:snapToGrid w:val="0"/>
          <w:kern w:val="0"/>
          <w:sz w:val="21"/>
          <w:szCs w:val="21"/>
          <w:lang w:val="en-US" w:eastAsia="zh-CN"/>
        </w:rPr>
        <w:t>5</w:t>
      </w:r>
      <w:r>
        <w:rPr>
          <w:rFonts w:hint="eastAsia" w:ascii="宋体" w:hAnsi="宋体"/>
          <w:snapToGrid w:val="0"/>
          <w:color w:val="auto"/>
          <w:kern w:val="0"/>
          <w:sz w:val="21"/>
          <w:szCs w:val="21"/>
          <w:highlight w:val="none"/>
        </w:rPr>
        <w:t>.2  投标人可在附件招标公告规定的时限内在</w:t>
      </w:r>
      <w:r>
        <w:rPr>
          <w:rFonts w:hint="eastAsia" w:ascii="宋体" w:hAnsi="宋体"/>
          <w:snapToGrid w:val="0"/>
          <w:color w:val="auto"/>
          <w:kern w:val="0"/>
          <w:sz w:val="21"/>
          <w:szCs w:val="21"/>
          <w:highlight w:val="none"/>
          <w:u w:val="single"/>
        </w:rPr>
        <w:t>重庆市公共资源交易网</w:t>
      </w:r>
      <w:r>
        <w:rPr>
          <w:rFonts w:hint="eastAsia" w:ascii="宋体" w:hAnsi="宋体"/>
          <w:snapToGrid w:val="0"/>
          <w:color w:val="auto"/>
          <w:kern w:val="0"/>
          <w:sz w:val="21"/>
          <w:szCs w:val="21"/>
          <w:highlight w:val="none"/>
        </w:rPr>
        <w:t>本项目招标公告网页下方“我要提问”栏提出疑问。</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jc w:val="left"/>
        <w:textAlignment w:val="auto"/>
        <w:rPr>
          <w:rFonts w:ascii="宋体" w:hAnsi="宋体"/>
          <w:snapToGrid w:val="0"/>
          <w:color w:val="auto"/>
          <w:kern w:val="0"/>
          <w:sz w:val="21"/>
          <w:szCs w:val="21"/>
          <w:highlight w:val="none"/>
        </w:rPr>
      </w:pPr>
      <w:r>
        <w:rPr>
          <w:rFonts w:hint="eastAsia" w:ascii="宋体" w:hAnsi="宋体"/>
          <w:snapToGrid w:val="0"/>
          <w:kern w:val="0"/>
          <w:sz w:val="21"/>
          <w:szCs w:val="21"/>
          <w:lang w:val="en-US" w:eastAsia="zh-CN"/>
        </w:rPr>
        <w:t>5</w:t>
      </w:r>
      <w:r>
        <w:rPr>
          <w:rFonts w:hint="eastAsia" w:ascii="宋体" w:hAnsi="宋体"/>
          <w:snapToGrid w:val="0"/>
          <w:color w:val="auto"/>
          <w:kern w:val="0"/>
          <w:sz w:val="21"/>
          <w:szCs w:val="21"/>
          <w:highlight w:val="none"/>
        </w:rPr>
        <w:t>.3  招标人应在附件招标公告规定的时限内在</w:t>
      </w:r>
      <w:r>
        <w:rPr>
          <w:rFonts w:hint="eastAsia" w:ascii="宋体" w:hAnsi="宋体"/>
          <w:snapToGrid w:val="0"/>
          <w:color w:val="auto"/>
          <w:kern w:val="0"/>
          <w:sz w:val="21"/>
          <w:szCs w:val="21"/>
          <w:highlight w:val="none"/>
          <w:u w:val="single"/>
        </w:rPr>
        <w:t>重庆市公共资源交易网</w:t>
      </w:r>
      <w:r>
        <w:rPr>
          <w:rFonts w:hint="eastAsia" w:ascii="宋体" w:hAnsi="宋体"/>
          <w:snapToGrid w:val="0"/>
          <w:color w:val="auto"/>
          <w:kern w:val="0"/>
          <w:sz w:val="21"/>
          <w:szCs w:val="21"/>
          <w:highlight w:val="none"/>
        </w:rPr>
        <w:t>发布澄清或修改。</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72" w:name="_Toc200359431"/>
      <w:bookmarkStart w:id="73" w:name="_Toc22603"/>
      <w:bookmarkStart w:id="74" w:name="_Toc509218696"/>
      <w:bookmarkStart w:id="75" w:name="_Toc430530420"/>
      <w:bookmarkStart w:id="76" w:name="_Toc12365"/>
      <w:bookmarkStart w:id="77" w:name="_Toc10517"/>
      <w:bookmarkStart w:id="78" w:name="_Toc224103303"/>
      <w:bookmarkStart w:id="79" w:name="_Toc18748"/>
      <w:bookmarkStart w:id="80" w:name="_Toc287620671"/>
      <w:bookmarkStart w:id="81" w:name="_Toc277082540"/>
      <w:bookmarkStart w:id="82" w:name="_Toc287607732"/>
      <w:bookmarkStart w:id="83" w:name="_Toc200359242"/>
      <w:r>
        <w:rPr>
          <w:rFonts w:hint="eastAsia" w:ascii="宋体" w:hAnsi="宋体"/>
          <w:snapToGrid w:val="0"/>
          <w:sz w:val="28"/>
          <w:szCs w:val="28"/>
          <w:lang w:val="en-US" w:eastAsia="zh-CN"/>
        </w:rPr>
        <w:t>6</w:t>
      </w:r>
      <w:r>
        <w:rPr>
          <w:rFonts w:ascii="宋体" w:hAnsi="宋体"/>
          <w:snapToGrid w:val="0"/>
          <w:color w:val="auto"/>
          <w:sz w:val="28"/>
          <w:szCs w:val="28"/>
          <w:highlight w:val="none"/>
        </w:rPr>
        <w:t xml:space="preserve">. </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投标文件的递交</w:t>
      </w:r>
      <w:bookmarkEnd w:id="72"/>
      <w:bookmarkEnd w:id="73"/>
      <w:bookmarkEnd w:id="74"/>
      <w:bookmarkEnd w:id="75"/>
      <w:bookmarkEnd w:id="76"/>
      <w:bookmarkEnd w:id="77"/>
      <w:bookmarkEnd w:id="78"/>
      <w:bookmarkEnd w:id="79"/>
      <w:bookmarkEnd w:id="80"/>
      <w:bookmarkEnd w:id="81"/>
      <w:bookmarkEnd w:id="82"/>
      <w:bookmarkEnd w:id="83"/>
    </w:p>
    <w:p>
      <w:pPr>
        <w:pageBreakBefore w:val="0"/>
        <w:widowControl w:val="0"/>
        <w:tabs>
          <w:tab w:val="left" w:pos="2000"/>
          <w:tab w:val="left" w:pos="5580"/>
          <w:tab w:val="left" w:pos="6220"/>
          <w:tab w:val="left" w:pos="6840"/>
          <w:tab w:val="left" w:pos="7460"/>
          <w:tab w:val="left" w:pos="8100"/>
        </w:tabs>
        <w:kinsoku/>
        <w:wordWrap/>
        <w:overflowPunct/>
        <w:topLinePunct w:val="0"/>
        <w:autoSpaceDE w:val="0"/>
        <w:autoSpaceDN w:val="0"/>
        <w:bidi w:val="0"/>
        <w:adjustRightInd w:val="0"/>
        <w:snapToGrid w:val="0"/>
        <w:spacing w:line="360" w:lineRule="auto"/>
        <w:ind w:firstLine="420" w:firstLineChars="200"/>
        <w:textAlignment w:val="auto"/>
        <w:rPr>
          <w:rFonts w:ascii="宋体" w:hAnsi="宋体"/>
          <w:snapToGrid w:val="0"/>
          <w:color w:val="auto"/>
          <w:kern w:val="0"/>
          <w:sz w:val="21"/>
          <w:szCs w:val="21"/>
          <w:highlight w:val="none"/>
        </w:rPr>
      </w:pPr>
      <w:r>
        <w:rPr>
          <w:rFonts w:hint="eastAsia" w:ascii="宋体" w:hAnsi="宋体"/>
          <w:snapToGrid w:val="0"/>
          <w:kern w:val="0"/>
          <w:sz w:val="21"/>
          <w:szCs w:val="21"/>
          <w:lang w:val="en-US" w:eastAsia="zh-CN"/>
        </w:rPr>
        <w:t>6</w:t>
      </w:r>
      <w:r>
        <w:rPr>
          <w:rFonts w:ascii="宋体" w:hAnsi="宋体"/>
          <w:snapToGrid w:val="0"/>
          <w:color w:val="auto"/>
          <w:kern w:val="0"/>
          <w:sz w:val="21"/>
          <w:szCs w:val="21"/>
          <w:highlight w:val="none"/>
        </w:rPr>
        <w:t>.1  投标文件递交的截止时间（投标截止时间，下同）</w:t>
      </w:r>
      <w:r>
        <w:rPr>
          <w:rFonts w:hint="eastAsia" w:ascii="宋体" w:hAnsi="宋体"/>
          <w:snapToGrid w:val="0"/>
          <w:color w:val="auto"/>
          <w:kern w:val="0"/>
          <w:sz w:val="21"/>
          <w:szCs w:val="21"/>
          <w:highlight w:val="none"/>
        </w:rPr>
        <w:t>详见附件招标公告规定的投标截止时间</w:t>
      </w:r>
      <w:r>
        <w:rPr>
          <w:rFonts w:ascii="宋体" w:hAnsi="宋体"/>
          <w:snapToGrid w:val="0"/>
          <w:color w:val="auto"/>
          <w:kern w:val="0"/>
          <w:sz w:val="21"/>
          <w:szCs w:val="21"/>
          <w:highlight w:val="none"/>
        </w:rPr>
        <w:t>，</w:t>
      </w:r>
      <w:r>
        <w:rPr>
          <w:rFonts w:hint="eastAsia" w:ascii="宋体" w:hAnsi="宋体"/>
          <w:snapToGrid w:val="0"/>
          <w:color w:val="auto"/>
          <w:kern w:val="0"/>
          <w:sz w:val="21"/>
          <w:szCs w:val="21"/>
          <w:highlight w:val="none"/>
        </w:rPr>
        <w:t>投标人应当在投标截止时间前，通过互联网使用CA数字证书登录重庆市电子招投标系统，将加密的电子投标文件上传。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ascii="宋体" w:hAnsi="宋体"/>
          <w:snapToGrid w:val="0"/>
          <w:color w:val="auto"/>
          <w:kern w:val="0"/>
          <w:sz w:val="21"/>
          <w:szCs w:val="21"/>
          <w:highlight w:val="none"/>
        </w:rPr>
      </w:pPr>
      <w:r>
        <w:rPr>
          <w:rFonts w:hint="eastAsia" w:ascii="宋体" w:hAnsi="宋体"/>
          <w:snapToGrid w:val="0"/>
          <w:kern w:val="0"/>
          <w:sz w:val="21"/>
          <w:szCs w:val="21"/>
          <w:lang w:val="en-US" w:eastAsia="zh-CN"/>
        </w:rPr>
        <w:t>6</w:t>
      </w:r>
      <w:r>
        <w:rPr>
          <w:rFonts w:ascii="宋体" w:hAnsi="宋体"/>
          <w:snapToGrid w:val="0"/>
          <w:color w:val="auto"/>
          <w:kern w:val="0"/>
          <w:sz w:val="21"/>
          <w:szCs w:val="21"/>
          <w:highlight w:val="none"/>
        </w:rPr>
        <w:t xml:space="preserve">.2  </w:t>
      </w:r>
      <w:r>
        <w:rPr>
          <w:rFonts w:hint="eastAsia" w:ascii="宋体" w:hAnsi="宋体"/>
          <w:snapToGrid w:val="0"/>
          <w:color w:val="auto"/>
          <w:kern w:val="0"/>
          <w:sz w:val="21"/>
          <w:szCs w:val="21"/>
          <w:highlight w:val="none"/>
        </w:rPr>
        <w:t>未按要求加密的电子投标文件，将无法上传至重庆市电子招投标系统，逾期未完成上传投标文件的，视为撤回投标文件。</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84" w:name="_Toc200359243"/>
      <w:bookmarkStart w:id="85" w:name="_Toc277082541"/>
      <w:bookmarkStart w:id="86" w:name="_Toc19459"/>
      <w:bookmarkStart w:id="87" w:name="_Toc430530421"/>
      <w:bookmarkStart w:id="88" w:name="_Toc20224"/>
      <w:bookmarkStart w:id="89" w:name="_Toc31517"/>
      <w:bookmarkStart w:id="90" w:name="_Toc200359432"/>
      <w:bookmarkStart w:id="91" w:name="_Toc22665"/>
      <w:bookmarkStart w:id="92" w:name="_Toc287607733"/>
      <w:bookmarkStart w:id="93" w:name="_Toc509218697"/>
      <w:bookmarkStart w:id="94" w:name="_Toc287620672"/>
      <w:bookmarkStart w:id="95" w:name="_Toc224103304"/>
      <w:r>
        <w:rPr>
          <w:rFonts w:hint="eastAsia" w:ascii="宋体" w:hAnsi="宋体"/>
          <w:snapToGrid w:val="0"/>
          <w:sz w:val="28"/>
          <w:szCs w:val="28"/>
          <w:lang w:val="en-US" w:eastAsia="zh-CN"/>
        </w:rPr>
        <w:t>7</w:t>
      </w:r>
      <w:r>
        <w:rPr>
          <w:rFonts w:ascii="宋体" w:hAnsi="宋体"/>
          <w:snapToGrid w:val="0"/>
          <w:color w:val="auto"/>
          <w:sz w:val="28"/>
          <w:szCs w:val="28"/>
          <w:highlight w:val="none"/>
        </w:rPr>
        <w:t xml:space="preserve">. </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发布公告的媒介</w:t>
      </w:r>
      <w:bookmarkEnd w:id="84"/>
      <w:bookmarkEnd w:id="85"/>
      <w:bookmarkEnd w:id="86"/>
      <w:bookmarkEnd w:id="87"/>
      <w:bookmarkEnd w:id="88"/>
      <w:bookmarkEnd w:id="89"/>
      <w:bookmarkEnd w:id="90"/>
      <w:bookmarkEnd w:id="91"/>
      <w:bookmarkEnd w:id="92"/>
      <w:bookmarkEnd w:id="93"/>
      <w:bookmarkEnd w:id="94"/>
      <w:bookmarkEnd w:id="95"/>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ascii="宋体" w:hAnsi="宋体"/>
          <w:snapToGrid w:val="0"/>
          <w:color w:val="auto"/>
          <w:kern w:val="0"/>
          <w:sz w:val="21"/>
          <w:szCs w:val="21"/>
          <w:highlight w:val="none"/>
        </w:rPr>
      </w:pPr>
      <w:r>
        <w:rPr>
          <w:rFonts w:ascii="宋体" w:hAnsi="宋体"/>
          <w:snapToGrid w:val="0"/>
          <w:color w:val="auto"/>
          <w:kern w:val="0"/>
          <w:sz w:val="21"/>
          <w:szCs w:val="21"/>
          <w:highlight w:val="none"/>
        </w:rPr>
        <w:t>本次招标公告同时在</w:t>
      </w:r>
      <w:r>
        <w:rPr>
          <w:rFonts w:hint="eastAsia"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u w:val="single"/>
        </w:rPr>
        <w:t>（发布公告的媒介名称）</w:t>
      </w:r>
      <w:r>
        <w:rPr>
          <w:rFonts w:ascii="宋体" w:hAnsi="宋体"/>
          <w:snapToGrid w:val="0"/>
          <w:color w:val="auto"/>
          <w:kern w:val="0"/>
          <w:sz w:val="21"/>
          <w:szCs w:val="21"/>
          <w:highlight w:val="none"/>
        </w:rPr>
        <w:t>上发布。</w:t>
      </w:r>
    </w:p>
    <w:p>
      <w:pPr>
        <w:pageBreakBefore w:val="0"/>
        <w:widowControl w:val="0"/>
        <w:tabs>
          <w:tab w:val="left" w:pos="4950"/>
        </w:tabs>
        <w:kinsoku/>
        <w:wordWrap/>
        <w:overflowPunct/>
        <w:topLinePunct w:val="0"/>
        <w:autoSpaceDE w:val="0"/>
        <w:autoSpaceDN w:val="0"/>
        <w:bidi w:val="0"/>
        <w:adjustRightInd w:val="0"/>
        <w:snapToGrid w:val="0"/>
        <w:spacing w:line="360" w:lineRule="auto"/>
        <w:ind w:firstLine="420" w:firstLineChars="200"/>
        <w:textAlignment w:val="auto"/>
        <w:rPr>
          <w:rFonts w:ascii="宋体" w:hAnsi="宋体"/>
          <w:snapToGrid w:val="0"/>
          <w:color w:val="auto"/>
          <w:kern w:val="0"/>
          <w:sz w:val="21"/>
          <w:szCs w:val="21"/>
          <w:highlight w:val="none"/>
        </w:rPr>
      </w:pPr>
      <w:r>
        <w:rPr>
          <w:rFonts w:hint="eastAsia" w:ascii="宋体" w:hAnsi="宋体"/>
          <w:i/>
          <w:snapToGrid w:val="0"/>
          <w:color w:val="auto"/>
          <w:kern w:val="0"/>
          <w:sz w:val="21"/>
          <w:szCs w:val="21"/>
          <w:highlight w:val="none"/>
        </w:rPr>
        <w:t>[提示：依法必须招标项目的招标公告，必须在重庆市公共资源交易监督网发布。]</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96" w:name="_Toc277082542"/>
      <w:bookmarkStart w:id="97" w:name="_Toc430530422"/>
      <w:bookmarkStart w:id="98" w:name="_Toc27740"/>
      <w:bookmarkStart w:id="99" w:name="_Toc287620673"/>
      <w:bookmarkStart w:id="100" w:name="_Toc287607734"/>
      <w:bookmarkStart w:id="101" w:name="_Toc224103305"/>
      <w:bookmarkStart w:id="102" w:name="_Toc29500"/>
      <w:bookmarkStart w:id="103" w:name="_Toc509218698"/>
      <w:bookmarkStart w:id="104" w:name="_Toc24966"/>
      <w:bookmarkStart w:id="105" w:name="_Toc16160"/>
      <w:r>
        <w:rPr>
          <w:rFonts w:hint="eastAsia" w:ascii="宋体" w:hAnsi="宋体"/>
          <w:snapToGrid w:val="0"/>
          <w:sz w:val="28"/>
          <w:szCs w:val="28"/>
          <w:lang w:val="en-US" w:eastAsia="zh-CN"/>
        </w:rPr>
        <w:t>8</w:t>
      </w:r>
      <w:r>
        <w:rPr>
          <w:rFonts w:ascii="宋体" w:hAnsi="宋体"/>
          <w:snapToGrid w:val="0"/>
          <w:color w:val="auto"/>
          <w:sz w:val="28"/>
          <w:szCs w:val="28"/>
          <w:highlight w:val="none"/>
        </w:rPr>
        <w:t xml:space="preserve">. </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联系方式</w:t>
      </w:r>
      <w:bookmarkEnd w:id="96"/>
      <w:bookmarkEnd w:id="97"/>
      <w:bookmarkEnd w:id="98"/>
      <w:bookmarkEnd w:id="99"/>
      <w:bookmarkEnd w:id="100"/>
      <w:bookmarkEnd w:id="101"/>
      <w:bookmarkEnd w:id="102"/>
      <w:bookmarkEnd w:id="103"/>
      <w:bookmarkEnd w:id="104"/>
      <w:bookmarkEnd w:id="105"/>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rPr>
      </w:pPr>
      <w:r>
        <w:rPr>
          <w:rFonts w:ascii="宋体" w:hAnsi="宋体"/>
          <w:snapToGrid w:val="0"/>
          <w:color w:val="auto"/>
          <w:kern w:val="0"/>
          <w:sz w:val="21"/>
          <w:szCs w:val="21"/>
          <w:highlight w:val="none"/>
        </w:rPr>
        <w:t>招 标 人：</w:t>
      </w:r>
      <w:r>
        <w:rPr>
          <w:rFonts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rPr>
        <w:t xml:space="preserve">     招标代理机构：</w:t>
      </w:r>
      <w:r>
        <w:rPr>
          <w:rFonts w:ascii="宋体" w:hAnsi="宋体"/>
          <w:snapToGrid w:val="0"/>
          <w:color w:val="auto"/>
          <w:kern w:val="0"/>
          <w:sz w:val="21"/>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rPr>
      </w:pPr>
      <w:r>
        <w:rPr>
          <w:rFonts w:ascii="宋体" w:hAnsi="宋体"/>
          <w:snapToGrid w:val="0"/>
          <w:color w:val="auto"/>
          <w:kern w:val="0"/>
          <w:sz w:val="21"/>
          <w:szCs w:val="21"/>
          <w:highlight w:val="none"/>
        </w:rPr>
        <w:t>地    址：</w:t>
      </w:r>
      <w:r>
        <w:rPr>
          <w:rFonts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rPr>
        <w:t xml:space="preserve">     地    址：</w:t>
      </w:r>
      <w:r>
        <w:rPr>
          <w:rFonts w:ascii="宋体" w:hAnsi="宋体"/>
          <w:snapToGrid w:val="0"/>
          <w:color w:val="auto"/>
          <w:kern w:val="0"/>
          <w:position w:val="-3"/>
          <w:sz w:val="21"/>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rPr>
      </w:pPr>
      <w:r>
        <w:rPr>
          <w:rFonts w:ascii="宋体" w:hAnsi="宋体"/>
          <w:snapToGrid w:val="0"/>
          <w:color w:val="auto"/>
          <w:kern w:val="0"/>
          <w:position w:val="-3"/>
          <w:sz w:val="21"/>
          <w:szCs w:val="21"/>
          <w:highlight w:val="none"/>
        </w:rPr>
        <w:t>邮    编：</w:t>
      </w:r>
      <w:r>
        <w:rPr>
          <w:rFonts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rPr>
        <w:t xml:space="preserve">     </w:t>
      </w:r>
      <w:r>
        <w:rPr>
          <w:rFonts w:ascii="宋体" w:hAnsi="宋体"/>
          <w:snapToGrid w:val="0"/>
          <w:color w:val="auto"/>
          <w:kern w:val="0"/>
          <w:position w:val="-3"/>
          <w:sz w:val="21"/>
          <w:szCs w:val="21"/>
          <w:highlight w:val="none"/>
        </w:rPr>
        <w:t>邮    编：</w:t>
      </w:r>
      <w:r>
        <w:rPr>
          <w:rFonts w:ascii="宋体" w:hAnsi="宋体"/>
          <w:snapToGrid w:val="0"/>
          <w:color w:val="auto"/>
          <w:kern w:val="0"/>
          <w:position w:val="-3"/>
          <w:sz w:val="21"/>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rPr>
      </w:pPr>
      <w:r>
        <w:rPr>
          <w:rFonts w:ascii="宋体" w:hAnsi="宋体"/>
          <w:snapToGrid w:val="0"/>
          <w:color w:val="auto"/>
          <w:kern w:val="0"/>
          <w:sz w:val="21"/>
          <w:szCs w:val="21"/>
          <w:highlight w:val="none"/>
        </w:rPr>
        <w:t>联 系 人：</w:t>
      </w:r>
      <w:r>
        <w:rPr>
          <w:rFonts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rPr>
        <w:t xml:space="preserve">     联 系 人：</w:t>
      </w:r>
      <w:r>
        <w:rPr>
          <w:rFonts w:ascii="宋体" w:hAnsi="宋体"/>
          <w:snapToGrid w:val="0"/>
          <w:color w:val="auto"/>
          <w:kern w:val="0"/>
          <w:sz w:val="21"/>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rPr>
      </w:pPr>
      <w:r>
        <w:rPr>
          <w:rFonts w:ascii="宋体" w:hAnsi="宋体"/>
          <w:snapToGrid w:val="0"/>
          <w:color w:val="auto"/>
          <w:kern w:val="0"/>
          <w:sz w:val="21"/>
          <w:szCs w:val="21"/>
          <w:highlight w:val="none"/>
        </w:rPr>
        <w:t>电    话：</w:t>
      </w:r>
      <w:r>
        <w:rPr>
          <w:rFonts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rPr>
        <w:t xml:space="preserve">     电    话：</w:t>
      </w:r>
      <w:r>
        <w:rPr>
          <w:rFonts w:ascii="宋体" w:hAnsi="宋体"/>
          <w:snapToGrid w:val="0"/>
          <w:color w:val="auto"/>
          <w:kern w:val="0"/>
          <w:sz w:val="21"/>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u w:val="single"/>
        </w:rPr>
      </w:pPr>
      <w:r>
        <w:rPr>
          <w:rFonts w:ascii="宋体" w:hAnsi="宋体"/>
          <w:snapToGrid w:val="0"/>
          <w:color w:val="auto"/>
          <w:kern w:val="0"/>
          <w:sz w:val="21"/>
          <w:szCs w:val="21"/>
          <w:highlight w:val="none"/>
        </w:rPr>
        <w:t>传    真：</w:t>
      </w:r>
      <w:r>
        <w:rPr>
          <w:rFonts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rPr>
        <w:t xml:space="preserve">     传    真：</w:t>
      </w:r>
      <w:r>
        <w:rPr>
          <w:rFonts w:ascii="宋体" w:hAnsi="宋体"/>
          <w:snapToGrid w:val="0"/>
          <w:color w:val="auto"/>
          <w:kern w:val="0"/>
          <w:sz w:val="21"/>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rPr>
      </w:pPr>
      <w:r>
        <w:rPr>
          <w:rFonts w:ascii="宋体" w:hAnsi="宋体"/>
          <w:snapToGrid w:val="0"/>
          <w:color w:val="auto"/>
          <w:kern w:val="0"/>
          <w:sz w:val="21"/>
          <w:szCs w:val="21"/>
          <w:highlight w:val="none"/>
        </w:rPr>
        <w:t>电子邮件：</w:t>
      </w:r>
      <w:r>
        <w:rPr>
          <w:rFonts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rPr>
        <w:t xml:space="preserve">     电子邮件：</w:t>
      </w:r>
      <w:r>
        <w:rPr>
          <w:rFonts w:ascii="宋体" w:hAnsi="宋体"/>
          <w:snapToGrid w:val="0"/>
          <w:color w:val="auto"/>
          <w:kern w:val="0"/>
          <w:sz w:val="21"/>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rPr>
      </w:pPr>
      <w:r>
        <w:rPr>
          <w:rFonts w:ascii="宋体" w:hAnsi="宋体"/>
          <w:snapToGrid w:val="0"/>
          <w:color w:val="auto"/>
          <w:kern w:val="0"/>
          <w:sz w:val="21"/>
          <w:szCs w:val="21"/>
          <w:highlight w:val="none"/>
        </w:rPr>
        <w:t>开户银行：</w:t>
      </w:r>
      <w:r>
        <w:rPr>
          <w:rFonts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rPr>
        <w:t xml:space="preserve">     开户银行：</w:t>
      </w:r>
      <w:r>
        <w:rPr>
          <w:rFonts w:ascii="宋体" w:hAnsi="宋体"/>
          <w:snapToGrid w:val="0"/>
          <w:color w:val="auto"/>
          <w:kern w:val="0"/>
          <w:sz w:val="21"/>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u w:val="single"/>
        </w:rPr>
      </w:pPr>
      <w:r>
        <w:rPr>
          <w:rFonts w:ascii="宋体" w:hAnsi="宋体"/>
          <w:snapToGrid w:val="0"/>
          <w:color w:val="auto"/>
          <w:kern w:val="0"/>
          <w:sz w:val="21"/>
          <w:szCs w:val="21"/>
          <w:highlight w:val="none"/>
        </w:rPr>
        <w:t>账    号：</w:t>
      </w:r>
      <w:r>
        <w:rPr>
          <w:rFonts w:ascii="宋体" w:hAnsi="宋体"/>
          <w:snapToGrid w:val="0"/>
          <w:color w:val="auto"/>
          <w:kern w:val="0"/>
          <w:sz w:val="21"/>
          <w:szCs w:val="21"/>
          <w:highlight w:val="none"/>
          <w:u w:val="single"/>
        </w:rPr>
        <w:t xml:space="preserve">                             </w:t>
      </w:r>
      <w:r>
        <w:rPr>
          <w:rFonts w:ascii="宋体" w:hAnsi="宋体"/>
          <w:snapToGrid w:val="0"/>
          <w:color w:val="auto"/>
          <w:kern w:val="0"/>
          <w:sz w:val="21"/>
          <w:szCs w:val="21"/>
          <w:highlight w:val="none"/>
        </w:rPr>
        <w:t xml:space="preserve">     账    号：</w:t>
      </w:r>
      <w:r>
        <w:rPr>
          <w:rFonts w:ascii="宋体" w:hAnsi="宋体"/>
          <w:snapToGrid w:val="0"/>
          <w:color w:val="auto"/>
          <w:kern w:val="0"/>
          <w:sz w:val="21"/>
          <w:szCs w:val="21"/>
          <w:highlight w:val="none"/>
          <w:u w:val="single"/>
        </w:rPr>
        <w:t xml:space="preserve">                                </w:t>
      </w: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lang w:val="en-US" w:eastAsia="zh-CN"/>
        </w:rPr>
      </w:pP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 w:val="21"/>
          <w:szCs w:val="21"/>
          <w:highlight w:val="none"/>
          <w:u w:val="single"/>
        </w:rPr>
      </w:pPr>
      <w:r>
        <w:rPr>
          <w:rFonts w:hint="eastAsia" w:ascii="宋体" w:hAnsi="宋体"/>
          <w:snapToGrid w:val="0"/>
          <w:kern w:val="0"/>
          <w:szCs w:val="21"/>
          <w:lang w:val="en-US" w:eastAsia="zh-CN"/>
        </w:rPr>
        <w:t>电</w:t>
      </w:r>
      <w:r>
        <w:rPr>
          <w:rFonts w:ascii="宋体" w:hAnsi="宋体"/>
          <w:snapToGrid w:val="0"/>
          <w:kern w:val="0"/>
          <w:szCs w:val="21"/>
        </w:rPr>
        <w:t xml:space="preserve">    </w:t>
      </w:r>
      <w:r>
        <w:rPr>
          <w:rFonts w:hint="eastAsia" w:ascii="宋体" w:hAnsi="宋体"/>
          <w:snapToGrid w:val="0"/>
          <w:kern w:val="0"/>
          <w:szCs w:val="21"/>
          <w:lang w:val="en-US" w:eastAsia="zh-CN"/>
        </w:rPr>
        <w:t>话</w:t>
      </w:r>
      <w:r>
        <w:rPr>
          <w:rFonts w:ascii="宋体" w:hAnsi="宋体"/>
          <w:snapToGrid w:val="0"/>
          <w:kern w:val="0"/>
          <w:szCs w:val="21"/>
        </w:rPr>
        <w:t>：</w:t>
      </w:r>
      <w:r>
        <w:rPr>
          <w:rFonts w:ascii="宋体" w:hAnsi="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3906" w:firstLineChars="1860"/>
        <w:jc w:val="right"/>
        <w:textAlignment w:val="auto"/>
        <w:rPr>
          <w:rFonts w:ascii="宋体" w:hAnsi="宋体"/>
          <w:snapToGrid w:val="0"/>
          <w:color w:val="auto"/>
          <w:kern w:val="0"/>
          <w:sz w:val="20"/>
          <w:szCs w:val="20"/>
          <w:highlight w:val="none"/>
        </w:rPr>
      </w:pP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pStyle w:val="3"/>
        <w:spacing w:before="0" w:after="0" w:line="200" w:lineRule="exact"/>
        <w:jc w:val="center"/>
        <w:outlineLvl w:val="9"/>
        <w:rPr>
          <w:rFonts w:ascii="宋体" w:hAnsi="宋体"/>
          <w:snapToGrid w:val="0"/>
          <w:color w:val="auto"/>
          <w:kern w:val="0"/>
          <w:szCs w:val="21"/>
          <w:highlight w:val="none"/>
        </w:rPr>
      </w:pPr>
      <w:r>
        <w:rPr>
          <w:rFonts w:ascii="宋体" w:hAnsi="宋体"/>
          <w:snapToGrid w:val="0"/>
          <w:color w:val="auto"/>
          <w:kern w:val="0"/>
          <w:szCs w:val="21"/>
          <w:highlight w:val="none"/>
        </w:rPr>
        <w:br w:type="page"/>
      </w:r>
      <w:bookmarkStart w:id="106" w:name="_Toc430530423"/>
      <w:bookmarkStart w:id="107" w:name="_Toc287607735"/>
      <w:bookmarkStart w:id="108" w:name="_Toc224103306"/>
      <w:bookmarkStart w:id="109" w:name="_Toc287620674"/>
    </w:p>
    <w:p>
      <w:pPr>
        <w:pStyle w:val="3"/>
        <w:spacing w:line="360" w:lineRule="auto"/>
        <w:jc w:val="center"/>
        <w:rPr>
          <w:rFonts w:ascii="宋体" w:hAnsi="宋体"/>
          <w:snapToGrid w:val="0"/>
          <w:color w:val="auto"/>
          <w:highlight w:val="none"/>
        </w:rPr>
      </w:pPr>
      <w:bookmarkStart w:id="110" w:name="_Toc20147"/>
      <w:bookmarkStart w:id="111" w:name="_Toc10369"/>
      <w:bookmarkStart w:id="112" w:name="_Toc26426"/>
      <w:bookmarkStart w:id="113" w:name="_Toc17631"/>
      <w:bookmarkStart w:id="114" w:name="_Toc509218699"/>
      <w:r>
        <w:rPr>
          <w:rFonts w:ascii="宋体" w:hAnsi="宋体"/>
          <w:snapToGrid w:val="0"/>
          <w:color w:val="auto"/>
          <w:highlight w:val="none"/>
        </w:rPr>
        <w:t>第一章  投标邀请书（</w:t>
      </w:r>
      <w:r>
        <w:rPr>
          <w:rFonts w:hint="eastAsia" w:ascii="宋体" w:hAnsi="宋体"/>
          <w:snapToGrid w:val="0"/>
          <w:color w:val="auto"/>
          <w:highlight w:val="none"/>
        </w:rPr>
        <w:t>适用于邀请招标</w:t>
      </w:r>
      <w:r>
        <w:rPr>
          <w:rFonts w:ascii="宋体" w:hAnsi="宋体"/>
          <w:snapToGrid w:val="0"/>
          <w:color w:val="auto"/>
          <w:highlight w:val="none"/>
        </w:rPr>
        <w:t>）</w:t>
      </w:r>
      <w:bookmarkEnd w:id="106"/>
      <w:bookmarkEnd w:id="107"/>
      <w:bookmarkEnd w:id="108"/>
      <w:bookmarkEnd w:id="109"/>
      <w:bookmarkEnd w:id="110"/>
      <w:bookmarkEnd w:id="111"/>
      <w:bookmarkEnd w:id="112"/>
      <w:bookmarkEnd w:id="113"/>
      <w:bookmarkEnd w:id="114"/>
    </w:p>
    <w:p>
      <w:pPr>
        <w:tabs>
          <w:tab w:val="left" w:pos="3425"/>
          <w:tab w:val="left" w:pos="5520"/>
        </w:tabs>
        <w:autoSpaceDE w:val="0"/>
        <w:autoSpaceDN w:val="0"/>
        <w:adjustRightInd w:val="0"/>
        <w:snapToGrid w:val="0"/>
        <w:spacing w:line="450" w:lineRule="exact"/>
        <w:jc w:val="center"/>
        <w:rPr>
          <w:rFonts w:ascii="宋体" w:hAnsi="宋体"/>
          <w:color w:val="auto"/>
          <w:kern w:val="0"/>
          <w:sz w:val="28"/>
          <w:szCs w:val="28"/>
          <w:highlight w:val="none"/>
        </w:rPr>
      </w:pPr>
      <w:r>
        <w:rPr>
          <w:rFonts w:hint="eastAsia" w:ascii="宋体" w:hAnsi="宋体"/>
          <w:snapToGrid w:val="0"/>
          <w:color w:val="auto"/>
          <w:kern w:val="0"/>
          <w:szCs w:val="21"/>
          <w:highlight w:val="none"/>
          <w:u w:val="single"/>
        </w:rPr>
        <w:t xml:space="preserve">                 </w:t>
      </w:r>
      <w:r>
        <w:rPr>
          <w:rFonts w:ascii="宋体" w:hAnsi="宋体"/>
          <w:color w:val="auto"/>
          <w:sz w:val="28"/>
          <w:szCs w:val="28"/>
          <w:highlight w:val="none"/>
          <w:u w:val="single"/>
        </w:rPr>
        <w:t>（项目名称）</w:t>
      </w:r>
      <w:r>
        <w:rPr>
          <w:rFonts w:ascii="宋体" w:hAnsi="宋体"/>
          <w:color w:val="auto"/>
          <w:w w:val="99"/>
          <w:kern w:val="0"/>
          <w:sz w:val="28"/>
          <w:szCs w:val="28"/>
          <w:highlight w:val="none"/>
        </w:rPr>
        <w:t>投标邀请书</w:t>
      </w:r>
    </w:p>
    <w:p>
      <w:pPr>
        <w:tabs>
          <w:tab w:val="left" w:pos="2940"/>
        </w:tabs>
        <w:autoSpaceDE w:val="0"/>
        <w:autoSpaceDN w:val="0"/>
        <w:adjustRightInd w:val="0"/>
        <w:snapToGrid w:val="0"/>
        <w:spacing w:line="450" w:lineRule="exact"/>
        <w:jc w:val="left"/>
        <w:rPr>
          <w:rFonts w:ascii="宋体" w:hAnsi="宋体"/>
          <w:b/>
          <w:snapToGrid w:val="0"/>
          <w:color w:val="auto"/>
          <w:sz w:val="28"/>
          <w:szCs w:val="28"/>
          <w:highlight w:val="none"/>
        </w:rPr>
      </w:pP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（被邀请单位名称）</w:t>
      </w:r>
      <w:r>
        <w:rPr>
          <w:rFonts w:ascii="宋体" w:hAnsi="宋体"/>
          <w:b/>
          <w:snapToGrid w:val="0"/>
          <w:color w:val="auto"/>
          <w:kern w:val="0"/>
          <w:szCs w:val="21"/>
          <w:highlight w:val="none"/>
        </w:rPr>
        <w:t>：</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115" w:name="_Toc224103307"/>
      <w:bookmarkStart w:id="116" w:name="_Toc287620675"/>
      <w:bookmarkStart w:id="117" w:name="_Toc12071"/>
      <w:bookmarkStart w:id="118" w:name="_Toc30115"/>
      <w:bookmarkStart w:id="119" w:name="_Toc7"/>
      <w:bookmarkStart w:id="120" w:name="_Toc287607736"/>
      <w:bookmarkStart w:id="121" w:name="_Toc430530424"/>
      <w:bookmarkStart w:id="122" w:name="_Toc20157"/>
      <w:bookmarkStart w:id="123" w:name="_Toc277082543"/>
      <w:bookmarkStart w:id="124" w:name="_Toc509218700"/>
      <w:r>
        <w:rPr>
          <w:rFonts w:ascii="宋体" w:hAnsi="宋体"/>
          <w:snapToGrid w:val="0"/>
          <w:color w:val="auto"/>
          <w:sz w:val="28"/>
          <w:szCs w:val="28"/>
          <w:highlight w:val="none"/>
        </w:rPr>
        <w:t>1.  招标条件</w:t>
      </w:r>
      <w:bookmarkEnd w:id="115"/>
      <w:bookmarkEnd w:id="116"/>
      <w:bookmarkEnd w:id="117"/>
      <w:bookmarkEnd w:id="118"/>
      <w:bookmarkEnd w:id="119"/>
      <w:bookmarkEnd w:id="120"/>
      <w:bookmarkEnd w:id="121"/>
      <w:bookmarkEnd w:id="122"/>
      <w:bookmarkEnd w:id="123"/>
      <w:bookmarkEnd w:id="124"/>
    </w:p>
    <w:p>
      <w:pPr>
        <w:pageBreakBefore w:val="0"/>
        <w:widowControl w:val="0"/>
        <w:tabs>
          <w:tab w:val="left" w:pos="4305"/>
          <w:tab w:val="left" w:pos="4640"/>
          <w:tab w:val="left" w:pos="7240"/>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本招标项目</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已由</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（项目审批</w:t>
      </w:r>
      <w:r>
        <w:rPr>
          <w:rFonts w:hint="eastAsia" w:ascii="宋体" w:hAnsi="宋体"/>
          <w:snapToGrid w:val="0"/>
          <w:color w:val="auto"/>
          <w:kern w:val="0"/>
          <w:szCs w:val="21"/>
          <w:highlight w:val="none"/>
          <w:u w:val="single"/>
          <w:lang w:val="en-US" w:eastAsia="zh-CN"/>
        </w:rPr>
        <w:t>或</w:t>
      </w:r>
      <w:r>
        <w:rPr>
          <w:rFonts w:ascii="宋体" w:hAnsi="宋体"/>
          <w:snapToGrid w:val="0"/>
          <w:color w:val="auto"/>
          <w:kern w:val="0"/>
          <w:szCs w:val="21"/>
          <w:highlight w:val="none"/>
          <w:u w:val="single"/>
        </w:rPr>
        <w:t>核准机关名称）</w:t>
      </w:r>
      <w:r>
        <w:rPr>
          <w:rFonts w:ascii="宋体" w:hAnsi="宋体"/>
          <w:snapToGrid w:val="0"/>
          <w:color w:val="auto"/>
          <w:kern w:val="0"/>
          <w:szCs w:val="21"/>
          <w:highlight w:val="none"/>
        </w:rPr>
        <w:t>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（批文名称及编号）</w:t>
      </w:r>
      <w:r>
        <w:rPr>
          <w:rFonts w:ascii="宋体" w:hAnsi="宋体"/>
          <w:snapToGrid w:val="0"/>
          <w:color w:val="auto"/>
          <w:kern w:val="0"/>
          <w:szCs w:val="21"/>
          <w:highlight w:val="none"/>
        </w:rPr>
        <w:t>批准建设，项目业主为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，建设资金来自</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（资金来源）</w:t>
      </w:r>
      <w:r>
        <w:rPr>
          <w:rFonts w:ascii="宋体" w:hAnsi="宋体"/>
          <w:snapToGrid w:val="0"/>
          <w:color w:val="auto"/>
          <w:kern w:val="0"/>
          <w:szCs w:val="21"/>
          <w:highlight w:val="none"/>
        </w:rPr>
        <w:t>，项目出资比例为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，招标人为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。项目已具备招标条件，现邀请你单位参加</w:t>
      </w:r>
      <w:r>
        <w:rPr>
          <w:rFonts w:hint="eastAsia" w:ascii="宋体" w:hAnsi="宋体"/>
          <w:snapToGrid w:val="0"/>
          <w:color w:val="auto"/>
          <w:kern w:val="0"/>
          <w:szCs w:val="21"/>
          <w:highlight w:val="none"/>
          <w:u w:val="single"/>
        </w:rPr>
        <w:t>该项目的施工</w:t>
      </w:r>
      <w:r>
        <w:rPr>
          <w:rFonts w:ascii="宋体" w:hAnsi="宋体"/>
          <w:snapToGrid w:val="0"/>
          <w:color w:val="auto"/>
          <w:kern w:val="0"/>
          <w:szCs w:val="21"/>
          <w:highlight w:val="none"/>
        </w:rPr>
        <w:t>投标。</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125" w:name="_Toc224103308"/>
      <w:bookmarkStart w:id="126" w:name="_Toc4153"/>
      <w:bookmarkStart w:id="127" w:name="_Toc277082544"/>
      <w:bookmarkStart w:id="128" w:name="_Toc287620676"/>
      <w:bookmarkStart w:id="129" w:name="_Toc31192"/>
      <w:bookmarkStart w:id="130" w:name="_Toc30396"/>
      <w:bookmarkStart w:id="131" w:name="_Toc2222"/>
      <w:bookmarkStart w:id="132" w:name="_Toc430530425"/>
      <w:bookmarkStart w:id="133" w:name="_Toc509218701"/>
      <w:bookmarkStart w:id="134" w:name="_Toc287607737"/>
      <w:r>
        <w:rPr>
          <w:rFonts w:ascii="宋体" w:hAnsi="宋体"/>
          <w:snapToGrid w:val="0"/>
          <w:color w:val="auto"/>
          <w:sz w:val="28"/>
          <w:szCs w:val="28"/>
          <w:highlight w:val="none"/>
        </w:rPr>
        <w:t>2.  项目概况与招标范围</w:t>
      </w:r>
      <w:bookmarkEnd w:id="125"/>
      <w:bookmarkEnd w:id="126"/>
      <w:bookmarkEnd w:id="127"/>
      <w:bookmarkEnd w:id="128"/>
      <w:bookmarkEnd w:id="129"/>
      <w:bookmarkEnd w:id="130"/>
      <w:bookmarkEnd w:id="131"/>
      <w:bookmarkEnd w:id="132"/>
      <w:bookmarkEnd w:id="133"/>
      <w:bookmarkEnd w:id="134"/>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2.1 建设地点：</w:t>
      </w:r>
      <w:r>
        <w:rPr>
          <w:rFonts w:hint="eastAsia" w:ascii="宋体" w:hAnsi="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hint="eastAsia" w:ascii="宋体" w:hAnsi="宋体"/>
          <w:snapToGrid w:val="0"/>
          <w:color w:val="auto"/>
          <w:kern w:val="0"/>
          <w:szCs w:val="21"/>
          <w:highlight w:val="none"/>
        </w:rPr>
        <w:t>2.2 项目概况与建设规模：</w:t>
      </w:r>
      <w:r>
        <w:rPr>
          <w:rFonts w:hint="eastAsia" w:ascii="宋体" w:hAnsi="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cs="宋体"/>
          <w:b w:val="0"/>
          <w:bCs w:val="0"/>
          <w:i/>
          <w:strike/>
          <w:snapToGrid w:val="0"/>
          <w:color w:val="auto"/>
          <w:kern w:val="0"/>
          <w:szCs w:val="21"/>
          <w:highlight w:val="none"/>
        </w:rPr>
      </w:pPr>
      <w:r>
        <w:rPr>
          <w:rFonts w:hint="eastAsia" w:ascii="宋体" w:hAnsi="宋体" w:cs="宋体"/>
          <w:b w:val="0"/>
          <w:bCs w:val="0"/>
          <w:i/>
          <w:snapToGrid w:val="0"/>
          <w:color w:val="auto"/>
          <w:kern w:val="0"/>
          <w:szCs w:val="21"/>
          <w:highlight w:val="none"/>
        </w:rPr>
        <w:t>[提示：</w:t>
      </w:r>
      <w:r>
        <w:rPr>
          <w:rFonts w:hint="eastAsia" w:asciiTheme="minorEastAsia" w:hAnsiTheme="minorEastAsia" w:eastAsiaTheme="minorEastAsia"/>
          <w:i/>
          <w:color w:val="auto"/>
          <w:szCs w:val="21"/>
          <w:highlight w:val="none"/>
        </w:rPr>
        <w:t>项目概况与建设规模</w:t>
      </w:r>
      <w:r>
        <w:rPr>
          <w:rFonts w:hint="eastAsia" w:ascii="宋体" w:hAnsi="宋体"/>
          <w:i/>
          <w:snapToGrid w:val="0"/>
          <w:kern w:val="0"/>
          <w:szCs w:val="21"/>
        </w:rPr>
        <w:t>应体现与业绩</w:t>
      </w:r>
      <w:r>
        <w:rPr>
          <w:rFonts w:hint="eastAsia" w:ascii="宋体" w:hAnsi="宋体"/>
          <w:i/>
          <w:snapToGrid w:val="0"/>
          <w:kern w:val="0"/>
          <w:szCs w:val="21"/>
          <w:lang w:val="en-US" w:eastAsia="zh-CN"/>
        </w:rPr>
        <w:t>要求</w:t>
      </w:r>
      <w:r>
        <w:rPr>
          <w:rFonts w:hint="eastAsia" w:ascii="宋体" w:hAnsi="宋体"/>
          <w:i/>
          <w:snapToGrid w:val="0"/>
          <w:kern w:val="0"/>
          <w:szCs w:val="21"/>
        </w:rPr>
        <w:t>对应的参数</w:t>
      </w:r>
      <w:r>
        <w:rPr>
          <w:rFonts w:hint="eastAsia" w:ascii="宋体" w:hAnsi="宋体" w:cs="宋体"/>
          <w:b w:val="0"/>
          <w:bCs w:val="0"/>
          <w:i/>
          <w:iCs/>
          <w:color w:val="auto"/>
          <w:sz w:val="21"/>
          <w:szCs w:val="21"/>
          <w:highlight w:val="none"/>
          <w:lang w:eastAsia="zh-CN"/>
        </w:rPr>
        <w:t>，</w:t>
      </w:r>
      <w:r>
        <w:rPr>
          <w:rFonts w:hint="eastAsia" w:ascii="宋体" w:hAnsi="宋体" w:cs="宋体"/>
          <w:b w:val="0"/>
          <w:bCs w:val="0"/>
          <w:i/>
          <w:snapToGrid w:val="0"/>
          <w:color w:val="auto"/>
          <w:kern w:val="0"/>
          <w:szCs w:val="21"/>
          <w:highlight w:val="none"/>
        </w:rPr>
        <w:t>包括但不限于：山体崩塌、滑坡、泥石流、地面塌陷、地裂缝、地面沉降等与地质作用有关的灾害分级，根据施工经费、勘察经费、设计经费，灾情和险情的分级</w:t>
      </w:r>
      <w:r>
        <w:rPr>
          <w:rFonts w:hint="eastAsia" w:ascii="宋体" w:hAnsi="宋体" w:cs="宋体"/>
          <w:b w:val="0"/>
          <w:bCs w:val="0"/>
          <w:i/>
          <w:snapToGrid w:val="0"/>
          <w:color w:val="auto"/>
          <w:kern w:val="0"/>
          <w:szCs w:val="21"/>
          <w:highlight w:val="none"/>
          <w:lang w:val="en-US" w:eastAsia="zh-CN"/>
        </w:rPr>
        <w:t>等</w:t>
      </w:r>
      <w:r>
        <w:rPr>
          <w:rFonts w:hint="eastAsia" w:ascii="宋体" w:hAnsi="宋体" w:cs="宋体"/>
          <w:b w:val="0"/>
          <w:bCs w:val="0"/>
          <w:i/>
          <w:snapToGrid w:val="0"/>
          <w:color w:val="auto"/>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2.3 □本项目工程总投资</w:t>
      </w:r>
      <w:r>
        <w:rPr>
          <w:rFonts w:hint="eastAsia" w:ascii="宋体" w:hAnsi="宋体"/>
          <w:snapToGrid w:val="0"/>
          <w:color w:val="auto"/>
          <w:kern w:val="0"/>
          <w:szCs w:val="21"/>
          <w:highlight w:val="none"/>
          <w:lang w:val="en-US" w:eastAsia="zh-CN"/>
        </w:rPr>
        <w:t>金</w:t>
      </w:r>
      <w:r>
        <w:rPr>
          <w:rFonts w:hint="eastAsia" w:ascii="宋体" w:hAnsi="宋体"/>
          <w:snapToGrid w:val="0"/>
          <w:color w:val="auto"/>
          <w:kern w:val="0"/>
          <w:szCs w:val="21"/>
          <w:highlight w:val="none"/>
        </w:rPr>
        <w:t>额：</w:t>
      </w:r>
      <w:r>
        <w:rPr>
          <w:rFonts w:hint="eastAsia" w:ascii="宋体" w:hAnsi="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840" w:firstLineChars="400"/>
        <w:jc w:val="left"/>
        <w:textAlignment w:val="auto"/>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□本次招标项目合同估算金额：</w:t>
      </w:r>
      <w:r>
        <w:rPr>
          <w:rFonts w:hint="eastAsia" w:ascii="宋体" w:hAnsi="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2.4 招标范围：</w:t>
      </w:r>
      <w:r>
        <w:rPr>
          <w:rFonts w:hint="eastAsia" w:ascii="宋体" w:hAnsi="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u w:val="single"/>
        </w:rPr>
      </w:pPr>
      <w:r>
        <w:rPr>
          <w:rFonts w:hint="eastAsia" w:ascii="宋体" w:hAnsi="宋体"/>
          <w:i/>
          <w:snapToGrid w:val="0"/>
          <w:color w:val="auto"/>
          <w:kern w:val="0"/>
          <w:szCs w:val="21"/>
          <w:highlight w:val="none"/>
        </w:rPr>
        <w:t>[提示：</w:t>
      </w:r>
      <w:r>
        <w:rPr>
          <w:rFonts w:ascii="宋体" w:hAnsi="宋体"/>
          <w:i/>
          <w:color w:val="auto"/>
          <w:szCs w:val="21"/>
          <w:highlight w:val="none"/>
        </w:rPr>
        <w:t>招标范围应准确明了，</w:t>
      </w:r>
      <w:r>
        <w:rPr>
          <w:rFonts w:hint="eastAsia" w:ascii="宋体" w:hAnsi="宋体"/>
          <w:i/>
          <w:color w:val="auto"/>
          <w:szCs w:val="21"/>
          <w:highlight w:val="none"/>
        </w:rPr>
        <w:t>按照项目审批、核准文件</w:t>
      </w:r>
      <w:r>
        <w:rPr>
          <w:rFonts w:ascii="宋体" w:hAnsi="宋体"/>
          <w:i/>
          <w:color w:val="auto"/>
          <w:szCs w:val="21"/>
          <w:highlight w:val="none"/>
        </w:rPr>
        <w:t>采用工程专业术语</w:t>
      </w:r>
      <w:r>
        <w:rPr>
          <w:rFonts w:hint="eastAsia" w:ascii="宋体" w:hAnsi="宋体"/>
          <w:i/>
          <w:color w:val="auto"/>
          <w:szCs w:val="21"/>
          <w:highlight w:val="none"/>
        </w:rPr>
        <w:t>进行</w:t>
      </w:r>
      <w:r>
        <w:rPr>
          <w:rFonts w:ascii="宋体" w:hAnsi="宋体"/>
          <w:i/>
          <w:color w:val="auto"/>
          <w:szCs w:val="21"/>
          <w:highlight w:val="none"/>
        </w:rPr>
        <w:t>填写</w:t>
      </w:r>
      <w:r>
        <w:rPr>
          <w:rFonts w:hint="eastAsia" w:ascii="宋体" w:hAnsi="宋体"/>
          <w:i/>
          <w:color w:val="auto"/>
          <w:szCs w:val="21"/>
          <w:highlight w:val="none"/>
        </w:rPr>
        <w:t>。</w:t>
      </w:r>
      <w:r>
        <w:rPr>
          <w:rFonts w:hint="eastAsia" w:ascii="宋体" w:hAnsi="宋体"/>
          <w:i/>
          <w:snapToGrid w:val="0"/>
          <w:color w:val="auto"/>
          <w:kern w:val="0"/>
          <w:szCs w:val="21"/>
          <w:highlight w:val="none"/>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2.5 工期要求：</w:t>
      </w:r>
      <w:r>
        <w:rPr>
          <w:rFonts w:hint="eastAsia" w:ascii="宋体" w:hAnsi="宋体"/>
          <w:snapToGrid w:val="0"/>
          <w:color w:val="auto"/>
          <w:kern w:val="0"/>
          <w:szCs w:val="21"/>
          <w:highlight w:val="none"/>
          <w:u w:val="single"/>
        </w:rPr>
        <w:t xml:space="preserve">        日历天</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    缺陷责任期要求：</w:t>
      </w:r>
      <w:r>
        <w:rPr>
          <w:rFonts w:hint="eastAsia" w:ascii="宋体" w:hAnsi="宋体"/>
          <w:snapToGrid w:val="0"/>
          <w:color w:val="auto"/>
          <w:kern w:val="0"/>
          <w:szCs w:val="21"/>
          <w:highlight w:val="none"/>
          <w:u w:val="single"/>
        </w:rPr>
        <w:t xml:space="preserve">        个月</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hint="eastAsia" w:ascii="宋体" w:hAnsi="宋体"/>
          <w:snapToGrid w:val="0"/>
          <w:color w:val="auto"/>
          <w:kern w:val="0"/>
          <w:szCs w:val="21"/>
          <w:highlight w:val="none"/>
        </w:rPr>
        <w:t>2.6 标段划分（如有）：</w:t>
      </w:r>
      <w:r>
        <w:rPr>
          <w:rFonts w:hint="eastAsia" w:ascii="宋体" w:hAnsi="宋体"/>
          <w:snapToGrid w:val="0"/>
          <w:color w:val="auto"/>
          <w:kern w:val="0"/>
          <w:szCs w:val="21"/>
          <w:highlight w:val="none"/>
          <w:u w:val="single"/>
        </w:rPr>
        <w:t xml:space="preserve">        </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rPr>
      </w:pPr>
      <w:r>
        <w:rPr>
          <w:rFonts w:hint="eastAsia" w:ascii="宋体" w:hAnsi="宋体"/>
          <w:snapToGrid w:val="0"/>
          <w:kern w:val="0"/>
          <w:szCs w:val="21"/>
          <w:lang w:val="en-US" w:eastAsia="zh-CN"/>
        </w:rPr>
        <w:t>2.</w:t>
      </w:r>
      <w:r>
        <w:rPr>
          <w:rFonts w:hint="default" w:ascii="宋体" w:hAnsi="宋体"/>
          <w:snapToGrid w:val="0"/>
          <w:kern w:val="0"/>
          <w:szCs w:val="21"/>
          <w:lang w:val="en-US"/>
        </w:rPr>
        <w:t>7</w:t>
      </w:r>
      <w:r>
        <w:rPr>
          <w:rFonts w:hint="eastAsia" w:ascii="宋体" w:hAnsi="宋体"/>
          <w:snapToGrid w:val="0"/>
          <w:kern w:val="0"/>
          <w:szCs w:val="21"/>
        </w:rPr>
        <w:t xml:space="preserve"> 其他：</w:t>
      </w:r>
      <w:r>
        <w:rPr>
          <w:rFonts w:hint="eastAsia" w:ascii="宋体" w:hAnsi="宋体"/>
          <w:snapToGrid w:val="0"/>
          <w:kern w:val="0"/>
          <w:szCs w:val="21"/>
          <w:u w:val="single"/>
        </w:rPr>
        <w:t xml:space="preserve">        </w:t>
      </w:r>
    </w:p>
    <w:p>
      <w:pPr>
        <w:pStyle w:val="4"/>
        <w:pageBreakBefore w:val="0"/>
        <w:widowControl w:val="0"/>
        <w:kinsoku/>
        <w:wordWrap/>
        <w:overflowPunct/>
        <w:topLinePunct w:val="0"/>
        <w:bidi w:val="0"/>
        <w:spacing w:before="100" w:after="100" w:line="360" w:lineRule="auto"/>
        <w:textAlignment w:val="auto"/>
        <w:rPr>
          <w:rFonts w:hint="default" w:ascii="宋体" w:hAnsi="宋体" w:eastAsia="宋体"/>
          <w:snapToGrid w:val="0"/>
          <w:sz w:val="28"/>
          <w:szCs w:val="28"/>
          <w:lang w:val="en-US" w:eastAsia="zh-CN"/>
        </w:rPr>
      </w:pPr>
      <w:bookmarkStart w:id="135" w:name="_Toc3240"/>
      <w:bookmarkStart w:id="136" w:name="_Toc21027"/>
      <w:r>
        <w:rPr>
          <w:rFonts w:hint="eastAsia" w:ascii="宋体" w:hAnsi="宋体"/>
          <w:snapToGrid w:val="0"/>
          <w:sz w:val="28"/>
          <w:szCs w:val="28"/>
          <w:lang w:val="en-US" w:eastAsia="zh-CN"/>
        </w:rPr>
        <w:t>3.  政府采购工程</w:t>
      </w:r>
      <w:bookmarkEnd w:id="135"/>
      <w:bookmarkEnd w:id="136"/>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default" w:ascii="宋体" w:hAnsi="宋体"/>
          <w:snapToGrid w:val="0"/>
          <w:kern w:val="0"/>
          <w:szCs w:val="21"/>
          <w:lang w:val="en-US" w:eastAsia="zh-CN"/>
        </w:rPr>
      </w:pPr>
      <w:r>
        <w:rPr>
          <w:rFonts w:hint="eastAsia" w:ascii="宋体" w:hAnsi="宋体"/>
          <w:snapToGrid w:val="0"/>
          <w:kern w:val="0"/>
          <w:szCs w:val="21"/>
          <w:lang w:val="en-US" w:eastAsia="zh-CN"/>
        </w:rPr>
        <w:t xml:space="preserve">3.1 </w:t>
      </w:r>
      <w:r>
        <w:rPr>
          <w:rFonts w:hint="eastAsia" w:ascii="宋体" w:hAnsi="宋体"/>
          <w:snapToGrid w:val="0"/>
          <w:kern w:val="0"/>
          <w:szCs w:val="21"/>
        </w:rPr>
        <w:t>是否属于政府采购工程</w:t>
      </w:r>
      <w:r>
        <w:rPr>
          <w:rFonts w:hint="eastAsia" w:ascii="宋体" w:hAnsi="宋体"/>
          <w:snapToGrid w:val="0"/>
          <w:kern w:val="0"/>
          <w:szCs w:val="21"/>
          <w:lang w:eastAsia="zh-CN"/>
        </w:rPr>
        <w:t>：</w:t>
      </w:r>
      <w:r>
        <w:rPr>
          <w:rFonts w:hint="eastAsia" w:ascii="宋体" w:hAnsi="宋体"/>
          <w:snapToGrid w:val="0"/>
          <w:kern w:val="0"/>
          <w:szCs w:val="21"/>
        </w:rPr>
        <w:t>□是</w:t>
      </w:r>
      <w:r>
        <w:rPr>
          <w:rFonts w:hint="eastAsia" w:ascii="宋体" w:hAnsi="宋体"/>
          <w:snapToGrid w:val="0"/>
          <w:kern w:val="0"/>
          <w:szCs w:val="21"/>
          <w:lang w:val="en-US" w:eastAsia="zh-CN"/>
        </w:rPr>
        <w:t xml:space="preserve"> </w:t>
      </w:r>
      <w:r>
        <w:rPr>
          <w:rFonts w:hint="eastAsia" w:ascii="宋体" w:hAnsi="宋体"/>
          <w:snapToGrid w:val="0"/>
          <w:kern w:val="0"/>
          <w:szCs w:val="21"/>
        </w:rPr>
        <w:t>□否</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rPr>
      </w:pPr>
      <w:r>
        <w:rPr>
          <w:rFonts w:hint="eastAsia" w:ascii="宋体" w:hAnsi="宋体"/>
          <w:snapToGrid w:val="0"/>
          <w:kern w:val="0"/>
          <w:szCs w:val="21"/>
          <w:lang w:val="en-US" w:eastAsia="zh-CN"/>
        </w:rPr>
        <w:t xml:space="preserve">3.2 </w:t>
      </w:r>
      <w:r>
        <w:rPr>
          <w:rFonts w:hint="eastAsia" w:ascii="宋体" w:hAnsi="宋体"/>
          <w:snapToGrid w:val="0"/>
          <w:kern w:val="0"/>
          <w:szCs w:val="21"/>
        </w:rPr>
        <w:t>是否专门面向中小企业预留：□是</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highlight w:val="none"/>
        </w:rPr>
      </w:pPr>
      <w:r>
        <w:rPr>
          <w:rFonts w:hint="eastAsia" w:ascii="宋体" w:hAnsi="宋体"/>
          <w:snapToGrid w:val="0"/>
          <w:kern w:val="0"/>
          <w:szCs w:val="21"/>
        </w:rPr>
        <w:t>专门面向中小企业预留的实施方式：</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w:t>
      </w:r>
      <w:r>
        <w:rPr>
          <w:rFonts w:hint="eastAsia" w:ascii="宋体" w:hAnsi="宋体"/>
          <w:i/>
          <w:iCs/>
          <w:snapToGrid w:val="0"/>
          <w:kern w:val="0"/>
          <w:szCs w:val="21"/>
          <w:u w:val="none"/>
        </w:rPr>
        <w:t>不低于40%</w:t>
      </w:r>
      <w:r>
        <w:rPr>
          <w:rFonts w:hint="eastAsia" w:ascii="宋体" w:hAnsi="宋体"/>
          <w:i/>
          <w:iCs/>
          <w:snapToGrid w:val="0"/>
          <w:kern w:val="0"/>
          <w:szCs w:val="21"/>
          <w:highlight w:val="none"/>
          <w:u w:val="none"/>
        </w:rPr>
        <w:t>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rPr>
        <w:t>本项目整体面向中小企业</w:t>
      </w:r>
      <w:r>
        <w:rPr>
          <w:rFonts w:hint="eastAsia" w:ascii="宋体" w:hAnsi="宋体"/>
          <w:snapToGrid w:val="0"/>
          <w:kern w:val="0"/>
          <w:szCs w:val="21"/>
          <w:highlight w:val="none"/>
          <w:lang w:eastAsia="zh-CN"/>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w:t>
      </w:r>
      <w:r>
        <w:rPr>
          <w:rFonts w:hint="eastAsia" w:ascii="宋体" w:hAnsi="宋体"/>
          <w:snapToGrid w:val="0"/>
          <w:kern w:val="0"/>
          <w:szCs w:val="21"/>
        </w:rPr>
        <w:t>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hint="eastAsia" w:ascii="宋体" w:hAnsi="宋体"/>
          <w:snapToGrid w:val="0"/>
          <w:kern w:val="0"/>
          <w:szCs w:val="21"/>
        </w:rPr>
        <w:t>□否</w:t>
      </w:r>
      <w:r>
        <w:rPr>
          <w:rFonts w:hint="eastAsia" w:ascii="宋体" w:hAnsi="宋体"/>
          <w:snapToGrid w:val="0"/>
          <w:kern w:val="0"/>
          <w:szCs w:val="21"/>
          <w:highlight w:val="none"/>
          <w:lang w:eastAsia="zh-CN"/>
        </w:rPr>
        <w:t>，</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u w:val="none"/>
          <w:lang w:val="en-US" w:eastAsia="zh-CN"/>
        </w:rPr>
        <w:t>。</w:t>
      </w:r>
      <w:r>
        <w:rPr>
          <w:rFonts w:hint="eastAsia" w:ascii="宋体" w:hAnsi="宋体"/>
          <w:i/>
          <w:iCs/>
          <w:snapToGrid w:val="0"/>
          <w:kern w:val="0"/>
          <w:szCs w:val="21"/>
          <w:u w:val="none"/>
        </w:rPr>
        <w:t>[提示：填写不专门面向中小企业采购的原因及适用条款</w:t>
      </w:r>
      <w:r>
        <w:rPr>
          <w:rFonts w:hint="eastAsia" w:ascii="宋体" w:hAnsi="宋体"/>
          <w:i/>
          <w:iCs/>
          <w:snapToGrid w:val="0"/>
          <w:kern w:val="0"/>
          <w:szCs w:val="21"/>
          <w:u w:val="none"/>
          <w:lang w:eastAsia="zh-CN"/>
        </w:rPr>
        <w:t>，</w:t>
      </w:r>
      <w:r>
        <w:rPr>
          <w:rFonts w:hint="eastAsia" w:ascii="宋体" w:hAnsi="宋体"/>
          <w:i/>
          <w:iCs/>
          <w:snapToGrid w:val="0"/>
          <w:kern w:val="0"/>
          <w:szCs w:val="21"/>
          <w:highlight w:val="none"/>
          <w:u w:val="none"/>
          <w:lang w:eastAsia="zh-CN"/>
        </w:rPr>
        <w:t>详见《政府采购促进中小企业发展管理办法》第六条。</w:t>
      </w:r>
      <w:r>
        <w:rPr>
          <w:rFonts w:hint="eastAsia" w:ascii="宋体" w:hAnsi="宋体"/>
          <w:i/>
          <w:iCs/>
          <w:snapToGrid w:val="0"/>
          <w:kern w:val="0"/>
          <w:szCs w:val="21"/>
          <w:highlight w:val="none"/>
          <w:u w:val="none"/>
        </w:rPr>
        <w:t>]</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137" w:name="_Toc14826"/>
      <w:bookmarkStart w:id="138" w:name="_Toc10278"/>
      <w:bookmarkStart w:id="139" w:name="_Toc224103309"/>
      <w:bookmarkStart w:id="140" w:name="_Toc24470"/>
      <w:bookmarkStart w:id="141" w:name="_Toc430530426"/>
      <w:bookmarkStart w:id="142" w:name="_Toc287620677"/>
      <w:bookmarkStart w:id="143" w:name="_Toc26232"/>
      <w:bookmarkStart w:id="144" w:name="_Toc277082545"/>
      <w:bookmarkStart w:id="145" w:name="_Toc287607738"/>
      <w:bookmarkStart w:id="146" w:name="_Toc509218702"/>
      <w:r>
        <w:rPr>
          <w:rFonts w:hint="eastAsia" w:ascii="宋体" w:hAnsi="宋体"/>
          <w:snapToGrid w:val="0"/>
          <w:sz w:val="28"/>
          <w:szCs w:val="28"/>
          <w:lang w:val="en-US" w:eastAsia="zh-CN"/>
        </w:rPr>
        <w:t>4</w:t>
      </w:r>
      <w:r>
        <w:rPr>
          <w:rFonts w:ascii="宋体" w:hAnsi="宋体"/>
          <w:snapToGrid w:val="0"/>
          <w:color w:val="auto"/>
          <w:sz w:val="28"/>
          <w:szCs w:val="28"/>
          <w:highlight w:val="none"/>
        </w:rPr>
        <w:t>.  投标人资格要求</w:t>
      </w:r>
      <w:bookmarkEnd w:id="137"/>
      <w:bookmarkEnd w:id="138"/>
      <w:bookmarkEnd w:id="139"/>
      <w:bookmarkEnd w:id="140"/>
      <w:bookmarkEnd w:id="141"/>
      <w:bookmarkEnd w:id="142"/>
      <w:bookmarkEnd w:id="143"/>
      <w:bookmarkEnd w:id="144"/>
      <w:bookmarkEnd w:id="145"/>
      <w:bookmarkEnd w:id="146"/>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hint="eastAsia" w:ascii="宋体" w:hAnsi="宋体"/>
          <w:snapToGrid w:val="0"/>
          <w:kern w:val="0"/>
          <w:szCs w:val="21"/>
          <w:lang w:val="en-US" w:eastAsia="zh-CN"/>
        </w:rPr>
        <w:t>4</w:t>
      </w:r>
      <w:r>
        <w:rPr>
          <w:rFonts w:ascii="宋体" w:hAnsi="宋体"/>
          <w:snapToGrid w:val="0"/>
          <w:color w:val="auto"/>
          <w:kern w:val="0"/>
          <w:szCs w:val="21"/>
          <w:highlight w:val="none"/>
        </w:rPr>
        <w:t>.1  本次招标要求投标人须具备</w:t>
      </w:r>
      <w:r>
        <w:rPr>
          <w:rFonts w:hint="eastAsia" w:ascii="宋体" w:hAnsi="宋体"/>
          <w:snapToGrid w:val="0"/>
          <w:color w:val="auto"/>
          <w:kern w:val="0"/>
          <w:szCs w:val="21"/>
          <w:highlight w:val="none"/>
        </w:rPr>
        <w:t>以下条件：</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hint="eastAsia" w:ascii="宋体" w:hAnsi="宋体"/>
          <w:snapToGrid w:val="0"/>
          <w:kern w:val="0"/>
          <w:szCs w:val="21"/>
          <w:lang w:val="en-US" w:eastAsia="zh-CN"/>
        </w:rPr>
        <w:t>4</w:t>
      </w:r>
      <w:r>
        <w:rPr>
          <w:rFonts w:hint="eastAsia" w:ascii="宋体" w:hAnsi="宋体"/>
          <w:snapToGrid w:val="0"/>
          <w:color w:val="auto"/>
          <w:kern w:val="0"/>
          <w:szCs w:val="21"/>
          <w:highlight w:val="none"/>
        </w:rPr>
        <w:t>.1.1 本次招标要求投标人具备的资质条件：</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default" w:ascii="宋体" w:hAnsi="宋体" w:eastAsia="宋体" w:cs="宋体"/>
          <w:b w:val="0"/>
          <w:bCs w:val="0"/>
          <w:i/>
          <w:iCs/>
          <w:color w:val="auto"/>
          <w:szCs w:val="21"/>
          <w:highlight w:val="none"/>
          <w:lang w:val="en-US" w:eastAsia="zh-CN"/>
        </w:rPr>
      </w:pPr>
      <w:r>
        <w:rPr>
          <w:rFonts w:hint="eastAsia" w:ascii="宋体" w:hAnsi="宋体" w:cs="宋体"/>
          <w:b w:val="0"/>
          <w:bCs w:val="0"/>
          <w:i/>
          <w:iCs/>
          <w:color w:val="auto"/>
          <w:szCs w:val="21"/>
          <w:highlight w:val="none"/>
        </w:rPr>
        <w:t>[提示：资质的</w:t>
      </w:r>
      <w:r>
        <w:rPr>
          <w:rFonts w:hint="eastAsia" w:ascii="宋体" w:hAnsi="宋体" w:cs="宋体"/>
          <w:b w:val="0"/>
          <w:bCs w:val="0"/>
          <w:i/>
          <w:iCs/>
          <w:color w:val="auto"/>
          <w:sz w:val="21"/>
          <w:szCs w:val="21"/>
          <w:highlight w:val="none"/>
          <w:lang w:val="en-US" w:eastAsia="zh-CN"/>
        </w:rPr>
        <w:t>设置按照</w:t>
      </w:r>
      <w:r>
        <w:rPr>
          <w:rFonts w:ascii="宋体" w:hAnsi="宋体" w:cs="宋体"/>
          <w:b w:val="0"/>
          <w:bCs w:val="0"/>
          <w:i/>
          <w:iCs/>
          <w:color w:val="auto"/>
          <w:szCs w:val="21"/>
          <w:highlight w:val="none"/>
        </w:rPr>
        <w:t>自然资源</w:t>
      </w:r>
      <w:r>
        <w:rPr>
          <w:rFonts w:hint="eastAsia" w:ascii="宋体" w:hAnsi="宋体" w:cs="宋体"/>
          <w:b w:val="0"/>
          <w:bCs w:val="0"/>
          <w:i/>
          <w:iCs/>
          <w:color w:val="auto"/>
          <w:sz w:val="21"/>
          <w:szCs w:val="21"/>
          <w:highlight w:val="none"/>
          <w:lang w:val="en-US" w:eastAsia="zh-CN"/>
        </w:rPr>
        <w:t>行业主管部门相关规定执行</w:t>
      </w:r>
      <w:r>
        <w:rPr>
          <w:rFonts w:hint="eastAsia" w:ascii="宋体" w:hAnsi="宋体" w:cs="宋体"/>
          <w:b w:val="0"/>
          <w:bCs w:val="0"/>
          <w:i/>
          <w:iCs/>
          <w:color w:val="auto"/>
          <w:szCs w:val="21"/>
          <w:highlight w:val="none"/>
          <w:lang w:eastAsia="zh-CN"/>
        </w:rPr>
        <w:t>。</w:t>
      </w:r>
      <w:r>
        <w:rPr>
          <w:rFonts w:hint="eastAsia" w:ascii="宋体" w:hAnsi="宋体" w:cs="宋体"/>
          <w:b w:val="0"/>
          <w:bCs w:val="0"/>
          <w:i/>
          <w:iCs/>
          <w:color w:val="auto"/>
          <w:szCs w:val="21"/>
          <w:highlight w:val="none"/>
          <w:lang w:val="en-US" w:eastAsia="zh-CN"/>
        </w:rPr>
        <w:t>]</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hint="eastAsia" w:ascii="宋体" w:hAnsi="宋体"/>
          <w:snapToGrid w:val="0"/>
          <w:kern w:val="0"/>
          <w:szCs w:val="21"/>
          <w:lang w:val="en-US" w:eastAsia="zh-CN"/>
        </w:rPr>
        <w:t>4</w:t>
      </w:r>
      <w:r>
        <w:rPr>
          <w:rFonts w:hint="eastAsia"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投标人还应在人员、</w:t>
      </w:r>
      <w:r>
        <w:rPr>
          <w:rFonts w:hint="eastAsia" w:ascii="宋体" w:hAnsi="宋体"/>
          <w:snapToGrid w:val="0"/>
          <w:color w:val="auto"/>
          <w:kern w:val="0"/>
          <w:szCs w:val="21"/>
          <w:highlight w:val="none"/>
          <w:lang w:val="en-US" w:eastAsia="zh-CN"/>
        </w:rPr>
        <w:t>业绩、</w:t>
      </w:r>
      <w:r>
        <w:rPr>
          <w:rFonts w:hint="eastAsia" w:ascii="宋体" w:hAnsi="宋体"/>
          <w:snapToGrid w:val="0"/>
          <w:color w:val="auto"/>
          <w:kern w:val="0"/>
          <w:szCs w:val="21"/>
          <w:highlight w:val="none"/>
        </w:rPr>
        <w:t>设备、资金等方面具有相应的施工能力，详见招标文件第二章投标人须知前附表第1.4.1项内容。</w:t>
      </w:r>
    </w:p>
    <w:p>
      <w:pPr>
        <w:keepNext w:val="0"/>
        <w:keepLines w:val="0"/>
        <w:pageBreakBefore w:val="0"/>
        <w:widowControl w:val="0"/>
        <w:tabs>
          <w:tab w:val="left" w:pos="2060"/>
          <w:tab w:val="left" w:pos="8205"/>
        </w:tabs>
        <w:kinsoku/>
        <w:wordWrap/>
        <w:overflowPunct/>
        <w:topLinePunct w:val="0"/>
        <w:autoSpaceDE w:val="0"/>
        <w:autoSpaceDN w:val="0"/>
        <w:bidi w:val="0"/>
        <w:adjustRightInd w:val="0"/>
        <w:snapToGrid w:val="0"/>
        <w:spacing w:line="360" w:lineRule="auto"/>
        <w:ind w:firstLine="405" w:firstLineChars="193"/>
        <w:jc w:val="left"/>
        <w:textAlignment w:val="auto"/>
        <w:rPr>
          <w:rFonts w:ascii="宋体" w:hAnsi="宋体"/>
          <w:snapToGrid w:val="0"/>
          <w:color w:val="auto"/>
          <w:kern w:val="0"/>
          <w:szCs w:val="21"/>
          <w:highlight w:val="none"/>
        </w:rPr>
      </w:pPr>
      <w:r>
        <w:rPr>
          <w:rFonts w:hint="eastAsia" w:ascii="宋体" w:hAnsi="宋体"/>
          <w:snapToGrid w:val="0"/>
          <w:kern w:val="0"/>
          <w:szCs w:val="21"/>
          <w:lang w:val="en-US" w:eastAsia="zh-CN"/>
        </w:rPr>
        <w:t>4</w:t>
      </w:r>
      <w:r>
        <w:rPr>
          <w:rFonts w:ascii="宋体" w:hAnsi="宋体"/>
          <w:snapToGrid w:val="0"/>
          <w:color w:val="auto"/>
          <w:kern w:val="0"/>
          <w:szCs w:val="21"/>
          <w:highlight w:val="none"/>
        </w:rPr>
        <w:t>.2  你单位</w:t>
      </w:r>
      <w:r>
        <w:rPr>
          <w:rFonts w:hint="eastAsia" w:ascii="宋体" w:hAnsi="宋体"/>
          <w:snapToGrid w:val="0"/>
          <w:color w:val="auto"/>
          <w:kern w:val="0"/>
          <w:szCs w:val="21"/>
          <w:highlight w:val="none"/>
        </w:rPr>
        <w:t>□可以 □不可以</w:t>
      </w:r>
      <w:r>
        <w:rPr>
          <w:rFonts w:ascii="宋体" w:hAnsi="宋体"/>
          <w:snapToGrid w:val="0"/>
          <w:color w:val="auto"/>
          <w:kern w:val="0"/>
          <w:szCs w:val="21"/>
          <w:highlight w:val="none"/>
        </w:rPr>
        <w:t>组成联合体投标。联合体投标的，应满足下列要求：</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147" w:name="_Toc430530427"/>
      <w:bookmarkStart w:id="148" w:name="_Toc17042"/>
      <w:bookmarkStart w:id="149" w:name="_Toc11751"/>
      <w:bookmarkStart w:id="150" w:name="_Toc287607739"/>
      <w:bookmarkStart w:id="151" w:name="_Toc509218703"/>
      <w:bookmarkStart w:id="152" w:name="_Toc287620678"/>
      <w:bookmarkStart w:id="153" w:name="_Toc277082546"/>
      <w:bookmarkStart w:id="154" w:name="_Toc30201"/>
      <w:bookmarkStart w:id="155" w:name="_Toc224103310"/>
      <w:bookmarkStart w:id="156" w:name="_Toc26919"/>
      <w:r>
        <w:rPr>
          <w:rFonts w:hint="eastAsia" w:ascii="宋体" w:hAnsi="宋体"/>
          <w:snapToGrid w:val="0"/>
          <w:sz w:val="28"/>
          <w:szCs w:val="28"/>
          <w:lang w:val="en-US" w:eastAsia="zh-CN"/>
        </w:rPr>
        <w:t>5</w:t>
      </w:r>
      <w:r>
        <w:rPr>
          <w:rFonts w:ascii="宋体" w:hAnsi="宋体"/>
          <w:snapToGrid w:val="0"/>
          <w:color w:val="auto"/>
          <w:sz w:val="28"/>
          <w:szCs w:val="28"/>
          <w:highlight w:val="none"/>
        </w:rPr>
        <w:t>.  招标文件的获取</w:t>
      </w:r>
      <w:bookmarkEnd w:id="147"/>
      <w:bookmarkEnd w:id="148"/>
      <w:bookmarkEnd w:id="149"/>
      <w:bookmarkEnd w:id="150"/>
      <w:bookmarkEnd w:id="151"/>
      <w:bookmarkEnd w:id="152"/>
      <w:bookmarkEnd w:id="153"/>
      <w:bookmarkEnd w:id="154"/>
      <w:bookmarkEnd w:id="155"/>
      <w:bookmarkEnd w:id="156"/>
    </w:p>
    <w:p>
      <w:pPr>
        <w:pageBreakBefore w:val="0"/>
        <w:widowControl w:val="0"/>
        <w:tabs>
          <w:tab w:val="left" w:pos="525"/>
          <w:tab w:val="left" w:pos="5080"/>
        </w:tabs>
        <w:kinsoku/>
        <w:wordWrap/>
        <w:overflowPunct/>
        <w:topLinePunct w:val="0"/>
        <w:autoSpaceDE w:val="0"/>
        <w:autoSpaceDN w:val="0"/>
        <w:bidi w:val="0"/>
        <w:adjustRightInd w:val="0"/>
        <w:snapToGrid w:val="0"/>
        <w:spacing w:line="360" w:lineRule="auto"/>
        <w:ind w:firstLine="424" w:firstLineChars="202"/>
        <w:textAlignment w:val="auto"/>
        <w:rPr>
          <w:rFonts w:ascii="宋体" w:hAnsi="宋体"/>
          <w:snapToGrid w:val="0"/>
          <w:color w:val="auto"/>
          <w:kern w:val="0"/>
          <w:szCs w:val="21"/>
          <w:highlight w:val="none"/>
        </w:rPr>
      </w:pPr>
      <w:bookmarkStart w:id="157" w:name="_Toc287620679"/>
      <w:bookmarkStart w:id="158" w:name="_Toc277082547"/>
      <w:bookmarkStart w:id="159" w:name="_Toc224103311"/>
      <w:bookmarkStart w:id="160" w:name="_Toc287607740"/>
      <w:r>
        <w:rPr>
          <w:rFonts w:hint="eastAsia" w:ascii="宋体" w:hAnsi="宋体"/>
          <w:snapToGrid w:val="0"/>
          <w:kern w:val="0"/>
          <w:szCs w:val="21"/>
          <w:lang w:val="en-US" w:eastAsia="zh-CN"/>
        </w:rPr>
        <w:t>5</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1  本招标项目采用全流程电子招投标，招标人</w:t>
      </w:r>
      <w:r>
        <w:rPr>
          <w:rFonts w:ascii="宋体" w:hAnsi="宋体"/>
          <w:snapToGrid w:val="0"/>
          <w:color w:val="auto"/>
          <w:kern w:val="0"/>
          <w:szCs w:val="21"/>
          <w:highlight w:val="none"/>
        </w:rPr>
        <w:t>必须将招标文件</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工程量清单、图纸、澄清、修改、补充通知、最高限价通知等全部招标资料</w:t>
      </w:r>
      <w:r>
        <w:rPr>
          <w:rFonts w:hint="eastAsia" w:ascii="宋体" w:hAnsi="宋体"/>
          <w:snapToGrid w:val="0"/>
          <w:color w:val="auto"/>
          <w:kern w:val="0"/>
          <w:szCs w:val="21"/>
          <w:highlight w:val="none"/>
        </w:rPr>
        <w:t>通过重庆市电子招投标系统</w:t>
      </w:r>
      <w:r>
        <w:rPr>
          <w:rFonts w:ascii="宋体" w:hAnsi="宋体"/>
          <w:snapToGrid w:val="0"/>
          <w:color w:val="auto"/>
          <w:kern w:val="0"/>
          <w:szCs w:val="21"/>
          <w:highlight w:val="none"/>
        </w:rPr>
        <w:t>送达所有被邀请投标人。</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color w:val="auto"/>
          <w:kern w:val="0"/>
          <w:szCs w:val="21"/>
          <w:highlight w:val="none"/>
        </w:rPr>
      </w:pPr>
      <w:r>
        <w:rPr>
          <w:rFonts w:hint="eastAsia" w:ascii="宋体" w:hAnsi="宋体"/>
          <w:snapToGrid w:val="0"/>
          <w:kern w:val="0"/>
          <w:szCs w:val="21"/>
          <w:lang w:val="en-US" w:eastAsia="zh-CN"/>
        </w:rPr>
        <w:t>5</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2  投标人可在附件投标邀请书规定的时限内通过重庆市电子招投标系统对本项目招标文件提出疑问。</w:t>
      </w:r>
    </w:p>
    <w:p>
      <w:pPr>
        <w:pageBreakBefore w:val="0"/>
        <w:widowControl w:val="0"/>
        <w:tabs>
          <w:tab w:val="left" w:pos="2420"/>
          <w:tab w:val="left" w:pos="5445"/>
        </w:tabs>
        <w:kinsoku/>
        <w:wordWrap/>
        <w:overflowPunct/>
        <w:topLinePunct w:val="0"/>
        <w:autoSpaceDE w:val="0"/>
        <w:autoSpaceDN w:val="0"/>
        <w:bidi w:val="0"/>
        <w:adjustRightInd w:val="0"/>
        <w:snapToGrid w:val="0"/>
        <w:spacing w:line="360" w:lineRule="auto"/>
        <w:ind w:firstLine="420"/>
        <w:textAlignment w:val="auto"/>
        <w:rPr>
          <w:rFonts w:ascii="宋体" w:hAnsi="宋体"/>
          <w:snapToGrid w:val="0"/>
          <w:color w:val="auto"/>
          <w:kern w:val="0"/>
          <w:szCs w:val="21"/>
          <w:highlight w:val="none"/>
        </w:rPr>
      </w:pPr>
      <w:r>
        <w:rPr>
          <w:rFonts w:hint="eastAsia" w:ascii="宋体" w:hAnsi="宋体"/>
          <w:snapToGrid w:val="0"/>
          <w:kern w:val="0"/>
          <w:szCs w:val="21"/>
          <w:lang w:val="en-US" w:eastAsia="zh-CN"/>
        </w:rPr>
        <w:t>5</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3 招标人应在附件投标邀请书规定的时限内通过重庆市电子招投标系统发布澄清或修改</w:t>
      </w:r>
      <w:r>
        <w:rPr>
          <w:rFonts w:ascii="宋体" w:hAnsi="宋体"/>
          <w:snapToGrid w:val="0"/>
          <w:color w:val="auto"/>
          <w:kern w:val="0"/>
          <w:szCs w:val="21"/>
          <w:highlight w:val="none"/>
        </w:rPr>
        <w:t>。</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161" w:name="_Toc29207"/>
      <w:bookmarkStart w:id="162" w:name="_Toc509218704"/>
      <w:bookmarkStart w:id="163" w:name="_Toc16907"/>
      <w:bookmarkStart w:id="164" w:name="_Toc430530428"/>
      <w:bookmarkStart w:id="165" w:name="_Toc1158"/>
      <w:bookmarkStart w:id="166" w:name="_Toc6573"/>
      <w:r>
        <w:rPr>
          <w:rFonts w:hint="eastAsia" w:ascii="宋体" w:hAnsi="宋体"/>
          <w:snapToGrid w:val="0"/>
          <w:sz w:val="28"/>
          <w:szCs w:val="28"/>
          <w:lang w:val="en-US" w:eastAsia="zh-CN"/>
        </w:rPr>
        <w:t>6</w:t>
      </w:r>
      <w:r>
        <w:rPr>
          <w:rFonts w:ascii="宋体" w:hAnsi="宋体"/>
          <w:snapToGrid w:val="0"/>
          <w:color w:val="auto"/>
          <w:sz w:val="28"/>
          <w:szCs w:val="28"/>
          <w:highlight w:val="none"/>
        </w:rPr>
        <w:t>.  投标文件的递交</w:t>
      </w:r>
      <w:bookmarkEnd w:id="157"/>
      <w:bookmarkEnd w:id="158"/>
      <w:bookmarkEnd w:id="159"/>
      <w:bookmarkEnd w:id="160"/>
      <w:bookmarkEnd w:id="161"/>
      <w:bookmarkEnd w:id="162"/>
      <w:bookmarkEnd w:id="163"/>
      <w:bookmarkEnd w:id="164"/>
      <w:bookmarkEnd w:id="165"/>
      <w:bookmarkEnd w:id="166"/>
    </w:p>
    <w:p>
      <w:pPr>
        <w:pageBreakBefore w:val="0"/>
        <w:widowControl w:val="0"/>
        <w:tabs>
          <w:tab w:val="left" w:pos="1580"/>
          <w:tab w:val="left" w:pos="6000"/>
          <w:tab w:val="left" w:pos="6320"/>
          <w:tab w:val="left" w:pos="6887"/>
          <w:tab w:val="left" w:pos="7475"/>
        </w:tabs>
        <w:kinsoku/>
        <w:wordWrap/>
        <w:overflowPunct/>
        <w:topLinePunct w:val="0"/>
        <w:autoSpaceDE w:val="0"/>
        <w:autoSpaceDN w:val="0"/>
        <w:bidi w:val="0"/>
        <w:adjustRightInd w:val="0"/>
        <w:snapToGrid w:val="0"/>
        <w:spacing w:line="360" w:lineRule="auto"/>
        <w:ind w:firstLine="390" w:firstLineChars="186"/>
        <w:jc w:val="left"/>
        <w:textAlignment w:val="auto"/>
        <w:rPr>
          <w:rFonts w:ascii="宋体" w:hAnsi="宋体"/>
          <w:snapToGrid w:val="0"/>
          <w:color w:val="auto"/>
          <w:kern w:val="0"/>
          <w:szCs w:val="21"/>
          <w:highlight w:val="none"/>
        </w:rPr>
      </w:pPr>
      <w:r>
        <w:rPr>
          <w:rFonts w:hint="eastAsia" w:ascii="宋体" w:hAnsi="宋体"/>
          <w:snapToGrid w:val="0"/>
          <w:kern w:val="0"/>
          <w:szCs w:val="21"/>
          <w:lang w:val="en-US" w:eastAsia="zh-CN"/>
        </w:rPr>
        <w:t>6</w:t>
      </w:r>
      <w:r>
        <w:rPr>
          <w:rFonts w:ascii="宋体" w:hAnsi="宋体"/>
          <w:snapToGrid w:val="0"/>
          <w:color w:val="auto"/>
          <w:kern w:val="0"/>
          <w:szCs w:val="21"/>
          <w:highlight w:val="none"/>
        </w:rPr>
        <w:t>.1  投标文件递交的截止时间（投标截止时间，下同）</w:t>
      </w:r>
      <w:r>
        <w:rPr>
          <w:rFonts w:hint="eastAsia" w:ascii="宋体" w:hAnsi="宋体"/>
          <w:snapToGrid w:val="0"/>
          <w:color w:val="auto"/>
          <w:kern w:val="0"/>
          <w:szCs w:val="21"/>
          <w:highlight w:val="none"/>
        </w:rPr>
        <w:t>详见附件投标邀请书规定的投标截止时间</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投标人应当在投标截止时间前，通过互联网使用CA数字证书登录重庆市电子招投标系统，将加密的电子投标文件上传。</w:t>
      </w:r>
    </w:p>
    <w:p>
      <w:pPr>
        <w:pageBreakBefore w:val="0"/>
        <w:widowControl w:val="0"/>
        <w:kinsoku/>
        <w:wordWrap/>
        <w:overflowPunct/>
        <w:topLinePunct w:val="0"/>
        <w:autoSpaceDE w:val="0"/>
        <w:autoSpaceDN w:val="0"/>
        <w:bidi w:val="0"/>
        <w:adjustRightInd w:val="0"/>
        <w:snapToGrid w:val="0"/>
        <w:spacing w:line="360" w:lineRule="auto"/>
        <w:ind w:firstLine="390" w:firstLineChars="186"/>
        <w:jc w:val="left"/>
        <w:textAlignment w:val="auto"/>
        <w:rPr>
          <w:rFonts w:ascii="宋体" w:hAnsi="宋体"/>
          <w:snapToGrid w:val="0"/>
          <w:color w:val="auto"/>
          <w:kern w:val="0"/>
          <w:szCs w:val="21"/>
          <w:highlight w:val="none"/>
        </w:rPr>
      </w:pPr>
      <w:r>
        <w:rPr>
          <w:rFonts w:hint="eastAsia" w:ascii="宋体" w:hAnsi="宋体"/>
          <w:snapToGrid w:val="0"/>
          <w:kern w:val="0"/>
          <w:szCs w:val="21"/>
          <w:lang w:val="en-US" w:eastAsia="zh-CN"/>
        </w:rPr>
        <w:t>6</w:t>
      </w:r>
      <w:r>
        <w:rPr>
          <w:rFonts w:ascii="宋体" w:hAnsi="宋体"/>
          <w:snapToGrid w:val="0"/>
          <w:color w:val="auto"/>
          <w:kern w:val="0"/>
          <w:szCs w:val="21"/>
          <w:highlight w:val="none"/>
        </w:rPr>
        <w:t xml:space="preserve">.2  </w:t>
      </w:r>
      <w:r>
        <w:rPr>
          <w:rFonts w:hint="eastAsia" w:ascii="宋体" w:hAnsi="宋体"/>
          <w:snapToGrid w:val="0"/>
          <w:color w:val="auto"/>
          <w:kern w:val="0"/>
          <w:szCs w:val="21"/>
          <w:highlight w:val="none"/>
        </w:rPr>
        <w:t>未按要求加密的电子投标文件，将无法上传至重庆市电子招投标系统，逾期未完成上传投标文件的，视为撤回投标文件。</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167" w:name="_Toc287607741"/>
      <w:bookmarkStart w:id="168" w:name="_Toc20577"/>
      <w:bookmarkStart w:id="169" w:name="_Toc7700"/>
      <w:bookmarkStart w:id="170" w:name="_Toc3539"/>
      <w:bookmarkStart w:id="171" w:name="_Toc6039"/>
      <w:bookmarkStart w:id="172" w:name="_Toc287620680"/>
      <w:bookmarkStart w:id="173" w:name="_Toc277082548"/>
      <w:bookmarkStart w:id="174" w:name="_Toc224103312"/>
      <w:bookmarkStart w:id="175" w:name="_Toc509218705"/>
      <w:bookmarkStart w:id="176" w:name="_Toc430530429"/>
      <w:r>
        <w:rPr>
          <w:rFonts w:hint="eastAsia" w:ascii="宋体" w:hAnsi="宋体"/>
          <w:snapToGrid w:val="0"/>
          <w:sz w:val="28"/>
          <w:szCs w:val="28"/>
          <w:lang w:val="en-US" w:eastAsia="zh-CN"/>
        </w:rPr>
        <w:t>7</w:t>
      </w:r>
      <w:r>
        <w:rPr>
          <w:rFonts w:ascii="宋体" w:hAnsi="宋体"/>
          <w:snapToGrid w:val="0"/>
          <w:color w:val="auto"/>
          <w:sz w:val="28"/>
          <w:szCs w:val="28"/>
          <w:highlight w:val="none"/>
        </w:rPr>
        <w:t>.  确认</w:t>
      </w:r>
      <w:bookmarkEnd w:id="167"/>
      <w:bookmarkEnd w:id="168"/>
      <w:bookmarkEnd w:id="169"/>
      <w:bookmarkEnd w:id="170"/>
      <w:bookmarkEnd w:id="171"/>
      <w:bookmarkEnd w:id="172"/>
      <w:bookmarkEnd w:id="173"/>
      <w:bookmarkEnd w:id="174"/>
      <w:bookmarkEnd w:id="175"/>
      <w:bookmarkEnd w:id="176"/>
    </w:p>
    <w:p>
      <w:pPr>
        <w:pageBreakBefore w:val="0"/>
        <w:widowControl w:val="0"/>
        <w:tabs>
          <w:tab w:val="left" w:pos="633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hint="eastAsia" w:ascii="宋体" w:hAnsi="宋体"/>
          <w:snapToGrid w:val="0"/>
          <w:color w:val="auto"/>
          <w:kern w:val="0"/>
          <w:szCs w:val="21"/>
          <w:highlight w:val="none"/>
        </w:rPr>
        <w:t>本招标项目采用全流程电子招投标，被邀请投标人通过重庆市电子招投标系统确认。</w:t>
      </w:r>
    </w:p>
    <w:p>
      <w:pPr>
        <w:pStyle w:val="4"/>
        <w:pageBreakBefore w:val="0"/>
        <w:widowControl w:val="0"/>
        <w:kinsoku/>
        <w:wordWrap/>
        <w:overflowPunct/>
        <w:topLinePunct w:val="0"/>
        <w:bidi w:val="0"/>
        <w:spacing w:before="100" w:after="100" w:line="360" w:lineRule="auto"/>
        <w:textAlignment w:val="auto"/>
        <w:rPr>
          <w:rFonts w:ascii="宋体" w:hAnsi="宋体"/>
          <w:snapToGrid w:val="0"/>
          <w:color w:val="auto"/>
          <w:sz w:val="28"/>
          <w:szCs w:val="28"/>
          <w:highlight w:val="none"/>
        </w:rPr>
      </w:pPr>
      <w:bookmarkStart w:id="177" w:name="_Toc224103313"/>
      <w:bookmarkStart w:id="178" w:name="_Toc277082549"/>
      <w:bookmarkStart w:id="179" w:name="_Toc287620681"/>
      <w:bookmarkStart w:id="180" w:name="_Toc7397"/>
      <w:bookmarkStart w:id="181" w:name="_Toc430530430"/>
      <w:bookmarkStart w:id="182" w:name="_Toc287607742"/>
      <w:bookmarkStart w:id="183" w:name="_Toc16755"/>
      <w:bookmarkStart w:id="184" w:name="_Toc140"/>
      <w:bookmarkStart w:id="185" w:name="_Toc29545"/>
      <w:bookmarkStart w:id="186" w:name="_Toc509218706"/>
      <w:r>
        <w:rPr>
          <w:rFonts w:hint="eastAsia" w:ascii="宋体" w:hAnsi="宋体"/>
          <w:snapToGrid w:val="0"/>
          <w:sz w:val="28"/>
          <w:szCs w:val="28"/>
          <w:lang w:val="en-US" w:eastAsia="zh-CN"/>
        </w:rPr>
        <w:t>8</w:t>
      </w:r>
      <w:r>
        <w:rPr>
          <w:rFonts w:ascii="宋体" w:hAnsi="宋体"/>
          <w:snapToGrid w:val="0"/>
          <w:color w:val="auto"/>
          <w:sz w:val="28"/>
          <w:szCs w:val="28"/>
          <w:highlight w:val="none"/>
        </w:rPr>
        <w:t>.  联系方式</w:t>
      </w:r>
      <w:bookmarkEnd w:id="177"/>
      <w:bookmarkEnd w:id="178"/>
      <w:bookmarkEnd w:id="179"/>
      <w:bookmarkEnd w:id="180"/>
      <w:bookmarkEnd w:id="181"/>
      <w:bookmarkEnd w:id="182"/>
      <w:bookmarkEnd w:id="183"/>
      <w:bookmarkEnd w:id="184"/>
      <w:bookmarkEnd w:id="185"/>
      <w:bookmarkEnd w:id="186"/>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招 标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招标代理机构：</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地    址：</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地    址：  </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position w:val="-3"/>
          <w:szCs w:val="21"/>
          <w:highlight w:val="none"/>
        </w:rPr>
        <w:t>邮    编：</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w:t>
      </w:r>
      <w:r>
        <w:rPr>
          <w:rFonts w:ascii="宋体" w:hAnsi="宋体"/>
          <w:snapToGrid w:val="0"/>
          <w:color w:val="auto"/>
          <w:kern w:val="0"/>
          <w:position w:val="-3"/>
          <w:szCs w:val="21"/>
          <w:highlight w:val="none"/>
        </w:rPr>
        <w:t>邮    编：</w:t>
      </w:r>
      <w:r>
        <w:rPr>
          <w:rFonts w:ascii="宋体" w:hAnsi="宋体"/>
          <w:snapToGrid w:val="0"/>
          <w:color w:val="auto"/>
          <w:kern w:val="0"/>
          <w:position w:val="-3"/>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联 系 人：</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联 系 人：</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电    话：</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    话：</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u w:val="single"/>
        </w:rPr>
      </w:pPr>
      <w:r>
        <w:rPr>
          <w:rFonts w:ascii="宋体" w:hAnsi="宋体"/>
          <w:snapToGrid w:val="0"/>
          <w:color w:val="auto"/>
          <w:kern w:val="0"/>
          <w:szCs w:val="21"/>
          <w:highlight w:val="none"/>
        </w:rPr>
        <w:t>传    真：</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传    真：</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电子邮件：</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电子邮件：</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开户银行：</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开户银行：</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color w:val="auto"/>
          <w:kern w:val="0"/>
          <w:szCs w:val="21"/>
          <w:highlight w:val="none"/>
          <w:u w:val="single"/>
        </w:rPr>
      </w:pPr>
      <w:r>
        <w:rPr>
          <w:rFonts w:ascii="宋体" w:hAnsi="宋体"/>
          <w:snapToGrid w:val="0"/>
          <w:color w:val="auto"/>
          <w:kern w:val="0"/>
          <w:szCs w:val="21"/>
          <w:highlight w:val="none"/>
        </w:rPr>
        <w:t>账    号：</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账    号：</w:t>
      </w:r>
      <w:r>
        <w:rPr>
          <w:rFonts w:ascii="宋体" w:hAnsi="宋体"/>
          <w:snapToGrid w:val="0"/>
          <w:color w:val="auto"/>
          <w:kern w:val="0"/>
          <w:szCs w:val="21"/>
          <w:highlight w:val="none"/>
          <w:u w:val="single"/>
        </w:rPr>
        <w:t xml:space="preserve">                                </w:t>
      </w: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snapToGrid w:val="0"/>
          <w:kern w:val="0"/>
          <w:szCs w:val="21"/>
          <w:lang w:val="en-US" w:eastAsia="zh-CN"/>
        </w:rPr>
      </w:pPr>
    </w:p>
    <w:p>
      <w:pPr>
        <w:pageBreakBefore w:val="0"/>
        <w:widowControl w:val="0"/>
        <w:tabs>
          <w:tab w:val="left" w:pos="5140"/>
          <w:tab w:val="left" w:pos="8520"/>
        </w:tabs>
        <w:kinsoku/>
        <w:wordWrap/>
        <w:overflowPunct/>
        <w:topLinePunct w:val="0"/>
        <w:autoSpaceDE w:val="0"/>
        <w:autoSpaceDN w:val="0"/>
        <w:bidi w:val="0"/>
        <w:adjustRightInd w:val="0"/>
        <w:snapToGrid w:val="0"/>
        <w:spacing w:line="360" w:lineRule="auto"/>
        <w:ind w:firstLine="420" w:firstLineChars="200"/>
        <w:jc w:val="left"/>
        <w:textAlignment w:val="auto"/>
        <w:rPr>
          <w:rFonts w:ascii="宋体" w:hAnsi="宋体"/>
          <w:snapToGrid w:val="0"/>
          <w:kern w:val="0"/>
          <w:szCs w:val="21"/>
        </w:rPr>
      </w:pPr>
      <w:r>
        <w:rPr>
          <w:rFonts w:hint="eastAsia" w:ascii="宋体" w:hAnsi="宋体"/>
          <w:snapToGrid w:val="0"/>
          <w:kern w:val="0"/>
          <w:szCs w:val="21"/>
          <w:lang w:val="en-US" w:eastAsia="zh-CN"/>
        </w:rPr>
        <w:t>监督部门</w:t>
      </w:r>
      <w:r>
        <w:rPr>
          <w:rFonts w:ascii="宋体" w:hAnsi="宋体"/>
          <w:snapToGrid w:val="0"/>
          <w:kern w:val="0"/>
          <w:szCs w:val="21"/>
        </w:rPr>
        <w:t>：</w:t>
      </w:r>
      <w:r>
        <w:rPr>
          <w:rFonts w:ascii="宋体" w:hAnsi="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ind w:firstLine="420" w:firstLineChars="200"/>
        <w:jc w:val="both"/>
        <w:textAlignment w:val="auto"/>
        <w:rPr>
          <w:rFonts w:ascii="宋体" w:hAnsi="宋体"/>
          <w:snapToGrid w:val="0"/>
          <w:color w:val="auto"/>
          <w:kern w:val="0"/>
          <w:szCs w:val="21"/>
          <w:highlight w:val="none"/>
          <w:u w:val="single"/>
        </w:rPr>
      </w:pPr>
      <w:r>
        <w:rPr>
          <w:rFonts w:hint="eastAsia" w:ascii="宋体" w:hAnsi="宋体"/>
          <w:snapToGrid w:val="0"/>
          <w:kern w:val="0"/>
          <w:szCs w:val="21"/>
          <w:lang w:val="en-US" w:eastAsia="zh-CN"/>
        </w:rPr>
        <w:t>电</w:t>
      </w:r>
      <w:r>
        <w:rPr>
          <w:rFonts w:ascii="宋体" w:hAnsi="宋体"/>
          <w:snapToGrid w:val="0"/>
          <w:kern w:val="0"/>
          <w:szCs w:val="21"/>
        </w:rPr>
        <w:t xml:space="preserve">    </w:t>
      </w:r>
      <w:r>
        <w:rPr>
          <w:rFonts w:hint="eastAsia" w:ascii="宋体" w:hAnsi="宋体"/>
          <w:snapToGrid w:val="0"/>
          <w:kern w:val="0"/>
          <w:szCs w:val="21"/>
          <w:lang w:val="en-US" w:eastAsia="zh-CN"/>
        </w:rPr>
        <w:t>话</w:t>
      </w:r>
      <w:r>
        <w:rPr>
          <w:rFonts w:ascii="宋体" w:hAnsi="宋体"/>
          <w:snapToGrid w:val="0"/>
          <w:kern w:val="0"/>
          <w:szCs w:val="21"/>
        </w:rPr>
        <w:t>：</w:t>
      </w:r>
      <w:r>
        <w:rPr>
          <w:rFonts w:ascii="宋体" w:hAnsi="宋体"/>
          <w:snapToGrid w:val="0"/>
          <w:kern w:val="0"/>
          <w:szCs w:val="21"/>
          <w:u w:val="single"/>
        </w:rPr>
        <w:t xml:space="preserve">                             </w:t>
      </w:r>
    </w:p>
    <w:p>
      <w:pPr>
        <w:pageBreakBefore w:val="0"/>
        <w:widowControl w:val="0"/>
        <w:kinsoku/>
        <w:wordWrap/>
        <w:overflowPunct/>
        <w:topLinePunct w:val="0"/>
        <w:autoSpaceDE w:val="0"/>
        <w:autoSpaceDN w:val="0"/>
        <w:bidi w:val="0"/>
        <w:adjustRightInd w:val="0"/>
        <w:snapToGrid w:val="0"/>
        <w:spacing w:line="360" w:lineRule="auto"/>
        <w:jc w:val="right"/>
        <w:textAlignment w:val="auto"/>
        <w:rPr>
          <w:rFonts w:ascii="宋体" w:hAnsi="宋体"/>
          <w:snapToGrid w:val="0"/>
          <w:color w:val="auto"/>
          <w:kern w:val="0"/>
          <w:szCs w:val="21"/>
          <w:highlight w:val="none"/>
        </w:rPr>
      </w:pP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日  </w:t>
      </w:r>
    </w:p>
    <w:p>
      <w:pPr>
        <w:autoSpaceDE w:val="0"/>
        <w:autoSpaceDN w:val="0"/>
        <w:adjustRightInd w:val="0"/>
        <w:snapToGrid w:val="0"/>
        <w:spacing w:line="200" w:lineRule="exact"/>
        <w:jc w:val="left"/>
        <w:rPr>
          <w:rFonts w:ascii="宋体" w:hAnsi="宋体"/>
          <w:snapToGrid w:val="0"/>
          <w:color w:val="auto"/>
          <w:kern w:val="0"/>
          <w:sz w:val="20"/>
          <w:szCs w:val="20"/>
          <w:highlight w:val="none"/>
        </w:rPr>
      </w:pPr>
      <w:r>
        <w:rPr>
          <w:rFonts w:ascii="宋体" w:hAnsi="宋体"/>
          <w:snapToGrid w:val="0"/>
          <w:color w:val="auto"/>
          <w:kern w:val="0"/>
          <w:szCs w:val="21"/>
          <w:highlight w:val="none"/>
        </w:rPr>
        <w:br w:type="page"/>
      </w:r>
    </w:p>
    <w:p>
      <w:pPr>
        <w:pStyle w:val="3"/>
        <w:spacing w:line="360" w:lineRule="auto"/>
        <w:jc w:val="center"/>
        <w:rPr>
          <w:rFonts w:ascii="宋体" w:hAnsi="宋体"/>
          <w:bCs w:val="0"/>
          <w:snapToGrid w:val="0"/>
          <w:color w:val="auto"/>
          <w:kern w:val="0"/>
          <w:highlight w:val="none"/>
        </w:rPr>
      </w:pPr>
      <w:bookmarkStart w:id="187" w:name="_Toc11481"/>
      <w:bookmarkStart w:id="188" w:name="_Toc16592"/>
      <w:bookmarkStart w:id="189" w:name="_Toc224103315"/>
      <w:bookmarkStart w:id="190" w:name="_Toc287620683"/>
      <w:bookmarkStart w:id="191" w:name="_Toc287607744"/>
      <w:bookmarkStart w:id="192" w:name="_Toc27235"/>
      <w:bookmarkStart w:id="193" w:name="_Toc430530432"/>
      <w:bookmarkStart w:id="194" w:name="_Toc5390"/>
      <w:r>
        <w:rPr>
          <w:rFonts w:ascii="宋体" w:hAnsi="宋体"/>
          <w:snapToGrid w:val="0"/>
          <w:color w:val="auto"/>
          <w:kern w:val="0"/>
          <w:highlight w:val="none"/>
        </w:rPr>
        <w:t>第二章  投标人须知</w:t>
      </w:r>
      <w:bookmarkEnd w:id="187"/>
      <w:bookmarkEnd w:id="188"/>
      <w:bookmarkEnd w:id="189"/>
      <w:bookmarkEnd w:id="190"/>
      <w:bookmarkEnd w:id="191"/>
      <w:bookmarkEnd w:id="192"/>
      <w:bookmarkEnd w:id="193"/>
      <w:bookmarkEnd w:id="194"/>
      <w:bookmarkStart w:id="195" w:name="_Toc224103316"/>
      <w:bookmarkStart w:id="196" w:name="_Toc287607745"/>
      <w:bookmarkStart w:id="197" w:name="_Toc430530433"/>
      <w:bookmarkStart w:id="198" w:name="_Toc287620684"/>
      <w:bookmarkStart w:id="199" w:name="_Toc277082551"/>
    </w:p>
    <w:p>
      <w:pPr>
        <w:pStyle w:val="4"/>
        <w:spacing w:before="100" w:after="100" w:line="360" w:lineRule="auto"/>
        <w:rPr>
          <w:rFonts w:ascii="宋体" w:hAnsi="宋体"/>
          <w:color w:val="auto"/>
          <w:highlight w:val="none"/>
        </w:rPr>
      </w:pPr>
      <w:bookmarkStart w:id="200" w:name="_Toc663"/>
      <w:bookmarkStart w:id="201" w:name="_Toc13897"/>
      <w:bookmarkStart w:id="202" w:name="_Toc509218708"/>
      <w:bookmarkStart w:id="203" w:name="_Toc23855"/>
      <w:bookmarkStart w:id="204" w:name="_Toc26281"/>
      <w:r>
        <w:rPr>
          <w:rFonts w:hint="eastAsia" w:ascii="宋体" w:hAnsi="宋体"/>
          <w:color w:val="auto"/>
          <w:highlight w:val="none"/>
        </w:rPr>
        <w:t>投标人须知前附表</w:t>
      </w:r>
      <w:bookmarkEnd w:id="195"/>
      <w:bookmarkEnd w:id="196"/>
      <w:bookmarkEnd w:id="197"/>
      <w:bookmarkEnd w:id="198"/>
      <w:bookmarkEnd w:id="199"/>
      <w:bookmarkEnd w:id="200"/>
      <w:bookmarkEnd w:id="201"/>
      <w:bookmarkEnd w:id="202"/>
      <w:bookmarkEnd w:id="203"/>
      <w:bookmarkEnd w:id="204"/>
    </w:p>
    <w:p>
      <w:pPr>
        <w:spacing w:line="360" w:lineRule="auto"/>
        <w:ind w:firstLine="420" w:firstLineChars="200"/>
        <w:rPr>
          <w:rFonts w:ascii="宋体" w:hAnsi="宋体"/>
          <w:color w:val="auto"/>
          <w:szCs w:val="21"/>
          <w:highlight w:val="none"/>
        </w:rPr>
      </w:pPr>
      <w:r>
        <w:rPr>
          <w:rFonts w:ascii="宋体" w:hAnsi="宋体"/>
          <w:color w:val="auto"/>
          <w:szCs w:val="21"/>
          <w:highlight w:val="none"/>
        </w:rPr>
        <w:t>正文内容不允许修改。若投标人须知前附表与正文不一致的地方，以投标人须知前附表为准。</w:t>
      </w:r>
    </w:p>
    <w:tbl>
      <w:tblPr>
        <w:tblStyle w:val="45"/>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10"/>
        <w:gridCol w:w="65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b/>
                <w:color w:val="auto"/>
                <w:kern w:val="0"/>
                <w:szCs w:val="21"/>
                <w:highlight w:val="none"/>
              </w:rPr>
            </w:pPr>
            <w:r>
              <w:rPr>
                <w:rFonts w:ascii="宋体" w:hAnsi="宋体"/>
                <w:b/>
                <w:color w:val="auto"/>
                <w:kern w:val="0"/>
                <w:szCs w:val="21"/>
                <w:highlight w:val="none"/>
              </w:rPr>
              <w:t>条 款 号</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b/>
                <w:color w:val="auto"/>
                <w:kern w:val="0"/>
                <w:szCs w:val="21"/>
                <w:highlight w:val="none"/>
              </w:rPr>
            </w:pPr>
            <w:r>
              <w:rPr>
                <w:rFonts w:ascii="宋体" w:hAnsi="宋体"/>
                <w:b/>
                <w:color w:val="auto"/>
                <w:kern w:val="0"/>
                <w:szCs w:val="21"/>
                <w:highlight w:val="none"/>
              </w:rPr>
              <w:t>条款名称</w:t>
            </w:r>
          </w:p>
        </w:tc>
        <w:tc>
          <w:tcPr>
            <w:tcW w:w="6524"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b/>
                <w:color w:val="auto"/>
                <w:kern w:val="0"/>
                <w:szCs w:val="21"/>
                <w:highlight w:val="none"/>
              </w:rPr>
            </w:pPr>
            <w:r>
              <w:rPr>
                <w:rFonts w:ascii="宋体" w:hAnsi="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1.1.2</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招标人</w:t>
            </w:r>
          </w:p>
        </w:tc>
        <w:tc>
          <w:tcPr>
            <w:tcW w:w="6524" w:type="dxa"/>
            <w:vAlign w:val="center"/>
          </w:tcPr>
          <w:p>
            <w:pPr>
              <w:keepNext w:val="0"/>
              <w:keepLines w:val="0"/>
              <w:pageBreakBefore w:val="0"/>
              <w:kinsoku/>
              <w:wordWrap/>
              <w:overflowPunct/>
              <w:topLinePunct w:val="0"/>
              <w:bidi w:val="0"/>
              <w:snapToGrid w:val="0"/>
              <w:spacing w:line="400" w:lineRule="exact"/>
              <w:textAlignment w:val="auto"/>
              <w:rPr>
                <w:rFonts w:ascii="宋体" w:hAnsi="宋体"/>
                <w:color w:val="auto"/>
                <w:kern w:val="0"/>
                <w:szCs w:val="21"/>
                <w:highlight w:val="none"/>
              </w:rPr>
            </w:pPr>
            <w:r>
              <w:rPr>
                <w:rFonts w:ascii="宋体" w:hAnsi="宋体"/>
                <w:color w:val="auto"/>
                <w:kern w:val="0"/>
                <w:szCs w:val="21"/>
                <w:highlight w:val="none"/>
              </w:rPr>
              <w:t>名称：</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ascii="宋体" w:hAnsi="宋体"/>
                <w:color w:val="auto"/>
                <w:kern w:val="0"/>
                <w:szCs w:val="21"/>
                <w:highlight w:val="none"/>
              </w:rPr>
            </w:pPr>
            <w:r>
              <w:rPr>
                <w:rFonts w:ascii="宋体" w:hAnsi="宋体"/>
                <w:color w:val="auto"/>
                <w:kern w:val="0"/>
                <w:szCs w:val="21"/>
                <w:highlight w:val="none"/>
              </w:rPr>
              <w:t>地址：</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ascii="宋体" w:hAnsi="宋体"/>
                <w:color w:val="auto"/>
                <w:kern w:val="0"/>
                <w:szCs w:val="21"/>
                <w:highlight w:val="none"/>
              </w:rPr>
            </w:pPr>
            <w:r>
              <w:rPr>
                <w:rFonts w:ascii="宋体" w:hAnsi="宋体"/>
                <w:color w:val="auto"/>
                <w:kern w:val="0"/>
                <w:szCs w:val="21"/>
                <w:highlight w:val="none"/>
              </w:rPr>
              <w:t>联系人：</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ascii="宋体" w:hAnsi="宋体"/>
                <w:color w:val="auto"/>
                <w:kern w:val="0"/>
                <w:szCs w:val="21"/>
                <w:highlight w:val="none"/>
              </w:rPr>
            </w:pPr>
            <w:r>
              <w:rPr>
                <w:rFonts w:ascii="宋体" w:hAnsi="宋体"/>
                <w:color w:val="auto"/>
                <w:kern w:val="0"/>
                <w:szCs w:val="21"/>
                <w:highlight w:val="none"/>
              </w:rPr>
              <w:t>电话：</w:t>
            </w: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1.1.3</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招标代理机构</w:t>
            </w:r>
          </w:p>
        </w:tc>
        <w:tc>
          <w:tcPr>
            <w:tcW w:w="6524" w:type="dxa"/>
            <w:vAlign w:val="center"/>
          </w:tcPr>
          <w:p>
            <w:pPr>
              <w:keepNext w:val="0"/>
              <w:keepLines w:val="0"/>
              <w:pageBreakBefore w:val="0"/>
              <w:kinsoku/>
              <w:wordWrap/>
              <w:overflowPunct/>
              <w:topLinePunct w:val="0"/>
              <w:bidi w:val="0"/>
              <w:snapToGrid w:val="0"/>
              <w:spacing w:line="400" w:lineRule="exact"/>
              <w:textAlignment w:val="auto"/>
              <w:rPr>
                <w:rFonts w:ascii="宋体" w:hAnsi="宋体"/>
                <w:color w:val="auto"/>
                <w:kern w:val="0"/>
                <w:szCs w:val="21"/>
                <w:highlight w:val="none"/>
              </w:rPr>
            </w:pPr>
            <w:r>
              <w:rPr>
                <w:rFonts w:ascii="宋体" w:hAnsi="宋体"/>
                <w:color w:val="auto"/>
                <w:kern w:val="0"/>
                <w:szCs w:val="21"/>
                <w:highlight w:val="none"/>
              </w:rPr>
              <w:t>名称：</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ascii="宋体" w:hAnsi="宋体"/>
                <w:color w:val="auto"/>
                <w:kern w:val="0"/>
                <w:szCs w:val="21"/>
                <w:highlight w:val="none"/>
              </w:rPr>
            </w:pPr>
            <w:r>
              <w:rPr>
                <w:rFonts w:ascii="宋体" w:hAnsi="宋体"/>
                <w:color w:val="auto"/>
                <w:kern w:val="0"/>
                <w:szCs w:val="21"/>
                <w:highlight w:val="none"/>
              </w:rPr>
              <w:t>地址：</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ascii="宋体" w:hAnsi="宋体"/>
                <w:color w:val="auto"/>
                <w:kern w:val="0"/>
                <w:szCs w:val="21"/>
                <w:highlight w:val="none"/>
              </w:rPr>
            </w:pPr>
            <w:r>
              <w:rPr>
                <w:rFonts w:ascii="宋体" w:hAnsi="宋体"/>
                <w:color w:val="auto"/>
                <w:kern w:val="0"/>
                <w:szCs w:val="21"/>
                <w:highlight w:val="none"/>
              </w:rPr>
              <w:t>联系人：</w:t>
            </w:r>
            <w:r>
              <w:rPr>
                <w:rFonts w:hint="eastAsia" w:asciiTheme="minorEastAsia" w:hAnsiTheme="minorEastAsia" w:eastAsiaTheme="minorEastAsia" w:cstheme="minorEastAsia"/>
                <w:color w:val="auto"/>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textAlignment w:val="auto"/>
              <w:rPr>
                <w:rFonts w:ascii="宋体" w:hAnsi="宋体"/>
                <w:color w:val="auto"/>
                <w:kern w:val="0"/>
                <w:szCs w:val="21"/>
                <w:highlight w:val="none"/>
              </w:rPr>
            </w:pPr>
            <w:r>
              <w:rPr>
                <w:rFonts w:ascii="宋体" w:hAnsi="宋体"/>
                <w:color w:val="auto"/>
                <w:kern w:val="0"/>
                <w:szCs w:val="21"/>
                <w:highlight w:val="none"/>
              </w:rPr>
              <w:t>电话：</w:t>
            </w: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1.1.4</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项目名称</w:t>
            </w:r>
          </w:p>
        </w:tc>
        <w:tc>
          <w:tcPr>
            <w:tcW w:w="6524" w:type="dxa"/>
            <w:vAlign w:val="center"/>
          </w:tcPr>
          <w:p>
            <w:pPr>
              <w:keepNext w:val="0"/>
              <w:keepLines w:val="0"/>
              <w:pageBreakBefore w:val="0"/>
              <w:kinsoku/>
              <w:wordWrap/>
              <w:overflowPunct/>
              <w:topLinePunct w:val="0"/>
              <w:bidi w:val="0"/>
              <w:snapToGrid w:val="0"/>
              <w:spacing w:line="400" w:lineRule="exact"/>
              <w:jc w:val="left"/>
              <w:textAlignment w:val="auto"/>
              <w:rPr>
                <w:rFonts w:ascii="宋体" w:hAnsi="宋体"/>
                <w:color w:val="auto"/>
                <w:szCs w:val="21"/>
                <w:highlight w:val="none"/>
              </w:rPr>
            </w:pP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1.1.5</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建设地点</w:t>
            </w:r>
          </w:p>
        </w:tc>
        <w:tc>
          <w:tcPr>
            <w:tcW w:w="6524" w:type="dxa"/>
            <w:vAlign w:val="center"/>
          </w:tcPr>
          <w:p>
            <w:pPr>
              <w:keepNext w:val="0"/>
              <w:keepLines w:val="0"/>
              <w:pageBreakBefore w:val="0"/>
              <w:kinsoku/>
              <w:wordWrap/>
              <w:overflowPunct/>
              <w:topLinePunct w:val="0"/>
              <w:bidi w:val="0"/>
              <w:snapToGrid w:val="0"/>
              <w:spacing w:line="400" w:lineRule="exact"/>
              <w:jc w:val="left"/>
              <w:textAlignment w:val="auto"/>
              <w:rPr>
                <w:rFonts w:ascii="宋体" w:hAnsi="宋体"/>
                <w:color w:val="auto"/>
                <w:szCs w:val="21"/>
                <w:highlight w:val="none"/>
              </w:rPr>
            </w:pPr>
            <w:r>
              <w:rPr>
                <w:rFonts w:hint="eastAsia" w:asciiTheme="minorEastAsia" w:hAnsiTheme="minorEastAsia" w:eastAsiaTheme="minorEastAsia" w:cstheme="minorEastAsia"/>
                <w:color w:val="auto"/>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1.1.6</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建设规模</w:t>
            </w:r>
          </w:p>
        </w:tc>
        <w:tc>
          <w:tcPr>
            <w:tcW w:w="6524"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napToGrid w:val="0"/>
                <w:color w:val="auto"/>
                <w:kern w:val="0"/>
                <w:szCs w:val="21"/>
                <w:highlight w:val="none"/>
              </w:rPr>
            </w:pPr>
            <w:r>
              <w:rPr>
                <w:rFonts w:hint="eastAsia" w:ascii="宋体" w:hAnsi="宋体"/>
                <w:snapToGrid w:val="0"/>
                <w:color w:val="auto"/>
                <w:kern w:val="0"/>
                <w:szCs w:val="21"/>
                <w:highlight w:val="none"/>
                <w:u w:val="single"/>
              </w:rPr>
              <w:t xml:space="preserve">        </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i/>
                <w:snapToGrid w:val="0"/>
                <w:color w:val="auto"/>
                <w:kern w:val="0"/>
                <w:szCs w:val="21"/>
                <w:highlight w:val="none"/>
              </w:rPr>
            </w:pPr>
            <w:r>
              <w:rPr>
                <w:rFonts w:hint="eastAsia" w:ascii="宋体" w:hAnsi="宋体"/>
                <w:b w:val="0"/>
                <w:bCs w:val="0"/>
                <w:i/>
                <w:snapToGrid w:val="0"/>
                <w:color w:val="auto"/>
                <w:kern w:val="0"/>
                <w:szCs w:val="21"/>
                <w:highlight w:val="none"/>
              </w:rPr>
              <w:t>[提示：与招标公告保持一致。]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1.2.1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资金来源</w:t>
            </w:r>
          </w:p>
        </w:tc>
        <w:tc>
          <w:tcPr>
            <w:tcW w:w="6524" w:type="dxa"/>
            <w:vAlign w:val="center"/>
          </w:tcPr>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napToGrid w:val="0"/>
                <w:color w:val="auto"/>
                <w:kern w:val="0"/>
                <w:szCs w:val="21"/>
                <w:highlight w:val="none"/>
              </w:rPr>
            </w:pPr>
            <w:r>
              <w:rPr>
                <w:rFonts w:hint="eastAsia" w:ascii="宋体" w:hAnsi="宋体"/>
                <w:snapToGrid w:val="0"/>
                <w:color w:val="auto"/>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1.2.2</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出资比例</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jc w:val="left"/>
              <w:textAlignment w:val="auto"/>
              <w:rPr>
                <w:rFonts w:hint="default" w:ascii="宋体" w:hAnsi="宋体" w:eastAsia="宋体"/>
                <w:color w:val="auto"/>
                <w:szCs w:val="21"/>
                <w:highlight w:val="none"/>
                <w:u w:val="single"/>
                <w:lang w:val="en-US" w:eastAsia="zh-CN"/>
              </w:rPr>
            </w:pPr>
            <w:r>
              <w:rPr>
                <w:rFonts w:hint="eastAsia" w:ascii="宋体" w:hAnsi="宋体"/>
                <w:snapToGrid w:val="0"/>
                <w:color w:val="auto"/>
                <w:kern w:val="0"/>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1.2.3</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资金落实情况</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jc w:val="left"/>
              <w:textAlignment w:val="auto"/>
              <w:rPr>
                <w:rFonts w:ascii="宋体" w:hAnsi="宋体"/>
                <w:color w:val="auto"/>
                <w:szCs w:val="21"/>
                <w:highlight w:val="none"/>
                <w:u w:val="single"/>
              </w:rPr>
            </w:pPr>
            <w:r>
              <w:rPr>
                <w:rFonts w:hint="eastAsia" w:ascii="宋体" w:hAnsi="宋体"/>
                <w:color w:val="auto"/>
                <w:szCs w:val="21"/>
                <w:highlight w:val="none"/>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1.3.1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招标范围</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i/>
                <w:color w:val="auto"/>
                <w:szCs w:val="21"/>
                <w:highlight w:val="none"/>
              </w:rPr>
            </w:pPr>
            <w:r>
              <w:rPr>
                <w:rFonts w:ascii="宋体" w:hAnsi="宋体"/>
                <w:b w:val="0"/>
                <w:bCs w:val="0"/>
                <w:i/>
                <w:color w:val="auto"/>
                <w:szCs w:val="21"/>
                <w:highlight w:val="none"/>
              </w:rPr>
              <w:t>[提示：</w:t>
            </w:r>
            <w:r>
              <w:rPr>
                <w:rFonts w:hint="eastAsia" w:ascii="宋体" w:hAnsi="宋体"/>
                <w:b w:val="0"/>
                <w:bCs w:val="0"/>
                <w:i/>
                <w:color w:val="auto"/>
                <w:szCs w:val="21"/>
                <w:highlight w:val="none"/>
              </w:rPr>
              <w:t>与招标公告保持一致。</w:t>
            </w:r>
            <w:r>
              <w:rPr>
                <w:rFonts w:ascii="宋体" w:hAnsi="宋体"/>
                <w:b w:val="0"/>
                <w:bCs w:val="0"/>
                <w:i/>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1.3.2</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计划工期</w:t>
            </w: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缺陷责任期</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snapToGrid w:val="0"/>
                <w:color w:val="auto"/>
                <w:kern w:val="0"/>
                <w:szCs w:val="21"/>
                <w:highlight w:val="none"/>
                <w:u w:val="single"/>
              </w:rPr>
            </w:pPr>
            <w:r>
              <w:rPr>
                <w:rFonts w:hint="eastAsia" w:ascii="宋体" w:hAnsi="宋体"/>
                <w:color w:val="auto"/>
                <w:kern w:val="0"/>
                <w:szCs w:val="21"/>
                <w:highlight w:val="none"/>
              </w:rPr>
              <w:t>工期：</w:t>
            </w:r>
            <w:r>
              <w:rPr>
                <w:rFonts w:hint="eastAsia" w:ascii="宋体" w:hAnsi="宋体"/>
                <w:snapToGrid w:val="0"/>
                <w:color w:val="auto"/>
                <w:kern w:val="0"/>
                <w:szCs w:val="21"/>
                <w:highlight w:val="none"/>
                <w:u w:val="single"/>
              </w:rPr>
              <w:t xml:space="preserve">        日历天</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缺陷责任期：</w:t>
            </w:r>
            <w:r>
              <w:rPr>
                <w:rFonts w:hint="eastAsia" w:ascii="宋体" w:hAnsi="宋体"/>
                <w:snapToGrid w:val="0"/>
                <w:color w:val="auto"/>
                <w:kern w:val="0"/>
                <w:szCs w:val="21"/>
                <w:highlight w:val="none"/>
                <w:u w:val="single"/>
              </w:rPr>
              <w:t xml:space="preserve">        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1.3.3</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质量要求</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u w:val="none"/>
              </w:rPr>
              <w:t>符合强制性质量标准，</w:t>
            </w:r>
            <w:r>
              <w:rPr>
                <w:rFonts w:hint="eastAsia" w:ascii="宋体" w:hAnsi="宋体" w:cs="宋体"/>
                <w:color w:val="auto"/>
                <w:highlight w:val="none"/>
                <w:u w:val="single"/>
              </w:rPr>
              <w:t>符合国家和重庆市地质灾害防治工程标准和技术规范；与主体工程配套的地质灾害治理工程，还应当符合国家和重庆市建设工程有关标准和技术规范。</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b w:val="0"/>
                <w:bCs w:val="0"/>
                <w:i/>
                <w:color w:val="auto"/>
                <w:szCs w:val="21"/>
                <w:highlight w:val="none"/>
              </w:rPr>
              <w:t>[提示：根据工程实际情况确定合理的质量要求。]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1.4.1</w:t>
            </w: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投标人资质条件、能力和信誉</w:t>
            </w: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tc>
        <w:tc>
          <w:tcPr>
            <w:tcW w:w="6524"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i/>
                <w:color w:val="auto"/>
                <w:szCs w:val="21"/>
                <w:highlight w:val="none"/>
              </w:rPr>
            </w:pPr>
            <w:r>
              <w:rPr>
                <w:rFonts w:ascii="宋体" w:hAnsi="宋体"/>
                <w:i/>
                <w:color w:val="auto"/>
                <w:szCs w:val="21"/>
                <w:highlight w:val="none"/>
              </w:rPr>
              <w:t>[提示：适用于</w:t>
            </w:r>
            <w:r>
              <w:rPr>
                <w:rFonts w:hint="eastAsia" w:ascii="宋体" w:hAnsi="宋体"/>
                <w:i/>
                <w:color w:val="auto"/>
                <w:szCs w:val="21"/>
                <w:highlight w:val="none"/>
              </w:rPr>
              <w:t>未进行资格预审</w:t>
            </w:r>
            <w:r>
              <w:rPr>
                <w:rFonts w:ascii="宋体" w:hAnsi="宋体"/>
                <w:i/>
                <w:color w:val="auto"/>
                <w:szCs w:val="21"/>
                <w:highlight w:val="none"/>
              </w:rPr>
              <w:t>的项目，</w:t>
            </w:r>
            <w:r>
              <w:rPr>
                <w:rFonts w:hint="eastAsia" w:ascii="宋体" w:hAnsi="宋体"/>
                <w:i/>
                <w:color w:val="auto"/>
                <w:szCs w:val="21"/>
                <w:highlight w:val="none"/>
              </w:rPr>
              <w:t>第1、4、5、6项必须具备；</w:t>
            </w:r>
            <w:r>
              <w:rPr>
                <w:rFonts w:ascii="宋体" w:hAnsi="宋体"/>
                <w:i/>
                <w:color w:val="auto"/>
                <w:szCs w:val="21"/>
                <w:highlight w:val="none"/>
              </w:rPr>
              <w:t>第2、3项由招标人根据项目情况选设</w:t>
            </w:r>
            <w:r>
              <w:rPr>
                <w:rFonts w:hint="eastAsia" w:ascii="宋体" w:hAnsi="宋体"/>
                <w:i/>
                <w:color w:val="auto"/>
                <w:szCs w:val="21"/>
                <w:highlight w:val="none"/>
              </w:rPr>
              <w:t>。</w:t>
            </w:r>
            <w:r>
              <w:rPr>
                <w:rFonts w:ascii="宋体" w:hAnsi="宋体"/>
                <w:i/>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bookmarkStart w:id="205" w:name="OLE_LINK1"/>
            <w:r>
              <w:rPr>
                <w:rFonts w:ascii="宋体" w:hAnsi="宋体"/>
                <w:color w:val="auto"/>
                <w:szCs w:val="21"/>
                <w:highlight w:val="none"/>
              </w:rPr>
              <w:t>本工程施工招标实行资格后审，投标人应</w:t>
            </w:r>
            <w:bookmarkStart w:id="206" w:name="一是"/>
            <w:bookmarkEnd w:id="206"/>
            <w:r>
              <w:rPr>
                <w:rFonts w:ascii="宋体" w:hAnsi="宋体"/>
                <w:color w:val="auto"/>
                <w:szCs w:val="21"/>
                <w:highlight w:val="none"/>
              </w:rPr>
              <w:t>具备以下资格条件：</w:t>
            </w:r>
          </w:p>
          <w:bookmarkEnd w:id="205"/>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b/>
                <w:color w:val="auto"/>
                <w:szCs w:val="21"/>
                <w:highlight w:val="none"/>
              </w:rPr>
            </w:pPr>
            <w:r>
              <w:rPr>
                <w:rFonts w:ascii="宋体" w:hAnsi="宋体"/>
                <w:b/>
                <w:color w:val="auto"/>
                <w:szCs w:val="21"/>
                <w:highlight w:val="none"/>
              </w:rPr>
              <w:t>1.资质条件、</w:t>
            </w:r>
            <w:r>
              <w:rPr>
                <w:rFonts w:hint="eastAsia" w:ascii="宋体" w:hAnsi="宋体"/>
                <w:b/>
                <w:color w:val="auto"/>
                <w:szCs w:val="21"/>
                <w:highlight w:val="none"/>
                <w:lang w:eastAsia="zh-CN"/>
              </w:rPr>
              <w:t>独立法人资格</w:t>
            </w:r>
            <w:r>
              <w:rPr>
                <w:rFonts w:ascii="宋体" w:hAnsi="宋体"/>
                <w:b/>
                <w:color w:val="auto"/>
                <w:szCs w:val="21"/>
                <w:highlight w:val="none"/>
              </w:rPr>
              <w:t>及安全生产条件</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default" w:ascii="宋体" w:hAnsi="宋体" w:eastAsia="宋体" w:cs="宋体"/>
                <w:b w:val="0"/>
                <w:bCs w:val="0"/>
                <w:i/>
                <w:iCs/>
                <w:color w:val="auto"/>
                <w:szCs w:val="21"/>
                <w:highlight w:val="none"/>
                <w:lang w:val="en-US" w:eastAsia="zh-CN"/>
              </w:rPr>
            </w:pPr>
            <w:r>
              <w:rPr>
                <w:rFonts w:hint="eastAsia" w:ascii="宋体" w:hAnsi="宋体" w:cs="宋体"/>
                <w:b w:val="0"/>
                <w:bCs w:val="0"/>
                <w:i/>
                <w:iCs/>
                <w:color w:val="auto"/>
                <w:szCs w:val="21"/>
                <w:highlight w:val="none"/>
              </w:rPr>
              <w:t>[提示：资质的</w:t>
            </w:r>
            <w:r>
              <w:rPr>
                <w:rFonts w:hint="eastAsia" w:ascii="宋体" w:hAnsi="宋体" w:cs="宋体"/>
                <w:b w:val="0"/>
                <w:bCs w:val="0"/>
                <w:i/>
                <w:iCs/>
                <w:color w:val="auto"/>
                <w:sz w:val="21"/>
                <w:szCs w:val="21"/>
                <w:highlight w:val="none"/>
                <w:lang w:val="en-US" w:eastAsia="zh-CN"/>
              </w:rPr>
              <w:t>设置按照</w:t>
            </w:r>
            <w:r>
              <w:rPr>
                <w:rFonts w:ascii="宋体" w:hAnsi="宋体" w:cs="宋体"/>
                <w:b w:val="0"/>
                <w:bCs w:val="0"/>
                <w:i/>
                <w:iCs/>
                <w:color w:val="auto"/>
                <w:szCs w:val="21"/>
                <w:highlight w:val="none"/>
              </w:rPr>
              <w:t>自然资源</w:t>
            </w:r>
            <w:r>
              <w:rPr>
                <w:rFonts w:hint="eastAsia" w:ascii="宋体" w:hAnsi="宋体" w:cs="宋体"/>
                <w:b w:val="0"/>
                <w:bCs w:val="0"/>
                <w:i/>
                <w:iCs/>
                <w:color w:val="auto"/>
                <w:sz w:val="21"/>
                <w:szCs w:val="21"/>
                <w:highlight w:val="none"/>
                <w:lang w:val="en-US" w:eastAsia="zh-CN"/>
              </w:rPr>
              <w:t>行业主管部门相关规定执行</w:t>
            </w:r>
            <w:r>
              <w:rPr>
                <w:rFonts w:hint="eastAsia" w:ascii="宋体" w:hAnsi="宋体" w:cs="宋体"/>
                <w:b w:val="0"/>
                <w:bCs w:val="0"/>
                <w:i/>
                <w:iCs/>
                <w:color w:val="auto"/>
                <w:szCs w:val="21"/>
                <w:highlight w:val="none"/>
                <w:lang w:val="en-US"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ascii="宋体" w:hAnsi="宋体"/>
                <w:color w:val="auto"/>
                <w:szCs w:val="21"/>
                <w:highlight w:val="none"/>
              </w:rPr>
              <w:t>（1）具备有效的</w:t>
            </w:r>
            <w:r>
              <w:rPr>
                <w:rFonts w:hint="eastAsia" w:ascii="宋体" w:hAnsi="宋体"/>
                <w:color w:val="auto"/>
                <w:highlight w:val="none"/>
                <w:u w:val="single"/>
                <w:lang w:val="en-US" w:eastAsia="zh-CN"/>
              </w:rPr>
              <w:t xml:space="preserve">        </w:t>
            </w:r>
            <w:r>
              <w:rPr>
                <w:rFonts w:ascii="宋体" w:hAnsi="宋体"/>
                <w:color w:val="auto"/>
                <w:szCs w:val="21"/>
                <w:highlight w:val="none"/>
                <w:u w:val="single"/>
              </w:rPr>
              <w:t>及以上</w:t>
            </w:r>
            <w:r>
              <w:rPr>
                <w:rFonts w:hint="eastAsia" w:ascii="宋体" w:hAnsi="宋体"/>
                <w:color w:val="auto"/>
                <w:szCs w:val="21"/>
                <w:highlight w:val="none"/>
              </w:rPr>
              <w:t>资质</w:t>
            </w:r>
            <w:r>
              <w:rPr>
                <w:rFonts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ascii="宋体" w:hAnsi="宋体"/>
                <w:color w:val="auto"/>
                <w:szCs w:val="21"/>
                <w:highlight w:val="none"/>
              </w:rPr>
              <w:t>提供</w:t>
            </w:r>
            <w:r>
              <w:rPr>
                <w:rFonts w:hint="eastAsia" w:ascii="宋体" w:hAnsi="宋体"/>
                <w:color w:val="auto"/>
                <w:szCs w:val="21"/>
                <w:highlight w:val="none"/>
                <w:lang w:eastAsia="zh-CN"/>
              </w:rPr>
              <w:t>：</w:t>
            </w:r>
            <w:r>
              <w:rPr>
                <w:rFonts w:hint="eastAsia" w:ascii="宋体" w:hAnsi="宋体"/>
                <w:color w:val="auto"/>
                <w:szCs w:val="21"/>
                <w:highlight w:val="none"/>
              </w:rPr>
              <w:t>有效的资质证书</w:t>
            </w:r>
            <w:r>
              <w:rPr>
                <w:rFonts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b w:val="0"/>
                <w:bCs w:val="0"/>
                <w:color w:val="auto"/>
                <w:highlight w:val="none"/>
              </w:rPr>
              <w:t>□</w:t>
            </w:r>
            <w:r>
              <w:rPr>
                <w:rFonts w:hint="eastAsia" w:ascii="宋体" w:hAnsi="宋体"/>
                <w:color w:val="auto"/>
                <w:highlight w:val="none"/>
              </w:rPr>
              <w:t>联合体投标的，</w:t>
            </w:r>
            <w:r>
              <w:rPr>
                <w:rFonts w:hint="eastAsia" w:ascii="宋体" w:hAnsi="宋体"/>
                <w:lang w:val="en-US" w:eastAsia="zh-CN"/>
              </w:rPr>
              <w:t>须提供共同投标协议，并</w:t>
            </w:r>
            <w:r>
              <w:rPr>
                <w:rFonts w:hint="eastAsia" w:ascii="宋体" w:hAnsi="宋体"/>
              </w:rPr>
              <w:t>按</w:t>
            </w:r>
            <w:r>
              <w:rPr>
                <w:rFonts w:hint="eastAsia" w:ascii="宋体" w:hAnsi="宋体"/>
                <w:lang w:val="en-US" w:eastAsia="zh-CN"/>
              </w:rPr>
              <w:t>共同投标协议</w:t>
            </w:r>
            <w:r>
              <w:rPr>
                <w:rFonts w:hint="eastAsia" w:ascii="宋体" w:hAnsi="宋体"/>
              </w:rPr>
              <w:t>约定的分工提供</w:t>
            </w:r>
            <w:r>
              <w:rPr>
                <w:rFonts w:hint="eastAsia" w:ascii="宋体" w:hAnsi="宋体"/>
                <w:color w:val="auto"/>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ascii="宋体" w:hAnsi="宋体"/>
                <w:color w:val="auto"/>
                <w:szCs w:val="21"/>
                <w:highlight w:val="none"/>
              </w:rPr>
              <w:t>（2）具备</w:t>
            </w:r>
            <w:r>
              <w:rPr>
                <w:rFonts w:hint="eastAsia" w:ascii="宋体" w:hAnsi="宋体"/>
                <w:szCs w:val="21"/>
                <w:lang w:val="en-US" w:eastAsia="zh-CN"/>
              </w:rPr>
              <w:t>独立法人资格</w:t>
            </w:r>
            <w:r>
              <w:rPr>
                <w:rFonts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ascii="宋体" w:hAnsi="宋体"/>
                <w:color w:val="auto"/>
                <w:szCs w:val="21"/>
                <w:highlight w:val="none"/>
              </w:rPr>
              <w:t>提供</w:t>
            </w:r>
            <w:r>
              <w:rPr>
                <w:rFonts w:hint="eastAsia" w:ascii="宋体" w:hAnsi="宋体"/>
                <w:color w:val="auto"/>
                <w:szCs w:val="21"/>
                <w:highlight w:val="none"/>
                <w:lang w:eastAsia="zh-CN"/>
              </w:rPr>
              <w:t>：</w:t>
            </w:r>
            <w:r>
              <w:rPr>
                <w:rFonts w:ascii="宋体" w:hAnsi="宋体"/>
                <w:color w:val="auto"/>
                <w:szCs w:val="21"/>
                <w:highlight w:val="none"/>
              </w:rPr>
              <w:t>有效的营业执照。</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highlight w:val="none"/>
              </w:rPr>
              <w:t>□联合体投标的，联合体各方均</w:t>
            </w:r>
            <w:r>
              <w:rPr>
                <w:rFonts w:hint="eastAsia" w:ascii="宋体" w:hAnsi="宋体"/>
                <w:color w:val="auto"/>
                <w:highlight w:val="none"/>
                <w:lang w:val="en-US" w:eastAsia="zh-CN"/>
              </w:rPr>
              <w:t>须</w:t>
            </w:r>
            <w:r>
              <w:rPr>
                <w:rFonts w:hint="eastAsia" w:ascii="宋体" w:hAnsi="宋体"/>
                <w:lang w:val="en-US" w:eastAsia="zh-CN"/>
              </w:rPr>
              <w:t>满足并</w:t>
            </w:r>
            <w:r>
              <w:rPr>
                <w:rFonts w:hint="eastAsia" w:ascii="宋体" w:hAnsi="宋体"/>
              </w:rPr>
              <w:t>提供</w:t>
            </w:r>
            <w:r>
              <w:rPr>
                <w:rFonts w:hint="eastAsia" w:ascii="宋体" w:hAnsi="宋体"/>
                <w:color w:val="auto"/>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注：不得将投标人营业执照记载的经营范围作为评审因素。</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lang w:val="en-US" w:eastAsia="zh-CN"/>
              </w:rPr>
              <w:t>具备行业</w:t>
            </w:r>
            <w:r>
              <w:rPr>
                <w:rFonts w:ascii="宋体" w:hAnsi="宋体"/>
                <w:color w:val="auto"/>
                <w:szCs w:val="21"/>
                <w:highlight w:val="none"/>
              </w:rPr>
              <w:t>主管部门颁发的有效的安全生产许可证</w:t>
            </w:r>
            <w:r>
              <w:rPr>
                <w:rFonts w:hint="eastAsia" w:ascii="宋体" w:hAnsi="宋体"/>
                <w:color w:val="auto"/>
                <w:szCs w:val="21"/>
                <w:highlight w:val="none"/>
                <w:lang w:eastAsia="zh-CN"/>
              </w:rPr>
              <w:t>，</w:t>
            </w:r>
            <w:r>
              <w:rPr>
                <w:rFonts w:ascii="宋体" w:hAnsi="宋体"/>
                <w:color w:val="auto"/>
                <w:szCs w:val="21"/>
                <w:highlight w:val="none"/>
              </w:rPr>
              <w:t>企业</w:t>
            </w:r>
            <w:r>
              <w:rPr>
                <w:rFonts w:hint="eastAsia" w:ascii="宋体" w:hAnsi="宋体"/>
                <w:color w:val="auto"/>
                <w:szCs w:val="21"/>
                <w:highlight w:val="none"/>
              </w:rPr>
              <w:t>主要</w:t>
            </w:r>
            <w:r>
              <w:rPr>
                <w:rFonts w:ascii="宋体" w:hAnsi="宋体"/>
                <w:color w:val="auto"/>
                <w:szCs w:val="21"/>
                <w:highlight w:val="none"/>
              </w:rPr>
              <w:t>负责人、</w:t>
            </w:r>
            <w:r>
              <w:rPr>
                <w:rFonts w:hint="eastAsia" w:ascii="宋体" w:hAnsi="宋体"/>
                <w:color w:val="auto"/>
                <w:szCs w:val="21"/>
                <w:highlight w:val="none"/>
                <w:lang w:val="en-US" w:eastAsia="zh-CN"/>
              </w:rPr>
              <w:t>拟派</w:t>
            </w:r>
            <w:r>
              <w:rPr>
                <w:rFonts w:ascii="宋体" w:hAnsi="宋体"/>
                <w:color w:val="auto"/>
                <w:szCs w:val="21"/>
                <w:highlight w:val="none"/>
              </w:rPr>
              <w:t>项目经理具备相应的由</w:t>
            </w:r>
            <w:r>
              <w:rPr>
                <w:rFonts w:hint="eastAsia" w:ascii="宋体" w:hAnsi="宋体"/>
                <w:color w:val="auto"/>
                <w:szCs w:val="21"/>
                <w:highlight w:val="none"/>
                <w:lang w:val="en-US" w:eastAsia="zh-CN"/>
              </w:rPr>
              <w:t>行业</w:t>
            </w:r>
            <w:r>
              <w:rPr>
                <w:rFonts w:ascii="宋体" w:hAnsi="宋体"/>
                <w:color w:val="auto"/>
                <w:szCs w:val="21"/>
                <w:highlight w:val="none"/>
              </w:rPr>
              <w:t>主管部门颁发的有效的安全生产考核合格证书</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提供</w:t>
            </w:r>
            <w:r>
              <w:rPr>
                <w:rFonts w:hint="eastAsia" w:ascii="宋体" w:hAnsi="宋体"/>
                <w:color w:val="auto"/>
                <w:szCs w:val="21"/>
                <w:highlight w:val="none"/>
                <w:lang w:eastAsia="zh-CN"/>
              </w:rPr>
              <w:t>：</w:t>
            </w:r>
            <w:r>
              <w:rPr>
                <w:rFonts w:hint="eastAsia" w:ascii="宋体" w:hAnsi="宋体"/>
                <w:color w:val="auto"/>
                <w:szCs w:val="21"/>
                <w:highlight w:val="none"/>
              </w:rPr>
              <w:t>有效的安全生产许可证</w:t>
            </w:r>
            <w:r>
              <w:rPr>
                <w:rFonts w:ascii="宋体" w:hAnsi="宋体"/>
                <w:color w:val="auto"/>
                <w:szCs w:val="21"/>
                <w:highlight w:val="none"/>
              </w:rPr>
              <w:t>及安全生产考核合格证书。</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b/>
                <w:color w:val="auto"/>
                <w:szCs w:val="21"/>
                <w:highlight w:val="none"/>
              </w:rPr>
            </w:pPr>
            <w:r>
              <w:rPr>
                <w:rFonts w:hint="eastAsia" w:ascii="宋体" w:hAnsi="宋体"/>
                <w:color w:val="auto"/>
                <w:highlight w:val="none"/>
              </w:rPr>
              <w:t>□联合体投标的，</w:t>
            </w:r>
            <w:r>
              <w:rPr>
                <w:rFonts w:hint="eastAsia" w:ascii="宋体" w:hAnsi="宋体"/>
                <w:lang w:val="en-US" w:eastAsia="zh-CN"/>
              </w:rPr>
              <w:t>根据共同投标协议承担施工任务的</w:t>
            </w:r>
            <w:r>
              <w:rPr>
                <w:rFonts w:hint="eastAsia" w:ascii="宋体" w:hAnsi="宋体"/>
              </w:rPr>
              <w:t>联合体</w:t>
            </w:r>
            <w:r>
              <w:rPr>
                <w:rFonts w:hint="eastAsia" w:ascii="宋体" w:hAnsi="宋体"/>
                <w:lang w:val="en-US" w:eastAsia="zh-CN"/>
              </w:rPr>
              <w:t>成员</w:t>
            </w:r>
            <w:r>
              <w:rPr>
                <w:rFonts w:hint="eastAsia" w:ascii="宋体" w:hAnsi="宋体"/>
              </w:rPr>
              <w:t>均</w:t>
            </w:r>
            <w:r>
              <w:rPr>
                <w:rFonts w:hint="eastAsia" w:ascii="宋体" w:hAnsi="宋体"/>
                <w:lang w:val="en-US" w:eastAsia="zh-CN"/>
              </w:rPr>
              <w:t>须满足并提供</w:t>
            </w:r>
            <w:r>
              <w:rPr>
                <w:rFonts w:hint="eastAsia" w:ascii="宋体" w:hAnsi="宋体"/>
                <w:color w:val="auto"/>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b/>
                <w:color w:val="auto"/>
                <w:szCs w:val="21"/>
                <w:highlight w:val="none"/>
              </w:rPr>
            </w:pPr>
            <w:r>
              <w:rPr>
                <w:rFonts w:hint="eastAsia" w:ascii="宋体" w:hAnsi="宋体"/>
                <w:b/>
                <w:color w:val="auto"/>
                <w:szCs w:val="21"/>
                <w:highlight w:val="none"/>
              </w:rPr>
              <w:t>□</w:t>
            </w:r>
            <w:r>
              <w:rPr>
                <w:rFonts w:ascii="宋体" w:hAnsi="宋体"/>
                <w:b/>
                <w:color w:val="auto"/>
                <w:szCs w:val="21"/>
                <w:highlight w:val="none"/>
              </w:rPr>
              <w:t>2.财务要求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i/>
                <w:kern w:val="0"/>
                <w:szCs w:val="21"/>
              </w:rPr>
            </w:pPr>
            <w:r>
              <w:rPr>
                <w:rFonts w:hint="eastAsia" w:ascii="宋体" w:hAnsi="宋体"/>
                <w:i/>
                <w:kern w:val="0"/>
                <w:szCs w:val="21"/>
              </w:rPr>
              <w:t>[提示：招标人</w:t>
            </w:r>
            <w:r>
              <w:rPr>
                <w:rFonts w:hint="eastAsia" w:ascii="宋体" w:hAnsi="宋体"/>
                <w:i/>
                <w:kern w:val="0"/>
                <w:szCs w:val="21"/>
                <w:lang w:val="en-US" w:eastAsia="zh-CN"/>
              </w:rPr>
              <w:t>可选择以下三种方式之一，</w:t>
            </w:r>
            <w:r>
              <w:rPr>
                <w:rFonts w:hint="eastAsia" w:ascii="宋体" w:hAnsi="宋体"/>
                <w:i/>
                <w:kern w:val="0"/>
                <w:szCs w:val="21"/>
              </w:rPr>
              <w:t>可</w:t>
            </w:r>
            <w:r>
              <w:rPr>
                <w:rFonts w:hint="eastAsia" w:ascii="宋体" w:hAnsi="宋体"/>
                <w:i/>
                <w:kern w:val="0"/>
                <w:szCs w:val="21"/>
                <w:lang w:val="en-US" w:eastAsia="zh-CN"/>
              </w:rPr>
              <w:t>设置近</w:t>
            </w:r>
            <w:r>
              <w:rPr>
                <w:rFonts w:hint="eastAsia" w:ascii="宋体" w:hAnsi="宋体"/>
                <w:i/>
                <w:kern w:val="0"/>
                <w:szCs w:val="21"/>
              </w:rPr>
              <w:t>1至3年的年度财务要求。]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u w:val="singl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u w:val="none"/>
                <w:lang w:val="en-US" w:eastAsia="zh-CN"/>
              </w:rPr>
              <w:t>方式一</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年的</w:t>
            </w:r>
            <w:r>
              <w:rPr>
                <w:rFonts w:hint="eastAsia" w:asciiTheme="minorEastAsia" w:hAnsiTheme="minorEastAsia" w:eastAsiaTheme="minorEastAsia" w:cstheme="minorEastAsia"/>
                <w:color w:val="auto"/>
                <w:kern w:val="0"/>
                <w:szCs w:val="21"/>
                <w:highlight w:val="none"/>
                <w:lang w:val="en-US" w:eastAsia="zh-CN"/>
              </w:rPr>
              <w:t>各</w:t>
            </w:r>
            <w:r>
              <w:rPr>
                <w:rFonts w:hint="eastAsia" w:asciiTheme="minorEastAsia" w:hAnsiTheme="minorEastAsia" w:eastAsiaTheme="minorEastAsia" w:cstheme="minorEastAsia"/>
                <w:color w:val="auto"/>
                <w:kern w:val="0"/>
                <w:szCs w:val="21"/>
                <w:highlight w:val="none"/>
              </w:rPr>
              <w:t>年度财务状况不亏损。</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u w:val="singl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u w:val="none"/>
                <w:lang w:val="en-US" w:eastAsia="zh-CN"/>
              </w:rPr>
              <w:t>方式二</w:t>
            </w:r>
          </w:p>
          <w:p>
            <w:pPr>
              <w:keepNext w:val="0"/>
              <w:keepLines w:val="0"/>
              <w:pageBreakBefore w:val="0"/>
              <w:kinsoku/>
              <w:wordWrap/>
              <w:overflowPunct/>
              <w:topLinePunct w:val="0"/>
              <w:bidi w:val="0"/>
              <w:snapToGrid w:val="0"/>
              <w:spacing w:line="400" w:lineRule="exact"/>
              <w:ind w:left="399" w:leftChars="190" w:firstLine="0" w:firstLineChars="0"/>
              <w:textAlignment w:val="auto"/>
              <w:rPr>
                <w:rFonts w:hint="eastAsia"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lang w:val="en-US" w:eastAsia="zh-CN"/>
              </w:rPr>
              <w:t>的年度财务状况累计不亏损。</w:t>
            </w:r>
          </w:p>
          <w:p>
            <w:pPr>
              <w:keepNext w:val="0"/>
              <w:keepLines w:val="0"/>
              <w:pageBreakBefore w:val="0"/>
              <w:kinsoku/>
              <w:wordWrap/>
              <w:overflowPunct/>
              <w:topLinePunct w:val="0"/>
              <w:bidi w:val="0"/>
              <w:snapToGrid w:val="0"/>
              <w:spacing w:line="400" w:lineRule="exact"/>
              <w:ind w:left="399" w:leftChars="190" w:firstLine="0" w:firstLineChars="0"/>
              <w:textAlignment w:val="auto"/>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kern w:val="0"/>
                <w:szCs w:val="21"/>
                <w:highlight w:val="none"/>
                <w:lang w:eastAsia="zh-CN"/>
              </w:rPr>
              <w:t>方式</w:t>
            </w:r>
            <w:r>
              <w:rPr>
                <w:rFonts w:hint="eastAsia" w:asciiTheme="minorEastAsia" w:hAnsiTheme="minorEastAsia" w:eastAsiaTheme="minorEastAsia" w:cstheme="minorEastAsia"/>
                <w:color w:val="auto"/>
                <w:kern w:val="0"/>
                <w:szCs w:val="21"/>
                <w:highlight w:val="none"/>
                <w:lang w:val="en-US" w:eastAsia="zh-CN"/>
              </w:rPr>
              <w:t>三</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kern w:val="0"/>
                <w:szCs w:val="21"/>
                <w:highlight w:val="none"/>
              </w:rPr>
            </w:pP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lang w:eastAsia="zh-CN"/>
              </w:rPr>
              <w:t>的</w:t>
            </w:r>
            <w:r>
              <w:rPr>
                <w:rFonts w:hint="eastAsia" w:asciiTheme="minorEastAsia" w:hAnsiTheme="minorEastAsia" w:eastAsiaTheme="minorEastAsia" w:cstheme="minorEastAsia"/>
                <w:color w:val="auto"/>
                <w:kern w:val="0"/>
                <w:szCs w:val="21"/>
                <w:highlight w:val="none"/>
                <w:lang w:val="en-US" w:eastAsia="zh-CN"/>
              </w:rPr>
              <w:t>年度</w:t>
            </w:r>
            <w:r>
              <w:rPr>
                <w:rFonts w:hint="eastAsia" w:asciiTheme="minorEastAsia" w:hAnsiTheme="minorEastAsia" w:eastAsiaTheme="minorEastAsia" w:cstheme="minorEastAsia"/>
                <w:color w:val="auto"/>
                <w:kern w:val="0"/>
                <w:szCs w:val="21"/>
                <w:highlight w:val="none"/>
                <w:lang w:eastAsia="zh-CN"/>
              </w:rPr>
              <w:t>财务状况未出现连续亏损</w:t>
            </w:r>
            <w:r>
              <w:rPr>
                <w:rFonts w:hint="eastAsia" w:ascii="宋体" w:hAnsi="宋体"/>
                <w:color w:val="auto"/>
                <w:kern w:val="0"/>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提供</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会计师事务所或审计机构出具的合法有效的财务审计报告及财务报表，财务报表须至少包括现金流量表、资产负债表、利润表。</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b/>
                <w:color w:val="auto"/>
                <w:szCs w:val="21"/>
                <w:highlight w:val="none"/>
              </w:rPr>
            </w:pPr>
            <w:r>
              <w:rPr>
                <w:rFonts w:hint="eastAsia" w:ascii="宋体" w:hAnsi="宋体"/>
                <w:b/>
                <w:bCs/>
                <w:color w:val="auto"/>
                <w:szCs w:val="21"/>
                <w:highlight w:val="none"/>
              </w:rPr>
              <w:t>□</w:t>
            </w:r>
            <w:r>
              <w:rPr>
                <w:rFonts w:hint="eastAsia" w:ascii="宋体" w:hAnsi="宋体"/>
                <w:color w:val="auto"/>
                <w:szCs w:val="21"/>
                <w:highlight w:val="none"/>
              </w:rPr>
              <w:t>联合体投标的，联合体各方均</w:t>
            </w:r>
            <w:r>
              <w:rPr>
                <w:rFonts w:hint="eastAsia" w:ascii="宋体" w:hAnsi="宋体"/>
                <w:color w:val="auto"/>
                <w:szCs w:val="21"/>
                <w:highlight w:val="none"/>
                <w:lang w:val="en-US" w:eastAsia="zh-CN"/>
              </w:rPr>
              <w:t>须</w:t>
            </w:r>
            <w:r>
              <w:rPr>
                <w:rFonts w:hint="eastAsia" w:ascii="宋体" w:hAnsi="宋体"/>
                <w:color w:val="auto"/>
                <w:szCs w:val="21"/>
                <w:highlight w:val="none"/>
              </w:rPr>
              <w:t>满足</w:t>
            </w:r>
            <w:r>
              <w:rPr>
                <w:rFonts w:hint="eastAsia" w:ascii="宋体" w:hAnsi="宋体"/>
                <w:szCs w:val="21"/>
                <w:lang w:val="en-US" w:eastAsia="zh-CN"/>
              </w:rPr>
              <w:t>并提供</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b/>
                <w:color w:val="auto"/>
                <w:szCs w:val="21"/>
                <w:highlight w:val="none"/>
              </w:rPr>
            </w:pPr>
            <w:r>
              <w:rPr>
                <w:rFonts w:hint="eastAsia" w:ascii="宋体" w:hAnsi="宋体"/>
                <w:b/>
                <w:color w:val="auto"/>
                <w:szCs w:val="21"/>
                <w:highlight w:val="none"/>
              </w:rPr>
              <w:t>□</w:t>
            </w:r>
            <w:r>
              <w:rPr>
                <w:rFonts w:ascii="宋体" w:hAnsi="宋体"/>
                <w:b/>
                <w:color w:val="auto"/>
                <w:szCs w:val="21"/>
                <w:highlight w:val="none"/>
              </w:rPr>
              <w:t>3.业绩要求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i/>
                <w:szCs w:val="21"/>
                <w:highlight w:val="none"/>
                <w:lang w:val="en-US" w:eastAsia="zh-CN"/>
              </w:rPr>
            </w:pPr>
            <w:r>
              <w:rPr>
                <w:rFonts w:hint="eastAsia" w:ascii="宋体" w:hAnsi="宋体"/>
                <w:i/>
                <w:szCs w:val="21"/>
                <w:highlight w:val="none"/>
                <w:lang w:val="en-US" w:eastAsia="zh-CN"/>
              </w:rPr>
              <w:t>[提示：设置的业绩指标不得超过本项目对应指标。]</w:t>
            </w:r>
          </w:p>
          <w:p>
            <w:pPr>
              <w:keepNext w:val="0"/>
              <w:keepLines w:val="0"/>
              <w:pageBreakBefore w:val="0"/>
              <w:kinsoku/>
              <w:wordWrap/>
              <w:overflowPunct/>
              <w:topLinePunct w:val="0"/>
              <w:autoSpaceDE/>
              <w:autoSpaceDN/>
              <w:bidi w:val="0"/>
              <w:adjustRightInd w:val="0"/>
              <w:snapToGrid w:val="0"/>
              <w:spacing w:line="400" w:lineRule="exact"/>
              <w:ind w:firstLine="420" w:firstLineChars="200"/>
              <w:textAlignment w:val="auto"/>
              <w:rPr>
                <w:rFonts w:ascii="宋体" w:hAnsi="宋体" w:cs="宋体"/>
                <w:color w:val="auto"/>
                <w:szCs w:val="21"/>
                <w:highlight w:val="none"/>
                <w:u w:val="single"/>
              </w:rPr>
            </w:pPr>
            <w:r>
              <w:rPr>
                <w:rFonts w:hint="eastAsia" w:asciiTheme="minorEastAsia" w:hAnsiTheme="minorEastAsia" w:eastAsiaTheme="minorEastAsia" w:cstheme="minorEastAsia"/>
                <w:color w:val="auto"/>
                <w:kern w:val="0"/>
                <w:sz w:val="21"/>
                <w:szCs w:val="21"/>
                <w:highlight w:val="none"/>
                <w:lang w:eastAsia="zh-CN"/>
              </w:rPr>
              <w:t>投标人</w:t>
            </w:r>
            <w:r>
              <w:rPr>
                <w:rFonts w:hint="eastAsia" w:asciiTheme="minorEastAsia" w:hAnsiTheme="minorEastAsia" w:eastAsiaTheme="minorEastAsia" w:cstheme="minorEastAsia"/>
                <w:snapToGrid/>
                <w:color w:val="auto"/>
                <w:sz w:val="21"/>
                <w:szCs w:val="21"/>
                <w:highlight w:val="none"/>
                <w:u w:val="none"/>
                <w:lang w:val="en-US" w:eastAsia="zh-CN"/>
              </w:rPr>
              <w:t>自</w:t>
            </w:r>
            <w:r>
              <w:rPr>
                <w:rFonts w:hint="eastAsia" w:asciiTheme="minorEastAsia" w:hAnsiTheme="minorEastAsia" w:eastAsiaTheme="minorEastAsia" w:cstheme="minorEastAsia"/>
                <w:snapToGrid/>
                <w:color w:val="auto"/>
                <w:sz w:val="21"/>
                <w:szCs w:val="21"/>
                <w:highlight w:val="none"/>
                <w:u w:val="single"/>
                <w:lang w:eastAsia="zh-CN"/>
              </w:rPr>
              <w:t xml:space="preserve">    </w:t>
            </w:r>
            <w:r>
              <w:rPr>
                <w:rFonts w:hint="eastAsia" w:asciiTheme="minorEastAsia" w:hAnsiTheme="minorEastAsia" w:eastAsiaTheme="minorEastAsia" w:cstheme="minorEastAsia"/>
                <w:snapToGrid/>
                <w:color w:val="auto"/>
                <w:sz w:val="21"/>
                <w:szCs w:val="21"/>
                <w:highlight w:val="none"/>
                <w:u w:val="none"/>
                <w:lang w:eastAsia="zh-CN"/>
              </w:rPr>
              <w:t>年1月1日起</w:t>
            </w:r>
            <w:r>
              <w:rPr>
                <w:rFonts w:hint="eastAsia" w:asciiTheme="minorEastAsia" w:hAnsiTheme="minorEastAsia" w:eastAsiaTheme="minorEastAsia" w:cstheme="minorEastAsia"/>
                <w:i/>
                <w:iCs/>
                <w:snapToGrid/>
                <w:color w:val="auto"/>
                <w:sz w:val="21"/>
                <w:szCs w:val="21"/>
                <w:highlight w:val="none"/>
                <w:u w:val="none"/>
                <w:lang w:val="en-US" w:eastAsia="zh-CN"/>
              </w:rPr>
              <w:t>[</w:t>
            </w:r>
            <w:r>
              <w:rPr>
                <w:rFonts w:hint="eastAsia" w:asciiTheme="minorEastAsia" w:hAnsiTheme="minorEastAsia" w:eastAsiaTheme="minorEastAsia" w:cstheme="minorEastAsia"/>
                <w:i/>
                <w:iCs/>
                <w:snapToGrid/>
                <w:color w:val="auto"/>
                <w:sz w:val="21"/>
                <w:szCs w:val="21"/>
                <w:highlight w:val="none"/>
                <w:u w:val="none"/>
                <w:lang w:eastAsia="zh-CN"/>
              </w:rPr>
              <w:t>提示：指投标截止日前3年</w:t>
            </w:r>
            <w:r>
              <w:rPr>
                <w:rFonts w:hint="eastAsia" w:asciiTheme="minorEastAsia" w:hAnsiTheme="minorEastAsia" w:eastAsiaTheme="minorEastAsia" w:cstheme="minorEastAsia"/>
                <w:i/>
                <w:iCs/>
                <w:snapToGrid/>
                <w:color w:val="auto"/>
                <w:sz w:val="21"/>
                <w:szCs w:val="21"/>
                <w:highlight w:val="none"/>
                <w:u w:val="none"/>
                <w:lang w:val="en-US" w:eastAsia="zh-CN"/>
              </w:rPr>
              <w:t>及以上，</w:t>
            </w:r>
            <w:r>
              <w:rPr>
                <w:rFonts w:hint="eastAsia" w:asciiTheme="minorEastAsia" w:hAnsiTheme="minorEastAsia" w:eastAsiaTheme="minorEastAsia" w:cstheme="minorEastAsia"/>
                <w:i/>
                <w:iCs/>
                <w:snapToGrid/>
                <w:color w:val="auto"/>
                <w:sz w:val="21"/>
                <w:szCs w:val="21"/>
                <w:highlight w:val="none"/>
                <w:u w:val="none"/>
                <w:lang w:eastAsia="zh-CN"/>
              </w:rPr>
              <w:t>不包含投标截止日当年]</w:t>
            </w:r>
            <w:r>
              <w:rPr>
                <w:rFonts w:hint="eastAsia" w:ascii="宋体" w:hAnsi="宋体"/>
                <w:color w:val="auto"/>
                <w:szCs w:val="21"/>
                <w:highlight w:val="none"/>
              </w:rPr>
              <w:t>至投标截止日止（以竣工时间为准）</w:t>
            </w:r>
            <w:r>
              <w:rPr>
                <w:rFonts w:hint="eastAsia" w:ascii="宋体" w:hAnsi="宋体"/>
                <w:color w:val="auto"/>
                <w:szCs w:val="21"/>
                <w:highlight w:val="none"/>
                <w:lang w:eastAsia="zh-CN"/>
              </w:rPr>
              <w:t>，</w:t>
            </w:r>
            <w:r>
              <w:rPr>
                <w:rFonts w:hint="eastAsia" w:ascii="宋体" w:hAnsi="宋体"/>
                <w:color w:val="auto"/>
                <w:szCs w:val="21"/>
                <w:highlight w:val="none"/>
              </w:rPr>
              <w:t>完成</w:t>
            </w:r>
            <w:r>
              <w:rPr>
                <w:rFonts w:hint="eastAsia" w:ascii="宋体" w:hAnsi="宋体"/>
                <w:color w:val="auto"/>
                <w:szCs w:val="21"/>
                <w:highlight w:val="none"/>
                <w:lang w:val="en-US" w:eastAsia="zh-CN"/>
              </w:rPr>
              <w:t>过</w:t>
            </w:r>
            <w:r>
              <w:rPr>
                <w:rFonts w:hint="eastAsia" w:ascii="宋体" w:hAnsi="宋体"/>
                <w:color w:val="auto"/>
                <w:szCs w:val="21"/>
                <w:highlight w:val="none"/>
              </w:rPr>
              <w:t>1个</w:t>
            </w:r>
            <w:r>
              <w:rPr>
                <w:rFonts w:hint="eastAsia" w:ascii="宋体" w:hAnsi="宋体"/>
                <w:szCs w:val="21"/>
                <w:u w:val="single"/>
                <w:lang w:eastAsia="zh-CN"/>
              </w:rPr>
              <w:t xml:space="preserve"> </w:t>
            </w:r>
            <w:r>
              <w:rPr>
                <w:rFonts w:hint="eastAsia" w:ascii="宋体" w:hAnsi="宋体"/>
                <w:szCs w:val="21"/>
                <w:u w:val="single"/>
                <w:lang w:val="en-US" w:eastAsia="zh-CN"/>
              </w:rPr>
              <w:t xml:space="preserve">       </w:t>
            </w:r>
            <w:r>
              <w:rPr>
                <w:rFonts w:hint="eastAsia" w:ascii="宋体" w:hAnsi="宋体"/>
                <w:szCs w:val="21"/>
                <w:u w:val="none"/>
                <w:lang w:val="en-US" w:eastAsia="zh-CN"/>
              </w:rPr>
              <w:t>施工</w:t>
            </w:r>
            <w:r>
              <w:rPr>
                <w:rFonts w:hint="eastAsia" w:ascii="宋体" w:hAnsi="宋体" w:cs="宋体"/>
                <w:color w:val="auto"/>
                <w:szCs w:val="21"/>
                <w:highlight w:val="none"/>
              </w:rPr>
              <w:t>业绩。</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jc w:val="left"/>
              <w:textAlignment w:val="auto"/>
              <w:rPr>
                <w:rFonts w:ascii="宋体" w:hAnsi="宋体"/>
                <w:color w:val="auto"/>
                <w:szCs w:val="21"/>
                <w:highlight w:val="none"/>
              </w:rPr>
            </w:pPr>
            <w:r>
              <w:rPr>
                <w:rFonts w:hint="eastAsia" w:ascii="宋体" w:hAnsi="宋体" w:cs="宋体"/>
                <w:color w:val="auto"/>
                <w:szCs w:val="21"/>
                <w:highlight w:val="none"/>
              </w:rPr>
              <w:t>提供</w:t>
            </w:r>
            <w:r>
              <w:rPr>
                <w:rFonts w:hint="eastAsia" w:ascii="宋体" w:hAnsi="宋体" w:cs="宋体"/>
                <w:color w:val="auto"/>
                <w:szCs w:val="21"/>
                <w:highlight w:val="none"/>
                <w:lang w:eastAsia="zh-CN"/>
              </w:rPr>
              <w:t>：</w:t>
            </w:r>
            <w:r>
              <w:rPr>
                <w:rFonts w:hint="eastAsia" w:ascii="宋体" w:hAnsi="宋体" w:cs="宋体"/>
                <w:color w:val="auto"/>
                <w:szCs w:val="21"/>
                <w:highlight w:val="none"/>
              </w:rPr>
              <w:t>该业绩的合同协议书和工程竣工验收</w:t>
            </w:r>
            <w:r>
              <w:rPr>
                <w:rFonts w:hint="eastAsia" w:ascii="宋体" w:hAnsi="宋体" w:cs="宋体"/>
                <w:color w:val="auto"/>
                <w:szCs w:val="21"/>
                <w:highlight w:val="none"/>
                <w:lang w:val="en-US" w:eastAsia="zh-CN"/>
              </w:rPr>
              <w:t>合格的</w:t>
            </w:r>
            <w:r>
              <w:rPr>
                <w:rFonts w:hint="eastAsia" w:ascii="宋体" w:hAnsi="宋体" w:cs="宋体"/>
                <w:color w:val="auto"/>
                <w:szCs w:val="21"/>
                <w:highlight w:val="none"/>
              </w:rPr>
              <w:t>证明材料。</w:t>
            </w:r>
            <w:r>
              <w:rPr>
                <w:rFonts w:hint="eastAsia" w:ascii="宋体" w:hAnsi="宋体"/>
                <w:szCs w:val="21"/>
              </w:rPr>
              <w:t>若</w:t>
            </w:r>
            <w:r>
              <w:rPr>
                <w:rFonts w:hint="eastAsia" w:ascii="宋体" w:hAnsi="宋体"/>
                <w:szCs w:val="21"/>
                <w:lang w:val="en-US" w:eastAsia="zh-CN"/>
              </w:rPr>
              <w:t>提供的业绩证明材料不能</w:t>
            </w:r>
            <w:r>
              <w:rPr>
                <w:rFonts w:hint="eastAsia" w:ascii="宋体" w:hAnsi="宋体"/>
                <w:szCs w:val="21"/>
              </w:rPr>
              <w:t>体现</w:t>
            </w:r>
            <w:r>
              <w:rPr>
                <w:rFonts w:hint="eastAsia" w:ascii="宋体" w:hAnsi="宋体"/>
                <w:szCs w:val="21"/>
                <w:lang w:val="en-US" w:eastAsia="zh-CN"/>
              </w:rPr>
              <w:t>上述业绩指标</w:t>
            </w:r>
            <w:r>
              <w:rPr>
                <w:rFonts w:hint="eastAsia" w:ascii="宋体" w:hAnsi="宋体"/>
                <w:szCs w:val="21"/>
              </w:rPr>
              <w:t>的，应补充提供</w:t>
            </w:r>
            <w:r>
              <w:rPr>
                <w:rFonts w:hint="eastAsia" w:ascii="宋体" w:hAnsi="宋体"/>
                <w:szCs w:val="21"/>
                <w:highlight w:val="none"/>
                <w:u w:val="none"/>
                <w:lang w:eastAsia="zh-CN"/>
              </w:rPr>
              <w:t>业主证明</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cs="宋体"/>
                <w:color w:val="auto"/>
                <w:highlight w:val="none"/>
              </w:rPr>
            </w:pPr>
            <w:r>
              <w:rPr>
                <w:rFonts w:hint="eastAsia" w:ascii="宋体" w:hAnsi="宋体" w:cs="宋体"/>
                <w:b w:val="0"/>
                <w:bCs w:val="0"/>
                <w:color w:val="auto"/>
                <w:szCs w:val="21"/>
                <w:highlight w:val="none"/>
              </w:rPr>
              <w:t>□</w:t>
            </w:r>
            <w:r>
              <w:rPr>
                <w:rFonts w:hint="eastAsia" w:ascii="宋体" w:hAnsi="宋体" w:cs="宋体"/>
                <w:color w:val="auto"/>
                <w:szCs w:val="21"/>
                <w:highlight w:val="none"/>
              </w:rPr>
              <w:t>联合体投标的，</w:t>
            </w:r>
            <w:r>
              <w:rPr>
                <w:rFonts w:hint="eastAsia" w:ascii="宋体" w:hAnsi="宋体"/>
                <w:szCs w:val="21"/>
              </w:rPr>
              <w:t>按</w:t>
            </w:r>
            <w:r>
              <w:rPr>
                <w:rFonts w:hint="eastAsia" w:ascii="宋体" w:hAnsi="宋体"/>
                <w:lang w:val="en-US" w:eastAsia="zh-CN"/>
              </w:rPr>
              <w:t>共同投标协议</w:t>
            </w:r>
            <w:r>
              <w:rPr>
                <w:rFonts w:hint="eastAsia" w:ascii="宋体" w:hAnsi="宋体"/>
                <w:szCs w:val="21"/>
              </w:rPr>
              <w:t>约定的</w:t>
            </w:r>
            <w:r>
              <w:rPr>
                <w:rFonts w:hint="eastAsia" w:ascii="宋体" w:hAnsi="宋体"/>
                <w:szCs w:val="21"/>
                <w:highlight w:val="none"/>
              </w:rPr>
              <w:t>分工提供</w:t>
            </w:r>
            <w:r>
              <w:rPr>
                <w:rFonts w:hint="eastAsia" w:ascii="宋体" w:hAnsi="宋体" w:cs="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color w:val="auto"/>
                <w:szCs w:val="21"/>
                <w:highlight w:val="none"/>
              </w:rPr>
            </w:pPr>
            <w:r>
              <w:rPr>
                <w:rFonts w:hint="eastAsia" w:ascii="宋体" w:hAnsi="宋体"/>
                <w:color w:val="auto"/>
                <w:szCs w:val="21"/>
                <w:highlight w:val="none"/>
              </w:rPr>
              <w:t>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当上述</w:t>
            </w:r>
            <w:r>
              <w:rPr>
                <w:rFonts w:hint="eastAsia" w:ascii="宋体" w:hAnsi="宋体"/>
                <w:color w:val="auto"/>
                <w:szCs w:val="21"/>
                <w:highlight w:val="none"/>
                <w:lang w:val="en-US" w:eastAsia="zh-CN"/>
              </w:rPr>
              <w:t>业绩证明材料</w:t>
            </w:r>
            <w:r>
              <w:rPr>
                <w:rFonts w:hint="eastAsia" w:ascii="宋体" w:hAnsi="宋体"/>
                <w:color w:val="auto"/>
                <w:szCs w:val="21"/>
                <w:highlight w:val="none"/>
              </w:rPr>
              <w:t>中针对同一指标存在不一致时，以工程竣工验收</w:t>
            </w:r>
            <w:r>
              <w:rPr>
                <w:rFonts w:hint="eastAsia" w:ascii="宋体" w:hAnsi="宋体"/>
                <w:color w:val="auto"/>
                <w:szCs w:val="21"/>
                <w:highlight w:val="none"/>
                <w:lang w:val="en-US" w:eastAsia="zh-CN"/>
              </w:rPr>
              <w:t>合格</w:t>
            </w:r>
            <w:r>
              <w:rPr>
                <w:rFonts w:hint="eastAsia" w:ascii="宋体" w:hAnsi="宋体"/>
                <w:color w:val="auto"/>
                <w:szCs w:val="21"/>
                <w:highlight w:val="none"/>
              </w:rPr>
              <w:t>的证明材料为准。</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hint="eastAsia" w:ascii="宋体" w:hAnsi="宋体" w:eastAsia="宋体"/>
                <w:color w:val="auto"/>
                <w:szCs w:val="21"/>
                <w:highlight w:val="none"/>
                <w:lang w:eastAsia="zh-CN"/>
              </w:rPr>
            </w:pPr>
            <w:r>
              <w:rPr>
                <w:rFonts w:hint="eastAsia" w:ascii="宋体" w:hAnsi="宋体"/>
                <w:szCs w:val="21"/>
              </w:rPr>
              <w:t>（2）投标人提供的业绩为联合体业绩的，其在该业绩中的工作分工应与本项目承担的工作一致</w:t>
            </w:r>
            <w:r>
              <w:rPr>
                <w:rFonts w:hint="eastAsia" w:ascii="宋体" w:hAnsi="宋体"/>
                <w:szCs w:val="21"/>
                <w:lang w:eastAsia="zh-CN"/>
              </w:rPr>
              <w:t>。</w:t>
            </w:r>
          </w:p>
          <w:p>
            <w:pPr>
              <w:keepNext w:val="0"/>
              <w:keepLines w:val="0"/>
              <w:pageBreakBefore w:val="0"/>
              <w:kinsoku/>
              <w:wordWrap/>
              <w:overflowPunct/>
              <w:topLinePunct w:val="0"/>
              <w:bidi w:val="0"/>
              <w:adjustRightInd w:val="0"/>
              <w:snapToGrid w:val="0"/>
              <w:spacing w:line="400" w:lineRule="exact"/>
              <w:ind w:firstLine="421" w:firstLineChars="200"/>
              <w:textAlignment w:val="auto"/>
              <w:rPr>
                <w:rFonts w:ascii="宋体" w:hAnsi="宋体"/>
                <w:b/>
                <w:color w:val="auto"/>
                <w:szCs w:val="21"/>
                <w:highlight w:val="none"/>
              </w:rPr>
            </w:pPr>
            <w:r>
              <w:rPr>
                <w:rFonts w:ascii="宋体" w:hAnsi="宋体"/>
                <w:b/>
                <w:color w:val="auto"/>
                <w:szCs w:val="21"/>
                <w:highlight w:val="none"/>
              </w:rPr>
              <w:t>4.投标截止日投标资格情况</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szCs w:val="21"/>
              </w:rPr>
              <w:t>投标人不得存在下列情形之一</w:t>
            </w:r>
            <w:r>
              <w:rPr>
                <w:rFonts w:hint="eastAsia" w:ascii="宋体" w:hAnsi="宋体"/>
                <w:color w:val="auto"/>
                <w:szCs w:val="21"/>
                <w:highlight w:val="none"/>
              </w:rPr>
              <w:t>：</w:t>
            </w:r>
          </w:p>
          <w:p>
            <w:pPr>
              <w:keepNext w:val="0"/>
              <w:keepLines w:val="0"/>
              <w:pageBreakBefore w:val="0"/>
              <w:kinsoku/>
              <w:wordWrap/>
              <w:overflowPunct/>
              <w:topLinePunct w:val="0"/>
              <w:bidi w:val="0"/>
              <w:snapToGrid w:val="0"/>
              <w:spacing w:line="400" w:lineRule="exact"/>
              <w:ind w:firstLine="420" w:firstLineChars="200"/>
              <w:jc w:val="left"/>
              <w:textAlignment w:val="auto"/>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（3）被列入《重庆市工程建设领域招标投标信用管理暂行办法》规定的重庆市工程建设领域招标投标失信惩戒对象名单（以下称黑名单）且在记分有效期内；</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ascii="宋体" w:hAnsi="宋体"/>
                <w:color w:val="auto"/>
                <w:szCs w:val="21"/>
                <w:highlight w:val="none"/>
              </w:rPr>
              <w:t>（4）被国家、重庆市（含市或任意区县）有关行政部门处以暂停投标资格行政处罚</w:t>
            </w:r>
            <w:r>
              <w:rPr>
                <w:rFonts w:hint="eastAsia" w:ascii="宋体" w:hAnsi="宋体" w:eastAsia="宋体" w:cs="Times New Roman"/>
                <w:color w:val="auto"/>
                <w:sz w:val="21"/>
                <w:szCs w:val="21"/>
                <w:highlight w:val="none"/>
                <w:lang w:val="en-US" w:eastAsia="zh-CN"/>
              </w:rPr>
              <w:t>或暂停在渝承揽新业务</w:t>
            </w:r>
            <w:r>
              <w:rPr>
                <w:rFonts w:hint="eastAsia" w:ascii="宋体" w:hAnsi="宋体"/>
                <w:color w:val="auto"/>
                <w:szCs w:val="21"/>
                <w:highlight w:val="none"/>
              </w:rPr>
              <w:t>，且在处罚期限内</w:t>
            </w:r>
            <w:r>
              <w:rPr>
                <w:rFonts w:hint="eastAsia" w:ascii="宋体" w:hAnsi="宋体"/>
                <w:color w:val="auto"/>
                <w:szCs w:val="21"/>
                <w:highlight w:val="none"/>
                <w:lang w:eastAsia="zh-CN"/>
              </w:rPr>
              <w:t>。</w:t>
            </w:r>
          </w:p>
          <w:p>
            <w:pPr>
              <w:keepNext w:val="0"/>
              <w:keepLines w:val="0"/>
              <w:pageBreakBefore w:val="0"/>
              <w:kinsoku/>
              <w:wordWrap/>
              <w:overflowPunct/>
              <w:topLinePunct w:val="0"/>
              <w:bidi w:val="0"/>
              <w:spacing w:line="400" w:lineRule="exact"/>
              <w:ind w:firstLine="420" w:firstLineChars="200"/>
              <w:textAlignment w:val="auto"/>
              <w:rPr>
                <w:color w:val="auto"/>
                <w:highlight w:val="none"/>
              </w:rPr>
            </w:pPr>
            <w:r>
              <w:rPr>
                <w:rFonts w:hint="eastAsia"/>
                <w:color w:val="auto"/>
                <w:highlight w:val="none"/>
              </w:rPr>
              <w:t>提供</w:t>
            </w:r>
            <w:r>
              <w:rPr>
                <w:rFonts w:hint="eastAsia"/>
                <w:color w:val="auto"/>
                <w:highlight w:val="none"/>
                <w:lang w:eastAsia="zh-CN"/>
              </w:rPr>
              <w:t>：</w:t>
            </w:r>
            <w:r>
              <w:rPr>
                <w:rFonts w:hint="eastAsia"/>
                <w:color w:val="auto"/>
                <w:highlight w:val="none"/>
              </w:rPr>
              <w:t>承诺</w:t>
            </w:r>
            <w:r>
              <w:rPr>
                <w:rFonts w:hint="eastAsia"/>
                <w:lang w:eastAsia="zh-CN"/>
              </w:rPr>
              <w:t>（</w:t>
            </w:r>
            <w:r>
              <w:rPr>
                <w:rFonts w:hint="eastAsia" w:asciiTheme="minorEastAsia" w:hAnsiTheme="minorEastAsia" w:eastAsiaTheme="minorEastAsia" w:cstheme="minorEastAsia"/>
                <w:color w:val="auto"/>
                <w:szCs w:val="21"/>
                <w:highlight w:val="none"/>
                <w:lang w:val="en-US" w:eastAsia="zh-CN"/>
              </w:rPr>
              <w:t>格式见第八章投标文件格式</w:t>
            </w:r>
            <w:r>
              <w:rPr>
                <w:rFonts w:hint="eastAsia"/>
                <w:lang w:eastAsia="zh-CN"/>
              </w:rPr>
              <w:t>）</w:t>
            </w:r>
            <w:r>
              <w:rPr>
                <w:rFonts w:hint="eastAsia"/>
                <w:color w:val="auto"/>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b/>
                <w:color w:val="auto"/>
                <w:szCs w:val="21"/>
                <w:highlight w:val="none"/>
              </w:rPr>
            </w:pPr>
            <w:r>
              <w:rPr>
                <w:rFonts w:hint="eastAsia"/>
                <w:color w:val="auto"/>
                <w:highlight w:val="none"/>
              </w:rPr>
              <w:t>□联合体投标的，联合体</w:t>
            </w:r>
            <w:r>
              <w:rPr>
                <w:rFonts w:hint="eastAsia"/>
                <w:color w:val="auto"/>
                <w:highlight w:val="none"/>
                <w:lang w:val="en-US" w:eastAsia="zh-CN"/>
              </w:rPr>
              <w:t>各方</w:t>
            </w:r>
            <w:r>
              <w:rPr>
                <w:rFonts w:hint="eastAsia"/>
                <w:color w:val="auto"/>
                <w:highlight w:val="none"/>
              </w:rPr>
              <w:t>均不得存在以上情形之一，由联合体牵头人代表联合体各成员进行承诺。</w:t>
            </w:r>
          </w:p>
          <w:p>
            <w:pPr>
              <w:keepNext w:val="0"/>
              <w:keepLines w:val="0"/>
              <w:pageBreakBefore w:val="0"/>
              <w:kinsoku/>
              <w:wordWrap/>
              <w:overflowPunct/>
              <w:topLinePunct w:val="0"/>
              <w:bidi w:val="0"/>
              <w:spacing w:line="400" w:lineRule="exact"/>
              <w:ind w:firstLine="420" w:firstLineChars="200"/>
              <w:textAlignment w:val="auto"/>
              <w:rPr>
                <w:color w:val="auto"/>
                <w:highlight w:val="none"/>
              </w:rPr>
            </w:pPr>
            <w:r>
              <w:rPr>
                <w:rFonts w:hint="eastAsia" w:ascii="宋体" w:hAnsi="宋体" w:eastAsia="宋体" w:cs="宋体"/>
              </w:rPr>
              <w:t>注：上述第（2）、（3）款信用状况在开标环节进行查询，以开标环节信用状况查询结果为准。若投标人针对上述第（2）、（3）款的承诺内容与查询结果不符，由评标委员会作否决投标处理。联合体投标的，任一成员单位出现被限制投标的情形，该联合体将被否决投标</w:t>
            </w:r>
            <w:r>
              <w:rPr>
                <w:rFonts w:hint="eastAsia"/>
                <w:color w:val="auto"/>
                <w:highlight w:val="none"/>
              </w:rPr>
              <w:t>。</w:t>
            </w:r>
          </w:p>
          <w:p>
            <w:pPr>
              <w:keepNext w:val="0"/>
              <w:keepLines w:val="0"/>
              <w:pageBreakBefore w:val="0"/>
              <w:kinsoku/>
              <w:wordWrap/>
              <w:overflowPunct/>
              <w:topLinePunct w:val="0"/>
              <w:bidi w:val="0"/>
              <w:snapToGrid w:val="0"/>
              <w:spacing w:line="400" w:lineRule="exact"/>
              <w:ind w:firstLine="421" w:firstLineChars="200"/>
              <w:textAlignment w:val="auto"/>
              <w:rPr>
                <w:rFonts w:ascii="宋体" w:hAnsi="宋体"/>
                <w:b/>
                <w:color w:val="auto"/>
                <w:szCs w:val="21"/>
                <w:highlight w:val="none"/>
              </w:rPr>
            </w:pPr>
            <w:r>
              <w:rPr>
                <w:rFonts w:ascii="宋体" w:hAnsi="宋体"/>
                <w:b/>
                <w:color w:val="auto"/>
                <w:szCs w:val="21"/>
                <w:highlight w:val="none"/>
              </w:rPr>
              <w:t>5.项目经理资格要求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color w:val="auto"/>
                <w:szCs w:val="21"/>
                <w:highlight w:val="none"/>
                <w:u w:val="single"/>
              </w:rPr>
            </w:pPr>
            <w:r>
              <w:rPr>
                <w:rFonts w:hint="eastAsia" w:ascii="宋体" w:hAnsi="宋体"/>
                <w:b w:val="0"/>
                <w:bCs w:val="0"/>
                <w:color w:val="auto"/>
                <w:szCs w:val="21"/>
                <w:highlight w:val="none"/>
              </w:rPr>
              <w:t>5.1</w:t>
            </w:r>
            <w:r>
              <w:rPr>
                <w:rFonts w:hint="eastAsia"/>
                <w:b w:val="0"/>
                <w:bCs w:val="0"/>
                <w:color w:val="auto"/>
                <w:szCs w:val="21"/>
                <w:highlight w:val="none"/>
              </w:rPr>
              <w:t>投标人拟派的</w:t>
            </w:r>
            <w:r>
              <w:rPr>
                <w:b w:val="0"/>
                <w:bCs w:val="0"/>
                <w:color w:val="auto"/>
                <w:szCs w:val="21"/>
                <w:highlight w:val="none"/>
              </w:rPr>
              <w:t>项目经理</w:t>
            </w:r>
            <w:r>
              <w:rPr>
                <w:szCs w:val="21"/>
              </w:rPr>
              <w:t>须</w:t>
            </w:r>
            <w:r>
              <w:rPr>
                <w:rFonts w:hint="eastAsia"/>
                <w:szCs w:val="21"/>
                <w:lang w:val="en-US" w:eastAsia="zh-CN"/>
              </w:rPr>
              <w:t>是投标单位人员，</w:t>
            </w:r>
            <w:r>
              <w:rPr>
                <w:szCs w:val="21"/>
              </w:rPr>
              <w:t>应</w:t>
            </w:r>
            <w:r>
              <w:rPr>
                <w:rFonts w:hint="eastAsia"/>
                <w:szCs w:val="21"/>
                <w:lang w:val="en-US" w:eastAsia="zh-CN"/>
              </w:rPr>
              <w:t>具备</w:t>
            </w:r>
            <w:r>
              <w:rPr>
                <w:rFonts w:hint="eastAsia"/>
                <w:color w:val="auto"/>
                <w:szCs w:val="21"/>
                <w:highlight w:val="none"/>
                <w:u w:val="single"/>
              </w:rPr>
              <w:t xml:space="preserve">    </w:t>
            </w:r>
            <w:r>
              <w:rPr>
                <w:rFonts w:hint="eastAsia"/>
                <w:i/>
                <w:color w:val="auto"/>
                <w:szCs w:val="21"/>
                <w:highlight w:val="none"/>
                <w:u w:val="single"/>
              </w:rPr>
              <w:t xml:space="preserve"> </w:t>
            </w:r>
            <w:r>
              <w:rPr>
                <w:rFonts w:hint="eastAsia"/>
                <w:color w:val="auto"/>
                <w:szCs w:val="21"/>
                <w:highlight w:val="none"/>
                <w:u w:val="single"/>
              </w:rPr>
              <w:t>专业</w:t>
            </w:r>
          </w:p>
          <w:p>
            <w:pPr>
              <w:keepNext w:val="0"/>
              <w:keepLines w:val="0"/>
              <w:pageBreakBefore w:val="0"/>
              <w:kinsoku/>
              <w:wordWrap/>
              <w:overflowPunct/>
              <w:topLinePunct w:val="0"/>
              <w:bidi w:val="0"/>
              <w:snapToGrid w:val="0"/>
              <w:spacing w:line="400" w:lineRule="exact"/>
              <w:ind w:firstLine="0" w:firstLineChars="0"/>
              <w:textAlignment w:val="auto"/>
              <w:rPr>
                <w:rFonts w:ascii="Times New Roman" w:hAnsi="Times New Roman"/>
                <w:color w:val="auto"/>
                <w:szCs w:val="24"/>
                <w:highlight w:val="none"/>
              </w:rPr>
            </w:pPr>
            <w:r>
              <w:rPr>
                <w:rFonts w:hint="eastAsia"/>
                <w:color w:val="auto"/>
                <w:szCs w:val="21"/>
                <w:highlight w:val="none"/>
                <w:u w:val="single"/>
              </w:rPr>
              <w:t xml:space="preserve"> </w:t>
            </w:r>
            <w:r>
              <w:rPr>
                <w:color w:val="auto"/>
                <w:szCs w:val="21"/>
                <w:highlight w:val="none"/>
                <w:u w:val="single"/>
              </w:rPr>
              <w:t xml:space="preserve">  级及以上</w:t>
            </w:r>
            <w:r>
              <w:rPr>
                <w:szCs w:val="21"/>
              </w:rPr>
              <w:t>注册建造师执业</w:t>
            </w:r>
            <w:r>
              <w:rPr>
                <w:rFonts w:ascii="宋体" w:hAnsi="宋体"/>
                <w:szCs w:val="21"/>
              </w:rPr>
              <w:t>资格</w:t>
            </w:r>
            <w:r>
              <w:rPr>
                <w:rFonts w:hint="eastAsia" w:ascii="宋体" w:hAnsi="宋体"/>
                <w:szCs w:val="21"/>
                <w:lang w:val="en-US" w:eastAsia="zh-CN"/>
              </w:rPr>
              <w:t>并在投标单位注册</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w:t>
            </w:r>
            <w:r>
              <w:rPr>
                <w:rFonts w:hint="eastAsia" w:ascii="宋体" w:hAnsi="宋体" w:cs="宋体"/>
                <w:color w:val="auto"/>
                <w:szCs w:val="21"/>
                <w:highlight w:val="none"/>
                <w:lang w:val="en-US" w:eastAsia="zh-CN"/>
              </w:rPr>
              <w:t>具备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专业</w:t>
            </w:r>
            <w:r>
              <w:rPr>
                <w:rFonts w:hint="eastAsia" w:ascii="宋体" w:hAnsi="宋体" w:cs="宋体"/>
                <w:color w:val="auto"/>
                <w:szCs w:val="21"/>
                <w:highlight w:val="none"/>
                <w:u w:val="single"/>
              </w:rPr>
              <w:t xml:space="preserve">    级及以上</w:t>
            </w:r>
            <w:r>
              <w:rPr>
                <w:rFonts w:hint="eastAsia" w:ascii="宋体" w:hAnsi="宋体" w:cs="宋体"/>
                <w:color w:val="auto"/>
                <w:szCs w:val="21"/>
                <w:highlight w:val="none"/>
              </w:rPr>
              <w:t>技术职称</w:t>
            </w:r>
            <w:r>
              <w:rPr>
                <w:rFonts w:hint="eastAsia" w:ascii="宋体" w:hAnsi="宋体"/>
                <w:color w:val="auto"/>
                <w:szCs w:val="21"/>
                <w:highlight w:val="none"/>
              </w:rPr>
              <w:t>。</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default" w:ascii="宋体" w:hAnsi="宋体" w:eastAsia="宋体"/>
                <w:color w:val="auto"/>
                <w:szCs w:val="21"/>
                <w:highlight w:val="none"/>
                <w:lang w:val="en-US" w:eastAsia="zh-CN"/>
              </w:rPr>
            </w:pPr>
            <w:r>
              <w:rPr>
                <w:rFonts w:hint="eastAsia" w:ascii="宋体" w:hAnsi="宋体"/>
                <w:b w:val="0"/>
                <w:bCs w:val="0"/>
                <w:color w:val="auto"/>
                <w:szCs w:val="21"/>
                <w:highlight w:val="none"/>
              </w:rPr>
              <w:t>5.2项目经理要求：投标人须承诺拟派项目经理按注册建造师的相关规定到岗履职和未被禁止参与投标。</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b/>
                <w:bCs/>
                <w:color w:val="auto"/>
                <w:highlight w:val="none"/>
              </w:rPr>
            </w:pPr>
            <w:r>
              <w:rPr>
                <w:rFonts w:ascii="宋体" w:hAnsi="宋体"/>
                <w:b w:val="0"/>
                <w:bCs w:val="0"/>
                <w:color w:val="auto"/>
                <w:highlight w:val="none"/>
              </w:rPr>
              <w:t>5.2.1到岗履职要求：</w:t>
            </w:r>
            <w:r>
              <w:rPr>
                <w:rFonts w:ascii="宋体" w:hAnsi="宋体"/>
                <w:color w:val="auto"/>
                <w:highlight w:val="none"/>
              </w:rPr>
              <w:t>承诺拟派项目经理中标后在本项目任职，签订合同时拟派的项目经理必须与投标文件中的项目经理一致，并满足办理施工许可手续的相关要求。</w:t>
            </w:r>
            <w:r>
              <w:rPr>
                <w:rFonts w:ascii="宋体" w:hAnsi="宋体"/>
                <w:color w:val="000000"/>
              </w:rPr>
              <w:t>不能按承诺到岗</w:t>
            </w:r>
            <w:r>
              <w:rPr>
                <w:rFonts w:hint="eastAsia" w:ascii="宋体" w:hAnsi="宋体"/>
                <w:color w:val="000000"/>
                <w:lang w:val="en-US" w:eastAsia="zh-CN"/>
              </w:rPr>
              <w:t>履职</w:t>
            </w:r>
            <w:r>
              <w:rPr>
                <w:rFonts w:ascii="宋体" w:hAnsi="宋体"/>
                <w:color w:val="000000"/>
              </w:rPr>
              <w:t>的，</w:t>
            </w:r>
            <w:r>
              <w:rPr>
                <w:rFonts w:hint="eastAsia" w:ascii="宋体" w:hAnsi="宋体"/>
                <w:color w:val="000000"/>
                <w:lang w:val="en-US" w:eastAsia="zh-CN"/>
              </w:rPr>
              <w:t>招标人</w:t>
            </w:r>
            <w:r>
              <w:rPr>
                <w:rFonts w:ascii="宋体" w:hAnsi="宋体"/>
                <w:color w:val="000000"/>
              </w:rPr>
              <w:t>按合同相关条款</w:t>
            </w:r>
            <w:r>
              <w:rPr>
                <w:rFonts w:hint="eastAsia" w:ascii="宋体" w:hAnsi="宋体"/>
                <w:color w:val="000000"/>
                <w:lang w:val="en-US" w:eastAsia="zh-CN"/>
              </w:rPr>
              <w:t>要求投标人承担责任</w:t>
            </w:r>
            <w:r>
              <w:rPr>
                <w:rFonts w:ascii="宋体" w:hAnsi="宋体"/>
                <w:color w:val="000000"/>
              </w:rPr>
              <w:t>并上报行政主管部门，给招标人造成损失的，投标人依法承担赔偿责任</w:t>
            </w:r>
            <w:r>
              <w:rPr>
                <w:rFonts w:hint="eastAsia" w:ascii="宋体" w:hAnsi="宋体"/>
                <w:color w:val="000000"/>
                <w:lang w:val="en-US" w:eastAsia="zh-CN"/>
              </w:rPr>
              <w:t>或违约责任</w:t>
            </w:r>
            <w:r>
              <w:rPr>
                <w:rFonts w:ascii="宋体" w:hAnsi="宋体"/>
                <w:color w:val="auto"/>
                <w:highlight w:val="none"/>
              </w:rPr>
              <w:t>。拟派项目经理中标后不得随意更换。</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highlight w:val="none"/>
              </w:rPr>
            </w:pPr>
            <w:r>
              <w:rPr>
                <w:rFonts w:ascii="宋体" w:hAnsi="宋体"/>
                <w:b w:val="0"/>
                <w:bCs w:val="0"/>
                <w:color w:val="auto"/>
                <w:highlight w:val="none"/>
              </w:rPr>
              <w:t>5.2.2未被禁止参与投标要求：</w:t>
            </w:r>
            <w:r>
              <w:rPr>
                <w:rFonts w:ascii="宋体" w:hAnsi="宋体"/>
                <w:color w:val="auto"/>
                <w:highlight w:val="none"/>
              </w:rPr>
              <w:t>承诺拟派项目经理未被</w:t>
            </w:r>
            <w:r>
              <w:rPr>
                <w:rFonts w:hint="eastAsia" w:ascii="宋体" w:hAnsi="宋体"/>
                <w:color w:val="auto"/>
                <w:highlight w:val="none"/>
                <w:lang w:val="en-US" w:eastAsia="zh-CN"/>
              </w:rPr>
              <w:t>有关</w:t>
            </w:r>
            <w:r>
              <w:rPr>
                <w:rFonts w:ascii="宋体" w:hAnsi="宋体"/>
                <w:color w:val="auto"/>
                <w:highlight w:val="none"/>
              </w:rPr>
              <w:t>部门暂停</w:t>
            </w:r>
            <w:r>
              <w:rPr>
                <w:rFonts w:hint="eastAsia" w:ascii="宋体" w:hAnsi="宋体"/>
                <w:color w:val="auto"/>
                <w:highlight w:val="none"/>
                <w:lang w:val="en-US" w:eastAsia="zh-CN"/>
              </w:rPr>
              <w:t>其</w:t>
            </w:r>
            <w:r>
              <w:rPr>
                <w:rFonts w:ascii="宋体" w:hAnsi="宋体"/>
                <w:color w:val="auto"/>
                <w:highlight w:val="none"/>
              </w:rPr>
              <w:t>在渝承揽</w:t>
            </w:r>
            <w:r>
              <w:rPr>
                <w:rFonts w:hint="eastAsia" w:ascii="宋体" w:hAnsi="宋体"/>
                <w:color w:val="auto"/>
                <w:highlight w:val="none"/>
                <w:lang w:val="en-US" w:eastAsia="zh-CN"/>
              </w:rPr>
              <w:t>的</w:t>
            </w:r>
            <w:r>
              <w:rPr>
                <w:rFonts w:ascii="宋体" w:hAnsi="宋体"/>
                <w:color w:val="auto"/>
                <w:highlight w:val="none"/>
              </w:rPr>
              <w:t>新业务</w:t>
            </w:r>
            <w:r>
              <w:rPr>
                <w:rFonts w:hint="eastAsia" w:ascii="宋体" w:hAnsi="宋体"/>
                <w:color w:val="auto"/>
                <w:highlight w:val="none"/>
                <w:lang w:val="en-US" w:eastAsia="zh-CN"/>
              </w:rPr>
              <w:t>中任职</w:t>
            </w:r>
            <w:r>
              <w:rPr>
                <w:rFonts w:ascii="宋体" w:hAnsi="宋体"/>
                <w:color w:val="auto"/>
                <w:highlight w:val="none"/>
              </w:rPr>
              <w:t>。若</w:t>
            </w:r>
            <w:r>
              <w:rPr>
                <w:rFonts w:hint="eastAsia" w:ascii="宋体" w:hAnsi="宋体"/>
                <w:color w:val="auto"/>
                <w:highlight w:val="none"/>
                <w:lang w:val="en-US" w:eastAsia="zh-CN"/>
              </w:rPr>
              <w:t>其</w:t>
            </w:r>
            <w:r>
              <w:rPr>
                <w:rFonts w:ascii="宋体" w:hAnsi="宋体"/>
                <w:color w:val="auto"/>
                <w:highlight w:val="none"/>
              </w:rPr>
              <w:t>被暂停在渝承揽</w:t>
            </w:r>
            <w:r>
              <w:rPr>
                <w:rFonts w:hint="eastAsia" w:ascii="宋体" w:hAnsi="宋体"/>
                <w:color w:val="auto"/>
                <w:highlight w:val="none"/>
                <w:lang w:val="en-US" w:eastAsia="zh-CN"/>
              </w:rPr>
              <w:t>的</w:t>
            </w:r>
            <w:r>
              <w:rPr>
                <w:rFonts w:ascii="宋体" w:hAnsi="宋体"/>
                <w:color w:val="auto"/>
                <w:highlight w:val="none"/>
              </w:rPr>
              <w:t>新业务</w:t>
            </w:r>
            <w:r>
              <w:rPr>
                <w:rFonts w:hint="eastAsia" w:ascii="宋体" w:hAnsi="宋体"/>
                <w:color w:val="auto"/>
                <w:highlight w:val="none"/>
                <w:lang w:val="en-US" w:eastAsia="zh-CN"/>
              </w:rPr>
              <w:t>中任职</w:t>
            </w:r>
            <w:r>
              <w:rPr>
                <w:rFonts w:ascii="宋体" w:hAnsi="宋体"/>
                <w:color w:val="auto"/>
                <w:highlight w:val="none"/>
              </w:rPr>
              <w:t>但仍参加投标，将被否决投标；已取得中标候选人资格或中标资格的，招标人有权取消</w:t>
            </w:r>
            <w:r>
              <w:rPr>
                <w:rFonts w:hint="eastAsia" w:ascii="宋体" w:hAnsi="宋体"/>
                <w:color w:val="auto"/>
                <w:highlight w:val="none"/>
                <w:lang w:val="en-US" w:eastAsia="zh-CN"/>
              </w:rPr>
              <w:t>投标人的</w:t>
            </w:r>
            <w:r>
              <w:rPr>
                <w:rFonts w:ascii="宋体" w:hAnsi="宋体"/>
                <w:color w:val="auto"/>
                <w:highlight w:val="none"/>
              </w:rPr>
              <w:t>中标候选人资格或中标资格；给招标人造成损失的，</w:t>
            </w:r>
            <w:r>
              <w:rPr>
                <w:rFonts w:ascii="宋体" w:hAnsi="宋体"/>
                <w:color w:val="000000"/>
              </w:rPr>
              <w:t>投标人依法承担赔偿责任</w:t>
            </w:r>
            <w:r>
              <w:rPr>
                <w:rFonts w:hint="eastAsia" w:ascii="宋体" w:hAnsi="宋体"/>
                <w:color w:val="000000"/>
                <w:lang w:val="en-US" w:eastAsia="zh-CN"/>
              </w:rPr>
              <w:t>或违约责任</w:t>
            </w:r>
            <w:r>
              <w:rPr>
                <w:rFonts w:ascii="宋体" w:hAnsi="宋体"/>
                <w:color w:val="auto"/>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highlight w:val="none"/>
              </w:rPr>
            </w:pPr>
            <w:r>
              <w:rPr>
                <w:rFonts w:ascii="宋体" w:hAnsi="宋体"/>
                <w:b w:val="0"/>
                <w:bCs w:val="0"/>
                <w:color w:val="auto"/>
                <w:highlight w:val="none"/>
              </w:rPr>
              <w:t>5.2.3项目经理的其它要求：</w:t>
            </w:r>
            <w:r>
              <w:rPr>
                <w:rFonts w:ascii="宋体" w:hAnsi="宋体"/>
                <w:color w:val="auto"/>
                <w:highlight w:val="none"/>
              </w:rPr>
              <w:t>为保证</w:t>
            </w:r>
            <w:r>
              <w:rPr>
                <w:rFonts w:hint="eastAsia" w:ascii="宋体" w:hAnsi="宋体"/>
                <w:color w:val="auto"/>
                <w:highlight w:val="none"/>
              </w:rPr>
              <w:t>投标人</w:t>
            </w:r>
            <w:r>
              <w:rPr>
                <w:rFonts w:ascii="宋体" w:hAnsi="宋体"/>
                <w:color w:val="auto"/>
                <w:highlight w:val="none"/>
              </w:rPr>
              <w:t>拟派的项目经理到本项目到岗履职，</w:t>
            </w:r>
            <w:r>
              <w:rPr>
                <w:rFonts w:hint="eastAsia" w:ascii="宋体" w:hAnsi="宋体"/>
                <w:color w:val="auto"/>
                <w:highlight w:val="none"/>
              </w:rPr>
              <w:t>投标人</w:t>
            </w:r>
            <w:r>
              <w:rPr>
                <w:rFonts w:ascii="宋体" w:hAnsi="宋体"/>
                <w:color w:val="auto"/>
                <w:highlight w:val="none"/>
              </w:rPr>
              <w:t>还需承诺：</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b/>
                <w:bCs/>
                <w:color w:val="auto"/>
                <w:highlight w:val="none"/>
              </w:rPr>
            </w:pPr>
            <w:r>
              <w:rPr>
                <w:rFonts w:ascii="宋体" w:hAnsi="宋体"/>
                <w:color w:val="auto"/>
                <w:highlight w:val="none"/>
              </w:rPr>
              <w:t>若</w:t>
            </w:r>
            <w:r>
              <w:rPr>
                <w:rFonts w:hint="eastAsia" w:ascii="宋体" w:hAnsi="宋体"/>
                <w:color w:val="auto"/>
                <w:highlight w:val="none"/>
              </w:rPr>
              <w:t>投标人</w:t>
            </w:r>
            <w:r>
              <w:rPr>
                <w:rFonts w:ascii="宋体" w:hAnsi="宋体"/>
                <w:color w:val="auto"/>
                <w:highlight w:val="none"/>
              </w:rPr>
              <w:t>拟派本项目的项目经理有在其他项目任职的情形的（或有在其他项目中标或拟中标的情形的），应在收到中标通知书后</w:t>
            </w:r>
            <w:r>
              <w:rPr>
                <w:rFonts w:ascii="宋体" w:hAnsi="宋体"/>
                <w:color w:val="auto"/>
                <w:highlight w:val="none"/>
                <w:u w:val="single"/>
              </w:rPr>
              <w:t xml:space="preserve"> 14 </w:t>
            </w:r>
            <w:r>
              <w:rPr>
                <w:rFonts w:ascii="宋体" w:hAnsi="宋体"/>
                <w:color w:val="auto"/>
                <w:highlight w:val="none"/>
              </w:rPr>
              <w:t>日</w:t>
            </w:r>
            <w:r>
              <w:rPr>
                <w:rFonts w:hint="eastAsia" w:ascii="宋体" w:hAnsi="宋体"/>
                <w:i/>
                <w:iCs/>
                <w:color w:val="auto"/>
                <w:highlight w:val="none"/>
              </w:rPr>
              <w:t>[提示：</w:t>
            </w:r>
            <w:r>
              <w:rPr>
                <w:rFonts w:ascii="宋体" w:hAnsi="宋体"/>
                <w:i/>
                <w:iCs/>
                <w:color w:val="auto"/>
                <w:highlight w:val="none"/>
              </w:rPr>
              <w:t>7～30日</w:t>
            </w:r>
            <w:r>
              <w:rPr>
                <w:rFonts w:hint="eastAsia" w:ascii="宋体" w:hAnsi="宋体"/>
                <w:i/>
                <w:iCs/>
                <w:color w:val="auto"/>
                <w:highlight w:val="none"/>
              </w:rPr>
              <w:t>]</w:t>
            </w:r>
            <w:r>
              <w:rPr>
                <w:rFonts w:ascii="宋体" w:hAnsi="宋体"/>
                <w:color w:val="auto"/>
                <w:highlight w:val="none"/>
              </w:rPr>
              <w:t>内，办理完成放弃在其他项目任职的手续（或办理完成放弃在其他项目中标</w:t>
            </w:r>
            <w:r>
              <w:rPr>
                <w:rFonts w:hint="eastAsia" w:ascii="宋体" w:hAnsi="宋体"/>
                <w:color w:val="auto"/>
                <w:highlight w:val="none"/>
              </w:rPr>
              <w:t>或拟中标</w:t>
            </w:r>
            <w:r>
              <w:rPr>
                <w:rFonts w:ascii="宋体" w:hAnsi="宋体"/>
                <w:color w:val="auto"/>
                <w:highlight w:val="none"/>
              </w:rPr>
              <w:t>的手续），招标人在合同签订前有权对</w:t>
            </w:r>
            <w:r>
              <w:rPr>
                <w:rFonts w:hint="eastAsia" w:ascii="宋体" w:hAnsi="宋体"/>
                <w:color w:val="auto"/>
                <w:highlight w:val="none"/>
              </w:rPr>
              <w:t>投标人</w:t>
            </w:r>
            <w:r>
              <w:rPr>
                <w:rFonts w:ascii="宋体" w:hAnsi="宋体"/>
                <w:color w:val="auto"/>
                <w:highlight w:val="none"/>
              </w:rPr>
              <w:t>拟派项目经理在其他项目的任职情形（或在其他项目的中标或拟中标情形）进行核查，若与</w:t>
            </w:r>
            <w:r>
              <w:rPr>
                <w:rFonts w:hint="eastAsia" w:ascii="宋体" w:hAnsi="宋体"/>
                <w:color w:val="auto"/>
                <w:highlight w:val="none"/>
              </w:rPr>
              <w:t>投标人</w:t>
            </w:r>
            <w:r>
              <w:rPr>
                <w:rFonts w:ascii="宋体" w:hAnsi="宋体"/>
                <w:color w:val="auto"/>
                <w:highlight w:val="none"/>
              </w:rPr>
              <w:t>承诺内容不符或</w:t>
            </w:r>
            <w:r>
              <w:rPr>
                <w:rFonts w:hint="eastAsia" w:ascii="宋体" w:hAnsi="宋体"/>
                <w:color w:val="auto"/>
                <w:highlight w:val="none"/>
              </w:rPr>
              <w:t>投标人</w:t>
            </w:r>
            <w:r>
              <w:rPr>
                <w:rFonts w:ascii="宋体" w:hAnsi="宋体"/>
                <w:color w:val="auto"/>
                <w:highlight w:val="none"/>
              </w:rPr>
              <w:t>未在上述时间内按照招标文件规定递交放弃在其他项目任职、中标或拟中标的相关资料，视为</w:t>
            </w:r>
            <w:r>
              <w:rPr>
                <w:rFonts w:hint="eastAsia" w:ascii="宋体" w:hAnsi="宋体"/>
                <w:color w:val="auto"/>
                <w:highlight w:val="none"/>
              </w:rPr>
              <w:t>投标人</w:t>
            </w:r>
            <w:r>
              <w:rPr>
                <w:rFonts w:ascii="宋体" w:hAnsi="宋体"/>
                <w:color w:val="auto"/>
                <w:highlight w:val="none"/>
              </w:rPr>
              <w:t>放弃中标资格，招标人不退还其投标保证金。在合同签订时，</w:t>
            </w:r>
            <w:r>
              <w:rPr>
                <w:rFonts w:hint="eastAsia" w:ascii="宋体" w:hAnsi="宋体"/>
                <w:color w:val="auto"/>
                <w:highlight w:val="none"/>
              </w:rPr>
              <w:t>投标人</w:t>
            </w:r>
            <w:r>
              <w:rPr>
                <w:rFonts w:ascii="宋体" w:hAnsi="宋体"/>
                <w:color w:val="auto"/>
                <w:highlight w:val="none"/>
              </w:rPr>
              <w:t>需确保拟派项目经理符合《建筑施工企业项目经理资质管理办法》规定的项目经理任职条件，否则视为</w:t>
            </w:r>
            <w:r>
              <w:rPr>
                <w:rFonts w:hint="eastAsia" w:ascii="宋体" w:hAnsi="宋体"/>
                <w:color w:val="auto"/>
                <w:highlight w:val="none"/>
              </w:rPr>
              <w:t>投标人</w:t>
            </w:r>
            <w:r>
              <w:rPr>
                <w:rFonts w:ascii="宋体" w:hAnsi="宋体"/>
                <w:color w:val="auto"/>
                <w:highlight w:val="none"/>
              </w:rPr>
              <w:t>放弃中标资格，</w:t>
            </w:r>
            <w:r>
              <w:rPr>
                <w:rFonts w:hint="eastAsia" w:ascii="宋体" w:hAnsi="宋体" w:cs="宋体"/>
                <w:color w:val="auto"/>
                <w:szCs w:val="21"/>
                <w:highlight w:val="none"/>
                <w:u w:val="none"/>
              </w:rPr>
              <w:t>投标保证金</w:t>
            </w:r>
            <w:r>
              <w:rPr>
                <w:rFonts w:hint="eastAsia" w:ascii="宋体" w:hAnsi="宋体" w:cs="宋体"/>
                <w:color w:val="auto"/>
                <w:szCs w:val="21"/>
                <w:highlight w:val="none"/>
                <w:u w:val="none"/>
                <w:lang w:val="en-US" w:eastAsia="zh-CN"/>
              </w:rPr>
              <w:t>以现金形式交纳的招标人</w:t>
            </w:r>
            <w:r>
              <w:rPr>
                <w:rFonts w:hint="eastAsia" w:ascii="宋体" w:hAnsi="宋体" w:cs="宋体"/>
                <w:color w:val="auto"/>
                <w:szCs w:val="21"/>
                <w:highlight w:val="none"/>
                <w:u w:val="none"/>
              </w:rPr>
              <w:t>不予退还，</w:t>
            </w:r>
            <w:r>
              <w:rPr>
                <w:rFonts w:hint="eastAsia" w:asciiTheme="minorEastAsia" w:hAnsiTheme="minorEastAsia" w:eastAsiaTheme="minorEastAsia" w:cstheme="minorEastAsia"/>
                <w:color w:val="auto"/>
                <w:szCs w:val="21"/>
                <w:highlight w:val="none"/>
                <w:u w:val="none"/>
              </w:rPr>
              <w:t>以保函形式交纳的由保函开立人支付保函担保的与投标保证金等额的款项</w:t>
            </w:r>
            <w:r>
              <w:rPr>
                <w:rFonts w:ascii="宋体" w:hAnsi="宋体"/>
                <w:b w:val="0"/>
                <w:bCs w:val="0"/>
                <w:color w:val="auto"/>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highlight w:val="none"/>
              </w:rPr>
            </w:pPr>
            <w:r>
              <w:rPr>
                <w:rFonts w:ascii="宋体" w:hAnsi="宋体"/>
                <w:color w:val="auto"/>
                <w:highlight w:val="none"/>
              </w:rPr>
              <w:t>放弃在其他项目任职的需提供</w:t>
            </w:r>
            <w:r>
              <w:rPr>
                <w:rFonts w:hint="eastAsia" w:ascii="宋体" w:hAnsi="宋体"/>
                <w:color w:val="auto"/>
                <w:highlight w:val="none"/>
              </w:rPr>
              <w:t>：</w:t>
            </w:r>
            <w:r>
              <w:rPr>
                <w:rFonts w:ascii="宋体" w:hAnsi="宋体"/>
                <w:color w:val="auto"/>
                <w:highlight w:val="none"/>
              </w:rPr>
              <w:t>①</w:t>
            </w:r>
            <w:r>
              <w:rPr>
                <w:rFonts w:hint="eastAsia" w:ascii="宋体" w:hAnsi="宋体"/>
                <w:color w:val="auto"/>
                <w:highlight w:val="none"/>
              </w:rPr>
              <w:t>经</w:t>
            </w:r>
            <w:r>
              <w:rPr>
                <w:rFonts w:ascii="宋体" w:hAnsi="宋体"/>
                <w:color w:val="auto"/>
                <w:highlight w:val="none"/>
              </w:rPr>
              <w:t>业主或建设单位同意任职变更的文件；②负责项目监管的行业行政主管部门出具同意任职变更的证明材料。</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highlight w:val="none"/>
              </w:rPr>
            </w:pPr>
            <w:r>
              <w:rPr>
                <w:rFonts w:ascii="宋体" w:hAnsi="宋体"/>
                <w:color w:val="auto"/>
                <w:highlight w:val="none"/>
              </w:rPr>
              <w:t>放弃在其他项目中标或拟中标的需提供</w:t>
            </w:r>
            <w:r>
              <w:rPr>
                <w:rFonts w:hint="eastAsia" w:ascii="宋体" w:hAnsi="宋体"/>
                <w:color w:val="auto"/>
                <w:highlight w:val="none"/>
              </w:rPr>
              <w:t>：</w:t>
            </w:r>
            <w:r>
              <w:rPr>
                <w:rFonts w:ascii="宋体" w:hAnsi="宋体"/>
                <w:color w:val="auto"/>
                <w:highlight w:val="none"/>
              </w:rPr>
              <w:t>①经中标或拟中标的其他项目建设单位同意的放弃中标函</w:t>
            </w:r>
            <w:r>
              <w:rPr>
                <w:rFonts w:hint="eastAsia" w:ascii="宋体" w:hAnsi="宋体"/>
                <w:color w:val="auto"/>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kern w:val="0"/>
                <w:szCs w:val="21"/>
                <w:highlight w:val="none"/>
              </w:rPr>
            </w:pPr>
            <w:r>
              <w:rPr>
                <w:rFonts w:hint="eastAsia" w:ascii="宋体" w:hAnsi="宋体"/>
                <w:color w:val="auto"/>
                <w:kern w:val="0"/>
                <w:szCs w:val="21"/>
                <w:highlight w:val="none"/>
              </w:rPr>
              <w:t>提供</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拟派项目经理</w:t>
            </w:r>
            <w:r>
              <w:rPr>
                <w:rFonts w:hint="eastAsia" w:ascii="宋体" w:hAnsi="宋体"/>
                <w:color w:val="auto"/>
                <w:kern w:val="0"/>
                <w:szCs w:val="21"/>
                <w:highlight w:val="none"/>
                <w:lang w:val="en-US" w:eastAsia="zh-CN"/>
              </w:rPr>
              <w:t>有效的身份证、</w:t>
            </w:r>
            <w:r>
              <w:rPr>
                <w:rFonts w:hint="eastAsia" w:ascii="宋体" w:hAnsi="宋体"/>
                <w:color w:val="auto"/>
                <w:kern w:val="0"/>
                <w:szCs w:val="21"/>
                <w:highlight w:val="none"/>
              </w:rPr>
              <w:t>建造师注册证、</w:t>
            </w:r>
            <w:r>
              <w:rPr>
                <w:rFonts w:hint="eastAsia" w:ascii="宋体" w:hAnsi="宋体"/>
                <w:color w:val="auto"/>
                <w:kern w:val="0"/>
                <w:szCs w:val="21"/>
                <w:highlight w:val="none"/>
                <w:lang w:val="en-US" w:eastAsia="zh-CN"/>
              </w:rPr>
              <w:t>职称证（如有）</w:t>
            </w:r>
            <w:r>
              <w:rPr>
                <w:rFonts w:hint="eastAsia" w:ascii="宋体" w:hAnsi="宋体"/>
                <w:color w:val="auto"/>
                <w:kern w:val="0"/>
                <w:szCs w:val="21"/>
                <w:highlight w:val="none"/>
              </w:rPr>
              <w:t>、投标人为其缴纳的养老保险证明材料</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承诺（格式见第八章投标文件格式）。</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olor w:val="auto"/>
                <w:szCs w:val="21"/>
                <w:highlight w:val="none"/>
                <w:lang w:eastAsia="zh-CN"/>
              </w:rPr>
            </w:pPr>
            <w:r>
              <w:rPr>
                <w:rFonts w:hint="eastAsia" w:ascii="宋体" w:hAnsi="宋体"/>
                <w:szCs w:val="21"/>
              </w:rPr>
              <w:t>□联合体投标的，由联合体牵头人提供</w:t>
            </w:r>
            <w:r>
              <w:rPr>
                <w:rFonts w:hint="eastAsia" w:ascii="宋体" w:hAnsi="宋体"/>
                <w:szCs w:val="21"/>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kern w:val="0"/>
                <w:szCs w:val="21"/>
                <w:highlight w:val="none"/>
              </w:rPr>
            </w:pPr>
            <w:r>
              <w:rPr>
                <w:rFonts w:hint="eastAsia" w:ascii="宋体" w:hAnsi="宋体"/>
                <w:color w:val="auto"/>
                <w:kern w:val="0"/>
                <w:szCs w:val="21"/>
                <w:highlight w:val="none"/>
              </w:rPr>
              <w:t>注：</w:t>
            </w: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1</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提供拟派的项目经理为一级建造师或重庆市二级建造师注册人员的，必须提供建造师电子注册证书，且该建造师电子注册证书须由建造师本人在个人签名处手写本人签名。</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kern w:val="0"/>
                <w:szCs w:val="21"/>
                <w:highlight w:val="none"/>
              </w:rPr>
            </w:pP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重庆市以外的省级住房城乡建设主管部门对二级建造师电子注册证书使用有明确规定的，从其规定。未规定使用电子注册证书的，可提供纸质证书扫描件。</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kern w:val="0"/>
                <w:szCs w:val="21"/>
                <w:highlight w:val="none"/>
              </w:rPr>
            </w:pP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建造师电子注册证书本人手写签名与签名图像笔迹是否一致不作为否决投标的情形。</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b/>
                <w:bCs/>
                <w:color w:val="auto"/>
                <w:szCs w:val="21"/>
                <w:highlight w:val="none"/>
              </w:rPr>
            </w:pPr>
            <w:r>
              <w:rPr>
                <w:rFonts w:hint="eastAsia" w:ascii="宋体" w:hAnsi="宋体"/>
                <w:b/>
                <w:bCs/>
                <w:color w:val="auto"/>
                <w:szCs w:val="21"/>
                <w:highlight w:val="none"/>
              </w:rPr>
              <w:t>□5.3项目经理业绩</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i/>
                <w:iCs/>
                <w:szCs w:val="21"/>
                <w:highlight w:val="none"/>
                <w:lang w:val="en-US" w:eastAsia="zh-CN"/>
              </w:rPr>
            </w:pPr>
            <w:r>
              <w:rPr>
                <w:rFonts w:hint="eastAsia" w:ascii="宋体" w:hAnsi="宋体"/>
                <w:i/>
                <w:iCs/>
                <w:szCs w:val="21"/>
                <w:highlight w:val="none"/>
                <w:lang w:val="en-US" w:eastAsia="zh-CN"/>
              </w:rPr>
              <w:t>[提示：设置的人员业绩指标不得超过本项目对应指标。]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s="宋体"/>
                <w:color w:val="auto"/>
                <w:szCs w:val="21"/>
                <w:highlight w:val="none"/>
              </w:rPr>
            </w:pPr>
            <w:r>
              <w:rPr>
                <w:rFonts w:hint="eastAsia" w:asciiTheme="minorEastAsia" w:hAnsiTheme="minorEastAsia" w:eastAsiaTheme="minorEastAsia" w:cstheme="minorEastAsia"/>
                <w:color w:val="auto"/>
                <w:kern w:val="0"/>
                <w:sz w:val="21"/>
                <w:szCs w:val="21"/>
                <w:highlight w:val="none"/>
                <w:lang w:eastAsia="zh-CN"/>
              </w:rPr>
              <w:t>投标人</w:t>
            </w:r>
            <w:r>
              <w:rPr>
                <w:rFonts w:hint="eastAsia" w:asciiTheme="minorEastAsia" w:hAnsiTheme="minorEastAsia" w:eastAsiaTheme="minorEastAsia" w:cstheme="minorEastAsia"/>
                <w:color w:val="auto"/>
                <w:kern w:val="0"/>
                <w:sz w:val="21"/>
                <w:szCs w:val="21"/>
                <w:highlight w:val="none"/>
                <w:lang w:val="en-US" w:eastAsia="zh-CN"/>
              </w:rPr>
              <w:t>拟派的项目经理</w:t>
            </w:r>
            <w:r>
              <w:rPr>
                <w:rFonts w:hint="eastAsia" w:asciiTheme="minorEastAsia" w:hAnsiTheme="minorEastAsia" w:eastAsiaTheme="minorEastAsia" w:cstheme="minorEastAsia"/>
                <w:snapToGrid/>
                <w:color w:val="auto"/>
                <w:sz w:val="21"/>
                <w:szCs w:val="21"/>
                <w:highlight w:val="none"/>
                <w:u w:val="none"/>
                <w:lang w:val="en-US" w:eastAsia="zh-CN"/>
              </w:rPr>
              <w:t>自</w:t>
            </w:r>
            <w:r>
              <w:rPr>
                <w:rFonts w:hint="eastAsia" w:asciiTheme="minorEastAsia" w:hAnsiTheme="minorEastAsia" w:eastAsiaTheme="minorEastAsia" w:cstheme="minorEastAsia"/>
                <w:snapToGrid/>
                <w:color w:val="auto"/>
                <w:sz w:val="21"/>
                <w:szCs w:val="21"/>
                <w:highlight w:val="none"/>
                <w:u w:val="single"/>
                <w:lang w:eastAsia="zh-CN"/>
              </w:rPr>
              <w:t xml:space="preserve">    </w:t>
            </w:r>
            <w:r>
              <w:rPr>
                <w:rFonts w:hint="eastAsia" w:asciiTheme="minorEastAsia" w:hAnsiTheme="minorEastAsia" w:eastAsiaTheme="minorEastAsia" w:cstheme="minorEastAsia"/>
                <w:snapToGrid/>
                <w:color w:val="auto"/>
                <w:sz w:val="21"/>
                <w:szCs w:val="21"/>
                <w:highlight w:val="none"/>
                <w:u w:val="none"/>
                <w:lang w:eastAsia="zh-CN"/>
              </w:rPr>
              <w:t>年1月1日起</w:t>
            </w:r>
            <w:r>
              <w:rPr>
                <w:rFonts w:hint="eastAsia" w:asciiTheme="minorEastAsia" w:hAnsiTheme="minorEastAsia" w:eastAsiaTheme="minorEastAsia" w:cstheme="minorEastAsia"/>
                <w:i/>
                <w:iCs/>
                <w:snapToGrid/>
                <w:color w:val="auto"/>
                <w:sz w:val="21"/>
                <w:szCs w:val="21"/>
                <w:highlight w:val="none"/>
                <w:u w:val="none"/>
                <w:lang w:val="en-US" w:eastAsia="zh-CN"/>
              </w:rPr>
              <w:t>[</w:t>
            </w:r>
            <w:r>
              <w:rPr>
                <w:rFonts w:hint="eastAsia" w:asciiTheme="minorEastAsia" w:hAnsiTheme="minorEastAsia" w:eastAsiaTheme="minorEastAsia" w:cstheme="minorEastAsia"/>
                <w:i/>
                <w:iCs/>
                <w:snapToGrid/>
                <w:color w:val="auto"/>
                <w:sz w:val="21"/>
                <w:szCs w:val="21"/>
                <w:highlight w:val="none"/>
                <w:u w:val="none"/>
                <w:lang w:eastAsia="zh-CN"/>
              </w:rPr>
              <w:t>提示：指投标截止日前3年</w:t>
            </w:r>
            <w:r>
              <w:rPr>
                <w:rFonts w:hint="eastAsia" w:asciiTheme="minorEastAsia" w:hAnsiTheme="minorEastAsia" w:eastAsiaTheme="minorEastAsia" w:cstheme="minorEastAsia"/>
                <w:i/>
                <w:iCs/>
                <w:snapToGrid/>
                <w:color w:val="auto"/>
                <w:sz w:val="21"/>
                <w:szCs w:val="21"/>
                <w:highlight w:val="none"/>
                <w:u w:val="none"/>
                <w:lang w:val="en-US" w:eastAsia="zh-CN"/>
              </w:rPr>
              <w:t>及以上，</w:t>
            </w:r>
            <w:r>
              <w:rPr>
                <w:rFonts w:hint="eastAsia" w:asciiTheme="minorEastAsia" w:hAnsiTheme="minorEastAsia" w:eastAsiaTheme="minorEastAsia" w:cstheme="minorEastAsia"/>
                <w:i/>
                <w:iCs/>
                <w:snapToGrid/>
                <w:color w:val="auto"/>
                <w:sz w:val="21"/>
                <w:szCs w:val="21"/>
                <w:highlight w:val="none"/>
                <w:u w:val="none"/>
                <w:lang w:eastAsia="zh-CN"/>
              </w:rPr>
              <w:t>不包含投标截止日当年]</w:t>
            </w:r>
            <w:r>
              <w:rPr>
                <w:rFonts w:hint="eastAsia" w:ascii="宋体" w:hAnsi="宋体" w:cs="宋体"/>
                <w:color w:val="auto"/>
                <w:kern w:val="0"/>
                <w:szCs w:val="21"/>
                <w:highlight w:val="none"/>
              </w:rPr>
              <w:t>至投标截止日止</w:t>
            </w:r>
            <w:r>
              <w:rPr>
                <w:rFonts w:hint="eastAsia" w:ascii="宋体" w:hAnsi="宋体" w:cs="宋体"/>
                <w:color w:val="auto"/>
                <w:szCs w:val="21"/>
                <w:highlight w:val="none"/>
              </w:rPr>
              <w:t>（以竣工日期为准）</w:t>
            </w:r>
            <w:r>
              <w:rPr>
                <w:rFonts w:hint="eastAsia" w:ascii="宋体" w:hAnsi="宋体" w:cs="宋体"/>
                <w:color w:val="auto"/>
                <w:szCs w:val="21"/>
                <w:highlight w:val="none"/>
                <w:lang w:eastAsia="zh-CN"/>
              </w:rPr>
              <w:t>，</w:t>
            </w:r>
            <w:r>
              <w:rPr>
                <w:rFonts w:hint="eastAsia" w:ascii="宋体" w:hAnsi="宋体" w:cs="宋体"/>
                <w:color w:val="auto"/>
                <w:szCs w:val="21"/>
                <w:highlight w:val="none"/>
              </w:rPr>
              <w:t>完成</w:t>
            </w:r>
            <w:r>
              <w:rPr>
                <w:rFonts w:hint="eastAsia" w:ascii="宋体" w:hAnsi="宋体"/>
                <w:szCs w:val="21"/>
                <w:highlight w:val="none"/>
                <w:lang w:val="en-US" w:eastAsia="zh-CN"/>
              </w:rPr>
              <w:t>过</w:t>
            </w:r>
            <w:r>
              <w:rPr>
                <w:rFonts w:hint="eastAsia" w:ascii="宋体" w:hAnsi="宋体"/>
                <w:szCs w:val="21"/>
                <w:highlight w:val="none"/>
              </w:rPr>
              <w:t>1个</w:t>
            </w: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none"/>
                <w:lang w:val="en-US" w:eastAsia="zh-CN"/>
              </w:rPr>
              <w:t>施工</w:t>
            </w:r>
            <w:r>
              <w:rPr>
                <w:rFonts w:hint="eastAsia" w:ascii="宋体" w:hAnsi="宋体"/>
                <w:szCs w:val="21"/>
                <w:highlight w:val="none"/>
              </w:rPr>
              <w:t>业绩</w:t>
            </w:r>
            <w:r>
              <w:rPr>
                <w:rFonts w:hint="eastAsia" w:ascii="宋体" w:hAnsi="宋体"/>
                <w:szCs w:val="21"/>
                <w:highlight w:val="none"/>
                <w:lang w:eastAsia="zh-CN"/>
              </w:rPr>
              <w:t>，</w:t>
            </w:r>
            <w:r>
              <w:rPr>
                <w:rFonts w:hint="eastAsia" w:ascii="宋体" w:hAnsi="宋体"/>
                <w:szCs w:val="21"/>
                <w:highlight w:val="none"/>
                <w:lang w:val="en-US" w:eastAsia="zh-CN"/>
              </w:rPr>
              <w:t>并在该业绩中担任</w:t>
            </w:r>
            <w:r>
              <w:rPr>
                <w:rFonts w:hint="eastAsia" w:ascii="宋体" w:hAnsi="宋体"/>
                <w:szCs w:val="21"/>
                <w:highlight w:val="none"/>
                <w:u w:val="single"/>
                <w:lang w:val="en-US" w:eastAsia="zh-CN"/>
              </w:rPr>
              <w:t>项目经理</w:t>
            </w:r>
            <w:r>
              <w:rPr>
                <w:rFonts w:hint="eastAsia" w:ascii="宋体" w:hAnsi="宋体" w:cs="宋体"/>
                <w:color w:val="auto"/>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ascii="宋体" w:hAnsi="宋体"/>
                <w:color w:val="auto"/>
                <w:szCs w:val="21"/>
                <w:highlight w:val="none"/>
              </w:rPr>
            </w:pPr>
            <w:r>
              <w:rPr>
                <w:rFonts w:hint="eastAsia" w:ascii="宋体" w:hAnsi="宋体" w:cs="宋体"/>
                <w:color w:val="auto"/>
                <w:szCs w:val="21"/>
                <w:highlight w:val="none"/>
              </w:rPr>
              <w:t>提供</w:t>
            </w:r>
            <w:r>
              <w:rPr>
                <w:rFonts w:hint="eastAsia" w:ascii="宋体" w:hAnsi="宋体" w:cs="宋体"/>
                <w:color w:val="auto"/>
                <w:szCs w:val="21"/>
                <w:highlight w:val="none"/>
                <w:lang w:eastAsia="zh-CN"/>
              </w:rPr>
              <w:t>：</w:t>
            </w:r>
            <w:r>
              <w:rPr>
                <w:rFonts w:hint="eastAsia" w:ascii="宋体" w:hAnsi="宋体" w:cs="宋体"/>
                <w:color w:val="auto"/>
                <w:szCs w:val="21"/>
                <w:highlight w:val="none"/>
              </w:rPr>
              <w:t>该业绩的合同协议书和工程竣工验收</w:t>
            </w:r>
            <w:r>
              <w:rPr>
                <w:rFonts w:hint="eastAsia" w:ascii="宋体" w:hAnsi="宋体" w:cs="宋体"/>
                <w:color w:val="auto"/>
                <w:szCs w:val="21"/>
                <w:highlight w:val="none"/>
                <w:lang w:val="en-US" w:eastAsia="zh-CN"/>
              </w:rPr>
              <w:t>合格的</w:t>
            </w:r>
            <w:r>
              <w:rPr>
                <w:rFonts w:hint="eastAsia" w:ascii="宋体" w:hAnsi="宋体" w:cs="宋体"/>
                <w:color w:val="auto"/>
                <w:szCs w:val="21"/>
                <w:highlight w:val="none"/>
              </w:rPr>
              <w:t>证明材料。</w:t>
            </w:r>
            <w:r>
              <w:rPr>
                <w:rFonts w:hint="eastAsia" w:ascii="宋体" w:hAnsi="宋体"/>
                <w:szCs w:val="21"/>
              </w:rPr>
              <w:t>若</w:t>
            </w:r>
            <w:r>
              <w:rPr>
                <w:rFonts w:hint="eastAsia" w:ascii="宋体" w:hAnsi="宋体"/>
                <w:szCs w:val="21"/>
                <w:lang w:val="en-US" w:eastAsia="zh-CN"/>
              </w:rPr>
              <w:t>提供的业绩证明材料不能</w:t>
            </w:r>
            <w:r>
              <w:rPr>
                <w:rFonts w:hint="eastAsia" w:ascii="宋体" w:hAnsi="宋体"/>
                <w:szCs w:val="21"/>
              </w:rPr>
              <w:t>体现</w:t>
            </w:r>
            <w:r>
              <w:rPr>
                <w:rFonts w:hint="eastAsia" w:ascii="宋体" w:hAnsi="宋体"/>
                <w:szCs w:val="21"/>
                <w:lang w:val="en-US" w:eastAsia="zh-CN"/>
              </w:rPr>
              <w:t>上述业绩指标</w:t>
            </w:r>
            <w:r>
              <w:rPr>
                <w:rFonts w:hint="eastAsia" w:ascii="宋体" w:hAnsi="宋体"/>
                <w:szCs w:val="21"/>
              </w:rPr>
              <w:t>的，应补充提供</w:t>
            </w:r>
            <w:r>
              <w:rPr>
                <w:rFonts w:hint="eastAsia" w:ascii="宋体" w:hAnsi="宋体"/>
                <w:szCs w:val="21"/>
                <w:highlight w:val="none"/>
                <w:u w:val="none"/>
                <w:lang w:eastAsia="zh-CN"/>
              </w:rPr>
              <w:t>业主证明</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cs="宋体"/>
                <w:color w:val="auto"/>
                <w:szCs w:val="21"/>
                <w:highlight w:val="none"/>
              </w:rPr>
            </w:pPr>
            <w:r>
              <w:rPr>
                <w:rFonts w:hint="eastAsia" w:ascii="宋体" w:hAnsi="宋体"/>
                <w:szCs w:val="21"/>
              </w:rPr>
              <w:t>□联合体投标的，由联合体牵头人提供。</w:t>
            </w:r>
          </w:p>
          <w:p>
            <w:pPr>
              <w:keepNext w:val="0"/>
              <w:keepLines w:val="0"/>
              <w:pageBreakBefore w:val="0"/>
              <w:kinsoku/>
              <w:wordWrap/>
              <w:overflowPunct/>
              <w:topLinePunct w:val="0"/>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注：当上述</w:t>
            </w:r>
            <w:r>
              <w:rPr>
                <w:rFonts w:hint="eastAsia" w:ascii="宋体" w:hAnsi="宋体" w:cs="宋体"/>
                <w:color w:val="auto"/>
                <w:szCs w:val="21"/>
                <w:highlight w:val="none"/>
                <w:lang w:val="en-US" w:eastAsia="zh-CN"/>
              </w:rPr>
              <w:t>业绩证明材料</w:t>
            </w:r>
            <w:r>
              <w:rPr>
                <w:rFonts w:hint="eastAsia" w:ascii="宋体" w:hAnsi="宋体" w:cs="宋体"/>
                <w:color w:val="auto"/>
                <w:szCs w:val="21"/>
                <w:highlight w:val="none"/>
              </w:rPr>
              <w:t>中针对同一指标存在不一致时，以工程</w:t>
            </w:r>
            <w:r>
              <w:rPr>
                <w:rFonts w:hint="eastAsia" w:ascii="宋体" w:hAnsi="宋体" w:cs="宋体"/>
                <w:color w:val="auto"/>
                <w:szCs w:val="21"/>
                <w:highlight w:val="none"/>
                <w:lang w:val="en-US" w:eastAsia="zh-CN"/>
              </w:rPr>
              <w:t>竣工</w:t>
            </w:r>
            <w:r>
              <w:rPr>
                <w:rFonts w:hint="eastAsia" w:ascii="宋体" w:hAnsi="宋体" w:cs="宋体"/>
                <w:color w:val="auto"/>
                <w:szCs w:val="21"/>
                <w:highlight w:val="none"/>
              </w:rPr>
              <w:t>验收合格</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证明材料为准。</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b/>
                <w:color w:val="auto"/>
                <w:szCs w:val="21"/>
                <w:highlight w:val="none"/>
              </w:rPr>
            </w:pPr>
            <w:r>
              <w:rPr>
                <w:rFonts w:ascii="宋体" w:hAnsi="宋体"/>
                <w:b/>
                <w:color w:val="auto"/>
                <w:szCs w:val="21"/>
                <w:highlight w:val="none"/>
              </w:rPr>
              <w:t>6.其他要求</w:t>
            </w:r>
          </w:p>
          <w:p>
            <w:pPr>
              <w:keepNext w:val="0"/>
              <w:keepLines w:val="0"/>
              <w:pageBreakBefore w:val="0"/>
              <w:kinsoku/>
              <w:wordWrap/>
              <w:overflowPunct/>
              <w:topLinePunct w:val="0"/>
              <w:bidi w:val="0"/>
              <w:snapToGrid w:val="0"/>
              <w:spacing w:line="400" w:lineRule="exact"/>
              <w:ind w:firstLine="421" w:firstLineChars="200"/>
              <w:textAlignment w:val="auto"/>
              <w:rPr>
                <w:rFonts w:ascii="宋体" w:hAnsi="宋体"/>
                <w:b/>
                <w:bCs/>
                <w:color w:val="auto"/>
                <w:szCs w:val="21"/>
                <w:highlight w:val="none"/>
              </w:rPr>
            </w:pPr>
            <w:r>
              <w:rPr>
                <w:rFonts w:hint="eastAsia" w:ascii="宋体" w:hAnsi="宋体"/>
                <w:b/>
                <w:bCs/>
                <w:color w:val="auto"/>
                <w:szCs w:val="21"/>
                <w:highlight w:val="none"/>
              </w:rPr>
              <w:t>□</w:t>
            </w:r>
            <w:r>
              <w:rPr>
                <w:rFonts w:ascii="宋体" w:hAnsi="宋体"/>
                <w:b/>
                <w:bCs/>
                <w:color w:val="auto"/>
                <w:kern w:val="0"/>
                <w:szCs w:val="21"/>
                <w:highlight w:val="none"/>
              </w:rPr>
              <w:t>（1）</w:t>
            </w:r>
            <w:r>
              <w:rPr>
                <w:rFonts w:ascii="宋体" w:hAnsi="宋体"/>
                <w:b/>
                <w:bCs/>
                <w:color w:val="auto"/>
                <w:szCs w:val="21"/>
                <w:highlight w:val="none"/>
              </w:rPr>
              <w:t>项目技术负责人</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eastAsia="宋体"/>
                <w:color w:val="auto"/>
                <w:szCs w:val="21"/>
                <w:highlight w:val="none"/>
                <w:lang w:eastAsia="zh-CN"/>
              </w:rPr>
            </w:pPr>
            <w:r>
              <w:rPr>
                <w:rFonts w:hint="eastAsia" w:ascii="宋体" w:hAnsi="宋体"/>
                <w:szCs w:val="21"/>
                <w:lang w:val="en-US" w:eastAsia="zh-CN"/>
              </w:rPr>
              <w:t>投标人拟派的技术负责人须是投标单位人员，具备</w:t>
            </w:r>
            <w:r>
              <w:rPr>
                <w:rFonts w:hint="eastAsia" w:ascii="宋体" w:hAnsi="宋体"/>
                <w:szCs w:val="21"/>
                <w:u w:val="single"/>
              </w:rPr>
              <w:t xml:space="preserve">工程类    </w:t>
            </w:r>
            <w:r>
              <w:rPr>
                <w:rFonts w:ascii="宋体" w:hAnsi="宋体"/>
                <w:szCs w:val="21"/>
                <w:u w:val="single"/>
              </w:rPr>
              <w:t>级及以上</w:t>
            </w:r>
            <w:r>
              <w:rPr>
                <w:rFonts w:ascii="宋体" w:hAnsi="宋体"/>
                <w:szCs w:val="21"/>
              </w:rPr>
              <w:t>职称</w:t>
            </w:r>
            <w:r>
              <w:rPr>
                <w:rFonts w:hint="eastAsia" w:ascii="宋体" w:hAnsi="宋体"/>
                <w:color w:val="auto"/>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kern w:val="0"/>
                <w:szCs w:val="21"/>
                <w:highlight w:val="none"/>
              </w:rPr>
            </w:pPr>
            <w:r>
              <w:rPr>
                <w:rFonts w:hint="eastAsia" w:ascii="宋体" w:hAnsi="宋体"/>
                <w:color w:val="auto"/>
                <w:kern w:val="0"/>
                <w:szCs w:val="21"/>
                <w:highlight w:val="none"/>
              </w:rPr>
              <w:t>提供</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拟派技术负责人</w:t>
            </w:r>
            <w:r>
              <w:rPr>
                <w:rFonts w:hint="eastAsia" w:ascii="宋体" w:hAnsi="宋体"/>
                <w:color w:val="auto"/>
                <w:kern w:val="0"/>
                <w:szCs w:val="21"/>
                <w:highlight w:val="none"/>
                <w:lang w:val="en-US" w:eastAsia="zh-CN"/>
              </w:rPr>
              <w:t>有效的</w:t>
            </w:r>
            <w:r>
              <w:rPr>
                <w:rFonts w:hint="eastAsia" w:ascii="宋体" w:hAnsi="宋体"/>
                <w:color w:val="auto"/>
                <w:kern w:val="0"/>
                <w:szCs w:val="21"/>
                <w:highlight w:val="none"/>
              </w:rPr>
              <w:t>身份证、职称证及投标人本单位为其缴纳的养老保险证明材料。</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kern w:val="0"/>
                <w:szCs w:val="21"/>
                <w:highlight w:val="none"/>
              </w:rPr>
            </w:pPr>
            <w:r>
              <w:rPr>
                <w:rFonts w:hint="eastAsia" w:ascii="宋体" w:hAnsi="宋体"/>
                <w:szCs w:val="21"/>
              </w:rPr>
              <w:t>□联合体投标的，由联合体牵头人提供</w:t>
            </w:r>
            <w:r>
              <w:rPr>
                <w:rFonts w:hint="eastAsia" w:ascii="宋体" w:hAnsi="宋体"/>
                <w:szCs w:val="21"/>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b/>
                <w:bCs/>
                <w:color w:val="auto"/>
                <w:szCs w:val="21"/>
                <w:highlight w:val="none"/>
              </w:rPr>
            </w:pPr>
            <w:r>
              <w:rPr>
                <w:rFonts w:hint="eastAsia" w:ascii="宋体" w:hAnsi="宋体"/>
                <w:b/>
                <w:bCs/>
                <w:color w:val="auto"/>
                <w:szCs w:val="21"/>
                <w:highlight w:val="none"/>
              </w:rPr>
              <w:t>□</w:t>
            </w:r>
            <w:r>
              <w:rPr>
                <w:rFonts w:hint="eastAsia" w:ascii="宋体" w:hAnsi="宋体"/>
                <w:b/>
                <w:bCs/>
                <w:color w:val="auto"/>
                <w:szCs w:val="21"/>
                <w:highlight w:val="none"/>
                <w:lang w:val="en-US" w:eastAsia="zh-CN"/>
              </w:rPr>
              <w:t>项目</w:t>
            </w:r>
            <w:r>
              <w:rPr>
                <w:rFonts w:hint="eastAsia" w:ascii="宋体" w:hAnsi="宋体"/>
                <w:b/>
                <w:bCs/>
                <w:color w:val="auto"/>
                <w:szCs w:val="21"/>
                <w:highlight w:val="none"/>
              </w:rPr>
              <w:t>技术负责人业绩</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i/>
                <w:iCs/>
                <w:szCs w:val="21"/>
                <w:highlight w:val="none"/>
                <w:lang w:val="en-US" w:eastAsia="zh-CN"/>
              </w:rPr>
            </w:pPr>
            <w:r>
              <w:rPr>
                <w:rFonts w:hint="eastAsia" w:ascii="宋体" w:hAnsi="宋体"/>
                <w:i/>
                <w:iCs/>
                <w:szCs w:val="21"/>
                <w:highlight w:val="none"/>
                <w:lang w:val="en-US" w:eastAsia="zh-CN"/>
              </w:rPr>
              <w:t>[提示：设置的人员业绩指标不得超过本项目对应指标。]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s="宋体"/>
                <w:color w:val="auto"/>
                <w:szCs w:val="21"/>
                <w:highlight w:val="none"/>
              </w:rPr>
            </w:pPr>
            <w:r>
              <w:rPr>
                <w:rFonts w:hint="eastAsia" w:asciiTheme="minorEastAsia" w:hAnsiTheme="minorEastAsia" w:eastAsiaTheme="minorEastAsia" w:cstheme="minorEastAsia"/>
                <w:color w:val="auto"/>
                <w:kern w:val="0"/>
                <w:sz w:val="21"/>
                <w:szCs w:val="21"/>
                <w:highlight w:val="none"/>
                <w:lang w:eastAsia="zh-CN"/>
              </w:rPr>
              <w:t>投标人</w:t>
            </w:r>
            <w:r>
              <w:rPr>
                <w:rFonts w:hint="eastAsia" w:asciiTheme="minorEastAsia" w:hAnsiTheme="minorEastAsia" w:eastAsiaTheme="minorEastAsia" w:cstheme="minorEastAsia"/>
                <w:color w:val="auto"/>
                <w:kern w:val="0"/>
                <w:sz w:val="21"/>
                <w:szCs w:val="21"/>
                <w:highlight w:val="none"/>
                <w:lang w:val="en-US" w:eastAsia="zh-CN"/>
              </w:rPr>
              <w:t>拟派的技术负责人</w:t>
            </w:r>
            <w:r>
              <w:rPr>
                <w:rFonts w:hint="eastAsia" w:asciiTheme="minorEastAsia" w:hAnsiTheme="minorEastAsia" w:eastAsiaTheme="minorEastAsia" w:cstheme="minorEastAsia"/>
                <w:snapToGrid/>
                <w:color w:val="auto"/>
                <w:sz w:val="21"/>
                <w:szCs w:val="21"/>
                <w:highlight w:val="none"/>
                <w:u w:val="none"/>
                <w:lang w:val="en-US" w:eastAsia="zh-CN"/>
              </w:rPr>
              <w:t>自</w:t>
            </w:r>
            <w:r>
              <w:rPr>
                <w:rFonts w:hint="eastAsia" w:asciiTheme="minorEastAsia" w:hAnsiTheme="minorEastAsia" w:eastAsiaTheme="minorEastAsia" w:cstheme="minorEastAsia"/>
                <w:snapToGrid/>
                <w:color w:val="auto"/>
                <w:sz w:val="21"/>
                <w:szCs w:val="21"/>
                <w:highlight w:val="none"/>
                <w:u w:val="single"/>
                <w:lang w:eastAsia="zh-CN"/>
              </w:rPr>
              <w:t xml:space="preserve">    </w:t>
            </w:r>
            <w:r>
              <w:rPr>
                <w:rFonts w:hint="eastAsia" w:asciiTheme="minorEastAsia" w:hAnsiTheme="minorEastAsia" w:eastAsiaTheme="minorEastAsia" w:cstheme="minorEastAsia"/>
                <w:snapToGrid/>
                <w:color w:val="auto"/>
                <w:sz w:val="21"/>
                <w:szCs w:val="21"/>
                <w:highlight w:val="none"/>
                <w:u w:val="none"/>
                <w:lang w:eastAsia="zh-CN"/>
              </w:rPr>
              <w:t>年1月1日起</w:t>
            </w:r>
            <w:r>
              <w:rPr>
                <w:rFonts w:hint="eastAsia" w:asciiTheme="minorEastAsia" w:hAnsiTheme="minorEastAsia" w:eastAsiaTheme="minorEastAsia" w:cstheme="minorEastAsia"/>
                <w:i/>
                <w:iCs/>
                <w:snapToGrid/>
                <w:color w:val="auto"/>
                <w:sz w:val="21"/>
                <w:szCs w:val="21"/>
                <w:highlight w:val="none"/>
                <w:u w:val="none"/>
                <w:lang w:val="en-US" w:eastAsia="zh-CN"/>
              </w:rPr>
              <w:t>[</w:t>
            </w:r>
            <w:r>
              <w:rPr>
                <w:rFonts w:hint="eastAsia" w:asciiTheme="minorEastAsia" w:hAnsiTheme="minorEastAsia" w:eastAsiaTheme="minorEastAsia" w:cstheme="minorEastAsia"/>
                <w:i/>
                <w:iCs/>
                <w:snapToGrid/>
                <w:color w:val="auto"/>
                <w:sz w:val="21"/>
                <w:szCs w:val="21"/>
                <w:highlight w:val="none"/>
                <w:u w:val="none"/>
                <w:lang w:eastAsia="zh-CN"/>
              </w:rPr>
              <w:t>提示：指投标截止日前3年</w:t>
            </w:r>
            <w:r>
              <w:rPr>
                <w:rFonts w:hint="eastAsia" w:asciiTheme="minorEastAsia" w:hAnsiTheme="minorEastAsia" w:eastAsiaTheme="minorEastAsia" w:cstheme="minorEastAsia"/>
                <w:i/>
                <w:iCs/>
                <w:snapToGrid/>
                <w:color w:val="auto"/>
                <w:sz w:val="21"/>
                <w:szCs w:val="21"/>
                <w:highlight w:val="none"/>
                <w:u w:val="none"/>
                <w:lang w:val="en-US" w:eastAsia="zh-CN"/>
              </w:rPr>
              <w:t>及以上，</w:t>
            </w:r>
            <w:r>
              <w:rPr>
                <w:rFonts w:hint="eastAsia" w:asciiTheme="minorEastAsia" w:hAnsiTheme="minorEastAsia" w:eastAsiaTheme="minorEastAsia" w:cstheme="minorEastAsia"/>
                <w:i/>
                <w:iCs/>
                <w:snapToGrid/>
                <w:color w:val="auto"/>
                <w:sz w:val="21"/>
                <w:szCs w:val="21"/>
                <w:highlight w:val="none"/>
                <w:u w:val="none"/>
                <w:lang w:eastAsia="zh-CN"/>
              </w:rPr>
              <w:t>不包含投标截止日当年]</w:t>
            </w:r>
            <w:r>
              <w:rPr>
                <w:rFonts w:hint="eastAsia" w:ascii="宋体" w:hAnsi="宋体" w:cs="宋体"/>
                <w:color w:val="auto"/>
                <w:kern w:val="0"/>
                <w:szCs w:val="21"/>
                <w:highlight w:val="none"/>
              </w:rPr>
              <w:t>至投标截止日止</w:t>
            </w:r>
            <w:r>
              <w:rPr>
                <w:rFonts w:hint="eastAsia" w:ascii="宋体" w:hAnsi="宋体" w:cs="宋体"/>
                <w:color w:val="auto"/>
                <w:szCs w:val="21"/>
                <w:highlight w:val="none"/>
              </w:rPr>
              <w:t>（以竣工日期为准）</w:t>
            </w:r>
            <w:r>
              <w:rPr>
                <w:rFonts w:hint="eastAsia" w:ascii="宋体" w:hAnsi="宋体" w:cs="宋体"/>
                <w:color w:val="auto"/>
                <w:szCs w:val="21"/>
                <w:highlight w:val="none"/>
                <w:lang w:eastAsia="zh-CN"/>
              </w:rPr>
              <w:t>，</w:t>
            </w:r>
            <w:r>
              <w:rPr>
                <w:rFonts w:hint="eastAsia" w:ascii="宋体" w:hAnsi="宋体" w:cs="宋体"/>
                <w:color w:val="auto"/>
                <w:szCs w:val="21"/>
                <w:highlight w:val="none"/>
              </w:rPr>
              <w:t>完成</w:t>
            </w:r>
            <w:r>
              <w:rPr>
                <w:rFonts w:hint="eastAsia" w:ascii="宋体" w:hAnsi="宋体"/>
                <w:szCs w:val="21"/>
                <w:highlight w:val="none"/>
                <w:lang w:val="en-US" w:eastAsia="zh-CN"/>
              </w:rPr>
              <w:t>过</w:t>
            </w:r>
            <w:r>
              <w:rPr>
                <w:rFonts w:hint="eastAsia" w:ascii="宋体" w:hAnsi="宋体"/>
                <w:szCs w:val="21"/>
                <w:highlight w:val="none"/>
              </w:rPr>
              <w:t>1个</w:t>
            </w: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none"/>
                <w:lang w:val="en-US" w:eastAsia="zh-CN"/>
              </w:rPr>
              <w:t>施工</w:t>
            </w:r>
            <w:r>
              <w:rPr>
                <w:rFonts w:hint="eastAsia" w:ascii="宋体" w:hAnsi="宋体"/>
                <w:szCs w:val="21"/>
                <w:highlight w:val="none"/>
              </w:rPr>
              <w:t>业绩</w:t>
            </w:r>
            <w:r>
              <w:rPr>
                <w:rFonts w:hint="eastAsia" w:ascii="宋体" w:hAnsi="宋体"/>
                <w:szCs w:val="21"/>
                <w:highlight w:val="none"/>
                <w:lang w:eastAsia="zh-CN"/>
              </w:rPr>
              <w:t>，</w:t>
            </w:r>
            <w:r>
              <w:rPr>
                <w:rFonts w:hint="eastAsia" w:ascii="宋体" w:hAnsi="宋体"/>
                <w:szCs w:val="21"/>
                <w:highlight w:val="none"/>
                <w:lang w:val="en-US" w:eastAsia="zh-CN"/>
              </w:rPr>
              <w:t>并在该业绩中担任</w:t>
            </w:r>
            <w:r>
              <w:rPr>
                <w:rFonts w:hint="eastAsia" w:ascii="宋体" w:hAnsi="宋体"/>
                <w:szCs w:val="21"/>
                <w:highlight w:val="none"/>
                <w:u w:val="single"/>
                <w:lang w:val="en-US" w:eastAsia="zh-CN"/>
              </w:rPr>
              <w:t>项目技术负责人</w:t>
            </w:r>
            <w:r>
              <w:rPr>
                <w:rFonts w:hint="eastAsia" w:ascii="宋体" w:hAnsi="宋体" w:cs="宋体"/>
                <w:color w:val="auto"/>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ascii="宋体" w:hAnsi="宋体"/>
                <w:color w:val="auto"/>
                <w:szCs w:val="21"/>
                <w:highlight w:val="none"/>
              </w:rPr>
            </w:pPr>
            <w:r>
              <w:rPr>
                <w:rFonts w:hint="eastAsia" w:ascii="宋体" w:hAnsi="宋体" w:cs="宋体"/>
                <w:color w:val="auto"/>
                <w:szCs w:val="21"/>
                <w:highlight w:val="none"/>
              </w:rPr>
              <w:t>提供</w:t>
            </w:r>
            <w:r>
              <w:rPr>
                <w:rFonts w:hint="eastAsia" w:ascii="宋体" w:hAnsi="宋体" w:cs="宋体"/>
                <w:color w:val="auto"/>
                <w:szCs w:val="21"/>
                <w:highlight w:val="none"/>
                <w:lang w:eastAsia="zh-CN"/>
              </w:rPr>
              <w:t>：</w:t>
            </w:r>
            <w:r>
              <w:rPr>
                <w:rFonts w:hint="eastAsia" w:ascii="宋体" w:hAnsi="宋体" w:cs="宋体"/>
                <w:color w:val="auto"/>
                <w:szCs w:val="21"/>
                <w:highlight w:val="none"/>
              </w:rPr>
              <w:t>该业绩的合同协议书和工程竣工验收</w:t>
            </w:r>
            <w:r>
              <w:rPr>
                <w:rFonts w:hint="eastAsia" w:ascii="宋体" w:hAnsi="宋体" w:cs="宋体"/>
                <w:color w:val="auto"/>
                <w:szCs w:val="21"/>
                <w:highlight w:val="none"/>
                <w:lang w:val="en-US" w:eastAsia="zh-CN"/>
              </w:rPr>
              <w:t>合格的</w:t>
            </w:r>
            <w:r>
              <w:rPr>
                <w:rFonts w:hint="eastAsia" w:ascii="宋体" w:hAnsi="宋体" w:cs="宋体"/>
                <w:color w:val="auto"/>
                <w:szCs w:val="21"/>
                <w:highlight w:val="none"/>
              </w:rPr>
              <w:t>证明材料。</w:t>
            </w:r>
            <w:r>
              <w:rPr>
                <w:rFonts w:hint="eastAsia" w:ascii="宋体" w:hAnsi="宋体"/>
                <w:szCs w:val="21"/>
              </w:rPr>
              <w:t>若</w:t>
            </w:r>
            <w:r>
              <w:rPr>
                <w:rFonts w:hint="eastAsia" w:ascii="宋体" w:hAnsi="宋体"/>
                <w:szCs w:val="21"/>
                <w:lang w:val="en-US" w:eastAsia="zh-CN"/>
              </w:rPr>
              <w:t>提供的业绩证明材料不能</w:t>
            </w:r>
            <w:r>
              <w:rPr>
                <w:rFonts w:hint="eastAsia" w:ascii="宋体" w:hAnsi="宋体"/>
                <w:szCs w:val="21"/>
              </w:rPr>
              <w:t>体现</w:t>
            </w:r>
            <w:r>
              <w:rPr>
                <w:rFonts w:hint="eastAsia" w:ascii="宋体" w:hAnsi="宋体"/>
                <w:szCs w:val="21"/>
                <w:lang w:val="en-US" w:eastAsia="zh-CN"/>
              </w:rPr>
              <w:t>上述业绩指标</w:t>
            </w:r>
            <w:r>
              <w:rPr>
                <w:rFonts w:hint="eastAsia" w:ascii="宋体" w:hAnsi="宋体"/>
                <w:szCs w:val="21"/>
              </w:rPr>
              <w:t>的，应补充提供</w:t>
            </w:r>
            <w:r>
              <w:rPr>
                <w:rFonts w:hint="eastAsia" w:ascii="宋体" w:hAnsi="宋体"/>
                <w:szCs w:val="21"/>
                <w:highlight w:val="none"/>
                <w:u w:val="none"/>
                <w:lang w:eastAsia="zh-CN"/>
              </w:rPr>
              <w:t>业主证明</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pacing w:val="-24"/>
                <w:kern w:val="0"/>
                <w:szCs w:val="21"/>
                <w:highlight w:val="none"/>
              </w:rPr>
            </w:pPr>
            <w:r>
              <w:rPr>
                <w:rFonts w:hint="eastAsia" w:ascii="宋体" w:hAnsi="宋体"/>
                <w:color w:val="auto"/>
                <w:kern w:val="0"/>
                <w:szCs w:val="21"/>
                <w:highlight w:val="none"/>
              </w:rPr>
              <w:t>□联合体投标的，</w:t>
            </w:r>
            <w:r>
              <w:rPr>
                <w:rFonts w:hint="eastAsia" w:ascii="宋体" w:hAnsi="宋体"/>
                <w:szCs w:val="21"/>
              </w:rPr>
              <w:t>由联合体牵头人提供</w:t>
            </w:r>
            <w:r>
              <w:rPr>
                <w:rFonts w:hint="eastAsia" w:ascii="宋体" w:hAnsi="宋体"/>
                <w:color w:val="auto"/>
                <w:kern w:val="0"/>
                <w:szCs w:val="21"/>
                <w:highlight w:val="none"/>
              </w:rPr>
              <w:t>。</w:t>
            </w:r>
          </w:p>
          <w:p>
            <w:pPr>
              <w:keepNext w:val="0"/>
              <w:keepLines w:val="0"/>
              <w:pageBreakBefore w:val="0"/>
              <w:kinsoku/>
              <w:wordWrap/>
              <w:overflowPunct/>
              <w:topLinePunct w:val="0"/>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注：当上述</w:t>
            </w:r>
            <w:r>
              <w:rPr>
                <w:rFonts w:hint="eastAsia" w:ascii="宋体" w:hAnsi="宋体" w:cs="宋体"/>
                <w:color w:val="auto"/>
                <w:szCs w:val="21"/>
                <w:highlight w:val="none"/>
                <w:lang w:val="en-US" w:eastAsia="zh-CN"/>
              </w:rPr>
              <w:t>业绩证明材料</w:t>
            </w:r>
            <w:r>
              <w:rPr>
                <w:rFonts w:hint="eastAsia" w:ascii="宋体" w:hAnsi="宋体" w:cs="宋体"/>
                <w:color w:val="auto"/>
                <w:szCs w:val="21"/>
                <w:highlight w:val="none"/>
              </w:rPr>
              <w:t>中针对同一指标存在不一致时，以工程验收合格</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证明材料为准。</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b/>
                <w:bCs/>
                <w:color w:val="auto"/>
                <w:szCs w:val="21"/>
                <w:highlight w:val="none"/>
              </w:rPr>
            </w:pPr>
            <w:r>
              <w:rPr>
                <w:rFonts w:ascii="宋体" w:hAnsi="宋体"/>
                <w:b/>
                <w:bCs/>
                <w:color w:val="auto"/>
                <w:kern w:val="0"/>
                <w:szCs w:val="21"/>
                <w:highlight w:val="none"/>
              </w:rPr>
              <w:t>（2）</w:t>
            </w:r>
            <w:r>
              <w:rPr>
                <w:rFonts w:ascii="宋体" w:hAnsi="宋体"/>
                <w:b/>
                <w:bCs/>
                <w:color w:val="auto"/>
                <w:szCs w:val="21"/>
                <w:highlight w:val="none"/>
              </w:rPr>
              <w:t>主要管理人员：</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投标人</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中标后签订合同之前，须按照相关行政部门要求组建施工项目部，配置项目管理班子，出具任命文件。任命文件应当明确施工项目部的职责、岗位设置、人员配备，并书面通知</w:t>
            </w:r>
            <w:r>
              <w:rPr>
                <w:rFonts w:hint="eastAsia" w:ascii="宋体" w:hAnsi="宋体" w:cs="宋体"/>
                <w:color w:val="auto"/>
                <w:szCs w:val="21"/>
                <w:highlight w:val="none"/>
                <w:lang w:val="en-US" w:eastAsia="zh-CN"/>
              </w:rPr>
              <w:t>招标人</w:t>
            </w:r>
            <w:r>
              <w:rPr>
                <w:rFonts w:hint="eastAsia" w:ascii="宋体" w:hAnsi="宋体" w:cs="宋体"/>
                <w:color w:val="auto"/>
                <w:szCs w:val="21"/>
                <w:highlight w:val="none"/>
              </w:rPr>
              <w:t>。主要管理人员应持有相关行政部门要求的岗位证书，并提供</w:t>
            </w:r>
            <w:r>
              <w:rPr>
                <w:rFonts w:hint="eastAsia" w:ascii="宋体" w:hAnsi="宋体" w:cs="宋体"/>
                <w:color w:val="auto"/>
                <w:szCs w:val="21"/>
                <w:highlight w:val="none"/>
                <w:lang w:val="en-US" w:eastAsia="zh-CN"/>
              </w:rPr>
              <w:t>投标人</w:t>
            </w:r>
            <w:r>
              <w:rPr>
                <w:rFonts w:hint="eastAsia" w:ascii="宋体" w:hAnsi="宋体" w:cs="宋体"/>
                <w:color w:val="auto"/>
                <w:szCs w:val="21"/>
                <w:highlight w:val="none"/>
              </w:rPr>
              <w:t>为其缴纳的养老保险证明材料。</w:t>
            </w:r>
            <w:r>
              <w:rPr>
                <w:rFonts w:hint="eastAsia" w:ascii="宋体" w:hAnsi="宋体"/>
                <w:szCs w:val="21"/>
              </w:rPr>
              <w:t>中标后不能满足该要求的，招标人可取消</w:t>
            </w:r>
            <w:r>
              <w:rPr>
                <w:rFonts w:hint="eastAsia" w:ascii="宋体" w:hAnsi="宋体"/>
                <w:szCs w:val="21"/>
                <w:lang w:val="en-US" w:eastAsia="zh-CN"/>
              </w:rPr>
              <w:t>投标人</w:t>
            </w:r>
            <w:r>
              <w:rPr>
                <w:rFonts w:hint="eastAsia" w:ascii="宋体" w:hAnsi="宋体"/>
                <w:szCs w:val="21"/>
              </w:rPr>
              <w:t>中标资格</w:t>
            </w:r>
            <w:r>
              <w:rPr>
                <w:rFonts w:hint="eastAsia" w:asciiTheme="minorEastAsia" w:hAnsiTheme="minorEastAsia" w:eastAsiaTheme="minorEastAsia" w:cstheme="minorEastAsia"/>
                <w:color w:val="auto"/>
                <w:szCs w:val="21"/>
                <w:highlight w:val="none"/>
              </w:rPr>
              <w:t>；签订合同后不满足该要求的，</w:t>
            </w:r>
            <w:r>
              <w:rPr>
                <w:rFonts w:hint="eastAsia" w:asciiTheme="minorEastAsia" w:hAnsiTheme="minorEastAsia" w:eastAsiaTheme="minorEastAsia" w:cstheme="minorEastAsia"/>
                <w:color w:val="auto"/>
                <w:szCs w:val="21"/>
                <w:highlight w:val="none"/>
                <w:lang w:val="en-US" w:eastAsia="zh-CN"/>
              </w:rPr>
              <w:t>招标人</w:t>
            </w:r>
            <w:r>
              <w:rPr>
                <w:rFonts w:hint="eastAsia" w:asciiTheme="minorEastAsia" w:hAnsiTheme="minorEastAsia" w:eastAsiaTheme="minorEastAsia" w:cstheme="minorEastAsia"/>
                <w:color w:val="auto"/>
                <w:szCs w:val="21"/>
                <w:highlight w:val="none"/>
              </w:rPr>
              <w:t>按合同相关条款</w:t>
            </w:r>
            <w:r>
              <w:rPr>
                <w:rFonts w:hint="eastAsia" w:asciiTheme="minorEastAsia" w:hAnsiTheme="minorEastAsia" w:eastAsiaTheme="minorEastAsia" w:cstheme="minorEastAsia"/>
                <w:color w:val="auto"/>
                <w:szCs w:val="21"/>
                <w:highlight w:val="none"/>
                <w:lang w:val="en-US" w:eastAsia="zh-CN"/>
              </w:rPr>
              <w:t>要求投标人承担责任</w:t>
            </w:r>
            <w:r>
              <w:rPr>
                <w:rFonts w:hint="eastAsia" w:asciiTheme="minorEastAsia" w:hAnsiTheme="minorEastAsia" w:eastAsiaTheme="minorEastAsia" w:cstheme="minorEastAsia"/>
                <w:color w:val="auto"/>
                <w:szCs w:val="21"/>
                <w:highlight w:val="none"/>
              </w:rPr>
              <w:t>并上报行政主管部门；</w:t>
            </w:r>
            <w:r>
              <w:rPr>
                <w:rFonts w:hint="eastAsia" w:ascii="宋体" w:hAnsi="宋体"/>
                <w:szCs w:val="21"/>
              </w:rPr>
              <w:t>给招标人造成损失的，投标人依法承担赔偿责任</w:t>
            </w:r>
            <w:r>
              <w:rPr>
                <w:rFonts w:hint="eastAsia" w:ascii="宋体" w:hAnsi="宋体"/>
                <w:szCs w:val="21"/>
                <w:lang w:val="en-US" w:eastAsia="zh-CN"/>
              </w:rPr>
              <w:t>或违约责任</w:t>
            </w:r>
            <w:r>
              <w:rPr>
                <w:rFonts w:hint="eastAsia" w:ascii="宋体" w:hAnsi="宋体" w:cs="宋体"/>
                <w:color w:val="auto"/>
                <w:szCs w:val="21"/>
                <w:highlight w:val="none"/>
              </w:rPr>
              <w:t>。</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提供</w:t>
            </w:r>
            <w:r>
              <w:rPr>
                <w:rFonts w:hint="eastAsia" w:ascii="宋体" w:hAnsi="宋体" w:cs="宋体"/>
                <w:color w:val="auto"/>
                <w:szCs w:val="21"/>
                <w:highlight w:val="none"/>
                <w:lang w:eastAsia="zh-CN"/>
              </w:rPr>
              <w:t>：</w:t>
            </w:r>
            <w:r>
              <w:rPr>
                <w:rFonts w:hint="eastAsia" w:ascii="宋体" w:hAnsi="宋体" w:cs="宋体"/>
                <w:color w:val="auto"/>
                <w:szCs w:val="21"/>
                <w:highlight w:val="none"/>
              </w:rPr>
              <w:t>承诺函（格式见第八章投标文件格式）。</w:t>
            </w:r>
          </w:p>
          <w:p>
            <w:pPr>
              <w:keepNext w:val="0"/>
              <w:keepLines w:val="0"/>
              <w:pageBreakBefore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cs="宋体" w:eastAsiaTheme="minorEastAsia"/>
                <w:color w:val="auto"/>
                <w:szCs w:val="21"/>
                <w:highlight w:val="none"/>
                <w:lang w:eastAsia="zh-CN"/>
              </w:rPr>
            </w:pPr>
            <w:r>
              <w:rPr>
                <w:rFonts w:hint="eastAsia" w:ascii="宋体" w:hAnsi="宋体"/>
                <w:kern w:val="0"/>
                <w:szCs w:val="21"/>
              </w:rPr>
              <w:t>□联合体投标的，</w:t>
            </w:r>
            <w:r>
              <w:rPr>
                <w:rFonts w:hint="eastAsia" w:asciiTheme="minorEastAsia" w:hAnsiTheme="minorEastAsia" w:eastAsiaTheme="minorEastAsia" w:cstheme="minorEastAsia"/>
                <w:color w:val="auto"/>
                <w:kern w:val="0"/>
                <w:szCs w:val="21"/>
                <w:highlight w:val="none"/>
              </w:rPr>
              <w:t>由联合体牵头人代表联合体各成员进行承诺</w:t>
            </w:r>
            <w:r>
              <w:rPr>
                <w:rFonts w:hint="eastAsia" w:asciiTheme="minorEastAsia" w:hAnsiTheme="minorEastAsia" w:eastAsiaTheme="minorEastAsia" w:cstheme="minorEastAsia"/>
                <w:color w:val="auto"/>
                <w:kern w:val="0"/>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1" w:firstLineChars="200"/>
              <w:textAlignment w:val="auto"/>
              <w:rPr>
                <w:rFonts w:ascii="宋体" w:hAnsi="宋体"/>
                <w:b/>
                <w:bCs/>
                <w:color w:val="auto"/>
                <w:kern w:val="0"/>
                <w:szCs w:val="21"/>
                <w:highlight w:val="none"/>
              </w:rPr>
            </w:pPr>
            <w:r>
              <w:rPr>
                <w:rFonts w:ascii="宋体" w:hAnsi="宋体"/>
                <w:b/>
                <w:bCs/>
                <w:color w:val="auto"/>
                <w:kern w:val="0"/>
                <w:szCs w:val="21"/>
                <w:highlight w:val="none"/>
              </w:rPr>
              <w:t>（</w:t>
            </w:r>
            <w:r>
              <w:rPr>
                <w:rFonts w:hint="eastAsia" w:ascii="宋体" w:hAnsi="宋体"/>
                <w:b/>
                <w:bCs/>
                <w:color w:val="auto"/>
                <w:kern w:val="0"/>
                <w:szCs w:val="21"/>
                <w:highlight w:val="none"/>
              </w:rPr>
              <w:t>3</w:t>
            </w:r>
            <w:r>
              <w:rPr>
                <w:rFonts w:ascii="宋体" w:hAnsi="宋体"/>
                <w:b/>
                <w:bCs/>
                <w:color w:val="auto"/>
                <w:kern w:val="0"/>
                <w:szCs w:val="21"/>
                <w:highlight w:val="none"/>
              </w:rPr>
              <w:t>）</w:t>
            </w:r>
            <w:r>
              <w:rPr>
                <w:rFonts w:hint="eastAsia" w:ascii="宋体" w:hAnsi="宋体"/>
                <w:kern w:val="0"/>
                <w:szCs w:val="21"/>
                <w:lang w:val="en-US" w:eastAsia="zh-CN"/>
              </w:rPr>
              <w:t>法定代表人或</w:t>
            </w:r>
            <w:r>
              <w:rPr>
                <w:rFonts w:ascii="宋体" w:hAnsi="宋体"/>
                <w:b/>
                <w:bCs/>
                <w:color w:val="auto"/>
                <w:kern w:val="0"/>
                <w:szCs w:val="21"/>
                <w:highlight w:val="none"/>
              </w:rPr>
              <w:t>委托代理人</w:t>
            </w:r>
            <w:r>
              <w:rPr>
                <w:rFonts w:hint="eastAsia" w:ascii="宋体" w:hAnsi="宋体"/>
                <w:b/>
                <w:bCs/>
                <w:color w:val="auto"/>
                <w:kern w:val="0"/>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kern w:val="0"/>
                <w:szCs w:val="21"/>
                <w:highlight w:val="none"/>
                <w:lang w:val="en-US" w:eastAsia="zh-CN"/>
              </w:rPr>
            </w:pPr>
            <w:r>
              <w:rPr>
                <w:rFonts w:hint="eastAsia" w:ascii="宋体" w:hAnsi="宋体"/>
                <w:kern w:val="0"/>
                <w:szCs w:val="21"/>
                <w:highlight w:val="none"/>
                <w:lang w:val="en-US" w:eastAsia="zh-CN"/>
              </w:rPr>
              <w:t>法定代表人或</w:t>
            </w:r>
            <w:r>
              <w:rPr>
                <w:rFonts w:hint="eastAsia" w:ascii="宋体" w:hAnsi="宋体"/>
                <w:i w:val="0"/>
                <w:iCs/>
                <w:color w:val="auto"/>
                <w:kern w:val="0"/>
                <w:szCs w:val="21"/>
                <w:highlight w:val="none"/>
              </w:rPr>
              <w:t>委托代理人</w:t>
            </w:r>
            <w:r>
              <w:rPr>
                <w:rFonts w:hint="eastAsia" w:ascii="宋体" w:hAnsi="宋体"/>
                <w:i w:val="0"/>
                <w:iCs/>
                <w:color w:val="auto"/>
                <w:kern w:val="0"/>
                <w:szCs w:val="21"/>
                <w:highlight w:val="none"/>
                <w:lang w:val="en-US" w:eastAsia="zh-CN"/>
              </w:rPr>
              <w:t>代表</w:t>
            </w:r>
            <w:r>
              <w:rPr>
                <w:rFonts w:hint="eastAsia" w:ascii="宋体" w:hAnsi="宋体"/>
                <w:i w:val="0"/>
                <w:iCs/>
                <w:color w:val="auto"/>
                <w:kern w:val="0"/>
                <w:szCs w:val="21"/>
                <w:highlight w:val="none"/>
              </w:rPr>
              <w:t>投标人签署、澄清、说明、补正、递交、撤回、修改本项目投标文件、签订合同和处理有关事宜，其法律后果由投标人承担。</w:t>
            </w:r>
            <w:r>
              <w:rPr>
                <w:rFonts w:ascii="宋体" w:hAnsi="宋体"/>
                <w:kern w:val="0"/>
                <w:szCs w:val="21"/>
              </w:rPr>
              <w:t>委托代理人</w:t>
            </w:r>
            <w:r>
              <w:rPr>
                <w:rFonts w:hint="eastAsia" w:ascii="宋体" w:hAnsi="宋体"/>
                <w:kern w:val="0"/>
                <w:szCs w:val="21"/>
                <w:lang w:val="en-US" w:eastAsia="zh-CN"/>
              </w:rPr>
              <w:t>须是</w:t>
            </w:r>
            <w:r>
              <w:rPr>
                <w:rFonts w:ascii="宋体" w:hAnsi="宋体"/>
                <w:kern w:val="0"/>
                <w:szCs w:val="21"/>
              </w:rPr>
              <w:t>投标单位</w:t>
            </w:r>
            <w:r>
              <w:rPr>
                <w:rFonts w:hint="eastAsia" w:ascii="宋体" w:hAnsi="宋体"/>
                <w:kern w:val="0"/>
                <w:szCs w:val="21"/>
              </w:rPr>
              <w:t>人员</w:t>
            </w:r>
            <w:r>
              <w:rPr>
                <w:rFonts w:hint="eastAsia" w:ascii="宋体" w:hAnsi="宋体"/>
                <w:kern w:val="0"/>
                <w:szCs w:val="21"/>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kern w:val="0"/>
                <w:szCs w:val="21"/>
                <w:highlight w:val="none"/>
                <w:lang w:val="en-US" w:eastAsia="zh-CN"/>
              </w:rPr>
              <w:t>提供：</w:t>
            </w:r>
            <w:r>
              <w:rPr>
                <w:rFonts w:hint="eastAsia" w:ascii="宋体" w:hAnsi="宋体"/>
                <w:kern w:val="0"/>
                <w:szCs w:val="21"/>
                <w:highlight w:val="none"/>
              </w:rPr>
              <w:t>法定代表人身份证明</w:t>
            </w:r>
            <w:r>
              <w:rPr>
                <w:rFonts w:hint="eastAsia" w:ascii="宋体" w:hAnsi="宋体"/>
                <w:szCs w:val="21"/>
                <w:highlight w:val="none"/>
              </w:rPr>
              <w:t>（格式见第八章投标文件格式）</w:t>
            </w:r>
            <w:r>
              <w:rPr>
                <w:rFonts w:hint="eastAsia" w:ascii="宋体" w:hAnsi="宋体"/>
                <w:kern w:val="0"/>
                <w:szCs w:val="21"/>
                <w:highlight w:val="none"/>
                <w:lang w:eastAsia="zh-CN"/>
              </w:rPr>
              <w:t>。</w:t>
            </w:r>
            <w:r>
              <w:rPr>
                <w:rFonts w:hint="eastAsia" w:ascii="宋体" w:hAnsi="宋体"/>
                <w:kern w:val="0"/>
                <w:szCs w:val="21"/>
                <w:highlight w:val="none"/>
                <w:lang w:val="en-US" w:eastAsia="zh-CN"/>
              </w:rPr>
              <w:t>法定代表人委托代理人投标的，还须提供</w:t>
            </w:r>
            <w:r>
              <w:rPr>
                <w:rFonts w:hint="eastAsia" w:ascii="宋体" w:hAnsi="宋体"/>
                <w:kern w:val="0"/>
                <w:szCs w:val="21"/>
                <w:highlight w:val="none"/>
              </w:rPr>
              <w:t>授权委托书</w:t>
            </w:r>
            <w:r>
              <w:rPr>
                <w:rFonts w:hint="eastAsia" w:ascii="宋体" w:hAnsi="宋体"/>
                <w:szCs w:val="21"/>
                <w:highlight w:val="none"/>
              </w:rPr>
              <w:t>（格式见第八章投标文件格式）</w:t>
            </w:r>
            <w:r>
              <w:rPr>
                <w:rFonts w:hint="eastAsia" w:ascii="宋体" w:hAnsi="宋体"/>
                <w:kern w:val="0"/>
                <w:szCs w:val="21"/>
                <w:highlight w:val="none"/>
                <w:lang w:eastAsia="zh-CN"/>
              </w:rPr>
              <w:t>、</w:t>
            </w:r>
            <w:r>
              <w:rPr>
                <w:rFonts w:hint="eastAsia" w:ascii="宋体" w:hAnsi="宋体"/>
                <w:kern w:val="0"/>
                <w:szCs w:val="21"/>
                <w:highlight w:val="none"/>
              </w:rPr>
              <w:t>投标人为该</w:t>
            </w:r>
            <w:r>
              <w:rPr>
                <w:rFonts w:ascii="宋体" w:hAnsi="宋体"/>
                <w:kern w:val="0"/>
                <w:szCs w:val="21"/>
                <w:highlight w:val="none"/>
              </w:rPr>
              <w:t>委托代理人</w:t>
            </w:r>
            <w:r>
              <w:rPr>
                <w:rFonts w:hint="eastAsia" w:ascii="宋体" w:hAnsi="宋体"/>
                <w:kern w:val="0"/>
                <w:szCs w:val="21"/>
                <w:highlight w:val="none"/>
              </w:rPr>
              <w:t>缴纳的养老保险证明</w:t>
            </w:r>
            <w:r>
              <w:rPr>
                <w:rFonts w:hint="eastAsia" w:ascii="宋体" w:hAnsi="宋体"/>
                <w:color w:val="auto"/>
                <w:kern w:val="0"/>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olor w:val="auto"/>
                <w:kern w:val="0"/>
                <w:szCs w:val="21"/>
                <w:highlight w:val="none"/>
              </w:rPr>
            </w:pPr>
            <w:r>
              <w:rPr>
                <w:rFonts w:hint="eastAsia" w:ascii="宋体" w:hAnsi="宋体"/>
                <w:color w:val="auto"/>
                <w:highlight w:val="none"/>
              </w:rPr>
              <w:t>□</w:t>
            </w:r>
            <w:r>
              <w:rPr>
                <w:rFonts w:hint="eastAsia" w:ascii="宋体" w:hAnsi="宋体"/>
                <w:color w:val="auto"/>
                <w:kern w:val="0"/>
                <w:szCs w:val="21"/>
                <w:highlight w:val="none"/>
              </w:rPr>
              <w:t>联合体投标的，由联合体牵头人委派</w:t>
            </w:r>
            <w:r>
              <w:rPr>
                <w:rFonts w:hint="eastAsia" w:ascii="宋体" w:hAnsi="宋体"/>
                <w:kern w:val="0"/>
                <w:szCs w:val="21"/>
                <w:lang w:val="en-US" w:eastAsia="zh-CN"/>
              </w:rPr>
              <w:t>本单位人员作为委托</w:t>
            </w:r>
            <w:r>
              <w:rPr>
                <w:rFonts w:hint="eastAsia" w:ascii="宋体" w:hAnsi="宋体"/>
                <w:color w:val="auto"/>
                <w:kern w:val="0"/>
                <w:szCs w:val="21"/>
                <w:highlight w:val="none"/>
              </w:rPr>
              <w:t>代理人。</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1" w:firstLineChars="200"/>
              <w:jc w:val="left"/>
              <w:textAlignment w:val="auto"/>
              <w:rPr>
                <w:rFonts w:hint="eastAsia" w:ascii="宋体" w:hAnsi="宋体" w:eastAsia="宋体"/>
                <w:snapToGrid w:val="0"/>
                <w:kern w:val="0"/>
                <w:szCs w:val="21"/>
                <w:highlight w:val="none"/>
                <w:lang w:val="en-US" w:eastAsia="zh-CN"/>
              </w:rPr>
            </w:pPr>
            <w:r>
              <w:rPr>
                <w:rFonts w:hint="eastAsia" w:ascii="宋体" w:hAnsi="宋体"/>
                <w:b/>
                <w:bCs/>
                <w:snapToGrid w:val="0"/>
                <w:kern w:val="0"/>
                <w:szCs w:val="21"/>
                <w:highlight w:val="none"/>
              </w:rPr>
              <w:t>□</w:t>
            </w:r>
            <w:r>
              <w:rPr>
                <w:rFonts w:hint="eastAsia" w:ascii="宋体" w:hAnsi="宋体"/>
                <w:b/>
                <w:bCs/>
                <w:snapToGrid w:val="0"/>
                <w:kern w:val="0"/>
                <w:szCs w:val="21"/>
                <w:highlight w:val="none"/>
                <w:lang w:eastAsia="zh-CN"/>
              </w:rPr>
              <w:t>（</w:t>
            </w:r>
            <w:r>
              <w:rPr>
                <w:rFonts w:hint="eastAsia" w:ascii="宋体" w:hAnsi="宋体"/>
                <w:b/>
                <w:bCs/>
                <w:snapToGrid w:val="0"/>
                <w:kern w:val="0"/>
                <w:szCs w:val="21"/>
                <w:highlight w:val="none"/>
                <w:lang w:val="en-US" w:eastAsia="zh-CN"/>
              </w:rPr>
              <w:t>4</w:t>
            </w:r>
            <w:r>
              <w:rPr>
                <w:rFonts w:hint="eastAsia" w:ascii="宋体" w:hAnsi="宋体"/>
                <w:b/>
                <w:bCs/>
                <w:snapToGrid w:val="0"/>
                <w:kern w:val="0"/>
                <w:szCs w:val="21"/>
                <w:highlight w:val="none"/>
                <w:lang w:eastAsia="zh-CN"/>
              </w:rPr>
              <w:t>）</w:t>
            </w:r>
            <w:r>
              <w:rPr>
                <w:rFonts w:hint="eastAsia" w:ascii="宋体" w:hAnsi="宋体"/>
                <w:b/>
                <w:bCs/>
                <w:snapToGrid w:val="0"/>
                <w:kern w:val="0"/>
                <w:szCs w:val="21"/>
                <w:highlight w:val="none"/>
              </w:rPr>
              <w:t>专门面向中小企业预留的实施方式</w:t>
            </w:r>
            <w:r>
              <w:rPr>
                <w:rFonts w:hint="eastAsia" w:ascii="宋体" w:hAnsi="宋体"/>
                <w:snapToGrid w:val="0"/>
                <w:kern w:val="0"/>
                <w:szCs w:val="21"/>
                <w:highlight w:val="none"/>
              </w:rPr>
              <w:t>：</w:t>
            </w:r>
            <w:r>
              <w:rPr>
                <w:rFonts w:hint="eastAsia" w:ascii="宋体" w:hAnsi="宋体"/>
                <w:i/>
                <w:iCs/>
                <w:snapToGrid w:val="0"/>
                <w:kern w:val="0"/>
                <w:szCs w:val="21"/>
                <w:highlight w:val="none"/>
              </w:rPr>
              <w:t>[提示：招标人可选择以下三种方式之一</w:t>
            </w:r>
            <w:r>
              <w:rPr>
                <w:rFonts w:hint="eastAsia" w:ascii="宋体" w:hAnsi="宋体"/>
                <w:i/>
                <w:iCs/>
                <w:snapToGrid w:val="0"/>
                <w:kern w:val="0"/>
                <w:szCs w:val="21"/>
                <w:highlight w:val="none"/>
                <w:lang w:val="en-US" w:eastAsia="zh-CN"/>
              </w:rPr>
              <w:t>。</w:t>
            </w:r>
            <w:r>
              <w:rPr>
                <w:rFonts w:hint="eastAsia" w:ascii="宋体" w:hAnsi="宋体"/>
                <w:i/>
                <w:iCs/>
                <w:snapToGrid w:val="0"/>
                <w:kern w:val="0"/>
                <w:szCs w:val="21"/>
                <w:highlight w:val="none"/>
                <w:u w:val="none"/>
              </w:rPr>
              <w:t>2025年、2026年执行不低于40%的比例，之后年度执行不低于30%的比例</w:t>
            </w:r>
            <w:r>
              <w:rPr>
                <w:rFonts w:hint="eastAsia" w:ascii="宋体" w:hAnsi="宋体"/>
                <w:i/>
                <w:iCs/>
                <w:snapToGrid w:val="0"/>
                <w:kern w:val="0"/>
                <w:szCs w:val="21"/>
                <w:highlight w:val="none"/>
                <w:u w:val="none"/>
                <w:lang w:eastAsia="zh-CN"/>
              </w:rPr>
              <w:t>。</w:t>
            </w:r>
            <w:r>
              <w:rPr>
                <w:rFonts w:hint="eastAsia" w:ascii="宋体" w:hAnsi="宋体"/>
                <w:i/>
                <w:iCs/>
                <w:snapToGrid w:val="0"/>
                <w:kern w:val="0"/>
                <w:szCs w:val="21"/>
                <w:highlight w:val="none"/>
                <w:lang w:val="en-US" w:eastAsia="zh-CN"/>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snapToGrid w:val="0"/>
                <w:kern w:val="0"/>
                <w:szCs w:val="21"/>
                <w:highlight w:val="none"/>
                <w:lang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方式一：</w:t>
            </w:r>
            <w:r>
              <w:rPr>
                <w:rFonts w:hint="eastAsia" w:ascii="宋体" w:hAnsi="宋体"/>
                <w:snapToGrid w:val="0"/>
                <w:kern w:val="0"/>
                <w:szCs w:val="21"/>
                <w:highlight w:val="none"/>
              </w:rPr>
              <w:t>本项目整体面向中小企业</w:t>
            </w:r>
            <w:r>
              <w:rPr>
                <w:rFonts w:hint="eastAsia" w:ascii="宋体" w:hAnsi="宋体"/>
                <w:snapToGrid w:val="0"/>
                <w:kern w:val="0"/>
                <w:szCs w:val="21"/>
                <w:highlight w:val="none"/>
                <w:lang w:eastAsia="zh-CN"/>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snapToGrid w:val="0"/>
                <w:kern w:val="0"/>
                <w:szCs w:val="21"/>
                <w:highlight w:val="none"/>
                <w:lang w:eastAsia="zh-CN"/>
              </w:rPr>
            </w:pPr>
            <w:r>
              <w:rPr>
                <w:rFonts w:hint="eastAsia" w:ascii="宋体" w:hAnsi="宋体"/>
                <w:snapToGrid w:val="0"/>
                <w:kern w:val="0"/>
                <w:szCs w:val="21"/>
                <w:highlight w:val="none"/>
                <w:lang w:val="en-US" w:eastAsia="zh-CN"/>
              </w:rPr>
              <w:t>提供：</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中小企业声明函</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w:t>
            </w:r>
            <w:r>
              <w:rPr>
                <w:rFonts w:hint="eastAsia" w:ascii="宋体" w:hAnsi="宋体"/>
                <w:szCs w:val="21"/>
                <w:highlight w:val="none"/>
              </w:rPr>
              <w:t>格式见第八章投标文件格式）</w:t>
            </w:r>
            <w:r>
              <w:rPr>
                <w:rFonts w:hint="eastAsia" w:ascii="宋体" w:hAnsi="宋体"/>
                <w:snapToGrid w:val="0"/>
                <w:kern w:val="0"/>
                <w:szCs w:val="21"/>
                <w:highlight w:val="none"/>
                <w:lang w:eastAsia="zh-CN"/>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lang w:eastAsia="zh-CN"/>
              </w:rPr>
              <w:t>□联合体投标的，由联合体</w:t>
            </w:r>
            <w:r>
              <w:rPr>
                <w:rFonts w:hint="eastAsia" w:ascii="宋体" w:hAnsi="宋体"/>
                <w:snapToGrid w:val="0"/>
                <w:kern w:val="0"/>
                <w:szCs w:val="21"/>
                <w:highlight w:val="none"/>
                <w:lang w:val="en-US" w:eastAsia="zh-CN"/>
              </w:rPr>
              <w:t>各成员分别</w:t>
            </w:r>
            <w:r>
              <w:rPr>
                <w:rFonts w:hint="eastAsia" w:ascii="宋体" w:hAnsi="宋体"/>
                <w:snapToGrid w:val="0"/>
                <w:kern w:val="0"/>
                <w:szCs w:val="21"/>
                <w:highlight w:val="none"/>
                <w:lang w:eastAsia="zh-CN"/>
              </w:rPr>
              <w:t>提供。</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方式二：</w:t>
            </w:r>
            <w:r>
              <w:rPr>
                <w:rFonts w:hint="eastAsia" w:ascii="宋体" w:hAnsi="宋体"/>
                <w:snapToGrid w:val="0"/>
                <w:kern w:val="0"/>
                <w:szCs w:val="21"/>
                <w:highlight w:val="none"/>
              </w:rPr>
              <w:t>本项目以联合体形式面向中小企业，以联合体形式参加本次投标的，联合体中中小企业承担的合同份额需达到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keepNext w:val="0"/>
              <w:keepLines w:val="0"/>
              <w:pageBreakBefore w:val="0"/>
              <w:tabs>
                <w:tab w:val="left" w:pos="3840"/>
                <w:tab w:val="left" w:pos="5300"/>
              </w:tabs>
              <w:kinsoku/>
              <w:wordWrap/>
              <w:overflowPunct/>
              <w:topLinePunct w:val="0"/>
              <w:autoSpaceDE w:val="0"/>
              <w:autoSpaceDN w:val="0"/>
              <w:bidi w:val="0"/>
              <w:adjustRightInd w:val="0"/>
              <w:snapToGrid w:val="0"/>
              <w:spacing w:line="400" w:lineRule="exact"/>
              <w:ind w:firstLine="420" w:firstLineChars="200"/>
              <w:jc w:val="left"/>
              <w:textAlignment w:val="auto"/>
              <w:rPr>
                <w:rFonts w:hint="eastAsia" w:ascii="宋体" w:hAnsi="宋体"/>
                <w:snapToGrid w:val="0"/>
                <w:kern w:val="0"/>
                <w:szCs w:val="21"/>
                <w:highlight w:val="none"/>
              </w:rPr>
            </w:pPr>
            <w:r>
              <w:rPr>
                <w:rFonts w:hint="eastAsia" w:ascii="宋体" w:hAnsi="宋体"/>
                <w:snapToGrid w:val="0"/>
                <w:kern w:val="0"/>
                <w:szCs w:val="21"/>
                <w:highlight w:val="none"/>
                <w:lang w:val="en-US" w:eastAsia="zh-CN"/>
              </w:rPr>
              <w:t>提供：</w:t>
            </w:r>
            <w:r>
              <w:rPr>
                <w:rFonts w:hint="eastAsia" w:ascii="宋体" w:hAnsi="宋体"/>
                <w:snapToGrid w:val="0"/>
                <w:kern w:val="0"/>
                <w:szCs w:val="21"/>
                <w:highlight w:val="none"/>
              </w:rPr>
              <w:t>联合体中的中小企业</w:t>
            </w:r>
            <w:r>
              <w:rPr>
                <w:rFonts w:hint="eastAsia" w:ascii="宋体" w:hAnsi="宋体"/>
                <w:snapToGrid w:val="0"/>
                <w:kern w:val="0"/>
                <w:szCs w:val="21"/>
                <w:highlight w:val="none"/>
                <w:lang w:val="en-US" w:eastAsia="zh-CN"/>
              </w:rPr>
              <w:t>出具的</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中小企业声明函</w:t>
            </w:r>
            <w:r>
              <w:rPr>
                <w:rFonts w:hint="eastAsia" w:ascii="宋体" w:hAnsi="宋体"/>
                <w:snapToGrid w:val="0"/>
                <w:kern w:val="0"/>
                <w:szCs w:val="21"/>
                <w:highlight w:val="none"/>
              </w:rPr>
              <w:t>》</w:t>
            </w:r>
            <w:r>
              <w:rPr>
                <w:rFonts w:hint="eastAsia" w:ascii="宋体" w:hAnsi="宋体"/>
                <w:snapToGrid w:val="0"/>
                <w:kern w:val="0"/>
                <w:szCs w:val="21"/>
                <w:highlight w:val="none"/>
                <w:lang w:eastAsia="zh-CN"/>
              </w:rPr>
              <w:t>，</w:t>
            </w:r>
            <w:r>
              <w:rPr>
                <w:rFonts w:hint="eastAsia" w:ascii="宋体" w:hAnsi="宋体"/>
                <w:snapToGrid w:val="0"/>
                <w:kern w:val="0"/>
                <w:szCs w:val="21"/>
                <w:highlight w:val="none"/>
                <w:lang w:val="en-US" w:eastAsia="zh-CN"/>
              </w:rPr>
              <w:t>以及联合体牵头人出具的</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中小企业承担合同份额承诺函</w:t>
            </w:r>
            <w:r>
              <w:rPr>
                <w:rFonts w:hint="eastAsia" w:ascii="宋体" w:hAnsi="宋体"/>
                <w:snapToGrid w:val="0"/>
                <w:kern w:val="0"/>
                <w:szCs w:val="21"/>
                <w:highlight w:val="none"/>
                <w:lang w:eastAsia="zh-CN"/>
              </w:rPr>
              <w:t>》（</w:t>
            </w:r>
            <w:r>
              <w:rPr>
                <w:rFonts w:hint="eastAsia" w:ascii="宋体" w:hAnsi="宋体"/>
                <w:szCs w:val="21"/>
                <w:highlight w:val="none"/>
              </w:rPr>
              <w:t>格式见第八章投标文件格式）</w:t>
            </w:r>
            <w:r>
              <w:rPr>
                <w:rFonts w:hint="eastAsia" w:ascii="宋体" w:hAnsi="宋体"/>
                <w:snapToGrid w:val="0"/>
                <w:kern w:val="0"/>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napToGrid w:val="0"/>
                <w:kern w:val="0"/>
                <w:szCs w:val="21"/>
                <w:highlight w:val="none"/>
                <w:lang w:val="en-US" w:eastAsia="zh-CN"/>
              </w:rPr>
            </w:pPr>
            <w:r>
              <w:rPr>
                <w:rFonts w:hint="eastAsia" w:ascii="宋体" w:hAnsi="宋体"/>
                <w:snapToGrid w:val="0"/>
                <w:kern w:val="0"/>
                <w:szCs w:val="21"/>
                <w:highlight w:val="none"/>
              </w:rPr>
              <w:t>□</w:t>
            </w:r>
            <w:r>
              <w:rPr>
                <w:rFonts w:hint="eastAsia" w:ascii="宋体" w:hAnsi="宋体"/>
                <w:snapToGrid w:val="0"/>
                <w:kern w:val="0"/>
                <w:szCs w:val="21"/>
                <w:highlight w:val="none"/>
                <w:lang w:val="en-US" w:eastAsia="zh-CN"/>
              </w:rPr>
              <w:t>方式三：</w:t>
            </w:r>
            <w:r>
              <w:rPr>
                <w:rFonts w:hint="eastAsia" w:ascii="宋体" w:hAnsi="宋体"/>
                <w:snapToGrid w:val="0"/>
                <w:kern w:val="0"/>
                <w:szCs w:val="21"/>
                <w:highlight w:val="none"/>
              </w:rPr>
              <w:t>本项目以合同分包形式面向中小企业</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分包给中小企业的合同份额需达到</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以上</w:t>
            </w:r>
            <w:r>
              <w:rPr>
                <w:rFonts w:hint="eastAsia" w:ascii="宋体" w:hAnsi="宋体"/>
                <w:snapToGrid w:val="0"/>
                <w:kern w:val="0"/>
                <w:szCs w:val="21"/>
                <w:highlight w:val="none"/>
                <w:lang w:val="en-US"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napToGrid w:val="0"/>
                <w:kern w:val="0"/>
                <w:szCs w:val="21"/>
                <w:highlight w:val="none"/>
                <w:lang w:val="en-US" w:eastAsia="zh-CN"/>
              </w:rPr>
            </w:pPr>
            <w:r>
              <w:rPr>
                <w:rFonts w:hint="eastAsia" w:ascii="宋体" w:hAnsi="宋体"/>
                <w:snapToGrid w:val="0"/>
                <w:kern w:val="0"/>
                <w:szCs w:val="21"/>
                <w:highlight w:val="none"/>
                <w:lang w:val="en-US" w:eastAsia="zh-CN"/>
              </w:rPr>
              <w:t>投标人不是中小企业的，应提供《分包承诺函》；投标人是中小企业的，应提供《中小企业声明函》</w:t>
            </w:r>
            <w:r>
              <w:rPr>
                <w:rFonts w:hint="eastAsia" w:ascii="宋体" w:hAnsi="宋体"/>
                <w:snapToGrid w:val="0"/>
                <w:kern w:val="0"/>
                <w:szCs w:val="21"/>
                <w:highlight w:val="none"/>
                <w:lang w:eastAsia="zh-CN"/>
              </w:rPr>
              <w:t>（</w:t>
            </w:r>
            <w:r>
              <w:rPr>
                <w:rFonts w:hint="eastAsia" w:ascii="宋体" w:hAnsi="宋体"/>
                <w:szCs w:val="21"/>
                <w:highlight w:val="none"/>
              </w:rPr>
              <w:t>格式见第八章投标文件格式）</w:t>
            </w:r>
            <w:r>
              <w:rPr>
                <w:rFonts w:hint="eastAsia" w:ascii="宋体" w:hAnsi="宋体"/>
                <w:snapToGrid w:val="0"/>
                <w:kern w:val="0"/>
                <w:szCs w:val="21"/>
                <w:highlight w:val="none"/>
                <w:lang w:val="en-US"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snapToGrid w:val="0"/>
                <w:kern w:val="0"/>
                <w:szCs w:val="21"/>
                <w:highlight w:val="none"/>
                <w:lang w:val="en-US" w:eastAsia="zh-CN"/>
              </w:rPr>
            </w:pPr>
            <w:r>
              <w:rPr>
                <w:rFonts w:hint="eastAsia" w:ascii="宋体" w:hAnsi="宋体"/>
                <w:snapToGrid w:val="0"/>
                <w:kern w:val="0"/>
                <w:szCs w:val="21"/>
                <w:highlight w:val="none"/>
                <w:lang w:val="en-US" w:eastAsia="zh-CN"/>
              </w:rPr>
              <w:t>□联合体投标的，《分包承诺函》由联合体牵头人提供，《中小企业声明函》由联合体成员中的中小企业提供。</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kern w:val="0"/>
                <w:szCs w:val="21"/>
                <w:lang w:eastAsia="zh-CN"/>
              </w:rPr>
            </w:pPr>
            <w:r>
              <w:rPr>
                <w:rFonts w:hint="eastAsia" w:ascii="宋体" w:hAnsi="宋体"/>
                <w:kern w:val="0"/>
                <w:szCs w:val="21"/>
                <w:lang w:eastAsia="zh-CN"/>
              </w:rPr>
              <w:t>（</w:t>
            </w:r>
            <w:r>
              <w:rPr>
                <w:rFonts w:hint="eastAsia" w:ascii="宋体" w:hAnsi="宋体"/>
                <w:kern w:val="0"/>
                <w:szCs w:val="21"/>
                <w:lang w:val="en-US" w:eastAsia="zh-CN"/>
              </w:rPr>
              <w:t>5</w:t>
            </w:r>
            <w:r>
              <w:rPr>
                <w:rFonts w:hint="eastAsia" w:ascii="宋体" w:hAnsi="宋体"/>
                <w:kern w:val="0"/>
                <w:szCs w:val="21"/>
                <w:lang w:eastAsia="zh-CN"/>
              </w:rPr>
              <w:t>）</w:t>
            </w:r>
            <w:r>
              <w:rPr>
                <w:rFonts w:hint="eastAsia" w:ascii="宋体" w:hAnsi="宋体"/>
                <w:kern w:val="0"/>
                <w:szCs w:val="21"/>
                <w:lang w:val="en-US" w:eastAsia="zh-CN"/>
              </w:rPr>
              <w:t>投标文件真实性：</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投标文件中的所有内容</w:t>
            </w:r>
            <w:r>
              <w:rPr>
                <w:rFonts w:hint="eastAsia" w:asciiTheme="minorEastAsia" w:hAnsiTheme="minorEastAsia" w:eastAsiaTheme="minorEastAsia" w:cstheme="minorEastAsia"/>
                <w:color w:val="auto"/>
                <w:kern w:val="0"/>
                <w:szCs w:val="21"/>
                <w:highlight w:val="none"/>
                <w:lang w:val="en-US" w:eastAsia="zh-CN"/>
              </w:rPr>
              <w:t>须</w:t>
            </w:r>
            <w:r>
              <w:rPr>
                <w:rFonts w:hint="eastAsia" w:asciiTheme="minorEastAsia" w:hAnsiTheme="minorEastAsia" w:eastAsiaTheme="minorEastAsia" w:cstheme="minorEastAsia"/>
                <w:color w:val="auto"/>
                <w:kern w:val="0"/>
                <w:szCs w:val="21"/>
                <w:highlight w:val="none"/>
              </w:rPr>
              <w:t>真实有效，不存在弄虚作假情形。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提供</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承诺（</w:t>
            </w:r>
            <w:r>
              <w:rPr>
                <w:rFonts w:hint="eastAsia" w:asciiTheme="minorEastAsia" w:hAnsiTheme="minorEastAsia" w:eastAsiaTheme="minorEastAsia" w:cstheme="minorEastAsia"/>
                <w:color w:val="auto"/>
                <w:szCs w:val="21"/>
                <w:highlight w:val="none"/>
              </w:rPr>
              <w:t>格式见第</w:t>
            </w:r>
            <w:r>
              <w:rPr>
                <w:rFonts w:hint="eastAsia" w:asciiTheme="minorEastAsia" w:hAnsiTheme="minorEastAsia" w:eastAsiaTheme="minorEastAsia" w:cstheme="minorEastAsia"/>
                <w:color w:val="auto"/>
                <w:szCs w:val="21"/>
                <w:highlight w:val="none"/>
                <w:lang w:val="en-US" w:eastAsia="zh-CN"/>
              </w:rPr>
              <w:t>八</w:t>
            </w:r>
            <w:r>
              <w:rPr>
                <w:rFonts w:hint="eastAsia" w:asciiTheme="minorEastAsia" w:hAnsiTheme="minorEastAsia" w:eastAsiaTheme="minorEastAsia" w:cstheme="minorEastAsia"/>
                <w:color w:val="auto"/>
                <w:szCs w:val="21"/>
                <w:highlight w:val="none"/>
              </w:rPr>
              <w:t>章投标文件格式</w:t>
            </w:r>
            <w:r>
              <w:rPr>
                <w:rFonts w:hint="eastAsia" w:asciiTheme="minorEastAsia" w:hAnsiTheme="minorEastAsia" w:eastAsiaTheme="minorEastAsia" w:cstheme="minorEastAsia"/>
                <w:color w:val="auto"/>
                <w:kern w:val="0"/>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kern w:val="0"/>
                <w:szCs w:val="21"/>
                <w:highlight w:val="none"/>
              </w:rPr>
            </w:pPr>
            <w:r>
              <w:rPr>
                <w:rFonts w:hint="eastAsia" w:asciiTheme="minorEastAsia" w:hAnsiTheme="minorEastAsia" w:eastAsiaTheme="minorEastAsia" w:cstheme="minorEastAsia"/>
                <w:color w:val="auto"/>
                <w:kern w:val="0"/>
                <w:szCs w:val="21"/>
                <w:highlight w:val="none"/>
              </w:rPr>
              <w:t>□联合体投标的，由联合体牵头人代表联合体各成员进行承诺</w:t>
            </w:r>
            <w:r>
              <w:rPr>
                <w:rFonts w:hint="eastAsia" w:asciiTheme="minorEastAsia" w:hAnsiTheme="minorEastAsia" w:eastAsiaTheme="minorEastAsia" w:cstheme="minorEastAsia"/>
                <w:color w:val="auto"/>
                <w:kern w:val="0"/>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417" w:firstLineChars="198"/>
              <w:textAlignment w:val="auto"/>
              <w:rPr>
                <w:rFonts w:ascii="宋体" w:hAnsi="宋体" w:cs="宋体"/>
                <w:b/>
                <w:color w:val="auto"/>
                <w:szCs w:val="21"/>
                <w:highlight w:val="none"/>
              </w:rPr>
            </w:pPr>
            <w:r>
              <w:rPr>
                <w:rFonts w:hint="eastAsia" w:ascii="宋体" w:hAnsi="宋体" w:cs="宋体"/>
                <w:b/>
                <w:color w:val="auto"/>
                <w:szCs w:val="21"/>
                <w:highlight w:val="none"/>
              </w:rPr>
              <w:t>特别说明：</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cs="宋体"/>
                <w:color w:val="auto"/>
                <w:kern w:val="0"/>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1）</w:t>
            </w:r>
            <w:r>
              <w:rPr>
                <w:rFonts w:hint="eastAsia" w:ascii="宋体" w:hAnsi="宋体" w:cs="宋体"/>
                <w:color w:val="auto"/>
                <w:szCs w:val="21"/>
                <w:highlight w:val="none"/>
              </w:rPr>
              <w:t>上述要求须</w:t>
            </w:r>
            <w:r>
              <w:rPr>
                <w:rFonts w:hint="eastAsia" w:ascii="宋体" w:hAnsi="宋体" w:cs="宋体"/>
                <w:color w:val="auto"/>
                <w:szCs w:val="21"/>
                <w:highlight w:val="none"/>
                <w:lang w:val="en-US" w:eastAsia="zh-CN"/>
              </w:rPr>
              <w:t>提供</w:t>
            </w:r>
            <w:r>
              <w:rPr>
                <w:rFonts w:hint="eastAsia" w:ascii="宋体" w:hAnsi="宋体" w:cs="宋体"/>
                <w:color w:val="auto"/>
                <w:szCs w:val="21"/>
                <w:highlight w:val="none"/>
              </w:rPr>
              <w:t>的相关证明材料均为扫描件（原件或复印件的扫描件均可），扫描件须清晰可辨，</w:t>
            </w:r>
            <w:r>
              <w:rPr>
                <w:rFonts w:hint="eastAsia" w:ascii="宋体" w:hAnsi="宋体" w:cs="宋体"/>
                <w:color w:val="auto"/>
                <w:kern w:val="0"/>
                <w:szCs w:val="21"/>
                <w:highlight w:val="none"/>
              </w:rPr>
              <w:t>有一条不满足，则投标文件由评标委员会</w:t>
            </w:r>
            <w:r>
              <w:rPr>
                <w:rFonts w:hint="eastAsia" w:ascii="宋体" w:hAnsi="宋体" w:cs="宋体"/>
                <w:color w:val="auto"/>
                <w:szCs w:val="21"/>
                <w:highlight w:val="none"/>
              </w:rPr>
              <w:t>作否决投标处理</w:t>
            </w:r>
            <w:r>
              <w:rPr>
                <w:rFonts w:hint="eastAsia" w:ascii="宋体" w:hAnsi="宋体" w:cs="宋体"/>
                <w:color w:val="auto"/>
                <w:kern w:val="0"/>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15" w:firstLineChars="198"/>
              <w:textAlignment w:val="auto"/>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u w:val="none"/>
              </w:rPr>
              <w:t>招标人有权对投标人提供的资料进行核实，若发现弄虚作假，</w:t>
            </w:r>
            <w:r>
              <w:rPr>
                <w:rFonts w:hint="eastAsia" w:asciiTheme="minorEastAsia" w:hAnsiTheme="minorEastAsia" w:eastAsiaTheme="minorEastAsia" w:cstheme="minorEastAsia"/>
                <w:color w:val="auto"/>
                <w:szCs w:val="21"/>
                <w:highlight w:val="none"/>
                <w:u w:val="none"/>
              </w:rPr>
              <w:t>按相关规定</w:t>
            </w:r>
            <w:r>
              <w:rPr>
                <w:rFonts w:hint="eastAsia" w:ascii="宋体" w:hAnsi="宋体" w:cs="宋体"/>
                <w:color w:val="auto"/>
                <w:szCs w:val="21"/>
                <w:highlight w:val="none"/>
                <w:u w:val="none"/>
              </w:rPr>
              <w:t>取消其中标资格，并按相关法律法规报招标投标监督部门，其投标保证金</w:t>
            </w:r>
            <w:r>
              <w:rPr>
                <w:rFonts w:hint="eastAsia" w:ascii="宋体" w:hAnsi="宋体" w:cs="宋体"/>
                <w:color w:val="auto"/>
                <w:szCs w:val="21"/>
                <w:highlight w:val="none"/>
                <w:u w:val="none"/>
                <w:lang w:val="en-US" w:eastAsia="zh-CN"/>
              </w:rPr>
              <w:t>以现金形式交纳的</w:t>
            </w:r>
            <w:r>
              <w:rPr>
                <w:rFonts w:hint="eastAsia" w:ascii="宋体" w:hAnsi="宋体" w:cs="宋体"/>
                <w:color w:val="auto"/>
                <w:szCs w:val="21"/>
                <w:highlight w:val="none"/>
                <w:u w:val="none"/>
              </w:rPr>
              <w:t>不予退还，</w:t>
            </w:r>
            <w:r>
              <w:rPr>
                <w:rFonts w:hint="eastAsia" w:asciiTheme="minorEastAsia" w:hAnsiTheme="minorEastAsia" w:eastAsiaTheme="minorEastAsia" w:cstheme="minorEastAsia"/>
                <w:color w:val="auto"/>
                <w:szCs w:val="21"/>
                <w:highlight w:val="none"/>
                <w:u w:val="none"/>
              </w:rPr>
              <w:t>以保函形式交纳的由保函开立人支付保函担保的与投标保证金等额的款项，</w:t>
            </w:r>
            <w:r>
              <w:rPr>
                <w:rFonts w:hint="eastAsia" w:ascii="宋体" w:hAnsi="宋体" w:cs="宋体"/>
                <w:color w:val="auto"/>
                <w:szCs w:val="21"/>
                <w:highlight w:val="none"/>
                <w:u w:val="none"/>
              </w:rPr>
              <w:t>投标人承担因此造成的相关责任并赔偿相应损失</w:t>
            </w:r>
            <w:r>
              <w:rPr>
                <w:rFonts w:hint="eastAsia" w:ascii="宋体" w:hAnsi="宋体" w:cs="宋体"/>
                <w:color w:val="auto"/>
                <w:szCs w:val="21"/>
                <w:highlight w:val="none"/>
              </w:rPr>
              <w:t>。</w:t>
            </w:r>
          </w:p>
          <w:p>
            <w:pPr>
              <w:keepNext w:val="0"/>
              <w:keepLines w:val="0"/>
              <w:pageBreakBefore w:val="0"/>
              <w:kinsoku/>
              <w:wordWrap/>
              <w:overflowPunct/>
              <w:topLinePunct w:val="0"/>
              <w:bidi w:val="0"/>
              <w:spacing w:line="400" w:lineRule="exact"/>
              <w:ind w:firstLine="210" w:firstLineChars="100"/>
              <w:textAlignment w:val="auto"/>
              <w:rPr>
                <w:rFonts w:ascii="宋体" w:hAnsi="宋体"/>
                <w:bCs/>
                <w:color w:val="auto"/>
                <w:kern w:val="0"/>
                <w:szCs w:val="21"/>
                <w:highlight w:val="none"/>
              </w:rPr>
            </w:pPr>
            <w:r>
              <w:rPr>
                <w:rFonts w:hint="eastAsia" w:ascii="宋体" w:hAnsi="宋体"/>
                <w:bCs/>
                <w:color w:val="auto"/>
                <w:kern w:val="0"/>
                <w:szCs w:val="21"/>
                <w:highlight w:val="none"/>
              </w:rPr>
              <w:t>（3）</w:t>
            </w:r>
            <w:r>
              <w:rPr>
                <w:rFonts w:ascii="宋体" w:hAnsi="宋体"/>
                <w:bCs/>
                <w:color w:val="auto"/>
                <w:kern w:val="0"/>
                <w:szCs w:val="21"/>
                <w:highlight w:val="none"/>
              </w:rPr>
              <w:t>本招标文件中所要求的人员</w:t>
            </w:r>
            <w:r>
              <w:rPr>
                <w:rFonts w:hint="eastAsia" w:ascii="宋体" w:hAnsi="宋体"/>
                <w:bCs/>
                <w:color w:val="auto"/>
                <w:kern w:val="0"/>
                <w:szCs w:val="21"/>
                <w:highlight w:val="none"/>
              </w:rPr>
              <w:t>养老保险</w:t>
            </w:r>
            <w:r>
              <w:rPr>
                <w:rFonts w:ascii="宋体" w:hAnsi="宋体"/>
                <w:bCs/>
                <w:color w:val="auto"/>
                <w:kern w:val="0"/>
                <w:szCs w:val="21"/>
                <w:highlight w:val="none"/>
              </w:rPr>
              <w:t>证明要求如下：</w:t>
            </w:r>
          </w:p>
          <w:p>
            <w:pPr>
              <w:keepNext w:val="0"/>
              <w:keepLines w:val="0"/>
              <w:pageBreakBefore w:val="0"/>
              <w:kinsoku/>
              <w:wordWrap/>
              <w:overflowPunct/>
              <w:topLinePunct w:val="0"/>
              <w:bidi w:val="0"/>
              <w:spacing w:line="400" w:lineRule="exact"/>
              <w:ind w:firstLine="420" w:firstLineChars="200"/>
              <w:textAlignment w:val="auto"/>
              <w:rPr>
                <w:rFonts w:ascii="宋体" w:hAnsi="宋体"/>
                <w:bCs/>
                <w:color w:val="auto"/>
                <w:kern w:val="0"/>
                <w:szCs w:val="21"/>
                <w:highlight w:val="none"/>
              </w:rPr>
            </w:pPr>
            <w:r>
              <w:rPr>
                <w:rFonts w:ascii="宋体" w:hAnsi="宋体"/>
                <w:bCs/>
                <w:color w:val="auto"/>
                <w:kern w:val="0"/>
                <w:szCs w:val="21"/>
                <w:highlight w:val="none"/>
              </w:rPr>
              <w:t>①</w:t>
            </w:r>
            <w:r>
              <w:rPr>
                <w:rFonts w:hint="eastAsia" w:ascii="宋体" w:hAnsi="宋体"/>
                <w:bCs/>
                <w:color w:val="auto"/>
                <w:kern w:val="0"/>
                <w:szCs w:val="21"/>
                <w:highlight w:val="none"/>
              </w:rPr>
              <w:t>企业</w:t>
            </w:r>
            <w:r>
              <w:rPr>
                <w:rFonts w:ascii="宋体" w:hAnsi="宋体"/>
                <w:bCs/>
                <w:color w:val="auto"/>
                <w:kern w:val="0"/>
                <w:szCs w:val="21"/>
                <w:highlight w:val="none"/>
              </w:rPr>
              <w:t>提供</w:t>
            </w:r>
            <w:r>
              <w:rPr>
                <w:rFonts w:hint="eastAsia" w:ascii="宋体" w:hAnsi="宋体"/>
                <w:bCs/>
                <w:color w:val="auto"/>
                <w:kern w:val="0"/>
                <w:szCs w:val="21"/>
                <w:highlight w:val="none"/>
              </w:rPr>
              <w:t>养老保险</w:t>
            </w:r>
            <w:r>
              <w:rPr>
                <w:rFonts w:ascii="宋体" w:hAnsi="宋体"/>
                <w:bCs/>
                <w:color w:val="auto"/>
                <w:kern w:val="0"/>
                <w:szCs w:val="21"/>
                <w:highlight w:val="none"/>
              </w:rPr>
              <w:t>证明，事业单位提供</w:t>
            </w:r>
            <w:r>
              <w:rPr>
                <w:rFonts w:hint="eastAsia" w:ascii="宋体" w:hAnsi="宋体"/>
                <w:bCs/>
                <w:color w:val="auto"/>
                <w:kern w:val="0"/>
                <w:szCs w:val="21"/>
                <w:highlight w:val="none"/>
              </w:rPr>
              <w:t>养老保险</w:t>
            </w:r>
            <w:r>
              <w:rPr>
                <w:rFonts w:ascii="宋体" w:hAnsi="宋体"/>
                <w:bCs/>
                <w:color w:val="auto"/>
                <w:kern w:val="0"/>
                <w:szCs w:val="21"/>
                <w:highlight w:val="none"/>
              </w:rPr>
              <w:t>证明或行政主管部门在编证明。</w:t>
            </w:r>
          </w:p>
          <w:p>
            <w:pPr>
              <w:keepNext w:val="0"/>
              <w:keepLines w:val="0"/>
              <w:pageBreakBefore w:val="0"/>
              <w:kinsoku/>
              <w:wordWrap/>
              <w:overflowPunct/>
              <w:topLinePunct w:val="0"/>
              <w:bidi w:val="0"/>
              <w:spacing w:line="400" w:lineRule="exact"/>
              <w:ind w:firstLine="420" w:firstLineChars="200"/>
              <w:textAlignment w:val="auto"/>
              <w:rPr>
                <w:rFonts w:ascii="宋体" w:hAnsi="宋体"/>
                <w:bCs/>
                <w:snapToGrid w:val="0"/>
                <w:color w:val="auto"/>
                <w:kern w:val="0"/>
                <w:szCs w:val="21"/>
                <w:highlight w:val="none"/>
              </w:rPr>
            </w:pPr>
            <w:r>
              <w:rPr>
                <w:rFonts w:ascii="宋体" w:hAnsi="宋体"/>
                <w:bCs/>
                <w:color w:val="auto"/>
                <w:kern w:val="0"/>
                <w:szCs w:val="21"/>
                <w:highlight w:val="none"/>
              </w:rPr>
              <w:t>②</w:t>
            </w:r>
            <w:r>
              <w:rPr>
                <w:rFonts w:hint="eastAsia" w:ascii="宋体" w:hAnsi="宋体"/>
                <w:bCs/>
                <w:snapToGrid w:val="0"/>
                <w:color w:val="auto"/>
                <w:kern w:val="0"/>
                <w:szCs w:val="21"/>
                <w:highlight w:val="none"/>
                <w:lang w:val="en-US" w:eastAsia="zh-CN"/>
              </w:rPr>
              <w:t>拟派人员</w:t>
            </w:r>
            <w:r>
              <w:rPr>
                <w:rFonts w:ascii="宋体" w:hAnsi="宋体"/>
                <w:bCs/>
                <w:snapToGrid w:val="0"/>
                <w:color w:val="auto"/>
                <w:kern w:val="0"/>
                <w:szCs w:val="21"/>
                <w:highlight w:val="none"/>
              </w:rPr>
              <w:t>的</w:t>
            </w:r>
            <w:r>
              <w:rPr>
                <w:rFonts w:hint="eastAsia" w:ascii="宋体" w:hAnsi="宋体"/>
                <w:bCs/>
                <w:snapToGrid w:val="0"/>
                <w:color w:val="auto"/>
                <w:kern w:val="0"/>
                <w:szCs w:val="21"/>
                <w:highlight w:val="none"/>
              </w:rPr>
              <w:t>连续养老保险</w:t>
            </w:r>
            <w:r>
              <w:rPr>
                <w:rFonts w:ascii="宋体" w:hAnsi="宋体"/>
                <w:bCs/>
                <w:snapToGrid w:val="0"/>
                <w:color w:val="auto"/>
                <w:kern w:val="0"/>
                <w:szCs w:val="21"/>
                <w:highlight w:val="none"/>
              </w:rPr>
              <w:t>证明期限</w:t>
            </w:r>
            <w:r>
              <w:rPr>
                <w:rFonts w:hint="eastAsia" w:ascii="宋体" w:hAnsi="宋体"/>
                <w:bCs/>
                <w:snapToGrid w:val="0"/>
                <w:color w:val="auto"/>
                <w:kern w:val="0"/>
                <w:szCs w:val="21"/>
                <w:highlight w:val="none"/>
              </w:rPr>
              <w:t>须包含</w:t>
            </w:r>
            <w:r>
              <w:rPr>
                <w:rFonts w:hint="eastAsia" w:ascii="宋体" w:hAnsi="宋体"/>
                <w:bCs/>
                <w:snapToGrid w:val="0"/>
                <w:color w:val="auto"/>
                <w:kern w:val="0"/>
                <w:szCs w:val="21"/>
                <w:highlight w:val="none"/>
                <w:u w:val="single"/>
              </w:rPr>
              <w:t xml:space="preserve">    </w:t>
            </w:r>
            <w:r>
              <w:rPr>
                <w:rFonts w:ascii="宋体" w:hAnsi="宋体"/>
                <w:bCs/>
                <w:snapToGrid w:val="0"/>
                <w:color w:val="auto"/>
                <w:kern w:val="0"/>
                <w:szCs w:val="21"/>
                <w:highlight w:val="none"/>
              </w:rPr>
              <w:t>年</w:t>
            </w:r>
            <w:r>
              <w:rPr>
                <w:rFonts w:hint="eastAsia" w:ascii="宋体" w:hAnsi="宋体"/>
                <w:bCs/>
                <w:snapToGrid w:val="0"/>
                <w:color w:val="auto"/>
                <w:kern w:val="0"/>
                <w:szCs w:val="21"/>
                <w:highlight w:val="none"/>
                <w:u w:val="single"/>
              </w:rPr>
              <w:t xml:space="preserve">  </w:t>
            </w:r>
            <w:r>
              <w:rPr>
                <w:rFonts w:ascii="宋体" w:hAnsi="宋体"/>
                <w:bCs/>
                <w:snapToGrid w:val="0"/>
                <w:color w:val="auto"/>
                <w:kern w:val="0"/>
                <w:szCs w:val="21"/>
                <w:highlight w:val="none"/>
              </w:rPr>
              <w:t>月至</w:t>
            </w:r>
            <w:r>
              <w:rPr>
                <w:rFonts w:hint="eastAsia" w:ascii="宋体" w:hAnsi="宋体"/>
                <w:bCs/>
                <w:snapToGrid w:val="0"/>
                <w:color w:val="auto"/>
                <w:kern w:val="0"/>
                <w:szCs w:val="21"/>
                <w:highlight w:val="none"/>
                <w:u w:val="single"/>
              </w:rPr>
              <w:t xml:space="preserve">    </w:t>
            </w:r>
            <w:r>
              <w:rPr>
                <w:rFonts w:ascii="宋体" w:hAnsi="宋体"/>
                <w:bCs/>
                <w:snapToGrid w:val="0"/>
                <w:color w:val="auto"/>
                <w:kern w:val="0"/>
                <w:szCs w:val="21"/>
                <w:highlight w:val="none"/>
              </w:rPr>
              <w:t>年</w:t>
            </w:r>
          </w:p>
          <w:p>
            <w:pPr>
              <w:keepNext w:val="0"/>
              <w:keepLines w:val="0"/>
              <w:pageBreakBefore w:val="0"/>
              <w:kinsoku/>
              <w:wordWrap/>
              <w:overflowPunct/>
              <w:topLinePunct w:val="0"/>
              <w:bidi w:val="0"/>
              <w:spacing w:line="400" w:lineRule="exact"/>
              <w:ind w:firstLine="0" w:firstLineChars="0"/>
              <w:textAlignment w:val="auto"/>
              <w:rPr>
                <w:rFonts w:ascii="宋体" w:hAnsi="宋体"/>
                <w:bCs/>
                <w:color w:val="auto"/>
                <w:szCs w:val="21"/>
                <w:highlight w:val="none"/>
              </w:rPr>
            </w:pPr>
            <w:r>
              <w:rPr>
                <w:rFonts w:hint="eastAsia" w:ascii="宋体" w:hAnsi="宋体"/>
                <w:bCs/>
                <w:snapToGrid w:val="0"/>
                <w:color w:val="auto"/>
                <w:kern w:val="0"/>
                <w:szCs w:val="21"/>
                <w:highlight w:val="none"/>
                <w:u w:val="single"/>
              </w:rPr>
              <w:t xml:space="preserve">  </w:t>
            </w:r>
            <w:r>
              <w:rPr>
                <w:rFonts w:ascii="宋体" w:hAnsi="宋体"/>
                <w:bCs/>
                <w:snapToGrid w:val="0"/>
                <w:color w:val="auto"/>
                <w:kern w:val="0"/>
                <w:szCs w:val="21"/>
                <w:highlight w:val="none"/>
              </w:rPr>
              <w:t>月</w:t>
            </w:r>
            <w:r>
              <w:rPr>
                <w:rFonts w:hint="eastAsia" w:ascii="宋体" w:hAnsi="宋体"/>
                <w:bCs/>
                <w:color w:val="auto"/>
                <w:szCs w:val="21"/>
                <w:highlight w:val="none"/>
              </w:rPr>
              <w:t>。提供的养老保险参保证明须体现</w:t>
            </w:r>
            <w:r>
              <w:rPr>
                <w:rFonts w:hint="eastAsia" w:ascii="宋体" w:hAnsi="宋体"/>
                <w:bCs/>
                <w:color w:val="auto"/>
                <w:szCs w:val="21"/>
                <w:highlight w:val="none"/>
                <w:lang w:val="en-US" w:eastAsia="zh-CN"/>
              </w:rPr>
              <w:t>拟派</w:t>
            </w:r>
            <w:r>
              <w:rPr>
                <w:rFonts w:hint="default" w:ascii="宋体" w:hAnsi="宋体"/>
                <w:bCs/>
                <w:color w:val="auto"/>
                <w:szCs w:val="21"/>
                <w:highlight w:val="none"/>
                <w:lang w:val="en-US"/>
              </w:rPr>
              <w:t>人</w:t>
            </w:r>
            <w:r>
              <w:rPr>
                <w:rFonts w:hint="eastAsia" w:ascii="宋体" w:hAnsi="宋体"/>
                <w:bCs/>
                <w:color w:val="auto"/>
                <w:szCs w:val="21"/>
                <w:highlight w:val="none"/>
              </w:rPr>
              <w:t>员的姓名、身份证号（或社保号）、单位名称、</w:t>
            </w:r>
            <w:r>
              <w:rPr>
                <w:rFonts w:hint="eastAsia" w:ascii="宋体" w:hAnsi="宋体"/>
                <w:bCs/>
                <w:color w:val="auto"/>
                <w:szCs w:val="21"/>
                <w:highlight w:val="none"/>
                <w:lang w:val="en-US" w:eastAsia="zh-CN"/>
              </w:rPr>
              <w:t>在</w:t>
            </w:r>
            <w:r>
              <w:rPr>
                <w:rFonts w:hint="eastAsia" w:ascii="宋体" w:hAnsi="宋体"/>
                <w:bCs/>
                <w:color w:val="auto"/>
                <w:szCs w:val="21"/>
                <w:highlight w:val="none"/>
              </w:rPr>
              <w:t>本单位参保时间（或起始参保时间），并带有社保部门公章或社保部门的有效电子印章。</w:t>
            </w:r>
          </w:p>
          <w:p>
            <w:pPr>
              <w:keepNext w:val="0"/>
              <w:keepLines w:val="0"/>
              <w:pageBreakBefore w:val="0"/>
              <w:kinsoku/>
              <w:wordWrap/>
              <w:overflowPunct/>
              <w:topLinePunct w:val="0"/>
              <w:bidi w:val="0"/>
              <w:spacing w:line="400" w:lineRule="exact"/>
              <w:ind w:firstLine="420" w:firstLineChars="200"/>
              <w:textAlignment w:val="auto"/>
              <w:rPr>
                <w:rFonts w:ascii="宋体" w:hAnsi="宋体"/>
                <w:bCs/>
                <w:snapToGrid w:val="0"/>
                <w:color w:val="auto"/>
                <w:kern w:val="0"/>
                <w:szCs w:val="21"/>
                <w:highlight w:val="none"/>
              </w:rPr>
            </w:pPr>
            <w:r>
              <w:rPr>
                <w:rFonts w:hint="eastAsia" w:ascii="宋体" w:hAnsi="宋体"/>
                <w:b w:val="0"/>
                <w:bCs/>
                <w:i/>
                <w:color w:val="auto"/>
                <w:szCs w:val="21"/>
                <w:highlight w:val="none"/>
              </w:rPr>
              <w:t>[提示：</w:t>
            </w:r>
            <w:r>
              <w:rPr>
                <w:rFonts w:hint="eastAsia" w:ascii="宋体" w:hAnsi="宋体"/>
                <w:b w:val="0"/>
                <w:bCs/>
                <w:i/>
                <w:color w:val="auto"/>
                <w:szCs w:val="21"/>
                <w:highlight w:val="none"/>
                <w:lang w:val="en-US" w:eastAsia="zh-CN"/>
              </w:rPr>
              <w:t>拟派人员提供</w:t>
            </w:r>
            <w:r>
              <w:rPr>
                <w:rFonts w:hint="eastAsia" w:ascii="宋体" w:hAnsi="宋体"/>
                <w:b w:val="0"/>
                <w:bCs/>
                <w:i/>
                <w:color w:val="auto"/>
                <w:szCs w:val="21"/>
                <w:highlight w:val="none"/>
              </w:rPr>
              <w:t xml:space="preserve">的养老保险时间段必须一致；从招标公告发布之日前一月起算，养老保险时间段建议为6个月。]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1.4.2</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是否接受联合体投标</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不接受</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接受，应满足下列要求：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1.9.1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踏勘现场</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不组织</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组织，</w:t>
            </w:r>
            <w:r>
              <w:rPr>
                <w:rFonts w:hint="eastAsia" w:ascii="宋体" w:hAnsi="宋体"/>
                <w:color w:val="auto"/>
                <w:kern w:val="0"/>
                <w:szCs w:val="21"/>
                <w:highlight w:val="none"/>
              </w:rPr>
              <w:t>集中</w:t>
            </w:r>
            <w:r>
              <w:rPr>
                <w:rFonts w:ascii="宋体" w:hAnsi="宋体"/>
                <w:color w:val="auto"/>
                <w:kern w:val="0"/>
                <w:szCs w:val="21"/>
                <w:highlight w:val="none"/>
              </w:rPr>
              <w:t>踏勘时间：</w:t>
            </w:r>
          </w:p>
          <w:p>
            <w:pPr>
              <w:keepNext w:val="0"/>
              <w:keepLines w:val="0"/>
              <w:pageBreakBefore w:val="0"/>
              <w:kinsoku/>
              <w:wordWrap/>
              <w:overflowPunct/>
              <w:topLinePunct w:val="0"/>
              <w:bidi w:val="0"/>
              <w:snapToGrid w:val="0"/>
              <w:spacing w:line="400" w:lineRule="exact"/>
              <w:ind w:firstLine="1260" w:firstLineChars="600"/>
              <w:textAlignment w:val="auto"/>
              <w:rPr>
                <w:rFonts w:ascii="宋体" w:hAnsi="宋体"/>
                <w:color w:val="auto"/>
                <w:kern w:val="0"/>
                <w:szCs w:val="21"/>
                <w:highlight w:val="none"/>
              </w:rPr>
            </w:pPr>
            <w:r>
              <w:rPr>
                <w:rFonts w:ascii="宋体" w:hAnsi="宋体"/>
                <w:color w:val="auto"/>
                <w:kern w:val="0"/>
                <w:szCs w:val="21"/>
                <w:highlight w:val="none"/>
              </w:rPr>
              <w:t>集中踏勘地点：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1.10.1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投标预备会</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不召开</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召开，召开时间：</w:t>
            </w:r>
          </w:p>
          <w:p>
            <w:pPr>
              <w:keepNext w:val="0"/>
              <w:keepLines w:val="0"/>
              <w:pageBreakBefore w:val="0"/>
              <w:kinsoku/>
              <w:wordWrap/>
              <w:overflowPunct/>
              <w:topLinePunct w:val="0"/>
              <w:bidi w:val="0"/>
              <w:snapToGrid w:val="0"/>
              <w:spacing w:line="400" w:lineRule="exact"/>
              <w:ind w:firstLine="1260" w:firstLineChars="600"/>
              <w:textAlignment w:val="auto"/>
              <w:rPr>
                <w:rFonts w:ascii="宋体" w:hAnsi="宋体"/>
                <w:color w:val="auto"/>
                <w:kern w:val="0"/>
                <w:szCs w:val="21"/>
                <w:highlight w:val="none"/>
              </w:rPr>
            </w:pPr>
            <w:r>
              <w:rPr>
                <w:rFonts w:ascii="宋体" w:hAnsi="宋体"/>
                <w:color w:val="auto"/>
                <w:kern w:val="0"/>
                <w:szCs w:val="21"/>
                <w:highlight w:val="none"/>
              </w:rPr>
              <w:t>召开地点：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1.11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分包</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w:t>
            </w:r>
            <w:r>
              <w:rPr>
                <w:color w:val="auto"/>
                <w:highlight w:val="none"/>
              </w:rPr>
              <w:t>不允许</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w:t>
            </w:r>
            <w:r>
              <w:rPr>
                <w:color w:val="auto"/>
                <w:highlight w:val="none"/>
              </w:rPr>
              <w:t>允许，分包内容要求：</w:t>
            </w:r>
            <w:r>
              <w:rPr>
                <w:rFonts w:hint="eastAsia" w:ascii="宋体" w:hAnsi="宋体" w:cs="宋体"/>
                <w:bCs/>
                <w:color w:val="auto"/>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color w:val="auto"/>
                <w:highlight w:val="none"/>
              </w:rPr>
            </w:pPr>
            <w:r>
              <w:rPr>
                <w:color w:val="auto"/>
                <w:highlight w:val="none"/>
              </w:rPr>
              <w:t>分包金额要求：</w:t>
            </w:r>
            <w:r>
              <w:rPr>
                <w:rFonts w:hint="eastAsia" w:ascii="宋体" w:hAnsi="宋体" w:cs="宋体"/>
                <w:bCs/>
                <w:color w:val="auto"/>
                <w:szCs w:val="21"/>
                <w:highlight w:val="none"/>
                <w:u w:val="single"/>
              </w:rPr>
              <w:t xml:space="preserve">      </w:t>
            </w:r>
          </w:p>
          <w:p>
            <w:pPr>
              <w:keepNext w:val="0"/>
              <w:keepLines w:val="0"/>
              <w:pageBreakBefore w:val="0"/>
              <w:kinsoku/>
              <w:wordWrap/>
              <w:overflowPunct/>
              <w:topLinePunct w:val="0"/>
              <w:bidi w:val="0"/>
              <w:snapToGrid w:val="0"/>
              <w:spacing w:line="400" w:lineRule="exact"/>
              <w:ind w:firstLine="1260" w:firstLineChars="600"/>
              <w:textAlignment w:val="auto"/>
              <w:rPr>
                <w:color w:val="auto"/>
                <w:highlight w:val="none"/>
              </w:rPr>
            </w:pPr>
            <w:r>
              <w:rPr>
                <w:color w:val="auto"/>
                <w:highlight w:val="none"/>
              </w:rPr>
              <w:t>接受分包的第三人资质要求：</w:t>
            </w:r>
            <w:r>
              <w:rPr>
                <w:rFonts w:hint="eastAsia" w:ascii="宋体" w:hAnsi="宋体" w:cs="宋体"/>
                <w:bCs/>
                <w:color w:val="auto"/>
                <w:szCs w:val="21"/>
                <w:highlight w:val="none"/>
                <w:u w:val="single"/>
              </w:rPr>
              <w:t xml:space="preserve">      </w:t>
            </w:r>
          </w:p>
          <w:p>
            <w:pPr>
              <w:pStyle w:val="2"/>
              <w:keepNext w:val="0"/>
              <w:keepLines w:val="0"/>
              <w:pageBreakBefore w:val="0"/>
              <w:kinsoku/>
              <w:wordWrap/>
              <w:overflowPunct/>
              <w:topLinePunct w:val="0"/>
              <w:bidi w:val="0"/>
              <w:spacing w:after="0" w:line="400" w:lineRule="exact"/>
              <w:textAlignment w:val="auto"/>
              <w:rPr>
                <w:color w:val="auto"/>
                <w:highlight w:val="none"/>
              </w:rPr>
            </w:pPr>
            <w:r>
              <w:rPr>
                <w:rFonts w:hint="eastAsia"/>
                <w:color w:val="auto"/>
                <w:highlight w:val="none"/>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2.1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构成招标文件的其他材料</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ascii="宋体" w:hAnsi="宋体"/>
                <w:color w:val="auto"/>
                <w:szCs w:val="21"/>
                <w:highlight w:val="none"/>
              </w:rPr>
              <w:t>招标人发出的</w:t>
            </w:r>
            <w:r>
              <w:rPr>
                <w:rFonts w:hint="eastAsia" w:ascii="宋体" w:hAnsi="宋体"/>
                <w:color w:val="auto"/>
                <w:szCs w:val="21"/>
                <w:highlight w:val="none"/>
              </w:rPr>
              <w:t>澄清</w:t>
            </w:r>
            <w:r>
              <w:rPr>
                <w:rFonts w:ascii="宋体" w:hAnsi="宋体"/>
                <w:color w:val="auto"/>
                <w:szCs w:val="21"/>
                <w:highlight w:val="none"/>
              </w:rPr>
              <w:t>及</w:t>
            </w:r>
            <w:r>
              <w:rPr>
                <w:rFonts w:hint="eastAsia" w:ascii="宋体" w:hAnsi="宋体"/>
                <w:color w:val="auto"/>
                <w:szCs w:val="21"/>
                <w:highlight w:val="none"/>
              </w:rPr>
              <w:t>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1</w:t>
            </w:r>
          </w:p>
        </w:tc>
        <w:tc>
          <w:tcPr>
            <w:tcW w:w="1610" w:type="dxa"/>
            <w:tcBorders>
              <w:bottom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投标人对招标文件提出</w:t>
            </w:r>
            <w:r>
              <w:rPr>
                <w:rFonts w:hint="eastAsia" w:ascii="宋体" w:hAnsi="宋体"/>
                <w:color w:val="auto"/>
                <w:kern w:val="0"/>
                <w:szCs w:val="21"/>
                <w:highlight w:val="none"/>
              </w:rPr>
              <w:t>疑问</w:t>
            </w:r>
            <w:r>
              <w:rPr>
                <w:rFonts w:ascii="宋体" w:hAnsi="宋体"/>
                <w:color w:val="auto"/>
                <w:kern w:val="0"/>
                <w:szCs w:val="21"/>
                <w:highlight w:val="none"/>
              </w:rPr>
              <w:t>的截止时间</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投标人应仔细</w:t>
            </w:r>
            <w:r>
              <w:rPr>
                <w:rFonts w:hint="eastAsia" w:ascii="宋体" w:hAnsi="宋体"/>
                <w:color w:val="auto"/>
                <w:kern w:val="0"/>
                <w:szCs w:val="21"/>
                <w:highlight w:val="none"/>
              </w:rPr>
              <w:t>阅读</w:t>
            </w:r>
            <w:r>
              <w:rPr>
                <w:rFonts w:ascii="宋体" w:hAnsi="宋体"/>
                <w:color w:val="auto"/>
                <w:kern w:val="0"/>
                <w:szCs w:val="21"/>
                <w:highlight w:val="none"/>
              </w:rPr>
              <w:t>招标文件</w:t>
            </w:r>
            <w:r>
              <w:rPr>
                <w:rFonts w:hint="eastAsia" w:ascii="宋体" w:hAnsi="宋体"/>
                <w:color w:val="auto"/>
                <w:kern w:val="0"/>
                <w:szCs w:val="21"/>
                <w:highlight w:val="none"/>
              </w:rPr>
              <w:t>及附件</w:t>
            </w:r>
            <w:r>
              <w:rPr>
                <w:rFonts w:ascii="宋体" w:hAnsi="宋体"/>
                <w:color w:val="auto"/>
                <w:kern w:val="0"/>
                <w:szCs w:val="21"/>
                <w:highlight w:val="none"/>
              </w:rPr>
              <w:t>的所有内容，如有文字表述不清，图纸尺寸标注不明以及存在错、漏、缺、概念模糊和有可能出现歧义或理解上的偏差的内容等应</w:t>
            </w:r>
            <w:r>
              <w:rPr>
                <w:rFonts w:hint="eastAsia" w:ascii="宋体" w:hAnsi="宋体" w:cs="宋体"/>
                <w:color w:val="auto"/>
                <w:kern w:val="0"/>
                <w:szCs w:val="21"/>
                <w:highlight w:val="none"/>
              </w:rPr>
              <w:t>在招标公告规定的时间</w:t>
            </w:r>
            <w:r>
              <w:rPr>
                <w:rFonts w:ascii="宋体" w:hAnsi="宋体"/>
                <w:color w:val="auto"/>
                <w:kern w:val="0"/>
                <w:szCs w:val="21"/>
                <w:highlight w:val="none"/>
              </w:rPr>
              <w:t>前</w:t>
            </w:r>
            <w:r>
              <w:rPr>
                <w:rFonts w:hint="eastAsia" w:ascii="宋体" w:hAnsi="宋体"/>
                <w:color w:val="auto"/>
                <w:kern w:val="0"/>
                <w:szCs w:val="21"/>
                <w:highlight w:val="none"/>
              </w:rPr>
              <w:t>在本项目招标公告网页下方“我要提问”栏</w:t>
            </w:r>
            <w:r>
              <w:rPr>
                <w:rFonts w:ascii="宋体" w:hAnsi="宋体"/>
                <w:color w:val="auto"/>
                <w:kern w:val="0"/>
                <w:szCs w:val="21"/>
                <w:highlight w:val="none"/>
              </w:rPr>
              <w:t>提交。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Merge w:val="restart"/>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2.2.2</w:t>
            </w:r>
          </w:p>
        </w:tc>
        <w:tc>
          <w:tcPr>
            <w:tcW w:w="1610" w:type="dxa"/>
            <w:tcBorders>
              <w:top w:val="single" w:color="auto" w:sz="4" w:space="0"/>
            </w:tcBorders>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招标人对招标文件澄清的截止时间</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snapToGrid w:val="0"/>
                <w:color w:val="auto"/>
                <w:kern w:val="0"/>
                <w:szCs w:val="21"/>
                <w:highlight w:val="none"/>
              </w:rPr>
            </w:pPr>
            <w:r>
              <w:rPr>
                <w:rFonts w:hint="eastAsia" w:ascii="宋体" w:hAnsi="宋体"/>
                <w:color w:val="auto"/>
                <w:szCs w:val="21"/>
                <w:highlight w:val="none"/>
              </w:rPr>
              <w:t>招标人应在招标公告规定的时间前</w:t>
            </w:r>
            <w:r>
              <w:rPr>
                <w:rFonts w:ascii="宋体" w:hAnsi="宋体"/>
                <w:color w:val="auto"/>
                <w:szCs w:val="21"/>
                <w:highlight w:val="none"/>
              </w:rPr>
              <w:t>，</w:t>
            </w:r>
            <w:r>
              <w:rPr>
                <w:rFonts w:ascii="宋体" w:hAnsi="宋体"/>
                <w:color w:val="auto"/>
                <w:kern w:val="0"/>
                <w:szCs w:val="21"/>
                <w:highlight w:val="none"/>
              </w:rPr>
              <w:t>在</w:t>
            </w:r>
            <w:r>
              <w:rPr>
                <w:rFonts w:hint="eastAsia" w:ascii="宋体" w:hAnsi="宋体"/>
                <w:color w:val="auto"/>
                <w:kern w:val="0"/>
                <w:szCs w:val="21"/>
                <w:highlight w:val="none"/>
                <w:u w:val="single"/>
              </w:rPr>
              <w:t>重庆市公共资源交易网</w:t>
            </w:r>
            <w:r>
              <w:rPr>
                <w:rFonts w:ascii="宋体" w:hAnsi="宋体"/>
                <w:color w:val="auto"/>
                <w:kern w:val="0"/>
                <w:szCs w:val="21"/>
                <w:highlight w:val="none"/>
              </w:rPr>
              <w:t>发布</w:t>
            </w:r>
            <w:r>
              <w:rPr>
                <w:rFonts w:hint="eastAsia" w:ascii="宋体" w:hAnsi="宋体"/>
                <w:color w:val="auto"/>
                <w:kern w:val="0"/>
                <w:szCs w:val="21"/>
                <w:highlight w:val="none"/>
              </w:rPr>
              <w:t>澄清</w:t>
            </w:r>
            <w:r>
              <w:rPr>
                <w:rFonts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5" w:type="dxa"/>
            <w:vMerge w:val="continue"/>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投标截止时间</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u w:val="single"/>
              </w:rPr>
            </w:pPr>
            <w:r>
              <w:rPr>
                <w:rFonts w:hint="eastAsia" w:ascii="宋体" w:hAnsi="宋体"/>
                <w:color w:val="auto"/>
                <w:szCs w:val="21"/>
                <w:highlight w:val="none"/>
              </w:rPr>
              <w:t>详见招标公告规定的投标截止时间。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2.2.3</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招标人对招标文件进行</w:t>
            </w:r>
            <w:r>
              <w:rPr>
                <w:rFonts w:hint="eastAsia" w:ascii="宋体" w:hAnsi="宋体"/>
                <w:color w:val="auto"/>
                <w:kern w:val="0"/>
                <w:szCs w:val="21"/>
                <w:highlight w:val="none"/>
              </w:rPr>
              <w:t>修改</w:t>
            </w:r>
            <w:r>
              <w:rPr>
                <w:rFonts w:ascii="宋体" w:hAnsi="宋体"/>
                <w:color w:val="auto"/>
                <w:kern w:val="0"/>
                <w:szCs w:val="21"/>
                <w:highlight w:val="none"/>
              </w:rPr>
              <w:t>的时间</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内容可能影响投标文件编制的，须在投标截止时间15日前发布，发布时间至投标截止时间不足15日的，须相应延后投标截止时间。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2.2.4</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投标人对招标文件及澄清修改提出异议的截止时间</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投标人对招标文件和</w:t>
            </w:r>
            <w:r>
              <w:rPr>
                <w:rFonts w:hint="eastAsia" w:ascii="宋体" w:hAnsi="宋体"/>
                <w:snapToGrid w:val="0"/>
                <w:color w:val="auto"/>
                <w:kern w:val="0"/>
                <w:szCs w:val="21"/>
                <w:highlight w:val="none"/>
              </w:rPr>
              <w:t>澄清修改</w:t>
            </w:r>
            <w:r>
              <w:rPr>
                <w:rFonts w:ascii="宋体" w:hAnsi="宋体"/>
                <w:snapToGrid w:val="0"/>
                <w:color w:val="auto"/>
                <w:kern w:val="0"/>
                <w:szCs w:val="21"/>
                <w:highlight w:val="none"/>
              </w:rPr>
              <w:t>有异议的，应当在投标截止时间10日前，</w:t>
            </w:r>
            <w:r>
              <w:rPr>
                <w:rFonts w:hint="eastAsia" w:ascii="宋体" w:hAnsi="宋体"/>
                <w:snapToGrid w:val="0"/>
                <w:kern w:val="0"/>
                <w:szCs w:val="21"/>
              </w:rPr>
              <w:t>以书面形式</w:t>
            </w:r>
            <w:r>
              <w:rPr>
                <w:rFonts w:hint="eastAsia" w:ascii="宋体" w:hAnsi="宋体"/>
                <w:snapToGrid w:val="0"/>
                <w:kern w:val="0"/>
                <w:szCs w:val="21"/>
                <w:lang w:val="en-US" w:eastAsia="zh-CN"/>
              </w:rPr>
              <w:t>向</w:t>
            </w:r>
            <w:r>
              <w:rPr>
                <w:rFonts w:hint="eastAsia" w:ascii="宋体" w:hAnsi="宋体"/>
                <w:snapToGrid w:val="0"/>
                <w:kern w:val="0"/>
                <w:szCs w:val="21"/>
              </w:rPr>
              <w:t>招标人或招标代理机构</w:t>
            </w:r>
            <w:r>
              <w:rPr>
                <w:rFonts w:hint="eastAsia" w:ascii="宋体" w:hAnsi="宋体"/>
                <w:snapToGrid w:val="0"/>
                <w:kern w:val="0"/>
                <w:szCs w:val="21"/>
                <w:lang w:val="en-US" w:eastAsia="zh-CN"/>
              </w:rPr>
              <w:t>提出</w:t>
            </w:r>
            <w:r>
              <w:rPr>
                <w:rFonts w:ascii="宋体" w:hAnsi="宋体"/>
                <w:snapToGrid w:val="0"/>
                <w:color w:val="auto"/>
                <w:kern w:val="0"/>
                <w:szCs w:val="21"/>
                <w:highlight w:val="none"/>
              </w:rPr>
              <w:t>。招标人应当自收到异议之日起3日内做出答复，</w:t>
            </w:r>
            <w:r>
              <w:rPr>
                <w:rFonts w:hint="eastAsia" w:ascii="宋体" w:hAnsi="宋体"/>
                <w:snapToGrid w:val="0"/>
                <w:color w:val="auto"/>
                <w:kern w:val="0"/>
                <w:szCs w:val="21"/>
                <w:highlight w:val="none"/>
              </w:rPr>
              <w:t>答复内容可能影响投标文件编制的，将以修改的形式于投标截止时间15日前在</w:t>
            </w:r>
            <w:r>
              <w:rPr>
                <w:rFonts w:hint="eastAsia" w:ascii="宋体" w:hAnsi="宋体"/>
                <w:snapToGrid w:val="0"/>
                <w:color w:val="auto"/>
                <w:kern w:val="0"/>
                <w:szCs w:val="21"/>
                <w:highlight w:val="none"/>
                <w:u w:val="single"/>
              </w:rPr>
              <w:t>重庆市公共资源交易网</w:t>
            </w:r>
            <w:r>
              <w:rPr>
                <w:rFonts w:hint="eastAsia" w:ascii="宋体" w:hAnsi="宋体"/>
                <w:snapToGrid w:val="0"/>
                <w:color w:val="auto"/>
                <w:kern w:val="0"/>
                <w:szCs w:val="21"/>
                <w:highlight w:val="none"/>
              </w:rPr>
              <w:t>澄清修改区发布，发布时间至投标截止时间不足15日的，须相应延后投标截止时间。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3.1.1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构成投标文件的其他材料</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ascii="宋体" w:hAnsi="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3.2</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投标报价</w:t>
            </w:r>
          </w:p>
        </w:tc>
        <w:tc>
          <w:tcPr>
            <w:tcW w:w="6524" w:type="dxa"/>
            <w:vAlign w:val="center"/>
          </w:tcPr>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color w:val="auto"/>
                <w:szCs w:val="21"/>
                <w:highlight w:val="none"/>
              </w:rPr>
              <w:t>1</w:t>
            </w:r>
            <w:r>
              <w:rPr>
                <w:rFonts w:hint="eastAsia" w:ascii="宋体" w:hAnsi="宋体" w:cs="宋体"/>
                <w:snapToGrid w:val="0"/>
                <w:color w:val="auto"/>
                <w:kern w:val="0"/>
                <w:szCs w:val="21"/>
                <w:highlight w:val="none"/>
              </w:rPr>
              <w:t>.使用</w:t>
            </w:r>
            <w:r>
              <w:rPr>
                <w:rFonts w:hint="eastAsia" w:ascii="宋体" w:hAnsi="宋体" w:cs="宋体"/>
                <w:szCs w:val="21"/>
                <w:lang w:val="en-US" w:eastAsia="zh-CN"/>
              </w:rPr>
              <w:t>财政资金或</w:t>
            </w:r>
            <w:r>
              <w:rPr>
                <w:rFonts w:hint="eastAsia" w:ascii="宋体" w:hAnsi="宋体" w:cs="宋体"/>
                <w:snapToGrid w:val="0"/>
                <w:color w:val="auto"/>
                <w:kern w:val="0"/>
                <w:szCs w:val="21"/>
                <w:highlight w:val="none"/>
              </w:rPr>
              <w:t>国有资金投资的地质灾害治理工程发承包，</w:t>
            </w:r>
            <w:r>
              <w:rPr>
                <w:rFonts w:hint="eastAsia" w:ascii="宋体" w:hAnsi="宋体" w:cs="宋体"/>
                <w:szCs w:val="21"/>
                <w:lang w:val="en-US" w:eastAsia="zh-CN"/>
              </w:rPr>
              <w:t>应按国家及行业工程量计算标准编制工程量清单</w:t>
            </w:r>
            <w:r>
              <w:rPr>
                <w:rFonts w:hint="eastAsia" w:ascii="宋体" w:hAnsi="宋体" w:cs="宋体"/>
                <w:szCs w:val="21"/>
                <w:lang w:eastAsia="zh-CN"/>
              </w:rPr>
              <w:t>，</w:t>
            </w:r>
            <w:r>
              <w:rPr>
                <w:rFonts w:hint="eastAsia" w:ascii="宋体" w:hAnsi="宋体" w:cs="宋体"/>
                <w:szCs w:val="21"/>
                <w:lang w:val="en-US" w:eastAsia="zh-CN"/>
              </w:rPr>
              <w:t>采用工程量清单计价</w:t>
            </w:r>
            <w:r>
              <w:rPr>
                <w:rFonts w:hint="eastAsia" w:ascii="宋体" w:hAnsi="宋体" w:cs="宋体"/>
                <w:snapToGrid w:val="0"/>
                <w:color w:val="auto"/>
                <w:kern w:val="0"/>
                <w:szCs w:val="21"/>
                <w:highlight w:val="none"/>
              </w:rPr>
              <w:t>。</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2.投标报价范围</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投标人投标报价范围应为招标文件所附施工图纸、施工图纸说明及施工中的监测等（专业效果监测除外）、安全生产视频监控（如有）的所有工程内容。报价应包含完成工程的成本、利润、税金、各种风险(包括施工过程中材料价格涨价等)、为完成本工程所需的临时工程以及相应的施工措施（包括工作区域内由本工程施工产生的余土、渣土、垃圾及其他废弃物外运处理等）和施工过程中的水电费以及工程多次验收等所有费用。招标人提供的工程量清单由投标人根据图纸自行复核。</w:t>
            </w:r>
            <w:r>
              <w:rPr>
                <w:rFonts w:hint="eastAsia" w:ascii="宋体" w:hAnsi="宋体" w:cs="宋体"/>
                <w:snapToGrid w:val="0"/>
                <w:color w:val="auto"/>
                <w:kern w:val="0"/>
                <w:szCs w:val="21"/>
                <w:highlight w:val="none"/>
              </w:rPr>
              <w:br w:type="textWrapping"/>
            </w:r>
            <w:r>
              <w:rPr>
                <w:rFonts w:hint="eastAsia" w:ascii="宋体" w:hAnsi="宋体" w:cs="宋体"/>
                <w:snapToGrid w:val="0"/>
                <w:color w:val="auto"/>
                <w:kern w:val="0"/>
                <w:szCs w:val="21"/>
                <w:highlight w:val="none"/>
                <w:lang w:val="en-US" w:eastAsia="zh-CN"/>
              </w:rPr>
              <w:t xml:space="preserve">    </w:t>
            </w:r>
            <w:r>
              <w:rPr>
                <w:rFonts w:hint="eastAsia" w:ascii="宋体" w:hAnsi="宋体" w:cs="宋体"/>
                <w:snapToGrid w:val="0"/>
                <w:color w:val="auto"/>
                <w:kern w:val="0"/>
                <w:szCs w:val="21"/>
                <w:highlight w:val="none"/>
              </w:rPr>
              <w:t>3.报价原则</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本工程根据招标人提供的施工图纸、施工图纸说明按以下原则进行投标报价:</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 xml:space="preserve">（1）报价依据： </w:t>
            </w:r>
            <w:r>
              <w:rPr>
                <w:rFonts w:hint="eastAsia" w:ascii="宋体" w:hAnsi="宋体" w:cs="宋体"/>
                <w:snapToGrid w:val="0"/>
                <w:color w:val="auto"/>
                <w:kern w:val="0"/>
                <w:szCs w:val="21"/>
                <w:highlight w:val="none"/>
                <w:u w:val="single"/>
              </w:rPr>
              <w:t xml:space="preserve">（根据本项目预算编制依据确定）   </w:t>
            </w:r>
            <w:r>
              <w:rPr>
                <w:rFonts w:hint="eastAsia" w:ascii="宋体" w:hAnsi="宋体" w:cs="宋体"/>
                <w:snapToGrid w:val="0"/>
                <w:color w:val="auto"/>
                <w:kern w:val="0"/>
                <w:szCs w:val="21"/>
                <w:highlight w:val="none"/>
              </w:rPr>
              <w:t xml:space="preserve"> 。</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 xml:space="preserve">（2）材料价格： </w:t>
            </w:r>
            <w:r>
              <w:rPr>
                <w:rFonts w:hint="eastAsia" w:ascii="宋体" w:hAnsi="宋体" w:cs="宋体"/>
                <w:snapToGrid w:val="0"/>
                <w:color w:val="auto"/>
                <w:kern w:val="0"/>
                <w:szCs w:val="21"/>
                <w:highlight w:val="none"/>
                <w:u w:val="single"/>
              </w:rPr>
              <w:t xml:space="preserve">（根据本项目预算编制依据确定）  </w:t>
            </w:r>
            <w:r>
              <w:rPr>
                <w:rFonts w:hint="eastAsia" w:ascii="宋体" w:hAnsi="宋体" w:cs="宋体"/>
                <w:snapToGrid w:val="0"/>
                <w:color w:val="auto"/>
                <w:kern w:val="0"/>
                <w:szCs w:val="21"/>
                <w:highlight w:val="none"/>
              </w:rPr>
              <w:t xml:space="preserve">  。</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color w:val="auto"/>
                <w:highlight w:val="none"/>
              </w:rPr>
            </w:pPr>
            <w:r>
              <w:rPr>
                <w:rFonts w:hint="eastAsia" w:ascii="宋体" w:hAnsi="宋体" w:cs="宋体"/>
                <w:snapToGrid w:val="0"/>
                <w:color w:val="auto"/>
                <w:kern w:val="0"/>
                <w:szCs w:val="21"/>
                <w:highlight w:val="none"/>
              </w:rPr>
              <w:t xml:space="preserve">（3）人工价格： </w:t>
            </w:r>
            <w:r>
              <w:rPr>
                <w:rFonts w:hint="eastAsia" w:ascii="宋体" w:hAnsi="宋体" w:cs="宋体"/>
                <w:snapToGrid w:val="0"/>
                <w:color w:val="auto"/>
                <w:kern w:val="0"/>
                <w:szCs w:val="21"/>
                <w:highlight w:val="none"/>
                <w:u w:val="single"/>
              </w:rPr>
              <w:t xml:space="preserve">（根据本项目预算编制依据确定）  </w:t>
            </w:r>
            <w:r>
              <w:rPr>
                <w:rFonts w:hint="eastAsia" w:ascii="宋体" w:hAnsi="宋体" w:cs="宋体"/>
                <w:snapToGrid w:val="0"/>
                <w:color w:val="auto"/>
                <w:kern w:val="0"/>
                <w:szCs w:val="21"/>
                <w:highlight w:val="none"/>
              </w:rPr>
              <w:t xml:space="preserve">  。</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4）安全生产视频监控的重点对象为：一是工程投资概算在1000万元以上的治理工程项目；二是分部、分项工程施工难度大、危险性高的治理工程项目；三是保护对象极端重要的工程治理项目。以上三类项目均应开展施工现场安全生产</w:t>
            </w:r>
            <w:r>
              <w:rPr>
                <w:rFonts w:hint="eastAsia" w:ascii="宋体" w:hAnsi="宋体" w:cs="宋体"/>
                <w:snapToGrid w:val="0"/>
                <w:color w:val="auto"/>
                <w:kern w:val="0"/>
                <w:szCs w:val="21"/>
                <w:highlight w:val="none"/>
                <w:lang w:eastAsia="zh-CN"/>
              </w:rPr>
              <w:t>视频</w:t>
            </w:r>
            <w:r>
              <w:rPr>
                <w:rFonts w:hint="eastAsia" w:ascii="宋体" w:hAnsi="宋体" w:cs="宋体"/>
                <w:snapToGrid w:val="0"/>
                <w:color w:val="auto"/>
                <w:kern w:val="0"/>
                <w:szCs w:val="21"/>
                <w:highlight w:val="none"/>
              </w:rPr>
              <w:t>监控。由投标人负责安装安全生产远程视频监控（前端摄像头、设备安装及网络服务等）。视频监控时间，从项目开工至主体工程完工为止。（如有）</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5）料场、渣场等，投标人可以在招标人指定之外的料场、渣场取料和弃渣。其运距和报价由投标人自行确定，由此产生风险投标人自行承担，不得因与招标人提供有差异而向招标人进行任何索赔，自选的料场、渣场取料和弃渣须确保安全，应符合相关部门的管理规定，若因发生的相关费用由投标人承担。</w:t>
            </w:r>
          </w:p>
          <w:p>
            <w:pPr>
              <w:pStyle w:val="2"/>
              <w:keepNext w:val="0"/>
              <w:keepLines w:val="0"/>
              <w:pageBreakBefore w:val="0"/>
              <w:tabs>
                <w:tab w:val="left" w:pos="546"/>
                <w:tab w:val="left" w:pos="711"/>
              </w:tabs>
              <w:kinsoku/>
              <w:wordWrap/>
              <w:overflowPunct/>
              <w:topLinePunct w:val="0"/>
              <w:bidi w:val="0"/>
              <w:snapToGrid w:val="0"/>
              <w:spacing w:after="0" w:line="400" w:lineRule="exact"/>
              <w:ind w:left="0" w:leftChars="0"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4、增值税计税方法由招标人依据国家税法规定选择：</w:t>
            </w:r>
          </w:p>
          <w:p>
            <w:pPr>
              <w:pStyle w:val="2"/>
              <w:keepNext w:val="0"/>
              <w:keepLines w:val="0"/>
              <w:pageBreakBefore w:val="0"/>
              <w:tabs>
                <w:tab w:val="left" w:pos="546"/>
                <w:tab w:val="left" w:pos="711"/>
              </w:tabs>
              <w:kinsoku/>
              <w:wordWrap/>
              <w:overflowPunct/>
              <w:topLinePunct w:val="0"/>
              <w:bidi w:val="0"/>
              <w:snapToGrid w:val="0"/>
              <w:spacing w:after="0" w:line="400" w:lineRule="exact"/>
              <w:ind w:left="0" w:leftChars="0"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□一般计税法</w:t>
            </w:r>
          </w:p>
          <w:p>
            <w:pPr>
              <w:pStyle w:val="2"/>
              <w:keepNext w:val="0"/>
              <w:keepLines w:val="0"/>
              <w:pageBreakBefore w:val="0"/>
              <w:tabs>
                <w:tab w:val="left" w:pos="546"/>
                <w:tab w:val="left" w:pos="711"/>
              </w:tabs>
              <w:kinsoku/>
              <w:wordWrap/>
              <w:overflowPunct/>
              <w:topLinePunct w:val="0"/>
              <w:bidi w:val="0"/>
              <w:snapToGrid w:val="0"/>
              <w:spacing w:after="0" w:line="400" w:lineRule="exact"/>
              <w:ind w:left="0" w:leftChars="0"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□简易计税法</w:t>
            </w:r>
          </w:p>
          <w:p>
            <w:pPr>
              <w:pStyle w:val="2"/>
              <w:keepNext w:val="0"/>
              <w:keepLines w:val="0"/>
              <w:pageBreakBefore w:val="0"/>
              <w:tabs>
                <w:tab w:val="left" w:pos="546"/>
                <w:tab w:val="left" w:pos="711"/>
              </w:tabs>
              <w:kinsoku/>
              <w:wordWrap/>
              <w:overflowPunct/>
              <w:topLinePunct w:val="0"/>
              <w:bidi w:val="0"/>
              <w:snapToGrid w:val="0"/>
              <w:spacing w:after="0" w:line="400" w:lineRule="exact"/>
              <w:ind w:left="0" w:leftChars="0" w:firstLine="420" w:firstLineChars="200"/>
              <w:textAlignment w:val="auto"/>
              <w:rPr>
                <w:rFonts w:ascii="宋体" w:hAnsi="宋体" w:cs="宋体"/>
                <w:i/>
                <w:color w:val="auto"/>
                <w:szCs w:val="21"/>
                <w:highlight w:val="none"/>
              </w:rPr>
            </w:pPr>
            <w:r>
              <w:rPr>
                <w:rFonts w:hint="eastAsia" w:ascii="宋体" w:hAnsi="宋体" w:cs="宋体"/>
                <w:i/>
                <w:color w:val="auto"/>
                <w:szCs w:val="21"/>
                <w:highlight w:val="none"/>
              </w:rPr>
              <w:t>[提示：招标人在编制招标文件时增值税计算方法选其一。]</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5.最高限价</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本工程招标将设置投标总报价最高限价，投标总报价最高限价</w:t>
            </w:r>
            <w:r>
              <w:rPr>
                <w:rFonts w:hint="eastAsia" w:ascii="宋体" w:hAnsi="宋体" w:cs="宋体"/>
                <w:snapToGrid w:val="0"/>
                <w:color w:val="auto"/>
                <w:kern w:val="0"/>
                <w:szCs w:val="21"/>
                <w:highlight w:val="none"/>
                <w:u w:val="single"/>
              </w:rPr>
              <w:t>最迟应于投标截止日15日前</w:t>
            </w:r>
            <w:r>
              <w:rPr>
                <w:rFonts w:hint="eastAsia" w:ascii="宋体" w:hAnsi="宋体" w:cs="宋体"/>
                <w:snapToGrid w:val="0"/>
                <w:color w:val="auto"/>
                <w:kern w:val="0"/>
                <w:szCs w:val="21"/>
                <w:highlight w:val="none"/>
              </w:rPr>
              <w:t>发布，投标人的投标总报价不得超过投标总报价最高限价，否则由评标委员会作否决投标处理。</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□本工程招标将设置全部工程量清单综合单价最高限价，工程量清单综合单价最高限价</w:t>
            </w:r>
            <w:r>
              <w:rPr>
                <w:rFonts w:hint="eastAsia" w:ascii="宋体" w:hAnsi="宋体" w:cs="宋体"/>
                <w:snapToGrid w:val="0"/>
                <w:color w:val="auto"/>
                <w:kern w:val="0"/>
                <w:szCs w:val="21"/>
                <w:highlight w:val="none"/>
                <w:u w:val="single"/>
              </w:rPr>
              <w:t>最迟应于投标截止日15日前</w:t>
            </w:r>
            <w:r>
              <w:rPr>
                <w:rFonts w:hint="eastAsia" w:ascii="宋体" w:hAnsi="宋体" w:cs="宋体"/>
                <w:snapToGrid w:val="0"/>
                <w:color w:val="auto"/>
                <w:kern w:val="0"/>
                <w:szCs w:val="21"/>
                <w:highlight w:val="none"/>
              </w:rPr>
              <w:t>发布。</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6.招标人提供的工程量清单由投标人根据图纸自行复核，如对招标人所提供的工程量清单有疑义（包括工程量不符、漏项、错项等），应按照“前附表”规定时间和方式提出。招标人或招标代理机构将对有疑义的内容进行复核，并将结果以规定时间和方式发布，复核后的工程量清单将被视为已涵盖本工程图纸的全部的工作内容工程量；如果在开标前投标人未对工程量清单提出任何异议，将视为投标人已认可招标文件中的工程量清单已涵盖本工程图纸的全部的工作内容工程量。如投标人中标，该</w:t>
            </w:r>
            <w:bookmarkStart w:id="207" w:name="_Toc83438968"/>
            <w:r>
              <w:rPr>
                <w:rFonts w:hint="eastAsia" w:ascii="宋体" w:hAnsi="宋体" w:cs="宋体"/>
                <w:snapToGrid w:val="0"/>
                <w:color w:val="auto"/>
                <w:kern w:val="0"/>
                <w:szCs w:val="21"/>
                <w:highlight w:val="none"/>
              </w:rPr>
              <w:t>投标人的投标价即被认为是涵盖了施工图纸中全部工作内容（除专业效果监测外）的合同价</w:t>
            </w:r>
            <w:bookmarkEnd w:id="207"/>
            <w:r>
              <w:rPr>
                <w:rFonts w:hint="eastAsia" w:ascii="宋体" w:hAnsi="宋体" w:cs="宋体"/>
                <w:snapToGrid w:val="0"/>
                <w:color w:val="auto"/>
                <w:kern w:val="0"/>
                <w:szCs w:val="21"/>
                <w:highlight w:val="none"/>
              </w:rPr>
              <w:t>，实行工程图纸建设任务和固定单价，除合同规定可以进行调整的事项外，在合同实施期间不得变动。</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7.工程量清单计价采用综合单价计价。即在综合单价中应包含完成一个清单项目所需的人工费、材料和工程设备费、施工机具使用费和企业管理费、利润等，并充分考虑风险因素；一旦中标后，招标人不接受中标人以组价不当（包括但不限于对工作内容理解的偏差、工料消耗量水平的确定、生产要素市场价格的判断、取费决策等原因）为理由而主张的任何损失或索赔。</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bookmarkStart w:id="208" w:name="_Toc83438974"/>
            <w:r>
              <w:rPr>
                <w:rFonts w:hint="eastAsia" w:ascii="宋体" w:hAnsi="宋体" w:cs="宋体"/>
                <w:snapToGrid w:val="0"/>
                <w:color w:val="auto"/>
                <w:kern w:val="0"/>
                <w:szCs w:val="21"/>
                <w:highlight w:val="none"/>
              </w:rPr>
              <w:t>8.投标人应认真填写工程量清单中所列的本合同各工程子目的单价或总价。投标人没有填入单价或总价的工程子目，招标人将认为该子目的价款已包括在工程量清单其他子目的单价和总价中。投标人必须按招标工程量清单填报价格。投标工程量清单中的各级项目分组表、项目编号、名称、单位、数量必须与招标工程量清单一致。</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9.投标函中的总报价必须与已标价工程量清单总报价一致，否则由评标委员会作否决投标处理。</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10.招标人在工程量清单中所列出的暂列金额、暂估价等暂定金额，投标人不得修改，否则由评标委员会作否决投标处理。</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11.投标人投标报价中的各清单子目单价不应高于各清单子目单价最高限价。招标人在合同签订前将对中标人“已标价工程量清单”进行复核，若出现差错则按以下原则进行处理（或结算）：</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1）投标总报价汇总计算结果与投标函总报价不一致时，按就低不就高原则进行修正，即：汇总计算结果高于投标函总报价则以投标函总报价为准，按汇总计算结果与投标函总报价相比的降低幅度同比例修正分组报价和各清单子目单价；汇总计算结果低于投标函总报价则以投标总报价汇总计算结果为准进行签约或结算；</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（2）依据单价和数量计算结果与其合价不符的，按不利于投标人原则（就低不就高）对其单价和合价进行修正。</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（3）单价报价超过工程量清单综合单价最高限价的，以工程量清单综合单价最高限价为基础，按照中标总报价与总价最高限价的下浮比例进行同比例下调修正其单价和合价。</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4）工程量清单漏项的，按该项单价为0进行修正（即视为该项工作内容的报价已包括在其他项目报价内），超出招标人提供的工程量清单范围的清单项目报价不予认可，按该清单项目报价为0对其单价和合价进行修正。</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12、</w:t>
            </w:r>
            <w:r>
              <w:rPr>
                <w:rFonts w:hint="eastAsia" w:ascii="宋体" w:hAnsi="宋体" w:cs="宋体"/>
                <w:snapToGrid w:val="0"/>
                <w:color w:val="auto"/>
                <w:kern w:val="0"/>
                <w:szCs w:val="21"/>
                <w:highlight w:val="none"/>
                <w:lang w:val="en-US" w:eastAsia="zh-CN"/>
              </w:rPr>
              <w:t>提供：</w:t>
            </w:r>
            <w:r>
              <w:rPr>
                <w:rFonts w:hint="eastAsia" w:ascii="宋体" w:hAnsi="宋体" w:cs="宋体"/>
                <w:snapToGrid w:val="0"/>
                <w:color w:val="auto"/>
                <w:kern w:val="0"/>
                <w:szCs w:val="21"/>
                <w:highlight w:val="none"/>
              </w:rPr>
              <w:t>承诺（格式详见第八章投标文件格式），</w:t>
            </w:r>
            <w:r>
              <w:rPr>
                <w:rFonts w:hint="eastAsia" w:ascii="宋体" w:hAnsi="宋体" w:cs="宋体"/>
                <w:snapToGrid w:val="0"/>
                <w:color w:val="auto"/>
                <w:kern w:val="0"/>
                <w:szCs w:val="21"/>
                <w:highlight w:val="none"/>
                <w:lang w:val="en-US" w:eastAsia="zh-CN"/>
              </w:rPr>
              <w:t>并</w:t>
            </w:r>
            <w:r>
              <w:rPr>
                <w:rFonts w:hint="eastAsia" w:ascii="宋体" w:hAnsi="宋体" w:cs="宋体"/>
                <w:snapToGrid w:val="0"/>
                <w:color w:val="auto"/>
                <w:kern w:val="0"/>
                <w:szCs w:val="21"/>
                <w:highlight w:val="none"/>
              </w:rPr>
              <w:t>包括以下内容：</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（1）按照招标文件第二章3.2“投标报价”、第五章“工程量清单”的规定进行报价。</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（2）招标文件中规定工程量清单不允许修改的内容不得修改。</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w:t>
            </w:r>
            <w:r>
              <w:rPr>
                <w:rFonts w:hint="eastAsia" w:ascii="宋体" w:hAnsi="宋体" w:cs="宋体"/>
                <w:snapToGrid w:val="0"/>
                <w:color w:val="auto"/>
                <w:kern w:val="0"/>
                <w:szCs w:val="21"/>
                <w:highlight w:val="none"/>
                <w:lang w:val="en-US" w:eastAsia="zh-CN"/>
              </w:rPr>
              <w:t>3</w:t>
            </w:r>
            <w:r>
              <w:rPr>
                <w:rFonts w:hint="eastAsia" w:ascii="宋体" w:hAnsi="宋体" w:cs="宋体"/>
                <w:snapToGrid w:val="0"/>
                <w:color w:val="auto"/>
                <w:kern w:val="0"/>
                <w:szCs w:val="21"/>
                <w:highlight w:val="none"/>
              </w:rPr>
              <w:t>）若出现差错，按招标文件第二章投标人须知前附表第3.2款的第11条规定的原则进行处理（或结算）。</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投标人未按上述要求提供承诺的，由评标委员会作否决投标处理。</w:t>
            </w:r>
          </w:p>
          <w:bookmarkEnd w:id="208"/>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13.施工临时工程报价，由投标人自行了解清楚工程现场情况，并根据企业自身实力和施工组织设计自主报价，包干使用，其风险自行承担，投标人不得因为设计变更和其它不可预见因素等任何理由对此项费用进行索赔。施工临时工程费包括施工临时道路（场内、外）费、施工临时用水用电（场内、外）费、施工临时设施费和其它施工临时工程费。</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14.投标人应踏勘现场以充分了解工地位置、环境、道路、储存空间、装卸限制及地方材料等任何其他足以影响承包价的情况，任何因忽视或误解工地情况而导致对施工产生不利影响的情况的索赔或工期延长申请将被拒绝。</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15.在有条件的情况下招标人协助解决施工用水、电接口，否则自备发电机和自行抽水。如没有水电接口，投标人自己负责接口前的工作并支付所有费用，从接口至施工现场的施工用水的管道及临时用电线路的铺设均由投标人按批准的施工方案实施，招标人承担由此发生的所有费用。</w:t>
            </w:r>
          </w:p>
          <w:p>
            <w:pPr>
              <w:pStyle w:val="2"/>
              <w:keepNext w:val="0"/>
              <w:keepLines w:val="0"/>
              <w:pageBreakBefore w:val="0"/>
              <w:tabs>
                <w:tab w:val="left" w:pos="546"/>
                <w:tab w:val="left" w:pos="711"/>
              </w:tabs>
              <w:kinsoku/>
              <w:wordWrap/>
              <w:overflowPunct/>
              <w:topLinePunct w:val="0"/>
              <w:bidi w:val="0"/>
              <w:snapToGrid w:val="0"/>
              <w:spacing w:after="0" w:line="40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16.投标人应充分考虑多次多级别多时段的验收成本，并有义务到场接受验收，否则按照违约处理。</w:t>
            </w:r>
          </w:p>
          <w:p>
            <w:pPr>
              <w:pStyle w:val="2"/>
              <w:keepNext w:val="0"/>
              <w:keepLines w:val="0"/>
              <w:pageBreakBefore w:val="0"/>
              <w:tabs>
                <w:tab w:val="left" w:pos="546"/>
                <w:tab w:val="left" w:pos="711"/>
              </w:tabs>
              <w:kinsoku/>
              <w:wordWrap/>
              <w:overflowPunct/>
              <w:topLinePunct w:val="0"/>
              <w:bidi w:val="0"/>
              <w:snapToGrid w:val="0"/>
              <w:spacing w:after="0" w:line="400" w:lineRule="exact"/>
              <w:ind w:firstLine="420" w:firstLineChars="200"/>
              <w:textAlignment w:val="auto"/>
              <w:rPr>
                <w:rFonts w:hint="eastAsia" w:ascii="宋体" w:hAnsi="宋体" w:cs="宋体"/>
                <w:i/>
                <w:iCs/>
                <w:szCs w:val="21"/>
                <w:highlight w:val="none"/>
                <w:u w:val="none"/>
                <w:lang w:val="en-US" w:eastAsia="zh-CN"/>
              </w:rPr>
            </w:pPr>
            <w:r>
              <w:rPr>
                <w:rFonts w:hint="eastAsia" w:ascii="宋体" w:hAnsi="宋体" w:cs="宋体"/>
                <w:szCs w:val="21"/>
                <w:lang w:val="en-US" w:eastAsia="zh-CN"/>
              </w:rPr>
              <w:t>□17.异常低价警戒线要求</w:t>
            </w:r>
            <w:r>
              <w:rPr>
                <w:rFonts w:hint="eastAsia" w:ascii="宋体" w:hAnsi="宋体" w:cs="宋体"/>
                <w:szCs w:val="21"/>
              </w:rPr>
              <w:t>：</w:t>
            </w:r>
            <w:r>
              <w:rPr>
                <w:rFonts w:hint="eastAsia" w:ascii="宋体" w:hAnsi="宋体" w:cs="宋体"/>
                <w:szCs w:val="21"/>
                <w:u w:val="none"/>
                <w:lang w:val="en-US" w:eastAsia="zh-CN"/>
              </w:rPr>
              <w:t>最高限价的</w:t>
            </w:r>
            <w:r>
              <w:rPr>
                <w:rFonts w:hint="eastAsia" w:ascii="宋体" w:hAnsi="宋体" w:cs="宋体"/>
                <w:szCs w:val="21"/>
                <w:u w:val="single"/>
                <w:lang w:val="en-US" w:eastAsia="zh-CN"/>
              </w:rPr>
              <w:t xml:space="preserve">    %</w:t>
            </w:r>
            <w:r>
              <w:rPr>
                <w:rFonts w:hint="eastAsia" w:ascii="宋体" w:hAnsi="宋体" w:cs="宋体"/>
                <w:i w:val="0"/>
                <w:iCs w:val="0"/>
                <w:szCs w:val="21"/>
                <w:u w:val="none"/>
                <w:lang w:val="en-US" w:eastAsia="zh-CN"/>
              </w:rPr>
              <w:t>。</w:t>
            </w:r>
            <w:r>
              <w:rPr>
                <w:rFonts w:hint="eastAsia" w:ascii="宋体" w:hAnsi="宋体" w:cs="宋体"/>
                <w:i/>
                <w:iCs/>
                <w:szCs w:val="21"/>
                <w:highlight w:val="none"/>
                <w:u w:val="none"/>
                <w:lang w:val="en-US" w:eastAsia="zh-CN"/>
              </w:rPr>
              <w:t>[提示：</w:t>
            </w:r>
            <w:r>
              <w:rPr>
                <w:rFonts w:hint="eastAsia" w:ascii="宋体" w:hAnsi="宋体" w:cs="宋体"/>
                <w:i/>
                <w:iCs/>
                <w:szCs w:val="21"/>
                <w:highlight w:val="none"/>
                <w:u w:val="none"/>
              </w:rPr>
              <w:t>采用经评审的最低投标价法的，应当设置异常低价警戒线。采用综合评估法的，可以设置异常低价警戒线</w:t>
            </w:r>
            <w:r>
              <w:rPr>
                <w:rFonts w:hint="eastAsia" w:ascii="宋体" w:hAnsi="宋体" w:cs="宋体"/>
                <w:i/>
                <w:iCs/>
                <w:szCs w:val="21"/>
                <w:highlight w:val="none"/>
                <w:u w:val="none"/>
                <w:lang w:eastAsia="zh-CN"/>
              </w:rPr>
              <w:t>。设置的异常低价警戒线应综合考虑项目的建设、使用、维护、拆除、更新等各环节支出成本以及</w:t>
            </w:r>
            <w:r>
              <w:rPr>
                <w:rFonts w:hint="eastAsia" w:ascii="宋体" w:hAnsi="宋体" w:cs="宋体"/>
                <w:i/>
                <w:iCs/>
                <w:szCs w:val="21"/>
                <w:highlight w:val="none"/>
                <w:u w:val="none"/>
                <w:lang w:val="en-US" w:eastAsia="zh-CN"/>
              </w:rPr>
              <w:t>社会</w:t>
            </w:r>
            <w:r>
              <w:rPr>
                <w:rFonts w:hint="eastAsia" w:ascii="宋体" w:hAnsi="宋体" w:cs="宋体"/>
                <w:i/>
                <w:iCs/>
                <w:szCs w:val="21"/>
                <w:highlight w:val="none"/>
                <w:u w:val="none"/>
                <w:lang w:eastAsia="zh-CN"/>
              </w:rPr>
              <w:t>平均成本。</w:t>
            </w:r>
            <w:r>
              <w:rPr>
                <w:rFonts w:hint="eastAsia" w:ascii="宋体" w:hAnsi="宋体" w:cs="宋体"/>
                <w:i/>
                <w:iCs/>
                <w:szCs w:val="21"/>
                <w:highlight w:val="none"/>
                <w:u w:val="none"/>
                <w:lang w:val="en-US" w:eastAsia="zh-CN"/>
              </w:rPr>
              <w:t>]</w:t>
            </w:r>
          </w:p>
          <w:p>
            <w:pPr>
              <w:pStyle w:val="2"/>
              <w:snapToGrid/>
              <w:spacing w:after="0" w:line="400" w:lineRule="exact"/>
              <w:ind w:firstLine="420" w:firstLineChars="200"/>
              <w:rPr>
                <w:rFonts w:hint="default" w:ascii="宋体" w:hAnsi="宋体" w:cs="宋体"/>
                <w:i w:val="0"/>
                <w:iCs w:val="0"/>
                <w:szCs w:val="21"/>
                <w:u w:val="single"/>
                <w:lang w:val="en-US" w:eastAsia="zh-CN"/>
              </w:rPr>
            </w:pPr>
            <w:r>
              <w:rPr>
                <w:rFonts w:hint="eastAsia" w:ascii="宋体" w:hAnsi="宋体" w:cs="宋体"/>
                <w:i w:val="0"/>
                <w:iCs w:val="0"/>
                <w:szCs w:val="21"/>
                <w:u w:val="none"/>
                <w:lang w:val="en-US" w:eastAsia="zh-CN"/>
              </w:rPr>
              <w:t>□</w:t>
            </w:r>
            <w:r>
              <w:rPr>
                <w:rFonts w:hint="eastAsia" w:ascii="宋体" w:hAnsi="宋体" w:cs="宋体"/>
                <w:i w:val="0"/>
                <w:iCs w:val="0"/>
                <w:szCs w:val="21"/>
                <w:u w:val="single"/>
                <w:lang w:val="en-US" w:eastAsia="zh-CN"/>
              </w:rPr>
              <w:t xml:space="preserve">        </w:t>
            </w:r>
            <w:r>
              <w:rPr>
                <w:rFonts w:hint="eastAsia" w:ascii="宋体" w:hAnsi="宋体" w:cs="宋体"/>
                <w:i/>
                <w:iCs/>
                <w:szCs w:val="21"/>
                <w:u w:val="none"/>
                <w:lang w:val="en-US" w:eastAsia="zh-CN"/>
              </w:rPr>
              <w:t>[提示：招标人对单项报价有异常低价警戒线要求的，可自行列举部分单项进行约定。]</w:t>
            </w:r>
          </w:p>
          <w:p>
            <w:pPr>
              <w:pStyle w:val="2"/>
              <w:keepNext w:val="0"/>
              <w:keepLines w:val="0"/>
              <w:pageBreakBefore w:val="0"/>
              <w:tabs>
                <w:tab w:val="left" w:pos="546"/>
                <w:tab w:val="left" w:pos="711"/>
              </w:tabs>
              <w:kinsoku/>
              <w:wordWrap/>
              <w:overflowPunct/>
              <w:topLinePunct w:val="0"/>
              <w:bidi w:val="0"/>
              <w:snapToGrid w:val="0"/>
              <w:spacing w:after="0" w:line="400" w:lineRule="exact"/>
              <w:ind w:firstLine="420" w:firstLineChars="200"/>
              <w:textAlignment w:val="auto"/>
              <w:rPr>
                <w:rFonts w:hint="eastAsia" w:ascii="宋体" w:hAnsi="宋体" w:cs="宋体"/>
                <w:i w:val="0"/>
                <w:iCs w:val="0"/>
                <w:szCs w:val="21"/>
                <w:u w:val="none"/>
                <w:lang w:val="en-US" w:eastAsia="zh-CN"/>
              </w:rPr>
            </w:pPr>
            <w:r>
              <w:rPr>
                <w:rFonts w:hint="eastAsia" w:ascii="宋体" w:hAnsi="宋体" w:cs="宋体"/>
                <w:i w:val="0"/>
                <w:iCs w:val="0"/>
                <w:szCs w:val="21"/>
                <w:u w:val="none"/>
                <w:lang w:val="en-US" w:eastAsia="zh-CN"/>
              </w:rPr>
              <w:t>投标人投标总报价或者部分单项报价低于招标文件规定的对应的异常低价警戒线的，应提供报价合理性说明，</w:t>
            </w:r>
            <w:r>
              <w:rPr>
                <w:rFonts w:hint="eastAsia" w:ascii="宋体" w:hAnsi="宋体" w:cs="宋体"/>
                <w:szCs w:val="21"/>
              </w:rPr>
              <w:t>并提供必要的证明材料</w:t>
            </w:r>
            <w:r>
              <w:rPr>
                <w:rFonts w:hint="eastAsia" w:ascii="宋体" w:hAnsi="宋体" w:cs="宋体"/>
                <w:i w:val="0"/>
                <w:iCs w:val="0"/>
                <w:szCs w:val="21"/>
                <w:u w:val="none"/>
                <w:lang w:val="en-US" w:eastAsia="zh-CN"/>
              </w:rPr>
              <w:t>。投标人提供的说明不得降低或者改变原设计方案、技术工艺、施工标准，不得影响项目的质量、安全、工期、结算等正常履约。</w:t>
            </w:r>
          </w:p>
          <w:p>
            <w:pPr>
              <w:pStyle w:val="2"/>
              <w:keepNext w:val="0"/>
              <w:keepLines w:val="0"/>
              <w:pageBreakBefore w:val="0"/>
              <w:tabs>
                <w:tab w:val="left" w:pos="546"/>
                <w:tab w:val="left" w:pos="711"/>
              </w:tabs>
              <w:kinsoku/>
              <w:wordWrap/>
              <w:overflowPunct/>
              <w:topLinePunct w:val="0"/>
              <w:bidi w:val="0"/>
              <w:spacing w:after="0" w:line="400" w:lineRule="exact"/>
              <w:ind w:firstLine="420" w:firstLineChars="200"/>
              <w:textAlignment w:val="auto"/>
              <w:rPr>
                <w:rFonts w:hint="eastAsia" w:ascii="宋体" w:hAnsi="宋体" w:cs="宋体"/>
                <w:szCs w:val="21"/>
              </w:rPr>
            </w:pPr>
            <w:r>
              <w:rPr>
                <w:rFonts w:hint="eastAsia" w:ascii="宋体" w:hAnsi="宋体" w:cs="宋体"/>
                <w:i w:val="0"/>
                <w:iCs w:val="0"/>
                <w:szCs w:val="21"/>
                <w:u w:val="none"/>
                <w:lang w:val="en-US" w:eastAsia="zh-CN"/>
              </w:rPr>
              <w:t>投标人投标总报价或者部分单项报价</w:t>
            </w:r>
            <w:r>
              <w:rPr>
                <w:rFonts w:hint="eastAsia" w:ascii="宋体" w:hAnsi="宋体" w:cs="宋体"/>
                <w:szCs w:val="21"/>
              </w:rPr>
              <w:t>低于招标文件</w:t>
            </w:r>
            <w:r>
              <w:rPr>
                <w:rFonts w:hint="eastAsia" w:ascii="宋体" w:hAnsi="宋体" w:cs="宋体"/>
                <w:i w:val="0"/>
                <w:iCs w:val="0"/>
                <w:szCs w:val="21"/>
                <w:u w:val="none"/>
                <w:lang w:val="en-US" w:eastAsia="zh-CN"/>
              </w:rPr>
              <w:t>规定的对应的异常低价警戒线的</w:t>
            </w:r>
            <w:r>
              <w:rPr>
                <w:rFonts w:hint="eastAsia" w:ascii="宋体" w:hAnsi="宋体" w:cs="宋体"/>
                <w:szCs w:val="21"/>
              </w:rPr>
              <w:t>，投标人未提供</w:t>
            </w:r>
            <w:r>
              <w:rPr>
                <w:rFonts w:hint="eastAsia" w:ascii="宋体" w:hAnsi="宋体" w:cs="宋体"/>
                <w:szCs w:val="21"/>
                <w:lang w:val="en-US" w:eastAsia="zh-CN"/>
              </w:rPr>
              <w:t>报价合理性</w:t>
            </w:r>
            <w:r>
              <w:rPr>
                <w:rFonts w:hint="eastAsia" w:ascii="宋体" w:hAnsi="宋体" w:cs="宋体"/>
                <w:szCs w:val="21"/>
              </w:rPr>
              <w:t>说明或者提供的说明不能证明其报价合理性的，</w:t>
            </w:r>
            <w:r>
              <w:rPr>
                <w:rFonts w:hint="eastAsia"/>
              </w:rPr>
              <w:t>由评标委员会作否决投标处理</w:t>
            </w:r>
            <w:r>
              <w:rPr>
                <w:rFonts w:hint="eastAsia" w:ascii="宋体" w:hAnsi="宋体" w:cs="宋体"/>
                <w:szCs w:val="21"/>
              </w:rPr>
              <w:t>。</w:t>
            </w:r>
          </w:p>
          <w:p>
            <w:pPr>
              <w:pStyle w:val="2"/>
              <w:keepNext w:val="0"/>
              <w:keepLines w:val="0"/>
              <w:pageBreakBefore w:val="0"/>
              <w:kinsoku/>
              <w:wordWrap/>
              <w:overflowPunct/>
              <w:topLinePunct w:val="0"/>
              <w:bidi w:val="0"/>
              <w:spacing w:after="0" w:line="400" w:lineRule="exact"/>
              <w:ind w:firstLine="420" w:firstLineChars="200"/>
              <w:textAlignment w:val="auto"/>
              <w:rPr>
                <w:rFonts w:ascii="宋体" w:hAnsi="宋体"/>
                <w:color w:val="auto"/>
                <w:szCs w:val="21"/>
                <w:highlight w:val="none"/>
              </w:rPr>
            </w:pPr>
            <w:r>
              <w:rPr>
                <w:rFonts w:hint="eastAsia" w:ascii="宋体" w:hAnsi="宋体" w:cs="宋体"/>
                <w:b w:val="0"/>
                <w:bCs/>
                <w:i/>
                <w:color w:val="auto"/>
                <w:szCs w:val="21"/>
                <w:highlight w:val="none"/>
              </w:rPr>
              <w:t>[提示：招标人在编制招标文件时，可根据实际情况在3.2款中予以增加</w:t>
            </w:r>
            <w:r>
              <w:rPr>
                <w:rFonts w:hint="eastAsia" w:ascii="宋体" w:hAnsi="宋体" w:cs="宋体"/>
                <w:b w:val="0"/>
                <w:bCs/>
                <w:i/>
                <w:color w:val="auto"/>
                <w:szCs w:val="21"/>
                <w:highlight w:val="none"/>
                <w:lang w:val="en-US" w:eastAsia="zh-CN"/>
              </w:rPr>
              <w:t>或修改</w:t>
            </w:r>
            <w:r>
              <w:rPr>
                <w:rFonts w:hint="eastAsia" w:ascii="宋体" w:hAnsi="宋体" w:cs="宋体"/>
                <w:b w:val="0"/>
                <w:bCs/>
                <w:i/>
                <w:color w:val="auto"/>
                <w:szCs w:val="21"/>
                <w:highlight w:val="none"/>
              </w:rPr>
              <w:t>相关内容，但增加</w:t>
            </w:r>
            <w:r>
              <w:rPr>
                <w:rFonts w:hint="eastAsia" w:ascii="宋体" w:hAnsi="宋体" w:cs="宋体"/>
                <w:b w:val="0"/>
                <w:bCs/>
                <w:i/>
                <w:color w:val="auto"/>
                <w:szCs w:val="21"/>
                <w:highlight w:val="none"/>
                <w:lang w:val="en-US" w:eastAsia="zh-CN"/>
              </w:rPr>
              <w:t>或修改</w:t>
            </w:r>
            <w:r>
              <w:rPr>
                <w:rFonts w:hint="eastAsia" w:ascii="宋体" w:hAnsi="宋体" w:cs="宋体"/>
                <w:b w:val="0"/>
                <w:bCs/>
                <w:i/>
                <w:color w:val="auto"/>
                <w:szCs w:val="21"/>
                <w:highlight w:val="none"/>
              </w:rPr>
              <w:t>的内容不得违背法律、法规及规范性文件的规定。引用的规范性文件若有更新，以最新</w:t>
            </w:r>
            <w:r>
              <w:rPr>
                <w:rFonts w:hint="eastAsia" w:ascii="宋体" w:hAnsi="宋体" w:cs="宋体"/>
                <w:b w:val="0"/>
                <w:bCs/>
                <w:i/>
                <w:color w:val="auto"/>
                <w:szCs w:val="21"/>
                <w:highlight w:val="none"/>
                <w:lang w:val="en-US" w:eastAsia="zh-CN"/>
              </w:rPr>
              <w:t>文件</w:t>
            </w:r>
            <w:r>
              <w:rPr>
                <w:rFonts w:hint="eastAsia" w:ascii="宋体" w:hAnsi="宋体" w:cs="宋体"/>
                <w:b w:val="0"/>
                <w:bCs/>
                <w:i/>
                <w:color w:val="auto"/>
                <w:szCs w:val="21"/>
                <w:highlight w:val="none"/>
              </w:rPr>
              <w:t>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3.3.1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投标有效期</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ascii="宋体" w:hAnsi="宋体"/>
                <w:color w:val="auto"/>
                <w:szCs w:val="21"/>
                <w:highlight w:val="none"/>
                <w:u w:val="single"/>
              </w:rPr>
              <w:t xml:space="preserve">       </w:t>
            </w:r>
            <w:r>
              <w:rPr>
                <w:rFonts w:ascii="宋体" w:hAnsi="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3.4</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投标保证金</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不要求。</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要求，</w:t>
            </w:r>
            <w:r>
              <w:rPr>
                <w:rFonts w:hint="eastAsia" w:asciiTheme="minorEastAsia" w:hAnsiTheme="minorEastAsia" w:eastAsiaTheme="minorEastAsia" w:cstheme="minorEastAsia"/>
                <w:color w:val="auto"/>
                <w:szCs w:val="21"/>
                <w:highlight w:val="none"/>
              </w:rPr>
              <w:t>投标保证金的交纳方式：投标人可选择以下三种方式之一。</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方式一</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color w:val="auto"/>
                <w:highlight w:val="none"/>
              </w:rPr>
              <w:t>一、</w:t>
            </w:r>
            <w:r>
              <w:rPr>
                <w:rFonts w:hint="eastAsia"/>
                <w:color w:val="auto"/>
                <w:highlight w:val="none"/>
              </w:rPr>
              <w:t>以电子投标保函形式交纳投标保证金</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若投标截止时间延期，则电子投标保函提交的截止时间和投标截止时间应当保持一致。</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不满足上述要求的电子</w:t>
            </w:r>
            <w:r>
              <w:rPr>
                <w:color w:val="auto"/>
                <w:highlight w:val="none"/>
              </w:rPr>
              <w:t>投标保函</w:t>
            </w:r>
            <w:r>
              <w:rPr>
                <w:rFonts w:hint="eastAsia"/>
                <w:color w:val="auto"/>
                <w:highlight w:val="none"/>
                <w:lang w:val="en-US" w:eastAsia="zh-CN"/>
              </w:rPr>
              <w:t>视为</w:t>
            </w:r>
            <w:r>
              <w:rPr>
                <w:color w:val="auto"/>
                <w:highlight w:val="none"/>
              </w:rPr>
              <w:t>无效。</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color w:val="auto"/>
                <w:highlight w:val="none"/>
              </w:rPr>
              <w:t>2</w:t>
            </w:r>
            <w:r>
              <w:rPr>
                <w:rFonts w:hint="eastAsia"/>
                <w:color w:val="auto"/>
                <w:highlight w:val="none"/>
              </w:rPr>
              <w:t>. 以电子投标保函形式担保的</w:t>
            </w:r>
            <w:r>
              <w:rPr>
                <w:color w:val="auto"/>
                <w:highlight w:val="none"/>
              </w:rPr>
              <w:t>投标保证金的金额：</w:t>
            </w:r>
            <w:r>
              <w:rPr>
                <w:color w:val="auto"/>
                <w:highlight w:val="none"/>
                <w:u w:val="single"/>
              </w:rPr>
              <w:t xml:space="preserve">    </w:t>
            </w:r>
            <w:r>
              <w:rPr>
                <w:rFonts w:hint="eastAsia"/>
                <w:color w:val="auto"/>
                <w:highlight w:val="none"/>
                <w:u w:val="single"/>
              </w:rPr>
              <w:t xml:space="preserve">  </w:t>
            </w:r>
            <w:r>
              <w:rPr>
                <w:color w:val="auto"/>
                <w:highlight w:val="none"/>
              </w:rPr>
              <w:t>万元整（人民币）</w:t>
            </w:r>
            <w:r>
              <w:rPr>
                <w:rFonts w:hint="eastAsia"/>
                <w:color w:val="auto"/>
                <w:highlight w:val="none"/>
              </w:rPr>
              <w:t>，重庆市工程建设领域招标投标守信激励对象名单（以下简称红名单）中的投标人</w:t>
            </w:r>
            <w:r>
              <w:rPr>
                <w:rFonts w:hint="eastAsia"/>
                <w:color w:val="auto"/>
                <w:highlight w:val="none"/>
                <w:lang w:eastAsia="zh-CN"/>
              </w:rPr>
              <w:t>，</w:t>
            </w:r>
            <w:r>
              <w:rPr>
                <w:rFonts w:hint="eastAsia"/>
                <w:color w:val="auto"/>
                <w:highlight w:val="none"/>
              </w:rPr>
              <w:t>投标保证金金额为应缴纳金额的50%，其中非联合体投标的，须投标人所属红名单类别包含在招标范围内；联合体投标的，须联合体牵头人在红名单中，并且按照</w:t>
            </w:r>
            <w:r>
              <w:rPr>
                <w:rFonts w:hint="eastAsia"/>
                <w:color w:val="auto"/>
                <w:highlight w:val="none"/>
                <w:lang w:eastAsia="zh-CN"/>
              </w:rPr>
              <w:t>共同投标协议</w:t>
            </w:r>
            <w:r>
              <w:rPr>
                <w:rFonts w:hint="eastAsia"/>
                <w:color w:val="auto"/>
                <w:highlight w:val="none"/>
              </w:rPr>
              <w:t>牵头人所属红名单类别包含在其工作范围内。投标人是否属于红名单，以开标环节信用状况查询结果为准。</w:t>
            </w:r>
          </w:p>
          <w:p>
            <w:pPr>
              <w:keepNext w:val="0"/>
              <w:keepLines w:val="0"/>
              <w:pageBreakBefore w:val="0"/>
              <w:kinsoku/>
              <w:wordWrap/>
              <w:overflowPunct/>
              <w:topLinePunct w:val="0"/>
              <w:bidi w:val="0"/>
              <w:snapToGrid w:val="0"/>
              <w:spacing w:line="400" w:lineRule="exact"/>
              <w:ind w:firstLine="420" w:firstLineChars="200"/>
              <w:textAlignment w:val="auto"/>
              <w:rPr>
                <w:i/>
                <w:iCs/>
                <w:color w:val="auto"/>
                <w:highlight w:val="none"/>
              </w:rPr>
            </w:pPr>
            <w:r>
              <w:rPr>
                <w:rFonts w:hint="eastAsia"/>
                <w:i/>
                <w:iCs/>
                <w:color w:val="auto"/>
                <w:highlight w:val="none"/>
              </w:rPr>
              <w:t>[提示：投标保证金金额不超过该招标项目估算价或经批准的概算金额或最高限价的2%。]</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w:t>
            </w:r>
            <w:r>
              <w:rPr>
                <w:rFonts w:hint="eastAsia" w:ascii="宋体" w:hAnsi="宋体" w:cs="宋体"/>
                <w:color w:val="auto"/>
                <w:highlight w:val="none"/>
              </w:rPr>
              <w:t>对符合《关于印发中小企业划型标准规定的通知》（工信部联企业〔2011〕300号）规定的</w:t>
            </w:r>
            <w:r>
              <w:rPr>
                <w:rFonts w:hint="eastAsia"/>
                <w:color w:val="auto"/>
                <w:highlight w:val="none"/>
                <w:u w:val="single"/>
              </w:rPr>
              <w:t xml:space="preserve">            </w:t>
            </w:r>
            <w:r>
              <w:rPr>
                <w:rFonts w:hint="eastAsia"/>
                <w:color w:val="auto"/>
                <w:highlight w:val="none"/>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w:t>
            </w:r>
            <w:r>
              <w:rPr>
                <w:rFonts w:hint="eastAsia" w:ascii="宋体" w:hAnsi="宋体" w:cs="宋体"/>
                <w:color w:val="auto"/>
                <w:highlight w:val="none"/>
              </w:rPr>
              <w:t>对符合《关于印发中小企业划型标准规定的通知》（工信部联企业〔2011〕300号）规定的</w:t>
            </w:r>
            <w:r>
              <w:rPr>
                <w:rFonts w:hint="eastAsia"/>
                <w:color w:val="auto"/>
                <w:highlight w:val="none"/>
                <w:u w:val="single"/>
              </w:rPr>
              <w:t xml:space="preserve">            </w:t>
            </w:r>
            <w:r>
              <w:rPr>
                <w:rFonts w:hint="eastAsia"/>
                <w:color w:val="auto"/>
                <w:highlight w:val="none"/>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jc w:val="left"/>
              <w:textAlignment w:val="auto"/>
              <w:rPr>
                <w:i/>
                <w:iCs/>
                <w:color w:val="auto"/>
                <w:highlight w:val="none"/>
              </w:rPr>
            </w:pPr>
            <w:r>
              <w:rPr>
                <w:rFonts w:hint="eastAsia"/>
                <w:i/>
                <w:iCs/>
                <w:color w:val="auto"/>
                <w:highlight w:val="none"/>
              </w:rPr>
              <w:t>[提示： 招标人可自行决定是否设置上述条款，若需要设置，则在上述选项中只可选择其中一项进行设置]。</w:t>
            </w:r>
          </w:p>
          <w:p>
            <w:pPr>
              <w:keepNext w:val="0"/>
              <w:keepLines w:val="0"/>
              <w:pageBreakBefore w:val="0"/>
              <w:kinsoku/>
              <w:wordWrap/>
              <w:overflowPunct/>
              <w:topLinePunct w:val="0"/>
              <w:bidi w:val="0"/>
              <w:spacing w:line="400" w:lineRule="exact"/>
              <w:ind w:firstLine="420" w:firstLineChars="200"/>
              <w:textAlignment w:val="auto"/>
              <w:rPr>
                <w:color w:val="auto"/>
                <w:highlight w:val="none"/>
              </w:rPr>
            </w:pPr>
            <w:r>
              <w:rPr>
                <w:rFonts w:hint="eastAsia"/>
                <w:color w:val="auto"/>
                <w:highlight w:val="none"/>
              </w:rPr>
              <w:t>3. 电子投标保函</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以重庆市公共资源交易中心开标现场展示的电子投标保函交纳情况为准，投标人在投标时无须再提供电子投标保函的相关资料。</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4.</w:t>
            </w:r>
            <w:r>
              <w:rPr>
                <w:color w:val="auto"/>
                <w:highlight w:val="none"/>
              </w:rPr>
              <w:t xml:space="preserve"> </w:t>
            </w:r>
            <w:r>
              <w:rPr>
                <w:rFonts w:hint="eastAsia"/>
                <w:color w:val="auto"/>
                <w:highlight w:val="none"/>
              </w:rPr>
              <w:t>若投标人为联合体，则由联合体牵头人提供电子投标保函。</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color w:val="auto"/>
                <w:highlight w:val="none"/>
              </w:rPr>
              <w:t>二、</w:t>
            </w:r>
            <w:r>
              <w:rPr>
                <w:rFonts w:hint="eastAsia"/>
                <w:color w:val="auto"/>
                <w:highlight w:val="none"/>
              </w:rPr>
              <w:t>电子</w:t>
            </w:r>
            <w:r>
              <w:rPr>
                <w:color w:val="auto"/>
                <w:highlight w:val="none"/>
              </w:rPr>
              <w:t>投标保函的</w:t>
            </w:r>
            <w:r>
              <w:rPr>
                <w:rFonts w:hint="eastAsia"/>
                <w:color w:val="auto"/>
                <w:highlight w:val="none"/>
              </w:rPr>
              <w:t>注销</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，向除中标人以外的投标人退还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ascii="宋体" w:hAnsi="宋体" w:eastAsia="宋体" w:cs="宋体"/>
              </w:rPr>
              <w:t>。</w:t>
            </w:r>
          </w:p>
          <w:p>
            <w:pPr>
              <w:keepNext w:val="0"/>
              <w:keepLines w:val="0"/>
              <w:pageBreakBefore w:val="0"/>
              <w:kinsoku/>
              <w:wordWrap/>
              <w:overflowPunct/>
              <w:topLinePunct w:val="0"/>
              <w:bidi w:val="0"/>
              <w:spacing w:line="400" w:lineRule="exact"/>
              <w:ind w:firstLine="420" w:firstLineChars="200"/>
              <w:textAlignment w:val="auto"/>
              <w:rPr>
                <w:color w:val="auto"/>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，向中标人退还</w:t>
            </w:r>
            <w:r>
              <w:rPr>
                <w:rFonts w:hint="eastAsia" w:ascii="宋体" w:hAnsi="宋体" w:eastAsia="宋体" w:cs="宋体"/>
                <w:color w:val="auto"/>
                <w:highlight w:val="none"/>
              </w:rPr>
              <w:t>电子投标保函</w:t>
            </w:r>
            <w:r>
              <w:rPr>
                <w:rFonts w:hint="eastAsia" w:ascii="宋体" w:hAnsi="宋体" w:eastAsia="宋体" w:cs="宋体"/>
                <w:color w:val="auto"/>
                <w:highlight w:val="none"/>
                <w:lang w:eastAsia="zh-CN"/>
              </w:rPr>
              <w:t>，并书面通知</w:t>
            </w:r>
            <w:r>
              <w:rPr>
                <w:rFonts w:hint="eastAsia" w:ascii="宋体" w:hAnsi="宋体" w:eastAsia="宋体" w:cs="宋体"/>
                <w:color w:val="auto"/>
                <w:highlight w:val="none"/>
              </w:rPr>
              <w:t>保函出具机构</w:t>
            </w:r>
            <w:r>
              <w:rPr>
                <w:rFonts w:hint="eastAsia" w:ascii="宋体" w:hAnsi="宋体" w:eastAsia="宋体" w:cs="宋体"/>
                <w:color w:val="auto"/>
                <w:highlight w:val="none"/>
                <w:lang w:eastAsia="zh-CN"/>
              </w:rPr>
              <w:t>本项目准予</w:t>
            </w:r>
            <w:r>
              <w:rPr>
                <w:rFonts w:hint="eastAsia" w:ascii="宋体" w:hAnsi="宋体" w:eastAsia="宋体" w:cs="宋体"/>
                <w:color w:val="auto"/>
                <w:highlight w:val="none"/>
              </w:rPr>
              <w:t>注销电子投标保函。具体注销事宜由投标人与</w:t>
            </w:r>
            <w:r>
              <w:rPr>
                <w:rFonts w:hint="eastAsia" w:ascii="宋体" w:hAnsi="宋体" w:eastAsia="宋体" w:cs="宋体"/>
                <w:color w:val="auto"/>
                <w:highlight w:val="none"/>
                <w:lang w:eastAsia="zh-CN"/>
              </w:rPr>
              <w:t>保函出具机构</w:t>
            </w:r>
            <w:r>
              <w:rPr>
                <w:rFonts w:hint="eastAsia" w:ascii="宋体" w:hAnsi="宋体" w:eastAsia="宋体" w:cs="宋体"/>
                <w:color w:val="auto"/>
                <w:highlight w:val="none"/>
              </w:rPr>
              <w:t>协商</w:t>
            </w:r>
            <w:r>
              <w:rPr>
                <w:rFonts w:hint="eastAsia"/>
                <w:color w:val="auto"/>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方式二</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一、以转账支票或电汇形式交纳投标保证金</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1、投标保证金交款形式及要求：投标人从企业的基本账户（开户行）在投标截止时间前通过转账支票直接划付或以电汇方式直接划付至指定的投标保证金账户。若投标截止时间延期，则投标保证金提交的截止时间和投标截止时间应当保持一致。不满足上述要求的投标保证金</w:t>
            </w:r>
            <w:r>
              <w:rPr>
                <w:rFonts w:hint="eastAsia"/>
                <w:color w:val="auto"/>
                <w:highlight w:val="none"/>
                <w:lang w:val="en-US" w:eastAsia="zh-CN"/>
              </w:rPr>
              <w:t>视为</w:t>
            </w:r>
            <w:r>
              <w:rPr>
                <w:color w:val="auto"/>
                <w:highlight w:val="none"/>
              </w:rPr>
              <w:t>无效。</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投标人自行考虑汇入时间风险，如同城汇入、异地汇入、跨行汇入的时间要求。</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2、以转账支票或电汇形式提交投标保证金的金额：</w:t>
            </w:r>
            <w:r>
              <w:rPr>
                <w:rFonts w:hint="eastAsia"/>
                <w:color w:val="auto"/>
                <w:highlight w:val="none"/>
                <w:u w:val="single"/>
              </w:rPr>
              <w:t xml:space="preserve">    </w:t>
            </w:r>
            <w:r>
              <w:rPr>
                <w:rFonts w:hint="eastAsia"/>
                <w:color w:val="auto"/>
                <w:highlight w:val="none"/>
              </w:rPr>
              <w:t>万元整（人民币），红名单中的投标人</w:t>
            </w:r>
            <w:r>
              <w:rPr>
                <w:rFonts w:hint="eastAsia"/>
                <w:color w:val="auto"/>
                <w:highlight w:val="none"/>
                <w:lang w:eastAsia="zh-CN"/>
              </w:rPr>
              <w:t>，</w:t>
            </w:r>
            <w:r>
              <w:rPr>
                <w:rFonts w:hint="eastAsia"/>
                <w:color w:val="auto"/>
                <w:highlight w:val="none"/>
              </w:rPr>
              <w:t>投标保证金金额为应缴纳金额的50%，其中非联合体投标的，须投标人所属红名单类别包含在招标范围内；联合体投标的，须联合体牵头人在红名单中，并且按照</w:t>
            </w:r>
            <w:r>
              <w:rPr>
                <w:rFonts w:hint="eastAsia"/>
                <w:color w:val="auto"/>
                <w:highlight w:val="none"/>
                <w:lang w:eastAsia="zh-CN"/>
              </w:rPr>
              <w:t>共同投标协议</w:t>
            </w:r>
            <w:r>
              <w:rPr>
                <w:rFonts w:hint="eastAsia"/>
                <w:color w:val="auto"/>
                <w:highlight w:val="none"/>
              </w:rPr>
              <w:t>牵头人所属红名单类别包含在其工作范围内。投标人是否属于红名单，以开标环节信用状况查询结果为准。</w:t>
            </w:r>
          </w:p>
          <w:p>
            <w:pPr>
              <w:keepNext w:val="0"/>
              <w:keepLines w:val="0"/>
              <w:pageBreakBefore w:val="0"/>
              <w:kinsoku/>
              <w:wordWrap/>
              <w:overflowPunct/>
              <w:topLinePunct w:val="0"/>
              <w:bidi w:val="0"/>
              <w:spacing w:line="400" w:lineRule="exact"/>
              <w:ind w:firstLine="420" w:firstLineChars="200"/>
              <w:textAlignment w:val="auto"/>
              <w:rPr>
                <w:i/>
                <w:iCs/>
                <w:color w:val="auto"/>
                <w:highlight w:val="none"/>
              </w:rPr>
            </w:pPr>
            <w:r>
              <w:rPr>
                <w:rFonts w:hint="eastAsia"/>
                <w:i/>
                <w:iCs/>
                <w:color w:val="auto"/>
                <w:highlight w:val="none"/>
              </w:rPr>
              <w:t>[提示：投标保证金金额不超过该招标项目估算价或经批准的概算金额或最高限价的2%。]</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w:t>
            </w:r>
            <w:r>
              <w:rPr>
                <w:rFonts w:hint="eastAsia" w:ascii="宋体" w:hAnsi="宋体" w:cs="宋体"/>
                <w:color w:val="auto"/>
                <w:highlight w:val="none"/>
              </w:rPr>
              <w:t>对符合《关于印发中小企业划型标准规定的通知》（工信部联企业〔2011〕300号）规定的</w:t>
            </w:r>
            <w:r>
              <w:rPr>
                <w:rFonts w:hint="eastAsia"/>
                <w:color w:val="auto"/>
                <w:highlight w:val="none"/>
                <w:u w:val="single"/>
              </w:rPr>
              <w:t xml:space="preserve">           </w:t>
            </w:r>
            <w:r>
              <w:rPr>
                <w:rFonts w:hint="eastAsia"/>
                <w:color w:val="auto"/>
                <w:highlight w:val="none"/>
              </w:rPr>
              <w:t>行业的中小微企业投标人免除投标保证金；其中，以联合体形式参与投标的，联合体所有成员均为符合该行业标准的中小微企业的，该联合体方可免除投标保证金。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w:t>
            </w:r>
            <w:r>
              <w:rPr>
                <w:rFonts w:hint="eastAsia" w:ascii="宋体" w:hAnsi="宋体" w:cs="宋体"/>
                <w:color w:val="auto"/>
                <w:highlight w:val="none"/>
              </w:rPr>
              <w:t>对符合《关于印发中小企业划型标准规定的通知》（工信部联企业〔2011〕300号）规定的</w:t>
            </w:r>
            <w:r>
              <w:rPr>
                <w:rFonts w:hint="eastAsia"/>
                <w:color w:val="auto"/>
                <w:highlight w:val="none"/>
                <w:u w:val="single"/>
              </w:rPr>
              <w:t xml:space="preserve">            </w:t>
            </w:r>
            <w:r>
              <w:rPr>
                <w:rFonts w:hint="eastAsia"/>
                <w:color w:val="auto"/>
                <w:highlight w:val="none"/>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i/>
                <w:iCs/>
                <w:color w:val="auto"/>
                <w:highlight w:val="none"/>
              </w:rPr>
            </w:pPr>
            <w:r>
              <w:rPr>
                <w:rFonts w:hint="eastAsia"/>
                <w:i/>
                <w:iCs/>
                <w:color w:val="auto"/>
                <w:highlight w:val="none"/>
              </w:rPr>
              <w:t>[提示： 招标人可自行决定是否设置上述条款，若需要设置，则在上述选项中只可选择其中一项进行设置]。</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3、投标保证金账户及账号（任选其一）：</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详见</w:t>
            </w:r>
            <w:r>
              <w:rPr>
                <w:rFonts w:hint="eastAsia"/>
                <w:color w:val="auto"/>
                <w:highlight w:val="none"/>
                <w:u w:val="single"/>
              </w:rPr>
              <w:t>重庆市公共资源交易网</w:t>
            </w:r>
            <w:r>
              <w:rPr>
                <w:rFonts w:hint="eastAsia"/>
                <w:color w:val="auto"/>
                <w:highlight w:val="none"/>
              </w:rPr>
              <w:t>对应本项目招标公告信息栏中的保证金信息。</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投标保证金以重庆市公共资源交易中心开标现场展示的保证金交纳情况为准。投标人须在投标文件资格审查部分“（八）其他资料”中提供企业基本账户开户证明文件。</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 xml:space="preserve">4、投标人必须在付款凭证备注栏中注明是“ </w:t>
            </w:r>
            <w:r>
              <w:rPr>
                <w:rFonts w:hint="eastAsia"/>
                <w:color w:val="auto"/>
                <w:highlight w:val="none"/>
                <w:u w:val="single"/>
              </w:rPr>
              <w:t xml:space="preserve">       </w:t>
            </w:r>
            <w:r>
              <w:rPr>
                <w:rFonts w:hint="eastAsia"/>
                <w:color w:val="auto"/>
                <w:highlight w:val="none"/>
              </w:rPr>
              <w:t>项目投标保证金”。项目名称可简写成：</w:t>
            </w:r>
            <w:r>
              <w:rPr>
                <w:rFonts w:hint="eastAsia"/>
                <w:color w:val="auto"/>
                <w:highlight w:val="none"/>
                <w:u w:val="single"/>
              </w:rPr>
              <w:t xml:space="preserve">        </w:t>
            </w:r>
            <w:r>
              <w:rPr>
                <w:rFonts w:hint="eastAsia"/>
                <w:color w:val="auto"/>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5、投标保证金有效期与投标有效期一致。</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6、根据重庆市公共资源交易中心《关于开展公共资源交易市场主体信息登记工作的公告》的要求，投标人在开标前需在</w:t>
            </w:r>
            <w:r>
              <w:rPr>
                <w:rFonts w:hint="eastAsia"/>
                <w:color w:val="auto"/>
                <w:highlight w:val="none"/>
                <w:u w:val="single"/>
              </w:rPr>
              <w:t>重庆市公共资源交易网</w:t>
            </w:r>
            <w:r>
              <w:rPr>
                <w:rFonts w:hint="eastAsia"/>
                <w:color w:val="auto"/>
                <w:highlight w:val="none"/>
              </w:rPr>
              <w:t>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7、若投标人为联合体，则由联合体牵头人提交投标保证金。</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二、投标保证金的退还</w:t>
            </w:r>
          </w:p>
          <w:p>
            <w:pPr>
              <w:snapToGrid w:val="0"/>
              <w:spacing w:line="400" w:lineRule="exact"/>
              <w:ind w:firstLine="420" w:firstLineChars="200"/>
              <w:rPr>
                <w:rFonts w:hint="eastAsia" w:ascii="宋体" w:hAnsi="宋体" w:eastAsia="宋体" w:cs="宋体"/>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向除中标人以外的投标人，退还投标保证金及银行同期活期存款利息</w:t>
            </w:r>
            <w:r>
              <w:rPr>
                <w:rFonts w:hint="eastAsia" w:ascii="宋体" w:hAnsi="宋体" w:eastAsia="宋体" w:cs="宋体"/>
              </w:rPr>
              <w:t>。</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ascii="宋体" w:hAnsi="宋体" w:eastAsia="宋体" w:cs="宋体"/>
                <w:color w:val="auto"/>
                <w:highlight w:val="none"/>
              </w:rPr>
              <w:t>招标人应当在法定时间内和中标人签订合同。招标人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招标人与中标人签订</w:t>
            </w:r>
            <w:r>
              <w:rPr>
                <w:rFonts w:hint="eastAsia" w:ascii="宋体" w:hAnsi="宋体" w:eastAsia="宋体" w:cs="宋体"/>
                <w:color w:val="auto"/>
                <w:highlight w:val="none"/>
              </w:rPr>
              <w:t>合同后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日内，向中标人退还投标保证金及银行同期活期存款利息</w:t>
            </w:r>
            <w:r>
              <w:rPr>
                <w:rFonts w:hint="eastAsia"/>
                <w:color w:val="auto"/>
                <w:highlight w:val="none"/>
              </w:rPr>
              <w:t>。</w:t>
            </w:r>
          </w:p>
          <w:p>
            <w:pPr>
              <w:keepNext w:val="0"/>
              <w:keepLines w:val="0"/>
              <w:pageBreakBefore w:val="0"/>
              <w:kinsoku/>
              <w:wordWrap/>
              <w:overflowPunct/>
              <w:topLinePunct w:val="0"/>
              <w:bidi w:val="0"/>
              <w:snapToGrid w:val="0"/>
              <w:spacing w:line="400" w:lineRule="exact"/>
              <w:ind w:firstLine="420" w:firstLineChars="200"/>
              <w:jc w:val="left"/>
              <w:textAlignment w:val="auto"/>
              <w:rPr>
                <w:color w:val="auto"/>
                <w:highlight w:val="none"/>
              </w:rPr>
            </w:pPr>
            <w:r>
              <w:rPr>
                <w:rFonts w:hint="eastAsia"/>
                <w:color w:val="auto"/>
                <w:highlight w:val="none"/>
              </w:rPr>
              <w:t>投标保证金专用账户由重庆市公共资源交易中心</w:t>
            </w:r>
            <w:r>
              <w:rPr>
                <w:rFonts w:hint="eastAsia"/>
                <w:color w:val="auto"/>
                <w:highlight w:val="none"/>
                <w:lang w:val="en-US" w:eastAsia="zh-CN"/>
              </w:rPr>
              <w:t>指定</w:t>
            </w:r>
            <w:r>
              <w:rPr>
                <w:rFonts w:hint="eastAsia"/>
                <w:color w:val="auto"/>
                <w:highlight w:val="none"/>
              </w:rPr>
              <w:t>，关于保证金相关情况的问题请咨询重庆市公共资源交易中心，联系电话023-</w:t>
            </w:r>
            <w:r>
              <w:rPr>
                <w:rFonts w:hint="eastAsia"/>
                <w:color w:val="auto"/>
                <w:highlight w:val="none"/>
                <w:u w:val="single"/>
              </w:rPr>
              <w:t xml:space="preserve">     </w:t>
            </w:r>
            <w:r>
              <w:rPr>
                <w:rFonts w:hint="eastAsia"/>
                <w:color w:val="auto"/>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方式三</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color w:val="auto"/>
                <w:highlight w:val="none"/>
              </w:rPr>
              <w:t>一、</w:t>
            </w:r>
            <w:r>
              <w:rPr>
                <w:rFonts w:hint="eastAsia"/>
                <w:color w:val="auto"/>
                <w:highlight w:val="none"/>
              </w:rPr>
              <w:t>以纸质投标保函形式交纳投标保证金</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color w:val="auto"/>
                <w:highlight w:val="none"/>
              </w:rPr>
              <w:t>1</w:t>
            </w:r>
            <w:r>
              <w:rPr>
                <w:rFonts w:hint="eastAsia"/>
                <w:color w:val="auto"/>
                <w:highlight w:val="none"/>
              </w:rPr>
              <w:t>. 纸质投标保函</w:t>
            </w:r>
            <w:r>
              <w:rPr>
                <w:color w:val="auto"/>
                <w:highlight w:val="none"/>
              </w:rPr>
              <w:t>交纳形式及要求：</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一、以纸质投标保函形式交纳投标保证金</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1. 纸质投标保函交纳形式及要求：</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（1）缴纳形式：纸质投标保函包括银行保函、保证保险和担保保函，其示范文本详见第八章投标文件格式。投标人提交的纸质投标保函应严格执行其示范文本，不得对示范文本中的实质性内容进行修改。</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2）具体要求：纸质投标保函的开立人应当是具有相应资格的银行、保险机构、融资担保公司，其信用资质、履约能力、担保能力、赔付流程、安全保密等应符合工程保函业务条件。纸质投标保函应合法合规，符合招投标行政监督部门、行业主管部门和金融监管部门的相关规定，满足招标文件约定要求。投标人应选择在渝依法设立总部或者设有分支机构的金融机构开具纸质投标保函。投标人对所提交的纸质投标保函的真实性、合法性、有效性负责。</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投标人须在投标文件资格审查部分“其他资料”中提供纸质投标保函扫描件，纸质投标保函原件应当于投标截止时间前在开标现场递交招标人保管。</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若投标截止时间延期，则纸质投标保函递交的截止时间和投标截止时间保持一致。</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不满足上述要求的纸质</w:t>
            </w:r>
            <w:r>
              <w:rPr>
                <w:color w:val="auto"/>
                <w:highlight w:val="none"/>
              </w:rPr>
              <w:t>投标保函</w:t>
            </w:r>
            <w:r>
              <w:rPr>
                <w:rFonts w:hint="eastAsia"/>
                <w:color w:val="auto"/>
                <w:highlight w:val="none"/>
                <w:lang w:val="en-US" w:eastAsia="zh-CN"/>
              </w:rPr>
              <w:t>视为</w:t>
            </w:r>
            <w:r>
              <w:rPr>
                <w:color w:val="auto"/>
                <w:highlight w:val="none"/>
              </w:rPr>
              <w:t>无效。</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color w:val="auto"/>
                <w:highlight w:val="none"/>
              </w:rPr>
              <w:t>2</w:t>
            </w:r>
            <w:r>
              <w:rPr>
                <w:rFonts w:hint="eastAsia"/>
                <w:color w:val="auto"/>
                <w:highlight w:val="none"/>
              </w:rPr>
              <w:t>. 以纸质投标保函形式担保的</w:t>
            </w:r>
            <w:r>
              <w:rPr>
                <w:color w:val="auto"/>
                <w:highlight w:val="none"/>
              </w:rPr>
              <w:t>投标保证金的金额：</w:t>
            </w:r>
            <w:r>
              <w:rPr>
                <w:color w:val="auto"/>
                <w:highlight w:val="none"/>
                <w:u w:val="single"/>
              </w:rPr>
              <w:t xml:space="preserve">    </w:t>
            </w:r>
            <w:r>
              <w:rPr>
                <w:color w:val="auto"/>
                <w:highlight w:val="none"/>
              </w:rPr>
              <w:t>万元整（人民币）</w:t>
            </w:r>
            <w:r>
              <w:rPr>
                <w:rFonts w:hint="eastAsia"/>
                <w:color w:val="auto"/>
                <w:highlight w:val="none"/>
              </w:rPr>
              <w:t>，红名单中的投标人</w:t>
            </w:r>
            <w:r>
              <w:rPr>
                <w:rFonts w:hint="eastAsia"/>
                <w:color w:val="auto"/>
                <w:highlight w:val="none"/>
                <w:lang w:eastAsia="zh-CN"/>
              </w:rPr>
              <w:t>，</w:t>
            </w:r>
            <w:r>
              <w:rPr>
                <w:rFonts w:hint="eastAsia"/>
                <w:color w:val="auto"/>
                <w:highlight w:val="none"/>
              </w:rPr>
              <w:t>投标保证金金额为应缴纳金额的50%</w:t>
            </w:r>
            <w:r>
              <w:rPr>
                <w:rFonts w:hint="eastAsia" w:ascii="宋体" w:hAnsi="宋体"/>
                <w:color w:val="auto"/>
                <w:kern w:val="0"/>
                <w:szCs w:val="21"/>
                <w:highlight w:val="none"/>
              </w:rPr>
              <w:t>，其中非联合体投标的，须投标人所属红名单类别包含在招标范围内</w:t>
            </w:r>
            <w:r>
              <w:rPr>
                <w:rFonts w:hint="eastAsia"/>
                <w:color w:val="auto"/>
                <w:highlight w:val="none"/>
              </w:rPr>
              <w:t>；联合体投标的，须联合体牵头人在红名单中</w:t>
            </w:r>
            <w:r>
              <w:rPr>
                <w:rFonts w:hint="eastAsia" w:ascii="宋体" w:hAnsi="宋体"/>
                <w:iCs/>
                <w:color w:val="auto"/>
                <w:kern w:val="0"/>
                <w:szCs w:val="21"/>
                <w:highlight w:val="none"/>
              </w:rPr>
              <w:t>，并且按照</w:t>
            </w:r>
            <w:r>
              <w:rPr>
                <w:rFonts w:hint="eastAsia" w:ascii="宋体" w:hAnsi="宋体"/>
                <w:iCs/>
                <w:color w:val="auto"/>
                <w:kern w:val="0"/>
                <w:szCs w:val="21"/>
                <w:highlight w:val="none"/>
                <w:lang w:eastAsia="zh-CN"/>
              </w:rPr>
              <w:t>共同投标协议</w:t>
            </w:r>
            <w:r>
              <w:rPr>
                <w:rFonts w:hint="eastAsia" w:ascii="宋体" w:hAnsi="宋体"/>
                <w:iCs/>
                <w:color w:val="auto"/>
                <w:kern w:val="0"/>
                <w:szCs w:val="21"/>
                <w:highlight w:val="none"/>
              </w:rPr>
              <w:t>牵头人所属红名单类别包含在其工作范围内</w:t>
            </w:r>
            <w:r>
              <w:rPr>
                <w:rFonts w:hint="eastAsia"/>
                <w:color w:val="auto"/>
                <w:highlight w:val="none"/>
              </w:rPr>
              <w:t>。投标人是否属于红名单，以开标环节信用状况查询结果为准。</w:t>
            </w:r>
          </w:p>
          <w:p>
            <w:pPr>
              <w:keepNext w:val="0"/>
              <w:keepLines w:val="0"/>
              <w:pageBreakBefore w:val="0"/>
              <w:kinsoku/>
              <w:wordWrap/>
              <w:overflowPunct/>
              <w:topLinePunct w:val="0"/>
              <w:bidi w:val="0"/>
              <w:spacing w:line="400" w:lineRule="exact"/>
              <w:ind w:firstLine="420" w:firstLineChars="200"/>
              <w:textAlignment w:val="auto"/>
              <w:rPr>
                <w:i/>
                <w:iCs/>
                <w:color w:val="auto"/>
                <w:highlight w:val="none"/>
              </w:rPr>
            </w:pPr>
            <w:r>
              <w:rPr>
                <w:rFonts w:hint="eastAsia"/>
                <w:i/>
                <w:iCs/>
                <w:color w:val="auto"/>
                <w:highlight w:val="none"/>
              </w:rPr>
              <w:t>[提示：投标保证金金额不超过该招标项目估算价或经批准的概算金额或最高限价的2%。]</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w:t>
            </w:r>
            <w:r>
              <w:rPr>
                <w:rFonts w:hint="eastAsia" w:ascii="宋体" w:hAnsi="宋体" w:cs="宋体"/>
                <w:color w:val="auto"/>
                <w:highlight w:val="none"/>
              </w:rPr>
              <w:t>对符合《关于印发中小企业划型标准规定的通知》（工信部联企业〔2011〕300号）规定的</w:t>
            </w:r>
            <w:r>
              <w:rPr>
                <w:rFonts w:hint="eastAsia"/>
                <w:color w:val="auto"/>
                <w:highlight w:val="none"/>
                <w:u w:val="single"/>
              </w:rPr>
              <w:t xml:space="preserve">           </w:t>
            </w:r>
            <w:r>
              <w:rPr>
                <w:rFonts w:hint="eastAsia"/>
                <w:color w:val="auto"/>
                <w:highlight w:val="none"/>
              </w:rPr>
              <w:t xml:space="preserve"> 行业的中小微企业投标人免除投标保证金；其中，以联合体形式参与投标的，联合体所有成员均为符合该行业标准的中小微企业的，该联合体方可免除投标保证金。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w:t>
            </w:r>
            <w:r>
              <w:rPr>
                <w:rFonts w:hint="eastAsia" w:ascii="宋体" w:hAnsi="宋体" w:cs="宋体"/>
                <w:color w:val="auto"/>
                <w:highlight w:val="none"/>
              </w:rPr>
              <w:t>对符合《关于印发中小企业划型标准规定的通知》（工信部联企业〔2011〕300号）规定的</w:t>
            </w:r>
            <w:r>
              <w:rPr>
                <w:rFonts w:hint="eastAsia"/>
                <w:color w:val="auto"/>
                <w:highlight w:val="none"/>
                <w:u w:val="single"/>
              </w:rPr>
              <w:t xml:space="preserve">            </w:t>
            </w:r>
            <w:r>
              <w:rPr>
                <w:rFonts w:hint="eastAsia"/>
                <w:color w:val="auto"/>
                <w:highlight w:val="none"/>
              </w:rPr>
              <w:t>行业的中小微企业投标人免除投标保证金；其中，以联合体形式参与投标的，联合体任一成员符合该行业标准的中小微企业的，该联合体可免除投标保证金。</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i/>
                <w:iCs/>
                <w:color w:val="auto"/>
                <w:highlight w:val="none"/>
              </w:rPr>
              <w:t>[提示： 招标人可自行决定是否设置上述条款，若需要设置，则在上述选项中只可选择其中一项进行设置]。</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3. 投标人须在纸质投标保函中注明在重庆市辖区范围内的核验地址和核验方式，并确保其递交的纸质投标保函能在开立人在渝的总部或者分支机构进行核验。</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4. 投标人在开标现场递交的纸质投标保函原件应与投标文件中提供的纸质投标保函扫描件一致，否则由评标委员会作否决投标处理。</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5. 在发出中标通知书前，招标人应当对投标人（至少中标候选人或中标人）递交的纸质投标保函的真实性、合法性、有效性进行核验，对核验不合格或无法按纸质投标保函注明的核验地点、核验方式进行核验的，视为投标人未提交纸质投标保函，对已取得中标候选人资格或中标资格的投标人，按相关规定取消中标候选人资格或中标资格，给招标人造成损失的，投标人依法承担赔偿责任。投标人提交的纸质投标保函涉及弄虚作假或其他违法违规情形的，移送相关部门处理。</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6. 若投标人为联合体，则由联合体牵头人提供纸质投标保函。</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color w:val="auto"/>
                <w:highlight w:val="none"/>
              </w:rPr>
              <w:t>二、纸质投标保函的退还、注销</w:t>
            </w:r>
          </w:p>
          <w:p>
            <w:pPr>
              <w:snapToGrid w:val="0"/>
              <w:spacing w:line="400" w:lineRule="exact"/>
              <w:ind w:firstLine="420" w:firstLineChars="200"/>
              <w:rPr>
                <w:rFonts w:hint="eastAsia" w:ascii="宋体" w:hAnsi="宋体" w:eastAsia="宋体" w:cs="宋体"/>
                <w:kern w:val="0"/>
                <w:szCs w:val="21"/>
              </w:rPr>
            </w:pPr>
            <w:r>
              <w:rPr>
                <w:rFonts w:hint="eastAsia" w:ascii="宋体" w:hAnsi="宋体" w:eastAsia="宋体" w:cs="宋体"/>
                <w:color w:val="auto"/>
                <w:highlight w:val="none"/>
              </w:rPr>
              <w:t>招标人应当在法定时间内确定中标人。招标人</w:t>
            </w:r>
            <w:r>
              <w:rPr>
                <w:rFonts w:hint="eastAsia" w:ascii="宋体" w:hAnsi="宋体" w:eastAsia="宋体" w:cs="宋体"/>
                <w:color w:val="auto"/>
                <w:highlight w:val="none"/>
                <w:lang w:eastAsia="zh-CN"/>
              </w:rPr>
              <w:t>或者招标投标交易场所运行服务机构</w:t>
            </w:r>
            <w:r>
              <w:rPr>
                <w:rFonts w:hint="eastAsia" w:ascii="宋体" w:hAnsi="宋体" w:eastAsia="宋体" w:cs="宋体"/>
                <w:color w:val="auto"/>
                <w:highlight w:val="none"/>
              </w:rPr>
              <w:t>应当在中标通知书发出后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日内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向除中标人以外的其他投标人退还纸质投标保函正本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p>
          <w:p>
            <w:pPr>
              <w:keepNext w:val="0"/>
              <w:keepLines w:val="0"/>
              <w:pageBreakBefore w:val="0"/>
              <w:kinsoku/>
              <w:wordWrap/>
              <w:overflowPunct/>
              <w:topLinePunct w:val="0"/>
              <w:bidi w:val="0"/>
              <w:snapToGrid w:val="0"/>
              <w:spacing w:line="400" w:lineRule="exact"/>
              <w:ind w:firstLine="420" w:firstLineChars="200"/>
              <w:jc w:val="left"/>
              <w:textAlignment w:val="auto"/>
              <w:rPr>
                <w:rFonts w:hint="eastAsia"/>
                <w:color w:val="auto"/>
                <w:highlight w:val="none"/>
              </w:rPr>
            </w:pPr>
            <w:r>
              <w:rPr>
                <w:rFonts w:hint="eastAsia" w:ascii="宋体" w:hAnsi="宋体" w:eastAsia="宋体" w:cs="宋体"/>
                <w:color w:val="auto"/>
                <w:highlight w:val="none"/>
              </w:rPr>
              <w:t>招标人应当在法定时间内和中标人签订合同。招标人或者招标投标交易场所运行服务机构应当在招标人与中标人签订合同后5日内，</w:t>
            </w:r>
            <w:r>
              <w:rPr>
                <w:rFonts w:hint="eastAsia" w:ascii="宋体" w:hAnsi="宋体" w:eastAsia="宋体" w:cs="宋体"/>
                <w:color w:val="auto"/>
                <w:highlight w:val="none"/>
                <w:lang w:eastAsia="zh-CN"/>
              </w:rPr>
              <w:t>向</w:t>
            </w:r>
            <w:r>
              <w:rPr>
                <w:rFonts w:hint="eastAsia" w:ascii="宋体" w:hAnsi="宋体" w:eastAsia="宋体" w:cs="宋体"/>
                <w:color w:val="auto"/>
                <w:highlight w:val="none"/>
              </w:rPr>
              <w:t>中标人退还纸质投标保函正本</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并书面通知相关</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本项目准予提前注销纸质投标保函。具体注销事宜由投标人与</w:t>
            </w:r>
            <w:r>
              <w:rPr>
                <w:rFonts w:hint="eastAsia" w:ascii="宋体" w:hAnsi="宋体" w:eastAsia="宋体" w:cs="宋体"/>
                <w:color w:val="auto"/>
                <w:highlight w:val="none"/>
                <w:lang w:val="en-US" w:eastAsia="zh-CN"/>
              </w:rPr>
              <w:t>金融机构</w:t>
            </w:r>
            <w:r>
              <w:rPr>
                <w:rFonts w:hint="eastAsia" w:ascii="宋体" w:hAnsi="宋体" w:eastAsia="宋体" w:cs="宋体"/>
                <w:color w:val="auto"/>
                <w:highlight w:val="none"/>
              </w:rPr>
              <w:t>协商</w:t>
            </w:r>
            <w:r>
              <w:rPr>
                <w:rFonts w:hint="eastAsia"/>
                <w:color w:val="auto"/>
                <w:highlight w:val="none"/>
              </w:rPr>
              <w:t>。</w:t>
            </w:r>
          </w:p>
          <w:p>
            <w:pPr>
              <w:keepNext w:val="0"/>
              <w:keepLines w:val="0"/>
              <w:pageBreakBefore w:val="0"/>
              <w:kinsoku/>
              <w:wordWrap/>
              <w:overflowPunct/>
              <w:topLinePunct w:val="0"/>
              <w:bidi w:val="0"/>
              <w:snapToGrid w:val="0"/>
              <w:spacing w:line="400" w:lineRule="exact"/>
              <w:ind w:firstLine="420" w:firstLineChars="200"/>
              <w:jc w:val="left"/>
              <w:textAlignment w:val="auto"/>
              <w:rPr>
                <w:rFonts w:ascii="宋体" w:hAnsi="宋体" w:cs="宋体"/>
                <w:color w:val="auto"/>
                <w:highlight w:val="none"/>
              </w:rPr>
            </w:pPr>
            <w:r>
              <w:rPr>
                <w:rFonts w:hint="eastAsia" w:ascii="宋体" w:hAnsi="宋体" w:cs="宋体"/>
                <w:color w:val="auto"/>
                <w:highlight w:val="none"/>
              </w:rPr>
              <w:t>□说明：1.中小微企业投标人如需免除投标保证金，须在投标文件资格审查部分“（八）其他资料”中提供《</w:t>
            </w:r>
            <w:r>
              <w:rPr>
                <w:rFonts w:hint="eastAsia" w:ascii="宋体" w:hAnsi="宋体" w:cs="宋体"/>
                <w:lang w:eastAsia="zh-CN"/>
              </w:rPr>
              <w:t>中小企业</w:t>
            </w:r>
            <w:r>
              <w:rPr>
                <w:rFonts w:hint="eastAsia" w:ascii="宋体" w:hAnsi="宋体" w:cs="宋体"/>
                <w:color w:val="auto"/>
                <w:highlight w:val="none"/>
              </w:rPr>
              <w:t>声明函》（格式详见第八章）。以联合体形式参与投标的，符合中小微企业认定标准的联合体成员单位需提供《</w:t>
            </w:r>
            <w:r>
              <w:rPr>
                <w:rFonts w:hint="eastAsia" w:ascii="宋体" w:hAnsi="宋体" w:cs="宋体"/>
                <w:lang w:eastAsia="zh-CN"/>
              </w:rPr>
              <w:t>中小企业</w:t>
            </w:r>
            <w:r>
              <w:rPr>
                <w:rFonts w:hint="eastAsia" w:ascii="宋体" w:hAnsi="宋体" w:cs="宋体"/>
                <w:color w:val="auto"/>
                <w:highlight w:val="none"/>
              </w:rPr>
              <w:t>声明函》（格式详见第八章）。</w:t>
            </w:r>
          </w:p>
          <w:p>
            <w:pPr>
              <w:pStyle w:val="2"/>
              <w:keepNext w:val="0"/>
              <w:keepLines w:val="0"/>
              <w:pageBreakBefore w:val="0"/>
              <w:kinsoku/>
              <w:wordWrap/>
              <w:overflowPunct/>
              <w:topLinePunct w:val="0"/>
              <w:bidi w:val="0"/>
              <w:spacing w:after="0" w:line="400" w:lineRule="exact"/>
              <w:ind w:firstLine="420" w:firstLineChars="200"/>
              <w:textAlignment w:val="auto"/>
              <w:rPr>
                <w:color w:val="auto"/>
                <w:highlight w:val="none"/>
              </w:rPr>
            </w:pPr>
            <w:r>
              <w:rPr>
                <w:rFonts w:hint="eastAsia" w:ascii="宋体" w:hAnsi="宋体" w:cs="宋体"/>
                <w:color w:val="auto"/>
                <w:highlight w:val="none"/>
              </w:rPr>
              <w:t>2.提供了《</w:t>
            </w:r>
            <w:r>
              <w:rPr>
                <w:rFonts w:hint="eastAsia" w:ascii="宋体" w:hAnsi="宋体" w:cs="宋体"/>
                <w:lang w:eastAsia="zh-CN"/>
              </w:rPr>
              <w:t>中小企业</w:t>
            </w:r>
            <w:r>
              <w:rPr>
                <w:rFonts w:hint="eastAsia" w:ascii="宋体" w:hAnsi="宋体" w:cs="宋体"/>
                <w:color w:val="auto"/>
                <w:highlight w:val="none"/>
              </w:rPr>
              <w:t>声明函》且未在规定时间内足额递交投标保证金的中标候选人，经查实不属于中小微企业的，将依照相关法律法规进行处理。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3.6</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是否允许递交</w:t>
            </w: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备选投标方案</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不允许</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3.7.1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投标文件格式要求</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编制投标文件时不得对第八章“投标文件格式”的相应要素作实质性修改，否则视为重大偏差，由评标委员会作否决投标处理。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3.7.3</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签名</w:t>
            </w:r>
            <w:r>
              <w:rPr>
                <w:rFonts w:ascii="宋体" w:hAnsi="宋体"/>
                <w:color w:val="auto"/>
                <w:kern w:val="0"/>
                <w:szCs w:val="21"/>
                <w:highlight w:val="none"/>
              </w:rPr>
              <w:t>盖章要求</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投标文件应使用专用的“新点投标文件制作软件（重庆版）”编制而成。第八章 投标文件格式要求法定代表人</w:t>
            </w:r>
            <w:r>
              <w:rPr>
                <w:rFonts w:hint="eastAsia" w:ascii="宋体" w:hAnsi="宋体"/>
                <w:color w:val="auto"/>
                <w:szCs w:val="21"/>
                <w:highlight w:val="none"/>
                <w:lang w:eastAsia="zh-CN"/>
              </w:rPr>
              <w:t>（或其委托代理人）</w:t>
            </w:r>
            <w:r>
              <w:rPr>
                <w:rFonts w:hint="eastAsia" w:ascii="宋体" w:hAnsi="宋体"/>
                <w:color w:val="auto"/>
                <w:kern w:val="0"/>
                <w:szCs w:val="21"/>
                <w:highlight w:val="none"/>
              </w:rPr>
              <w:t>签名</w:t>
            </w:r>
            <w:r>
              <w:rPr>
                <w:rFonts w:hint="eastAsia" w:ascii="宋体" w:hAnsi="宋体"/>
                <w:color w:val="auto"/>
                <w:szCs w:val="21"/>
                <w:highlight w:val="none"/>
              </w:rPr>
              <w:t>（或盖章）的须齐全，</w:t>
            </w:r>
            <w:r>
              <w:rPr>
                <w:rFonts w:hint="eastAsia" w:asciiTheme="minorEastAsia" w:hAnsiTheme="minorEastAsia" w:eastAsiaTheme="minorEastAsia" w:cstheme="minorEastAsia"/>
                <w:color w:val="auto"/>
                <w:szCs w:val="21"/>
                <w:highlight w:val="none"/>
              </w:rPr>
              <w:t>要求签名的，签名采用手写签名或签章或加盖CA数字证书均可，</w:t>
            </w:r>
            <w:r>
              <w:rPr>
                <w:rFonts w:hint="eastAsia" w:ascii="宋体" w:hAnsi="宋体"/>
                <w:color w:val="auto"/>
                <w:szCs w:val="21"/>
                <w:highlight w:val="none"/>
              </w:rPr>
              <w:t>要求加盖单位法人章的，应使用 CA 数字证书加盖投标人的单位电子印章。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中各联合体成员单位</w:t>
            </w:r>
            <w:r>
              <w:rPr>
                <w:rFonts w:hint="eastAsia" w:ascii="宋体" w:hAnsi="宋体"/>
                <w:color w:val="auto"/>
                <w:kern w:val="0"/>
                <w:szCs w:val="21"/>
                <w:highlight w:val="none"/>
              </w:rPr>
              <w:t>签名</w:t>
            </w:r>
            <w:r>
              <w:rPr>
                <w:rFonts w:hint="eastAsia" w:ascii="宋体" w:hAnsi="宋体"/>
                <w:color w:val="auto"/>
                <w:szCs w:val="21"/>
                <w:highlight w:val="none"/>
              </w:rPr>
              <w:t>（或盖章）须齐全，要求各联合体成员盖单位法人章的，各联合体成员盖章须齐全；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以外的投标文件格式中，要求法定代表人</w:t>
            </w:r>
            <w:r>
              <w:rPr>
                <w:rFonts w:hint="eastAsia" w:ascii="宋体" w:hAnsi="宋体"/>
                <w:color w:val="auto"/>
                <w:szCs w:val="21"/>
                <w:highlight w:val="none"/>
                <w:lang w:eastAsia="zh-CN"/>
              </w:rPr>
              <w:t>（或其委托代理人）</w:t>
            </w:r>
            <w:r>
              <w:rPr>
                <w:rFonts w:hint="eastAsia" w:ascii="宋体" w:hAnsi="宋体"/>
                <w:color w:val="auto"/>
                <w:kern w:val="0"/>
                <w:szCs w:val="21"/>
                <w:highlight w:val="none"/>
              </w:rPr>
              <w:t>签名</w:t>
            </w:r>
            <w:r>
              <w:rPr>
                <w:rFonts w:hint="eastAsia" w:ascii="宋体" w:hAnsi="宋体"/>
                <w:color w:val="auto"/>
                <w:szCs w:val="21"/>
                <w:highlight w:val="none"/>
              </w:rPr>
              <w:t>（或盖章）的均由联合体牵头人法定代表人</w:t>
            </w:r>
            <w:r>
              <w:rPr>
                <w:rFonts w:hint="eastAsia" w:ascii="宋体" w:hAnsi="宋体"/>
                <w:color w:val="auto"/>
                <w:szCs w:val="21"/>
                <w:highlight w:val="none"/>
                <w:lang w:eastAsia="zh-CN"/>
              </w:rPr>
              <w:t>（或其委托代理人）</w:t>
            </w:r>
            <w:r>
              <w:rPr>
                <w:rFonts w:hint="eastAsia" w:ascii="宋体" w:hAnsi="宋体"/>
                <w:color w:val="auto"/>
                <w:kern w:val="0"/>
                <w:szCs w:val="21"/>
                <w:highlight w:val="none"/>
              </w:rPr>
              <w:t>签名</w:t>
            </w:r>
            <w:r>
              <w:rPr>
                <w:rFonts w:hint="eastAsia" w:ascii="宋体" w:hAnsi="宋体"/>
                <w:color w:val="auto"/>
                <w:szCs w:val="21"/>
                <w:highlight w:val="none"/>
              </w:rPr>
              <w:t>（或盖章），要求投标人加盖单位法人章的，均由联合体牵头人使用 CA 数字证书加盖其单位电子印章。</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3.7.4</w:t>
            </w:r>
          </w:p>
        </w:tc>
        <w:tc>
          <w:tcPr>
            <w:tcW w:w="1610" w:type="dxa"/>
            <w:vAlign w:val="center"/>
          </w:tcPr>
          <w:p>
            <w:pPr>
              <w:keepNext w:val="0"/>
              <w:keepLines w:val="0"/>
              <w:pageBreakBefore w:val="0"/>
              <w:kinsoku/>
              <w:wordWrap/>
              <w:overflowPunct/>
              <w:topLinePunct w:val="0"/>
              <w:bidi w:val="0"/>
              <w:snapToGrid w:val="0"/>
              <w:spacing w:line="400" w:lineRule="exact"/>
              <w:textAlignment w:val="auto"/>
              <w:rPr>
                <w:rFonts w:ascii="宋体" w:hAnsi="宋体"/>
                <w:color w:val="auto"/>
                <w:spacing w:val="-6"/>
                <w:kern w:val="0"/>
                <w:szCs w:val="21"/>
                <w:highlight w:val="none"/>
              </w:rPr>
            </w:pPr>
            <w:r>
              <w:rPr>
                <w:rFonts w:ascii="宋体" w:hAnsi="宋体"/>
                <w:color w:val="auto"/>
                <w:spacing w:val="-6"/>
                <w:kern w:val="0"/>
                <w:szCs w:val="21"/>
                <w:highlight w:val="none"/>
              </w:rPr>
              <w:t>投标文件的份数</w:t>
            </w:r>
          </w:p>
        </w:tc>
        <w:tc>
          <w:tcPr>
            <w:tcW w:w="6524"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i/>
                <w:color w:val="auto"/>
                <w:kern w:val="0"/>
                <w:szCs w:val="21"/>
                <w:highlight w:val="none"/>
              </w:rPr>
            </w:pPr>
            <w:r>
              <w:rPr>
                <w:rFonts w:hint="eastAsia" w:ascii="宋体" w:hAnsi="宋体"/>
                <w:color w:val="auto"/>
                <w:kern w:val="0"/>
                <w:szCs w:val="21"/>
                <w:highlight w:val="none"/>
              </w:rPr>
              <w:t>本工程采用全流程电子招标投标，投标人提供的投标文件为：加密电子投标文件（网上递交）一份。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3.7.5</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编制</w:t>
            </w:r>
            <w:r>
              <w:rPr>
                <w:rFonts w:ascii="宋体" w:hAnsi="宋体"/>
                <w:color w:val="auto"/>
                <w:kern w:val="0"/>
                <w:szCs w:val="21"/>
                <w:highlight w:val="none"/>
              </w:rPr>
              <w:t>要求</w:t>
            </w:r>
          </w:p>
        </w:tc>
        <w:tc>
          <w:tcPr>
            <w:tcW w:w="6524" w:type="dxa"/>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i/>
                <w:color w:val="auto"/>
                <w:szCs w:val="21"/>
                <w:highlight w:val="none"/>
              </w:rPr>
            </w:pPr>
            <w:r>
              <w:rPr>
                <w:rFonts w:ascii="宋体" w:hAnsi="宋体"/>
                <w:i/>
                <w:color w:val="auto"/>
                <w:szCs w:val="21"/>
                <w:highlight w:val="none"/>
              </w:rPr>
              <w:t>[提示：适用于电子标暗标</w:t>
            </w:r>
            <w:r>
              <w:rPr>
                <w:rFonts w:hint="eastAsia" w:ascii="宋体" w:hAnsi="宋体"/>
                <w:i/>
                <w:color w:val="auto"/>
                <w:szCs w:val="21"/>
                <w:highlight w:val="none"/>
              </w:rPr>
              <w:t>编制</w:t>
            </w:r>
            <w:r>
              <w:rPr>
                <w:rFonts w:ascii="宋体" w:hAnsi="宋体"/>
                <w:i/>
                <w:color w:val="auto"/>
                <w:szCs w:val="21"/>
                <w:highlight w:val="none"/>
              </w:rPr>
              <w:t>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应按照第八章规定格式排版，</w:t>
            </w:r>
            <w:r>
              <w:rPr>
                <w:rFonts w:hint="eastAsia" w:asciiTheme="minorEastAsia" w:hAnsiTheme="minorEastAsia" w:eastAsiaTheme="minorEastAsia" w:cstheme="minorEastAsia"/>
                <w:color w:val="auto"/>
                <w:szCs w:val="21"/>
                <w:highlight w:val="none"/>
              </w:rPr>
              <w:t>原则上</w:t>
            </w:r>
            <w:r>
              <w:rPr>
                <w:rFonts w:hint="eastAsia" w:ascii="宋体" w:hAnsi="宋体"/>
                <w:color w:val="auto"/>
                <w:szCs w:val="21"/>
                <w:highlight w:val="none"/>
              </w:rPr>
              <w:t>应编制目录</w:t>
            </w:r>
            <w:r>
              <w:rPr>
                <w:rFonts w:hint="eastAsia" w:asciiTheme="minorEastAsia" w:hAnsiTheme="minorEastAsia" w:eastAsiaTheme="minorEastAsia" w:cstheme="minorEastAsia"/>
                <w:color w:val="auto"/>
                <w:szCs w:val="21"/>
                <w:highlight w:val="none"/>
              </w:rPr>
              <w:t>，但不得将目录编制作为评审因素</w:t>
            </w:r>
            <w:r>
              <w:rPr>
                <w:rFonts w:hint="eastAsia" w:ascii="宋体" w:hAnsi="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报价</w:t>
            </w:r>
            <w:r>
              <w:rPr>
                <w:rFonts w:hint="eastAsia" w:ascii="宋体" w:hAnsi="宋体"/>
                <w:color w:val="auto"/>
                <w:szCs w:val="21"/>
                <w:highlight w:val="none"/>
              </w:rPr>
              <w:t>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应按照第八章规定格式排版，</w:t>
            </w:r>
            <w:r>
              <w:rPr>
                <w:rFonts w:hint="eastAsia" w:asciiTheme="minorEastAsia" w:hAnsiTheme="minorEastAsia" w:eastAsiaTheme="minorEastAsia" w:cstheme="minorEastAsia"/>
                <w:color w:val="auto"/>
                <w:szCs w:val="21"/>
                <w:highlight w:val="none"/>
              </w:rPr>
              <w:t>原则上</w:t>
            </w:r>
            <w:r>
              <w:rPr>
                <w:rFonts w:hint="eastAsia" w:ascii="宋体" w:hAnsi="宋体"/>
                <w:color w:val="auto"/>
                <w:szCs w:val="21"/>
                <w:highlight w:val="none"/>
              </w:rPr>
              <w:t>应编制目录</w:t>
            </w:r>
            <w:r>
              <w:rPr>
                <w:rFonts w:hint="eastAsia" w:asciiTheme="minorEastAsia" w:hAnsiTheme="minorEastAsia" w:eastAsiaTheme="minorEastAsia" w:cstheme="minorEastAsia"/>
                <w:color w:val="auto"/>
                <w:szCs w:val="21"/>
                <w:highlight w:val="none"/>
              </w:rPr>
              <w:t>，但不得将目录编制作为评审因素</w:t>
            </w:r>
            <w:r>
              <w:rPr>
                <w:rFonts w:hint="eastAsia" w:ascii="宋体" w:hAnsi="宋体"/>
                <w:color w:val="auto"/>
                <w:szCs w:val="21"/>
                <w:highlight w:val="none"/>
              </w:rPr>
              <w:t>。</w:t>
            </w:r>
          </w:p>
          <w:p>
            <w:pPr>
              <w:keepNext w:val="0"/>
              <w:keepLines w:val="0"/>
              <w:pageBreakBefore w:val="0"/>
              <w:numPr>
                <w:ilvl w:val="-1"/>
                <w:numId w:val="0"/>
              </w:numPr>
              <w:kinsoku/>
              <w:wordWrap/>
              <w:overflowPunct/>
              <w:topLinePunct w:val="0"/>
              <w:bidi w:val="0"/>
              <w:adjustRightInd w:val="0"/>
              <w:snapToGrid w:val="0"/>
              <w:spacing w:line="40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（3）商务部分（如有）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应按照第八章规定格式排版，</w:t>
            </w:r>
            <w:r>
              <w:rPr>
                <w:rFonts w:hint="eastAsia" w:asciiTheme="minorEastAsia" w:hAnsiTheme="minorEastAsia" w:eastAsiaTheme="minorEastAsia" w:cstheme="minorEastAsia"/>
                <w:color w:val="auto"/>
                <w:szCs w:val="21"/>
                <w:highlight w:val="none"/>
              </w:rPr>
              <w:t>原则上</w:t>
            </w:r>
            <w:r>
              <w:rPr>
                <w:rFonts w:hint="eastAsia" w:ascii="宋体" w:hAnsi="宋体"/>
                <w:color w:val="auto"/>
                <w:szCs w:val="21"/>
                <w:highlight w:val="none"/>
              </w:rPr>
              <w:t>应编制目录</w:t>
            </w:r>
            <w:r>
              <w:rPr>
                <w:rFonts w:hint="eastAsia" w:asciiTheme="minorEastAsia" w:hAnsiTheme="minorEastAsia" w:eastAsiaTheme="minorEastAsia" w:cstheme="minorEastAsia"/>
                <w:color w:val="auto"/>
                <w:szCs w:val="21"/>
                <w:highlight w:val="none"/>
              </w:rPr>
              <w:t>，但不得将目录编制作为评审因素</w:t>
            </w:r>
            <w:r>
              <w:rPr>
                <w:rFonts w:hint="eastAsia" w:ascii="宋体" w:hAnsi="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）技术部分</w:t>
            </w:r>
            <w:r>
              <w:rPr>
                <w:rFonts w:hint="eastAsia" w:ascii="宋体" w:hAnsi="宋体"/>
                <w:iCs/>
                <w:color w:val="auto"/>
                <w:szCs w:val="21"/>
                <w:highlight w:val="none"/>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电子投标文件技术暗标不设封面，整个《技术方案》均不得出现白页和倒页；不得出现与本工程无关的内容；不得显示与投标人企业有关的任何信息；《技术方案》文本部分的文字采用四号仿宋字体，文本部分采用A4页面；图表内的字体、字号大小不限，图表部分采用A3或A4页面；文字、图表不得使用彩色和不得编制页码。违反上述任何一项，采用经评审的最低投标价法的其投标文件《技术方案》符合性评审不合格，由评标委员会作否决投标处理；采用综合评估法的其投标文件《技术方案》部分为零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Style w:val="54"/>
                <w:color w:val="auto"/>
                <w:highlight w:val="none"/>
              </w:rPr>
            </w:pPr>
            <w:r>
              <w:rPr>
                <w:rFonts w:hint="eastAsia" w:ascii="宋体" w:hAnsi="宋体"/>
                <w:color w:val="auto"/>
                <w:szCs w:val="21"/>
                <w:highlight w:val="none"/>
              </w:rPr>
              <w:t>（技术方案原则上不超过</w:t>
            </w:r>
            <w:r>
              <w:rPr>
                <w:rFonts w:hint="eastAsia" w:ascii="宋体" w:hAnsi="宋体"/>
                <w:color w:val="auto"/>
                <w:szCs w:val="21"/>
                <w:highlight w:val="none"/>
                <w:u w:val="single"/>
              </w:rPr>
              <w:t xml:space="preserve">    </w:t>
            </w:r>
            <w:r>
              <w:rPr>
                <w:rFonts w:hint="eastAsia" w:ascii="宋体" w:hAnsi="宋体"/>
                <w:color w:val="auto"/>
                <w:szCs w:val="21"/>
                <w:highlight w:val="none"/>
              </w:rPr>
              <w:t>页</w:t>
            </w:r>
            <w:r>
              <w:rPr>
                <w:rFonts w:hint="eastAsia" w:asciiTheme="minorEastAsia" w:hAnsiTheme="minorEastAsia" w:eastAsiaTheme="minorEastAsia" w:cstheme="minorEastAsia"/>
                <w:color w:val="auto"/>
                <w:szCs w:val="21"/>
                <w:highlight w:val="none"/>
              </w:rPr>
              <w:t>，但不得将页数作为评审因素</w:t>
            </w:r>
            <w:r>
              <w:rPr>
                <w:rFonts w:hint="eastAsia" w:ascii="宋体" w:hAnsi="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应按照第八章规定格式排版，</w:t>
            </w:r>
            <w:r>
              <w:rPr>
                <w:rFonts w:hint="eastAsia" w:asciiTheme="minorEastAsia" w:hAnsiTheme="minorEastAsia" w:eastAsiaTheme="minorEastAsia" w:cstheme="minorEastAsia"/>
                <w:color w:val="auto"/>
                <w:szCs w:val="21"/>
                <w:highlight w:val="none"/>
              </w:rPr>
              <w:t>原则上</w:t>
            </w:r>
            <w:r>
              <w:rPr>
                <w:rFonts w:hint="eastAsia" w:ascii="宋体" w:hAnsi="宋体"/>
                <w:color w:val="auto"/>
                <w:szCs w:val="21"/>
                <w:highlight w:val="none"/>
              </w:rPr>
              <w:t>应编制目录</w:t>
            </w:r>
            <w:r>
              <w:rPr>
                <w:rFonts w:hint="eastAsia" w:asciiTheme="minorEastAsia" w:hAnsiTheme="minorEastAsia" w:eastAsiaTheme="minorEastAsia" w:cstheme="minorEastAsia"/>
                <w:color w:val="auto"/>
                <w:szCs w:val="21"/>
                <w:highlight w:val="none"/>
              </w:rPr>
              <w:t>，但不得将目录编制作为评审因素</w:t>
            </w:r>
            <w:r>
              <w:rPr>
                <w:rFonts w:hint="eastAsia" w:ascii="宋体" w:hAnsi="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Style w:val="54"/>
                <w:color w:val="auto"/>
                <w:highlight w:val="none"/>
              </w:rPr>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3.7.5</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编制要求</w:t>
            </w:r>
          </w:p>
        </w:tc>
        <w:tc>
          <w:tcPr>
            <w:tcW w:w="6524" w:type="dxa"/>
            <w:vAlign w:val="center"/>
          </w:tcPr>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i/>
                <w:color w:val="auto"/>
                <w:szCs w:val="21"/>
                <w:highlight w:val="none"/>
              </w:rPr>
            </w:pPr>
            <w:r>
              <w:rPr>
                <w:rFonts w:ascii="宋体" w:hAnsi="宋体"/>
                <w:i/>
                <w:color w:val="auto"/>
                <w:szCs w:val="21"/>
                <w:highlight w:val="none"/>
              </w:rPr>
              <w:t>[提示：适用于电子标明标</w:t>
            </w:r>
            <w:r>
              <w:rPr>
                <w:rFonts w:hint="eastAsia" w:ascii="宋体" w:hAnsi="宋体"/>
                <w:i/>
                <w:color w:val="auto"/>
                <w:szCs w:val="21"/>
                <w:highlight w:val="none"/>
              </w:rPr>
              <w:t>编制</w:t>
            </w:r>
            <w:r>
              <w:rPr>
                <w:rFonts w:ascii="宋体" w:hAnsi="宋体"/>
                <w:i/>
                <w:color w:val="auto"/>
                <w:szCs w:val="21"/>
                <w:highlight w:val="none"/>
              </w:rPr>
              <w:t>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具体要求：</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（1）投标函部分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应按照第八章规定格式排版，</w:t>
            </w:r>
            <w:r>
              <w:rPr>
                <w:rFonts w:hint="eastAsia" w:asciiTheme="minorEastAsia" w:hAnsiTheme="minorEastAsia" w:eastAsiaTheme="minorEastAsia" w:cstheme="minorEastAsia"/>
                <w:color w:val="auto"/>
                <w:szCs w:val="21"/>
                <w:highlight w:val="none"/>
              </w:rPr>
              <w:t>原则上</w:t>
            </w:r>
            <w:r>
              <w:rPr>
                <w:rFonts w:hint="eastAsia" w:ascii="宋体" w:hAnsi="宋体"/>
                <w:color w:val="auto"/>
                <w:szCs w:val="21"/>
                <w:highlight w:val="none"/>
              </w:rPr>
              <w:t>应编制目录</w:t>
            </w:r>
            <w:r>
              <w:rPr>
                <w:rFonts w:hint="eastAsia" w:asciiTheme="minorEastAsia" w:hAnsiTheme="minorEastAsia" w:eastAsiaTheme="minorEastAsia" w:cstheme="minorEastAsia"/>
                <w:color w:val="auto"/>
                <w:szCs w:val="21"/>
                <w:highlight w:val="none"/>
              </w:rPr>
              <w:t>，但不得将目录编制作为评审因素</w:t>
            </w:r>
            <w:r>
              <w:rPr>
                <w:rFonts w:hint="eastAsia" w:ascii="宋体" w:hAnsi="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报价</w:t>
            </w:r>
            <w:r>
              <w:rPr>
                <w:rFonts w:hint="eastAsia" w:ascii="宋体" w:hAnsi="宋体"/>
                <w:color w:val="auto"/>
                <w:szCs w:val="21"/>
                <w:highlight w:val="none"/>
              </w:rPr>
              <w:t>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应按照第八章规定格式排版，</w:t>
            </w:r>
            <w:r>
              <w:rPr>
                <w:rFonts w:hint="eastAsia" w:asciiTheme="minorEastAsia" w:hAnsiTheme="minorEastAsia" w:eastAsiaTheme="minorEastAsia" w:cstheme="minorEastAsia"/>
                <w:color w:val="auto"/>
                <w:szCs w:val="21"/>
                <w:highlight w:val="none"/>
              </w:rPr>
              <w:t>原则上</w:t>
            </w:r>
            <w:r>
              <w:rPr>
                <w:rFonts w:hint="eastAsia" w:ascii="宋体" w:hAnsi="宋体"/>
                <w:color w:val="auto"/>
                <w:szCs w:val="21"/>
                <w:highlight w:val="none"/>
              </w:rPr>
              <w:t>应编制目录</w:t>
            </w:r>
            <w:r>
              <w:rPr>
                <w:rFonts w:hint="eastAsia" w:asciiTheme="minorEastAsia" w:hAnsiTheme="minorEastAsia" w:eastAsiaTheme="minorEastAsia" w:cstheme="minorEastAsia"/>
                <w:color w:val="auto"/>
                <w:szCs w:val="21"/>
                <w:highlight w:val="none"/>
              </w:rPr>
              <w:t>，但不得将目录编制作为评审因素</w:t>
            </w:r>
            <w:r>
              <w:rPr>
                <w:rFonts w:hint="eastAsia" w:ascii="宋体" w:hAnsi="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default" w:ascii="宋体" w:hAnsi="宋体" w:eastAsia="宋体"/>
                <w:color w:val="auto"/>
                <w:szCs w:val="21"/>
                <w:highlight w:val="none"/>
                <w:lang w:val="en-US" w:eastAsia="zh-CN"/>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3）商务部分（如有）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szCs w:val="21"/>
              </w:rPr>
            </w:pPr>
            <w:r>
              <w:rPr>
                <w:rFonts w:hint="eastAsia" w:ascii="宋体" w:hAnsi="宋体"/>
                <w:szCs w:val="21"/>
              </w:rPr>
              <w:t>应按照第</w:t>
            </w:r>
            <w:r>
              <w:rPr>
                <w:rFonts w:hint="eastAsia" w:ascii="宋体" w:hAnsi="宋体"/>
                <w:szCs w:val="21"/>
                <w:lang w:val="en-US" w:eastAsia="zh-CN"/>
              </w:rPr>
              <w:t>八</w:t>
            </w:r>
            <w:r>
              <w:rPr>
                <w:rFonts w:hint="eastAsia" w:ascii="宋体" w:hAnsi="宋体"/>
                <w:szCs w:val="21"/>
              </w:rPr>
              <w:t>章规定格式排版，原则上应编制目录，但不得将目录编制作为评审因素。</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）技术部分</w:t>
            </w:r>
            <w:r>
              <w:rPr>
                <w:rFonts w:hint="eastAsia" w:ascii="宋体" w:hAnsi="宋体"/>
                <w:iCs/>
                <w:color w:val="auto"/>
                <w:szCs w:val="21"/>
                <w:highlight w:val="none"/>
              </w:rPr>
              <w:t>（如有）</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电子投标文件技术明标不设封面，应按照第八章规定格式排版，</w:t>
            </w:r>
            <w:r>
              <w:rPr>
                <w:rFonts w:hint="eastAsia" w:asciiTheme="minorEastAsia" w:hAnsiTheme="minorEastAsia" w:eastAsiaTheme="minorEastAsia" w:cstheme="minorEastAsia"/>
                <w:color w:val="auto"/>
                <w:szCs w:val="21"/>
                <w:highlight w:val="none"/>
              </w:rPr>
              <w:t>原则上</w:t>
            </w:r>
            <w:r>
              <w:rPr>
                <w:rFonts w:hint="eastAsia" w:ascii="宋体" w:hAnsi="宋体"/>
                <w:color w:val="auto"/>
                <w:szCs w:val="21"/>
                <w:highlight w:val="none"/>
              </w:rPr>
              <w:t>应编制目录</w:t>
            </w:r>
            <w:r>
              <w:rPr>
                <w:rFonts w:hint="eastAsia" w:asciiTheme="minorEastAsia" w:hAnsiTheme="minorEastAsia" w:eastAsiaTheme="minorEastAsia" w:cstheme="minorEastAsia"/>
                <w:color w:val="auto"/>
                <w:szCs w:val="21"/>
                <w:highlight w:val="none"/>
              </w:rPr>
              <w:t>，但不得将封面设置、目录编制作为评审因素</w:t>
            </w:r>
            <w:r>
              <w:rPr>
                <w:rFonts w:hint="eastAsia" w:ascii="宋体" w:hAnsi="宋体"/>
                <w:color w:val="auto"/>
                <w:szCs w:val="21"/>
                <w:highlight w:val="none"/>
              </w:rPr>
              <w:t>。注：技术部分采用明标评审时，不因形式问题（包括但不限于封面、页码、目录、字体、格式等）而被否决投标。</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（技术方案原则上不超过</w:t>
            </w:r>
            <w:r>
              <w:rPr>
                <w:rFonts w:hint="eastAsia" w:ascii="宋体" w:hAnsi="宋体"/>
                <w:color w:val="auto"/>
                <w:szCs w:val="21"/>
                <w:highlight w:val="none"/>
                <w:u w:val="single"/>
              </w:rPr>
              <w:t xml:space="preserve">    </w:t>
            </w:r>
            <w:r>
              <w:rPr>
                <w:rFonts w:hint="eastAsia" w:ascii="宋体" w:hAnsi="宋体"/>
                <w:color w:val="auto"/>
                <w:szCs w:val="21"/>
                <w:highlight w:val="none"/>
              </w:rPr>
              <w:t>页</w:t>
            </w:r>
            <w:r>
              <w:rPr>
                <w:rFonts w:hint="eastAsia" w:asciiTheme="minorEastAsia" w:hAnsiTheme="minorEastAsia" w:eastAsiaTheme="minorEastAsia" w:cstheme="minorEastAsia"/>
                <w:color w:val="auto"/>
                <w:szCs w:val="21"/>
                <w:highlight w:val="none"/>
              </w:rPr>
              <w:t>，但不得将页数作为评审因素</w:t>
            </w:r>
            <w:r>
              <w:rPr>
                <w:rFonts w:hint="eastAsia" w:ascii="宋体" w:hAnsi="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）资格审查部分</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应按照第八章规定格式排版，</w:t>
            </w:r>
            <w:r>
              <w:rPr>
                <w:rFonts w:hint="eastAsia" w:asciiTheme="minorEastAsia" w:hAnsiTheme="minorEastAsia" w:eastAsiaTheme="minorEastAsia" w:cstheme="minorEastAsia"/>
                <w:color w:val="auto"/>
                <w:szCs w:val="21"/>
                <w:highlight w:val="none"/>
              </w:rPr>
              <w:t>原则上</w:t>
            </w:r>
            <w:r>
              <w:rPr>
                <w:rFonts w:hint="eastAsia" w:ascii="宋体" w:hAnsi="宋体"/>
                <w:color w:val="auto"/>
                <w:szCs w:val="21"/>
                <w:highlight w:val="none"/>
              </w:rPr>
              <w:t>应编制目录</w:t>
            </w:r>
            <w:r>
              <w:rPr>
                <w:rFonts w:hint="eastAsia" w:asciiTheme="minorEastAsia" w:hAnsiTheme="minorEastAsia" w:eastAsiaTheme="minorEastAsia" w:cstheme="minorEastAsia"/>
                <w:color w:val="auto"/>
                <w:szCs w:val="21"/>
                <w:highlight w:val="none"/>
              </w:rPr>
              <w:t>，但不得将目录编制作为评审因素</w:t>
            </w:r>
            <w:r>
              <w:rPr>
                <w:rFonts w:hint="eastAsia" w:ascii="宋体" w:hAnsi="宋体"/>
                <w:color w:val="auto"/>
                <w:szCs w:val="21"/>
                <w:highlight w:val="none"/>
              </w:rPr>
              <w:t>。</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szCs w:val="21"/>
                <w:lang w:val="en-US" w:eastAsia="zh-CN"/>
              </w:rPr>
              <w:t>注：投标人应按照招标文件要求，在投标文件的对应部分提供相关资料（如在资格审查部分提供招标文件</w:t>
            </w:r>
            <w:r>
              <w:rPr>
                <w:rFonts w:hint="eastAsia" w:ascii="宋体" w:hAnsi="宋体"/>
                <w:szCs w:val="21"/>
              </w:rPr>
              <w:t>第二章投标人须知前附表第1.4.1项</w:t>
            </w:r>
            <w:r>
              <w:rPr>
                <w:rFonts w:hint="eastAsia" w:ascii="宋体" w:hAnsi="宋体"/>
                <w:szCs w:val="21"/>
                <w:lang w:val="en-US" w:eastAsia="zh-CN"/>
              </w:rPr>
              <w:t>和</w:t>
            </w:r>
            <w:r>
              <w:rPr>
                <w:rFonts w:hint="eastAsia" w:ascii="宋体" w:hAnsi="宋体"/>
                <w:szCs w:val="21"/>
              </w:rPr>
              <w:t>第3.4款要求提供的资料</w:t>
            </w:r>
            <w:r>
              <w:rPr>
                <w:rFonts w:hint="eastAsia" w:ascii="宋体" w:hAnsi="宋体"/>
                <w:szCs w:val="21"/>
                <w:lang w:val="en-US" w:eastAsia="zh-CN"/>
              </w:rPr>
              <w:t>，在商务部分提供招标文件第三章评标办法前附表中商务评审标准要求提供的资料），否则视为未提供。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4.1.1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spacing w:val="-6"/>
                <w:kern w:val="0"/>
                <w:szCs w:val="21"/>
                <w:highlight w:val="none"/>
              </w:rPr>
            </w:pPr>
            <w:r>
              <w:rPr>
                <w:rFonts w:ascii="宋体" w:hAnsi="宋体"/>
                <w:color w:val="auto"/>
                <w:spacing w:val="-6"/>
                <w:kern w:val="0"/>
                <w:szCs w:val="21"/>
                <w:highlight w:val="none"/>
              </w:rPr>
              <w:t>投标文件的密封</w:t>
            </w:r>
          </w:p>
        </w:tc>
        <w:tc>
          <w:tcPr>
            <w:tcW w:w="6524" w:type="dxa"/>
            <w:vAlign w:val="center"/>
          </w:tcPr>
          <w:p>
            <w:pPr>
              <w:keepNext w:val="0"/>
              <w:keepLines w:val="0"/>
              <w:pageBreakBefore w:val="0"/>
              <w:kinsoku/>
              <w:wordWrap/>
              <w:overflowPunct/>
              <w:topLinePunct w:val="0"/>
              <w:bidi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电子投标文件的加密</w:t>
            </w:r>
          </w:p>
          <w:p>
            <w:pPr>
              <w:keepNext w:val="0"/>
              <w:keepLines w:val="0"/>
              <w:pageBreakBefore w:val="0"/>
              <w:kinsoku/>
              <w:wordWrap/>
              <w:overflowPunct/>
              <w:topLinePunct w:val="0"/>
              <w:bidi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加密的电子投标文件应按照本章第4.1.3项要求制作并加密，未按要求加密的电子投标文件，将无法上传至重庆市电子招投标系统，逾期未完成上传投标文件的，视为撤回投标文件。</w:t>
            </w:r>
          </w:p>
          <w:p>
            <w:pPr>
              <w:keepNext w:val="0"/>
              <w:keepLines w:val="0"/>
              <w:pageBreakBefore w:val="0"/>
              <w:kinsoku/>
              <w:wordWrap/>
              <w:overflowPunct/>
              <w:topLinePunct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投标人如需递交不加密电子投标文件，应用“投标文件”袋单独封装，并在封口处加盖投标人单位法人章，同时“投标文件”袋应按本表第4.1.2项的规定写明相应内容。“投标文件”袋未按要求密封的，招标人或代理机构</w:t>
            </w:r>
            <w:r>
              <w:rPr>
                <w:rFonts w:hint="eastAsia" w:ascii="宋体" w:hAnsi="宋体"/>
                <w:color w:val="auto"/>
                <w:szCs w:val="21"/>
                <w:highlight w:val="none"/>
                <w:lang w:val="en-US" w:eastAsia="zh-CN"/>
              </w:rPr>
              <w:t>应当</w:t>
            </w:r>
            <w:r>
              <w:rPr>
                <w:rFonts w:hint="eastAsia" w:ascii="宋体" w:hAnsi="宋体"/>
                <w:color w:val="auto"/>
                <w:szCs w:val="21"/>
                <w:highlight w:val="none"/>
              </w:rPr>
              <w:t>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4.1.2</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封套上写明</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应在</w:t>
            </w:r>
            <w:r>
              <w:rPr>
                <w:rFonts w:ascii="宋体" w:hAnsi="宋体"/>
                <w:color w:val="auto"/>
                <w:szCs w:val="21"/>
                <w:highlight w:val="none"/>
              </w:rPr>
              <w:t xml:space="preserve"> </w:t>
            </w:r>
            <w:r>
              <w:rPr>
                <w:rFonts w:ascii="宋体" w:hAnsi="宋体"/>
                <w:color w:val="auto"/>
                <w:kern w:val="0"/>
                <w:szCs w:val="21"/>
                <w:highlight w:val="none"/>
              </w:rPr>
              <w:t>“投标文件”袋封套上写明如下内容：</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u w:val="single"/>
              </w:rPr>
            </w:pPr>
            <w:r>
              <w:rPr>
                <w:rFonts w:ascii="宋体" w:hAnsi="宋体"/>
                <w:color w:val="auto"/>
                <w:kern w:val="0"/>
                <w:szCs w:val="21"/>
                <w:highlight w:val="none"/>
              </w:rPr>
              <w:t>招标人名称：</w:t>
            </w:r>
            <w:r>
              <w:rPr>
                <w:rFonts w:hint="eastAsia" w:ascii="宋体" w:hAnsi="宋体"/>
                <w:color w:val="auto"/>
                <w:kern w:val="0"/>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u w:val="single"/>
              </w:rPr>
            </w:pPr>
            <w:r>
              <w:rPr>
                <w:rFonts w:hint="eastAsia" w:ascii="宋体" w:hAnsi="宋体"/>
                <w:color w:val="auto"/>
                <w:kern w:val="0"/>
                <w:szCs w:val="21"/>
                <w:highlight w:val="none"/>
              </w:rPr>
              <w:t>投标人名称：</w:t>
            </w:r>
            <w:r>
              <w:rPr>
                <w:rFonts w:hint="eastAsia" w:ascii="宋体" w:hAnsi="宋体"/>
                <w:color w:val="auto"/>
                <w:kern w:val="0"/>
                <w:szCs w:val="21"/>
                <w:highlight w:val="none"/>
                <w:u w:val="single"/>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u w:val="single"/>
              </w:rPr>
              <w:t xml:space="preserve">                （项目名称）</w:t>
            </w:r>
            <w:r>
              <w:rPr>
                <w:rFonts w:ascii="宋体" w:hAnsi="宋体"/>
                <w:color w:val="auto"/>
                <w:kern w:val="0"/>
                <w:szCs w:val="21"/>
                <w:highlight w:val="none"/>
              </w:rPr>
              <w:t>投标文件</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szCs w:val="21"/>
                <w:highlight w:val="none"/>
              </w:rPr>
            </w:pPr>
            <w:r>
              <w:rPr>
                <w:rFonts w:ascii="宋体" w:hAnsi="宋体"/>
                <w:color w:val="auto"/>
                <w:kern w:val="0"/>
                <w:szCs w:val="21"/>
                <w:highlight w:val="none"/>
              </w:rPr>
              <w:t>在</w:t>
            </w: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时</w:t>
            </w:r>
            <w:r>
              <w:rPr>
                <w:rFonts w:hint="eastAsia" w:ascii="宋体" w:hAnsi="宋体"/>
                <w:color w:val="auto"/>
                <w:kern w:val="0"/>
                <w:szCs w:val="21"/>
                <w:highlight w:val="none"/>
                <w:u w:val="single"/>
              </w:rPr>
              <w:t xml:space="preserve">    </w:t>
            </w:r>
            <w:r>
              <w:rPr>
                <w:rFonts w:ascii="宋体" w:hAnsi="宋体"/>
                <w:color w:val="auto"/>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4.2.2</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递交投标文件地点</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bCs/>
                <w:color w:val="auto"/>
                <w:szCs w:val="21"/>
                <w:highlight w:val="none"/>
              </w:rPr>
            </w:pPr>
            <w:r>
              <w:rPr>
                <w:rFonts w:hint="eastAsia" w:ascii="宋体" w:hAnsi="宋体"/>
                <w:bCs/>
                <w:color w:val="auto"/>
                <w:szCs w:val="21"/>
                <w:highlight w:val="none"/>
              </w:rPr>
              <w:t>投标人应当在投标截止时间前，通过互联网使用CA数字证书登录重庆市电子招投标系统，将加密的电子投标文件上传。</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bCs/>
                <w:color w:val="auto"/>
                <w:szCs w:val="21"/>
                <w:highlight w:val="none"/>
              </w:rPr>
            </w:pPr>
            <w:r>
              <w:rPr>
                <w:rFonts w:hint="eastAsia" w:ascii="宋体" w:hAnsi="宋体"/>
                <w:bCs/>
                <w:color w:val="auto"/>
                <w:szCs w:val="21"/>
                <w:highlight w:val="none"/>
              </w:rPr>
              <w:t>特别注意：投标人如需现场递交不加密电子投标文件（光盘备份）等备用资料，则须在投标截止时间前递交，递交地点为</w:t>
            </w:r>
            <w:r>
              <w:rPr>
                <w:rFonts w:hint="eastAsia" w:ascii="宋体" w:hAnsi="宋体"/>
                <w:bCs/>
                <w:color w:val="auto"/>
                <w:szCs w:val="21"/>
                <w:highlight w:val="none"/>
                <w:u w:val="single"/>
              </w:rPr>
              <w:t>重庆市公共资源交易中心</w:t>
            </w:r>
            <w:r>
              <w:rPr>
                <w:rFonts w:hint="eastAsia" w:ascii="宋体" w:hAnsi="宋体"/>
                <w:bCs/>
                <w:color w:val="auto"/>
                <w:szCs w:val="21"/>
                <w:highlight w:val="none"/>
              </w:rPr>
              <w:t>开标区（具体请登陆</w:t>
            </w:r>
            <w:r>
              <w:rPr>
                <w:rFonts w:hint="eastAsia" w:ascii="宋体" w:hAnsi="宋体"/>
                <w:bCs/>
                <w:color w:val="auto"/>
                <w:szCs w:val="21"/>
                <w:highlight w:val="none"/>
                <w:u w:val="single"/>
              </w:rPr>
              <w:t>重庆市公共资源交易网</w:t>
            </w:r>
            <w:r>
              <w:rPr>
                <w:rFonts w:hint="eastAsia" w:ascii="宋体" w:hAnsi="宋体"/>
                <w:bCs/>
                <w:color w:val="auto"/>
                <w:szCs w:val="21"/>
                <w:highlight w:val="none"/>
              </w:rPr>
              <w:t>查询或递交文件当日见交易中心大厅电子显示屏）。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4.2.3</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是否退还投标文件</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5.1</w:t>
            </w:r>
            <w:r>
              <w:rPr>
                <w:rFonts w:hint="eastAsia" w:ascii="宋体" w:hAnsi="宋体"/>
                <w:color w:val="auto"/>
                <w:kern w:val="0"/>
                <w:szCs w:val="21"/>
                <w:highlight w:val="none"/>
              </w:rPr>
              <w:t>.1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开标时间和</w:t>
            </w: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地点</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开标时间：同投标截止时间</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bCs/>
                <w:color w:val="auto"/>
                <w:szCs w:val="21"/>
                <w:highlight w:val="none"/>
              </w:rPr>
            </w:pPr>
            <w:r>
              <w:rPr>
                <w:rFonts w:ascii="宋体" w:hAnsi="宋体"/>
                <w:color w:val="auto"/>
                <w:kern w:val="0"/>
                <w:szCs w:val="21"/>
                <w:highlight w:val="none"/>
              </w:rPr>
              <w:t>开标地点：</w:t>
            </w:r>
            <w:r>
              <w:rPr>
                <w:rFonts w:ascii="宋体" w:hAnsi="宋体"/>
                <w:bCs/>
                <w:color w:val="auto"/>
                <w:szCs w:val="21"/>
                <w:highlight w:val="none"/>
                <w:u w:val="single"/>
              </w:rPr>
              <w:t>重庆市</w:t>
            </w:r>
            <w:r>
              <w:rPr>
                <w:rFonts w:hint="eastAsia" w:ascii="宋体" w:hAnsi="宋体"/>
                <w:bCs/>
                <w:color w:val="auto"/>
                <w:szCs w:val="21"/>
                <w:highlight w:val="none"/>
                <w:u w:val="single"/>
              </w:rPr>
              <w:t>公共资源</w:t>
            </w:r>
            <w:r>
              <w:rPr>
                <w:rFonts w:ascii="宋体" w:hAnsi="宋体"/>
                <w:bCs/>
                <w:color w:val="auto"/>
                <w:szCs w:val="21"/>
                <w:highlight w:val="none"/>
                <w:u w:val="single"/>
              </w:rPr>
              <w:t>交易中心</w:t>
            </w:r>
            <w:r>
              <w:rPr>
                <w:rFonts w:ascii="宋体" w:hAnsi="宋体"/>
                <w:bCs/>
                <w:color w:val="auto"/>
                <w:szCs w:val="21"/>
                <w:highlight w:val="none"/>
              </w:rPr>
              <w:t>开标室（具体请登陆</w:t>
            </w:r>
            <w:r>
              <w:rPr>
                <w:rFonts w:hint="eastAsia" w:ascii="宋体" w:hAnsi="宋体"/>
                <w:bCs/>
                <w:color w:val="auto"/>
                <w:szCs w:val="21"/>
                <w:highlight w:val="none"/>
                <w:u w:val="single"/>
              </w:rPr>
              <w:t>重庆市公共资源交易网</w:t>
            </w:r>
            <w:r>
              <w:rPr>
                <w:rFonts w:ascii="宋体" w:hAnsi="宋体"/>
                <w:bCs/>
                <w:color w:val="auto"/>
                <w:szCs w:val="21"/>
                <w:highlight w:val="none"/>
              </w:rPr>
              <w:t>查询或递交文件当日见交易中心大厅电子显示屏）。</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bCs/>
                <w:color w:val="auto"/>
                <w:szCs w:val="21"/>
                <w:highlight w:val="none"/>
              </w:rPr>
            </w:pPr>
            <w:r>
              <w:rPr>
                <w:rFonts w:hint="eastAsia" w:ascii="宋体" w:hAnsi="宋体"/>
                <w:bCs/>
                <w:color w:val="auto"/>
                <w:szCs w:val="21"/>
                <w:highlight w:val="none"/>
              </w:rPr>
              <w:t>特别注意：1、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bCs/>
                <w:color w:val="auto"/>
                <w:szCs w:val="21"/>
                <w:highlight w:val="none"/>
              </w:rPr>
            </w:pPr>
            <w:r>
              <w:rPr>
                <w:rFonts w:hint="eastAsia" w:asciiTheme="minorEastAsia" w:hAnsiTheme="minorEastAsia" w:eastAsiaTheme="minorEastAsia" w:cstheme="minorEastAsia"/>
                <w:bCs/>
                <w:color w:val="auto"/>
                <w:szCs w:val="21"/>
                <w:highlight w:val="none"/>
              </w:rPr>
              <w:t>2、本项目开标</w:t>
            </w:r>
            <w:r>
              <w:rPr>
                <w:rFonts w:hint="eastAsia" w:asciiTheme="minorEastAsia" w:hAnsiTheme="minorEastAsia" w:eastAsiaTheme="minorEastAsia" w:cstheme="minorEastAsia"/>
                <w:bCs/>
                <w:color w:val="auto"/>
                <w:szCs w:val="21"/>
                <w:highlight w:val="none"/>
                <w:lang w:val="en-US" w:eastAsia="zh-CN"/>
              </w:rPr>
              <w:t>采用</w:t>
            </w:r>
            <w:r>
              <w:rPr>
                <w:rFonts w:hint="eastAsia" w:asciiTheme="minorEastAsia" w:hAnsiTheme="minorEastAsia" w:eastAsiaTheme="minorEastAsia" w:cstheme="minorEastAsia"/>
                <w:bCs/>
                <w:color w:val="auto"/>
                <w:szCs w:val="21"/>
                <w:highlight w:val="none"/>
              </w:rPr>
              <w:t>“重庆市工程建设项目不见面开标系统”以下简称：不见面开标系统）。不出席现场开标的投标人也可登录不见面开标系统参与全过程开标活动。开标活动信息以开标现场或不见面开标系统收到并展示的信息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5.1.2</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解密时间</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解密时长为 30 分钟。</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特别注意：因电子招标投标系统原因影响解密时间的，招标人可根据现场实际情况延长解密时间；因投标人原因未完成解密工作的，视为撤销其投标文件，</w:t>
            </w:r>
            <w:r>
              <w:rPr>
                <w:rFonts w:hint="eastAsia" w:ascii="宋体" w:hAnsi="宋体"/>
                <w:color w:val="auto"/>
                <w:kern w:val="0"/>
                <w:szCs w:val="21"/>
                <w:highlight w:val="none"/>
                <w:u w:val="none"/>
              </w:rPr>
              <w:t>其投标保证金</w:t>
            </w:r>
            <w:r>
              <w:rPr>
                <w:rFonts w:hint="eastAsia" w:ascii="宋体" w:hAnsi="宋体"/>
                <w:color w:val="auto"/>
                <w:kern w:val="0"/>
                <w:szCs w:val="21"/>
                <w:highlight w:val="none"/>
                <w:u w:val="none"/>
                <w:lang w:val="en-US" w:eastAsia="zh-CN"/>
              </w:rPr>
              <w:t>以现金形式交纳的</w:t>
            </w:r>
            <w:r>
              <w:rPr>
                <w:rFonts w:hint="eastAsia" w:ascii="宋体" w:hAnsi="宋体"/>
                <w:color w:val="auto"/>
                <w:kern w:val="0"/>
                <w:szCs w:val="21"/>
                <w:highlight w:val="none"/>
                <w:u w:val="none"/>
              </w:rPr>
              <w:t>不予退还，</w:t>
            </w:r>
            <w:r>
              <w:rPr>
                <w:rFonts w:hint="eastAsia" w:asciiTheme="minorEastAsia" w:hAnsiTheme="minorEastAsia" w:eastAsiaTheme="minorEastAsia" w:cstheme="minorEastAsia"/>
                <w:color w:val="auto"/>
                <w:szCs w:val="21"/>
                <w:highlight w:val="none"/>
                <w:u w:val="none"/>
              </w:rPr>
              <w:t>以保函形式交纳的由保函开立人支付保函担保的与投标保证金等额的款项</w:t>
            </w:r>
            <w:r>
              <w:rPr>
                <w:rFonts w:hint="eastAsia"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szCs w:val="21"/>
                <w:highlight w:val="none"/>
              </w:rPr>
            </w:pPr>
            <w:r>
              <w:rPr>
                <w:rFonts w:hint="eastAsia" w:ascii="宋体" w:hAnsi="宋体"/>
                <w:color w:val="auto"/>
                <w:szCs w:val="21"/>
                <w:highlight w:val="none"/>
              </w:rPr>
              <w:t>5.2</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szCs w:val="21"/>
                <w:highlight w:val="none"/>
              </w:rPr>
            </w:pPr>
            <w:r>
              <w:rPr>
                <w:rFonts w:hint="eastAsia" w:ascii="宋体" w:hAnsi="宋体"/>
                <w:color w:val="auto"/>
                <w:szCs w:val="21"/>
                <w:highlight w:val="none"/>
              </w:rPr>
              <w:t>开标程序</w:t>
            </w:r>
          </w:p>
        </w:tc>
        <w:tc>
          <w:tcPr>
            <w:tcW w:w="6524"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主持人按下列程序进行开标：</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 投标文件提取完成，经招标人或代理机构确认开始解密环节，系统提示投标人在招标文件规定的时间内自行解密其经加密的电子投标文件。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在规定的时间内投标人未成功解密投标文件的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4. 汇总投标保证金交纳情况</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4.2 展示以电子转账方式递交投标保证金的情况，展示内容应至少包含投标人名称、金额、投标保证金打入指定账户的时间等，异常情况在开标记录表“异常情况”栏中记录并交由评标委员会评审。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4.3 展示以纸质投标保函方式递交投标保证金的情况，并记录在“纸质投标保函递交情况一览表”中，异常情况在开标记录表“异常情况”栏中记录。</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4.4 打印所有投标人的投标保证金交纳</w:t>
            </w:r>
            <w:r>
              <w:rPr>
                <w:rFonts w:hint="eastAsia" w:ascii="宋体" w:hAnsi="宋体"/>
                <w:color w:val="auto"/>
                <w:szCs w:val="21"/>
                <w:highlight w:val="none"/>
                <w:lang w:eastAsia="zh-CN"/>
              </w:rPr>
              <w:t>情况</w:t>
            </w:r>
            <w:r>
              <w:rPr>
                <w:rFonts w:hint="eastAsia" w:ascii="宋体" w:hAnsi="宋体"/>
                <w:color w:val="auto"/>
                <w:szCs w:val="21"/>
                <w:highlight w:val="none"/>
              </w:rPr>
              <w:t>，并由招标人代表、监标人、记录人签名确认。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5. 公布最高限价。</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6. 公布投标人名称、投标报价、质量目标、工期及其他内容。</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□7. 对采用综合评估法的项目，需要抽取</w:t>
            </w:r>
            <w:r>
              <w:rPr>
                <w:rFonts w:hint="eastAsia" w:ascii="宋体" w:hAnsi="宋体"/>
                <w:szCs w:val="21"/>
                <w:lang w:val="en-US" w:eastAsia="zh-CN"/>
              </w:rPr>
              <w:t>下浮系数N</w:t>
            </w:r>
            <w:r>
              <w:rPr>
                <w:rFonts w:hint="eastAsia" w:ascii="宋体" w:hAnsi="宋体"/>
                <w:color w:val="auto"/>
                <w:szCs w:val="21"/>
                <w:highlight w:val="none"/>
                <w:lang w:val="en-US" w:eastAsia="zh-CN"/>
              </w:rPr>
              <w:t>的</w:t>
            </w:r>
            <w:r>
              <w:rPr>
                <w:rFonts w:hint="eastAsia" w:ascii="宋体" w:hAnsi="宋体"/>
                <w:color w:val="auto"/>
                <w:szCs w:val="21"/>
                <w:highlight w:val="none"/>
              </w:rPr>
              <w:t>，在开标现场完成抽取，抽取结果记入开标记录表。相关系数抽取方式如下：</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①</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②</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③……</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8.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9.投标人对开标有异议的，应当场或在线（不见面开标适用）提出，由招标人或代理机构当场或在线（不见面开标适用）答复，并记录到开标记录表中。异议处理完毕后，汇总开标情况，打印开标记录表。</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10. 投标人代表、招标人代表、监标人、主持人、记录人等有关人员在开标记录上签名确认。因其他原因未能签名的，视为默认开标结果。</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纸质投标保函原件、投标保证金缴纳情况表、开标记录表、投标人信用情况汇总表一并交由评标委员会评审。</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11.主持人宣布开标结束。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6.1.1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评标委员会的组建</w:t>
            </w:r>
          </w:p>
        </w:tc>
        <w:tc>
          <w:tcPr>
            <w:tcW w:w="6524"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36" w:firstLineChars="200"/>
              <w:textAlignment w:val="auto"/>
              <w:rPr>
                <w:rFonts w:ascii="宋体" w:hAnsi="宋体"/>
                <w:color w:val="auto"/>
                <w:kern w:val="0"/>
                <w:szCs w:val="21"/>
                <w:highlight w:val="none"/>
              </w:rPr>
            </w:pPr>
            <w:r>
              <w:rPr>
                <w:rFonts w:hint="eastAsia" w:ascii="宋体" w:hAnsi="宋体"/>
                <w:color w:val="auto"/>
                <w:spacing w:val="4"/>
                <w:kern w:val="0"/>
                <w:szCs w:val="21"/>
                <w:highlight w:val="none"/>
              </w:rPr>
              <w:t>由招标人按法律法规及相关规定依法组建评标委员会</w:t>
            </w:r>
            <w:r>
              <w:rPr>
                <w:rFonts w:hint="eastAsia"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default" w:ascii="宋体" w:hAnsi="宋体" w:eastAsia="宋体"/>
                <w:color w:val="auto"/>
                <w:kern w:val="0"/>
                <w:szCs w:val="21"/>
                <w:highlight w:val="none"/>
                <w:lang w:val="en-US" w:eastAsia="zh-CN"/>
              </w:rPr>
            </w:pPr>
            <w:r>
              <w:rPr>
                <w:rFonts w:hint="eastAsia" w:ascii="宋体" w:hAnsi="宋体"/>
                <w:color w:val="auto"/>
                <w:kern w:val="0"/>
                <w:szCs w:val="21"/>
                <w:highlight w:val="none"/>
                <w:lang w:val="en-US" w:eastAsia="zh-CN"/>
              </w:rPr>
              <w:t>6.3.2</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hint="default" w:ascii="宋体" w:hAnsi="宋体" w:eastAsia="宋体"/>
                <w:color w:val="auto"/>
                <w:kern w:val="0"/>
                <w:szCs w:val="21"/>
                <w:highlight w:val="none"/>
                <w:lang w:val="en-US" w:eastAsia="zh-CN"/>
              </w:rPr>
            </w:pPr>
            <w:r>
              <w:rPr>
                <w:rFonts w:hint="eastAsia" w:ascii="宋体" w:hAnsi="宋体"/>
                <w:color w:val="auto"/>
                <w:kern w:val="0"/>
                <w:szCs w:val="21"/>
                <w:highlight w:val="none"/>
                <w:lang w:val="en-US" w:eastAsia="zh-CN"/>
              </w:rPr>
              <w:t>评标委员会推荐中标候选人的人数</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□推荐经评审综合得分由高到低排名前</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u w:val="single"/>
                <w:lang w:val="en-US" w:eastAsia="zh-CN"/>
              </w:rPr>
              <w:t>3</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名为中标候选人，若有效投标人少于</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u w:val="single"/>
                <w:lang w:val="en-US" w:eastAsia="zh-CN"/>
              </w:rPr>
              <w:t>3</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个的则按实际数量推荐。</w:t>
            </w:r>
          </w:p>
          <w:p>
            <w:pPr>
              <w:keepNext w:val="0"/>
              <w:keepLines w:val="0"/>
              <w:pageBreakBefore w:val="0"/>
              <w:kinsoku/>
              <w:wordWrap/>
              <w:overflowPunct/>
              <w:topLinePunct w:val="0"/>
              <w:bidi w:val="0"/>
              <w:snapToGrid w:val="0"/>
              <w:spacing w:line="400" w:lineRule="exact"/>
              <w:ind w:firstLine="420" w:firstLineChars="200"/>
              <w:textAlignment w:val="auto"/>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□推荐经评审合格的报价由低到高排名前</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u w:val="single"/>
                <w:lang w:val="en-US" w:eastAsia="zh-CN"/>
              </w:rPr>
              <w:t>3</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名为中标候选人，若有效投标人少于</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u w:val="single"/>
                <w:lang w:val="en-US" w:eastAsia="zh-CN"/>
              </w:rPr>
              <w:t>3</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个的则按实际数量推荐。</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i/>
                <w:color w:val="auto"/>
                <w:kern w:val="0"/>
                <w:szCs w:val="21"/>
                <w:highlight w:val="none"/>
              </w:rPr>
            </w:pPr>
            <w:r>
              <w:rPr>
                <w:rFonts w:hint="eastAsia" w:asciiTheme="minorEastAsia" w:hAnsiTheme="minorEastAsia" w:eastAsiaTheme="minorEastAsia" w:cstheme="minorEastAsia"/>
                <w:i/>
                <w:color w:val="auto"/>
                <w:kern w:val="0"/>
                <w:szCs w:val="21"/>
                <w:highlight w:val="none"/>
              </w:rPr>
              <w:t>[提示：中标候选人应当不超过3个，招标人根据实际需要设置中标候选人具体数量。]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default" w:ascii="宋体" w:hAnsi="宋体" w:eastAsia="宋体"/>
                <w:color w:val="auto"/>
                <w:kern w:val="0"/>
                <w:szCs w:val="21"/>
                <w:highlight w:val="none"/>
                <w:lang w:val="en-US" w:eastAsia="zh-CN"/>
              </w:rPr>
            </w:pPr>
            <w:r>
              <w:rPr>
                <w:rFonts w:hint="eastAsia" w:ascii="宋体" w:hAnsi="宋体"/>
                <w:color w:val="auto"/>
                <w:kern w:val="0"/>
                <w:szCs w:val="21"/>
                <w:highlight w:val="none"/>
                <w:lang w:val="en-US" w:eastAsia="zh-CN"/>
              </w:rPr>
              <w:t>7.1</w:t>
            </w:r>
          </w:p>
        </w:tc>
        <w:tc>
          <w:tcPr>
            <w:tcW w:w="1610" w:type="dxa"/>
            <w:vAlign w:val="center"/>
          </w:tcPr>
          <w:p>
            <w:pPr>
              <w:keepNext w:val="0"/>
              <w:keepLines w:val="0"/>
              <w:pageBreakBefore w:val="0"/>
              <w:kinsoku/>
              <w:wordWrap/>
              <w:overflowPunct/>
              <w:topLinePunct w:val="0"/>
              <w:bidi w:val="0"/>
              <w:spacing w:line="400" w:lineRule="exact"/>
              <w:jc w:val="center"/>
              <w:textAlignment w:val="auto"/>
              <w:rPr>
                <w:rFonts w:hint="default" w:ascii="宋体" w:hAnsi="宋体"/>
                <w:color w:val="auto"/>
                <w:kern w:val="0"/>
                <w:szCs w:val="21"/>
                <w:highlight w:val="none"/>
                <w:lang w:val="en-US"/>
              </w:rPr>
            </w:pPr>
            <w:r>
              <w:rPr>
                <w:rFonts w:hint="eastAsia" w:asciiTheme="minorEastAsia" w:hAnsiTheme="minorEastAsia" w:eastAsiaTheme="minorEastAsia" w:cstheme="minorEastAsia"/>
                <w:color w:val="auto"/>
                <w:szCs w:val="21"/>
                <w:highlight w:val="none"/>
              </w:rPr>
              <w:t>是否授权评标委员会确定中标人</w:t>
            </w:r>
          </w:p>
        </w:tc>
        <w:tc>
          <w:tcPr>
            <w:tcW w:w="6524" w:type="dxa"/>
            <w:vAlign w:val="center"/>
          </w:tcPr>
          <w:p>
            <w:pPr>
              <w:keepNext w:val="0"/>
              <w:keepLines w:val="0"/>
              <w:pageBreakBefore w:val="0"/>
              <w:kinsoku/>
              <w:wordWrap/>
              <w:overflowPunct/>
              <w:topLinePunct w:val="0"/>
              <w:bidi w:val="0"/>
              <w:spacing w:line="400" w:lineRule="exact"/>
              <w:ind w:firstLine="420" w:firstLineChars="200"/>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szCs w:val="21"/>
                <w:highlight w:val="none"/>
              </w:rPr>
              <w:t>否</w:t>
            </w:r>
          </w:p>
          <w:p>
            <w:pPr>
              <w:keepNext w:val="0"/>
              <w:keepLines w:val="0"/>
              <w:pageBreakBefore w:val="0"/>
              <w:kinsoku/>
              <w:wordWrap/>
              <w:overflowPunct/>
              <w:topLinePunct w:val="0"/>
              <w:bidi w:val="0"/>
              <w:spacing w:line="400" w:lineRule="exact"/>
              <w:ind w:firstLine="420" w:firstLineChars="200"/>
              <w:textAlignment w:val="auto"/>
              <w:rPr>
                <w:rFonts w:hint="eastAsia" w:ascii="宋体" w:hAnsi="宋体"/>
                <w:i/>
                <w:color w:val="auto"/>
                <w:kern w:val="0"/>
                <w:szCs w:val="21"/>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szCs w:val="21"/>
                <w:highlight w:val="none"/>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7.2</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中标</w:t>
            </w:r>
            <w:r>
              <w:rPr>
                <w:rFonts w:hint="eastAsia" w:ascii="宋体" w:hAnsi="宋体"/>
                <w:color w:val="auto"/>
                <w:kern w:val="0"/>
                <w:szCs w:val="21"/>
                <w:highlight w:val="none"/>
                <w:lang w:val="en-US" w:eastAsia="zh-CN"/>
              </w:rPr>
              <w:t>候选人</w:t>
            </w:r>
            <w:r>
              <w:rPr>
                <w:rFonts w:ascii="宋体" w:hAnsi="宋体"/>
                <w:color w:val="auto"/>
                <w:kern w:val="0"/>
                <w:szCs w:val="21"/>
                <w:highlight w:val="none"/>
              </w:rPr>
              <w:t>公示</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s="宋体"/>
                <w:color w:val="auto"/>
                <w:szCs w:val="21"/>
                <w:highlight w:val="none"/>
              </w:rPr>
              <w:t>招标人在收到评标报告后3日内将评标结果在</w:t>
            </w:r>
            <w:r>
              <w:rPr>
                <w:rFonts w:hint="eastAsia" w:ascii="宋体" w:hAnsi="宋体" w:cs="宋体"/>
                <w:color w:val="auto"/>
                <w:szCs w:val="21"/>
                <w:highlight w:val="none"/>
                <w:u w:val="single"/>
              </w:rPr>
              <w:t xml:space="preserve">    （相应网站）  </w:t>
            </w:r>
            <w:r>
              <w:rPr>
                <w:rFonts w:hint="eastAsia" w:ascii="宋体" w:hAnsi="宋体" w:cs="宋体"/>
                <w:color w:val="auto"/>
                <w:szCs w:val="21"/>
                <w:highlight w:val="none"/>
              </w:rPr>
              <w:t>上进行公示，公示期</w:t>
            </w:r>
            <w:r>
              <w:rPr>
                <w:rFonts w:hint="eastAsia" w:ascii="宋体" w:hAnsi="宋体" w:cs="宋体"/>
                <w:color w:val="auto"/>
                <w:szCs w:val="21"/>
                <w:highlight w:val="none"/>
                <w:lang w:val="en-US" w:eastAsia="zh-CN"/>
              </w:rPr>
              <w:t>不少于</w:t>
            </w:r>
            <w:r>
              <w:rPr>
                <w:rFonts w:hint="eastAsia" w:ascii="宋体" w:hAnsi="宋体" w:cs="宋体"/>
                <w:color w:val="auto"/>
                <w:szCs w:val="21"/>
                <w:highlight w:val="none"/>
              </w:rPr>
              <w:t>3日。为深化信息公开，接受社会监督，本项目将按照《招标公告和公示信息发布管理办法》（国家发改委令第10号）的要求，公示内容包括中标候选人名称、排序、投标报价、质量、工期；中标候选人资质、投标人业绩名称</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如有）</w:t>
            </w:r>
            <w:r>
              <w:rPr>
                <w:rFonts w:hint="eastAsia" w:ascii="宋体" w:hAnsi="宋体" w:cs="宋体"/>
                <w:color w:val="auto"/>
                <w:szCs w:val="21"/>
                <w:highlight w:val="none"/>
              </w:rPr>
              <w:t>，中标候选人项目经理姓名及其相关证书名称和编号、投标人业绩名称</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如有）</w:t>
            </w:r>
            <w:r>
              <w:rPr>
                <w:rFonts w:hint="eastAsia" w:ascii="宋体" w:hAnsi="宋体" w:cs="宋体"/>
                <w:color w:val="auto"/>
                <w:szCs w:val="21"/>
                <w:highlight w:val="none"/>
              </w:rPr>
              <w:t>；</w:t>
            </w:r>
            <w:r>
              <w:rPr>
                <w:rFonts w:hint="eastAsia"/>
                <w:color w:val="auto"/>
                <w:highlight w:val="none"/>
              </w:rPr>
              <w:t>□</w:t>
            </w:r>
            <w:r>
              <w:rPr>
                <w:rFonts w:hint="eastAsia" w:ascii="宋体" w:hAnsi="宋体" w:cs="宋体"/>
                <w:color w:val="auto"/>
                <w:szCs w:val="21"/>
                <w:highlight w:val="none"/>
              </w:rPr>
              <w:t>未递交投标保证金且提交了《</w:t>
            </w:r>
            <w:r>
              <w:rPr>
                <w:rFonts w:hint="eastAsia" w:ascii="宋体" w:hAnsi="宋体" w:cs="宋体"/>
                <w:szCs w:val="21"/>
                <w:lang w:eastAsia="zh-CN"/>
              </w:rPr>
              <w:t>中小企业</w:t>
            </w:r>
            <w:r>
              <w:rPr>
                <w:rFonts w:hint="eastAsia" w:ascii="宋体" w:hAnsi="宋体" w:cs="宋体"/>
                <w:color w:val="auto"/>
                <w:szCs w:val="21"/>
                <w:highlight w:val="none"/>
              </w:rPr>
              <w:t>声明函》的中标候选人名单</w:t>
            </w:r>
            <w:r>
              <w:rPr>
                <w:rFonts w:hint="eastAsia" w:ascii="宋体" w:hAnsi="宋体" w:cs="宋体"/>
                <w:szCs w:val="21"/>
                <w:lang w:eastAsia="zh-CN"/>
              </w:rPr>
              <w:t>；</w:t>
            </w:r>
            <w:r>
              <w:rPr>
                <w:rFonts w:hint="eastAsia" w:ascii="宋体" w:hAnsi="宋体"/>
                <w:kern w:val="0"/>
                <w:szCs w:val="21"/>
              </w:rPr>
              <w:t>□</w:t>
            </w:r>
            <w:r>
              <w:rPr>
                <w:rFonts w:hint="eastAsia" w:ascii="宋体" w:hAnsi="宋体"/>
                <w:kern w:val="0"/>
                <w:szCs w:val="21"/>
                <w:lang w:val="en-US" w:eastAsia="zh-CN"/>
              </w:rPr>
              <w:t>中标候选人</w:t>
            </w:r>
            <w:r>
              <w:rPr>
                <w:rFonts w:hint="eastAsia" w:ascii="宋体" w:hAnsi="宋体" w:cs="宋体"/>
                <w:szCs w:val="21"/>
              </w:rPr>
              <w:t>提交</w:t>
            </w:r>
            <w:r>
              <w:rPr>
                <w:rFonts w:hint="eastAsia" w:ascii="宋体" w:hAnsi="宋体" w:cs="宋体"/>
                <w:szCs w:val="21"/>
                <w:lang w:val="en-US" w:eastAsia="zh-CN"/>
              </w:rPr>
              <w:t>的</w:t>
            </w:r>
            <w:r>
              <w:rPr>
                <w:rFonts w:hint="eastAsia" w:ascii="宋体" w:hAnsi="宋体" w:cs="宋体"/>
                <w:szCs w:val="21"/>
              </w:rPr>
              <w:t>《中小企业声明函》（属于政府采购工程时适用）</w:t>
            </w:r>
            <w:r>
              <w:rPr>
                <w:rFonts w:hint="eastAsia" w:ascii="宋体" w:hAnsi="宋体" w:cs="宋体"/>
                <w:color w:val="auto"/>
                <w:szCs w:val="21"/>
                <w:highlight w:val="none"/>
              </w:rPr>
              <w:t>；否决投标情况及理由；</w:t>
            </w:r>
            <w:r>
              <w:rPr>
                <w:rFonts w:hint="eastAsia" w:ascii="宋体" w:hAnsi="宋体" w:cs="宋体"/>
                <w:szCs w:val="21"/>
                <w:highlight w:val="none"/>
              </w:rPr>
              <w:t>投标人撤销投标文件或者部分投标被否决导致有效投标人不足三个的竞争性论证结果</w:t>
            </w:r>
            <w:r>
              <w:rPr>
                <w:rFonts w:hint="eastAsia" w:ascii="宋体" w:hAnsi="宋体" w:cs="宋体"/>
                <w:szCs w:val="21"/>
                <w:highlight w:val="none"/>
                <w:lang w:eastAsia="zh-CN"/>
              </w:rPr>
              <w:t>（</w:t>
            </w:r>
            <w:r>
              <w:rPr>
                <w:rFonts w:hint="eastAsia" w:ascii="宋体" w:hAnsi="宋体" w:cs="宋体"/>
                <w:szCs w:val="21"/>
                <w:highlight w:val="none"/>
                <w:lang w:val="en-US" w:eastAsia="zh-CN"/>
              </w:rPr>
              <w:t>如有</w:t>
            </w:r>
            <w:r>
              <w:rPr>
                <w:rFonts w:hint="eastAsia" w:ascii="宋体" w:hAnsi="宋体" w:cs="宋体"/>
                <w:szCs w:val="21"/>
                <w:highlight w:val="none"/>
                <w:lang w:eastAsia="zh-CN"/>
              </w:rPr>
              <w:t>）；</w:t>
            </w:r>
            <w:r>
              <w:rPr>
                <w:rFonts w:hint="eastAsia" w:ascii="宋体" w:hAnsi="宋体" w:cs="宋体"/>
                <w:color w:val="auto"/>
                <w:szCs w:val="21"/>
                <w:highlight w:val="none"/>
              </w:rPr>
              <w:t>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color w:val="auto"/>
                <w:kern w:val="0"/>
                <w:szCs w:val="21"/>
                <w:highlight w:val="none"/>
              </w:rPr>
            </w:pP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kern w:val="0"/>
                <w:szCs w:val="21"/>
                <w:lang w:val="en-US" w:eastAsia="zh-CN"/>
              </w:rPr>
              <w:t>中标结果公告</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szCs w:val="21"/>
              </w:rPr>
              <w:t>招标人自中标通知书发出之日起三日内，在招标公告发布媒介上公告招标人及法定代表人名称，招标代理机构及法定代表人名称，中标人及法定代表人名称、中标价格等中标结果，评标委员会组建方式、成员名单、评标意见等信息</w:t>
            </w:r>
            <w:r>
              <w:rPr>
                <w:rFonts w:hint="eastAsia" w:ascii="宋体" w:hAnsi="宋体" w:cs="宋体"/>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7.3.1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履约担保</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1、中标人是否提供履约担保：</w:t>
            </w:r>
            <w:r>
              <w:rPr>
                <w:rFonts w:hint="eastAsia" w:ascii="宋体" w:hAnsi="宋体"/>
                <w:color w:val="auto"/>
                <w:kern w:val="0"/>
                <w:szCs w:val="21"/>
                <w:highlight w:val="none"/>
                <w:u w:val="single"/>
              </w:rPr>
              <w:t>提供</w:t>
            </w:r>
            <w:r>
              <w:rPr>
                <w:rFonts w:hint="eastAsia" w:ascii="宋体" w:hAnsi="宋体"/>
                <w:color w:val="auto"/>
                <w:kern w:val="0"/>
                <w:szCs w:val="21"/>
                <w:highlight w:val="none"/>
              </w:rPr>
              <w:t>。</w:t>
            </w:r>
            <w:r>
              <w:rPr>
                <w:rFonts w:hint="eastAsia" w:ascii="宋体" w:hAnsi="宋体"/>
                <w:i/>
                <w:color w:val="auto"/>
                <w:kern w:val="0"/>
                <w:szCs w:val="21"/>
                <w:highlight w:val="none"/>
              </w:rPr>
              <w:t>[提示：招标人要求中标人提供履约担保的，应向中标人提供相应的支付担保。]</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color w:val="auto"/>
                <w:highlight w:val="none"/>
              </w:rPr>
              <w:t>□联合体投标的</w:t>
            </w:r>
            <w:r>
              <w:rPr>
                <w:rFonts w:hint="eastAsia" w:ascii="宋体" w:hAnsi="宋体"/>
                <w:color w:val="auto"/>
                <w:kern w:val="0"/>
                <w:szCs w:val="21"/>
                <w:highlight w:val="none"/>
              </w:rPr>
              <w:t>，由联合体牵头人或按照</w:t>
            </w:r>
            <w:r>
              <w:rPr>
                <w:rFonts w:hint="eastAsia" w:ascii="宋体" w:hAnsi="宋体"/>
                <w:color w:val="auto"/>
                <w:kern w:val="0"/>
                <w:szCs w:val="21"/>
                <w:highlight w:val="none"/>
                <w:lang w:eastAsia="zh-CN"/>
              </w:rPr>
              <w:t>共同投标协议</w:t>
            </w:r>
            <w:r>
              <w:rPr>
                <w:rFonts w:hint="eastAsia" w:ascii="宋体" w:hAnsi="宋体"/>
                <w:color w:val="auto"/>
                <w:kern w:val="0"/>
                <w:szCs w:val="21"/>
                <w:highlight w:val="none"/>
              </w:rPr>
              <w:t>的约定提交履约担保。</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2、中标人提供履约担保的形式、金额及期限：</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1）履约担保的形式：现金或履约保函或现金+履约保函的组合，履约保函包括银行保函、保证保险和担保保函，其示范文本详见第四章合同条款及格式附件。中标人提交的履约保函应严格执行其示范文本，不得对示范文本中的实质性内容进行修改。</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中标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中标人对所提交的履约保函的真实性、合法性、有效性负责。</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w:t>
            </w:r>
            <w:r>
              <w:rPr>
                <w:rFonts w:hint="eastAsia" w:asciiTheme="minorEastAsia" w:hAnsiTheme="minorEastAsia" w:eastAsiaTheme="minorEastAsia" w:cstheme="minorEastAsia"/>
                <w:color w:val="auto"/>
                <w:kern w:val="0"/>
                <w:szCs w:val="21"/>
                <w:highlight w:val="none"/>
                <w:lang w:val="en-US" w:eastAsia="zh-CN"/>
              </w:rPr>
              <w:t>3</w:t>
            </w:r>
            <w:r>
              <w:rPr>
                <w:rFonts w:hint="eastAsia" w:asciiTheme="minorEastAsia" w:hAnsiTheme="minorEastAsia" w:eastAsiaTheme="minorEastAsia" w:cstheme="minorEastAsia"/>
                <w:color w:val="auto"/>
                <w:kern w:val="0"/>
                <w:szCs w:val="21"/>
                <w:highlight w:val="none"/>
              </w:rPr>
              <w:t>）履约保证金的金额：</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i/>
                <w:iCs/>
                <w:color w:val="auto"/>
                <w:kern w:val="0"/>
                <w:szCs w:val="21"/>
                <w:highlight w:val="none"/>
                <w:lang w:val="en-US" w:eastAsia="zh-CN"/>
              </w:rPr>
              <w:t>[提示：</w:t>
            </w:r>
            <w:r>
              <w:rPr>
                <w:rFonts w:hint="eastAsia" w:asciiTheme="minorEastAsia" w:hAnsiTheme="minorEastAsia" w:eastAsiaTheme="minorEastAsia" w:cstheme="minorEastAsia"/>
                <w:i/>
                <w:iCs/>
                <w:color w:val="auto"/>
                <w:kern w:val="0"/>
                <w:szCs w:val="21"/>
                <w:highlight w:val="none"/>
              </w:rPr>
              <w:t>不超过中标合同金额的10%。</w:t>
            </w:r>
            <w:r>
              <w:rPr>
                <w:rFonts w:hint="eastAsia" w:asciiTheme="minorEastAsia" w:hAnsiTheme="minorEastAsia" w:eastAsiaTheme="minorEastAsia" w:cstheme="minorEastAsia"/>
                <w:i/>
                <w:iCs/>
                <w:color w:val="auto"/>
                <w:kern w:val="0"/>
                <w:szCs w:val="21"/>
                <w:highlight w:val="none"/>
                <w:lang w:val="en-US"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eastAsiaTheme="minorEastAsia" w:cstheme="minorEastAsia"/>
                <w:color w:val="auto"/>
                <w:kern w:val="0"/>
                <w:szCs w:val="21"/>
                <w:highlight w:val="none"/>
                <w:lang w:eastAsia="zh-CN"/>
              </w:rPr>
              <w:t>①</w:t>
            </w:r>
            <w:r>
              <w:rPr>
                <w:rFonts w:hint="eastAsia" w:asciiTheme="minorEastAsia" w:hAnsiTheme="minorEastAsia" w:eastAsiaTheme="minorEastAsia" w:cstheme="minorEastAsia"/>
                <w:color w:val="auto"/>
                <w:kern w:val="0"/>
                <w:szCs w:val="21"/>
                <w:highlight w:val="none"/>
              </w:rPr>
              <w:t>红名单优惠：红名单中的中标人履约</w:t>
            </w:r>
            <w:r>
              <w:rPr>
                <w:rFonts w:hint="eastAsia" w:asciiTheme="minorEastAsia" w:hAnsiTheme="minorEastAsia" w:eastAsiaTheme="minorEastAsia" w:cstheme="minorEastAsia"/>
                <w:color w:val="auto"/>
                <w:kern w:val="0"/>
                <w:szCs w:val="21"/>
                <w:highlight w:val="none"/>
                <w:lang w:eastAsia="zh-CN"/>
              </w:rPr>
              <w:t>保证金</w:t>
            </w:r>
            <w:r>
              <w:rPr>
                <w:rFonts w:hint="eastAsia" w:asciiTheme="minorEastAsia" w:hAnsiTheme="minorEastAsia" w:eastAsiaTheme="minorEastAsia" w:cstheme="minorEastAsia"/>
                <w:color w:val="auto"/>
                <w:kern w:val="0"/>
                <w:szCs w:val="21"/>
                <w:highlight w:val="none"/>
              </w:rPr>
              <w:t>金额为应缴纳金额的</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lang w:val="en-US" w:eastAsia="zh-CN"/>
              </w:rPr>
              <w:t>（50%～80%）</w:t>
            </w:r>
            <w:r>
              <w:rPr>
                <w:rFonts w:hint="eastAsia" w:asciiTheme="minorEastAsia" w:hAnsiTheme="minorEastAsia" w:eastAsiaTheme="minorEastAsia" w:cstheme="minorEastAsia"/>
                <w:color w:val="auto"/>
                <w:kern w:val="0"/>
                <w:szCs w:val="21"/>
                <w:highlight w:val="none"/>
                <w:lang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②红名单认定标准：</w:t>
            </w:r>
          </w:p>
          <w:p>
            <w:pPr>
              <w:keepNext w:val="0"/>
              <w:keepLines w:val="0"/>
              <w:pageBreakBefore w:val="0"/>
              <w:kinsoku/>
              <w:wordWrap/>
              <w:overflowPunct/>
              <w:topLinePunct w:val="0"/>
              <w:bidi w:val="0"/>
              <w:snapToGrid w:val="0"/>
              <w:spacing w:line="400" w:lineRule="exact"/>
              <w:ind w:firstLine="420" w:firstLineChars="200"/>
              <w:textAlignment w:val="auto"/>
              <w:rPr>
                <w:color w:val="auto"/>
                <w:highlight w:val="none"/>
              </w:rPr>
            </w:pPr>
            <w:r>
              <w:rPr>
                <w:rFonts w:hint="eastAsia" w:asciiTheme="minorEastAsia" w:hAnsiTheme="minorEastAsia" w:eastAsiaTheme="minorEastAsia" w:cstheme="minorEastAsia"/>
                <w:color w:val="auto"/>
                <w:kern w:val="0"/>
                <w:szCs w:val="21"/>
                <w:highlight w:val="none"/>
              </w:rPr>
              <w:t>□方式一：非联合体中标的，须中标人所属红名单类别包含在招标范围内</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color w:val="auto"/>
                <w:kern w:val="0"/>
                <w:szCs w:val="21"/>
                <w:highlight w:val="none"/>
              </w:rPr>
              <w:t>联合体中标的，须联合体牵头人在红名单中，并且按照</w:t>
            </w:r>
            <w:r>
              <w:rPr>
                <w:rFonts w:hint="eastAsia" w:asciiTheme="minorEastAsia" w:hAnsiTheme="minorEastAsia" w:eastAsiaTheme="minorEastAsia" w:cstheme="minorEastAsia"/>
                <w:color w:val="auto"/>
                <w:kern w:val="0"/>
                <w:szCs w:val="21"/>
                <w:highlight w:val="none"/>
                <w:lang w:eastAsia="zh-CN"/>
              </w:rPr>
              <w:t>共同投标协议</w:t>
            </w:r>
            <w:r>
              <w:rPr>
                <w:rFonts w:hint="eastAsia" w:asciiTheme="minorEastAsia" w:hAnsiTheme="minorEastAsia" w:eastAsiaTheme="minorEastAsia" w:cstheme="minorEastAsia"/>
                <w:color w:val="auto"/>
                <w:kern w:val="0"/>
                <w:szCs w:val="21"/>
                <w:highlight w:val="none"/>
              </w:rPr>
              <w:t>牵头人所属红名单类别包含在其工作范围内。中标人是否属于红名单，以</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为准</w:t>
            </w:r>
            <w:r>
              <w:rPr>
                <w:rFonts w:hint="eastAsia" w:asciiTheme="minorEastAsia" w:hAnsiTheme="minorEastAsia" w:eastAsiaTheme="minorEastAsia" w:cstheme="minorEastAsia"/>
                <w:color w:val="auto"/>
                <w:kern w:val="0"/>
                <w:szCs w:val="21"/>
                <w:highlight w:val="none"/>
                <w:lang w:eastAsia="zh-CN"/>
              </w:rPr>
              <w:t>。</w:t>
            </w:r>
            <w:r>
              <w:rPr>
                <w:rFonts w:hint="eastAsia" w:asciiTheme="minorEastAsia" w:hAnsiTheme="minorEastAsia" w:eastAsiaTheme="minorEastAsia" w:cstheme="minorEastAsia"/>
                <w:i/>
                <w:iCs/>
                <w:color w:val="auto"/>
                <w:kern w:val="0"/>
                <w:szCs w:val="21"/>
                <w:highlight w:val="none"/>
                <w:lang w:val="en-US" w:eastAsia="zh-CN"/>
              </w:rPr>
              <w:t>[提示：</w:t>
            </w:r>
            <w:r>
              <w:rPr>
                <w:rFonts w:hint="eastAsia" w:asciiTheme="minorEastAsia" w:hAnsiTheme="minorEastAsia" w:eastAsiaTheme="minorEastAsia" w:cstheme="minorEastAsia"/>
                <w:i/>
                <w:iCs/>
                <w:color w:val="auto"/>
                <w:kern w:val="0"/>
                <w:szCs w:val="21"/>
                <w:highlight w:val="none"/>
              </w:rPr>
              <w:t>以开标环节信用状况查询结果为准</w:t>
            </w:r>
            <w:r>
              <w:rPr>
                <w:rFonts w:hint="eastAsia" w:asciiTheme="minorEastAsia" w:hAnsiTheme="minorEastAsia" w:eastAsiaTheme="minorEastAsia" w:cstheme="minorEastAsia"/>
                <w:i/>
                <w:iCs/>
                <w:color w:val="auto"/>
                <w:kern w:val="0"/>
                <w:szCs w:val="21"/>
                <w:highlight w:val="none"/>
                <w:lang w:val="en-US" w:eastAsia="zh-CN"/>
              </w:rPr>
              <w:t>或者</w:t>
            </w:r>
            <w:r>
              <w:rPr>
                <w:rFonts w:hint="eastAsia" w:asciiTheme="minorEastAsia" w:hAnsiTheme="minorEastAsia" w:eastAsiaTheme="minorEastAsia" w:cstheme="minorEastAsia"/>
                <w:i/>
                <w:iCs/>
                <w:color w:val="auto"/>
                <w:kern w:val="0"/>
                <w:szCs w:val="21"/>
                <w:highlight w:val="none"/>
              </w:rPr>
              <w:t>以中标通知书落款时间当日信用状况查询结果为准</w:t>
            </w:r>
            <w:r>
              <w:rPr>
                <w:rFonts w:hint="eastAsia" w:asciiTheme="minorEastAsia" w:hAnsiTheme="minorEastAsia" w:eastAsiaTheme="minorEastAsia" w:cstheme="minorEastAsia"/>
                <w:i/>
                <w:iCs/>
                <w:color w:val="auto"/>
                <w:kern w:val="0"/>
                <w:szCs w:val="21"/>
                <w:highlight w:val="none"/>
                <w:lang w:val="en-US" w:eastAsia="zh-CN"/>
              </w:rPr>
              <w:t>或</w:t>
            </w:r>
            <w:r>
              <w:rPr>
                <w:rFonts w:hint="eastAsia" w:asciiTheme="minorEastAsia" w:hAnsiTheme="minorEastAsia" w:eastAsiaTheme="minorEastAsia" w:cstheme="minorEastAsia"/>
                <w:i/>
                <w:iCs/>
                <w:color w:val="auto"/>
                <w:kern w:val="0"/>
                <w:szCs w:val="21"/>
                <w:highlight w:val="none"/>
                <w:u w:val="single"/>
                <w:lang w:val="en-US" w:eastAsia="zh-CN"/>
              </w:rPr>
              <w:t>者由招标人自行明确其他方式</w:t>
            </w:r>
            <w:r>
              <w:rPr>
                <w:rFonts w:hint="eastAsia" w:asciiTheme="minorEastAsia" w:hAnsiTheme="minorEastAsia" w:eastAsiaTheme="minorEastAsia" w:cstheme="minorEastAsia"/>
                <w:i/>
                <w:iCs/>
                <w:color w:val="auto"/>
                <w:kern w:val="0"/>
                <w:szCs w:val="21"/>
                <w:highlight w:val="none"/>
              </w:rPr>
              <w:t>。</w:t>
            </w:r>
            <w:r>
              <w:rPr>
                <w:rFonts w:hint="eastAsia" w:asciiTheme="minorEastAsia" w:hAnsiTheme="minorEastAsia" w:eastAsiaTheme="minorEastAsia" w:cstheme="minorEastAsia"/>
                <w:i/>
                <w:iCs/>
                <w:color w:val="auto"/>
                <w:kern w:val="0"/>
                <w:szCs w:val="21"/>
                <w:highlight w:val="none"/>
                <w:lang w:val="en-US" w:eastAsia="zh-CN"/>
              </w:rPr>
              <w:t>]</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Theme="minorEastAsia" w:hAnsiTheme="minorEastAsia" w:eastAsiaTheme="minorEastAsia" w:cstheme="minorEastAsia"/>
                <w:i w:val="0"/>
                <w:iCs w:val="0"/>
                <w:color w:val="auto"/>
                <w:kern w:val="0"/>
                <w:szCs w:val="21"/>
                <w:highlight w:val="none"/>
              </w:rPr>
              <w:t>□方式二：</w:t>
            </w:r>
            <w:r>
              <w:rPr>
                <w:rFonts w:hint="eastAsia" w:asciiTheme="minorEastAsia" w:hAnsiTheme="minorEastAsia" w:eastAsiaTheme="minorEastAsia" w:cstheme="minorEastAsia"/>
                <w:i w:val="0"/>
                <w:iCs w:val="0"/>
                <w:color w:val="auto"/>
                <w:kern w:val="0"/>
                <w:szCs w:val="21"/>
                <w:highlight w:val="none"/>
                <w:u w:val="single"/>
              </w:rPr>
              <w:t xml:space="preserve">     </w:t>
            </w:r>
            <w:r>
              <w:rPr>
                <w:rFonts w:hint="eastAsia" w:asciiTheme="minorEastAsia" w:hAnsiTheme="minorEastAsia" w:eastAsiaTheme="minorEastAsia" w:cstheme="minorEastAsia"/>
                <w:i/>
                <w:iCs/>
                <w:color w:val="auto"/>
                <w:kern w:val="0"/>
                <w:szCs w:val="21"/>
                <w:highlight w:val="none"/>
              </w:rPr>
              <w:t>[提示：由招标人自行明确认定标准]。中标人是否属于红名单，以</w:t>
            </w:r>
            <w:r>
              <w:rPr>
                <w:rFonts w:hint="eastAsia" w:asciiTheme="minorEastAsia" w:hAnsiTheme="minorEastAsia" w:eastAsiaTheme="minorEastAsia" w:cstheme="minorEastAsia"/>
                <w:i/>
                <w:iCs/>
                <w:color w:val="auto"/>
                <w:kern w:val="0"/>
                <w:szCs w:val="21"/>
                <w:highlight w:val="none"/>
                <w:u w:val="single"/>
              </w:rPr>
              <w:t xml:space="preserve">    </w:t>
            </w:r>
            <w:r>
              <w:rPr>
                <w:rFonts w:hint="eastAsia" w:asciiTheme="minorEastAsia" w:hAnsiTheme="minorEastAsia" w:eastAsiaTheme="minorEastAsia" w:cstheme="minorEastAsia"/>
                <w:i/>
                <w:iCs/>
                <w:color w:val="auto"/>
                <w:kern w:val="0"/>
                <w:szCs w:val="21"/>
                <w:highlight w:val="none"/>
              </w:rPr>
              <w:t>为准。[提示：以开标环节信用状况查询结果为准或者以中标通知书落款时间当日信用状况查询结果为准或者由招标人自行明确其他方式。]</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（4）履约担保的提交时间：见专用合同条款。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（5）履约担保的期限：见专用合同条款。</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（6）履约担保的退还时间：见专用合同条款。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7.4.1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签订合同</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依法必须进行招标的项目，中标候选人有《</w:t>
            </w:r>
            <w:r>
              <w:rPr>
                <w:rFonts w:hint="eastAsia" w:ascii="宋体" w:hAnsi="宋体"/>
                <w:color w:val="auto"/>
                <w:kern w:val="0"/>
                <w:szCs w:val="21"/>
                <w:highlight w:val="none"/>
                <w:lang w:val="en-US" w:eastAsia="zh-CN"/>
              </w:rPr>
              <w:t>中华人民共和国</w:t>
            </w:r>
            <w:r>
              <w:rPr>
                <w:rFonts w:hint="eastAsia" w:ascii="宋体" w:hAnsi="宋体"/>
                <w:color w:val="auto"/>
                <w:kern w:val="0"/>
                <w:szCs w:val="21"/>
                <w:highlight w:val="none"/>
              </w:rPr>
              <w:t>招标投标法实施条例》第七十四条规定行为的，视为特别严重信用不良行为且情节特别严重，按信用记分上限一次性记12分，纳入黑名单管理；中标人有《</w:t>
            </w:r>
            <w:r>
              <w:rPr>
                <w:rFonts w:hint="eastAsia" w:ascii="宋体" w:hAnsi="宋体"/>
                <w:color w:val="auto"/>
                <w:kern w:val="0"/>
                <w:szCs w:val="21"/>
                <w:highlight w:val="none"/>
                <w:lang w:val="en-US" w:eastAsia="zh-CN"/>
              </w:rPr>
              <w:t>中华人民共和国</w:t>
            </w:r>
            <w:r>
              <w:rPr>
                <w:rFonts w:hint="eastAsia" w:ascii="宋体" w:hAnsi="宋体"/>
                <w:color w:val="auto"/>
                <w:kern w:val="0"/>
                <w:szCs w:val="21"/>
                <w:highlight w:val="none"/>
              </w:rPr>
              <w:t>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8.1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重新招标</w:t>
            </w:r>
            <w:r>
              <w:rPr>
                <w:rFonts w:hint="eastAsia" w:ascii="宋体" w:hAnsi="宋体"/>
                <w:color w:val="auto"/>
                <w:kern w:val="0"/>
                <w:szCs w:val="21"/>
                <w:highlight w:val="none"/>
              </w:rPr>
              <w:t>的情形</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1.按投标人须知第8.1（1）执行；</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2.按投标人须知第8.1（2）执行；</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snapToGrid w:val="0"/>
                <w:color w:val="auto"/>
                <w:kern w:val="0"/>
                <w:szCs w:val="21"/>
                <w:highlight w:val="none"/>
              </w:rPr>
              <w:t>3.</w:t>
            </w:r>
            <w:r>
              <w:rPr>
                <w:rFonts w:ascii="宋体" w:hAnsi="宋体"/>
                <w:color w:val="auto"/>
                <w:kern w:val="0"/>
                <w:szCs w:val="21"/>
                <w:highlight w:val="none"/>
              </w:rPr>
              <w:t>按投标人须知第8.1（3）执行；</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snapToGrid w:val="0"/>
                <w:color w:val="auto"/>
                <w:kern w:val="0"/>
                <w:szCs w:val="21"/>
                <w:highlight w:val="none"/>
              </w:rPr>
              <w:t>4.</w:t>
            </w:r>
            <w:r>
              <w:rPr>
                <w:rFonts w:ascii="宋体" w:hAnsi="宋体"/>
                <w:color w:val="auto"/>
                <w:kern w:val="0"/>
                <w:szCs w:val="21"/>
                <w:highlight w:val="none"/>
              </w:rPr>
              <w:t>按投标人须知第8.1（4）执行</w:t>
            </w:r>
            <w:r>
              <w:rPr>
                <w:rFonts w:hint="eastAsia" w:ascii="宋体" w:hAnsi="宋体"/>
                <w:color w:val="auto"/>
                <w:kern w:val="0"/>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8.2</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color w:val="auto"/>
                <w:highlight w:val="none"/>
              </w:rPr>
            </w:pPr>
            <w:bookmarkStart w:id="209" w:name="_Toc13210670"/>
            <w:bookmarkStart w:id="210" w:name="_Toc509218709"/>
            <w:bookmarkStart w:id="211" w:name="_Toc536628250"/>
            <w:bookmarkStart w:id="212" w:name="_Toc16930431"/>
            <w:bookmarkStart w:id="213" w:name="_Toc430530434"/>
            <w:r>
              <w:rPr>
                <w:rFonts w:hint="eastAsia" w:ascii="宋体" w:hAnsi="宋体"/>
                <w:color w:val="auto"/>
                <w:kern w:val="0"/>
                <w:szCs w:val="21"/>
                <w:highlight w:val="none"/>
              </w:rPr>
              <w:t>重新</w:t>
            </w:r>
            <w:r>
              <w:rPr>
                <w:rFonts w:ascii="宋体" w:hAnsi="宋体"/>
                <w:color w:val="auto"/>
                <w:kern w:val="0"/>
                <w:szCs w:val="21"/>
                <w:highlight w:val="none"/>
              </w:rPr>
              <w:t>招标和不再招标</w:t>
            </w:r>
            <w:bookmarkEnd w:id="209"/>
            <w:bookmarkEnd w:id="210"/>
            <w:bookmarkEnd w:id="211"/>
            <w:bookmarkEnd w:id="212"/>
            <w:bookmarkEnd w:id="213"/>
          </w:p>
        </w:tc>
        <w:tc>
          <w:tcPr>
            <w:tcW w:w="6524"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snapToGrid w:val="0"/>
                <w:color w:val="auto"/>
                <w:kern w:val="0"/>
                <w:szCs w:val="21"/>
                <w:highlight w:val="none"/>
              </w:rPr>
            </w:pPr>
            <w:r>
              <w:rPr>
                <w:rFonts w:hint="eastAsia" w:ascii="宋体" w:hAnsi="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r>
              <w:rPr>
                <w:rFonts w:ascii="宋体" w:hAnsi="宋体"/>
                <w:snapToGrid w:val="0"/>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10</w:t>
            </w:r>
          </w:p>
        </w:tc>
        <w:tc>
          <w:tcPr>
            <w:tcW w:w="8134" w:type="dxa"/>
            <w:gridSpan w:val="2"/>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10.1</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ascii="宋体" w:hAnsi="宋体"/>
                <w:color w:val="auto"/>
                <w:kern w:val="0"/>
                <w:szCs w:val="21"/>
                <w:highlight w:val="none"/>
              </w:rPr>
              <w:t>支付担保</w:t>
            </w:r>
          </w:p>
        </w:tc>
        <w:tc>
          <w:tcPr>
            <w:tcW w:w="6524" w:type="dxa"/>
            <w:vAlign w:val="center"/>
          </w:tcPr>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招标人应按第四章合同专用条款约定向中标人提供相应的支付担保</w:t>
            </w:r>
            <w:r>
              <w:rPr>
                <w:rFonts w:ascii="宋体" w:hAnsi="宋体"/>
                <w:color w:val="auto"/>
                <w:kern w:val="0"/>
                <w:szCs w:val="21"/>
                <w:highlight w:val="none"/>
              </w:rPr>
              <w:t>。</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招标人将在</w:t>
            </w:r>
            <w:r>
              <w:rPr>
                <w:rFonts w:hint="eastAsia" w:ascii="宋体" w:hAnsi="宋体"/>
                <w:color w:val="auto"/>
                <w:kern w:val="0"/>
                <w:szCs w:val="21"/>
                <w:highlight w:val="none"/>
              </w:rPr>
              <w:t>中标人</w:t>
            </w:r>
            <w:r>
              <w:rPr>
                <w:rFonts w:ascii="宋体" w:hAnsi="宋体"/>
                <w:color w:val="auto"/>
                <w:kern w:val="0"/>
                <w:szCs w:val="21"/>
                <w:highlight w:val="none"/>
              </w:rPr>
              <w:t>提供履约担保后，签订合同协议书之前向中标人提交支付担保。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olor w:val="auto"/>
                <w:kern w:val="0"/>
                <w:szCs w:val="21"/>
                <w:highlight w:val="none"/>
                <w:lang w:eastAsia="zh-CN"/>
              </w:rPr>
            </w:pPr>
            <w:r>
              <w:rPr>
                <w:rFonts w:ascii="宋体" w:hAnsi="宋体"/>
                <w:color w:val="auto"/>
                <w:kern w:val="0"/>
                <w:szCs w:val="21"/>
                <w:highlight w:val="none"/>
              </w:rPr>
              <w:t>10.</w:t>
            </w:r>
            <w:r>
              <w:rPr>
                <w:rFonts w:hint="eastAsia" w:ascii="宋体" w:hAnsi="宋体"/>
                <w:color w:val="auto"/>
                <w:kern w:val="0"/>
                <w:szCs w:val="21"/>
                <w:highlight w:val="none"/>
                <w:lang w:val="en-US" w:eastAsia="zh-CN"/>
              </w:rPr>
              <w:t>2</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异议、</w:t>
            </w:r>
            <w:r>
              <w:rPr>
                <w:rFonts w:ascii="宋体" w:hAnsi="宋体"/>
                <w:color w:val="auto"/>
                <w:kern w:val="0"/>
                <w:szCs w:val="21"/>
                <w:highlight w:val="none"/>
              </w:rPr>
              <w:t>投诉处理</w:t>
            </w:r>
          </w:p>
        </w:tc>
        <w:tc>
          <w:tcPr>
            <w:tcW w:w="6524" w:type="dxa"/>
            <w:vAlign w:val="center"/>
          </w:tcPr>
          <w:p>
            <w:pPr>
              <w:keepNext w:val="0"/>
              <w:keepLines w:val="0"/>
              <w:pageBreakBefore w:val="0"/>
              <w:widowControl/>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ascii="宋体" w:hAnsi="宋体"/>
                <w:color w:val="auto"/>
                <w:kern w:val="0"/>
                <w:szCs w:val="21"/>
                <w:highlight w:val="none"/>
              </w:rPr>
              <w:t>投标人或者其他利害关系人就本项目的招标文件</w:t>
            </w:r>
            <w:r>
              <w:rPr>
                <w:rFonts w:hint="eastAsia" w:ascii="宋体" w:hAnsi="宋体"/>
                <w:color w:val="auto"/>
                <w:kern w:val="0"/>
                <w:szCs w:val="21"/>
                <w:highlight w:val="none"/>
              </w:rPr>
              <w:t>（含澄清修改）、开标情况、</w:t>
            </w:r>
            <w:r>
              <w:rPr>
                <w:rFonts w:ascii="宋体" w:hAnsi="宋体"/>
                <w:color w:val="auto"/>
                <w:kern w:val="0"/>
                <w:szCs w:val="21"/>
                <w:highlight w:val="none"/>
              </w:rPr>
              <w:t>评标结果等事项提出投诉</w:t>
            </w:r>
            <w:r>
              <w:rPr>
                <w:rFonts w:hint="eastAsia" w:ascii="宋体" w:hAnsi="宋体"/>
                <w:color w:val="auto"/>
                <w:kern w:val="0"/>
                <w:szCs w:val="21"/>
                <w:highlight w:val="none"/>
              </w:rPr>
              <w:t>的</w:t>
            </w:r>
            <w:r>
              <w:rPr>
                <w:rFonts w:ascii="宋体" w:hAnsi="宋体"/>
                <w:color w:val="auto"/>
                <w:kern w:val="0"/>
                <w:szCs w:val="21"/>
                <w:highlight w:val="none"/>
              </w:rPr>
              <w:t>，应当先向招标人提出异议；招标人应当在规定时间内答复；对招标人的答复不满意，可向行政监督部门投诉。</w:t>
            </w:r>
          </w:p>
          <w:p>
            <w:pPr>
              <w:keepNext w:val="0"/>
              <w:keepLines w:val="0"/>
              <w:pageBreakBefore w:val="0"/>
              <w:widowControl/>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提出异议或投诉时应当包括下列内容：</w:t>
            </w:r>
          </w:p>
          <w:p>
            <w:pPr>
              <w:keepNext w:val="0"/>
              <w:keepLines w:val="0"/>
              <w:pageBreakBefore w:val="0"/>
              <w:widowControl/>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（1）异议人或投诉人的</w:t>
            </w:r>
            <w:r>
              <w:rPr>
                <w:rFonts w:hint="eastAsia" w:ascii="宋体" w:hAnsi="宋体"/>
                <w:color w:val="auto"/>
                <w:kern w:val="0"/>
                <w:szCs w:val="21"/>
                <w:highlight w:val="none"/>
                <w:lang w:val="en-US" w:eastAsia="zh-CN"/>
              </w:rPr>
              <w:t>姓名/</w:t>
            </w:r>
            <w:r>
              <w:rPr>
                <w:rFonts w:hint="eastAsia" w:ascii="宋体" w:hAnsi="宋体"/>
                <w:color w:val="auto"/>
                <w:kern w:val="0"/>
                <w:szCs w:val="21"/>
                <w:highlight w:val="none"/>
              </w:rPr>
              <w:t>名称、地址及有效联系方式；</w:t>
            </w:r>
          </w:p>
          <w:p>
            <w:pPr>
              <w:keepNext w:val="0"/>
              <w:keepLines w:val="0"/>
              <w:pageBreakBefore w:val="0"/>
              <w:widowControl/>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（2）被异议人或被投诉人的名称、地址及有效联系方式；</w:t>
            </w:r>
          </w:p>
          <w:p>
            <w:pPr>
              <w:keepNext w:val="0"/>
              <w:keepLines w:val="0"/>
              <w:pageBreakBefore w:val="0"/>
              <w:widowControl/>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（3）异议或投诉事项的基本事实；</w:t>
            </w:r>
          </w:p>
          <w:p>
            <w:pPr>
              <w:keepNext w:val="0"/>
              <w:keepLines w:val="0"/>
              <w:pageBreakBefore w:val="0"/>
              <w:widowControl/>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（4）请求及主张；</w:t>
            </w:r>
          </w:p>
          <w:p>
            <w:pPr>
              <w:keepNext w:val="0"/>
              <w:keepLines w:val="0"/>
              <w:pageBreakBefore w:val="0"/>
              <w:widowControl/>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（5）涉及事项的证据、证明材料。</w:t>
            </w:r>
          </w:p>
          <w:p>
            <w:pPr>
              <w:keepNext w:val="0"/>
              <w:keepLines w:val="0"/>
              <w:pageBreakBefore w:val="0"/>
              <w:widowControl/>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异议人或投诉人是法人的，异议书或投诉书必须由其法定代表人或者委托代理人签名并加盖单位</w:t>
            </w:r>
            <w:r>
              <w:rPr>
                <w:rFonts w:hint="eastAsia" w:ascii="宋体" w:hAnsi="宋体"/>
                <w:color w:val="auto"/>
                <w:kern w:val="0"/>
                <w:szCs w:val="21"/>
                <w:highlight w:val="none"/>
                <w:lang w:val="en-US" w:eastAsia="zh-CN"/>
              </w:rPr>
              <w:t>法人</w:t>
            </w:r>
            <w:r>
              <w:rPr>
                <w:rFonts w:hint="eastAsia" w:ascii="宋体" w:hAnsi="宋体"/>
                <w:color w:val="auto"/>
                <w:kern w:val="0"/>
                <w:szCs w:val="21"/>
                <w:highlight w:val="none"/>
              </w:rPr>
              <w:t>章；异议人或投诉人是其他组织或者自然人的，异议书或投诉书必须由其主要负责人签名或者异议人（或投诉人）本人签名，并附有效身份证明。如有关材料是外文，应当同时提供中文译本。</w:t>
            </w:r>
          </w:p>
          <w:p>
            <w:pPr>
              <w:keepNext w:val="0"/>
              <w:keepLines w:val="0"/>
              <w:pageBreakBefore w:val="0"/>
              <w:widowControl/>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rPr>
              <w:t>2.</w:t>
            </w:r>
            <w:r>
              <w:rPr>
                <w:rFonts w:hint="eastAsia" w:ascii="宋体" w:hAnsi="宋体"/>
                <w:color w:val="auto"/>
                <w:kern w:val="0"/>
                <w:szCs w:val="21"/>
                <w:highlight w:val="none"/>
              </w:rPr>
              <w:t xml:space="preserve"> </w:t>
            </w:r>
            <w:r>
              <w:rPr>
                <w:rFonts w:ascii="宋体" w:hAnsi="宋体"/>
                <w:color w:val="auto"/>
                <w:kern w:val="0"/>
                <w:szCs w:val="21"/>
                <w:highlight w:val="none"/>
              </w:rPr>
              <w:t>行政监督部门依照</w:t>
            </w:r>
            <w:r>
              <w:rPr>
                <w:rFonts w:hint="eastAsia" w:ascii="宋体" w:hAnsi="宋体"/>
                <w:color w:val="auto"/>
                <w:kern w:val="0"/>
                <w:szCs w:val="21"/>
                <w:highlight w:val="none"/>
                <w:lang w:val="en-US" w:eastAsia="zh-CN"/>
              </w:rPr>
              <w:t>相关</w:t>
            </w:r>
            <w:r>
              <w:rPr>
                <w:rFonts w:ascii="宋体" w:hAnsi="宋体"/>
                <w:color w:val="auto"/>
                <w:kern w:val="0"/>
                <w:szCs w:val="21"/>
                <w:highlight w:val="none"/>
              </w:rPr>
              <w:t>法律法规文件处理投诉。</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3. 根据《重庆市工程建设领域招标投标信用管理暂行办法》的规定，投标人捏造事实、伪造材料，或者以非法手段获取证明材料进行质疑或者投诉的，将被列入黑名单管理；</w:t>
            </w:r>
            <w:r>
              <w:rPr>
                <w:rFonts w:ascii="宋体" w:hAnsi="宋体"/>
                <w:color w:val="auto"/>
                <w:kern w:val="0"/>
                <w:szCs w:val="21"/>
                <w:highlight w:val="none"/>
              </w:rPr>
              <w:t>给他人造成损失的，依法承担赔偿责任。</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u w:val="single"/>
              </w:rPr>
            </w:pPr>
            <w:r>
              <w:rPr>
                <w:rFonts w:hint="eastAsia" w:ascii="宋体" w:hAnsi="宋体"/>
                <w:color w:val="auto"/>
                <w:kern w:val="0"/>
                <w:szCs w:val="21"/>
                <w:highlight w:val="none"/>
              </w:rPr>
              <w:t>4.</w:t>
            </w:r>
            <w:r>
              <w:rPr>
                <w:rFonts w:hint="eastAsia"/>
                <w:color w:val="auto"/>
                <w:highlight w:val="none"/>
              </w:rPr>
              <w:t xml:space="preserve"> </w:t>
            </w:r>
            <w:r>
              <w:rPr>
                <w:rFonts w:hint="eastAsia" w:ascii="宋体" w:hAnsi="宋体"/>
                <w:color w:val="auto"/>
                <w:kern w:val="0"/>
                <w:szCs w:val="21"/>
                <w:highlight w:val="none"/>
              </w:rPr>
              <w:t>异议受理单位：</w:t>
            </w:r>
            <w:r>
              <w:rPr>
                <w:rFonts w:hint="eastAsia" w:asciiTheme="minorEastAsia" w:hAnsiTheme="minorEastAsia" w:eastAsiaTheme="minorEastAsia" w:cstheme="minorEastAsia"/>
                <w:color w:val="auto"/>
                <w:kern w:val="0"/>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hint="eastAsia" w:ascii="宋体" w:hAnsi="宋体"/>
                <w:color w:val="auto"/>
                <w:kern w:val="0"/>
                <w:szCs w:val="21"/>
                <w:highlight w:val="none"/>
                <w:lang w:val="en-US" w:eastAsia="zh-CN"/>
              </w:rPr>
            </w:pPr>
            <w:r>
              <w:rPr>
                <w:rFonts w:hint="eastAsia" w:ascii="宋体" w:hAnsi="宋体"/>
                <w:color w:val="auto"/>
                <w:kern w:val="0"/>
                <w:szCs w:val="21"/>
                <w:highlight w:val="none"/>
              </w:rPr>
              <w:t>联系电话：</w:t>
            </w:r>
            <w:r>
              <w:rPr>
                <w:rFonts w:hint="eastAsia" w:asciiTheme="minorEastAsia" w:hAnsiTheme="minorEastAsia" w:eastAsiaTheme="minorEastAsia" w:cstheme="minorEastAsia"/>
                <w:color w:val="auto"/>
                <w:kern w:val="0"/>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投诉受理部门：</w:t>
            </w:r>
            <w:r>
              <w:rPr>
                <w:rFonts w:hint="eastAsia" w:asciiTheme="minorEastAsia" w:hAnsiTheme="minorEastAsia" w:eastAsiaTheme="minorEastAsia" w:cstheme="minorEastAsia"/>
                <w:color w:val="auto"/>
                <w:kern w:val="0"/>
                <w:szCs w:val="21"/>
                <w:highlight w:val="none"/>
                <w:u w:val="single"/>
                <w:lang w:val="en-US" w:eastAsia="zh-CN"/>
              </w:rPr>
              <w:t xml:space="preserve">        </w:t>
            </w:r>
          </w:p>
          <w:p>
            <w:pPr>
              <w:keepNext w:val="0"/>
              <w:keepLines w:val="0"/>
              <w:pageBreakBefore w:val="0"/>
              <w:kinsoku/>
              <w:wordWrap/>
              <w:overflowPunct/>
              <w:topLinePunct w:val="0"/>
              <w:bidi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color w:val="auto"/>
                <w:kern w:val="0"/>
                <w:szCs w:val="21"/>
                <w:highlight w:val="none"/>
              </w:rPr>
              <w:t>联系电话：</w:t>
            </w:r>
            <w:r>
              <w:rPr>
                <w:rFonts w:hint="eastAsia" w:asciiTheme="minorEastAsia" w:hAnsiTheme="minorEastAsia" w:eastAsiaTheme="minorEastAsia" w:cstheme="minorEastAsia"/>
                <w:color w:val="auto"/>
                <w:kern w:val="0"/>
                <w:szCs w:val="21"/>
                <w:highlight w:val="none"/>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olor w:val="auto"/>
                <w:kern w:val="0"/>
                <w:szCs w:val="21"/>
                <w:highlight w:val="none"/>
                <w:lang w:eastAsia="zh-CN"/>
              </w:rPr>
            </w:pPr>
            <w:r>
              <w:rPr>
                <w:rFonts w:hint="eastAsia" w:ascii="宋体" w:hAnsi="宋体"/>
                <w:color w:val="auto"/>
                <w:kern w:val="0"/>
                <w:szCs w:val="21"/>
                <w:highlight w:val="none"/>
              </w:rPr>
              <w:t>10.</w:t>
            </w:r>
            <w:r>
              <w:rPr>
                <w:rFonts w:hint="eastAsia" w:ascii="宋体" w:hAnsi="宋体"/>
                <w:color w:val="auto"/>
                <w:kern w:val="0"/>
                <w:szCs w:val="21"/>
                <w:highlight w:val="none"/>
                <w:lang w:val="en-US" w:eastAsia="zh-CN"/>
              </w:rPr>
              <w:t>3</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工程量清单</w:t>
            </w:r>
          </w:p>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编制说明</w:t>
            </w:r>
          </w:p>
        </w:tc>
        <w:tc>
          <w:tcPr>
            <w:tcW w:w="6524" w:type="dxa"/>
            <w:vAlign w:val="center"/>
          </w:tcPr>
          <w:p>
            <w:pPr>
              <w:keepNext w:val="0"/>
              <w:keepLines w:val="0"/>
              <w:pageBreakBefore w:val="0"/>
              <w:widowControl/>
              <w:kinsoku/>
              <w:wordWrap/>
              <w:overflowPunct/>
              <w:topLinePunct w:val="0"/>
              <w:bidi w:val="0"/>
              <w:spacing w:line="400" w:lineRule="exact"/>
              <w:ind w:firstLine="420" w:firstLineChars="200"/>
              <w:textAlignment w:val="auto"/>
              <w:rPr>
                <w:rFonts w:ascii="宋体" w:hAnsi="宋体"/>
                <w:color w:val="auto"/>
                <w:kern w:val="0"/>
                <w:szCs w:val="21"/>
                <w:highlight w:val="none"/>
              </w:rPr>
            </w:pPr>
            <w:r>
              <w:rPr>
                <w:rFonts w:hint="eastAsia" w:ascii="宋体" w:hAnsi="宋体"/>
                <w:i/>
                <w:color w:val="auto"/>
                <w:kern w:val="0"/>
                <w:szCs w:val="21"/>
                <w:highlight w:val="none"/>
              </w:rPr>
              <w:t>[提示：由招标人根据项目实际情况，自行编制。工程量清单编制说明中不得有违背相关法律法规及规范性文件规定的内容，若有涉及否决投标的规定必须集中在后文“否决投标情况一览表”中，否则以“否决投标情况一览表”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olor w:val="auto"/>
                <w:kern w:val="0"/>
                <w:szCs w:val="21"/>
                <w:highlight w:val="none"/>
                <w:lang w:eastAsia="zh-CN"/>
              </w:rPr>
            </w:pPr>
            <w:r>
              <w:rPr>
                <w:rFonts w:hint="eastAsia" w:ascii="宋体" w:hAnsi="宋体"/>
                <w:color w:val="auto"/>
                <w:kern w:val="0"/>
                <w:szCs w:val="21"/>
                <w:highlight w:val="none"/>
              </w:rPr>
              <w:t>10.</w:t>
            </w:r>
            <w:r>
              <w:rPr>
                <w:rFonts w:hint="eastAsia" w:ascii="宋体" w:hAnsi="宋体"/>
                <w:color w:val="auto"/>
                <w:kern w:val="0"/>
                <w:szCs w:val="21"/>
                <w:highlight w:val="none"/>
                <w:lang w:val="en-US" w:eastAsia="zh-CN"/>
              </w:rPr>
              <w:t>4</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建筑</w:t>
            </w:r>
            <w:r>
              <w:rPr>
                <w:rFonts w:ascii="宋体" w:hAnsi="宋体"/>
                <w:color w:val="auto"/>
                <w:kern w:val="0"/>
                <w:szCs w:val="21"/>
                <w:highlight w:val="none"/>
              </w:rPr>
              <w:t>领域实施农民工工资专用账户相关</w:t>
            </w:r>
            <w:r>
              <w:rPr>
                <w:rFonts w:hint="eastAsia" w:ascii="宋体" w:hAnsi="宋体"/>
                <w:color w:val="auto"/>
                <w:kern w:val="0"/>
                <w:szCs w:val="21"/>
                <w:highlight w:val="none"/>
              </w:rPr>
              <w:t>要求</w:t>
            </w:r>
          </w:p>
        </w:tc>
        <w:tc>
          <w:tcPr>
            <w:tcW w:w="6524" w:type="dxa"/>
            <w:vAlign w:val="center"/>
          </w:tcPr>
          <w:p>
            <w:pPr>
              <w:keepNext w:val="0"/>
              <w:keepLines w:val="0"/>
              <w:pageBreakBefore w:val="0"/>
              <w:widowControl w:val="0"/>
              <w:kinsoku/>
              <w:wordWrap/>
              <w:overflowPunct/>
              <w:topLinePunct w:val="0"/>
              <w:bidi w:val="0"/>
              <w:spacing w:line="400" w:lineRule="exact"/>
              <w:ind w:firstLine="420" w:firstLineChars="200"/>
              <w:jc w:val="left"/>
              <w:textAlignment w:val="auto"/>
              <w:outlineLvl w:val="9"/>
              <w:rPr>
                <w:rFonts w:ascii="宋体" w:hAnsi="宋体"/>
                <w:color w:val="auto"/>
                <w:kern w:val="0"/>
                <w:szCs w:val="21"/>
                <w:highlight w:val="none"/>
              </w:rPr>
            </w:pPr>
            <w:r>
              <w:rPr>
                <w:rFonts w:hint="eastAsia" w:ascii="宋体" w:hAnsi="宋体"/>
                <w:color w:val="auto"/>
                <w:kern w:val="0"/>
                <w:szCs w:val="21"/>
                <w:highlight w:val="none"/>
              </w:rPr>
              <w:t>本项目在</w:t>
            </w:r>
            <w:r>
              <w:rPr>
                <w:rFonts w:ascii="宋体" w:hAnsi="宋体"/>
                <w:color w:val="auto"/>
                <w:kern w:val="0"/>
                <w:szCs w:val="21"/>
                <w:highlight w:val="none"/>
              </w:rPr>
              <w:t>实施过程中</w:t>
            </w:r>
            <w:r>
              <w:rPr>
                <w:rFonts w:hint="eastAsia" w:ascii="宋体" w:hAnsi="宋体"/>
                <w:color w:val="auto"/>
                <w:kern w:val="0"/>
                <w:szCs w:val="21"/>
                <w:highlight w:val="none"/>
              </w:rPr>
              <w:t>，中标人</w:t>
            </w:r>
            <w:r>
              <w:rPr>
                <w:rFonts w:ascii="宋体" w:hAnsi="宋体"/>
                <w:color w:val="auto"/>
                <w:kern w:val="0"/>
                <w:szCs w:val="21"/>
                <w:highlight w:val="none"/>
              </w:rPr>
              <w:t>必须执行</w:t>
            </w:r>
            <w:r>
              <w:rPr>
                <w:rFonts w:hint="eastAsia" w:ascii="宋体" w:hAnsi="宋体"/>
                <w:color w:val="auto"/>
                <w:kern w:val="0"/>
                <w:szCs w:val="21"/>
                <w:highlight w:val="none"/>
                <w:u w:val="single"/>
              </w:rPr>
              <w:t>《保障农民工工资支付条例》（中华人民共和国国务院令第724号）</w:t>
            </w:r>
            <w:r>
              <w:rPr>
                <w:rFonts w:hint="eastAsia" w:ascii="宋体" w:hAnsi="宋体"/>
                <w:kern w:val="0"/>
                <w:szCs w:val="21"/>
                <w:highlight w:val="none"/>
                <w:u w:val="single"/>
                <w:lang w:val="en-US" w:eastAsia="zh-CN"/>
              </w:rPr>
              <w:t>及国家</w:t>
            </w:r>
            <w:r>
              <w:rPr>
                <w:rFonts w:ascii="宋体" w:hAnsi="宋体"/>
                <w:szCs w:val="21"/>
                <w:highlight w:val="none"/>
                <w:u w:val="single"/>
              </w:rPr>
              <w:t>和重庆市现行有关</w:t>
            </w:r>
            <w:r>
              <w:rPr>
                <w:rFonts w:ascii="宋体" w:hAnsi="宋体"/>
                <w:kern w:val="0"/>
                <w:szCs w:val="21"/>
                <w:highlight w:val="none"/>
              </w:rPr>
              <w:t>农民工工资</w:t>
            </w:r>
            <w:r>
              <w:rPr>
                <w:rFonts w:hint="eastAsia" w:ascii="宋体" w:hAnsi="宋体"/>
                <w:kern w:val="0"/>
                <w:szCs w:val="21"/>
                <w:highlight w:val="none"/>
                <w:lang w:val="en-US" w:eastAsia="zh-CN"/>
              </w:rPr>
              <w:t>支付规定</w:t>
            </w:r>
            <w:r>
              <w:rPr>
                <w:rFonts w:hint="eastAsia" w:ascii="宋体" w:hAnsi="宋体"/>
                <w:kern w:val="0"/>
                <w:szCs w:val="21"/>
                <w:highlight w:val="none"/>
              </w:rPr>
              <w:t>，明确农民工工资保证金、实名制、专用账户、银行代发等保障农民工工资支付内容以及违约责任</w:t>
            </w:r>
            <w:r>
              <w:rPr>
                <w:rFonts w:hint="eastAsia" w:ascii="宋体" w:hAnsi="宋体"/>
                <w:color w:val="auto"/>
                <w:kern w:val="0"/>
                <w:szCs w:val="21"/>
                <w:highlight w:val="none"/>
              </w:rPr>
              <w:t>，填报相应的网络管理系统。</w:t>
            </w:r>
          </w:p>
          <w:p>
            <w:pPr>
              <w:keepNext w:val="0"/>
              <w:keepLines w:val="0"/>
              <w:pageBreakBefore w:val="0"/>
              <w:widowControl w:val="0"/>
              <w:kinsoku/>
              <w:wordWrap/>
              <w:overflowPunct/>
              <w:topLinePunct w:val="0"/>
              <w:bidi w:val="0"/>
              <w:spacing w:line="400" w:lineRule="exact"/>
              <w:ind w:firstLine="420" w:firstLineChars="200"/>
              <w:jc w:val="left"/>
              <w:textAlignment w:val="auto"/>
              <w:outlineLvl w:val="9"/>
              <w:rPr>
                <w:rFonts w:ascii="宋体" w:hAnsi="宋体"/>
                <w:color w:val="auto"/>
                <w:kern w:val="0"/>
                <w:szCs w:val="21"/>
                <w:highlight w:val="none"/>
              </w:rPr>
            </w:pPr>
            <w:r>
              <w:rPr>
                <w:rFonts w:hint="eastAsia" w:ascii="宋体" w:hAnsi="宋体"/>
                <w:color w:val="auto"/>
                <w:kern w:val="0"/>
                <w:szCs w:val="21"/>
                <w:highlight w:val="none"/>
              </w:rPr>
              <w:t>投标人中标后，在与发包人签订的合同中，必须明确在</w:t>
            </w:r>
            <w:r>
              <w:rPr>
                <w:rFonts w:hint="eastAsia" w:ascii="宋体" w:hAnsi="宋体"/>
                <w:color w:val="auto"/>
                <w:kern w:val="0"/>
                <w:szCs w:val="21"/>
                <w:highlight w:val="none"/>
                <w:lang w:val="en-US" w:eastAsia="zh-CN"/>
              </w:rPr>
              <w:t>重庆市</w:t>
            </w:r>
            <w:r>
              <w:rPr>
                <w:rFonts w:hint="eastAsia" w:ascii="宋体" w:hAnsi="宋体"/>
                <w:color w:val="auto"/>
                <w:kern w:val="0"/>
                <w:szCs w:val="21"/>
                <w:highlight w:val="none"/>
              </w:rPr>
              <w:t>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r>
              <w:rPr>
                <w:rFonts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olor w:val="auto"/>
                <w:kern w:val="0"/>
                <w:szCs w:val="21"/>
                <w:highlight w:val="none"/>
                <w:lang w:eastAsia="zh-CN"/>
              </w:rPr>
            </w:pPr>
            <w:r>
              <w:rPr>
                <w:rFonts w:hint="eastAsia" w:ascii="宋体" w:hAnsi="宋体"/>
                <w:color w:val="auto"/>
                <w:kern w:val="0"/>
                <w:szCs w:val="21"/>
                <w:highlight w:val="none"/>
              </w:rPr>
              <w:t>10.</w:t>
            </w:r>
            <w:r>
              <w:rPr>
                <w:rFonts w:hint="eastAsia" w:ascii="宋体" w:hAnsi="宋体"/>
                <w:color w:val="auto"/>
                <w:kern w:val="0"/>
                <w:szCs w:val="21"/>
                <w:highlight w:val="none"/>
                <w:lang w:val="en-US" w:eastAsia="zh-CN"/>
              </w:rPr>
              <w:t>5</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关于对招标文件及投标争议的解释</w:t>
            </w:r>
          </w:p>
        </w:tc>
        <w:tc>
          <w:tcPr>
            <w:tcW w:w="6524"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kern w:val="0"/>
                <w:szCs w:val="21"/>
                <w:highlight w:val="none"/>
              </w:rPr>
            </w:pPr>
            <w:r>
              <w:rPr>
                <w:rFonts w:hint="eastAsia" w:ascii="宋体" w:hAnsi="宋体"/>
                <w:kern w:val="0"/>
                <w:szCs w:val="21"/>
              </w:rPr>
              <w:t>对资格预审文件或者招标文件中的条款理解有争议的，应当作出不利于招标人的解释；对投标文件理解有争议的，应当作出不利于投标人的解释。但是，违背国家利益、社会公共利益的除外</w:t>
            </w:r>
            <w:r>
              <w:rPr>
                <w:rFonts w:hint="eastAsia"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olor w:val="auto"/>
                <w:kern w:val="0"/>
                <w:szCs w:val="21"/>
                <w:highlight w:val="none"/>
                <w:lang w:eastAsia="zh-CN"/>
              </w:rPr>
            </w:pPr>
            <w:r>
              <w:rPr>
                <w:rFonts w:hint="eastAsia" w:ascii="宋体" w:hAnsi="宋体"/>
                <w:color w:val="auto"/>
                <w:kern w:val="0"/>
                <w:szCs w:val="21"/>
                <w:highlight w:val="none"/>
              </w:rPr>
              <w:t>10.</w:t>
            </w:r>
            <w:r>
              <w:rPr>
                <w:rFonts w:hint="eastAsia" w:ascii="宋体" w:hAnsi="宋体"/>
                <w:color w:val="auto"/>
                <w:kern w:val="0"/>
                <w:szCs w:val="21"/>
                <w:highlight w:val="none"/>
                <w:lang w:val="en-US" w:eastAsia="zh-CN"/>
              </w:rPr>
              <w:t>6</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投标人注意事项</w:t>
            </w:r>
          </w:p>
        </w:tc>
        <w:tc>
          <w:tcPr>
            <w:tcW w:w="6524"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color w:val="auto"/>
                <w:highlight w:val="none"/>
              </w:rPr>
            </w:pPr>
            <w:r>
              <w:rPr>
                <w:rFonts w:hint="eastAsia"/>
                <w:color w:val="auto"/>
                <w:highlight w:val="none"/>
              </w:rPr>
              <w:t>1. 本次投标采用全流程电子开评标模式，第一次参与投标的单位务必在</w:t>
            </w:r>
            <w:r>
              <w:rPr>
                <w:rFonts w:hint="eastAsia"/>
                <w:color w:val="auto"/>
                <w:highlight w:val="none"/>
                <w:u w:val="single"/>
              </w:rPr>
              <w:t>重庆市公共资源交易网</w:t>
            </w:r>
            <w:r>
              <w:rPr>
                <w:rFonts w:hint="eastAsia"/>
                <w:color w:val="auto"/>
                <w:highlight w:val="none"/>
              </w:rPr>
              <w:t>完成市场主体信息登记以及 CA 数字证书办理，并且下载新点投标文件制作软件（重庆版）制作投标文件。</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jc w:val="left"/>
              <w:textAlignment w:val="auto"/>
              <w:rPr>
                <w:color w:val="auto"/>
                <w:highlight w:val="none"/>
              </w:rPr>
            </w:pPr>
            <w:r>
              <w:rPr>
                <w:rFonts w:hint="eastAsia"/>
                <w:color w:val="auto"/>
                <w:highlight w:val="none"/>
              </w:rPr>
              <w:t>2. 制作投标文件需要使用CA 数字证书加密，并且加盖电子印章，CA 数字证书购买及办理方式请参见</w:t>
            </w:r>
            <w:r>
              <w:rPr>
                <w:rFonts w:hint="eastAsia"/>
                <w:color w:val="auto"/>
                <w:highlight w:val="none"/>
                <w:u w:val="single"/>
              </w:rPr>
              <w:t>重庆市公共资源交易网</w:t>
            </w:r>
            <w:r>
              <w:rPr>
                <w:rFonts w:hint="eastAsia"/>
                <w:color w:val="auto"/>
                <w:highlight w:val="none"/>
              </w:rPr>
              <w:t>导航栏“主体信息”页面中“市场主体信息登记”“CA数字证书办理”。</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color w:val="auto"/>
                <w:highlight w:val="none"/>
              </w:rPr>
            </w:pPr>
            <w:r>
              <w:rPr>
                <w:rFonts w:hint="eastAsia"/>
                <w:color w:val="auto"/>
                <w:highlight w:val="none"/>
              </w:rPr>
              <w:t>3. 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pPr>
              <w:keepNext w:val="0"/>
              <w:keepLines w:val="0"/>
              <w:pageBreakBefore w:val="0"/>
              <w:kinsoku/>
              <w:wordWrap/>
              <w:overflowPunct/>
              <w:topLinePunct w:val="0"/>
              <w:bidi w:val="0"/>
              <w:spacing w:line="400" w:lineRule="exact"/>
              <w:ind w:firstLine="420" w:firstLineChars="200"/>
              <w:textAlignment w:val="auto"/>
              <w:rPr>
                <w:color w:val="auto"/>
                <w:highlight w:val="none"/>
              </w:rPr>
            </w:pPr>
            <w:r>
              <w:rPr>
                <w:rFonts w:hint="eastAsia"/>
                <w:color w:val="auto"/>
                <w:highlight w:val="none"/>
              </w:rPr>
              <w:t>4. 开标活动由招标人主持，邀请所有投标人参加。投标人未在开标现场提出异议，或者不见面开标系统未收到投标人异议的（采用不见面开标方式时适用），视为投标人默认开标结果。</w:t>
            </w:r>
          </w:p>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color w:val="auto"/>
                <w:highlight w:val="none"/>
              </w:rPr>
            </w:pPr>
            <w:r>
              <w:rPr>
                <w:rFonts w:hint="eastAsia"/>
                <w:color w:val="auto"/>
                <w:highlight w:val="none"/>
              </w:rPr>
              <w:t>5. 投标人应按时解密，在评标结束前应在线或在现场关注项目进展情况，确保通讯联系正常。如评标委员会要求投标人澄清的，投标人应确保及时回复，否则视为拒绝按评标委员会要求澄清、说明或补正。</w:t>
            </w:r>
          </w:p>
          <w:p>
            <w:pPr>
              <w:pStyle w:val="2"/>
              <w:keepNext w:val="0"/>
              <w:keepLines w:val="0"/>
              <w:pageBreakBefore w:val="0"/>
              <w:kinsoku/>
              <w:wordWrap/>
              <w:overflowPunct/>
              <w:topLinePunct w:val="0"/>
              <w:bidi w:val="0"/>
              <w:spacing w:after="0" w:line="400" w:lineRule="exact"/>
              <w:ind w:firstLine="420" w:firstLineChars="200"/>
              <w:textAlignment w:val="auto"/>
              <w:rPr>
                <w:color w:val="auto"/>
                <w:highlight w:val="none"/>
              </w:rPr>
            </w:pPr>
            <w:r>
              <w:rPr>
                <w:rFonts w:hint="eastAsia"/>
                <w:color w:val="auto"/>
                <w:highlight w:val="none"/>
              </w:rPr>
              <w:t>6. 电子投标文件编制要求</w:t>
            </w:r>
          </w:p>
          <w:p>
            <w:pPr>
              <w:pStyle w:val="2"/>
              <w:keepNext w:val="0"/>
              <w:keepLines w:val="0"/>
              <w:pageBreakBefore w:val="0"/>
              <w:kinsoku/>
              <w:wordWrap/>
              <w:overflowPunct/>
              <w:topLinePunct w:val="0"/>
              <w:bidi w:val="0"/>
              <w:spacing w:after="0" w:line="400" w:lineRule="exact"/>
              <w:ind w:firstLine="420" w:firstLineChars="200"/>
              <w:textAlignment w:val="auto"/>
              <w:rPr>
                <w:color w:val="auto"/>
                <w:highlight w:val="none"/>
              </w:rPr>
            </w:pPr>
            <w:r>
              <w:rPr>
                <w:rFonts w:hint="eastAsia"/>
                <w:color w:val="auto"/>
                <w:highlight w:val="none"/>
              </w:rPr>
              <w:t>（1）电子投标文件由投标人使用专用的“新点投标文件制作软件（重庆版）”制作生成。</w:t>
            </w:r>
          </w:p>
          <w:p>
            <w:pPr>
              <w:pStyle w:val="2"/>
              <w:keepNext w:val="0"/>
              <w:keepLines w:val="0"/>
              <w:pageBreakBefore w:val="0"/>
              <w:kinsoku/>
              <w:wordWrap/>
              <w:overflowPunct/>
              <w:topLinePunct w:val="0"/>
              <w:bidi w:val="0"/>
              <w:spacing w:after="0" w:line="400" w:lineRule="exact"/>
              <w:ind w:firstLine="420" w:firstLineChars="200"/>
              <w:textAlignment w:val="auto"/>
              <w:rPr>
                <w:color w:val="auto"/>
                <w:highlight w:val="none"/>
              </w:rPr>
            </w:pPr>
            <w:r>
              <w:rPr>
                <w:rFonts w:hint="eastAsia"/>
                <w:color w:val="auto"/>
                <w:highlight w:val="none"/>
              </w:rPr>
              <w:t>（2）投标人在编制电子投标文件时应当建立分级目录，并按照标签提示导入相关内容。</w:t>
            </w:r>
          </w:p>
          <w:p>
            <w:pPr>
              <w:pStyle w:val="2"/>
              <w:keepNext w:val="0"/>
              <w:keepLines w:val="0"/>
              <w:pageBreakBefore w:val="0"/>
              <w:kinsoku/>
              <w:wordWrap/>
              <w:overflowPunct/>
              <w:topLinePunct w:val="0"/>
              <w:bidi w:val="0"/>
              <w:spacing w:after="0" w:line="400" w:lineRule="exact"/>
              <w:ind w:firstLine="420" w:firstLineChars="200"/>
              <w:textAlignment w:val="auto"/>
              <w:rPr>
                <w:color w:val="auto"/>
                <w:highlight w:val="none"/>
              </w:rPr>
            </w:pPr>
            <w:r>
              <w:rPr>
                <w:rFonts w:hint="eastAsia"/>
                <w:color w:val="auto"/>
                <w:highlight w:val="none"/>
              </w:rPr>
              <w:t>（3）</w:t>
            </w:r>
            <w:r>
              <w:rPr>
                <w:rFonts w:hint="eastAsia" w:ascii="宋体" w:hAnsi="宋体"/>
                <w:kern w:val="0"/>
                <w:szCs w:val="21"/>
              </w:rPr>
              <w:t>第八章 投标文件格式要求法定代表人</w:t>
            </w:r>
            <w:r>
              <w:rPr>
                <w:rFonts w:hint="eastAsia" w:ascii="宋体" w:hAnsi="宋体"/>
                <w:kern w:val="0"/>
                <w:szCs w:val="21"/>
                <w:lang w:eastAsia="zh-CN"/>
              </w:rPr>
              <w:t>（</w:t>
            </w:r>
            <w:r>
              <w:rPr>
                <w:rFonts w:hint="eastAsia" w:ascii="宋体" w:hAnsi="宋体"/>
                <w:kern w:val="0"/>
                <w:szCs w:val="21"/>
              </w:rPr>
              <w:t>或其委托代理人</w:t>
            </w:r>
            <w:r>
              <w:rPr>
                <w:rFonts w:hint="eastAsia" w:ascii="宋体" w:hAnsi="宋体"/>
                <w:kern w:val="0"/>
                <w:szCs w:val="21"/>
                <w:lang w:eastAsia="zh-CN"/>
              </w:rPr>
              <w:t>）</w:t>
            </w:r>
            <w:r>
              <w:rPr>
                <w:rFonts w:hint="eastAsia" w:ascii="宋体" w:hAnsi="宋体"/>
                <w:kern w:val="0"/>
                <w:szCs w:val="21"/>
              </w:rPr>
              <w:t>签名（或盖章）的须齐全，要求签名的，签名采用手写签名或签章或加盖CA数字证书均可，要求加盖单位法人章的，应使用 CA 数字证书加盖投标人的单位电子印章</w:t>
            </w:r>
            <w:r>
              <w:rPr>
                <w:rFonts w:hint="eastAsia"/>
                <w:color w:val="auto"/>
                <w:highlight w:val="none"/>
              </w:rPr>
              <w:t>。</w:t>
            </w:r>
          </w:p>
          <w:p>
            <w:pPr>
              <w:pStyle w:val="2"/>
              <w:keepNext w:val="0"/>
              <w:keepLines w:val="0"/>
              <w:pageBreakBefore w:val="0"/>
              <w:kinsoku/>
              <w:wordWrap/>
              <w:overflowPunct/>
              <w:topLinePunct w:val="0"/>
              <w:bidi w:val="0"/>
              <w:spacing w:after="0" w:line="400" w:lineRule="exact"/>
              <w:ind w:firstLine="420" w:firstLineChars="200"/>
              <w:textAlignment w:val="auto"/>
              <w:rPr>
                <w:color w:val="auto"/>
                <w:highlight w:val="none"/>
              </w:rPr>
            </w:pPr>
            <w:r>
              <w:rPr>
                <w:rFonts w:hint="eastAsia"/>
                <w:color w:val="auto"/>
                <w:highlight w:val="none"/>
              </w:rPr>
              <w:t>（4）电子投标文件制作完成后，将生成一份加密的电子投标文件（后缀名为. CQTF）和一份不加密的电子投标文件（后缀名为. nCQTF）。</w:t>
            </w:r>
          </w:p>
          <w:p>
            <w:pPr>
              <w:pStyle w:val="2"/>
              <w:keepNext w:val="0"/>
              <w:keepLines w:val="0"/>
              <w:pageBreakBefore w:val="0"/>
              <w:kinsoku/>
              <w:wordWrap/>
              <w:overflowPunct/>
              <w:topLinePunct w:val="0"/>
              <w:bidi w:val="0"/>
              <w:spacing w:after="0" w:line="400" w:lineRule="exact"/>
              <w:ind w:firstLine="420" w:firstLineChars="200"/>
              <w:textAlignment w:val="auto"/>
              <w:rPr>
                <w:color w:val="auto"/>
                <w:highlight w:val="none"/>
              </w:rPr>
            </w:pPr>
            <w:r>
              <w:rPr>
                <w:rFonts w:hint="eastAsia"/>
                <w:color w:val="auto"/>
                <w:highlight w:val="none"/>
              </w:rPr>
              <w:t>（5）投标人如需递交不加密电子投标文件的，应将不加密的电子投标文件复制到一张光盘中（光盘备份），光盘表面粘贴标签贴加盖单位法人章，并将招标项目名称、投标人名称等信息填写在标签贴上。</w:t>
            </w:r>
          </w:p>
          <w:p>
            <w:pPr>
              <w:pStyle w:val="2"/>
              <w:keepNext w:val="0"/>
              <w:keepLines w:val="0"/>
              <w:pageBreakBefore w:val="0"/>
              <w:kinsoku/>
              <w:wordWrap/>
              <w:overflowPunct/>
              <w:topLinePunct w:val="0"/>
              <w:bidi w:val="0"/>
              <w:spacing w:after="0" w:line="400" w:lineRule="exact"/>
              <w:ind w:firstLine="420" w:firstLineChars="200"/>
              <w:textAlignment w:val="auto"/>
              <w:rPr>
                <w:color w:val="auto"/>
                <w:highlight w:val="none"/>
              </w:rPr>
            </w:pPr>
            <w:r>
              <w:rPr>
                <w:rFonts w:hint="eastAsia"/>
                <w:color w:val="auto"/>
                <w:highlight w:val="none"/>
              </w:rPr>
              <w:t>（6）电子投标文件制作的具体方法详见“新点投标文件制作软件（重庆版）”中的帮助文档。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olor w:val="auto"/>
                <w:kern w:val="0"/>
                <w:szCs w:val="21"/>
                <w:highlight w:val="none"/>
                <w:lang w:eastAsia="zh-CN"/>
              </w:rPr>
            </w:pPr>
            <w:r>
              <w:rPr>
                <w:rFonts w:hint="eastAsia" w:ascii="宋体" w:hAnsi="宋体"/>
                <w:color w:val="auto"/>
                <w:kern w:val="0"/>
                <w:szCs w:val="21"/>
                <w:highlight w:val="none"/>
              </w:rPr>
              <w:t>□10.</w:t>
            </w:r>
            <w:r>
              <w:rPr>
                <w:rFonts w:hint="eastAsia" w:ascii="宋体" w:hAnsi="宋体"/>
                <w:color w:val="auto"/>
                <w:kern w:val="0"/>
                <w:szCs w:val="21"/>
                <w:highlight w:val="none"/>
                <w:lang w:val="en-US" w:eastAsia="zh-CN"/>
              </w:rPr>
              <w:t>7</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不平衡报价</w:t>
            </w:r>
          </w:p>
        </w:tc>
        <w:tc>
          <w:tcPr>
            <w:tcW w:w="6524"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kern w:val="0"/>
                <w:szCs w:val="21"/>
                <w:highlight w:val="none"/>
              </w:rPr>
            </w:pPr>
            <w:r>
              <w:rPr>
                <w:rFonts w:ascii="宋体" w:hAnsi="宋体"/>
                <w:color w:val="auto"/>
                <w:kern w:val="0"/>
                <w:szCs w:val="21"/>
                <w:highlight w:val="none"/>
                <w:u w:val="single"/>
              </w:rPr>
              <w:t>关于不平衡报价的约定，详见第四章 专用合同条款第</w:t>
            </w:r>
            <w:r>
              <w:rPr>
                <w:rFonts w:hint="eastAsia" w:ascii="宋体" w:hAnsi="宋体"/>
                <w:color w:val="auto"/>
                <w:kern w:val="0"/>
                <w:szCs w:val="21"/>
                <w:highlight w:val="none"/>
                <w:u w:val="single"/>
              </w:rPr>
              <w:t>51</w:t>
            </w:r>
            <w:r>
              <w:rPr>
                <w:rFonts w:ascii="宋体" w:hAnsi="宋体"/>
                <w:color w:val="auto"/>
                <w:kern w:val="0"/>
                <w:szCs w:val="21"/>
                <w:highlight w:val="none"/>
                <w:u w:val="single"/>
              </w:rPr>
              <w:t>款</w:t>
            </w:r>
            <w:r>
              <w:rPr>
                <w:rFonts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eastAsia" w:ascii="宋体" w:hAnsi="宋体" w:eastAsia="宋体"/>
                <w:color w:val="auto"/>
                <w:kern w:val="0"/>
                <w:szCs w:val="21"/>
                <w:highlight w:val="none"/>
                <w:lang w:eastAsia="zh-CN"/>
              </w:rPr>
            </w:pPr>
            <w:r>
              <w:rPr>
                <w:rFonts w:hint="eastAsia" w:ascii="宋体" w:hAnsi="宋体"/>
                <w:color w:val="auto"/>
                <w:kern w:val="0"/>
                <w:szCs w:val="21"/>
                <w:highlight w:val="none"/>
              </w:rPr>
              <w:t>□10.</w:t>
            </w:r>
            <w:r>
              <w:rPr>
                <w:rFonts w:hint="eastAsia" w:ascii="宋体" w:hAnsi="宋体"/>
                <w:color w:val="auto"/>
                <w:kern w:val="0"/>
                <w:szCs w:val="21"/>
                <w:highlight w:val="none"/>
                <w:lang w:val="en-US" w:eastAsia="zh-CN"/>
              </w:rPr>
              <w:t>8</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不允许负数报价</w:t>
            </w:r>
          </w:p>
        </w:tc>
        <w:tc>
          <w:tcPr>
            <w:tcW w:w="6524"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firstLineChars="200"/>
              <w:textAlignment w:val="auto"/>
              <w:rPr>
                <w:rFonts w:ascii="宋体" w:hAnsi="宋体"/>
                <w:color w:val="auto"/>
                <w:kern w:val="0"/>
                <w:szCs w:val="21"/>
                <w:highlight w:val="none"/>
                <w:u w:val="single"/>
              </w:rPr>
            </w:pPr>
            <w:r>
              <w:rPr>
                <w:rFonts w:ascii="宋体" w:hAnsi="宋体"/>
                <w:color w:val="auto"/>
                <w:kern w:val="0"/>
                <w:szCs w:val="21"/>
                <w:highlight w:val="none"/>
                <w:u w:val="none"/>
              </w:rPr>
              <w:t>投标人的</w:t>
            </w:r>
            <w:r>
              <w:rPr>
                <w:rFonts w:hint="eastAsia" w:ascii="宋体" w:hAnsi="宋体"/>
                <w:color w:val="auto"/>
                <w:kern w:val="0"/>
                <w:szCs w:val="21"/>
                <w:highlight w:val="none"/>
                <w:u w:val="none"/>
              </w:rPr>
              <w:t>各项</w:t>
            </w:r>
            <w:r>
              <w:rPr>
                <w:rFonts w:ascii="宋体" w:hAnsi="宋体"/>
                <w:color w:val="auto"/>
                <w:kern w:val="0"/>
                <w:szCs w:val="21"/>
                <w:highlight w:val="none"/>
                <w:u w:val="none"/>
              </w:rPr>
              <w:t>报价不得</w:t>
            </w:r>
            <w:r>
              <w:rPr>
                <w:rFonts w:hint="eastAsia" w:ascii="宋体" w:hAnsi="宋体"/>
                <w:color w:val="auto"/>
                <w:kern w:val="0"/>
                <w:szCs w:val="21"/>
                <w:highlight w:val="none"/>
                <w:u w:val="none"/>
              </w:rPr>
              <w:t>为负数</w:t>
            </w:r>
            <w:r>
              <w:rPr>
                <w:rFonts w:ascii="宋体" w:hAnsi="宋体"/>
                <w:color w:val="auto"/>
                <w:kern w:val="0"/>
                <w:szCs w:val="21"/>
                <w:highlight w:val="none"/>
                <w:u w:val="none"/>
              </w:rPr>
              <w:t>。招标人在发出中标通知书前将对中标人</w:t>
            </w:r>
            <w:r>
              <w:rPr>
                <w:rFonts w:hint="eastAsia" w:ascii="宋体" w:hAnsi="宋体"/>
                <w:color w:val="auto"/>
                <w:kern w:val="0"/>
                <w:szCs w:val="21"/>
                <w:highlight w:val="none"/>
                <w:u w:val="none"/>
              </w:rPr>
              <w:t>的各项报价</w:t>
            </w:r>
            <w:r>
              <w:rPr>
                <w:rFonts w:ascii="宋体" w:hAnsi="宋体"/>
                <w:color w:val="auto"/>
                <w:kern w:val="0"/>
                <w:szCs w:val="21"/>
                <w:highlight w:val="none"/>
                <w:u w:val="none"/>
              </w:rPr>
              <w:t>进行复核，若发现中标人</w:t>
            </w:r>
            <w:r>
              <w:rPr>
                <w:rFonts w:hint="eastAsia" w:ascii="宋体" w:hAnsi="宋体"/>
                <w:color w:val="auto"/>
                <w:kern w:val="0"/>
                <w:szCs w:val="21"/>
                <w:highlight w:val="none"/>
                <w:u w:val="none"/>
              </w:rPr>
              <w:t>各项报价</w:t>
            </w:r>
            <w:r>
              <w:rPr>
                <w:rFonts w:ascii="宋体" w:hAnsi="宋体"/>
                <w:color w:val="auto"/>
                <w:kern w:val="0"/>
                <w:szCs w:val="21"/>
                <w:highlight w:val="none"/>
                <w:u w:val="none"/>
              </w:rPr>
              <w:t>中存在</w:t>
            </w:r>
            <w:r>
              <w:rPr>
                <w:rFonts w:hint="eastAsia" w:ascii="宋体" w:hAnsi="宋体"/>
                <w:color w:val="auto"/>
                <w:kern w:val="0"/>
                <w:szCs w:val="21"/>
                <w:highlight w:val="none"/>
                <w:u w:val="none"/>
              </w:rPr>
              <w:t>负数报价</w:t>
            </w:r>
            <w:r>
              <w:rPr>
                <w:rFonts w:ascii="宋体" w:hAnsi="宋体"/>
                <w:color w:val="auto"/>
                <w:kern w:val="0"/>
                <w:szCs w:val="21"/>
                <w:highlight w:val="none"/>
                <w:u w:val="none"/>
              </w:rPr>
              <w:t>的情形，招标人按相关规定取消其中标资格，</w:t>
            </w:r>
            <w:r>
              <w:rPr>
                <w:rFonts w:hint="eastAsia" w:asciiTheme="minorEastAsia" w:hAnsiTheme="minorEastAsia" w:eastAsiaTheme="minorEastAsia" w:cstheme="minorEastAsia"/>
                <w:color w:val="auto"/>
                <w:highlight w:val="none"/>
                <w:u w:val="none"/>
              </w:rPr>
              <w:t>投标保证金以现金形式交纳的不予退还</w:t>
            </w:r>
            <w:r>
              <w:rPr>
                <w:rFonts w:ascii="宋体" w:hAnsi="宋体"/>
                <w:color w:val="auto"/>
                <w:kern w:val="0"/>
                <w:szCs w:val="21"/>
                <w:highlight w:val="none"/>
                <w:u w:val="none"/>
              </w:rPr>
              <w:t>，</w:t>
            </w:r>
            <w:r>
              <w:rPr>
                <w:rFonts w:hint="eastAsia" w:asciiTheme="minorEastAsia" w:hAnsiTheme="minorEastAsia" w:eastAsiaTheme="minorEastAsia" w:cstheme="minorEastAsia"/>
                <w:color w:val="auto"/>
                <w:szCs w:val="21"/>
                <w:highlight w:val="none"/>
                <w:u w:val="none"/>
              </w:rPr>
              <w:t>以保函形式交纳的由保函开立人支付保函担保的与投标保证金等额的款项，</w:t>
            </w:r>
            <w:r>
              <w:rPr>
                <w:rFonts w:ascii="宋体" w:hAnsi="宋体"/>
                <w:color w:val="auto"/>
                <w:kern w:val="0"/>
                <w:szCs w:val="21"/>
                <w:highlight w:val="none"/>
                <w:u w:val="none"/>
              </w:rPr>
              <w:t>中标人承担因此造成的相关责任并赔偿相应损失。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keepNext w:val="0"/>
              <w:keepLines w:val="0"/>
              <w:pageBreakBefore w:val="0"/>
              <w:kinsoku/>
              <w:wordWrap/>
              <w:overflowPunct/>
              <w:topLinePunct w:val="0"/>
              <w:bidi w:val="0"/>
              <w:snapToGrid w:val="0"/>
              <w:spacing w:line="400" w:lineRule="exact"/>
              <w:jc w:val="center"/>
              <w:textAlignment w:val="auto"/>
              <w:rPr>
                <w:rFonts w:hint="default" w:ascii="宋体" w:hAnsi="宋体" w:eastAsia="宋体"/>
                <w:color w:val="auto"/>
                <w:kern w:val="0"/>
                <w:szCs w:val="21"/>
                <w:highlight w:val="none"/>
                <w:lang w:val="en-US" w:eastAsia="zh-CN"/>
              </w:rPr>
            </w:pPr>
            <w:r>
              <w:rPr>
                <w:rFonts w:hint="eastAsia" w:ascii="宋体" w:hAnsi="宋体"/>
                <w:color w:val="auto"/>
                <w:kern w:val="0"/>
                <w:szCs w:val="21"/>
                <w:highlight w:val="none"/>
              </w:rPr>
              <w:t>10.</w:t>
            </w:r>
            <w:r>
              <w:rPr>
                <w:rFonts w:hint="eastAsia" w:ascii="宋体" w:hAnsi="宋体"/>
                <w:color w:val="auto"/>
                <w:kern w:val="0"/>
                <w:szCs w:val="21"/>
                <w:highlight w:val="none"/>
                <w:lang w:val="en-US" w:eastAsia="zh-CN"/>
              </w:rPr>
              <w:t>9</w:t>
            </w:r>
          </w:p>
        </w:tc>
        <w:tc>
          <w:tcPr>
            <w:tcW w:w="1610" w:type="dxa"/>
            <w:vAlign w:val="center"/>
          </w:tcPr>
          <w:p>
            <w:pPr>
              <w:keepNext w:val="0"/>
              <w:keepLines w:val="0"/>
              <w:pageBreakBefore w:val="0"/>
              <w:kinsoku/>
              <w:wordWrap/>
              <w:overflowPunct/>
              <w:topLinePunct w:val="0"/>
              <w:bidi w:val="0"/>
              <w:snapToGrid w:val="0"/>
              <w:spacing w:line="400" w:lineRule="exact"/>
              <w:jc w:val="center"/>
              <w:textAlignment w:val="auto"/>
              <w:rPr>
                <w:rFonts w:ascii="宋体" w:hAnsi="宋体"/>
                <w:color w:val="auto"/>
                <w:kern w:val="0"/>
                <w:szCs w:val="21"/>
                <w:highlight w:val="none"/>
              </w:rPr>
            </w:pPr>
            <w:r>
              <w:rPr>
                <w:rFonts w:hint="eastAsia" w:ascii="宋体" w:hAnsi="宋体"/>
                <w:color w:val="auto"/>
                <w:kern w:val="0"/>
                <w:szCs w:val="21"/>
                <w:highlight w:val="none"/>
              </w:rPr>
              <w:t>其他</w:t>
            </w:r>
          </w:p>
        </w:tc>
        <w:tc>
          <w:tcPr>
            <w:tcW w:w="6524" w:type="dxa"/>
            <w:vAlign w:val="center"/>
          </w:tcPr>
          <w:p>
            <w:pPr>
              <w:keepNext w:val="0"/>
              <w:keepLines w:val="0"/>
              <w:pageBreakBefore w:val="0"/>
              <w:kinsoku/>
              <w:wordWrap/>
              <w:overflowPunct/>
              <w:topLinePunct w:val="0"/>
              <w:autoSpaceDE w:val="0"/>
              <w:autoSpaceDN w:val="0"/>
              <w:bidi w:val="0"/>
              <w:adjustRightInd w:val="0"/>
              <w:snapToGrid w:val="0"/>
              <w:spacing w:line="400" w:lineRule="exact"/>
              <w:ind w:firstLine="420"/>
              <w:textAlignment w:val="auto"/>
              <w:rPr>
                <w:rFonts w:ascii="宋体" w:hAnsi="宋体"/>
                <w:i/>
                <w:color w:val="auto"/>
                <w:kern w:val="0"/>
                <w:szCs w:val="21"/>
                <w:highlight w:val="none"/>
              </w:rPr>
            </w:pPr>
            <w:r>
              <w:rPr>
                <w:rFonts w:hint="eastAsia" w:ascii="宋体" w:hAnsi="宋体"/>
                <w:i/>
                <w:color w:val="auto"/>
                <w:kern w:val="0"/>
                <w:szCs w:val="21"/>
                <w:highlight w:val="none"/>
              </w:rPr>
              <w:t>[提示：招标人认为需要增加的，且与本表前述条款不重复的，不涉及资格和否决投标的内容]</w:t>
            </w:r>
          </w:p>
        </w:tc>
      </w:tr>
    </w:tbl>
    <w:p>
      <w:pPr>
        <w:pStyle w:val="4"/>
        <w:spacing w:before="0" w:after="0" w:line="20" w:lineRule="exact"/>
        <w:outlineLvl w:val="9"/>
        <w:rPr>
          <w:rFonts w:ascii="宋体" w:hAnsi="宋体"/>
          <w:b w:val="0"/>
          <w:snapToGrid w:val="0"/>
          <w:color w:val="auto"/>
          <w:highlight w:val="none"/>
        </w:rPr>
      </w:pPr>
      <w:bookmarkStart w:id="214" w:name="_Toc287620685"/>
      <w:bookmarkStart w:id="215" w:name="_Toc430530435"/>
      <w:bookmarkStart w:id="216" w:name="_Toc224103317"/>
      <w:bookmarkStart w:id="217" w:name="_Toc277082552"/>
      <w:bookmarkStart w:id="218" w:name="_Toc200513126"/>
      <w:bookmarkStart w:id="219" w:name="_Toc287607746"/>
    </w:p>
    <w:p>
      <w:pPr>
        <w:pStyle w:val="4"/>
        <w:spacing w:before="0" w:after="0" w:line="200" w:lineRule="exact"/>
        <w:outlineLvl w:val="9"/>
        <w:rPr>
          <w:rFonts w:ascii="宋体" w:hAnsi="宋体"/>
          <w:b w:val="0"/>
          <w:snapToGrid w:val="0"/>
          <w:color w:val="auto"/>
          <w:highlight w:val="none"/>
        </w:rPr>
      </w:pPr>
      <w:r>
        <w:rPr>
          <w:rFonts w:ascii="宋体" w:hAnsi="宋体"/>
          <w:b w:val="0"/>
          <w:snapToGrid w:val="0"/>
          <w:color w:val="auto"/>
          <w:highlight w:val="none"/>
        </w:rPr>
        <w:br w:type="page"/>
      </w:r>
    </w:p>
    <w:p>
      <w:pPr>
        <w:pStyle w:val="4"/>
        <w:pageBreakBefore w:val="0"/>
        <w:kinsoku/>
        <w:wordWrap/>
        <w:overflowPunct/>
        <w:topLinePunct w:val="0"/>
        <w:bidi w:val="0"/>
        <w:spacing w:before="0" w:after="0" w:line="360" w:lineRule="auto"/>
        <w:textAlignment w:val="auto"/>
        <w:rPr>
          <w:rFonts w:hint="eastAsia" w:asciiTheme="minorEastAsia" w:hAnsiTheme="minorEastAsia" w:eastAsiaTheme="minorEastAsia" w:cstheme="minorEastAsia"/>
          <w:bCs w:val="0"/>
          <w:snapToGrid w:val="0"/>
          <w:color w:val="auto"/>
          <w:highlight w:val="none"/>
        </w:rPr>
      </w:pPr>
      <w:bookmarkStart w:id="220" w:name="_Toc509218710"/>
      <w:bookmarkStart w:id="221" w:name="_Toc23492"/>
      <w:bookmarkStart w:id="222" w:name="_Toc22663"/>
      <w:bookmarkStart w:id="223" w:name="_Toc10306"/>
      <w:bookmarkStart w:id="224" w:name="_Toc10881"/>
      <w:r>
        <w:rPr>
          <w:rFonts w:hint="eastAsia" w:asciiTheme="minorEastAsia" w:hAnsiTheme="minorEastAsia" w:eastAsiaTheme="minorEastAsia" w:cstheme="minorEastAsia"/>
          <w:bCs w:val="0"/>
          <w:snapToGrid w:val="0"/>
          <w:color w:val="auto"/>
          <w:highlight w:val="none"/>
        </w:rPr>
        <w:t>1.  总则</w:t>
      </w:r>
      <w:bookmarkEnd w:id="214"/>
      <w:bookmarkEnd w:id="215"/>
      <w:bookmarkEnd w:id="216"/>
      <w:bookmarkEnd w:id="217"/>
      <w:bookmarkEnd w:id="218"/>
      <w:bookmarkEnd w:id="219"/>
      <w:bookmarkEnd w:id="220"/>
      <w:bookmarkEnd w:id="221"/>
      <w:bookmarkEnd w:id="222"/>
      <w:bookmarkEnd w:id="223"/>
      <w:bookmarkEnd w:id="224"/>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 w:val="0"/>
          <w:snapToGrid w:val="0"/>
          <w:color w:val="auto"/>
          <w:sz w:val="24"/>
          <w:szCs w:val="24"/>
          <w:highlight w:val="none"/>
        </w:rPr>
      </w:pPr>
      <w:bookmarkStart w:id="225" w:name="_Toc26983"/>
      <w:bookmarkStart w:id="226" w:name="_Toc277082553"/>
      <w:bookmarkStart w:id="227" w:name="_Toc287607747"/>
      <w:bookmarkStart w:id="228" w:name="_Toc287620686"/>
      <w:bookmarkStart w:id="229" w:name="_Toc200513127"/>
      <w:bookmarkStart w:id="230" w:name="_Toc430530436"/>
      <w:bookmarkStart w:id="231" w:name="_Toc509218711"/>
      <w:bookmarkStart w:id="232" w:name="_Toc224103318"/>
      <w:r>
        <w:rPr>
          <w:rFonts w:hint="eastAsia" w:asciiTheme="minorEastAsia" w:hAnsiTheme="minorEastAsia" w:eastAsiaTheme="minorEastAsia" w:cstheme="minorEastAsia"/>
          <w:bCs w:val="0"/>
          <w:snapToGrid w:val="0"/>
          <w:color w:val="auto"/>
          <w:sz w:val="24"/>
          <w:szCs w:val="24"/>
          <w:highlight w:val="none"/>
        </w:rPr>
        <w:t>1.1  项目概况</w:t>
      </w:r>
      <w:bookmarkEnd w:id="225"/>
      <w:bookmarkEnd w:id="226"/>
      <w:bookmarkEnd w:id="227"/>
      <w:bookmarkEnd w:id="228"/>
      <w:bookmarkEnd w:id="229"/>
      <w:bookmarkEnd w:id="230"/>
      <w:bookmarkEnd w:id="231"/>
      <w:bookmarkEnd w:id="23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1.1.1  根据《中华人民共和国招标投标法》等有关法律、法规和规章的规定，本招标项目已具备招标条件，现对本项目施工进行招标。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1.1.2  本招标项目招标人：见投标人须知前附表。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1.1.3  本招标项目招标代理机构：见投标人须知前附表。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1.1.</w:t>
      </w:r>
      <w:r>
        <w:rPr>
          <w:rFonts w:hint="eastAsia" w:ascii="宋体" w:hAnsi="宋体"/>
          <w:snapToGrid w:val="0"/>
          <w:kern w:val="0"/>
          <w:szCs w:val="21"/>
        </w:rPr>
        <w:t>4</w:t>
      </w:r>
      <w:r>
        <w:rPr>
          <w:rFonts w:ascii="宋体" w:hAnsi="宋体"/>
          <w:snapToGrid w:val="0"/>
          <w:kern w:val="0"/>
          <w:szCs w:val="21"/>
        </w:rPr>
        <w:t xml:space="preserve">  </w:t>
      </w:r>
      <w:r>
        <w:rPr>
          <w:rFonts w:hint="eastAsia" w:asciiTheme="minorEastAsia" w:hAnsiTheme="minorEastAsia" w:eastAsiaTheme="minorEastAsia" w:cstheme="minorEastAsia"/>
          <w:snapToGrid w:val="0"/>
          <w:color w:val="auto"/>
          <w:kern w:val="0"/>
          <w:szCs w:val="21"/>
          <w:highlight w:val="none"/>
        </w:rPr>
        <w:t>本招标项目名称：见投标人须知前附表。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1.1.5  本招标项目建设地点：见投标人须知前附表。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1.1.6  本招标项目建设规模：见投标人须知前附表。</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233" w:name="_Toc287620687"/>
      <w:bookmarkStart w:id="234" w:name="_Toc200513128"/>
      <w:bookmarkStart w:id="235" w:name="_Toc277082554"/>
      <w:bookmarkStart w:id="236" w:name="_Toc12347"/>
      <w:bookmarkStart w:id="237" w:name="_Toc287607748"/>
      <w:bookmarkStart w:id="238" w:name="_Toc509218712"/>
      <w:bookmarkStart w:id="239" w:name="_Toc430530437"/>
      <w:bookmarkStart w:id="240" w:name="_Toc224103319"/>
      <w:r>
        <w:rPr>
          <w:rFonts w:hint="eastAsia" w:asciiTheme="minorEastAsia" w:hAnsiTheme="minorEastAsia" w:eastAsiaTheme="minorEastAsia" w:cstheme="minorEastAsia"/>
          <w:bCs w:val="0"/>
          <w:snapToGrid w:val="0"/>
          <w:color w:val="auto"/>
          <w:sz w:val="24"/>
          <w:szCs w:val="24"/>
          <w:highlight w:val="none"/>
        </w:rPr>
        <w:t>1.2  资金来源和落实情况</w:t>
      </w:r>
      <w:bookmarkEnd w:id="233"/>
      <w:bookmarkEnd w:id="234"/>
      <w:bookmarkEnd w:id="235"/>
      <w:bookmarkEnd w:id="236"/>
      <w:bookmarkEnd w:id="237"/>
      <w:bookmarkEnd w:id="238"/>
      <w:bookmarkEnd w:id="239"/>
      <w:bookmarkEnd w:id="24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1.2.1  本招标项目的资金来源：见投标人须知前附表。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1.2.2  本招标项目的出资比例：见投标人须知前附表。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1.2.3  本招标项目的资金落实情况：见投标人须知前附表。</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241" w:name="_Toc6873"/>
      <w:bookmarkStart w:id="242" w:name="_Toc224103320"/>
      <w:bookmarkStart w:id="243" w:name="_Toc430530438"/>
      <w:bookmarkStart w:id="244" w:name="_Toc287620688"/>
      <w:bookmarkStart w:id="245" w:name="_Toc200513129"/>
      <w:bookmarkStart w:id="246" w:name="_Toc287607749"/>
      <w:bookmarkStart w:id="247" w:name="_Toc277082555"/>
      <w:bookmarkStart w:id="248" w:name="_Toc509218713"/>
      <w:r>
        <w:rPr>
          <w:rFonts w:hint="eastAsia" w:asciiTheme="minorEastAsia" w:hAnsiTheme="minorEastAsia" w:eastAsiaTheme="minorEastAsia" w:cstheme="minorEastAsia"/>
          <w:bCs w:val="0"/>
          <w:snapToGrid w:val="0"/>
          <w:color w:val="auto"/>
          <w:sz w:val="24"/>
          <w:szCs w:val="24"/>
          <w:highlight w:val="none"/>
        </w:rPr>
        <w:t>1.3  招标范围、计划工期和质量要求</w:t>
      </w:r>
      <w:bookmarkEnd w:id="241"/>
      <w:bookmarkEnd w:id="242"/>
      <w:bookmarkEnd w:id="243"/>
      <w:bookmarkEnd w:id="244"/>
      <w:bookmarkEnd w:id="245"/>
      <w:bookmarkEnd w:id="246"/>
      <w:bookmarkEnd w:id="247"/>
      <w:bookmarkEnd w:id="24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1.3.1  招标范围：见投标人须知前附表。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1.3.2  计划工期：见投标人须知前附表。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1.3.3  质量要求：见投标人须知前附表。</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249" w:name="_Toc156"/>
      <w:bookmarkStart w:id="250" w:name="_Toc224103322"/>
      <w:bookmarkStart w:id="251" w:name="_Toc287620690"/>
      <w:bookmarkStart w:id="252" w:name="_Toc509218715"/>
      <w:bookmarkStart w:id="253" w:name="_Toc287607751"/>
      <w:bookmarkStart w:id="254" w:name="_Toc430530440"/>
      <w:bookmarkStart w:id="255" w:name="_Toc277082557"/>
      <w:bookmarkStart w:id="256" w:name="_Toc200513131"/>
      <w:r>
        <w:rPr>
          <w:rFonts w:hint="eastAsia" w:asciiTheme="minorEastAsia" w:hAnsiTheme="minorEastAsia" w:eastAsiaTheme="minorEastAsia" w:cstheme="minorEastAsia"/>
          <w:bCs w:val="0"/>
          <w:snapToGrid w:val="0"/>
          <w:color w:val="auto"/>
          <w:sz w:val="24"/>
          <w:szCs w:val="24"/>
          <w:highlight w:val="none"/>
        </w:rPr>
        <w:t>1.4 投标人资格要求</w:t>
      </w:r>
      <w:bookmarkEnd w:id="249"/>
      <w:bookmarkEnd w:id="250"/>
      <w:bookmarkEnd w:id="251"/>
      <w:bookmarkEnd w:id="252"/>
      <w:bookmarkEnd w:id="253"/>
      <w:bookmarkEnd w:id="254"/>
      <w:bookmarkEnd w:id="255"/>
      <w:bookmarkEnd w:id="25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1.4.1 投标人应具备承担本标段施工的资质条件、能力和信誉。</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w:t>
      </w:r>
      <w:r>
        <w:rPr>
          <w:rFonts w:hint="eastAsia" w:asciiTheme="minorEastAsia" w:hAnsiTheme="minorEastAsia" w:eastAsiaTheme="minorEastAsia" w:cstheme="minorEastAsia"/>
          <w:color w:val="auto"/>
          <w:szCs w:val="21"/>
          <w:highlight w:val="none"/>
        </w:rPr>
        <w:t>资质条件、</w:t>
      </w:r>
      <w:r>
        <w:rPr>
          <w:rFonts w:hint="eastAsia" w:asciiTheme="minorEastAsia" w:hAnsiTheme="minorEastAsia" w:eastAsiaTheme="minorEastAsia" w:cstheme="minorEastAsia"/>
          <w:color w:val="auto"/>
          <w:szCs w:val="21"/>
          <w:highlight w:val="none"/>
          <w:lang w:eastAsia="zh-CN"/>
        </w:rPr>
        <w:t>独立法人资格</w:t>
      </w:r>
      <w:r>
        <w:rPr>
          <w:rFonts w:hint="eastAsia" w:asciiTheme="minorEastAsia" w:hAnsiTheme="minorEastAsia" w:eastAsiaTheme="minorEastAsia" w:cstheme="minorEastAsia"/>
          <w:color w:val="auto"/>
          <w:szCs w:val="21"/>
          <w:highlight w:val="none"/>
        </w:rPr>
        <w:t>及安全生产条件</w:t>
      </w:r>
      <w:r>
        <w:rPr>
          <w:rFonts w:hint="eastAsia" w:asciiTheme="minorEastAsia" w:hAnsiTheme="minorEastAsia" w:eastAsiaTheme="minorEastAsia" w:cstheme="minorEastAsia"/>
          <w:snapToGrid w:val="0"/>
          <w:color w:val="auto"/>
          <w:kern w:val="0"/>
          <w:szCs w:val="21"/>
          <w:highlight w:val="none"/>
        </w:rPr>
        <w:t>：见投标人须知前附表；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（2）财务要求：见投标人须知前附表；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（3）业绩要求：见投标人须知前附表；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（4）投标截止日投标资格情况：见投标人须知前附表；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（5）项目经理资格要求：见投标人须知前附表；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（6）其他要求：见投标人须知前附表。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1.4.2  投标人须知前附表规定接受联合体投标的，除应符合本章第1.4.1项和投标人须知前附表的要求外，还应遵守以下规定：</w:t>
      </w:r>
    </w:p>
    <w:p>
      <w:pPr>
        <w:pageBreakBefore w:val="0"/>
        <w:kinsoku/>
        <w:wordWrap/>
        <w:overflowPunct/>
        <w:topLinePunct w:val="0"/>
        <w:autoSpaceDE/>
        <w:autoSpaceDN/>
        <w:bidi w:val="0"/>
        <w:adjustRightInd/>
        <w:snapToGrid/>
        <w:spacing w:line="360" w:lineRule="auto"/>
        <w:ind w:firstLine="315" w:firstLineChars="15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（1）联合体各方应按招标文件提供的格式签订</w:t>
      </w:r>
      <w:r>
        <w:rPr>
          <w:rFonts w:hint="eastAsia" w:asciiTheme="minorEastAsia" w:hAnsiTheme="minorEastAsia" w:eastAsiaTheme="minorEastAsia" w:cstheme="minorEastAsia"/>
          <w:snapToGrid w:val="0"/>
          <w:color w:val="auto"/>
          <w:kern w:val="0"/>
          <w:szCs w:val="21"/>
          <w:highlight w:val="none"/>
          <w:lang w:eastAsia="zh-CN"/>
        </w:rPr>
        <w:t>共同投标协议</w:t>
      </w:r>
      <w:r>
        <w:rPr>
          <w:rFonts w:hint="eastAsia" w:asciiTheme="minorEastAsia" w:hAnsiTheme="minorEastAsia" w:eastAsiaTheme="minorEastAsia" w:cstheme="minorEastAsia"/>
          <w:snapToGrid w:val="0"/>
          <w:color w:val="auto"/>
          <w:kern w:val="0"/>
          <w:szCs w:val="21"/>
          <w:highlight w:val="none"/>
        </w:rPr>
        <w:t>，明确联合体牵头人和各方权利义务</w:t>
      </w:r>
      <w:r>
        <w:rPr>
          <w:rFonts w:hint="eastAsia" w:asciiTheme="minorEastAsia" w:hAnsiTheme="minorEastAsia" w:eastAsiaTheme="minorEastAsia" w:cstheme="minorEastAsia"/>
          <w:snapToGrid w:val="0"/>
          <w:color w:val="auto"/>
          <w:kern w:val="0"/>
          <w:szCs w:val="21"/>
          <w:highlight w:val="none"/>
          <w:lang w:eastAsia="zh-CN"/>
        </w:rPr>
        <w:t>，</w:t>
      </w:r>
      <w:r>
        <w:rPr>
          <w:rFonts w:hint="eastAsia" w:asciiTheme="minorEastAsia" w:hAnsiTheme="minorEastAsia" w:eastAsiaTheme="minorEastAsia" w:cstheme="minorEastAsia"/>
          <w:color w:val="auto"/>
          <w:highlight w:val="none"/>
        </w:rPr>
        <w:t>并承诺就中标项目向招标人承担连带责任；</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（2）联合体各方均应当具备承担招标项目的相应能力；</w:t>
      </w:r>
      <w:r>
        <w:rPr>
          <w:rFonts w:hint="eastAsia" w:asciiTheme="minorEastAsia" w:hAnsiTheme="minorEastAsia" w:eastAsiaTheme="minorEastAsia" w:cstheme="minorEastAsia"/>
          <w:snapToGrid w:val="0"/>
          <w:color w:val="auto"/>
          <w:kern w:val="0"/>
          <w:szCs w:val="21"/>
          <w:highlight w:val="none"/>
          <w:lang w:eastAsia="zh-CN"/>
        </w:rPr>
        <w:t>共同投标协议</w:t>
      </w:r>
      <w:r>
        <w:rPr>
          <w:rFonts w:hint="eastAsia" w:asciiTheme="minorEastAsia" w:hAnsiTheme="minorEastAsia" w:eastAsiaTheme="minorEastAsia" w:cstheme="minorEastAsia"/>
          <w:snapToGrid w:val="0"/>
          <w:color w:val="auto"/>
          <w:kern w:val="0"/>
          <w:szCs w:val="21"/>
          <w:highlight w:val="none"/>
        </w:rPr>
        <w:t>约定同一专业分工由两个及以上单位共同承担的，按照资质等级较低的单位确定资质等级；</w:t>
      </w:r>
    </w:p>
    <w:p>
      <w:pPr>
        <w:pageBreakBefore w:val="0"/>
        <w:kinsoku/>
        <w:wordWrap/>
        <w:overflowPunct/>
        <w:topLinePunct w:val="0"/>
        <w:autoSpaceDE/>
        <w:autoSpaceDN/>
        <w:bidi w:val="0"/>
        <w:adjustRightInd/>
        <w:snapToGrid/>
        <w:spacing w:line="360" w:lineRule="auto"/>
        <w:ind w:firstLine="315" w:firstLineChars="15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（3）联合体各方不得再以自己名义单独或参加其他联合体在</w:t>
      </w:r>
      <w:r>
        <w:rPr>
          <w:rFonts w:hint="eastAsia" w:asciiTheme="minorEastAsia" w:hAnsiTheme="minorEastAsia" w:eastAsiaTheme="minorEastAsia" w:cstheme="minorEastAsia"/>
          <w:snapToGrid w:val="0"/>
          <w:color w:val="auto"/>
          <w:kern w:val="0"/>
          <w:szCs w:val="21"/>
          <w:highlight w:val="none"/>
          <w:lang w:val="en-US" w:eastAsia="zh-CN"/>
        </w:rPr>
        <w:t>本招标项目</w:t>
      </w:r>
      <w:r>
        <w:rPr>
          <w:rFonts w:hint="eastAsia" w:asciiTheme="minorEastAsia" w:hAnsiTheme="minorEastAsia" w:eastAsiaTheme="minorEastAsia" w:cstheme="minorEastAsia"/>
          <w:snapToGrid w:val="0"/>
          <w:color w:val="auto"/>
          <w:kern w:val="0"/>
          <w:szCs w:val="21"/>
          <w:highlight w:val="none"/>
        </w:rPr>
        <w:t>同一标段中投标</w:t>
      </w:r>
      <w:r>
        <w:rPr>
          <w:rFonts w:hint="eastAsia" w:asciiTheme="minorEastAsia" w:hAnsiTheme="minorEastAsia" w:eastAsiaTheme="minorEastAsia" w:cstheme="minorEastAsia"/>
          <w:snapToGrid w:val="0"/>
          <w:color w:val="auto"/>
          <w:kern w:val="0"/>
          <w:szCs w:val="21"/>
          <w:highlight w:val="none"/>
          <w:lang w:eastAsia="zh-CN"/>
        </w:rPr>
        <w:t>，</w:t>
      </w:r>
      <w:r>
        <w:rPr>
          <w:rFonts w:hint="eastAsia" w:asciiTheme="minorEastAsia" w:hAnsiTheme="minorEastAsia" w:eastAsiaTheme="minorEastAsia" w:cstheme="minorEastAsia"/>
          <w:color w:val="auto"/>
          <w:highlight w:val="none"/>
        </w:rPr>
        <w:t>否则各相关投标均无效。</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1.4.3  投标人不得存在下列情形之一：</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position w:val="-2"/>
          <w:szCs w:val="21"/>
          <w:highlight w:val="none"/>
        </w:rPr>
        <w:t>（1）与招标人存在利害关系可能影响招标公正性的法人、其他组织或者个人；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（2）为本标段前期准备提供设计或咨询服务的，但设计施工总承包的除外；</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（3）为本标段的监理人；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（4）为本标段的代建人；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（5）为本标段提供招标代理服务的；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（6）与本标段的监理人或代建人或招标代理机构同为一个法定代表人的；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（7）与本标段的监理人或代建人或招标代理机构存在控股或参股的；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（8）与本标段的监理人或代建人或招标代理机构相互任职或工作的；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（9）被责令停产停业、暂扣或者吊销许可证、暂扣或者吊销执照；</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（10）被国家、重庆市（含市或任意区县）有关行政部门处以暂停投标资格行政处罚，且在处罚期限内的；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（11）进入清算程序，或被宣告破产，或其他丧失履约能力的情形；</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kern w:val="0"/>
          <w:szCs w:val="21"/>
          <w:lang w:eastAsia="zh-CN"/>
        </w:rPr>
      </w:pPr>
      <w:r>
        <w:rPr>
          <w:rFonts w:hint="eastAsia" w:asciiTheme="minorEastAsia" w:hAnsiTheme="minorEastAsia" w:eastAsiaTheme="minorEastAsia" w:cstheme="minorEastAsia"/>
          <w:snapToGrid w:val="0"/>
          <w:kern w:val="0"/>
          <w:szCs w:val="21"/>
        </w:rPr>
        <w:t>（</w:t>
      </w:r>
      <w:r>
        <w:rPr>
          <w:rFonts w:hint="eastAsia" w:asciiTheme="minorEastAsia" w:hAnsiTheme="minorEastAsia" w:eastAsiaTheme="minorEastAsia" w:cstheme="minorEastAsia"/>
          <w:snapToGrid w:val="0"/>
          <w:kern w:val="0"/>
          <w:szCs w:val="21"/>
          <w:lang w:val="en-US" w:eastAsia="zh-CN"/>
        </w:rPr>
        <w:t>12</w:t>
      </w:r>
      <w:r>
        <w:rPr>
          <w:rFonts w:hint="eastAsia" w:asciiTheme="minorEastAsia" w:hAnsiTheme="minorEastAsia" w:eastAsiaTheme="minorEastAsia" w:cstheme="minorEastAsia"/>
          <w:snapToGrid w:val="0"/>
          <w:kern w:val="0"/>
          <w:szCs w:val="21"/>
        </w:rPr>
        <w:t>）被市场监督管理机关在全国企业信用信息公示系统中列入严重违法失信企业名单</w:t>
      </w:r>
      <w:r>
        <w:rPr>
          <w:rFonts w:hint="eastAsia" w:asciiTheme="minorEastAsia" w:hAnsiTheme="minorEastAsia" w:eastAsiaTheme="minorEastAsia" w:cstheme="minorEastAsia"/>
          <w:snapToGrid w:val="0"/>
          <w:kern w:val="0"/>
          <w:szCs w:val="21"/>
          <w:lang w:eastAsia="zh-CN"/>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w:t>
      </w:r>
      <w:r>
        <w:rPr>
          <w:rFonts w:hint="eastAsia" w:asciiTheme="minorEastAsia" w:hAnsiTheme="minorEastAsia" w:eastAsiaTheme="minorEastAsia" w:cstheme="minorEastAsia"/>
          <w:snapToGrid w:val="0"/>
          <w:color w:val="auto"/>
          <w:kern w:val="0"/>
          <w:szCs w:val="21"/>
          <w:highlight w:val="none"/>
          <w:lang w:val="en-US" w:eastAsia="zh-CN"/>
        </w:rPr>
        <w:t>13</w:t>
      </w:r>
      <w:r>
        <w:rPr>
          <w:rFonts w:hint="eastAsia" w:asciiTheme="minorEastAsia" w:hAnsiTheme="minorEastAsia" w:eastAsiaTheme="minorEastAsia" w:cstheme="minorEastAsia"/>
          <w:snapToGrid w:val="0"/>
          <w:color w:val="auto"/>
          <w:kern w:val="0"/>
          <w:szCs w:val="21"/>
          <w:highlight w:val="none"/>
        </w:rPr>
        <w:t>）</w:t>
      </w:r>
      <w:r>
        <w:rPr>
          <w:rFonts w:hint="eastAsia" w:asciiTheme="minorEastAsia" w:hAnsiTheme="minorEastAsia" w:eastAsiaTheme="minorEastAsia" w:cstheme="minorEastAsia"/>
          <w:color w:val="auto"/>
          <w:szCs w:val="21"/>
          <w:highlight w:val="none"/>
        </w:rPr>
        <w:t>单位负责人为同一人或者存在控股、管理关系的不同单位，不得在同一标段中同时投标</w:t>
      </w:r>
      <w:r>
        <w:rPr>
          <w:rFonts w:hint="eastAsia" w:asciiTheme="minorEastAsia" w:hAnsiTheme="minorEastAsia" w:eastAsiaTheme="minorEastAsia" w:cstheme="minorEastAsia"/>
          <w:snapToGrid w:val="0"/>
          <w:color w:val="auto"/>
          <w:kern w:val="0"/>
          <w:szCs w:val="21"/>
          <w:highlight w:val="none"/>
        </w:rPr>
        <w:t>。</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257" w:name="_Toc277082558"/>
      <w:bookmarkStart w:id="258" w:name="_Toc200513132"/>
      <w:bookmarkStart w:id="259" w:name="_Toc430530441"/>
      <w:bookmarkStart w:id="260" w:name="_Toc287620691"/>
      <w:bookmarkStart w:id="261" w:name="_Toc30127"/>
      <w:bookmarkStart w:id="262" w:name="_Toc509218716"/>
      <w:bookmarkStart w:id="263" w:name="_Toc287607752"/>
      <w:bookmarkStart w:id="264" w:name="_Toc224103323"/>
      <w:r>
        <w:rPr>
          <w:rFonts w:hint="eastAsia" w:asciiTheme="minorEastAsia" w:hAnsiTheme="minorEastAsia" w:eastAsiaTheme="minorEastAsia" w:cstheme="minorEastAsia"/>
          <w:bCs w:val="0"/>
          <w:snapToGrid w:val="0"/>
          <w:color w:val="auto"/>
          <w:sz w:val="24"/>
          <w:szCs w:val="24"/>
          <w:highlight w:val="none"/>
        </w:rPr>
        <w:t>1.5  费用承担</w:t>
      </w:r>
      <w:bookmarkEnd w:id="257"/>
      <w:bookmarkEnd w:id="258"/>
      <w:bookmarkEnd w:id="259"/>
      <w:bookmarkEnd w:id="260"/>
      <w:bookmarkEnd w:id="261"/>
      <w:bookmarkEnd w:id="262"/>
      <w:bookmarkEnd w:id="263"/>
      <w:bookmarkEnd w:id="26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投标人准备和参加投标活动发生的费用自理。</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265" w:name="_Toc287607753"/>
      <w:bookmarkStart w:id="266" w:name="_Toc200513133"/>
      <w:bookmarkStart w:id="267" w:name="_Toc430530442"/>
      <w:bookmarkStart w:id="268" w:name="_Toc7633"/>
      <w:bookmarkStart w:id="269" w:name="_Toc509218717"/>
      <w:bookmarkStart w:id="270" w:name="_Toc287620692"/>
      <w:bookmarkStart w:id="271" w:name="_Toc224103324"/>
      <w:bookmarkStart w:id="272" w:name="_Toc277082559"/>
      <w:r>
        <w:rPr>
          <w:rFonts w:hint="eastAsia" w:asciiTheme="minorEastAsia" w:hAnsiTheme="minorEastAsia" w:eastAsiaTheme="minorEastAsia" w:cstheme="minorEastAsia"/>
          <w:bCs w:val="0"/>
          <w:snapToGrid w:val="0"/>
          <w:color w:val="auto"/>
          <w:sz w:val="24"/>
          <w:szCs w:val="24"/>
          <w:highlight w:val="none"/>
        </w:rPr>
        <w:t>1.6  保密</w:t>
      </w:r>
      <w:bookmarkEnd w:id="265"/>
      <w:bookmarkEnd w:id="266"/>
      <w:bookmarkEnd w:id="267"/>
      <w:bookmarkEnd w:id="268"/>
      <w:bookmarkEnd w:id="269"/>
      <w:bookmarkEnd w:id="270"/>
      <w:bookmarkEnd w:id="271"/>
      <w:bookmarkEnd w:id="272"/>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参与招标投标活动的各方应对招标文件和投标文件中的商业和技术等秘密保密，违者应对由此造成的后果承担法律责任。</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273" w:name="_Toc24582"/>
      <w:bookmarkStart w:id="274" w:name="_Toc287607754"/>
      <w:bookmarkStart w:id="275" w:name="_Toc430530443"/>
      <w:bookmarkStart w:id="276" w:name="_Toc200513134"/>
      <w:bookmarkStart w:id="277" w:name="_Toc224103325"/>
      <w:bookmarkStart w:id="278" w:name="_Toc287620693"/>
      <w:bookmarkStart w:id="279" w:name="_Toc509218718"/>
      <w:bookmarkStart w:id="280" w:name="_Toc277082560"/>
      <w:r>
        <w:rPr>
          <w:rFonts w:hint="eastAsia" w:asciiTheme="minorEastAsia" w:hAnsiTheme="minorEastAsia" w:eastAsiaTheme="minorEastAsia" w:cstheme="minorEastAsia"/>
          <w:bCs w:val="0"/>
          <w:snapToGrid w:val="0"/>
          <w:color w:val="auto"/>
          <w:sz w:val="24"/>
          <w:szCs w:val="24"/>
          <w:highlight w:val="none"/>
        </w:rPr>
        <w:t>1.7  语言文字</w:t>
      </w:r>
      <w:bookmarkEnd w:id="273"/>
      <w:bookmarkEnd w:id="274"/>
      <w:bookmarkEnd w:id="275"/>
      <w:bookmarkEnd w:id="276"/>
      <w:bookmarkEnd w:id="277"/>
      <w:bookmarkEnd w:id="278"/>
      <w:bookmarkEnd w:id="279"/>
      <w:bookmarkEnd w:id="28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除专用术语外，与招标投标有关的语言均使用中文。必要时专用术语应附有中文注释。</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281" w:name="_Toc287607755"/>
      <w:bookmarkStart w:id="282" w:name="_Toc430530444"/>
      <w:bookmarkStart w:id="283" w:name="_Toc14216"/>
      <w:bookmarkStart w:id="284" w:name="_Toc287620694"/>
      <w:bookmarkStart w:id="285" w:name="_Toc277082561"/>
      <w:bookmarkStart w:id="286" w:name="_Toc200513135"/>
      <w:bookmarkStart w:id="287" w:name="_Toc224103326"/>
      <w:bookmarkStart w:id="288" w:name="_Toc509218719"/>
      <w:r>
        <w:rPr>
          <w:rFonts w:hint="eastAsia" w:asciiTheme="minorEastAsia" w:hAnsiTheme="minorEastAsia" w:eastAsiaTheme="minorEastAsia" w:cstheme="minorEastAsia"/>
          <w:bCs w:val="0"/>
          <w:snapToGrid w:val="0"/>
          <w:color w:val="auto"/>
          <w:sz w:val="24"/>
          <w:szCs w:val="24"/>
          <w:highlight w:val="none"/>
        </w:rPr>
        <w:t>1.8  计量单位</w:t>
      </w:r>
      <w:bookmarkEnd w:id="281"/>
      <w:bookmarkEnd w:id="282"/>
      <w:bookmarkEnd w:id="283"/>
      <w:bookmarkEnd w:id="284"/>
      <w:bookmarkEnd w:id="285"/>
      <w:bookmarkEnd w:id="286"/>
      <w:bookmarkEnd w:id="287"/>
      <w:bookmarkEnd w:id="288"/>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所有计量均采用中华人民共和国法定计量单位。</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289" w:name="_Toc11474"/>
      <w:bookmarkStart w:id="290" w:name="_Toc224103327"/>
      <w:bookmarkStart w:id="291" w:name="_Toc509218720"/>
      <w:bookmarkStart w:id="292" w:name="_Toc200513136"/>
      <w:bookmarkStart w:id="293" w:name="_Toc430530445"/>
      <w:bookmarkStart w:id="294" w:name="_Toc287607756"/>
      <w:bookmarkStart w:id="295" w:name="_Toc287620695"/>
      <w:bookmarkStart w:id="296" w:name="_Toc277082562"/>
      <w:r>
        <w:rPr>
          <w:rFonts w:hint="eastAsia" w:asciiTheme="minorEastAsia" w:hAnsiTheme="minorEastAsia" w:eastAsiaTheme="minorEastAsia" w:cstheme="minorEastAsia"/>
          <w:bCs w:val="0"/>
          <w:snapToGrid w:val="0"/>
          <w:color w:val="auto"/>
          <w:sz w:val="24"/>
          <w:szCs w:val="24"/>
          <w:highlight w:val="none"/>
        </w:rPr>
        <w:t>1.9  踏勘现场</w:t>
      </w:r>
      <w:bookmarkEnd w:id="289"/>
      <w:bookmarkEnd w:id="290"/>
      <w:bookmarkEnd w:id="291"/>
      <w:bookmarkEnd w:id="292"/>
      <w:bookmarkEnd w:id="293"/>
      <w:bookmarkEnd w:id="294"/>
      <w:bookmarkEnd w:id="295"/>
      <w:bookmarkEnd w:id="29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1.9.1  投标人须知前附表规定组织踏勘现场的，招标人按投标人须知前附表规定的时间、 地点组织投标人踏勘项目现场。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1.9.2  投标人踏勘现场发生的费用自理。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1.9.3  除招标人的原因外，投标人自行负责在踏勘现场中所发生的人员伤亡和财产损失。</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1.9.4  招标人在踏勘现场中介绍的工程场地和相关的周边环境情况，供投标人在编制投标文件时参考，招标人不对投标人据此做出的判断和决策负责。</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297" w:name="_Toc277082563"/>
      <w:bookmarkStart w:id="298" w:name="_Toc287620696"/>
      <w:bookmarkStart w:id="299" w:name="_Toc5874"/>
      <w:bookmarkStart w:id="300" w:name="_Toc224103328"/>
      <w:bookmarkStart w:id="301" w:name="_Toc200513137"/>
      <w:bookmarkStart w:id="302" w:name="_Toc287607757"/>
      <w:bookmarkStart w:id="303" w:name="_Toc509218721"/>
      <w:bookmarkStart w:id="304" w:name="_Toc430530446"/>
      <w:r>
        <w:rPr>
          <w:rFonts w:hint="eastAsia" w:asciiTheme="minorEastAsia" w:hAnsiTheme="minorEastAsia" w:eastAsiaTheme="minorEastAsia" w:cstheme="minorEastAsia"/>
          <w:bCs w:val="0"/>
          <w:snapToGrid w:val="0"/>
          <w:color w:val="auto"/>
          <w:sz w:val="24"/>
          <w:szCs w:val="24"/>
          <w:highlight w:val="none"/>
        </w:rPr>
        <w:t>1.10  投标预备会</w:t>
      </w:r>
      <w:bookmarkEnd w:id="297"/>
      <w:bookmarkEnd w:id="298"/>
      <w:bookmarkEnd w:id="299"/>
      <w:bookmarkEnd w:id="300"/>
      <w:bookmarkEnd w:id="301"/>
      <w:bookmarkEnd w:id="302"/>
      <w:bookmarkEnd w:id="303"/>
      <w:bookmarkEnd w:id="304"/>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1.10.1  投标人须知前附表规定召开投标预备会的，招标人按投标人须知前附表规定的时间和地点召开投标预备会，澄清投标人提出的问题。</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1.10.2  投标人应在投标人须知前附表第</w:t>
      </w:r>
      <w:r>
        <w:rPr>
          <w:rFonts w:hint="eastAsia" w:asciiTheme="minorEastAsia" w:hAnsiTheme="minorEastAsia" w:eastAsiaTheme="minorEastAsia" w:cstheme="minorEastAsia"/>
          <w:color w:val="auto"/>
          <w:kern w:val="0"/>
          <w:szCs w:val="21"/>
          <w:highlight w:val="none"/>
        </w:rPr>
        <w:t>2.2.4项</w:t>
      </w:r>
      <w:r>
        <w:rPr>
          <w:rFonts w:hint="eastAsia" w:asciiTheme="minorEastAsia" w:hAnsiTheme="minorEastAsia" w:eastAsiaTheme="minorEastAsia" w:cstheme="minorEastAsia"/>
          <w:snapToGrid w:val="0"/>
          <w:color w:val="auto"/>
          <w:kern w:val="0"/>
          <w:szCs w:val="21"/>
          <w:highlight w:val="none"/>
        </w:rPr>
        <w:t>规定的时间</w:t>
      </w:r>
      <w:r>
        <w:rPr>
          <w:rFonts w:hint="eastAsia" w:asciiTheme="minorEastAsia" w:hAnsiTheme="minorEastAsia" w:eastAsiaTheme="minorEastAsia" w:cstheme="minorEastAsia"/>
          <w:snapToGrid w:val="0"/>
          <w:color w:val="auto"/>
          <w:kern w:val="0"/>
          <w:szCs w:val="21"/>
          <w:highlight w:val="none"/>
          <w:lang w:val="en-US" w:eastAsia="zh-CN"/>
        </w:rPr>
        <w:t>和</w:t>
      </w:r>
      <w:r>
        <w:rPr>
          <w:rFonts w:hint="eastAsia" w:asciiTheme="minorEastAsia" w:hAnsiTheme="minorEastAsia" w:eastAsiaTheme="minorEastAsia" w:cstheme="minorEastAsia"/>
          <w:snapToGrid w:val="0"/>
          <w:color w:val="auto"/>
          <w:kern w:val="0"/>
          <w:szCs w:val="21"/>
          <w:highlight w:val="none"/>
        </w:rPr>
        <w:t>形式将提出的问题送达招标人，以便招标人澄清。</w:t>
      </w:r>
    </w:p>
    <w:p>
      <w:pPr>
        <w:pageBreakBefore w:val="0"/>
        <w:kinsoku/>
        <w:wordWrap/>
        <w:overflowPunct/>
        <w:topLinePunct w:val="0"/>
        <w:autoSpaceDE w:val="0"/>
        <w:autoSpaceDN w:val="0"/>
        <w:bidi w:val="0"/>
        <w:adjustRightInd w:val="0"/>
        <w:snapToGrid w:val="0"/>
        <w:spacing w:line="360" w:lineRule="auto"/>
        <w:ind w:firstLine="424" w:firstLineChars="202"/>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1.10.3  招标人在投标人须知前附表规定的时间内，将对投标人所提</w:t>
      </w:r>
      <w:r>
        <w:rPr>
          <w:rFonts w:hint="eastAsia" w:asciiTheme="minorEastAsia" w:hAnsiTheme="minorEastAsia" w:eastAsiaTheme="minorEastAsia" w:cstheme="minorEastAsia"/>
          <w:snapToGrid w:val="0"/>
          <w:color w:val="auto"/>
          <w:kern w:val="0"/>
          <w:position w:val="-2"/>
          <w:szCs w:val="21"/>
          <w:highlight w:val="none"/>
        </w:rPr>
        <w:t>的</w:t>
      </w:r>
      <w:r>
        <w:rPr>
          <w:rFonts w:hint="eastAsia" w:asciiTheme="minorEastAsia" w:hAnsiTheme="minorEastAsia" w:eastAsiaTheme="minorEastAsia" w:cstheme="minorEastAsia"/>
          <w:snapToGrid w:val="0"/>
          <w:color w:val="auto"/>
          <w:kern w:val="0"/>
          <w:szCs w:val="21"/>
          <w:highlight w:val="none"/>
        </w:rPr>
        <w:t>问题</w:t>
      </w:r>
      <w:r>
        <w:rPr>
          <w:rFonts w:hint="eastAsia" w:asciiTheme="minorEastAsia" w:hAnsiTheme="minorEastAsia" w:eastAsiaTheme="minorEastAsia" w:cstheme="minorEastAsia"/>
          <w:snapToGrid w:val="0"/>
          <w:color w:val="auto"/>
          <w:kern w:val="0"/>
          <w:position w:val="-2"/>
          <w:szCs w:val="21"/>
          <w:highlight w:val="none"/>
        </w:rPr>
        <w:t>进行澄清。该澄清内容为招标文件的组成部分。</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305" w:name="_Toc200513138"/>
      <w:bookmarkStart w:id="306" w:name="_Toc585"/>
      <w:bookmarkStart w:id="307" w:name="_Toc277082564"/>
      <w:bookmarkStart w:id="308" w:name="_Toc509218722"/>
      <w:bookmarkStart w:id="309" w:name="_Toc224103329"/>
      <w:bookmarkStart w:id="310" w:name="_Toc287607758"/>
      <w:bookmarkStart w:id="311" w:name="_Toc287620697"/>
      <w:bookmarkStart w:id="312" w:name="_Toc430530447"/>
      <w:r>
        <w:rPr>
          <w:rFonts w:hint="eastAsia" w:asciiTheme="minorEastAsia" w:hAnsiTheme="minorEastAsia" w:eastAsiaTheme="minorEastAsia" w:cstheme="minorEastAsia"/>
          <w:bCs w:val="0"/>
          <w:snapToGrid w:val="0"/>
          <w:color w:val="auto"/>
          <w:sz w:val="24"/>
          <w:szCs w:val="24"/>
          <w:highlight w:val="none"/>
        </w:rPr>
        <w:t>1.11  分包</w:t>
      </w:r>
      <w:bookmarkEnd w:id="305"/>
      <w:bookmarkEnd w:id="306"/>
      <w:bookmarkEnd w:id="307"/>
      <w:bookmarkEnd w:id="308"/>
      <w:bookmarkEnd w:id="309"/>
      <w:bookmarkEnd w:id="310"/>
      <w:bookmarkEnd w:id="311"/>
      <w:bookmarkEnd w:id="312"/>
    </w:p>
    <w:p>
      <w:pPr>
        <w:pageBreakBefore w:val="0"/>
        <w:kinsoku/>
        <w:wordWrap/>
        <w:overflowPunct/>
        <w:topLinePunct w:val="0"/>
        <w:autoSpaceDE w:val="0"/>
        <w:autoSpaceDN w:val="0"/>
        <w:bidi w:val="0"/>
        <w:adjustRightInd w:val="0"/>
        <w:snapToGrid w:val="0"/>
        <w:spacing w:line="360" w:lineRule="auto"/>
        <w:ind w:firstLine="426"/>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投标人拟在中标后将中标项目的部分非主体、非关键性工作进行分包的，应符合投标人须知前附表规定的分包内容、分包金额和接受分包的第三人资质要求等限制性条件。</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313" w:name="_Toc287620698"/>
      <w:bookmarkStart w:id="314" w:name="_Toc224103330"/>
      <w:bookmarkStart w:id="315" w:name="_Toc27668"/>
      <w:bookmarkStart w:id="316" w:name="_Toc430530448"/>
      <w:bookmarkStart w:id="317" w:name="_Toc509218723"/>
      <w:bookmarkStart w:id="318" w:name="_Toc287607759"/>
      <w:bookmarkStart w:id="319" w:name="_Toc277082565"/>
      <w:bookmarkStart w:id="320" w:name="_Toc200513139"/>
      <w:r>
        <w:rPr>
          <w:rFonts w:hint="eastAsia" w:asciiTheme="minorEastAsia" w:hAnsiTheme="minorEastAsia" w:eastAsiaTheme="minorEastAsia" w:cstheme="minorEastAsia"/>
          <w:bCs w:val="0"/>
          <w:snapToGrid w:val="0"/>
          <w:color w:val="auto"/>
          <w:sz w:val="24"/>
          <w:szCs w:val="24"/>
          <w:highlight w:val="none"/>
        </w:rPr>
        <w:t>1.12  偏离</w:t>
      </w:r>
      <w:bookmarkEnd w:id="313"/>
      <w:bookmarkEnd w:id="314"/>
      <w:bookmarkEnd w:id="315"/>
      <w:bookmarkEnd w:id="316"/>
      <w:bookmarkEnd w:id="317"/>
      <w:bookmarkEnd w:id="318"/>
      <w:bookmarkEnd w:id="319"/>
      <w:bookmarkEnd w:id="32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投标人须知前附表允许投标文件偏离招标文件某些要求的，偏离应当符合招标文件规定 的偏离范围和幅度。</w:t>
      </w:r>
    </w:p>
    <w:p>
      <w:pPr>
        <w:pStyle w:val="4"/>
        <w:pageBreakBefore w:val="0"/>
        <w:kinsoku/>
        <w:wordWrap/>
        <w:overflowPunct/>
        <w:topLinePunct w:val="0"/>
        <w:bidi w:val="0"/>
        <w:spacing w:before="0" w:after="0" w:line="360" w:lineRule="auto"/>
        <w:textAlignment w:val="auto"/>
        <w:rPr>
          <w:rFonts w:hint="eastAsia" w:asciiTheme="minorEastAsia" w:hAnsiTheme="minorEastAsia" w:eastAsiaTheme="minorEastAsia" w:cstheme="minorEastAsia"/>
          <w:bCs w:val="0"/>
          <w:snapToGrid w:val="0"/>
          <w:color w:val="auto"/>
          <w:highlight w:val="none"/>
        </w:rPr>
      </w:pPr>
      <w:bookmarkStart w:id="321" w:name="_Toc32059"/>
      <w:bookmarkStart w:id="322" w:name="_Toc509218724"/>
      <w:bookmarkStart w:id="323" w:name="_Toc200513140"/>
      <w:bookmarkStart w:id="324" w:name="_Toc277082566"/>
      <w:bookmarkStart w:id="325" w:name="_Toc287607760"/>
      <w:bookmarkStart w:id="326" w:name="_Toc30687"/>
      <w:bookmarkStart w:id="327" w:name="_Toc224103331"/>
      <w:bookmarkStart w:id="328" w:name="_Toc21050"/>
      <w:bookmarkStart w:id="329" w:name="_Toc28787"/>
      <w:bookmarkStart w:id="330" w:name="_Toc287620699"/>
      <w:bookmarkStart w:id="331" w:name="_Toc430530449"/>
      <w:r>
        <w:rPr>
          <w:rFonts w:hint="eastAsia" w:asciiTheme="minorEastAsia" w:hAnsiTheme="minorEastAsia" w:eastAsiaTheme="minorEastAsia" w:cstheme="minorEastAsia"/>
          <w:bCs w:val="0"/>
          <w:snapToGrid w:val="0"/>
          <w:color w:val="auto"/>
          <w:highlight w:val="none"/>
        </w:rPr>
        <w:t>2.  招标文件</w:t>
      </w:r>
      <w:bookmarkEnd w:id="321"/>
      <w:bookmarkEnd w:id="322"/>
      <w:bookmarkEnd w:id="323"/>
      <w:bookmarkEnd w:id="324"/>
      <w:bookmarkEnd w:id="325"/>
      <w:bookmarkEnd w:id="326"/>
      <w:bookmarkEnd w:id="327"/>
      <w:bookmarkEnd w:id="328"/>
      <w:bookmarkEnd w:id="329"/>
      <w:bookmarkEnd w:id="330"/>
      <w:bookmarkEnd w:id="331"/>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332" w:name="_Toc224103332"/>
      <w:bookmarkStart w:id="333" w:name="_Toc287607761"/>
      <w:bookmarkStart w:id="334" w:name="_Toc3714"/>
      <w:bookmarkStart w:id="335" w:name="_Toc430530450"/>
      <w:bookmarkStart w:id="336" w:name="_Toc277082567"/>
      <w:bookmarkStart w:id="337" w:name="_Toc200513141"/>
      <w:bookmarkStart w:id="338" w:name="_Toc287620700"/>
      <w:bookmarkStart w:id="339" w:name="_Toc509218725"/>
      <w:r>
        <w:rPr>
          <w:rFonts w:hint="eastAsia" w:asciiTheme="minorEastAsia" w:hAnsiTheme="minorEastAsia" w:eastAsiaTheme="minorEastAsia" w:cstheme="minorEastAsia"/>
          <w:bCs w:val="0"/>
          <w:snapToGrid w:val="0"/>
          <w:color w:val="auto"/>
          <w:sz w:val="24"/>
          <w:szCs w:val="24"/>
          <w:highlight w:val="none"/>
        </w:rPr>
        <w:t>2.1  招标文件的组成</w:t>
      </w:r>
      <w:bookmarkEnd w:id="332"/>
      <w:bookmarkEnd w:id="333"/>
      <w:bookmarkEnd w:id="334"/>
      <w:bookmarkEnd w:id="335"/>
      <w:bookmarkEnd w:id="336"/>
      <w:bookmarkEnd w:id="337"/>
      <w:bookmarkEnd w:id="338"/>
      <w:bookmarkEnd w:id="339"/>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本招标文件包括：</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（1）招标公告（或投标邀请书）；</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（2）投标人须知；</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（3）评标办法；</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（4）合同条款及格式；</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（5）工程量清单；</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（6）图纸；</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（7）技术标准和要求；</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（8）投标文件格式；</w:t>
      </w:r>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（9）投标人须知前附表规定的其他材料。</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根据本章第1.10款、第2.2款和第2.3款对招标文件所作的澄清、修改，构成招标文件的组成部分。</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340" w:name="_Toc509218726"/>
      <w:bookmarkStart w:id="341" w:name="_Toc430530451"/>
      <w:bookmarkStart w:id="342" w:name="_Toc8578"/>
      <w:r>
        <w:rPr>
          <w:rFonts w:hint="eastAsia" w:asciiTheme="minorEastAsia" w:hAnsiTheme="minorEastAsia" w:eastAsiaTheme="minorEastAsia" w:cstheme="minorEastAsia"/>
          <w:bCs w:val="0"/>
          <w:snapToGrid w:val="0"/>
          <w:color w:val="auto"/>
          <w:sz w:val="24"/>
          <w:szCs w:val="24"/>
          <w:highlight w:val="none"/>
        </w:rPr>
        <w:t>2.2  招标文件的澄清</w:t>
      </w:r>
      <w:bookmarkEnd w:id="340"/>
      <w:bookmarkEnd w:id="341"/>
      <w:bookmarkEnd w:id="342"/>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2.2.1  投标人应仔细阅读和检查招标文件的全部内容。如发现缺页或附件不全，应及时向招标人提出，以便补齐。如有疑问，应在投标人须知前附表规定的时间</w:t>
      </w:r>
      <w:r>
        <w:rPr>
          <w:rFonts w:hint="eastAsia" w:asciiTheme="minorEastAsia" w:hAnsiTheme="minorEastAsia" w:eastAsiaTheme="minorEastAsia" w:cstheme="minorEastAsia"/>
          <w:snapToGrid w:val="0"/>
          <w:color w:val="auto"/>
          <w:kern w:val="0"/>
          <w:szCs w:val="21"/>
          <w:highlight w:val="none"/>
          <w:lang w:val="en-US" w:eastAsia="zh-CN"/>
        </w:rPr>
        <w:t>和形式</w:t>
      </w:r>
      <w:r>
        <w:rPr>
          <w:rFonts w:hint="eastAsia" w:asciiTheme="minorEastAsia" w:hAnsiTheme="minorEastAsia" w:eastAsiaTheme="minorEastAsia" w:cstheme="minorEastAsia"/>
          <w:color w:val="auto"/>
          <w:kern w:val="0"/>
          <w:szCs w:val="21"/>
          <w:highlight w:val="none"/>
        </w:rPr>
        <w:t>提</w:t>
      </w:r>
      <w:r>
        <w:rPr>
          <w:rFonts w:hint="eastAsia" w:asciiTheme="minorEastAsia" w:hAnsiTheme="minorEastAsia" w:eastAsiaTheme="minorEastAsia" w:cstheme="minorEastAsia"/>
          <w:color w:val="auto"/>
          <w:kern w:val="0"/>
          <w:szCs w:val="21"/>
          <w:highlight w:val="none"/>
          <w:lang w:val="en-US" w:eastAsia="zh-CN"/>
        </w:rPr>
        <w:t>出</w:t>
      </w:r>
      <w:r>
        <w:rPr>
          <w:rFonts w:hint="eastAsia" w:asciiTheme="minorEastAsia" w:hAnsiTheme="minorEastAsia" w:eastAsiaTheme="minorEastAsia" w:cstheme="minorEastAsia"/>
          <w:color w:val="auto"/>
          <w:kern w:val="0"/>
          <w:szCs w:val="21"/>
          <w:highlight w:val="none"/>
        </w:rPr>
        <w:t>问</w:t>
      </w:r>
      <w:r>
        <w:rPr>
          <w:rFonts w:hint="eastAsia" w:asciiTheme="minorEastAsia" w:hAnsiTheme="minorEastAsia" w:eastAsiaTheme="minorEastAsia" w:cstheme="minorEastAsia"/>
          <w:color w:val="auto"/>
          <w:kern w:val="0"/>
          <w:szCs w:val="21"/>
          <w:highlight w:val="none"/>
          <w:lang w:val="en-US" w:eastAsia="zh-CN"/>
        </w:rPr>
        <w:t>题</w:t>
      </w:r>
      <w:r>
        <w:rPr>
          <w:rFonts w:hint="eastAsia" w:asciiTheme="minorEastAsia" w:hAnsiTheme="minorEastAsia" w:eastAsiaTheme="minorEastAsia" w:cstheme="minorEastAsia"/>
          <w:snapToGrid w:val="0"/>
          <w:color w:val="auto"/>
          <w:kern w:val="0"/>
          <w:szCs w:val="21"/>
          <w:highlight w:val="none"/>
        </w:rPr>
        <w:t>，要求招标人对招标文件予以澄清。</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2.2.2  招标文件的澄清将在投标人须知前附表规定的投标截止时间15天前</w:t>
      </w:r>
      <w:r>
        <w:rPr>
          <w:rFonts w:hint="eastAsia" w:asciiTheme="minorEastAsia" w:hAnsiTheme="minorEastAsia" w:eastAsiaTheme="minorEastAsia" w:cstheme="minorEastAsia"/>
          <w:color w:val="auto"/>
          <w:kern w:val="0"/>
          <w:szCs w:val="21"/>
          <w:highlight w:val="none"/>
        </w:rPr>
        <w:t>在相应法定网站发布，</w:t>
      </w:r>
      <w:r>
        <w:rPr>
          <w:rFonts w:hint="eastAsia" w:asciiTheme="minorEastAsia" w:hAnsiTheme="minorEastAsia" w:eastAsiaTheme="minorEastAsia" w:cstheme="minorEastAsia"/>
          <w:snapToGrid w:val="0"/>
          <w:color w:val="auto"/>
          <w:kern w:val="0"/>
          <w:szCs w:val="21"/>
          <w:highlight w:val="none"/>
        </w:rPr>
        <w:t>但不指明澄清问题的来源。如果澄清发出的时间距投标截止时间不足15天，相应延长投标截止时间。</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 xml:space="preserve">2.2.3  </w:t>
      </w:r>
      <w:r>
        <w:rPr>
          <w:rFonts w:hint="eastAsia" w:asciiTheme="minorEastAsia" w:hAnsiTheme="minorEastAsia" w:eastAsiaTheme="minorEastAsia" w:cstheme="minorEastAsia"/>
          <w:color w:val="auto"/>
          <w:kern w:val="0"/>
          <w:szCs w:val="21"/>
          <w:highlight w:val="none"/>
        </w:rPr>
        <w:t>招标人对招标文件的</w:t>
      </w:r>
      <w:r>
        <w:rPr>
          <w:rFonts w:hint="eastAsia" w:asciiTheme="minorEastAsia" w:hAnsiTheme="minorEastAsia" w:eastAsiaTheme="minorEastAsia" w:cstheme="minorEastAsia"/>
          <w:snapToGrid w:val="0"/>
          <w:color w:val="auto"/>
          <w:kern w:val="0"/>
          <w:szCs w:val="21"/>
          <w:highlight w:val="none"/>
        </w:rPr>
        <w:t>修改内容可能影响投标文件编制的，须在投标截止时间15日前发布，发布时间至投标截止时间不足15日的，须相应延后投标截止时间。</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position w:val="-2"/>
          <w:szCs w:val="21"/>
          <w:highlight w:val="none"/>
        </w:rPr>
        <w:t>2.2.4  投标人对招标文件和澄清修改仍有异议的，可于投标截止时间10日前，</w:t>
      </w:r>
      <w:r>
        <w:rPr>
          <w:rFonts w:hint="eastAsia" w:ascii="宋体" w:hAnsi="宋体"/>
          <w:snapToGrid w:val="0"/>
          <w:kern w:val="0"/>
          <w:szCs w:val="21"/>
        </w:rPr>
        <w:t>以书面形式</w:t>
      </w:r>
      <w:r>
        <w:rPr>
          <w:rFonts w:hint="eastAsia" w:ascii="宋体" w:hAnsi="宋体"/>
          <w:snapToGrid w:val="0"/>
          <w:kern w:val="0"/>
          <w:szCs w:val="21"/>
          <w:lang w:val="en-US" w:eastAsia="zh-CN"/>
        </w:rPr>
        <w:t>向</w:t>
      </w:r>
      <w:r>
        <w:rPr>
          <w:rFonts w:hint="eastAsia" w:ascii="宋体" w:hAnsi="宋体"/>
          <w:snapToGrid w:val="0"/>
          <w:kern w:val="0"/>
          <w:szCs w:val="21"/>
        </w:rPr>
        <w:t>招标人或招标代理机构</w:t>
      </w:r>
      <w:r>
        <w:rPr>
          <w:rFonts w:hint="eastAsia" w:ascii="宋体" w:hAnsi="宋体"/>
          <w:snapToGrid w:val="0"/>
          <w:kern w:val="0"/>
          <w:szCs w:val="21"/>
          <w:lang w:val="en-US" w:eastAsia="zh-CN"/>
        </w:rPr>
        <w:t>提出</w:t>
      </w:r>
      <w:r>
        <w:rPr>
          <w:rFonts w:hint="eastAsia" w:asciiTheme="minorEastAsia" w:hAnsiTheme="minorEastAsia" w:eastAsiaTheme="minorEastAsia" w:cstheme="minorEastAsia"/>
          <w:snapToGrid w:val="0"/>
          <w:color w:val="auto"/>
          <w:kern w:val="0"/>
          <w:szCs w:val="21"/>
          <w:highlight w:val="none"/>
        </w:rPr>
        <w:t>。招标人应将答复以修改的形式在</w:t>
      </w:r>
      <w:r>
        <w:rPr>
          <w:rFonts w:hint="eastAsia" w:asciiTheme="minorEastAsia" w:hAnsiTheme="minorEastAsia" w:eastAsiaTheme="minorEastAsia" w:cstheme="minorEastAsia"/>
          <w:color w:val="auto"/>
          <w:kern w:val="0"/>
          <w:szCs w:val="21"/>
          <w:highlight w:val="none"/>
        </w:rPr>
        <w:t>相应法定网站发布</w:t>
      </w:r>
      <w:r>
        <w:rPr>
          <w:rFonts w:hint="eastAsia" w:asciiTheme="minorEastAsia" w:hAnsiTheme="minorEastAsia" w:eastAsiaTheme="minorEastAsia" w:cstheme="minorEastAsia"/>
          <w:snapToGrid w:val="0"/>
          <w:color w:val="auto"/>
          <w:kern w:val="0"/>
          <w:szCs w:val="21"/>
          <w:highlight w:val="none"/>
        </w:rPr>
        <w:t>。修改内容可能影响投标文件编制的，须在投标截止时间15日前发布，发布时间至投标截止时间不足15日的，须相应延后投标截止时间。</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343" w:name="_Toc430530452"/>
      <w:bookmarkStart w:id="344" w:name="_Toc287607763"/>
      <w:bookmarkStart w:id="345" w:name="_Toc5356"/>
      <w:bookmarkStart w:id="346" w:name="_Toc224103334"/>
      <w:bookmarkStart w:id="347" w:name="_Toc200513143"/>
      <w:bookmarkStart w:id="348" w:name="_Toc277082569"/>
      <w:bookmarkStart w:id="349" w:name="_Toc287620702"/>
      <w:bookmarkStart w:id="350" w:name="_Toc509218727"/>
      <w:r>
        <w:rPr>
          <w:rFonts w:hint="eastAsia" w:asciiTheme="minorEastAsia" w:hAnsiTheme="minorEastAsia" w:eastAsiaTheme="minorEastAsia" w:cstheme="minorEastAsia"/>
          <w:bCs w:val="0"/>
          <w:snapToGrid w:val="0"/>
          <w:color w:val="auto"/>
          <w:sz w:val="24"/>
          <w:szCs w:val="24"/>
          <w:highlight w:val="none"/>
        </w:rPr>
        <w:t>2.3  招标文件的修改</w:t>
      </w:r>
      <w:bookmarkEnd w:id="343"/>
      <w:bookmarkEnd w:id="344"/>
      <w:bookmarkEnd w:id="345"/>
      <w:bookmarkEnd w:id="346"/>
      <w:bookmarkEnd w:id="347"/>
      <w:bookmarkEnd w:id="348"/>
      <w:bookmarkEnd w:id="349"/>
      <w:bookmarkEnd w:id="350"/>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snapToGrid w:val="0"/>
          <w:color w:val="auto"/>
          <w:highlight w:val="none"/>
        </w:rPr>
      </w:pPr>
      <w:bookmarkStart w:id="351" w:name="_Toc287620703"/>
      <w:bookmarkStart w:id="352" w:name="_Toc200513144"/>
      <w:bookmarkStart w:id="353" w:name="_Toc277082570"/>
      <w:bookmarkStart w:id="354" w:name="_Toc224103335"/>
      <w:bookmarkStart w:id="355" w:name="_Toc287607764"/>
      <w:r>
        <w:rPr>
          <w:rFonts w:hint="eastAsia" w:asciiTheme="minorEastAsia" w:hAnsiTheme="minorEastAsia" w:eastAsiaTheme="minorEastAsia" w:cstheme="minorEastAsia"/>
          <w:snapToGrid w:val="0"/>
          <w:color w:val="auto"/>
          <w:highlight w:val="none"/>
        </w:rPr>
        <w:t>按照本章第2.2款招标文件的澄清相关内容及方式执行。</w:t>
      </w:r>
    </w:p>
    <w:p>
      <w:pPr>
        <w:pStyle w:val="4"/>
        <w:pageBreakBefore w:val="0"/>
        <w:kinsoku/>
        <w:wordWrap/>
        <w:overflowPunct/>
        <w:topLinePunct w:val="0"/>
        <w:bidi w:val="0"/>
        <w:spacing w:before="0" w:after="0" w:line="360" w:lineRule="auto"/>
        <w:textAlignment w:val="auto"/>
        <w:rPr>
          <w:rFonts w:hint="eastAsia" w:asciiTheme="minorEastAsia" w:hAnsiTheme="minorEastAsia" w:eastAsiaTheme="minorEastAsia" w:cstheme="minorEastAsia"/>
          <w:bCs w:val="0"/>
          <w:snapToGrid w:val="0"/>
          <w:color w:val="auto"/>
          <w:highlight w:val="none"/>
        </w:rPr>
      </w:pPr>
      <w:bookmarkStart w:id="356" w:name="_Toc12154"/>
      <w:bookmarkStart w:id="357" w:name="_Toc509218728"/>
      <w:bookmarkStart w:id="358" w:name="_Toc430530453"/>
      <w:bookmarkStart w:id="359" w:name="_Toc18456"/>
      <w:bookmarkStart w:id="360" w:name="_Toc6558"/>
      <w:bookmarkStart w:id="361" w:name="_Toc21783"/>
      <w:r>
        <w:rPr>
          <w:rFonts w:hint="eastAsia" w:asciiTheme="minorEastAsia" w:hAnsiTheme="minorEastAsia" w:eastAsiaTheme="minorEastAsia" w:cstheme="minorEastAsia"/>
          <w:bCs w:val="0"/>
          <w:snapToGrid w:val="0"/>
          <w:color w:val="auto"/>
          <w:highlight w:val="none"/>
        </w:rPr>
        <w:t>3.  投标文件</w:t>
      </w:r>
      <w:bookmarkEnd w:id="351"/>
      <w:bookmarkEnd w:id="352"/>
      <w:bookmarkEnd w:id="353"/>
      <w:bookmarkEnd w:id="354"/>
      <w:bookmarkEnd w:id="355"/>
      <w:bookmarkEnd w:id="356"/>
      <w:bookmarkEnd w:id="357"/>
      <w:bookmarkEnd w:id="358"/>
      <w:bookmarkEnd w:id="359"/>
      <w:bookmarkEnd w:id="360"/>
      <w:bookmarkEnd w:id="361"/>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362" w:name="_Toc557"/>
      <w:bookmarkStart w:id="363" w:name="_Toc200513145"/>
      <w:bookmarkStart w:id="364" w:name="_Toc224103336"/>
      <w:bookmarkStart w:id="365" w:name="_Toc430530454"/>
      <w:bookmarkStart w:id="366" w:name="_Toc277082571"/>
      <w:bookmarkStart w:id="367" w:name="_Toc287607765"/>
      <w:bookmarkStart w:id="368" w:name="_Toc287620704"/>
      <w:bookmarkStart w:id="369" w:name="_Toc509218729"/>
      <w:r>
        <w:rPr>
          <w:rFonts w:hint="eastAsia" w:asciiTheme="minorEastAsia" w:hAnsiTheme="minorEastAsia" w:eastAsiaTheme="minorEastAsia" w:cstheme="minorEastAsia"/>
          <w:bCs w:val="0"/>
          <w:snapToGrid w:val="0"/>
          <w:color w:val="auto"/>
          <w:sz w:val="24"/>
          <w:szCs w:val="24"/>
          <w:highlight w:val="none"/>
        </w:rPr>
        <w:t>3.1  投标文件的组成</w:t>
      </w:r>
      <w:bookmarkEnd w:id="362"/>
      <w:bookmarkEnd w:id="363"/>
      <w:bookmarkEnd w:id="364"/>
      <w:bookmarkEnd w:id="365"/>
      <w:bookmarkEnd w:id="366"/>
      <w:bookmarkEnd w:id="367"/>
      <w:bookmarkEnd w:id="368"/>
      <w:bookmarkEnd w:id="36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3.1.1 投标文件应包括下列内容：</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3.1.1.1投标函部分</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（1）投标函</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（2）投标函附录</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（3）法定代表人身份证明或授权委托书</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w:t>
      </w:r>
      <w:r>
        <w:rPr>
          <w:rFonts w:hint="eastAsia" w:ascii="宋体" w:hAnsi="宋体"/>
        </w:rPr>
        <w:t>投标报价合理性说明</w:t>
      </w:r>
      <w:r>
        <w:rPr>
          <w:rFonts w:hint="eastAsia" w:asciiTheme="minorEastAsia" w:hAnsiTheme="minorEastAsia" w:eastAsiaTheme="minorEastAsia" w:cstheme="minorEastAsia"/>
          <w:color w:val="auto"/>
          <w:highlight w:val="none"/>
        </w:rPr>
        <w:t>（如有）</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3.1.1.2</w:t>
      </w:r>
      <w:r>
        <w:rPr>
          <w:rFonts w:hint="eastAsia" w:asciiTheme="minorEastAsia" w:hAnsiTheme="minorEastAsia" w:eastAsiaTheme="minorEastAsia" w:cstheme="minorEastAsia"/>
          <w:color w:val="auto"/>
          <w:highlight w:val="none"/>
          <w:lang w:val="en-US" w:eastAsia="zh-CN"/>
        </w:rPr>
        <w:t>报价</w:t>
      </w:r>
      <w:r>
        <w:rPr>
          <w:rFonts w:hint="eastAsia" w:asciiTheme="minorEastAsia" w:hAnsiTheme="minorEastAsia" w:eastAsiaTheme="minorEastAsia" w:cstheme="minorEastAsia"/>
          <w:color w:val="auto"/>
          <w:highlight w:val="none"/>
        </w:rPr>
        <w:t>部分</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（1）已标价工程量清单</w:t>
      </w:r>
    </w:p>
    <w:p>
      <w:pPr>
        <w:pStyle w:val="2"/>
        <w:pageBreakBefore w:val="0"/>
        <w:kinsoku/>
        <w:wordWrap/>
        <w:overflowPunct/>
        <w:topLinePunct w:val="0"/>
        <w:bidi w:val="0"/>
        <w:spacing w:after="0"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3.1.1.3商务部分（</w:t>
      </w:r>
      <w:r>
        <w:rPr>
          <w:rFonts w:hint="eastAsia" w:asciiTheme="minorEastAsia" w:hAnsiTheme="minorEastAsia" w:eastAsiaTheme="minorEastAsia" w:cstheme="minorEastAsia"/>
          <w:color w:val="auto"/>
          <w:highlight w:val="none"/>
          <w:lang w:val="en-US" w:eastAsia="zh-CN"/>
        </w:rPr>
        <w:t>如有</w:t>
      </w:r>
      <w:r>
        <w:rPr>
          <w:rFonts w:hint="eastAsia" w:asciiTheme="minorEastAsia" w:hAnsiTheme="minorEastAsia" w:eastAsiaTheme="minorEastAsia" w:cstheme="minorEastAsia"/>
          <w:color w:val="auto"/>
          <w:highlight w:val="none"/>
        </w:rPr>
        <w:t>）</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3.1.1.4技术部分（</w:t>
      </w:r>
      <w:r>
        <w:rPr>
          <w:rFonts w:hint="eastAsia" w:asciiTheme="minorEastAsia" w:hAnsiTheme="minorEastAsia" w:eastAsiaTheme="minorEastAsia" w:cstheme="minorEastAsia"/>
          <w:color w:val="auto"/>
          <w:highlight w:val="none"/>
          <w:lang w:val="en-US" w:eastAsia="zh-CN"/>
        </w:rPr>
        <w:t>如有</w:t>
      </w:r>
      <w:r>
        <w:rPr>
          <w:rFonts w:hint="eastAsia" w:asciiTheme="minorEastAsia" w:hAnsiTheme="minorEastAsia" w:eastAsiaTheme="minorEastAsia" w:cstheme="minorEastAsia"/>
          <w:color w:val="auto"/>
          <w:highlight w:val="none"/>
        </w:rPr>
        <w:t>）</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3.1.1.5资格审查部分</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（1）法定代表人身份证明或授权委托书</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w:t>
      </w:r>
      <w:r>
        <w:rPr>
          <w:rFonts w:hint="eastAsia" w:asciiTheme="minorEastAsia" w:hAnsiTheme="minorEastAsia" w:eastAsiaTheme="minorEastAsia" w:cstheme="minorEastAsia"/>
          <w:color w:val="auto"/>
          <w:highlight w:val="none"/>
          <w:lang w:eastAsia="zh-CN"/>
        </w:rPr>
        <w:t>共同投标协议</w:t>
      </w:r>
      <w:r>
        <w:rPr>
          <w:rFonts w:hint="eastAsia" w:asciiTheme="minorEastAsia" w:hAnsiTheme="minorEastAsia" w:eastAsiaTheme="minorEastAsia" w:cstheme="minorEastAsia"/>
          <w:color w:val="auto"/>
          <w:highlight w:val="none"/>
        </w:rPr>
        <w:t>（如有）</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3</w:t>
      </w:r>
      <w:r>
        <w:rPr>
          <w:rFonts w:hint="eastAsia" w:asciiTheme="minorEastAsia" w:hAnsiTheme="minorEastAsia" w:eastAsiaTheme="minorEastAsia" w:cstheme="minorEastAsia"/>
          <w:color w:val="auto"/>
          <w:highlight w:val="none"/>
        </w:rPr>
        <w:t>）承诺</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4</w:t>
      </w:r>
      <w:r>
        <w:rPr>
          <w:rFonts w:hint="eastAsia" w:asciiTheme="minorEastAsia" w:hAnsiTheme="minorEastAsia" w:eastAsiaTheme="minorEastAsia" w:cstheme="minorEastAsia"/>
          <w:color w:val="auto"/>
          <w:highlight w:val="none"/>
        </w:rPr>
        <w:t>）其他资料</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3.1.2  投标人须知前附表规定不接受联合体投标的，或投标人没有组成联合体的，投标文件不包括</w:t>
      </w:r>
      <w:r>
        <w:rPr>
          <w:rFonts w:hint="eastAsia" w:asciiTheme="minorEastAsia" w:hAnsiTheme="minorEastAsia" w:eastAsiaTheme="minorEastAsia" w:cstheme="minorEastAsia"/>
          <w:snapToGrid w:val="0"/>
          <w:color w:val="auto"/>
          <w:kern w:val="0"/>
          <w:szCs w:val="21"/>
          <w:highlight w:val="none"/>
          <w:lang w:eastAsia="zh-CN"/>
        </w:rPr>
        <w:t>共同投标协议</w:t>
      </w:r>
      <w:r>
        <w:rPr>
          <w:rFonts w:hint="eastAsia" w:asciiTheme="minorEastAsia" w:hAnsiTheme="minorEastAsia" w:eastAsiaTheme="minorEastAsia" w:cstheme="minorEastAsia"/>
          <w:snapToGrid w:val="0"/>
          <w:color w:val="auto"/>
          <w:kern w:val="0"/>
          <w:szCs w:val="21"/>
          <w:highlight w:val="none"/>
        </w:rPr>
        <w:t>。</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370" w:name="_Toc509218730"/>
      <w:bookmarkStart w:id="371" w:name="_Toc27199"/>
      <w:bookmarkStart w:id="372" w:name="_Toc430530455"/>
      <w:bookmarkStart w:id="373" w:name="_Toc277082572"/>
      <w:bookmarkStart w:id="374" w:name="_Toc287620705"/>
      <w:bookmarkStart w:id="375" w:name="_Toc224103337"/>
      <w:bookmarkStart w:id="376" w:name="_Toc287607766"/>
      <w:bookmarkStart w:id="377" w:name="_Toc200513146"/>
      <w:r>
        <w:rPr>
          <w:rFonts w:hint="eastAsia" w:asciiTheme="minorEastAsia" w:hAnsiTheme="minorEastAsia" w:eastAsiaTheme="minorEastAsia" w:cstheme="minorEastAsia"/>
          <w:bCs w:val="0"/>
          <w:snapToGrid w:val="0"/>
          <w:color w:val="auto"/>
          <w:sz w:val="24"/>
          <w:szCs w:val="24"/>
          <w:highlight w:val="none"/>
        </w:rPr>
        <w:t>3.2  投标报价</w:t>
      </w:r>
      <w:bookmarkEnd w:id="370"/>
      <w:bookmarkEnd w:id="371"/>
      <w:bookmarkEnd w:id="372"/>
      <w:bookmarkEnd w:id="373"/>
      <w:bookmarkEnd w:id="374"/>
      <w:bookmarkEnd w:id="375"/>
      <w:bookmarkEnd w:id="376"/>
      <w:bookmarkEnd w:id="37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3.2.1  投标人应按第五章“工程量清单”的要求填写相应表格。</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3.2.</w:t>
      </w:r>
      <w:r>
        <w:rPr>
          <w:rFonts w:ascii="宋体" w:hAnsi="宋体"/>
          <w:snapToGrid w:val="0"/>
          <w:kern w:val="0"/>
          <w:szCs w:val="21"/>
        </w:rPr>
        <w:t>2</w:t>
      </w:r>
      <w:r>
        <w:rPr>
          <w:rFonts w:hint="eastAsia" w:ascii="宋体" w:hAnsi="宋体"/>
          <w:snapToGrid w:val="0"/>
          <w:kern w:val="0"/>
          <w:szCs w:val="21"/>
        </w:rPr>
        <w:t xml:space="preserve">  </w:t>
      </w:r>
      <w:r>
        <w:rPr>
          <w:rFonts w:hint="eastAsia" w:asciiTheme="minorEastAsia" w:hAnsiTheme="minorEastAsia" w:eastAsiaTheme="minorEastAsia" w:cstheme="minorEastAsia"/>
          <w:snapToGrid w:val="0"/>
          <w:color w:val="auto"/>
          <w:kern w:val="0"/>
          <w:szCs w:val="21"/>
          <w:highlight w:val="none"/>
        </w:rPr>
        <w:t>投标人在投标截止时间前修改投标函中的投标总报价，应同时修改第五章“工程量清单”中的相应报价。此修改须符合本章第 4.3 款的有关要求。</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378" w:name="_Toc287620706"/>
      <w:bookmarkStart w:id="379" w:name="_Toc31676"/>
      <w:bookmarkStart w:id="380" w:name="_Toc200513147"/>
      <w:bookmarkStart w:id="381" w:name="_Toc509218731"/>
      <w:bookmarkStart w:id="382" w:name="_Toc224103338"/>
      <w:bookmarkStart w:id="383" w:name="_Toc287607767"/>
      <w:bookmarkStart w:id="384" w:name="_Toc430530456"/>
      <w:bookmarkStart w:id="385" w:name="_Toc277082573"/>
      <w:r>
        <w:rPr>
          <w:rFonts w:hint="eastAsia" w:asciiTheme="minorEastAsia" w:hAnsiTheme="minorEastAsia" w:eastAsiaTheme="minorEastAsia" w:cstheme="minorEastAsia"/>
          <w:bCs w:val="0"/>
          <w:snapToGrid w:val="0"/>
          <w:color w:val="auto"/>
          <w:sz w:val="24"/>
          <w:szCs w:val="24"/>
          <w:highlight w:val="none"/>
        </w:rPr>
        <w:t>3.3  投标有效期</w:t>
      </w:r>
      <w:bookmarkEnd w:id="378"/>
      <w:bookmarkEnd w:id="379"/>
      <w:bookmarkEnd w:id="380"/>
      <w:bookmarkEnd w:id="381"/>
      <w:bookmarkEnd w:id="382"/>
      <w:bookmarkEnd w:id="383"/>
      <w:bookmarkEnd w:id="384"/>
      <w:bookmarkEnd w:id="38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3.3.1  在投标人须知前附表规定的投标有效期内，投标人不得要求撤销或修改其投标文件。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3.3.2  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适用于投标保证金采用投标保函形式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pPr>
        <w:pStyle w:val="5"/>
        <w:keepNext w:val="0"/>
        <w:keepLines w:val="0"/>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386" w:name="_Toc224103339"/>
      <w:bookmarkStart w:id="387" w:name="_Toc287620707"/>
      <w:bookmarkStart w:id="388" w:name="_Toc430530457"/>
      <w:bookmarkStart w:id="389" w:name="_Toc509218732"/>
      <w:bookmarkStart w:id="390" w:name="_Toc277082574"/>
      <w:bookmarkStart w:id="391" w:name="_Toc200513148"/>
      <w:bookmarkStart w:id="392" w:name="_Toc287607768"/>
      <w:bookmarkStart w:id="393" w:name="_Toc7515"/>
      <w:r>
        <w:rPr>
          <w:rFonts w:hint="eastAsia" w:asciiTheme="minorEastAsia" w:hAnsiTheme="minorEastAsia" w:eastAsiaTheme="minorEastAsia" w:cstheme="minorEastAsia"/>
          <w:bCs w:val="0"/>
          <w:snapToGrid w:val="0"/>
          <w:color w:val="auto"/>
          <w:sz w:val="24"/>
          <w:szCs w:val="24"/>
          <w:highlight w:val="none"/>
        </w:rPr>
        <w:t>3.4  投标</w:t>
      </w:r>
      <w:bookmarkEnd w:id="386"/>
      <w:bookmarkEnd w:id="387"/>
      <w:bookmarkEnd w:id="388"/>
      <w:bookmarkEnd w:id="389"/>
      <w:bookmarkEnd w:id="390"/>
      <w:bookmarkEnd w:id="391"/>
      <w:bookmarkEnd w:id="392"/>
      <w:r>
        <w:rPr>
          <w:rFonts w:hint="eastAsia" w:asciiTheme="minorEastAsia" w:hAnsiTheme="minorEastAsia" w:eastAsiaTheme="minorEastAsia" w:cstheme="minorEastAsia"/>
          <w:bCs w:val="0"/>
          <w:snapToGrid w:val="0"/>
          <w:color w:val="auto"/>
          <w:sz w:val="24"/>
          <w:szCs w:val="24"/>
          <w:highlight w:val="none"/>
        </w:rPr>
        <w:t>保证金</w:t>
      </w:r>
      <w:bookmarkEnd w:id="39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3.4.1  投标人在递交投标文件的同时，应按投标人须知前附表的规定递交投标保证金，并作为其投标文件的组成部分。联合体投标的，其投标保证金由牵头人递交，并应符合投标人须知前附表的规定。</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3.4.2  投标人不按本章第 3.4.1 项要求提交投标保证金的，其投标文件作否决投标处理。</w:t>
      </w:r>
    </w:p>
    <w:p>
      <w:pPr>
        <w:pageBreakBefore w:val="0"/>
        <w:kinsoku/>
        <w:wordWrap/>
        <w:overflowPunct/>
        <w:topLinePunct w:val="0"/>
        <w:autoSpaceDE w:val="0"/>
        <w:autoSpaceDN w:val="0"/>
        <w:bidi w:val="0"/>
        <w:adjustRightInd w:val="0"/>
        <w:snapToGrid w:val="0"/>
        <w:spacing w:line="360" w:lineRule="auto"/>
        <w:ind w:left="12" w:leftChars="6" w:firstLine="405" w:firstLineChars="193"/>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 xml:space="preserve">3.4.3  </w:t>
      </w:r>
      <w:r>
        <w:rPr>
          <w:rFonts w:hint="eastAsia" w:asciiTheme="minorEastAsia" w:hAnsiTheme="minorEastAsia" w:eastAsiaTheme="minorEastAsia" w:cstheme="minorEastAsia"/>
          <w:color w:val="auto"/>
          <w:highlight w:val="none"/>
        </w:rPr>
        <w:t>电子投标保函注消/投标保证金退还/纸质投标保函退还：</w:t>
      </w:r>
      <w:r>
        <w:rPr>
          <w:rFonts w:hint="eastAsia" w:asciiTheme="minorEastAsia" w:hAnsiTheme="minorEastAsia" w:eastAsiaTheme="minorEastAsia" w:cstheme="minorEastAsia"/>
          <w:snapToGrid w:val="0"/>
          <w:color w:val="auto"/>
          <w:kern w:val="0"/>
          <w:szCs w:val="21"/>
          <w:highlight w:val="none"/>
        </w:rPr>
        <w:t>见投标人须知前附表</w:t>
      </w:r>
      <w:r>
        <w:rPr>
          <w:rFonts w:hint="eastAsia" w:asciiTheme="minorEastAsia" w:hAnsiTheme="minorEastAsia" w:eastAsiaTheme="minorEastAsia" w:cstheme="minorEastAsia"/>
          <w:snapToGrid w:val="0"/>
          <w:color w:val="auto"/>
          <w:kern w:val="0"/>
          <w:position w:val="-2"/>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 xml:space="preserve">3.4.4  </w:t>
      </w:r>
      <w:r>
        <w:rPr>
          <w:rFonts w:hint="eastAsia" w:asciiTheme="minorEastAsia" w:hAnsiTheme="minorEastAsia" w:eastAsiaTheme="minorEastAsia" w:cstheme="minorEastAsia"/>
          <w:color w:val="auto"/>
          <w:highlight w:val="none"/>
        </w:rPr>
        <w:t>有下列情形之一的，投标保证金以现金形式交纳的不予退还，以保函形式交纳的由保函开立人支付保函担保的与投标保证金等额的款项：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（1）投标人在规定的投标有效期内撤销或修改其投标文件；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（2）</w:t>
      </w:r>
      <w:r>
        <w:rPr>
          <w:rFonts w:hint="eastAsia" w:asciiTheme="minorEastAsia" w:hAnsiTheme="minorEastAsia" w:eastAsiaTheme="minorEastAsia" w:cstheme="minorEastAsia"/>
          <w:color w:val="auto"/>
          <w:kern w:val="0"/>
          <w:szCs w:val="21"/>
          <w:highlight w:val="none"/>
        </w:rPr>
        <w:t>中标人在收到中标通知书后，无正当理由不与招标人订立合同，在签订合同时向招标人提出附加条件，或者不按照招标文件要求提交履约保证金</w:t>
      </w:r>
      <w:r>
        <w:rPr>
          <w:rFonts w:hint="eastAsia" w:asciiTheme="minorEastAsia" w:hAnsiTheme="minorEastAsia" w:eastAsiaTheme="minorEastAsia" w:cstheme="minorEastAsia"/>
          <w:snapToGrid w:val="0"/>
          <w:color w:val="auto"/>
          <w:kern w:val="0"/>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w:t>
      </w:r>
      <w:r>
        <w:rPr>
          <w:rFonts w:hint="eastAsia" w:asciiTheme="minorEastAsia" w:hAnsiTheme="minorEastAsia" w:eastAsiaTheme="minorEastAsia" w:cstheme="minorEastAsia"/>
          <w:snapToGrid w:val="0"/>
          <w:color w:val="auto"/>
          <w:kern w:val="0"/>
          <w:szCs w:val="21"/>
          <w:highlight w:val="none"/>
          <w:lang w:val="en-US" w:eastAsia="zh-CN"/>
        </w:rPr>
        <w:t>3</w:t>
      </w:r>
      <w:r>
        <w:rPr>
          <w:rFonts w:hint="eastAsia" w:asciiTheme="minorEastAsia" w:hAnsiTheme="minorEastAsia" w:eastAsiaTheme="minorEastAsia" w:cstheme="minorEastAsia"/>
          <w:snapToGrid w:val="0"/>
          <w:color w:val="auto"/>
          <w:kern w:val="0"/>
          <w:szCs w:val="21"/>
          <w:highlight w:val="none"/>
        </w:rPr>
        <w:t>）违反本章第9.2款对投标人的纪律要求的；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w:t>
      </w:r>
      <w:r>
        <w:rPr>
          <w:rFonts w:hint="eastAsia" w:asciiTheme="minorEastAsia" w:hAnsiTheme="minorEastAsia" w:eastAsiaTheme="minorEastAsia" w:cstheme="minorEastAsia"/>
          <w:snapToGrid w:val="0"/>
          <w:color w:val="auto"/>
          <w:kern w:val="0"/>
          <w:szCs w:val="21"/>
          <w:highlight w:val="none"/>
          <w:lang w:val="en-US" w:eastAsia="zh-CN"/>
        </w:rPr>
        <w:t>4</w:t>
      </w:r>
      <w:r>
        <w:rPr>
          <w:rFonts w:hint="eastAsia" w:asciiTheme="minorEastAsia" w:hAnsiTheme="minorEastAsia" w:eastAsiaTheme="minorEastAsia" w:cstheme="minorEastAsia"/>
          <w:snapToGrid w:val="0"/>
          <w:color w:val="auto"/>
          <w:kern w:val="0"/>
          <w:szCs w:val="21"/>
          <w:highlight w:val="none"/>
        </w:rPr>
        <w:t>）法律法规规定的其他情形。</w:t>
      </w:r>
    </w:p>
    <w:p>
      <w:pPr>
        <w:pageBreakBefore w:val="0"/>
        <w:tabs>
          <w:tab w:val="left" w:pos="611"/>
          <w:tab w:val="left" w:pos="669"/>
        </w:tabs>
        <w:kinsoku/>
        <w:wordWrap/>
        <w:overflowPunct/>
        <w:topLinePunct w:val="0"/>
        <w:bidi w:val="0"/>
        <w:snapToGrid w:val="0"/>
        <w:spacing w:line="360" w:lineRule="auto"/>
        <w:ind w:firstLine="420" w:firstLineChars="200"/>
        <w:textAlignment w:val="auto"/>
        <w:rPr>
          <w:rFonts w:hint="eastAsia" w:ascii="宋体" w:hAnsi="宋体" w:eastAsia="宋体" w:cs="宋体"/>
          <w:color w:val="auto"/>
          <w:highlight w:val="none"/>
          <w:lang w:eastAsia="zh-CN"/>
        </w:rPr>
      </w:pPr>
      <w:r>
        <w:rPr>
          <w:rFonts w:hint="eastAsia" w:asciiTheme="minorEastAsia" w:hAnsiTheme="minorEastAsia" w:eastAsiaTheme="minorEastAsia" w:cstheme="minorEastAsia"/>
          <w:snapToGrid w:val="0"/>
          <w:color w:val="auto"/>
          <w:kern w:val="0"/>
          <w:szCs w:val="21"/>
          <w:highlight w:val="none"/>
        </w:rPr>
        <w:t>3.4.5</w:t>
      </w:r>
      <w:r>
        <w:rPr>
          <w:rFonts w:hint="eastAsia" w:ascii="宋体" w:hAnsi="宋体" w:eastAsia="宋体" w:cs="宋体"/>
          <w:color w:val="auto"/>
          <w:highlight w:val="none"/>
        </w:rPr>
        <w:t>投标保证金的其他要求</w:t>
      </w:r>
      <w:r>
        <w:rPr>
          <w:rFonts w:hint="eastAsia" w:ascii="宋体" w:hAnsi="宋体" w:cs="宋体"/>
          <w:color w:val="auto"/>
          <w:highlight w:val="none"/>
          <w:lang w:eastAsia="zh-CN"/>
        </w:rPr>
        <w:t>：</w:t>
      </w:r>
    </w:p>
    <w:p>
      <w:pPr>
        <w:pageBreakBefore w:val="0"/>
        <w:tabs>
          <w:tab w:val="left" w:pos="611"/>
          <w:tab w:val="left" w:pos="669"/>
        </w:tabs>
        <w:kinsoku/>
        <w:wordWrap/>
        <w:overflowPunct/>
        <w:topLinePunct w:val="0"/>
        <w:bidi w:val="0"/>
        <w:snapToGrid w:val="0"/>
        <w:spacing w:line="360" w:lineRule="auto"/>
        <w:ind w:firstLine="420" w:firstLineChars="200"/>
        <w:textAlignment w:val="auto"/>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（1）投标保证金为无条件担保；</w:t>
      </w:r>
    </w:p>
    <w:p>
      <w:pPr>
        <w:pageBreakBefore w:val="0"/>
        <w:tabs>
          <w:tab w:val="left" w:pos="611"/>
          <w:tab w:val="left" w:pos="669"/>
        </w:tabs>
        <w:kinsoku/>
        <w:wordWrap/>
        <w:overflowPunct/>
        <w:topLinePunct w:val="0"/>
        <w:bidi w:val="0"/>
        <w:snapToGrid w:val="0"/>
        <w:spacing w:line="360" w:lineRule="auto"/>
        <w:ind w:firstLine="420" w:firstLineChars="200"/>
        <w:textAlignment w:val="auto"/>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（2）投标保证金的受益人为招标人。</w:t>
      </w:r>
    </w:p>
    <w:p>
      <w:pPr>
        <w:pStyle w:val="5"/>
        <w:keepNext w:val="0"/>
        <w:keepLines w:val="0"/>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394" w:name="_Toc287607770"/>
      <w:bookmarkStart w:id="395" w:name="_Toc287620709"/>
      <w:bookmarkStart w:id="396" w:name="_Toc509218734"/>
      <w:bookmarkStart w:id="397" w:name="_Toc23723"/>
      <w:bookmarkStart w:id="398" w:name="_Toc200513150"/>
      <w:bookmarkStart w:id="399" w:name="_Toc224103341"/>
      <w:bookmarkStart w:id="400" w:name="_Toc430530459"/>
      <w:bookmarkStart w:id="401" w:name="_Toc277082576"/>
      <w:r>
        <w:rPr>
          <w:rFonts w:hint="eastAsia" w:asciiTheme="minorEastAsia" w:hAnsiTheme="minorEastAsia" w:eastAsiaTheme="minorEastAsia" w:cstheme="minorEastAsia"/>
          <w:bCs w:val="0"/>
          <w:snapToGrid w:val="0"/>
          <w:color w:val="auto"/>
          <w:sz w:val="24"/>
          <w:szCs w:val="24"/>
          <w:highlight w:val="none"/>
        </w:rPr>
        <w:t>3.5  资格审查资料</w:t>
      </w:r>
      <w:bookmarkEnd w:id="394"/>
      <w:bookmarkEnd w:id="395"/>
      <w:bookmarkEnd w:id="396"/>
      <w:bookmarkEnd w:id="397"/>
      <w:bookmarkEnd w:id="398"/>
      <w:bookmarkEnd w:id="399"/>
      <w:bookmarkEnd w:id="400"/>
      <w:bookmarkEnd w:id="401"/>
    </w:p>
    <w:p>
      <w:pPr>
        <w:pageBreakBefore w:val="0"/>
        <w:kinsoku/>
        <w:wordWrap/>
        <w:overflowPunct/>
        <w:topLinePunct w:val="0"/>
        <w:autoSpaceDE w:val="0"/>
        <w:autoSpaceDN w:val="0"/>
        <w:bidi w:val="0"/>
        <w:adjustRightInd w:val="0"/>
        <w:snapToGrid w:val="0"/>
        <w:spacing w:line="360" w:lineRule="auto"/>
        <w:ind w:left="103" w:leftChars="49" w:right="37" w:firstLine="420" w:firstLineChars="200"/>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投标人应附</w:t>
      </w:r>
      <w:r>
        <w:rPr>
          <w:rFonts w:hint="eastAsia" w:asciiTheme="minorEastAsia" w:hAnsiTheme="minorEastAsia" w:eastAsiaTheme="minorEastAsia" w:cstheme="minorEastAsia"/>
          <w:color w:val="auto"/>
          <w:kern w:val="0"/>
          <w:szCs w:val="21"/>
          <w:highlight w:val="none"/>
        </w:rPr>
        <w:t>投标人须知前附表第1.4.1项中要求的相关证明材料</w:t>
      </w:r>
      <w:r>
        <w:rPr>
          <w:rFonts w:hint="eastAsia" w:asciiTheme="minorEastAsia" w:hAnsiTheme="minorEastAsia" w:eastAsiaTheme="minorEastAsia" w:cstheme="minorEastAsia"/>
          <w:color w:val="auto"/>
          <w:szCs w:val="21"/>
          <w:highlight w:val="none"/>
        </w:rPr>
        <w:t>。</w:t>
      </w:r>
    </w:p>
    <w:p>
      <w:pPr>
        <w:pageBreakBefore w:val="0"/>
        <w:kinsoku/>
        <w:wordWrap/>
        <w:overflowPunct/>
        <w:topLinePunct w:val="0"/>
        <w:autoSpaceDE w:val="0"/>
        <w:autoSpaceDN w:val="0"/>
        <w:bidi w:val="0"/>
        <w:adjustRightInd w:val="0"/>
        <w:snapToGrid w:val="0"/>
        <w:spacing w:line="360" w:lineRule="auto"/>
        <w:ind w:left="103" w:leftChars="49" w:right="37"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投标人须知前附表规定接受联合体投标的，详见投标人须知前附表联合体投标相关内容。</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402" w:name="_Toc430530460"/>
      <w:bookmarkStart w:id="403" w:name="_Toc277082577"/>
      <w:bookmarkStart w:id="404" w:name="_Toc287620710"/>
      <w:bookmarkStart w:id="405" w:name="_Toc200513151"/>
      <w:bookmarkStart w:id="406" w:name="_Toc32488"/>
      <w:bookmarkStart w:id="407" w:name="_Toc509218735"/>
      <w:bookmarkStart w:id="408" w:name="_Toc224103342"/>
      <w:bookmarkStart w:id="409" w:name="_Toc287607771"/>
      <w:r>
        <w:rPr>
          <w:rFonts w:hint="eastAsia" w:asciiTheme="minorEastAsia" w:hAnsiTheme="minorEastAsia" w:eastAsiaTheme="minorEastAsia" w:cstheme="minorEastAsia"/>
          <w:bCs w:val="0"/>
          <w:snapToGrid w:val="0"/>
          <w:color w:val="auto"/>
          <w:sz w:val="24"/>
          <w:szCs w:val="24"/>
          <w:highlight w:val="none"/>
        </w:rPr>
        <w:t>3.6  备选投标方案</w:t>
      </w:r>
      <w:bookmarkEnd w:id="402"/>
      <w:bookmarkEnd w:id="403"/>
      <w:bookmarkEnd w:id="404"/>
      <w:bookmarkEnd w:id="405"/>
      <w:bookmarkEnd w:id="406"/>
      <w:bookmarkEnd w:id="407"/>
      <w:bookmarkEnd w:id="408"/>
      <w:bookmarkEnd w:id="40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除投标人须知前附表另有规定外，投标人不得递交备选投标方案。允许投标人递交备选投标方案的，只有中标人所递交的备选投标方案方可予以考虑。评标委员会认为中标人的备 选投标方案优于其按照招标文件要求编制的投标方案的，招标人可以接受该备选投标方案。</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410" w:name="_Toc200513152"/>
      <w:bookmarkStart w:id="411" w:name="_Toc20888"/>
      <w:bookmarkStart w:id="412" w:name="_Toc509218736"/>
      <w:bookmarkStart w:id="413" w:name="_Toc277082578"/>
      <w:bookmarkStart w:id="414" w:name="_Toc287607772"/>
      <w:bookmarkStart w:id="415" w:name="_Toc287620711"/>
      <w:bookmarkStart w:id="416" w:name="_Toc224103343"/>
      <w:bookmarkStart w:id="417" w:name="_Toc430530461"/>
      <w:r>
        <w:rPr>
          <w:rFonts w:hint="eastAsia" w:asciiTheme="minorEastAsia" w:hAnsiTheme="minorEastAsia" w:eastAsiaTheme="minorEastAsia" w:cstheme="minorEastAsia"/>
          <w:bCs w:val="0"/>
          <w:snapToGrid w:val="0"/>
          <w:color w:val="auto"/>
          <w:sz w:val="24"/>
          <w:szCs w:val="24"/>
          <w:highlight w:val="none"/>
        </w:rPr>
        <w:t>3.7  投标文件的编制</w:t>
      </w:r>
      <w:bookmarkEnd w:id="410"/>
      <w:bookmarkEnd w:id="411"/>
      <w:bookmarkEnd w:id="412"/>
      <w:bookmarkEnd w:id="413"/>
      <w:bookmarkEnd w:id="414"/>
      <w:bookmarkEnd w:id="415"/>
      <w:bookmarkEnd w:id="416"/>
      <w:bookmarkEnd w:id="41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3.7.1  投标文件应按第八章“投标文件格式”进行编写，如有必要，可以增加附页，作为投标文件的组成部分。其中，投标函附录在满足招标文件实质性要求的基础上，可以提出比招标文件要求更有利于招标人的承诺。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3.7.2  投标文件应当对招标文件有关工期、投标有效期、质量要求、技术标准和要求、招标范围等实质性内容做出响应。</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position w:val="-2"/>
          <w:szCs w:val="21"/>
          <w:highlight w:val="none"/>
        </w:rPr>
        <w:t>3.7.3  投标文件的签名盖章要求：按本章投标人须知前附表第3.7.3项执行。</w:t>
      </w:r>
    </w:p>
    <w:p>
      <w:pPr>
        <w:pageBreakBefore w:val="0"/>
        <w:kinsoku/>
        <w:wordWrap/>
        <w:overflowPunct/>
        <w:topLinePunct w:val="0"/>
        <w:autoSpaceDE w:val="0"/>
        <w:autoSpaceDN w:val="0"/>
        <w:bidi w:val="0"/>
        <w:adjustRightInd w:val="0"/>
        <w:snapToGrid w:val="0"/>
        <w:spacing w:line="360" w:lineRule="auto"/>
        <w:ind w:right="-164"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3.7.4  投标文件份数：</w:t>
      </w:r>
      <w:r>
        <w:rPr>
          <w:rFonts w:hint="eastAsia" w:asciiTheme="minorEastAsia" w:hAnsiTheme="minorEastAsia" w:eastAsiaTheme="minorEastAsia" w:cstheme="minorEastAsia"/>
          <w:color w:val="auto"/>
          <w:kern w:val="0"/>
          <w:szCs w:val="21"/>
          <w:highlight w:val="none"/>
        </w:rPr>
        <w:t>投标人网上提交加密投标文件一份。</w:t>
      </w:r>
    </w:p>
    <w:p>
      <w:pPr>
        <w:pageBreakBefore w:val="0"/>
        <w:kinsoku/>
        <w:wordWrap/>
        <w:overflowPunct/>
        <w:topLinePunct w:val="0"/>
        <w:autoSpaceDE w:val="0"/>
        <w:autoSpaceDN w:val="0"/>
        <w:bidi w:val="0"/>
        <w:adjustRightInd w:val="0"/>
        <w:snapToGrid w:val="0"/>
        <w:spacing w:line="360" w:lineRule="auto"/>
        <w:ind w:right="-109"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3.7.5  投标文件应按规定格式排版，并编制目录，具体编制要求见投标人须知前附表规定。</w:t>
      </w:r>
    </w:p>
    <w:p>
      <w:pPr>
        <w:pStyle w:val="4"/>
        <w:keepNext w:val="0"/>
        <w:keepLines w:val="0"/>
        <w:pageBreakBefore w:val="0"/>
        <w:kinsoku/>
        <w:wordWrap/>
        <w:overflowPunct/>
        <w:topLinePunct w:val="0"/>
        <w:bidi w:val="0"/>
        <w:spacing w:before="0" w:after="0" w:line="360" w:lineRule="auto"/>
        <w:textAlignment w:val="auto"/>
        <w:rPr>
          <w:rFonts w:hint="eastAsia" w:asciiTheme="minorEastAsia" w:hAnsiTheme="minorEastAsia" w:eastAsiaTheme="minorEastAsia" w:cstheme="minorEastAsia"/>
          <w:bCs w:val="0"/>
          <w:snapToGrid w:val="0"/>
          <w:color w:val="auto"/>
          <w:highlight w:val="none"/>
        </w:rPr>
      </w:pPr>
      <w:bookmarkStart w:id="418" w:name="_Toc430530462"/>
      <w:bookmarkStart w:id="419" w:name="_Toc287607773"/>
      <w:bookmarkStart w:id="420" w:name="_Toc7431"/>
      <w:bookmarkStart w:id="421" w:name="_Toc224103344"/>
      <w:bookmarkStart w:id="422" w:name="_Toc200513153"/>
      <w:bookmarkStart w:id="423" w:name="_Toc509218737"/>
      <w:bookmarkStart w:id="424" w:name="_Toc24450"/>
      <w:bookmarkStart w:id="425" w:name="_Toc19265"/>
      <w:bookmarkStart w:id="426" w:name="_Toc287620712"/>
      <w:bookmarkStart w:id="427" w:name="_Toc10433"/>
      <w:bookmarkStart w:id="428" w:name="_Toc277082579"/>
      <w:r>
        <w:rPr>
          <w:rFonts w:hint="eastAsia" w:asciiTheme="minorEastAsia" w:hAnsiTheme="minorEastAsia" w:eastAsiaTheme="minorEastAsia" w:cstheme="minorEastAsia"/>
          <w:bCs w:val="0"/>
          <w:snapToGrid w:val="0"/>
          <w:color w:val="auto"/>
          <w:highlight w:val="none"/>
        </w:rPr>
        <w:t>4.  投标</w:t>
      </w:r>
      <w:bookmarkEnd w:id="418"/>
      <w:bookmarkEnd w:id="419"/>
      <w:bookmarkEnd w:id="420"/>
      <w:bookmarkEnd w:id="421"/>
      <w:bookmarkEnd w:id="422"/>
      <w:bookmarkEnd w:id="423"/>
      <w:bookmarkEnd w:id="424"/>
      <w:bookmarkEnd w:id="425"/>
      <w:bookmarkEnd w:id="426"/>
      <w:bookmarkEnd w:id="427"/>
      <w:bookmarkEnd w:id="428"/>
    </w:p>
    <w:p>
      <w:pPr>
        <w:pStyle w:val="5"/>
        <w:keepNext w:val="0"/>
        <w:keepLines w:val="0"/>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429" w:name="_Toc509218738"/>
      <w:bookmarkStart w:id="430" w:name="_Toc430530463"/>
      <w:bookmarkStart w:id="431" w:name="_Toc224103345"/>
      <w:bookmarkStart w:id="432" w:name="_Toc287620713"/>
      <w:bookmarkStart w:id="433" w:name="_Toc287607774"/>
      <w:bookmarkStart w:id="434" w:name="_Toc200513154"/>
      <w:bookmarkStart w:id="435" w:name="_Toc19778"/>
      <w:bookmarkStart w:id="436" w:name="_Toc277082580"/>
      <w:r>
        <w:rPr>
          <w:rFonts w:hint="eastAsia" w:asciiTheme="minorEastAsia" w:hAnsiTheme="minorEastAsia" w:eastAsiaTheme="minorEastAsia" w:cstheme="minorEastAsia"/>
          <w:bCs w:val="0"/>
          <w:snapToGrid w:val="0"/>
          <w:color w:val="auto"/>
          <w:sz w:val="24"/>
          <w:szCs w:val="24"/>
          <w:highlight w:val="none"/>
        </w:rPr>
        <w:t>4.1  投标文件的密封和标记</w:t>
      </w:r>
      <w:bookmarkEnd w:id="429"/>
      <w:bookmarkEnd w:id="430"/>
      <w:bookmarkEnd w:id="431"/>
      <w:bookmarkEnd w:id="432"/>
      <w:bookmarkEnd w:id="433"/>
      <w:bookmarkEnd w:id="434"/>
      <w:bookmarkEnd w:id="435"/>
      <w:bookmarkEnd w:id="43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bookmarkStart w:id="437" w:name="_Toc200513155"/>
      <w:r>
        <w:rPr>
          <w:rFonts w:hint="eastAsia" w:asciiTheme="minorEastAsia" w:hAnsiTheme="minorEastAsia" w:eastAsiaTheme="minorEastAsia" w:cstheme="minorEastAsia"/>
          <w:snapToGrid w:val="0"/>
          <w:color w:val="auto"/>
          <w:kern w:val="0"/>
          <w:szCs w:val="21"/>
          <w:highlight w:val="none"/>
        </w:rPr>
        <w:t>4.1.1  投标文件的密封：见投标人须知前附表。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4.1.2  投标文件的封套上应写明的内容：见投标人须知前附表。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4.1.3  电子投标文件的加密</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加密的电子投标文件应按照本章投标人须知前附表第10.</w:t>
      </w:r>
      <w:r>
        <w:rPr>
          <w:rFonts w:hint="eastAsia" w:ascii="宋体" w:hAnsi="宋体" w:eastAsiaTheme="minorEastAsia"/>
          <w:snapToGrid w:val="0"/>
          <w:kern w:val="0"/>
          <w:szCs w:val="21"/>
          <w:lang w:val="en-US" w:eastAsia="zh-CN"/>
        </w:rPr>
        <w:t>6</w:t>
      </w:r>
      <w:r>
        <w:rPr>
          <w:rFonts w:hint="eastAsia" w:asciiTheme="minorEastAsia" w:hAnsiTheme="minorEastAsia" w:eastAsiaTheme="minorEastAsia" w:cstheme="minorEastAsia"/>
          <w:snapToGrid w:val="0"/>
          <w:color w:val="auto"/>
          <w:kern w:val="0"/>
          <w:szCs w:val="21"/>
          <w:highlight w:val="none"/>
        </w:rPr>
        <w:t>款相关要求制作并加密，未按要求加密的电子投标文件，将无法上传至重庆市电子招投标系统，逾期未完成上传投标文件的，视为撤回投标文件。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4.1.4  不加密电子投标文件的密封</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投标人如需递交不加密电子投标文件（光盘备份）应单独封装，并在封套的封口处加盖投标人单位法人章。</w:t>
      </w:r>
    </w:p>
    <w:p>
      <w:pPr>
        <w:pStyle w:val="5"/>
        <w:keepNext w:val="0"/>
        <w:keepLines w:val="0"/>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438" w:name="_Toc313"/>
      <w:bookmarkStart w:id="439" w:name="_Toc287620714"/>
      <w:bookmarkStart w:id="440" w:name="_Toc287607775"/>
      <w:bookmarkStart w:id="441" w:name="_Toc224103346"/>
      <w:bookmarkStart w:id="442" w:name="_Toc509218739"/>
      <w:bookmarkStart w:id="443" w:name="_Toc277082581"/>
      <w:bookmarkStart w:id="444" w:name="_Toc430530464"/>
      <w:r>
        <w:rPr>
          <w:rFonts w:hint="eastAsia" w:asciiTheme="minorEastAsia" w:hAnsiTheme="minorEastAsia" w:eastAsiaTheme="minorEastAsia" w:cstheme="minorEastAsia"/>
          <w:bCs w:val="0"/>
          <w:snapToGrid w:val="0"/>
          <w:color w:val="auto"/>
          <w:sz w:val="24"/>
          <w:szCs w:val="24"/>
          <w:highlight w:val="none"/>
        </w:rPr>
        <w:t>4.2  投标文件的递交</w:t>
      </w:r>
      <w:bookmarkEnd w:id="437"/>
      <w:bookmarkEnd w:id="438"/>
      <w:bookmarkEnd w:id="439"/>
      <w:bookmarkEnd w:id="440"/>
      <w:bookmarkEnd w:id="441"/>
      <w:bookmarkEnd w:id="442"/>
      <w:bookmarkEnd w:id="443"/>
      <w:bookmarkEnd w:id="44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4.2.1  投标人应在投标人须知前附表第 2.2.2 项规定的投标截止时间前递交投标文件。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4.2.2  投标人递交投标文件的地点：见投标人须知前附表。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4.2.3  除投标人须知前附表另有规定外，投标人所递交的投标文件不予退还。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4.2.4  招标人收到投标文件后，由</w:t>
      </w:r>
      <w:r>
        <w:rPr>
          <w:rFonts w:hint="eastAsia" w:asciiTheme="minorEastAsia" w:hAnsiTheme="minorEastAsia" w:eastAsiaTheme="minorEastAsia" w:cstheme="minorEastAsia"/>
          <w:color w:val="auto"/>
          <w:szCs w:val="21"/>
          <w:highlight w:val="none"/>
        </w:rPr>
        <w:t>重庆市电子招投标系统</w:t>
      </w:r>
      <w:r>
        <w:rPr>
          <w:rFonts w:hint="eastAsia" w:asciiTheme="minorEastAsia" w:hAnsiTheme="minorEastAsia" w:eastAsiaTheme="minorEastAsia" w:cstheme="minorEastAsia"/>
          <w:snapToGrid w:val="0"/>
          <w:color w:val="auto"/>
          <w:kern w:val="0"/>
          <w:szCs w:val="21"/>
          <w:highlight w:val="none"/>
        </w:rPr>
        <w:t>向投标人出具签收凭证。</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4.2.5  逾期送达的或者未送达指定地点的投标文件，招标人不予受理。</w:t>
      </w:r>
    </w:p>
    <w:p>
      <w:pPr>
        <w:pStyle w:val="5"/>
        <w:keepNext w:val="0"/>
        <w:keepLines w:val="0"/>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445" w:name="_Toc200513156"/>
      <w:bookmarkStart w:id="446" w:name="_Toc509218740"/>
      <w:bookmarkStart w:id="447" w:name="_Toc25244"/>
      <w:bookmarkStart w:id="448" w:name="_Toc287620715"/>
      <w:bookmarkStart w:id="449" w:name="_Toc287607776"/>
      <w:bookmarkStart w:id="450" w:name="_Toc277082582"/>
      <w:bookmarkStart w:id="451" w:name="_Toc430530465"/>
      <w:bookmarkStart w:id="452" w:name="_Toc224103347"/>
      <w:r>
        <w:rPr>
          <w:rFonts w:hint="eastAsia" w:asciiTheme="minorEastAsia" w:hAnsiTheme="minorEastAsia" w:eastAsiaTheme="minorEastAsia" w:cstheme="minorEastAsia"/>
          <w:bCs w:val="0"/>
          <w:snapToGrid w:val="0"/>
          <w:color w:val="auto"/>
          <w:sz w:val="24"/>
          <w:szCs w:val="24"/>
          <w:highlight w:val="none"/>
        </w:rPr>
        <w:t>4.3  投标文件的修改与撤回</w:t>
      </w:r>
      <w:bookmarkEnd w:id="445"/>
      <w:bookmarkEnd w:id="446"/>
      <w:bookmarkEnd w:id="447"/>
      <w:bookmarkEnd w:id="448"/>
      <w:bookmarkEnd w:id="449"/>
      <w:bookmarkEnd w:id="450"/>
      <w:bookmarkEnd w:id="451"/>
      <w:bookmarkEnd w:id="45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4.3.1  在投标人须知前附表第2.2.2项规定的投标截止时间前，投标人可以修改或撤回已递交的投标文件。</w:t>
      </w:r>
      <w:r>
        <w:rPr>
          <w:rFonts w:hint="eastAsia" w:asciiTheme="minorEastAsia" w:hAnsiTheme="minorEastAsia" w:eastAsiaTheme="minorEastAsia" w:cstheme="minorEastAsia"/>
          <w:color w:val="auto"/>
          <w:szCs w:val="21"/>
          <w:highlight w:val="none"/>
        </w:rPr>
        <w:t>投标人修改投标文件的，应按照本章第 3.7.3 项的要求重新对投标文件进行电子签章，再按照本章第 4.2 款的要求提交。</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pPr>
        <w:pStyle w:val="4"/>
        <w:keepNext w:val="0"/>
        <w:keepLines w:val="0"/>
        <w:pageBreakBefore w:val="0"/>
        <w:kinsoku/>
        <w:wordWrap/>
        <w:overflowPunct/>
        <w:topLinePunct w:val="0"/>
        <w:bidi w:val="0"/>
        <w:spacing w:before="0" w:after="0" w:line="360" w:lineRule="auto"/>
        <w:textAlignment w:val="auto"/>
        <w:rPr>
          <w:rFonts w:hint="eastAsia" w:asciiTheme="minorEastAsia" w:hAnsiTheme="minorEastAsia" w:eastAsiaTheme="minorEastAsia" w:cstheme="minorEastAsia"/>
          <w:bCs w:val="0"/>
          <w:snapToGrid w:val="0"/>
          <w:color w:val="auto"/>
          <w:highlight w:val="none"/>
        </w:rPr>
      </w:pPr>
      <w:bookmarkStart w:id="453" w:name="_Toc277082583"/>
      <w:bookmarkStart w:id="454" w:name="_Toc224103348"/>
      <w:bookmarkStart w:id="455" w:name="_Toc1751"/>
      <w:bookmarkStart w:id="456" w:name="_Toc287620716"/>
      <w:bookmarkStart w:id="457" w:name="_Toc200513157"/>
      <w:bookmarkStart w:id="458" w:name="_Toc508"/>
      <w:bookmarkStart w:id="459" w:name="_Toc12894"/>
      <w:bookmarkStart w:id="460" w:name="_Toc430530466"/>
      <w:bookmarkStart w:id="461" w:name="_Toc287607777"/>
      <w:bookmarkStart w:id="462" w:name="_Toc509218741"/>
      <w:bookmarkStart w:id="463" w:name="_Toc10192"/>
      <w:r>
        <w:rPr>
          <w:rFonts w:hint="eastAsia" w:asciiTheme="minorEastAsia" w:hAnsiTheme="minorEastAsia" w:eastAsiaTheme="minorEastAsia" w:cstheme="minorEastAsia"/>
          <w:bCs w:val="0"/>
          <w:snapToGrid w:val="0"/>
          <w:color w:val="auto"/>
          <w:highlight w:val="none"/>
        </w:rPr>
        <w:t>5.  开标</w:t>
      </w:r>
      <w:bookmarkEnd w:id="453"/>
      <w:bookmarkEnd w:id="454"/>
      <w:bookmarkEnd w:id="455"/>
      <w:bookmarkEnd w:id="456"/>
      <w:bookmarkEnd w:id="457"/>
      <w:bookmarkEnd w:id="458"/>
      <w:bookmarkEnd w:id="459"/>
      <w:bookmarkEnd w:id="460"/>
      <w:bookmarkEnd w:id="461"/>
      <w:bookmarkEnd w:id="462"/>
      <w:bookmarkEnd w:id="463"/>
    </w:p>
    <w:p>
      <w:pPr>
        <w:pStyle w:val="5"/>
        <w:keepNext w:val="0"/>
        <w:keepLines w:val="0"/>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464" w:name="_Toc200513158"/>
      <w:bookmarkStart w:id="465" w:name="_Toc509218742"/>
      <w:bookmarkStart w:id="466" w:name="_Toc224103349"/>
      <w:bookmarkStart w:id="467" w:name="_Toc14477"/>
      <w:bookmarkStart w:id="468" w:name="_Toc277082584"/>
      <w:bookmarkStart w:id="469" w:name="_Toc287620717"/>
      <w:bookmarkStart w:id="470" w:name="_Toc430530467"/>
      <w:bookmarkStart w:id="471" w:name="_Toc287607778"/>
      <w:r>
        <w:rPr>
          <w:rFonts w:hint="eastAsia" w:asciiTheme="minorEastAsia" w:hAnsiTheme="minorEastAsia" w:eastAsiaTheme="minorEastAsia" w:cstheme="minorEastAsia"/>
          <w:bCs w:val="0"/>
          <w:snapToGrid w:val="0"/>
          <w:color w:val="auto"/>
          <w:sz w:val="24"/>
          <w:szCs w:val="24"/>
          <w:highlight w:val="none"/>
        </w:rPr>
        <w:t>5.1  开标时间和地点</w:t>
      </w:r>
      <w:bookmarkEnd w:id="464"/>
      <w:bookmarkEnd w:id="465"/>
      <w:bookmarkEnd w:id="466"/>
      <w:bookmarkEnd w:id="467"/>
      <w:bookmarkEnd w:id="468"/>
      <w:bookmarkEnd w:id="469"/>
      <w:bookmarkEnd w:id="470"/>
      <w:bookmarkEnd w:id="471"/>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5.1.1  招标人在投标人须知前附表第 2.2.2 项规定的投标截止时间（开标时间）和投标人须知前附表规定的地点公开开标，并邀请所有投标人的法定代表人或其委托代理人准时参加。</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5.1.2  投标人在投标人须知前附表第 5.1.2 项规定的解密时间内在线或到开标现场完成投标文件解密工作。</w:t>
      </w:r>
    </w:p>
    <w:p>
      <w:pPr>
        <w:pStyle w:val="5"/>
        <w:keepNext w:val="0"/>
        <w:keepLines w:val="0"/>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472" w:name="_Toc430530468"/>
      <w:bookmarkStart w:id="473" w:name="_Toc224103350"/>
      <w:bookmarkStart w:id="474" w:name="_Toc287620718"/>
      <w:bookmarkStart w:id="475" w:name="_Toc287607779"/>
      <w:bookmarkStart w:id="476" w:name="_Toc200513159"/>
      <w:bookmarkStart w:id="477" w:name="_Toc20469"/>
      <w:bookmarkStart w:id="478" w:name="_Toc509218743"/>
      <w:bookmarkStart w:id="479" w:name="_Toc277082585"/>
      <w:r>
        <w:rPr>
          <w:rFonts w:hint="eastAsia" w:asciiTheme="minorEastAsia" w:hAnsiTheme="minorEastAsia" w:eastAsiaTheme="minorEastAsia" w:cstheme="minorEastAsia"/>
          <w:bCs w:val="0"/>
          <w:snapToGrid w:val="0"/>
          <w:color w:val="auto"/>
          <w:sz w:val="24"/>
          <w:szCs w:val="24"/>
          <w:highlight w:val="none"/>
        </w:rPr>
        <w:t>5.2  开标程序</w:t>
      </w:r>
      <w:bookmarkEnd w:id="472"/>
      <w:bookmarkEnd w:id="473"/>
      <w:bookmarkEnd w:id="474"/>
      <w:bookmarkEnd w:id="475"/>
      <w:bookmarkEnd w:id="476"/>
      <w:bookmarkEnd w:id="477"/>
      <w:bookmarkEnd w:id="478"/>
      <w:bookmarkEnd w:id="47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szCs w:val="21"/>
          <w:highlight w:val="none"/>
        </w:rPr>
      </w:pPr>
      <w:bookmarkStart w:id="480" w:name="_Toc224103351"/>
      <w:bookmarkStart w:id="481" w:name="_Toc277082586"/>
      <w:bookmarkStart w:id="482" w:name="_Toc200513160"/>
      <w:bookmarkStart w:id="483" w:name="_Toc287620719"/>
      <w:bookmarkStart w:id="484" w:name="_Toc287607780"/>
      <w:r>
        <w:rPr>
          <w:rFonts w:hint="eastAsia" w:asciiTheme="minorEastAsia" w:hAnsiTheme="minorEastAsia" w:eastAsiaTheme="minorEastAsia" w:cstheme="minorEastAsia"/>
          <w:color w:val="auto"/>
          <w:szCs w:val="21"/>
          <w:highlight w:val="none"/>
        </w:rPr>
        <w:t>详见投标人须知前附表第5.2款开标程序。</w:t>
      </w:r>
    </w:p>
    <w:p>
      <w:pPr>
        <w:pStyle w:val="5"/>
        <w:keepNext w:val="0"/>
        <w:keepLines w:val="0"/>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485" w:name="_Toc11471"/>
      <w:r>
        <w:rPr>
          <w:rFonts w:hint="eastAsia" w:asciiTheme="minorEastAsia" w:hAnsiTheme="minorEastAsia" w:eastAsiaTheme="minorEastAsia" w:cstheme="minorEastAsia"/>
          <w:bCs w:val="0"/>
          <w:snapToGrid w:val="0"/>
          <w:color w:val="auto"/>
          <w:sz w:val="24"/>
          <w:szCs w:val="24"/>
          <w:highlight w:val="none"/>
        </w:rPr>
        <w:t>5.</w:t>
      </w:r>
      <w:r>
        <w:rPr>
          <w:rFonts w:hint="eastAsia" w:ascii="宋体" w:hAnsi="宋体"/>
          <w:bCs w:val="0"/>
          <w:snapToGrid w:val="0"/>
          <w:sz w:val="24"/>
          <w:szCs w:val="24"/>
        </w:rPr>
        <w:t>3</w:t>
      </w:r>
      <w:r>
        <w:rPr>
          <w:rFonts w:ascii="宋体" w:hAnsi="宋体"/>
          <w:bCs w:val="0"/>
          <w:snapToGrid w:val="0"/>
          <w:sz w:val="24"/>
          <w:szCs w:val="24"/>
        </w:rPr>
        <w:t xml:space="preserve">  </w:t>
      </w:r>
      <w:r>
        <w:rPr>
          <w:rFonts w:hint="eastAsia" w:asciiTheme="minorEastAsia" w:hAnsiTheme="minorEastAsia" w:eastAsiaTheme="minorEastAsia" w:cstheme="minorEastAsia"/>
          <w:bCs w:val="0"/>
          <w:snapToGrid w:val="0"/>
          <w:color w:val="auto"/>
          <w:sz w:val="24"/>
          <w:szCs w:val="24"/>
          <w:highlight w:val="none"/>
        </w:rPr>
        <w:t>开标异议</w:t>
      </w:r>
      <w:bookmarkEnd w:id="48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人对开标有异议的，应在开标现场或在线（不见面开标适用）提出，开标现场提出异议的，应出示法定代表人身份证明或附有法定代表人身份证明的授权委托书。招标人当场作出答复，并制作记录，有异议的投标人代表、招标人代表、主持人、记录人等有关人员在记录上签名确认。</w:t>
      </w:r>
    </w:p>
    <w:p>
      <w:pPr>
        <w:pStyle w:val="4"/>
        <w:keepNext w:val="0"/>
        <w:keepLines w:val="0"/>
        <w:pageBreakBefore w:val="0"/>
        <w:kinsoku/>
        <w:wordWrap/>
        <w:overflowPunct/>
        <w:topLinePunct w:val="0"/>
        <w:bidi w:val="0"/>
        <w:spacing w:before="0" w:after="0" w:line="360" w:lineRule="auto"/>
        <w:textAlignment w:val="auto"/>
        <w:rPr>
          <w:rFonts w:hint="eastAsia" w:asciiTheme="minorEastAsia" w:hAnsiTheme="minorEastAsia" w:eastAsiaTheme="minorEastAsia" w:cstheme="minorEastAsia"/>
          <w:bCs w:val="0"/>
          <w:snapToGrid w:val="0"/>
          <w:color w:val="auto"/>
          <w:highlight w:val="none"/>
        </w:rPr>
      </w:pPr>
      <w:bookmarkStart w:id="486" w:name="_Toc430530469"/>
      <w:bookmarkStart w:id="487" w:name="_Toc27963"/>
      <w:bookmarkStart w:id="488" w:name="_Toc2584"/>
      <w:bookmarkStart w:id="489" w:name="_Toc11667"/>
      <w:bookmarkStart w:id="490" w:name="_Toc509218744"/>
      <w:bookmarkStart w:id="491" w:name="_Toc22485"/>
      <w:r>
        <w:rPr>
          <w:rFonts w:hint="eastAsia" w:asciiTheme="minorEastAsia" w:hAnsiTheme="minorEastAsia" w:eastAsiaTheme="minorEastAsia" w:cstheme="minorEastAsia"/>
          <w:bCs w:val="0"/>
          <w:snapToGrid w:val="0"/>
          <w:color w:val="auto"/>
          <w:highlight w:val="none"/>
        </w:rPr>
        <w:t>6.  评标</w:t>
      </w:r>
      <w:bookmarkEnd w:id="480"/>
      <w:bookmarkEnd w:id="481"/>
      <w:bookmarkEnd w:id="482"/>
      <w:bookmarkEnd w:id="483"/>
      <w:bookmarkEnd w:id="484"/>
      <w:bookmarkEnd w:id="486"/>
      <w:bookmarkEnd w:id="487"/>
      <w:bookmarkEnd w:id="488"/>
      <w:bookmarkEnd w:id="489"/>
      <w:bookmarkEnd w:id="490"/>
      <w:bookmarkEnd w:id="491"/>
    </w:p>
    <w:p>
      <w:pPr>
        <w:pStyle w:val="5"/>
        <w:keepNext w:val="0"/>
        <w:keepLines w:val="0"/>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492" w:name="_Toc9853"/>
      <w:bookmarkStart w:id="493" w:name="_Toc430530470"/>
      <w:bookmarkStart w:id="494" w:name="_Toc224103352"/>
      <w:bookmarkStart w:id="495" w:name="_Toc200513161"/>
      <w:bookmarkStart w:id="496" w:name="_Toc287620720"/>
      <w:bookmarkStart w:id="497" w:name="_Toc509218745"/>
      <w:bookmarkStart w:id="498" w:name="_Toc287607781"/>
      <w:bookmarkStart w:id="499" w:name="_Toc277082587"/>
      <w:r>
        <w:rPr>
          <w:rFonts w:hint="eastAsia" w:asciiTheme="minorEastAsia" w:hAnsiTheme="minorEastAsia" w:eastAsiaTheme="minorEastAsia" w:cstheme="minorEastAsia"/>
          <w:bCs w:val="0"/>
          <w:snapToGrid w:val="0"/>
          <w:color w:val="auto"/>
          <w:sz w:val="24"/>
          <w:szCs w:val="24"/>
          <w:highlight w:val="none"/>
        </w:rPr>
        <w:t>6.1  评标委员会</w:t>
      </w:r>
      <w:bookmarkEnd w:id="492"/>
      <w:bookmarkEnd w:id="493"/>
      <w:bookmarkEnd w:id="494"/>
      <w:bookmarkEnd w:id="495"/>
      <w:bookmarkEnd w:id="496"/>
      <w:bookmarkEnd w:id="497"/>
      <w:bookmarkEnd w:id="498"/>
      <w:bookmarkEnd w:id="499"/>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b/>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6.1.1  评标由招标人依据法律法规和相关规范性文件组建的评标委员会负责。</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6.1.2  评标委员会成员有下列情形之一的，应当回避：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（1）投标人或投标人的主要负责人的近亲属；</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（2）项目主管部门或者项目行政监督部门的人员；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（3）与投标人有利害关系，可能影响对投标公正评审的；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（4）曾因在招标、评标以及其他与招标投标有关活动中从事违法行为而受过行政处罚或刑事处罚的；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（5）法律法规规定的其他情形。</w:t>
      </w:r>
    </w:p>
    <w:p>
      <w:pPr>
        <w:pStyle w:val="98"/>
        <w:pageBreakBefore w:val="0"/>
        <w:kinsoku/>
        <w:wordWrap/>
        <w:overflowPunct/>
        <w:topLinePunct w:val="0"/>
        <w:bidi w:val="0"/>
        <w:spacing w:before="0" w:after="0" w:line="36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500" w:name="_Toc200513162"/>
      <w:bookmarkStart w:id="501" w:name="_Toc287607782"/>
      <w:bookmarkStart w:id="502" w:name="_Toc277082588"/>
      <w:bookmarkStart w:id="503" w:name="_Toc19673"/>
      <w:bookmarkStart w:id="504" w:name="_Toc430530471"/>
      <w:bookmarkStart w:id="505" w:name="_Toc287620721"/>
      <w:bookmarkStart w:id="506" w:name="_Toc224103353"/>
      <w:bookmarkStart w:id="507" w:name="_Toc509218746"/>
      <w:r>
        <w:rPr>
          <w:rFonts w:hint="eastAsia" w:asciiTheme="minorEastAsia" w:hAnsiTheme="minorEastAsia" w:eastAsiaTheme="minorEastAsia" w:cstheme="minorEastAsia"/>
          <w:bCs w:val="0"/>
          <w:snapToGrid w:val="0"/>
          <w:color w:val="auto"/>
          <w:sz w:val="24"/>
          <w:szCs w:val="24"/>
          <w:highlight w:val="none"/>
        </w:rPr>
        <w:t>6.2  评标原则</w:t>
      </w:r>
      <w:bookmarkEnd w:id="500"/>
      <w:bookmarkEnd w:id="501"/>
      <w:bookmarkEnd w:id="502"/>
      <w:bookmarkEnd w:id="503"/>
      <w:bookmarkEnd w:id="504"/>
      <w:bookmarkEnd w:id="505"/>
      <w:bookmarkEnd w:id="506"/>
      <w:bookmarkEnd w:id="50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评标活动遵循公平、公正、科学和择优的原则。</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508" w:name="_Toc287620722"/>
      <w:bookmarkStart w:id="509" w:name="_Toc287607783"/>
      <w:bookmarkStart w:id="510" w:name="_Toc277082589"/>
      <w:bookmarkStart w:id="511" w:name="_Toc24141"/>
      <w:bookmarkStart w:id="512" w:name="_Toc509218747"/>
      <w:bookmarkStart w:id="513" w:name="_Toc430530472"/>
      <w:bookmarkStart w:id="514" w:name="_Toc224103354"/>
      <w:bookmarkStart w:id="515" w:name="_Toc200513163"/>
      <w:r>
        <w:rPr>
          <w:rFonts w:hint="eastAsia" w:asciiTheme="minorEastAsia" w:hAnsiTheme="minorEastAsia" w:eastAsiaTheme="minorEastAsia" w:cstheme="minorEastAsia"/>
          <w:bCs w:val="0"/>
          <w:snapToGrid w:val="0"/>
          <w:color w:val="auto"/>
          <w:sz w:val="24"/>
          <w:szCs w:val="24"/>
          <w:highlight w:val="none"/>
        </w:rPr>
        <w:t>6.3  评标</w:t>
      </w:r>
      <w:bookmarkEnd w:id="508"/>
      <w:bookmarkEnd w:id="509"/>
      <w:bookmarkEnd w:id="510"/>
      <w:bookmarkEnd w:id="511"/>
      <w:bookmarkEnd w:id="512"/>
      <w:bookmarkEnd w:id="513"/>
      <w:bookmarkEnd w:id="514"/>
      <w:bookmarkEnd w:id="515"/>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lang w:val="en-US" w:eastAsia="zh-CN"/>
        </w:rPr>
        <w:t>6.3.1</w:t>
      </w:r>
      <w:r>
        <w:rPr>
          <w:rFonts w:hint="eastAsia" w:asciiTheme="minorEastAsia" w:hAnsiTheme="minorEastAsia" w:eastAsiaTheme="minorEastAsia" w:cstheme="minorEastAsia"/>
          <w:snapToGrid w:val="0"/>
          <w:color w:val="auto"/>
          <w:kern w:val="0"/>
          <w:szCs w:val="21"/>
          <w:highlight w:val="none"/>
        </w:rPr>
        <w:t>评标委员会按照第三章“评标办法”规定的方法、评审因素、标准和程序对投标文件进行评审。第三章“评标办法”没有规定的方法、评审因素和标准，不得作为评标依据。</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6.3.2评标完成后，评标委员会应当向招标人提交书面评标报告和中标候选人名单。评标委员会推荐中标</w:t>
      </w:r>
      <w:bookmarkStart w:id="516" w:name="_Toc12259"/>
      <w:bookmarkStart w:id="517" w:name="_Toc247513982"/>
      <w:bookmarkStart w:id="518" w:name="_Toc300834979"/>
      <w:bookmarkStart w:id="519" w:name="_Toc361508615"/>
      <w:bookmarkStart w:id="520" w:name="_Toc152042334"/>
      <w:bookmarkStart w:id="521" w:name="_Toc352691502"/>
      <w:bookmarkStart w:id="522" w:name="_Toc144974526"/>
      <w:bookmarkStart w:id="523" w:name="_Toc247527583"/>
      <w:bookmarkStart w:id="524" w:name="_Toc152045558"/>
      <w:bookmarkStart w:id="525" w:name="_Toc384308240"/>
      <w:bookmarkStart w:id="526" w:name="_Toc369531546"/>
      <w:r>
        <w:rPr>
          <w:rFonts w:hint="eastAsia" w:asciiTheme="minorEastAsia" w:hAnsiTheme="minorEastAsia" w:eastAsiaTheme="minorEastAsia" w:cstheme="minorEastAsia"/>
          <w:color w:val="auto"/>
          <w:highlight w:val="none"/>
        </w:rPr>
        <w:t>候选人的人数见投标人须知前附</w:t>
      </w:r>
      <w:bookmarkEnd w:id="516"/>
      <w:bookmarkEnd w:id="517"/>
      <w:bookmarkEnd w:id="518"/>
      <w:bookmarkEnd w:id="519"/>
      <w:bookmarkEnd w:id="520"/>
      <w:bookmarkEnd w:id="521"/>
      <w:bookmarkEnd w:id="522"/>
      <w:bookmarkEnd w:id="523"/>
      <w:bookmarkEnd w:id="524"/>
      <w:bookmarkEnd w:id="525"/>
      <w:bookmarkEnd w:id="526"/>
      <w:r>
        <w:rPr>
          <w:rFonts w:hint="eastAsia" w:asciiTheme="minorEastAsia" w:hAnsiTheme="minorEastAsia" w:eastAsiaTheme="minorEastAsia" w:cstheme="minorEastAsia"/>
          <w:color w:val="auto"/>
          <w:highlight w:val="none"/>
        </w:rPr>
        <w:t>表。</w:t>
      </w:r>
    </w:p>
    <w:p>
      <w:pPr>
        <w:pStyle w:val="4"/>
        <w:pageBreakBefore w:val="0"/>
        <w:kinsoku/>
        <w:wordWrap/>
        <w:overflowPunct/>
        <w:topLinePunct w:val="0"/>
        <w:bidi w:val="0"/>
        <w:spacing w:before="0" w:after="0" w:line="360" w:lineRule="auto"/>
        <w:textAlignment w:val="auto"/>
        <w:rPr>
          <w:rFonts w:hint="eastAsia" w:asciiTheme="minorEastAsia" w:hAnsiTheme="minorEastAsia" w:eastAsiaTheme="minorEastAsia" w:cstheme="minorEastAsia"/>
          <w:bCs w:val="0"/>
          <w:snapToGrid w:val="0"/>
          <w:color w:val="auto"/>
          <w:highlight w:val="none"/>
        </w:rPr>
      </w:pPr>
      <w:bookmarkStart w:id="527" w:name="_Toc224103355"/>
      <w:bookmarkStart w:id="528" w:name="_Toc287620723"/>
      <w:bookmarkStart w:id="529" w:name="_Toc509218748"/>
      <w:bookmarkStart w:id="530" w:name="_Toc28715"/>
      <w:bookmarkStart w:id="531" w:name="_Toc287607784"/>
      <w:bookmarkStart w:id="532" w:name="_Toc27523"/>
      <w:bookmarkStart w:id="533" w:name="_Toc430530473"/>
      <w:bookmarkStart w:id="534" w:name="_Toc200513164"/>
      <w:bookmarkStart w:id="535" w:name="_Toc18201"/>
      <w:bookmarkStart w:id="536" w:name="_Toc26125"/>
      <w:bookmarkStart w:id="537" w:name="_Toc277082590"/>
      <w:r>
        <w:rPr>
          <w:rFonts w:hint="eastAsia" w:asciiTheme="minorEastAsia" w:hAnsiTheme="minorEastAsia" w:eastAsiaTheme="minorEastAsia" w:cstheme="minorEastAsia"/>
          <w:bCs w:val="0"/>
          <w:snapToGrid w:val="0"/>
          <w:color w:val="auto"/>
          <w:highlight w:val="none"/>
        </w:rPr>
        <w:t>7.  合同授予</w:t>
      </w:r>
      <w:bookmarkEnd w:id="527"/>
      <w:bookmarkEnd w:id="528"/>
      <w:bookmarkEnd w:id="529"/>
      <w:bookmarkEnd w:id="530"/>
      <w:bookmarkEnd w:id="531"/>
      <w:bookmarkEnd w:id="532"/>
      <w:bookmarkEnd w:id="533"/>
      <w:bookmarkEnd w:id="534"/>
      <w:bookmarkEnd w:id="535"/>
      <w:bookmarkEnd w:id="536"/>
      <w:bookmarkEnd w:id="537"/>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538" w:name="_Toc277082591"/>
      <w:bookmarkStart w:id="539" w:name="_Toc20893"/>
      <w:bookmarkStart w:id="540" w:name="_Toc287607785"/>
      <w:bookmarkStart w:id="541" w:name="_Toc224103356"/>
      <w:bookmarkStart w:id="542" w:name="_Toc430530474"/>
      <w:bookmarkStart w:id="543" w:name="_Toc509218749"/>
      <w:bookmarkStart w:id="544" w:name="_Toc287620724"/>
      <w:bookmarkStart w:id="545" w:name="_Toc200513165"/>
      <w:r>
        <w:rPr>
          <w:rFonts w:hint="eastAsia" w:asciiTheme="minorEastAsia" w:hAnsiTheme="minorEastAsia" w:eastAsiaTheme="minorEastAsia" w:cstheme="minorEastAsia"/>
          <w:bCs w:val="0"/>
          <w:snapToGrid w:val="0"/>
          <w:color w:val="auto"/>
          <w:sz w:val="24"/>
          <w:szCs w:val="24"/>
          <w:highlight w:val="none"/>
        </w:rPr>
        <w:t>7.1  定标方式</w:t>
      </w:r>
      <w:bookmarkEnd w:id="538"/>
      <w:bookmarkEnd w:id="539"/>
      <w:bookmarkEnd w:id="540"/>
      <w:bookmarkEnd w:id="541"/>
      <w:bookmarkEnd w:id="542"/>
      <w:bookmarkEnd w:id="543"/>
      <w:bookmarkEnd w:id="544"/>
      <w:bookmarkEnd w:id="545"/>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ageBreakBefore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snapToGrid w:val="0"/>
          <w:color w:val="auto"/>
          <w:kern w:val="0"/>
          <w:szCs w:val="21"/>
          <w:highlight w:val="none"/>
        </w:rPr>
        <w:t>评标委员会推荐中标候选人的人数：见投标人须知前附表。</w:t>
      </w:r>
    </w:p>
    <w:p>
      <w:pPr>
        <w:pStyle w:val="5"/>
        <w:pageBreakBefore w:val="0"/>
        <w:kinsoku/>
        <w:wordWrap/>
        <w:overflowPunct/>
        <w:topLinePunct w:val="0"/>
        <w:bidi w:val="0"/>
        <w:snapToGrid w:val="0"/>
        <w:spacing w:before="0" w:after="0" w:line="360" w:lineRule="auto"/>
        <w:textAlignment w:val="auto"/>
        <w:outlineLvl w:val="9"/>
        <w:rPr>
          <w:rFonts w:hint="eastAsia" w:asciiTheme="minorEastAsia" w:hAnsiTheme="minorEastAsia" w:eastAsiaTheme="minorEastAsia" w:cstheme="minorEastAsia"/>
          <w:bCs w:val="0"/>
          <w:snapToGrid w:val="0"/>
          <w:color w:val="auto"/>
          <w:sz w:val="24"/>
          <w:szCs w:val="24"/>
          <w:highlight w:val="none"/>
        </w:rPr>
      </w:pPr>
      <w:bookmarkStart w:id="546" w:name="_Toc16079"/>
      <w:bookmarkStart w:id="547" w:name="_Toc509218750"/>
      <w:bookmarkStart w:id="548" w:name="_Toc430530475"/>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r>
        <w:rPr>
          <w:rFonts w:hint="eastAsia" w:asciiTheme="minorEastAsia" w:hAnsiTheme="minorEastAsia" w:eastAsiaTheme="minorEastAsia" w:cstheme="minorEastAsia"/>
          <w:bCs w:val="0"/>
          <w:snapToGrid w:val="0"/>
          <w:color w:val="auto"/>
          <w:sz w:val="24"/>
          <w:szCs w:val="24"/>
          <w:highlight w:val="none"/>
        </w:rPr>
        <w:t>7.2  中标公示及中标通知</w:t>
      </w:r>
      <w:bookmarkEnd w:id="546"/>
      <w:bookmarkEnd w:id="547"/>
      <w:bookmarkEnd w:id="54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snapToGrid w:val="0"/>
          <w:color w:val="auto"/>
          <w:kern w:val="0"/>
          <w:szCs w:val="21"/>
          <w:highlight w:val="none"/>
        </w:rPr>
        <w:t>招标人在收到评标报告之日起3日内公示中标候选人，公示期不得少于3日</w:t>
      </w:r>
      <w:r>
        <w:rPr>
          <w:rFonts w:hint="eastAsia" w:asciiTheme="minorEastAsia" w:hAnsiTheme="minorEastAsia" w:eastAsiaTheme="minorEastAsia" w:cstheme="minorEastAsia"/>
          <w:color w:val="auto"/>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在本章第 3.3 款规定的投标有效期内，且未有投标人的异议与投诉，招标人以书面形式向中标人发出中标通知书。</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549" w:name="_Toc200513167"/>
      <w:bookmarkStart w:id="550" w:name="_Toc277082593"/>
      <w:bookmarkStart w:id="551" w:name="_Toc32422"/>
      <w:bookmarkStart w:id="552" w:name="_Toc224103358"/>
      <w:bookmarkStart w:id="553" w:name="_Toc287607787"/>
      <w:bookmarkStart w:id="554" w:name="_Toc509218751"/>
      <w:bookmarkStart w:id="555" w:name="_Toc287620726"/>
      <w:bookmarkStart w:id="556" w:name="_Toc430530476"/>
      <w:r>
        <w:rPr>
          <w:rFonts w:hint="eastAsia" w:asciiTheme="minorEastAsia" w:hAnsiTheme="minorEastAsia" w:eastAsiaTheme="minorEastAsia" w:cstheme="minorEastAsia"/>
          <w:bCs w:val="0"/>
          <w:snapToGrid w:val="0"/>
          <w:color w:val="auto"/>
          <w:sz w:val="24"/>
          <w:szCs w:val="24"/>
          <w:highlight w:val="none"/>
        </w:rPr>
        <w:t>7.3  履约担保</w:t>
      </w:r>
      <w:bookmarkEnd w:id="549"/>
      <w:bookmarkEnd w:id="550"/>
      <w:bookmarkEnd w:id="551"/>
      <w:bookmarkEnd w:id="552"/>
      <w:bookmarkEnd w:id="553"/>
      <w:bookmarkEnd w:id="554"/>
      <w:bookmarkEnd w:id="555"/>
      <w:bookmarkEnd w:id="55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7.3.1  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7.3.2  中标人不能按本章第 7.3.1 项要求提交履约担保的，视为放弃中标，</w:t>
      </w:r>
      <w:r>
        <w:rPr>
          <w:rFonts w:hint="eastAsia" w:asciiTheme="minorEastAsia" w:hAnsiTheme="minorEastAsia" w:eastAsiaTheme="minorEastAsia" w:cstheme="minorEastAsia"/>
          <w:snapToGrid w:val="0"/>
          <w:color w:val="auto"/>
          <w:kern w:val="0"/>
          <w:szCs w:val="21"/>
          <w:highlight w:val="none"/>
          <w:lang w:val="en-US" w:eastAsia="zh-CN"/>
        </w:rPr>
        <w:t>其</w:t>
      </w:r>
      <w:r>
        <w:rPr>
          <w:rFonts w:hint="eastAsia" w:asciiTheme="minorEastAsia" w:hAnsiTheme="minorEastAsia" w:eastAsiaTheme="minorEastAsia" w:cstheme="minorEastAsia"/>
          <w:color w:val="auto"/>
          <w:highlight w:val="none"/>
        </w:rPr>
        <w:t>投标保证金以现金形式交纳的不予退还</w:t>
      </w:r>
      <w:r>
        <w:rPr>
          <w:rFonts w:hint="eastAsia" w:asciiTheme="minorEastAsia" w:hAnsiTheme="minorEastAsia" w:eastAsiaTheme="minorEastAsia" w:cstheme="minorEastAsia"/>
          <w:snapToGrid w:val="0"/>
          <w:color w:val="auto"/>
          <w:kern w:val="0"/>
          <w:szCs w:val="21"/>
          <w:highlight w:val="none"/>
        </w:rPr>
        <w:t>，</w:t>
      </w:r>
      <w:r>
        <w:rPr>
          <w:rFonts w:hint="eastAsia" w:asciiTheme="minorEastAsia" w:hAnsiTheme="minorEastAsia" w:eastAsiaTheme="minorEastAsia" w:cstheme="minorEastAsia"/>
          <w:color w:val="auto"/>
          <w:szCs w:val="21"/>
          <w:highlight w:val="none"/>
          <w:u w:val="none"/>
        </w:rPr>
        <w:t>以保函形式交纳的由保函开立人支付保函担保的与投标保证金等额的款项，</w:t>
      </w:r>
      <w:r>
        <w:rPr>
          <w:rFonts w:hint="eastAsia" w:asciiTheme="minorEastAsia" w:hAnsiTheme="minorEastAsia" w:eastAsiaTheme="minorEastAsia" w:cstheme="minorEastAsia"/>
          <w:snapToGrid w:val="0"/>
          <w:color w:val="auto"/>
          <w:kern w:val="0"/>
          <w:szCs w:val="21"/>
          <w:highlight w:val="none"/>
        </w:rPr>
        <w:t>给招标人造成的损失超过投标保证金数额的，中标人还应当对超过部分予以赔偿。</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557" w:name="_Toc200513168"/>
      <w:bookmarkStart w:id="558" w:name="_Toc287607788"/>
      <w:bookmarkStart w:id="559" w:name="_Toc277082594"/>
      <w:bookmarkStart w:id="560" w:name="_Toc509218752"/>
      <w:bookmarkStart w:id="561" w:name="_Toc430530477"/>
      <w:bookmarkStart w:id="562" w:name="_Toc287620727"/>
      <w:bookmarkStart w:id="563" w:name="_Toc14090"/>
      <w:bookmarkStart w:id="564" w:name="_Toc224103359"/>
      <w:r>
        <w:rPr>
          <w:rFonts w:hint="eastAsia" w:asciiTheme="minorEastAsia" w:hAnsiTheme="minorEastAsia" w:eastAsiaTheme="minorEastAsia" w:cstheme="minorEastAsia"/>
          <w:bCs w:val="0"/>
          <w:snapToGrid w:val="0"/>
          <w:color w:val="auto"/>
          <w:sz w:val="24"/>
          <w:szCs w:val="24"/>
          <w:highlight w:val="none"/>
        </w:rPr>
        <w:t>7.4  签订合同</w:t>
      </w:r>
      <w:bookmarkEnd w:id="557"/>
      <w:bookmarkEnd w:id="558"/>
      <w:bookmarkEnd w:id="559"/>
      <w:bookmarkEnd w:id="560"/>
      <w:bookmarkEnd w:id="561"/>
      <w:bookmarkEnd w:id="562"/>
      <w:bookmarkEnd w:id="563"/>
      <w:bookmarkEnd w:id="564"/>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7.4.</w:t>
      </w:r>
      <w:r>
        <w:rPr>
          <w:rFonts w:ascii="宋体" w:hAnsi="宋体"/>
          <w:snapToGrid w:val="0"/>
          <w:kern w:val="0"/>
          <w:szCs w:val="21"/>
        </w:rPr>
        <w:t xml:space="preserve">1 </w:t>
      </w:r>
      <w:r>
        <w:rPr>
          <w:rFonts w:hint="eastAsia" w:ascii="宋体" w:hAnsi="宋体"/>
          <w:snapToGrid w:val="0"/>
          <w:kern w:val="0"/>
          <w:szCs w:val="21"/>
        </w:rPr>
        <w:t xml:space="preserve"> </w:t>
      </w:r>
      <w:r>
        <w:rPr>
          <w:rFonts w:hint="eastAsia" w:asciiTheme="minorEastAsia" w:hAnsiTheme="minorEastAsia" w:eastAsiaTheme="minorEastAsia" w:cstheme="minorEastAsia"/>
          <w:snapToGrid w:val="0"/>
          <w:color w:val="auto"/>
          <w:kern w:val="0"/>
          <w:szCs w:val="21"/>
          <w:highlight w:val="none"/>
        </w:rPr>
        <w:t>招标人和中标人应当自中标通知书发出之日起 30 天内，根据招标文件和中标人的投标文件订立书面合同。中标人放弃中标项目，无正当理由不与招标人签订合同，在签订合同时向招标人提出附加条件或者更改合同实质性内容，</w:t>
      </w:r>
      <w:r>
        <w:rPr>
          <w:rFonts w:hint="eastAsia" w:asciiTheme="minorEastAsia" w:hAnsiTheme="minorEastAsia" w:eastAsiaTheme="minorEastAsia" w:cstheme="minorEastAsia"/>
          <w:color w:val="auto"/>
          <w:szCs w:val="21"/>
          <w:highlight w:val="none"/>
        </w:rPr>
        <w:t>或不按照招标文件要求提交履约保证金的，</w:t>
      </w:r>
      <w:r>
        <w:rPr>
          <w:rFonts w:hint="eastAsia" w:asciiTheme="minorEastAsia" w:hAnsiTheme="minorEastAsia" w:eastAsiaTheme="minorEastAsia" w:cstheme="minorEastAsia"/>
          <w:snapToGrid w:val="0"/>
          <w:color w:val="auto"/>
          <w:kern w:val="0"/>
          <w:szCs w:val="21"/>
          <w:highlight w:val="none"/>
        </w:rPr>
        <w:t>招标人取消其中标资格，</w:t>
      </w:r>
      <w:r>
        <w:rPr>
          <w:rFonts w:hint="eastAsia" w:asciiTheme="minorEastAsia" w:hAnsiTheme="minorEastAsia" w:eastAsiaTheme="minorEastAsia" w:cstheme="minorEastAsia"/>
          <w:snapToGrid w:val="0"/>
          <w:color w:val="auto"/>
          <w:kern w:val="0"/>
          <w:szCs w:val="21"/>
          <w:highlight w:val="none"/>
          <w:lang w:val="en-US" w:eastAsia="zh-CN"/>
        </w:rPr>
        <w:t>其</w:t>
      </w:r>
      <w:r>
        <w:rPr>
          <w:rFonts w:hint="eastAsia" w:asciiTheme="minorEastAsia" w:hAnsiTheme="minorEastAsia" w:eastAsiaTheme="minorEastAsia" w:cstheme="minorEastAsia"/>
          <w:color w:val="auto"/>
          <w:highlight w:val="none"/>
        </w:rPr>
        <w:t>投标保证金以现金形式交纳的不予退还，</w:t>
      </w:r>
      <w:r>
        <w:rPr>
          <w:rFonts w:hint="eastAsia" w:asciiTheme="minorEastAsia" w:hAnsiTheme="minorEastAsia" w:eastAsiaTheme="minorEastAsia" w:cstheme="minorEastAsia"/>
          <w:color w:val="auto"/>
          <w:szCs w:val="21"/>
          <w:highlight w:val="none"/>
          <w:u w:val="none"/>
        </w:rPr>
        <w:t>以保函形式交纳的由保函开立人支付保函担保的与投标保证金等额的款项</w:t>
      </w:r>
      <w:r>
        <w:rPr>
          <w:rFonts w:hint="eastAsia" w:asciiTheme="minorEastAsia" w:hAnsiTheme="minorEastAsia" w:eastAsiaTheme="minorEastAsia" w:cstheme="minorEastAsia"/>
          <w:snapToGrid w:val="0"/>
          <w:color w:val="auto"/>
          <w:kern w:val="0"/>
          <w:szCs w:val="21"/>
          <w:highlight w:val="none"/>
          <w:u w:val="none"/>
        </w:rPr>
        <w:t>；</w:t>
      </w:r>
      <w:r>
        <w:rPr>
          <w:rFonts w:hint="eastAsia" w:asciiTheme="minorEastAsia" w:hAnsiTheme="minorEastAsia" w:eastAsiaTheme="minorEastAsia" w:cstheme="minorEastAsia"/>
          <w:snapToGrid w:val="0"/>
          <w:color w:val="auto"/>
          <w:kern w:val="0"/>
          <w:szCs w:val="21"/>
          <w:highlight w:val="none"/>
        </w:rPr>
        <w:t>给招标人造成的损失超过投标保证金数额的，中标人还应当对超过部分予以赔偿。</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7.4.2  发出中标通知书后，招标人无正当理由拒签合同的，招标人向中标人退还投标保证金；给中标人造成损失的，还应当赔偿损失。</w:t>
      </w:r>
    </w:p>
    <w:p>
      <w:pPr>
        <w:pStyle w:val="4"/>
        <w:pageBreakBefore w:val="0"/>
        <w:kinsoku/>
        <w:wordWrap/>
        <w:overflowPunct/>
        <w:topLinePunct w:val="0"/>
        <w:bidi w:val="0"/>
        <w:spacing w:before="0" w:after="0" w:line="360" w:lineRule="auto"/>
        <w:textAlignment w:val="auto"/>
        <w:rPr>
          <w:rFonts w:hint="eastAsia" w:asciiTheme="minorEastAsia" w:hAnsiTheme="minorEastAsia" w:eastAsiaTheme="minorEastAsia" w:cstheme="minorEastAsia"/>
          <w:bCs w:val="0"/>
          <w:snapToGrid w:val="0"/>
          <w:color w:val="auto"/>
          <w:highlight w:val="none"/>
        </w:rPr>
      </w:pPr>
      <w:bookmarkStart w:id="565" w:name="_Toc18879"/>
      <w:bookmarkStart w:id="566" w:name="_Toc200513169"/>
      <w:bookmarkStart w:id="567" w:name="_Toc15258"/>
      <w:bookmarkStart w:id="568" w:name="_Toc277082595"/>
      <w:bookmarkStart w:id="569" w:name="_Toc8554"/>
      <w:bookmarkStart w:id="570" w:name="_Toc509218753"/>
      <w:bookmarkStart w:id="571" w:name="_Toc287607789"/>
      <w:bookmarkStart w:id="572" w:name="_Toc224103360"/>
      <w:bookmarkStart w:id="573" w:name="_Toc287620728"/>
      <w:bookmarkStart w:id="574" w:name="_Toc430530478"/>
      <w:bookmarkStart w:id="575" w:name="_Toc8007"/>
      <w:r>
        <w:rPr>
          <w:rFonts w:hint="eastAsia" w:asciiTheme="minorEastAsia" w:hAnsiTheme="minorEastAsia" w:eastAsiaTheme="minorEastAsia" w:cstheme="minorEastAsia"/>
          <w:bCs w:val="0"/>
          <w:snapToGrid w:val="0"/>
          <w:color w:val="auto"/>
          <w:highlight w:val="none"/>
        </w:rPr>
        <w:t>8.  重新招标和不再招标</w:t>
      </w:r>
      <w:bookmarkEnd w:id="565"/>
      <w:bookmarkEnd w:id="566"/>
      <w:bookmarkEnd w:id="567"/>
      <w:bookmarkEnd w:id="568"/>
      <w:bookmarkEnd w:id="569"/>
      <w:bookmarkEnd w:id="570"/>
      <w:bookmarkEnd w:id="571"/>
      <w:bookmarkEnd w:id="572"/>
      <w:bookmarkEnd w:id="573"/>
      <w:bookmarkEnd w:id="574"/>
      <w:bookmarkEnd w:id="575"/>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576" w:name="_Toc430530479"/>
      <w:bookmarkStart w:id="577" w:name="_Toc287620729"/>
      <w:bookmarkStart w:id="578" w:name="_Toc224103361"/>
      <w:bookmarkStart w:id="579" w:name="_Toc277082596"/>
      <w:bookmarkStart w:id="580" w:name="_Toc200513170"/>
      <w:bookmarkStart w:id="581" w:name="_Toc509218754"/>
      <w:bookmarkStart w:id="582" w:name="_Toc287607790"/>
      <w:bookmarkStart w:id="583" w:name="_Toc9317"/>
      <w:r>
        <w:rPr>
          <w:rFonts w:hint="eastAsia" w:asciiTheme="minorEastAsia" w:hAnsiTheme="minorEastAsia" w:eastAsiaTheme="minorEastAsia" w:cstheme="minorEastAsia"/>
          <w:bCs w:val="0"/>
          <w:snapToGrid w:val="0"/>
          <w:color w:val="auto"/>
          <w:sz w:val="24"/>
          <w:szCs w:val="24"/>
          <w:highlight w:val="none"/>
        </w:rPr>
        <w:t>8.1  重新招标</w:t>
      </w:r>
      <w:bookmarkEnd w:id="576"/>
      <w:bookmarkEnd w:id="577"/>
      <w:bookmarkEnd w:id="578"/>
      <w:bookmarkEnd w:id="579"/>
      <w:bookmarkEnd w:id="580"/>
      <w:bookmarkEnd w:id="581"/>
      <w:bookmarkEnd w:id="582"/>
      <w:r>
        <w:rPr>
          <w:rFonts w:hint="eastAsia" w:asciiTheme="minorEastAsia" w:hAnsiTheme="minorEastAsia" w:eastAsiaTheme="minorEastAsia" w:cstheme="minorEastAsia"/>
          <w:bCs w:val="0"/>
          <w:snapToGrid w:val="0"/>
          <w:color w:val="auto"/>
          <w:sz w:val="24"/>
          <w:szCs w:val="24"/>
          <w:highlight w:val="none"/>
        </w:rPr>
        <w:t>的情形</w:t>
      </w:r>
      <w:bookmarkEnd w:id="583"/>
    </w:p>
    <w:p>
      <w:pPr>
        <w:pageBreakBefore w:val="0"/>
        <w:kinsoku/>
        <w:wordWrap/>
        <w:overflowPunct/>
        <w:topLinePunct w:val="0"/>
        <w:autoSpaceDE w:val="0"/>
        <w:autoSpaceDN w:val="0"/>
        <w:bidi w:val="0"/>
        <w:adjustRightInd w:val="0"/>
        <w:snapToGrid w:val="0"/>
        <w:spacing w:line="360" w:lineRule="auto"/>
        <w:ind w:left="359" w:leftChars="171"/>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有下列情形之一的，招标人将重新招标：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（1）投标截止时间止，投标人少于 3 个的；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（2）经评标委员会评审后否决所有投标的；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（4）法律法规规定的其他情形。</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584" w:name="_Toc509218755"/>
      <w:bookmarkStart w:id="585" w:name="_Toc224103362"/>
      <w:bookmarkStart w:id="586" w:name="_Toc430530480"/>
      <w:bookmarkStart w:id="587" w:name="_Toc287620730"/>
      <w:bookmarkStart w:id="588" w:name="_Toc287607791"/>
      <w:bookmarkStart w:id="589" w:name="_Toc18305"/>
      <w:bookmarkStart w:id="590" w:name="_Toc200513171"/>
      <w:bookmarkStart w:id="591" w:name="_Toc277082597"/>
      <w:r>
        <w:rPr>
          <w:rFonts w:hint="eastAsia" w:asciiTheme="minorEastAsia" w:hAnsiTheme="minorEastAsia" w:eastAsiaTheme="minorEastAsia" w:cstheme="minorEastAsia"/>
          <w:bCs w:val="0"/>
          <w:snapToGrid w:val="0"/>
          <w:color w:val="auto"/>
          <w:sz w:val="24"/>
          <w:szCs w:val="24"/>
          <w:highlight w:val="none"/>
        </w:rPr>
        <w:t>8.2  重新招标和不再招标</w:t>
      </w:r>
      <w:bookmarkEnd w:id="584"/>
      <w:bookmarkEnd w:id="585"/>
      <w:bookmarkEnd w:id="586"/>
      <w:bookmarkEnd w:id="587"/>
      <w:bookmarkEnd w:id="588"/>
      <w:bookmarkEnd w:id="589"/>
      <w:bookmarkEnd w:id="590"/>
      <w:bookmarkEnd w:id="591"/>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手续的依法必须进行招标的项目，应当报原项目投资主管部门审批、核准。</w:t>
      </w:r>
    </w:p>
    <w:p>
      <w:pPr>
        <w:pStyle w:val="4"/>
        <w:pageBreakBefore w:val="0"/>
        <w:kinsoku/>
        <w:wordWrap/>
        <w:overflowPunct/>
        <w:topLinePunct w:val="0"/>
        <w:bidi w:val="0"/>
        <w:spacing w:before="0" w:after="0" w:line="360" w:lineRule="auto"/>
        <w:textAlignment w:val="auto"/>
        <w:rPr>
          <w:rFonts w:hint="eastAsia" w:asciiTheme="minorEastAsia" w:hAnsiTheme="minorEastAsia" w:eastAsiaTheme="minorEastAsia" w:cstheme="minorEastAsia"/>
          <w:bCs w:val="0"/>
          <w:snapToGrid w:val="0"/>
          <w:color w:val="auto"/>
          <w:highlight w:val="none"/>
        </w:rPr>
      </w:pPr>
      <w:bookmarkStart w:id="592" w:name="_Toc31398"/>
      <w:bookmarkStart w:id="593" w:name="_Toc287620731"/>
      <w:bookmarkStart w:id="594" w:name="_Toc509218756"/>
      <w:bookmarkStart w:id="595" w:name="_Toc200513172"/>
      <w:bookmarkStart w:id="596" w:name="_Toc430530481"/>
      <w:bookmarkStart w:id="597" w:name="_Toc17125"/>
      <w:bookmarkStart w:id="598" w:name="_Toc32428"/>
      <w:bookmarkStart w:id="599" w:name="_Toc277082598"/>
      <w:bookmarkStart w:id="600" w:name="_Toc8602"/>
      <w:bookmarkStart w:id="601" w:name="_Toc224103363"/>
      <w:bookmarkStart w:id="602" w:name="_Toc287607792"/>
      <w:r>
        <w:rPr>
          <w:rFonts w:hint="eastAsia" w:asciiTheme="minorEastAsia" w:hAnsiTheme="minorEastAsia" w:eastAsiaTheme="minorEastAsia" w:cstheme="minorEastAsia"/>
          <w:bCs w:val="0"/>
          <w:snapToGrid w:val="0"/>
          <w:color w:val="auto"/>
          <w:highlight w:val="none"/>
        </w:rPr>
        <w:t>9.  纪律和监督</w:t>
      </w:r>
      <w:bookmarkEnd w:id="592"/>
      <w:bookmarkEnd w:id="593"/>
      <w:bookmarkEnd w:id="594"/>
      <w:bookmarkEnd w:id="595"/>
      <w:bookmarkEnd w:id="596"/>
      <w:bookmarkEnd w:id="597"/>
      <w:bookmarkEnd w:id="598"/>
      <w:bookmarkEnd w:id="599"/>
      <w:bookmarkEnd w:id="600"/>
      <w:bookmarkEnd w:id="601"/>
      <w:bookmarkEnd w:id="602"/>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603" w:name="_Toc287607793"/>
      <w:bookmarkStart w:id="604" w:name="_Toc287620732"/>
      <w:bookmarkStart w:id="605" w:name="_Toc430530482"/>
      <w:bookmarkStart w:id="606" w:name="_Toc224103364"/>
      <w:bookmarkStart w:id="607" w:name="_Toc509218757"/>
      <w:bookmarkStart w:id="608" w:name="_Toc200513173"/>
      <w:bookmarkStart w:id="609" w:name="_Toc277082599"/>
      <w:bookmarkStart w:id="610" w:name="_Toc27394"/>
      <w:r>
        <w:rPr>
          <w:rFonts w:hint="eastAsia" w:asciiTheme="minorEastAsia" w:hAnsiTheme="minorEastAsia" w:eastAsiaTheme="minorEastAsia" w:cstheme="minorEastAsia"/>
          <w:bCs w:val="0"/>
          <w:snapToGrid w:val="0"/>
          <w:color w:val="auto"/>
          <w:sz w:val="24"/>
          <w:szCs w:val="24"/>
          <w:highlight w:val="none"/>
        </w:rPr>
        <w:t>9.1  对招标人的纪律要求</w:t>
      </w:r>
      <w:bookmarkEnd w:id="603"/>
      <w:bookmarkEnd w:id="604"/>
      <w:bookmarkEnd w:id="605"/>
      <w:bookmarkEnd w:id="606"/>
      <w:bookmarkEnd w:id="607"/>
      <w:bookmarkEnd w:id="608"/>
      <w:bookmarkEnd w:id="609"/>
      <w:bookmarkEnd w:id="610"/>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snapToGrid w:val="0"/>
          <w:color w:val="auto"/>
          <w:kern w:val="0"/>
          <w:szCs w:val="21"/>
          <w:highlight w:val="none"/>
        </w:rPr>
        <w:t>招标人不得泄漏招标投标活动中应当保密的情况和资料，不得与投标人串通损害国家利 益、社会公共利益或者他人合法权益，</w:t>
      </w:r>
      <w:r>
        <w:rPr>
          <w:rFonts w:hint="eastAsia" w:asciiTheme="minorEastAsia" w:hAnsiTheme="minorEastAsia" w:eastAsiaTheme="minorEastAsia" w:cstheme="minorEastAsia"/>
          <w:color w:val="auto"/>
          <w:highlight w:val="none"/>
        </w:rPr>
        <w:t>禁止招标人与投标人串通投标。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有下列情形之一的，属于招标人与投标人串通投标：</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（1）招标人在开标前开启投标文件并将有关信息泄露给其他投标人；</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（2）招标人直接或者间接向投标人泄露标底、评标委员会成员等信息；</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（3）招标人明示或者暗示投标人压低或者抬高投标报价；</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（4）招标人授意投标人撤换、修改投标文件；</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（5）招标人明示或者暗示投标人为特定投标人中标提供方便；</w:t>
      </w:r>
    </w:p>
    <w:p>
      <w:pPr>
        <w:pageBreakBefore w:val="0"/>
        <w:kinsoku/>
        <w:wordWrap/>
        <w:overflowPunct/>
        <w:topLinePunct w:val="0"/>
        <w:autoSpaceDE w:val="0"/>
        <w:autoSpaceDN w:val="0"/>
        <w:bidi w:val="0"/>
        <w:adjustRightInd w:val="0"/>
        <w:snapToGrid w:val="0"/>
        <w:spacing w:line="360" w:lineRule="auto"/>
        <w:ind w:firstLine="42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color w:val="auto"/>
          <w:highlight w:val="none"/>
        </w:rPr>
        <w:t>（6）招标人与投标人为谋求特定投标人中标而采取的其他串通行为。</w:t>
      </w:r>
    </w:p>
    <w:p>
      <w:pPr>
        <w:pStyle w:val="5"/>
        <w:pageBreakBefore w:val="0"/>
        <w:kinsoku/>
        <w:wordWrap/>
        <w:overflowPunct/>
        <w:topLinePunct w:val="0"/>
        <w:bidi w:val="0"/>
        <w:snapToGrid w:val="0"/>
        <w:spacing w:before="0" w:after="0" w:line="360" w:lineRule="auto"/>
        <w:ind w:firstLine="481" w:firstLineChars="200"/>
        <w:textAlignment w:val="auto"/>
        <w:rPr>
          <w:rFonts w:hint="eastAsia" w:asciiTheme="minorEastAsia" w:hAnsiTheme="minorEastAsia" w:eastAsiaTheme="minorEastAsia" w:cstheme="minorEastAsia"/>
          <w:bCs w:val="0"/>
          <w:snapToGrid w:val="0"/>
          <w:color w:val="auto"/>
          <w:sz w:val="24"/>
          <w:szCs w:val="24"/>
          <w:highlight w:val="none"/>
        </w:rPr>
      </w:pPr>
      <w:bookmarkStart w:id="611" w:name="_Toc2685"/>
      <w:bookmarkStart w:id="612" w:name="_Toc509218758"/>
      <w:bookmarkStart w:id="613" w:name="_Toc224103365"/>
      <w:bookmarkStart w:id="614" w:name="_Toc287620733"/>
      <w:bookmarkStart w:id="615" w:name="_Toc430530483"/>
      <w:bookmarkStart w:id="616" w:name="_Toc287607794"/>
      <w:bookmarkStart w:id="617" w:name="_Toc200513174"/>
      <w:bookmarkStart w:id="618" w:name="_Toc277082600"/>
      <w:r>
        <w:rPr>
          <w:rFonts w:hint="eastAsia" w:asciiTheme="minorEastAsia" w:hAnsiTheme="minorEastAsia" w:eastAsiaTheme="minorEastAsia" w:cstheme="minorEastAsia"/>
          <w:bCs w:val="0"/>
          <w:snapToGrid w:val="0"/>
          <w:color w:val="auto"/>
          <w:sz w:val="24"/>
          <w:szCs w:val="24"/>
          <w:highlight w:val="none"/>
        </w:rPr>
        <w:t>9.2  对投标人的纪律要求</w:t>
      </w:r>
      <w:bookmarkEnd w:id="611"/>
      <w:bookmarkEnd w:id="612"/>
      <w:bookmarkEnd w:id="613"/>
      <w:bookmarkEnd w:id="614"/>
      <w:bookmarkEnd w:id="615"/>
      <w:bookmarkEnd w:id="616"/>
      <w:bookmarkEnd w:id="617"/>
      <w:bookmarkEnd w:id="61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 xml:space="preserve">9.2.1  </w:t>
      </w:r>
      <w:r>
        <w:rPr>
          <w:rFonts w:hint="eastAsia" w:asciiTheme="minorEastAsia" w:hAnsiTheme="minorEastAsia" w:eastAsiaTheme="minorEastAsia" w:cstheme="minorEastAsia"/>
          <w:color w:val="auto"/>
          <w:highlight w:val="none"/>
        </w:rPr>
        <w:t>有下列情形之一的，属于投标人相互串通投标：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（1）投标人之间协商投标报价等投标文件的实质性内容；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（2）投标人之间约定中标人；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（3）投标人之间约定部分投标人放弃投标或者中标；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（4）属于同一集团、协会、商会等组织成员的投标人按照该组织要求协同投标；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（5）投标人之间为谋取中标或者排斥特定投标人而采取的其他联合行动。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9.2.2  有下列情形之一的，视为投标人相互串通投标：</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1</w:t>
      </w:r>
      <w:r>
        <w:rPr>
          <w:rFonts w:hint="eastAsia" w:ascii="宋体" w:hAnsi="宋体"/>
          <w:highlight w:val="none"/>
        </w:rPr>
        <w:t>）不同投标人的电子投标文件由同一台电子设备编制、打包、加密或者上传；</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2</w:t>
      </w:r>
      <w:r>
        <w:rPr>
          <w:rFonts w:hint="eastAsia" w:ascii="宋体" w:hAnsi="宋体"/>
          <w:highlight w:val="none"/>
        </w:rPr>
        <w:t>）不同投标人的投标文件由同一投标人的电子设备打印、复印；</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3</w:t>
      </w:r>
      <w:r>
        <w:rPr>
          <w:rFonts w:hint="eastAsia" w:ascii="宋体" w:hAnsi="宋体"/>
          <w:highlight w:val="none"/>
        </w:rPr>
        <w:t>）不同投标人的投标报价用同一个预算编制软件密码锁制作或者出自同一投标人的电子文档；</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4</w:t>
      </w:r>
      <w:r>
        <w:rPr>
          <w:rFonts w:hint="eastAsia" w:ascii="宋体" w:hAnsi="宋体"/>
          <w:highlight w:val="none"/>
        </w:rPr>
        <w:t>）不同投标人从同一个投标单位或者同一个自然人的互联网协议地址下载招标文件、上传投标文件；</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5</w:t>
      </w:r>
      <w:r>
        <w:rPr>
          <w:rFonts w:hint="eastAsia" w:ascii="宋体" w:hAnsi="宋体"/>
          <w:highlight w:val="none"/>
        </w:rPr>
        <w:t>）不同投标人的投标保证金虽然经由投标人自己的基本账户转出，但所需资金来自同一单位或者个人的账户；</w:t>
      </w:r>
    </w:p>
    <w:p>
      <w:pPr>
        <w:autoSpaceDE w:val="0"/>
        <w:autoSpaceDN w:val="0"/>
        <w:adjustRightInd w:val="0"/>
        <w:snapToGrid w:val="0"/>
        <w:spacing w:line="360" w:lineRule="auto"/>
        <w:ind w:firstLine="420" w:firstLineChars="200"/>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6</w:t>
      </w:r>
      <w:r>
        <w:rPr>
          <w:rFonts w:hint="eastAsia" w:ascii="宋体" w:hAnsi="宋体"/>
          <w:highlight w:val="none"/>
        </w:rPr>
        <w:t>）参加投标活动的人员为同一标段或者未划分标段的同一招标项目的其他投标人的在职人员；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宋体" w:hAnsi="宋体"/>
          <w:highlight w:val="none"/>
        </w:rPr>
        <w:t>（</w:t>
      </w:r>
      <w:r>
        <w:rPr>
          <w:rFonts w:hint="eastAsia" w:ascii="宋体" w:hAnsi="宋体"/>
          <w:highlight w:val="none"/>
          <w:lang w:val="en-US" w:eastAsia="zh-CN"/>
        </w:rPr>
        <w:t>7</w:t>
      </w:r>
      <w:r>
        <w:rPr>
          <w:rFonts w:hint="eastAsia" w:ascii="宋体" w:hAnsi="宋体"/>
          <w:highlight w:val="none"/>
        </w:rPr>
        <w:t>）法律、法规规定的其他情形</w:t>
      </w:r>
      <w:r>
        <w:rPr>
          <w:rFonts w:hint="eastAsia" w:asciiTheme="minorEastAsia" w:hAnsiTheme="minorEastAsia" w:eastAsiaTheme="minorEastAsia" w:cstheme="minorEastAsia"/>
          <w:color w:val="auto"/>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9.2.3  使用通过受让或者租借等方式获取的资格、资质证书投标的，属于以他人名义投标。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9.2.4  投标人有下列情形之一的，属于以其他方式弄虚作假的行为：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（1）使用伪造、变造的许可证件；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（2）提供虚假的财务状况或者业绩；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（3）提供虚假的项目负责人或者主要技术人员简历、劳动关系证明；</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（4）提供虚假的信用状况；</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color w:val="auto"/>
          <w:highlight w:val="none"/>
        </w:rPr>
        <w:t>（5）其他弄虚作假的行为。</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619" w:name="_Toc287620734"/>
      <w:bookmarkStart w:id="620" w:name="_Toc287607795"/>
      <w:bookmarkStart w:id="621" w:name="_Toc224103366"/>
      <w:bookmarkStart w:id="622" w:name="_Toc509218759"/>
      <w:bookmarkStart w:id="623" w:name="_Toc28805"/>
      <w:bookmarkStart w:id="624" w:name="_Toc430530484"/>
      <w:bookmarkStart w:id="625" w:name="_Toc277082601"/>
      <w:bookmarkStart w:id="626" w:name="_Toc200513175"/>
      <w:r>
        <w:rPr>
          <w:rFonts w:hint="eastAsia" w:asciiTheme="minorEastAsia" w:hAnsiTheme="minorEastAsia" w:eastAsiaTheme="minorEastAsia" w:cstheme="minorEastAsia"/>
          <w:bCs w:val="0"/>
          <w:snapToGrid w:val="0"/>
          <w:color w:val="auto"/>
          <w:sz w:val="24"/>
          <w:szCs w:val="24"/>
          <w:highlight w:val="none"/>
        </w:rPr>
        <w:t>9.3  对评标委员会成员的纪律要求</w:t>
      </w:r>
      <w:bookmarkEnd w:id="619"/>
      <w:bookmarkEnd w:id="620"/>
      <w:bookmarkEnd w:id="621"/>
      <w:bookmarkEnd w:id="622"/>
      <w:bookmarkEnd w:id="623"/>
      <w:bookmarkEnd w:id="624"/>
      <w:bookmarkEnd w:id="625"/>
      <w:bookmarkEnd w:id="62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627" w:name="_Toc430530485"/>
      <w:bookmarkStart w:id="628" w:name="_Toc277082602"/>
      <w:bookmarkStart w:id="629" w:name="_Toc224103367"/>
      <w:bookmarkStart w:id="630" w:name="_Toc3379"/>
      <w:bookmarkStart w:id="631" w:name="_Toc287607796"/>
      <w:bookmarkStart w:id="632" w:name="_Toc200513176"/>
      <w:bookmarkStart w:id="633" w:name="_Toc287620735"/>
      <w:bookmarkStart w:id="634" w:name="_Toc509218760"/>
      <w:r>
        <w:rPr>
          <w:rFonts w:hint="eastAsia" w:asciiTheme="minorEastAsia" w:hAnsiTheme="minorEastAsia" w:eastAsiaTheme="minorEastAsia" w:cstheme="minorEastAsia"/>
          <w:bCs w:val="0"/>
          <w:snapToGrid w:val="0"/>
          <w:color w:val="auto"/>
          <w:sz w:val="24"/>
          <w:szCs w:val="24"/>
          <w:highlight w:val="none"/>
        </w:rPr>
        <w:t>9.4  对与评标活动有关的工作人员的纪律要求</w:t>
      </w:r>
      <w:bookmarkEnd w:id="627"/>
      <w:bookmarkEnd w:id="628"/>
      <w:bookmarkEnd w:id="629"/>
      <w:bookmarkEnd w:id="630"/>
      <w:bookmarkEnd w:id="631"/>
      <w:bookmarkEnd w:id="632"/>
      <w:bookmarkEnd w:id="633"/>
      <w:bookmarkEnd w:id="63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pPr>
        <w:pStyle w:val="5"/>
        <w:pageBreakBefore w:val="0"/>
        <w:kinsoku/>
        <w:wordWrap/>
        <w:overflowPunct/>
        <w:topLinePunct w:val="0"/>
        <w:bidi w:val="0"/>
        <w:snapToGrid w:val="0"/>
        <w:spacing w:before="0" w:after="0" w:line="360" w:lineRule="auto"/>
        <w:textAlignment w:val="auto"/>
        <w:rPr>
          <w:rFonts w:hint="eastAsia" w:asciiTheme="minorEastAsia" w:hAnsiTheme="minorEastAsia" w:eastAsiaTheme="minorEastAsia" w:cstheme="minorEastAsia"/>
          <w:bCs w:val="0"/>
          <w:snapToGrid w:val="0"/>
          <w:color w:val="auto"/>
          <w:sz w:val="24"/>
          <w:szCs w:val="24"/>
          <w:highlight w:val="none"/>
        </w:rPr>
      </w:pPr>
      <w:bookmarkStart w:id="635" w:name="_Toc200513177"/>
      <w:bookmarkStart w:id="636" w:name="_Toc277082603"/>
      <w:bookmarkStart w:id="637" w:name="_Toc224103368"/>
      <w:bookmarkStart w:id="638" w:name="_Toc13900"/>
      <w:bookmarkStart w:id="639" w:name="_Toc430530486"/>
      <w:bookmarkStart w:id="640" w:name="_Toc287607797"/>
      <w:bookmarkStart w:id="641" w:name="_Toc509218761"/>
      <w:bookmarkStart w:id="642" w:name="_Toc287620736"/>
      <w:r>
        <w:rPr>
          <w:rFonts w:hint="eastAsia" w:asciiTheme="minorEastAsia" w:hAnsiTheme="minorEastAsia" w:eastAsiaTheme="minorEastAsia" w:cstheme="minorEastAsia"/>
          <w:bCs w:val="0"/>
          <w:snapToGrid w:val="0"/>
          <w:color w:val="auto"/>
          <w:sz w:val="24"/>
          <w:szCs w:val="24"/>
          <w:highlight w:val="none"/>
        </w:rPr>
        <w:t>9.5  投诉</w:t>
      </w:r>
      <w:bookmarkEnd w:id="635"/>
      <w:bookmarkEnd w:id="636"/>
      <w:bookmarkEnd w:id="637"/>
      <w:bookmarkEnd w:id="638"/>
      <w:bookmarkEnd w:id="639"/>
      <w:bookmarkEnd w:id="640"/>
      <w:bookmarkEnd w:id="641"/>
      <w:bookmarkEnd w:id="64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pPr>
      <w:r>
        <w:rPr>
          <w:rFonts w:hint="eastAsia" w:asciiTheme="minorEastAsia" w:hAnsiTheme="minorEastAsia" w:eastAsiaTheme="minorEastAsia" w:cstheme="minorEastAsia"/>
          <w:snapToGrid w:val="0"/>
          <w:color w:val="auto"/>
          <w:kern w:val="0"/>
          <w:szCs w:val="21"/>
          <w:highlight w:val="none"/>
        </w:rPr>
        <w:t>投标人和其他利害关系人认为本次招标活动违反法律、法规和规章规定的，有权向有关行政监督部门投诉。</w:t>
      </w:r>
    </w:p>
    <w:p>
      <w:pPr>
        <w:pStyle w:val="4"/>
        <w:pageBreakBefore w:val="0"/>
        <w:kinsoku/>
        <w:wordWrap/>
        <w:overflowPunct/>
        <w:topLinePunct w:val="0"/>
        <w:bidi w:val="0"/>
        <w:spacing w:before="0" w:after="0" w:line="360" w:lineRule="auto"/>
        <w:textAlignment w:val="auto"/>
        <w:rPr>
          <w:rFonts w:hint="eastAsia" w:asciiTheme="minorEastAsia" w:hAnsiTheme="minorEastAsia" w:eastAsiaTheme="minorEastAsia" w:cstheme="minorEastAsia"/>
          <w:bCs w:val="0"/>
          <w:snapToGrid w:val="0"/>
          <w:color w:val="auto"/>
          <w:highlight w:val="none"/>
        </w:rPr>
      </w:pPr>
      <w:bookmarkStart w:id="643" w:name="_Toc287607798"/>
      <w:bookmarkStart w:id="644" w:name="_Toc19433"/>
      <w:bookmarkStart w:id="645" w:name="_Toc287620737"/>
      <w:bookmarkStart w:id="646" w:name="_Toc224103369"/>
      <w:bookmarkStart w:id="647" w:name="_Toc509218762"/>
      <w:bookmarkStart w:id="648" w:name="_Toc200513178"/>
      <w:bookmarkStart w:id="649" w:name="_Toc7475"/>
      <w:bookmarkStart w:id="650" w:name="_Toc430530487"/>
      <w:bookmarkStart w:id="651" w:name="_Toc277082604"/>
      <w:bookmarkStart w:id="652" w:name="_Toc26140"/>
      <w:bookmarkStart w:id="653" w:name="_Toc15174"/>
      <w:r>
        <w:rPr>
          <w:rFonts w:hint="eastAsia" w:asciiTheme="minorEastAsia" w:hAnsiTheme="minorEastAsia" w:eastAsiaTheme="minorEastAsia" w:cstheme="minorEastAsia"/>
          <w:bCs w:val="0"/>
          <w:snapToGrid w:val="0"/>
          <w:color w:val="auto"/>
          <w:highlight w:val="none"/>
        </w:rPr>
        <w:t>10. 需要补充的其他内容</w:t>
      </w:r>
      <w:bookmarkEnd w:id="643"/>
      <w:bookmarkEnd w:id="644"/>
      <w:bookmarkEnd w:id="645"/>
      <w:bookmarkEnd w:id="646"/>
      <w:bookmarkEnd w:id="647"/>
      <w:bookmarkEnd w:id="648"/>
      <w:bookmarkEnd w:id="649"/>
      <w:bookmarkEnd w:id="650"/>
      <w:bookmarkEnd w:id="651"/>
      <w:bookmarkEnd w:id="652"/>
      <w:bookmarkEnd w:id="65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napToGrid w:val="0"/>
          <w:color w:val="auto"/>
          <w:kern w:val="0"/>
          <w:szCs w:val="21"/>
          <w:highlight w:val="none"/>
        </w:rPr>
        <w:sectPr>
          <w:footerReference r:id="rId9" w:type="default"/>
          <w:footerReference r:id="rId10" w:type="even"/>
          <w:pgSz w:w="11906" w:h="16838"/>
          <w:pgMar w:top="1304" w:right="1134" w:bottom="1304" w:left="1304" w:header="851" w:footer="992" w:gutter="0"/>
          <w:cols w:space="720" w:num="1"/>
          <w:docGrid w:type="lines" w:linePitch="312" w:charSpace="0"/>
        </w:sectPr>
      </w:pPr>
      <w:r>
        <w:rPr>
          <w:rFonts w:hint="eastAsia" w:asciiTheme="minorEastAsia" w:hAnsiTheme="minorEastAsia" w:eastAsiaTheme="minorEastAsia" w:cstheme="minorEastAsia"/>
          <w:snapToGrid w:val="0"/>
          <w:color w:val="auto"/>
          <w:kern w:val="0"/>
          <w:szCs w:val="21"/>
          <w:highlight w:val="none"/>
        </w:rPr>
        <w:t>需要补充的其他内容：见投标人须知前附表。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附表一：开标记录表</w:t>
      </w:r>
    </w:p>
    <w:p>
      <w:pPr>
        <w:autoSpaceDE w:val="0"/>
        <w:autoSpaceDN w:val="0"/>
        <w:adjustRightInd w:val="0"/>
        <w:snapToGrid w:val="0"/>
        <w:spacing w:line="360" w:lineRule="auto"/>
        <w:jc w:val="left"/>
        <w:rPr>
          <w:rFonts w:ascii="宋体" w:hAnsi="宋体"/>
          <w:b/>
          <w:snapToGrid w:val="0"/>
          <w:color w:val="auto"/>
          <w:kern w:val="0"/>
          <w:highlight w:val="none"/>
        </w:rPr>
      </w:pPr>
    </w:p>
    <w:p>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color w:val="auto"/>
          <w:kern w:val="0"/>
          <w:sz w:val="28"/>
          <w:szCs w:val="28"/>
          <w:highlight w:val="none"/>
        </w:rPr>
      </w:pPr>
      <w:r>
        <w:rPr>
          <w:rFonts w:hint="eastAsia" w:ascii="宋体" w:hAnsi="宋体" w:cs="MingLiU"/>
          <w:snapToGrid w:val="0"/>
          <w:color w:val="auto"/>
          <w:w w:val="198"/>
          <w:kern w:val="0"/>
          <w:sz w:val="28"/>
          <w:szCs w:val="28"/>
          <w:highlight w:val="none"/>
          <w:u w:val="single"/>
        </w:rPr>
        <w:t xml:space="preserve">              </w:t>
      </w:r>
      <w:r>
        <w:rPr>
          <w:rFonts w:hint="eastAsia" w:ascii="宋体" w:hAnsi="宋体"/>
          <w:snapToGrid w:val="0"/>
          <w:color w:val="auto"/>
          <w:kern w:val="0"/>
          <w:sz w:val="28"/>
          <w:szCs w:val="28"/>
          <w:highlight w:val="none"/>
          <w:u w:val="single"/>
        </w:rPr>
        <w:t xml:space="preserve"> </w:t>
      </w:r>
      <w:r>
        <w:rPr>
          <w:rFonts w:ascii="宋体" w:hAnsi="宋体"/>
          <w:b/>
          <w:snapToGrid w:val="0"/>
          <w:color w:val="auto"/>
          <w:w w:val="99"/>
          <w:kern w:val="0"/>
          <w:sz w:val="28"/>
          <w:szCs w:val="28"/>
          <w:highlight w:val="none"/>
          <w:u w:val="single"/>
        </w:rPr>
        <w:t>（项目名称）</w:t>
      </w:r>
      <w:r>
        <w:rPr>
          <w:rFonts w:ascii="宋体" w:hAnsi="宋体"/>
          <w:b/>
          <w:snapToGrid w:val="0"/>
          <w:color w:val="auto"/>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b/>
          <w:snapToGrid w:val="0"/>
          <w:color w:val="auto"/>
          <w:kern w:val="0"/>
          <w:sz w:val="28"/>
          <w:szCs w:val="28"/>
          <w:highlight w:val="none"/>
        </w:rPr>
        <w:t xml:space="preserve">                             </w:t>
      </w:r>
      <w:r>
        <w:rPr>
          <w:rFonts w:ascii="宋体" w:hAnsi="宋体"/>
          <w:snapToGrid w:val="0"/>
          <w:color w:val="auto"/>
          <w:kern w:val="0"/>
          <w:szCs w:val="21"/>
          <w:highlight w:val="none"/>
        </w:rPr>
        <w:t>开标时间：</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45"/>
        <w:tblW w:w="1375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1559"/>
        <w:gridCol w:w="1560"/>
        <w:gridCol w:w="1275"/>
        <w:gridCol w:w="993"/>
        <w:gridCol w:w="1285"/>
        <w:gridCol w:w="947"/>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3260"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投标人</w:t>
            </w:r>
          </w:p>
        </w:tc>
        <w:tc>
          <w:tcPr>
            <w:tcW w:w="1134"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解密情况</w:t>
            </w:r>
          </w:p>
        </w:tc>
        <w:tc>
          <w:tcPr>
            <w:tcW w:w="1559" w:type="dxa"/>
            <w:tcBorders>
              <w:right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投标总报价</w:t>
            </w:r>
          </w:p>
        </w:tc>
        <w:tc>
          <w:tcPr>
            <w:tcW w:w="1560" w:type="dxa"/>
            <w:tcBorders>
              <w:left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安全文明施工费暂定金额</w:t>
            </w:r>
          </w:p>
        </w:tc>
        <w:tc>
          <w:tcPr>
            <w:tcW w:w="1275"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质量目标</w:t>
            </w:r>
          </w:p>
        </w:tc>
        <w:tc>
          <w:tcPr>
            <w:tcW w:w="993"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工期</w:t>
            </w:r>
          </w:p>
        </w:tc>
        <w:tc>
          <w:tcPr>
            <w:tcW w:w="1285"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项目经理</w:t>
            </w:r>
          </w:p>
        </w:tc>
        <w:tc>
          <w:tcPr>
            <w:tcW w:w="947"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c>
          <w:tcPr>
            <w:tcW w:w="1311"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8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31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8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31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8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31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8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31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8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31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9"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60"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9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28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311"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98"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最高限价</w:t>
            </w:r>
          </w:p>
        </w:tc>
        <w:tc>
          <w:tcPr>
            <w:tcW w:w="10064" w:type="dxa"/>
            <w:gridSpan w:val="8"/>
            <w:tcBorders>
              <w:bottom w:val="single" w:color="auto" w:sz="4" w:space="0"/>
            </w:tcBorders>
            <w:vAlign w:val="center"/>
          </w:tcPr>
          <w:p>
            <w:pPr>
              <w:autoSpaceDE w:val="0"/>
              <w:autoSpaceDN w:val="0"/>
              <w:adjustRightInd w:val="0"/>
              <w:snapToGrid w:val="0"/>
              <w:jc w:val="left"/>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color w:val="auto"/>
                <w:szCs w:val="21"/>
                <w:highlight w:val="none"/>
              </w:rPr>
            </w:pPr>
            <w:r>
              <w:rPr>
                <w:rFonts w:hint="eastAsia"/>
                <w:color w:val="auto"/>
                <w:szCs w:val="21"/>
                <w:highlight w:val="none"/>
              </w:rPr>
              <w:t>异常情况</w:t>
            </w:r>
          </w:p>
        </w:tc>
        <w:tc>
          <w:tcPr>
            <w:tcW w:w="10064" w:type="dxa"/>
            <w:gridSpan w:val="8"/>
            <w:tcBorders>
              <w:top w:val="single" w:color="auto" w:sz="4" w:space="0"/>
            </w:tcBorders>
            <w:vAlign w:val="center"/>
          </w:tcPr>
          <w:p>
            <w:pPr>
              <w:autoSpaceDE w:val="0"/>
              <w:autoSpaceDN w:val="0"/>
              <w:adjustRightInd w:val="0"/>
              <w:snapToGrid w:val="0"/>
              <w:jc w:val="left"/>
              <w:rPr>
                <w:rFonts w:ascii="宋体" w:hAnsi="宋体"/>
                <w:i/>
                <w:color w:val="auto"/>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snapToGrid w:val="0"/>
          <w:color w:val="auto"/>
          <w:kern w:val="0"/>
          <w:szCs w:val="21"/>
          <w:highlight w:val="none"/>
        </w:rPr>
        <w:t>主持人</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autoSpaceDE w:val="0"/>
        <w:autoSpaceDN w:val="0"/>
        <w:adjustRightInd w:val="0"/>
        <w:snapToGrid w:val="0"/>
        <w:spacing w:before="62" w:beforeLines="20" w:line="360" w:lineRule="auto"/>
        <w:jc w:val="right"/>
        <w:rPr>
          <w:rFonts w:ascii="宋体" w:hAnsi="宋体"/>
          <w:snapToGrid w:val="0"/>
          <w:color w:val="auto"/>
          <w:kern w:val="0"/>
          <w:sz w:val="24"/>
          <w:highlight w:val="none"/>
        </w:rPr>
      </w:pPr>
      <w:r>
        <w:rPr>
          <w:rFonts w:ascii="宋体" w:hAnsi="宋体"/>
          <w:snapToGrid w:val="0"/>
          <w:color w:val="auto"/>
          <w:kern w:val="0"/>
          <w:sz w:val="24"/>
          <w:highlight w:val="none"/>
        </w:rPr>
        <w:t xml:space="preserve">                                       </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年</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月</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日</w:t>
      </w:r>
    </w:p>
    <w:p>
      <w:pPr>
        <w:autoSpaceDE w:val="0"/>
        <w:autoSpaceDN w:val="0"/>
        <w:adjustRightInd w:val="0"/>
        <w:snapToGrid w:val="0"/>
        <w:spacing w:before="62" w:beforeLines="20" w:line="360" w:lineRule="auto"/>
        <w:rPr>
          <w:rFonts w:ascii="宋体" w:hAnsi="宋体"/>
          <w:snapToGrid w:val="0"/>
          <w:color w:val="auto"/>
          <w:kern w:val="0"/>
          <w:sz w:val="24"/>
          <w:highlight w:val="none"/>
        </w:rPr>
      </w:pPr>
      <w:r>
        <w:rPr>
          <w:rFonts w:ascii="宋体" w:hAnsi="宋体"/>
          <w:snapToGrid w:val="0"/>
          <w:color w:val="auto"/>
          <w:kern w:val="0"/>
          <w:sz w:val="24"/>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rPr>
        <w:t>二</w:t>
      </w:r>
      <w:r>
        <w:rPr>
          <w:rFonts w:ascii="宋体" w:hAnsi="宋体"/>
          <w:b/>
          <w:snapToGrid w:val="0"/>
          <w:color w:val="auto"/>
          <w:kern w:val="0"/>
          <w:highlight w:val="none"/>
        </w:rPr>
        <w:t>：纸质投标保函递交情况一览表（如有）</w:t>
      </w:r>
    </w:p>
    <w:p>
      <w:pPr>
        <w:autoSpaceDE w:val="0"/>
        <w:autoSpaceDN w:val="0"/>
        <w:adjustRightInd w:val="0"/>
        <w:snapToGrid w:val="0"/>
        <w:spacing w:before="62" w:beforeLines="20" w:line="360" w:lineRule="auto"/>
        <w:jc w:val="center"/>
        <w:rPr>
          <w:rFonts w:ascii="宋体" w:hAnsi="宋体"/>
          <w:color w:val="auto"/>
          <w:szCs w:val="21"/>
          <w:highlight w:val="none"/>
        </w:rPr>
      </w:pPr>
      <w:r>
        <w:rPr>
          <w:rFonts w:hint="eastAsia" w:ascii="宋体" w:hAnsi="宋体" w:cs="MingLiU"/>
          <w:snapToGrid w:val="0"/>
          <w:color w:val="auto"/>
          <w:w w:val="198"/>
          <w:kern w:val="0"/>
          <w:sz w:val="28"/>
          <w:szCs w:val="28"/>
          <w:highlight w:val="none"/>
          <w:u w:val="single"/>
        </w:rPr>
        <w:t xml:space="preserve">              </w:t>
      </w:r>
      <w:r>
        <w:rPr>
          <w:rFonts w:hint="eastAsia" w:ascii="宋体" w:hAnsi="宋体"/>
          <w:snapToGrid w:val="0"/>
          <w:color w:val="auto"/>
          <w:kern w:val="0"/>
          <w:sz w:val="28"/>
          <w:szCs w:val="28"/>
          <w:highlight w:val="none"/>
          <w:u w:val="single"/>
        </w:rPr>
        <w:t xml:space="preserve"> </w:t>
      </w:r>
      <w:r>
        <w:rPr>
          <w:rFonts w:ascii="宋体" w:hAnsi="宋体"/>
          <w:b/>
          <w:snapToGrid w:val="0"/>
          <w:color w:val="auto"/>
          <w:w w:val="99"/>
          <w:kern w:val="0"/>
          <w:sz w:val="28"/>
          <w:szCs w:val="28"/>
          <w:highlight w:val="none"/>
          <w:u w:val="single"/>
        </w:rPr>
        <w:t>（项目名称）纸质投标保函</w:t>
      </w:r>
      <w:r>
        <w:rPr>
          <w:rFonts w:hint="eastAsia" w:ascii="宋体" w:hAnsi="宋体"/>
          <w:b/>
          <w:snapToGrid w:val="0"/>
          <w:color w:val="auto"/>
          <w:w w:val="99"/>
          <w:kern w:val="0"/>
          <w:sz w:val="28"/>
          <w:szCs w:val="28"/>
          <w:highlight w:val="none"/>
          <w:u w:val="single"/>
        </w:rPr>
        <w:t>递交</w:t>
      </w:r>
      <w:r>
        <w:rPr>
          <w:rFonts w:ascii="宋体" w:hAnsi="宋体"/>
          <w:b/>
          <w:snapToGrid w:val="0"/>
          <w:color w:val="auto"/>
          <w:w w:val="99"/>
          <w:kern w:val="0"/>
          <w:sz w:val="28"/>
          <w:szCs w:val="28"/>
          <w:highlight w:val="none"/>
          <w:u w:val="single"/>
        </w:rPr>
        <w:t>情况一览表</w:t>
      </w:r>
    </w:p>
    <w:p>
      <w:pPr>
        <w:autoSpaceDE w:val="0"/>
        <w:autoSpaceDN w:val="0"/>
        <w:adjustRightInd w:val="0"/>
        <w:snapToGrid w:val="0"/>
        <w:spacing w:before="62" w:beforeLines="20" w:line="360" w:lineRule="auto"/>
        <w:ind w:firstLine="8610" w:firstLineChars="4100"/>
        <w:rPr>
          <w:rFonts w:ascii="宋体" w:hAnsi="宋体"/>
          <w:color w:val="auto"/>
          <w:szCs w:val="21"/>
          <w:highlight w:val="none"/>
        </w:rPr>
      </w:pPr>
      <w:r>
        <w:rPr>
          <w:rFonts w:hint="eastAsia" w:ascii="宋体" w:hAnsi="宋体"/>
          <w:snapToGrid w:val="0"/>
          <w:color w:val="auto"/>
          <w:kern w:val="0"/>
          <w:szCs w:val="21"/>
          <w:highlight w:val="none"/>
        </w:rPr>
        <w:t>投标截止时间</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45"/>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jc w:val="center"/>
              <w:rPr>
                <w:rFonts w:ascii="宋体" w:hAnsi="宋体"/>
                <w:color w:val="auto"/>
                <w:szCs w:val="21"/>
                <w:highlight w:val="none"/>
              </w:rPr>
            </w:pPr>
            <w:r>
              <w:rPr>
                <w:rFonts w:hint="eastAsia" w:ascii="宋体" w:hAnsi="宋体"/>
                <w:color w:val="auto"/>
                <w:szCs w:val="21"/>
                <w:highlight w:val="none"/>
              </w:rPr>
              <w:t>序号</w:t>
            </w:r>
          </w:p>
        </w:tc>
        <w:tc>
          <w:tcPr>
            <w:tcW w:w="4160" w:type="dxa"/>
          </w:tcPr>
          <w:p>
            <w:pPr>
              <w:autoSpaceDE w:val="0"/>
              <w:autoSpaceDN w:val="0"/>
              <w:adjustRightInd w:val="0"/>
              <w:snapToGrid w:val="0"/>
              <w:spacing w:before="62" w:beforeLines="20" w:line="360" w:lineRule="auto"/>
              <w:jc w:val="center"/>
              <w:rPr>
                <w:rFonts w:ascii="宋体" w:hAnsi="宋体"/>
                <w:color w:val="auto"/>
                <w:szCs w:val="21"/>
                <w:highlight w:val="none"/>
              </w:rPr>
            </w:pPr>
            <w:r>
              <w:rPr>
                <w:rFonts w:hint="eastAsia" w:ascii="宋体" w:hAnsi="宋体"/>
                <w:color w:val="auto"/>
                <w:szCs w:val="21"/>
                <w:highlight w:val="none"/>
              </w:rPr>
              <w:t>投标人</w:t>
            </w:r>
          </w:p>
        </w:tc>
        <w:tc>
          <w:tcPr>
            <w:tcW w:w="3088" w:type="dxa"/>
          </w:tcPr>
          <w:p>
            <w:pPr>
              <w:autoSpaceDE w:val="0"/>
              <w:autoSpaceDN w:val="0"/>
              <w:adjustRightInd w:val="0"/>
              <w:snapToGrid w:val="0"/>
              <w:spacing w:before="62" w:beforeLines="20" w:line="360" w:lineRule="auto"/>
              <w:jc w:val="center"/>
              <w:rPr>
                <w:rFonts w:ascii="宋体" w:hAnsi="宋体"/>
                <w:color w:val="auto"/>
                <w:szCs w:val="21"/>
                <w:highlight w:val="none"/>
              </w:rPr>
            </w:pPr>
            <w:r>
              <w:rPr>
                <w:rFonts w:hint="eastAsia" w:ascii="宋体" w:hAnsi="宋体"/>
                <w:color w:val="auto"/>
                <w:szCs w:val="21"/>
                <w:highlight w:val="none"/>
              </w:rPr>
              <w:t>金额（元）</w:t>
            </w:r>
          </w:p>
        </w:tc>
        <w:tc>
          <w:tcPr>
            <w:tcW w:w="2987" w:type="dxa"/>
          </w:tcPr>
          <w:p>
            <w:pPr>
              <w:autoSpaceDE w:val="0"/>
              <w:autoSpaceDN w:val="0"/>
              <w:adjustRightInd w:val="0"/>
              <w:snapToGrid w:val="0"/>
              <w:spacing w:before="62" w:beforeLines="20" w:line="360" w:lineRule="auto"/>
              <w:jc w:val="center"/>
              <w:rPr>
                <w:rFonts w:ascii="宋体" w:hAnsi="宋体"/>
                <w:color w:val="auto"/>
                <w:szCs w:val="21"/>
                <w:highlight w:val="none"/>
              </w:rPr>
            </w:pPr>
            <w:r>
              <w:rPr>
                <w:rFonts w:hint="eastAsia" w:ascii="宋体" w:hAnsi="宋体"/>
                <w:color w:val="auto"/>
                <w:szCs w:val="21"/>
                <w:highlight w:val="none"/>
              </w:rPr>
              <w:t>递交时间</w:t>
            </w:r>
          </w:p>
        </w:tc>
        <w:tc>
          <w:tcPr>
            <w:tcW w:w="3175" w:type="dxa"/>
          </w:tcPr>
          <w:p>
            <w:pPr>
              <w:autoSpaceDE w:val="0"/>
              <w:autoSpaceDN w:val="0"/>
              <w:adjustRightInd w:val="0"/>
              <w:snapToGrid w:val="0"/>
              <w:spacing w:before="62" w:beforeLines="20" w:line="360" w:lineRule="auto"/>
              <w:jc w:val="center"/>
              <w:rPr>
                <w:rFonts w:ascii="宋体" w:hAnsi="宋体"/>
                <w:color w:val="auto"/>
                <w:szCs w:val="21"/>
                <w:highlight w:val="none"/>
              </w:rPr>
            </w:pPr>
            <w:r>
              <w:rPr>
                <w:rFonts w:hint="eastAsia" w:ascii="宋体" w:hAnsi="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pPr>
              <w:autoSpaceDE w:val="0"/>
              <w:autoSpaceDN w:val="0"/>
              <w:adjustRightInd w:val="0"/>
              <w:snapToGrid w:val="0"/>
              <w:spacing w:before="62"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pPr>
              <w:autoSpaceDE w:val="0"/>
              <w:autoSpaceDN w:val="0"/>
              <w:adjustRightInd w:val="0"/>
              <w:snapToGrid w:val="0"/>
              <w:spacing w:before="62"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pPr>
              <w:autoSpaceDE w:val="0"/>
              <w:autoSpaceDN w:val="0"/>
              <w:adjustRightInd w:val="0"/>
              <w:snapToGrid w:val="0"/>
              <w:spacing w:before="62"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pPr>
              <w:autoSpaceDE w:val="0"/>
              <w:autoSpaceDN w:val="0"/>
              <w:adjustRightInd w:val="0"/>
              <w:snapToGrid w:val="0"/>
              <w:spacing w:before="62"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pPr>
              <w:autoSpaceDE w:val="0"/>
              <w:autoSpaceDN w:val="0"/>
              <w:adjustRightInd w:val="0"/>
              <w:snapToGrid w:val="0"/>
              <w:spacing w:before="62"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pPr>
              <w:autoSpaceDE w:val="0"/>
              <w:autoSpaceDN w:val="0"/>
              <w:adjustRightInd w:val="0"/>
              <w:snapToGrid w:val="0"/>
              <w:spacing w:before="62"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pPr>
              <w:autoSpaceDE w:val="0"/>
              <w:autoSpaceDN w:val="0"/>
              <w:adjustRightInd w:val="0"/>
              <w:snapToGrid w:val="0"/>
              <w:spacing w:before="62"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pPr>
              <w:autoSpaceDE w:val="0"/>
              <w:autoSpaceDN w:val="0"/>
              <w:adjustRightInd w:val="0"/>
              <w:snapToGrid w:val="0"/>
              <w:spacing w:before="62"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pPr>
              <w:autoSpaceDE w:val="0"/>
              <w:autoSpaceDN w:val="0"/>
              <w:adjustRightInd w:val="0"/>
              <w:snapToGrid w:val="0"/>
              <w:spacing w:before="62"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pPr>
              <w:autoSpaceDE w:val="0"/>
              <w:autoSpaceDN w:val="0"/>
              <w:adjustRightInd w:val="0"/>
              <w:snapToGrid w:val="0"/>
              <w:spacing w:before="62"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pPr>
              <w:autoSpaceDE w:val="0"/>
              <w:autoSpaceDN w:val="0"/>
              <w:adjustRightInd w:val="0"/>
              <w:snapToGrid w:val="0"/>
              <w:spacing w:before="62" w:beforeLines="20"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pPr>
              <w:autoSpaceDE w:val="0"/>
              <w:autoSpaceDN w:val="0"/>
              <w:adjustRightInd w:val="0"/>
              <w:snapToGrid w:val="0"/>
              <w:spacing w:before="62" w:beforeLines="20" w:line="360" w:lineRule="auto"/>
              <w:rPr>
                <w:rFonts w:ascii="宋体" w:hAnsi="宋体"/>
                <w:color w:val="auto"/>
                <w:szCs w:val="21"/>
                <w:highlight w:val="none"/>
              </w:rPr>
            </w:pPr>
          </w:p>
        </w:tc>
      </w:tr>
    </w:tbl>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cs="MingLiU"/>
          <w:snapToGrid w:val="0"/>
          <w:color w:val="auto"/>
          <w:w w:val="200"/>
          <w:kern w:val="0"/>
          <w:szCs w:val="21"/>
          <w:highlight w:val="none"/>
          <w:u w:val="singl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pStyle w:val="2"/>
        <w:jc w:val="right"/>
        <w:rPr>
          <w:color w:val="auto"/>
          <w:highlight w:val="none"/>
        </w:rPr>
      </w:pP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年</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月</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日</w:t>
      </w:r>
    </w:p>
    <w:p>
      <w:pPr>
        <w:autoSpaceDE w:val="0"/>
        <w:autoSpaceDN w:val="0"/>
        <w:adjustRightInd w:val="0"/>
        <w:snapToGrid w:val="0"/>
        <w:spacing w:before="62" w:beforeLines="20" w:line="360" w:lineRule="auto"/>
        <w:rPr>
          <w:rFonts w:ascii="宋体" w:hAnsi="宋体"/>
          <w:snapToGrid w:val="0"/>
          <w:color w:val="auto"/>
          <w:kern w:val="0"/>
          <w:sz w:val="24"/>
          <w:highlight w:val="none"/>
        </w:rPr>
        <w:sectPr>
          <w:pgSz w:w="16838" w:h="11906" w:orient="landscape"/>
          <w:pgMar w:top="1304" w:right="1304" w:bottom="1134" w:left="1304" w:header="851" w:footer="992" w:gutter="0"/>
          <w:cols w:space="720" w:num="1"/>
          <w:docGrid w:type="lines" w:linePitch="312" w:charSpace="0"/>
        </w:sectPr>
      </w:pPr>
    </w:p>
    <w:p>
      <w:pPr>
        <w:autoSpaceDE w:val="0"/>
        <w:autoSpaceDN w:val="0"/>
        <w:adjustRightInd w:val="0"/>
        <w:snapToGrid w:val="0"/>
        <w:spacing w:before="115" w:beforeLines="20" w:line="360" w:lineRule="auto"/>
        <w:jc w:val="right"/>
        <w:rPr>
          <w:rFonts w:ascii="宋体" w:hAnsi="宋体"/>
          <w:snapToGrid w:val="0"/>
          <w:color w:val="auto"/>
          <w:kern w:val="0"/>
          <w:sz w:val="24"/>
          <w:highlight w:val="none"/>
        </w:rPr>
      </w:pP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rPr>
        <w:t>三</w:t>
      </w:r>
      <w:r>
        <w:rPr>
          <w:rFonts w:ascii="宋体" w:hAnsi="宋体"/>
          <w:b/>
          <w:snapToGrid w:val="0"/>
          <w:color w:val="auto"/>
          <w:kern w:val="0"/>
          <w:highlight w:val="none"/>
        </w:rPr>
        <w:t>：问题澄清通知</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jc w:val="center"/>
        <w:rPr>
          <w:rFonts w:ascii="宋体" w:hAnsi="宋体"/>
          <w:b/>
          <w:snapToGrid w:val="0"/>
          <w:color w:val="auto"/>
          <w:w w:val="99"/>
          <w:kern w:val="0"/>
          <w:sz w:val="32"/>
          <w:szCs w:val="32"/>
          <w:highlight w:val="none"/>
        </w:rPr>
      </w:pPr>
      <w:r>
        <w:rPr>
          <w:rFonts w:hint="eastAsia" w:ascii="宋体" w:hAnsi="宋体"/>
          <w:b/>
          <w:snapToGrid w:val="0"/>
          <w:color w:val="auto"/>
          <w:w w:val="99"/>
          <w:kern w:val="0"/>
          <w:sz w:val="32"/>
          <w:szCs w:val="32"/>
          <w:highlight w:val="none"/>
        </w:rPr>
        <w:t>问题澄清通知</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rPr>
          <w:rFonts w:ascii="宋体" w:hAnsi="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（投标人名称）</w:t>
      </w:r>
      <w:r>
        <w:rPr>
          <w:rFonts w:ascii="宋体" w:hAnsi="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snapToGrid w:val="0"/>
          <w:color w:val="auto"/>
          <w:kern w:val="0"/>
          <w:sz w:val="24"/>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请将上述问题的澄清于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时前</w:t>
      </w:r>
      <w:r>
        <w:rPr>
          <w:rFonts w:hint="eastAsia" w:ascii="宋体" w:hAnsi="宋体"/>
          <w:snapToGrid w:val="0"/>
          <w:color w:val="auto"/>
          <w:kern w:val="0"/>
          <w:szCs w:val="21"/>
          <w:highlight w:val="none"/>
        </w:rPr>
        <w:t>通过重庆市电子招投标系统提交</w:t>
      </w: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640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评标委员会：</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pPr>
        <w:pStyle w:val="2"/>
        <w:jc w:val="right"/>
        <w:rPr>
          <w:i/>
          <w:color w:val="auto"/>
          <w:highlight w:val="none"/>
        </w:rPr>
      </w:pPr>
      <w:r>
        <w:rPr>
          <w:rFonts w:hint="eastAsia"/>
          <w:i/>
          <w:color w:val="auto"/>
          <w:highlight w:val="none"/>
        </w:rPr>
        <w:t>[提示：重庆市电子招投标系统应实现投标人接收端口签名隐藏显示功能]</w:t>
      </w:r>
    </w:p>
    <w:p>
      <w:pPr>
        <w:tabs>
          <w:tab w:val="left" w:pos="6400"/>
        </w:tabs>
        <w:autoSpaceDE w:val="0"/>
        <w:autoSpaceDN w:val="0"/>
        <w:adjustRightInd w:val="0"/>
        <w:snapToGrid w:val="0"/>
        <w:spacing w:line="360" w:lineRule="auto"/>
        <w:ind w:right="120"/>
        <w:jc w:val="right"/>
        <w:rPr>
          <w:rFonts w:ascii="宋体" w:hAnsi="宋体"/>
          <w:snapToGrid w:val="0"/>
          <w:color w:val="auto"/>
          <w:kern w:val="0"/>
          <w:sz w:val="24"/>
          <w:highlight w:val="none"/>
        </w:rPr>
      </w:pPr>
      <w:r>
        <w:rPr>
          <w:rFonts w:ascii="宋体" w:hAnsi="宋体"/>
          <w:snapToGrid w:val="0"/>
          <w:color w:val="auto"/>
          <w:kern w:val="0"/>
          <w:sz w:val="24"/>
          <w:highlight w:val="none"/>
        </w:rPr>
        <w:t xml:space="preserve"> </w:t>
      </w:r>
    </w:p>
    <w:p>
      <w:pPr>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p>
    <w:p>
      <w:pPr>
        <w:wordWrap w:val="0"/>
        <w:autoSpaceDE w:val="0"/>
        <w:autoSpaceDN w:val="0"/>
        <w:adjustRightInd w:val="0"/>
        <w:snapToGrid w:val="0"/>
        <w:spacing w:line="360" w:lineRule="auto"/>
        <w:ind w:firstLine="850" w:firstLineChars="405"/>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sz w:val="24"/>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rPr>
        <w:t>四</w:t>
      </w:r>
      <w:r>
        <w:rPr>
          <w:rFonts w:ascii="宋体" w:hAnsi="宋体"/>
          <w:b/>
          <w:snapToGrid w:val="0"/>
          <w:color w:val="auto"/>
          <w:kern w:val="0"/>
          <w:highlight w:val="none"/>
        </w:rPr>
        <w:t>：问题的澄清</w:t>
      </w:r>
    </w:p>
    <w:p>
      <w:pPr>
        <w:autoSpaceDE w:val="0"/>
        <w:autoSpaceDN w:val="0"/>
        <w:adjustRightInd w:val="0"/>
        <w:snapToGrid w:val="0"/>
        <w:spacing w:line="360" w:lineRule="auto"/>
        <w:jc w:val="left"/>
        <w:rPr>
          <w:rFonts w:ascii="宋体" w:hAnsi="宋体"/>
          <w:b/>
          <w:snapToGrid w:val="0"/>
          <w:color w:val="auto"/>
          <w:kern w:val="0"/>
          <w:sz w:val="10"/>
          <w:szCs w:val="10"/>
          <w:highlight w:val="none"/>
        </w:rPr>
      </w:pPr>
    </w:p>
    <w:p>
      <w:pPr>
        <w:autoSpaceDE w:val="0"/>
        <w:autoSpaceDN w:val="0"/>
        <w:adjustRightInd w:val="0"/>
        <w:snapToGrid w:val="0"/>
        <w:spacing w:line="360" w:lineRule="auto"/>
        <w:jc w:val="center"/>
        <w:rPr>
          <w:rFonts w:ascii="宋体" w:hAnsi="宋体"/>
          <w:b/>
          <w:snapToGrid w:val="0"/>
          <w:color w:val="auto"/>
          <w:kern w:val="0"/>
          <w:sz w:val="32"/>
          <w:szCs w:val="32"/>
          <w:highlight w:val="none"/>
        </w:rPr>
      </w:pPr>
      <w:r>
        <w:rPr>
          <w:rFonts w:ascii="宋体" w:hAnsi="宋体"/>
          <w:b/>
          <w:snapToGrid w:val="0"/>
          <w:color w:val="auto"/>
          <w:w w:val="99"/>
          <w:kern w:val="0"/>
          <w:sz w:val="32"/>
          <w:szCs w:val="32"/>
          <w:highlight w:val="none"/>
        </w:rPr>
        <w:t>问题的澄清</w:t>
      </w: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pPr>
        <w:tabs>
          <w:tab w:val="left" w:pos="735"/>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问题澄清通知（编号：</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2"/>
          <w:szCs w:val="22"/>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pPr>
        <w:autoSpaceDE w:val="0"/>
        <w:autoSpaceDN w:val="0"/>
        <w:adjustRightInd w:val="0"/>
        <w:snapToGrid w:val="0"/>
        <w:spacing w:line="360" w:lineRule="auto"/>
        <w:jc w:val="right"/>
        <w:rPr>
          <w:rFonts w:ascii="宋体" w:hAnsi="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rPr>
        <w:t>五</w:t>
      </w:r>
      <w:r>
        <w:rPr>
          <w:rFonts w:ascii="宋体" w:hAnsi="宋体"/>
          <w:b/>
          <w:snapToGrid w:val="0"/>
          <w:color w:val="auto"/>
          <w:kern w:val="0"/>
          <w:highlight w:val="none"/>
        </w:rPr>
        <w:t>：中标通知书</w:t>
      </w: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center"/>
        <w:rPr>
          <w:rFonts w:ascii="宋体" w:hAnsi="宋体"/>
          <w:b/>
          <w:snapToGrid w:val="0"/>
          <w:color w:val="auto"/>
          <w:w w:val="99"/>
          <w:kern w:val="0"/>
          <w:sz w:val="32"/>
          <w:szCs w:val="32"/>
          <w:highlight w:val="none"/>
        </w:rPr>
      </w:pPr>
      <w:r>
        <w:rPr>
          <w:rFonts w:hint="eastAsia" w:ascii="宋体" w:hAnsi="宋体"/>
          <w:b/>
          <w:snapToGrid w:val="0"/>
          <w:color w:val="auto"/>
          <w:w w:val="99"/>
          <w:kern w:val="0"/>
          <w:sz w:val="32"/>
          <w:szCs w:val="32"/>
          <w:highlight w:val="none"/>
        </w:rPr>
        <w:t>重庆市建设工程中标通知书</w:t>
      </w:r>
    </w:p>
    <w:p>
      <w:pPr>
        <w:spacing w:line="360" w:lineRule="auto"/>
        <w:rPr>
          <w:rFonts w:ascii="宋体" w:hAnsi="宋体"/>
          <w:bCs/>
          <w:color w:val="auto"/>
          <w:kern w:val="0"/>
          <w:szCs w:val="21"/>
          <w:highlight w:val="none"/>
          <w:u w:val="single"/>
        </w:rPr>
      </w:pPr>
      <w:r>
        <w:rPr>
          <w:rFonts w:ascii="宋体" w:hAnsi="宋体"/>
          <w:bCs/>
          <w:color w:val="auto"/>
          <w:kern w:val="0"/>
          <w:szCs w:val="21"/>
          <w:highlight w:val="none"/>
          <w:u w:val="single"/>
        </w:rPr>
        <w:t xml:space="preserve">       </w:t>
      </w:r>
      <w:r>
        <w:rPr>
          <w:rFonts w:ascii="宋体" w:hAnsi="宋体"/>
          <w:color w:val="auto"/>
          <w:kern w:val="0"/>
          <w:szCs w:val="21"/>
          <w:highlight w:val="none"/>
          <w:u w:val="single"/>
        </w:rPr>
        <w:t>中标单位</w:t>
      </w:r>
      <w:r>
        <w:rPr>
          <w:rFonts w:ascii="宋体" w:hAnsi="宋体"/>
          <w:bCs/>
          <w:color w:val="auto"/>
          <w:kern w:val="0"/>
          <w:szCs w:val="21"/>
          <w:highlight w:val="none"/>
          <w:u w:val="single"/>
        </w:rPr>
        <w:t xml:space="preserve">               </w:t>
      </w:r>
      <w:r>
        <w:rPr>
          <w:rFonts w:ascii="宋体" w:hAnsi="宋体"/>
          <w:bCs/>
          <w:color w:val="auto"/>
          <w:kern w:val="0"/>
          <w:szCs w:val="21"/>
          <w:highlight w:val="none"/>
        </w:rPr>
        <w:t>：</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 xml:space="preserve">我单位拟建的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（项目名称）</w:t>
      </w:r>
      <w:r>
        <w:rPr>
          <w:rFonts w:ascii="宋体" w:hAnsi="宋体"/>
          <w:bCs/>
          <w:color w:val="auto"/>
          <w:kern w:val="0"/>
          <w:szCs w:val="21"/>
          <w:highlight w:val="none"/>
          <w:u w:val="single"/>
        </w:rPr>
        <w:t xml:space="preserve">    </w:t>
      </w:r>
      <w:r>
        <w:rPr>
          <w:rFonts w:ascii="宋体" w:hAnsi="宋体"/>
          <w:color w:val="auto"/>
          <w:kern w:val="0"/>
          <w:szCs w:val="21"/>
          <w:highlight w:val="none"/>
        </w:rPr>
        <w:t>于</w:t>
      </w:r>
      <w:r>
        <w:rPr>
          <w:rFonts w:ascii="宋体" w:hAnsi="宋体"/>
          <w:bCs/>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日开标，经评标委员会评定，确定你单位为中标人，中标额为</w:t>
      </w:r>
      <w:r>
        <w:rPr>
          <w:rFonts w:hint="eastAsia" w:ascii="宋体" w:hAnsi="宋体"/>
          <w:color w:val="auto"/>
          <w:kern w:val="0"/>
          <w:szCs w:val="21"/>
          <w:highlight w:val="none"/>
        </w:rPr>
        <w:t>（大写）</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 xml:space="preserve">（其中含安全文明施工费 </w:t>
      </w:r>
      <w:r>
        <w:rPr>
          <w:rFonts w:ascii="宋体" w:hAnsi="宋体"/>
          <w:bCs/>
          <w:color w:val="auto"/>
          <w:kern w:val="0"/>
          <w:szCs w:val="21"/>
          <w:highlight w:val="none"/>
          <w:u w:val="single"/>
        </w:rPr>
        <w:t xml:space="preserve">￥    </w:t>
      </w:r>
      <w:r>
        <w:rPr>
          <w:rFonts w:ascii="宋体" w:hAnsi="宋体"/>
          <w:color w:val="auto"/>
          <w:kern w:val="0"/>
          <w:szCs w:val="21"/>
          <w:highlight w:val="none"/>
        </w:rPr>
        <w:t>）。中标工程范围：</w:t>
      </w:r>
      <w:r>
        <w:rPr>
          <w:rFonts w:ascii="宋体" w:hAnsi="宋体"/>
          <w:bCs/>
          <w:color w:val="auto"/>
          <w:kern w:val="0"/>
          <w:szCs w:val="21"/>
          <w:highlight w:val="none"/>
          <w:u w:val="single"/>
        </w:rPr>
        <w:t xml:space="preserve">     </w:t>
      </w:r>
      <w:r>
        <w:rPr>
          <w:rFonts w:ascii="宋体" w:hAnsi="宋体"/>
          <w:color w:val="auto"/>
          <w:kern w:val="0"/>
          <w:szCs w:val="21"/>
          <w:highlight w:val="none"/>
        </w:rPr>
        <w:t xml:space="preserve">，工程规模为 </w:t>
      </w:r>
      <w:r>
        <w:rPr>
          <w:rFonts w:ascii="宋体" w:hAnsi="宋体"/>
          <w:bCs/>
          <w:color w:val="auto"/>
          <w:kern w:val="0"/>
          <w:szCs w:val="21"/>
          <w:highlight w:val="none"/>
          <w:u w:val="single"/>
        </w:rPr>
        <w:t xml:space="preserve">      </w:t>
      </w:r>
      <w:r>
        <w:rPr>
          <w:rFonts w:ascii="宋体" w:hAnsi="宋体"/>
          <w:color w:val="auto"/>
          <w:kern w:val="0"/>
          <w:szCs w:val="21"/>
          <w:highlight w:val="none"/>
        </w:rPr>
        <w:t xml:space="preserve">，中标工期 </w:t>
      </w:r>
      <w:r>
        <w:rPr>
          <w:rFonts w:ascii="宋体" w:hAnsi="宋体"/>
          <w:bCs/>
          <w:color w:val="auto"/>
          <w:kern w:val="0"/>
          <w:szCs w:val="21"/>
          <w:highlight w:val="none"/>
          <w:u w:val="single"/>
        </w:rPr>
        <w:t xml:space="preserve">   </w:t>
      </w:r>
      <w:r>
        <w:rPr>
          <w:rFonts w:ascii="宋体" w:hAnsi="宋体"/>
          <w:color w:val="auto"/>
          <w:kern w:val="0"/>
          <w:szCs w:val="21"/>
          <w:highlight w:val="none"/>
          <w:u w:val="single"/>
        </w:rPr>
        <w:t>日历天</w:t>
      </w:r>
      <w:r>
        <w:rPr>
          <w:rFonts w:ascii="宋体" w:hAnsi="宋体"/>
          <w:color w:val="auto"/>
          <w:kern w:val="0"/>
          <w:szCs w:val="21"/>
          <w:highlight w:val="none"/>
        </w:rPr>
        <w:t>，工程质量达到国家施工验收规范标准。 项目经理由</w:t>
      </w:r>
    </w:p>
    <w:p>
      <w:pPr>
        <w:spacing w:line="360" w:lineRule="auto"/>
        <w:ind w:firstLine="0" w:firstLineChars="0"/>
        <w:rPr>
          <w:rFonts w:ascii="宋体" w:hAnsi="宋体"/>
          <w:color w:val="auto"/>
          <w:kern w:val="0"/>
          <w:szCs w:val="21"/>
          <w:highlight w:val="none"/>
        </w:rPr>
      </w:pP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担任。</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 xml:space="preserve">你单位收到中标通知书后，在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日内到我单位签订承发包合同。</w:t>
      </w:r>
      <w:r>
        <w:rPr>
          <w:color w:val="auto"/>
          <w:szCs w:val="21"/>
          <w:highlight w:val="none"/>
        </w:rPr>
        <w:t>在此之前按招标文件第二章</w:t>
      </w:r>
      <w:r>
        <w:rPr>
          <w:rFonts w:hint="eastAsia"/>
          <w:color w:val="auto"/>
          <w:szCs w:val="21"/>
          <w:highlight w:val="none"/>
        </w:rPr>
        <w:t>“</w:t>
      </w:r>
      <w:r>
        <w:rPr>
          <w:color w:val="auto"/>
          <w:szCs w:val="21"/>
          <w:highlight w:val="none"/>
        </w:rPr>
        <w:t>投标人须知</w:t>
      </w:r>
      <w:r>
        <w:rPr>
          <w:rFonts w:hint="eastAsia"/>
          <w:color w:val="auto"/>
          <w:szCs w:val="21"/>
          <w:highlight w:val="none"/>
        </w:rPr>
        <w:t>”</w:t>
      </w:r>
      <w:r>
        <w:rPr>
          <w:color w:val="auto"/>
          <w:szCs w:val="21"/>
          <w:highlight w:val="none"/>
        </w:rPr>
        <w:t>第7.</w:t>
      </w:r>
      <w:r>
        <w:rPr>
          <w:rFonts w:hint="eastAsia"/>
          <w:color w:val="auto"/>
          <w:szCs w:val="21"/>
          <w:highlight w:val="none"/>
        </w:rPr>
        <w:t>3</w:t>
      </w:r>
      <w:r>
        <w:rPr>
          <w:color w:val="auto"/>
          <w:szCs w:val="21"/>
          <w:highlight w:val="none"/>
        </w:rPr>
        <w:t>款规定向我方提交履约担保。</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特此通知。</w:t>
      </w:r>
    </w:p>
    <w:p>
      <w:pPr>
        <w:spacing w:line="480" w:lineRule="auto"/>
        <w:rPr>
          <w:rFonts w:ascii="宋体" w:hAnsi="宋体"/>
          <w:color w:val="auto"/>
          <w:kern w:val="0"/>
          <w:sz w:val="24"/>
          <w:highlight w:val="none"/>
        </w:rPr>
      </w:pPr>
    </w:p>
    <w:p>
      <w:pPr>
        <w:spacing w:line="480" w:lineRule="auto"/>
        <w:rPr>
          <w:rFonts w:ascii="宋体" w:hAnsi="宋体"/>
          <w:color w:val="auto"/>
          <w:kern w:val="0"/>
          <w:sz w:val="24"/>
          <w:highlight w:val="none"/>
        </w:rPr>
      </w:pPr>
    </w:p>
    <w:p>
      <w:pPr>
        <w:spacing w:line="480" w:lineRule="auto"/>
        <w:rPr>
          <w:rFonts w:ascii="宋体" w:hAnsi="宋体"/>
          <w:color w:val="auto"/>
          <w:kern w:val="0"/>
          <w:sz w:val="24"/>
          <w:highlight w:val="none"/>
        </w:rPr>
      </w:pPr>
    </w:p>
    <w:p>
      <w:pPr>
        <w:spacing w:line="480" w:lineRule="auto"/>
        <w:jc w:val="left"/>
        <w:rPr>
          <w:rFonts w:ascii="宋体" w:hAnsi="宋体"/>
          <w:color w:val="auto"/>
          <w:kern w:val="0"/>
          <w:szCs w:val="21"/>
          <w:highlight w:val="none"/>
        </w:rPr>
      </w:pPr>
      <w:r>
        <w:rPr>
          <w:rFonts w:ascii="宋体" w:hAnsi="宋体"/>
          <w:color w:val="auto"/>
          <w:kern w:val="0"/>
          <w:sz w:val="24"/>
          <w:highlight w:val="none"/>
        </w:rPr>
        <w:t xml:space="preserve">                                </w:t>
      </w:r>
      <w:r>
        <w:rPr>
          <w:rFonts w:ascii="宋体" w:hAnsi="宋体"/>
          <w:color w:val="auto"/>
          <w:kern w:val="0"/>
          <w:szCs w:val="21"/>
          <w:highlight w:val="none"/>
        </w:rPr>
        <w:t>招标人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ascii="宋体" w:hAnsi="宋体"/>
          <w:snapToGrid w:val="0"/>
          <w:color w:val="auto"/>
          <w:kern w:val="0"/>
          <w:szCs w:val="21"/>
          <w:highlight w:val="none"/>
        </w:rPr>
        <w:t>盖单位法人章</w:t>
      </w:r>
      <w:r>
        <w:rPr>
          <w:rFonts w:ascii="宋体" w:hAnsi="宋体"/>
          <w:color w:val="auto"/>
          <w:kern w:val="0"/>
          <w:szCs w:val="21"/>
          <w:highlight w:val="none"/>
        </w:rPr>
        <w:t>）</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法定代表人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spacing w:line="480" w:lineRule="auto"/>
        <w:jc w:val="left"/>
        <w:rPr>
          <w:rFonts w:ascii="宋体" w:hAnsi="宋体"/>
          <w:color w:val="auto"/>
          <w:kern w:val="0"/>
          <w:szCs w:val="21"/>
          <w:highlight w:val="none"/>
          <w:u w:val="singl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联系人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联系电话</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right"/>
        <w:rPr>
          <w:rFonts w:ascii="宋体" w:hAnsi="宋体"/>
          <w:color w:val="auto"/>
          <w:kern w:val="0"/>
          <w:szCs w:val="21"/>
          <w:highlight w:val="none"/>
        </w:rPr>
      </w:pPr>
    </w:p>
    <w:p>
      <w:pPr>
        <w:spacing w:line="480" w:lineRule="auto"/>
        <w:jc w:val="right"/>
        <w:rPr>
          <w:rFonts w:ascii="宋体" w:hAnsi="宋体"/>
          <w:color w:val="auto"/>
          <w:kern w:val="0"/>
          <w:szCs w:val="21"/>
          <w:highlight w:val="none"/>
        </w:rPr>
      </w:pPr>
    </w:p>
    <w:p>
      <w:pPr>
        <w:spacing w:line="480" w:lineRule="auto"/>
        <w:jc w:val="right"/>
        <w:rPr>
          <w:rFonts w:ascii="宋体" w:hAnsi="宋体"/>
          <w:color w:val="auto"/>
          <w:kern w:val="0"/>
          <w:sz w:val="24"/>
          <w:highlight w:val="none"/>
        </w:rPr>
      </w:pPr>
      <w:r>
        <w:rPr>
          <w:rFonts w:ascii="宋体" w:hAnsi="宋体"/>
          <w:color w:val="auto"/>
          <w:kern w:val="0"/>
          <w:szCs w:val="21"/>
          <w:highlight w:val="none"/>
        </w:rPr>
        <w:t xml:space="preserve">                   签发日期</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年</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spacing w:line="200" w:lineRule="exact"/>
        <w:rPr>
          <w:rFonts w:ascii="宋体" w:hAnsi="宋体"/>
          <w:color w:val="auto"/>
          <w:kern w:val="0"/>
          <w:highlight w:val="none"/>
        </w:rPr>
      </w:pPr>
      <w:r>
        <w:rPr>
          <w:rFonts w:ascii="宋体" w:hAnsi="宋体"/>
          <w:color w:val="auto"/>
          <w:kern w:val="0"/>
          <w:sz w:val="24"/>
          <w:highlight w:val="none"/>
        </w:rPr>
        <w:br w:type="page"/>
      </w:r>
      <w:bookmarkStart w:id="654" w:name="招标文件03章02评标办法综合评估法"/>
      <w:bookmarkEnd w:id="654"/>
      <w:bookmarkStart w:id="655" w:name="招标文件03章02评标办法综合评估法00"/>
      <w:bookmarkEnd w:id="655"/>
      <w:bookmarkStart w:id="656" w:name="_Toc277082618"/>
      <w:bookmarkStart w:id="657" w:name="_Toc200513198"/>
      <w:bookmarkStart w:id="658" w:name="_Toc224103384"/>
      <w:bookmarkStart w:id="659" w:name="_Toc287620751"/>
      <w:bookmarkStart w:id="660" w:name="_Toc430530500"/>
      <w:bookmarkStart w:id="661" w:name="_Toc287607812"/>
    </w:p>
    <w:p>
      <w:pPr>
        <w:pStyle w:val="3"/>
        <w:spacing w:line="360" w:lineRule="auto"/>
        <w:ind w:firstLine="883" w:firstLineChars="200"/>
        <w:jc w:val="center"/>
        <w:rPr>
          <w:rFonts w:ascii="宋体" w:hAnsi="宋体"/>
          <w:color w:val="auto"/>
          <w:highlight w:val="none"/>
        </w:rPr>
      </w:pPr>
      <w:bookmarkStart w:id="662" w:name="_Toc509218774"/>
      <w:bookmarkStart w:id="663" w:name="_Toc29305"/>
      <w:bookmarkStart w:id="664" w:name="_Toc1128"/>
      <w:bookmarkStart w:id="665" w:name="_Toc9889"/>
      <w:bookmarkStart w:id="666" w:name="_Toc19997"/>
      <w:r>
        <w:rPr>
          <w:rFonts w:ascii="宋体" w:hAnsi="宋体"/>
          <w:color w:val="auto"/>
          <w:highlight w:val="none"/>
        </w:rPr>
        <w:t xml:space="preserve">第三章 </w:t>
      </w:r>
      <w:r>
        <w:rPr>
          <w:rFonts w:hint="eastAsia" w:ascii="宋体" w:hAnsi="宋体"/>
          <w:color w:val="auto"/>
          <w:highlight w:val="none"/>
        </w:rPr>
        <w:t xml:space="preserve"> </w:t>
      </w:r>
      <w:r>
        <w:rPr>
          <w:rFonts w:ascii="宋体" w:hAnsi="宋体"/>
          <w:color w:val="auto"/>
          <w:highlight w:val="none"/>
        </w:rPr>
        <w:t>评标办法（综合评估法）</w:t>
      </w:r>
      <w:bookmarkEnd w:id="662"/>
      <w:bookmarkEnd w:id="663"/>
      <w:bookmarkEnd w:id="664"/>
      <w:bookmarkEnd w:id="665"/>
      <w:bookmarkEnd w:id="666"/>
      <w:bookmarkStart w:id="667" w:name="_Toc287620750"/>
      <w:bookmarkStart w:id="668" w:name="_Toc224103383"/>
      <w:bookmarkStart w:id="669" w:name="_Toc430530499"/>
      <w:bookmarkStart w:id="670" w:name="_Toc287607811"/>
      <w:bookmarkStart w:id="671" w:name="_Toc277082617"/>
    </w:p>
    <w:p>
      <w:pPr>
        <w:pStyle w:val="4"/>
        <w:spacing w:before="100" w:after="100" w:line="360" w:lineRule="auto"/>
        <w:rPr>
          <w:rFonts w:ascii="宋体" w:hAnsi="宋体"/>
          <w:color w:val="auto"/>
          <w:highlight w:val="none"/>
        </w:rPr>
      </w:pPr>
      <w:bookmarkStart w:id="672" w:name="_Toc509218775"/>
      <w:bookmarkStart w:id="673" w:name="_Toc18347"/>
      <w:bookmarkStart w:id="674" w:name="_Toc10627"/>
      <w:bookmarkStart w:id="675" w:name="_Toc3462"/>
      <w:bookmarkStart w:id="676" w:name="_Toc26029"/>
      <w:r>
        <w:rPr>
          <w:rFonts w:hint="eastAsia" w:ascii="宋体" w:hAnsi="宋体"/>
          <w:color w:val="auto"/>
          <w:highlight w:val="none"/>
        </w:rPr>
        <w:t>评标办法前附表</w:t>
      </w:r>
      <w:bookmarkEnd w:id="672"/>
      <w:bookmarkEnd w:id="673"/>
      <w:bookmarkEnd w:id="674"/>
      <w:bookmarkEnd w:id="675"/>
      <w:bookmarkEnd w:id="676"/>
    </w:p>
    <w:p>
      <w:pPr>
        <w:spacing w:line="360" w:lineRule="auto"/>
        <w:ind w:firstLine="420" w:firstLineChars="200"/>
        <w:rPr>
          <w:color w:val="auto"/>
          <w:szCs w:val="21"/>
          <w:highlight w:val="none"/>
        </w:rPr>
      </w:pPr>
      <w:r>
        <w:rPr>
          <w:color w:val="auto"/>
          <w:szCs w:val="21"/>
          <w:highlight w:val="none"/>
        </w:rPr>
        <w:t>评标办法中的评审内容必须和投标人须知中的对应内容一致，若投标人须知中未作要求的内容，不得列入评标办法作为评定依据。</w:t>
      </w:r>
    </w:p>
    <w:bookmarkEnd w:id="667"/>
    <w:bookmarkEnd w:id="668"/>
    <w:bookmarkEnd w:id="669"/>
    <w:bookmarkEnd w:id="670"/>
    <w:bookmarkEnd w:id="671"/>
    <w:tbl>
      <w:tblPr>
        <w:tblStyle w:val="45"/>
        <w:tblW w:w="947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18"/>
        <w:gridCol w:w="37"/>
        <w:gridCol w:w="567"/>
        <w:gridCol w:w="692"/>
        <w:gridCol w:w="854"/>
        <w:gridCol w:w="1318"/>
        <w:gridCol w:w="518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22" w:type="dxa"/>
            <w:gridSpan w:val="3"/>
            <w:vAlign w:val="center"/>
          </w:tcPr>
          <w:p>
            <w:pPr>
              <w:spacing w:line="400" w:lineRule="exact"/>
              <w:jc w:val="center"/>
              <w:rPr>
                <w:rFonts w:ascii="宋体" w:hAnsi="宋体"/>
                <w:b/>
                <w:color w:val="auto"/>
                <w:kern w:val="0"/>
                <w:highlight w:val="none"/>
              </w:rPr>
            </w:pPr>
            <w:bookmarkStart w:id="677" w:name="_Toc509218776"/>
            <w:r>
              <w:rPr>
                <w:rFonts w:ascii="宋体" w:hAnsi="宋体"/>
                <w:b/>
                <w:color w:val="auto"/>
                <w:kern w:val="0"/>
                <w:highlight w:val="none"/>
              </w:rPr>
              <w:t>条款号</w:t>
            </w:r>
          </w:p>
        </w:tc>
        <w:tc>
          <w:tcPr>
            <w:tcW w:w="2864" w:type="dxa"/>
            <w:gridSpan w:val="3"/>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5189" w:type="dxa"/>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22" w:type="dxa"/>
            <w:gridSpan w:val="3"/>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1</w:t>
            </w:r>
          </w:p>
        </w:tc>
        <w:tc>
          <w:tcPr>
            <w:tcW w:w="2864" w:type="dxa"/>
            <w:gridSpan w:val="3"/>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评标办法</w:t>
            </w:r>
          </w:p>
        </w:tc>
        <w:tc>
          <w:tcPr>
            <w:tcW w:w="5189" w:type="dxa"/>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本次评标采用综合评估法。评标委员会按照本章第 2.2 款规定的评分标准进行评分，按得分由高到低顺序推荐中标候选人，或根据招标人授权直接确定中标人。综合评分相等时，以投标报价低的优先；投标报价相等的，以“投标人在红名单中优先”的原则排序</w:t>
            </w:r>
            <w:r>
              <w:rPr>
                <w:rFonts w:hint="eastAsia" w:ascii="宋体" w:hAnsi="宋体"/>
                <w:color w:val="auto"/>
                <w:spacing w:val="4"/>
                <w:kern w:val="0"/>
                <w:szCs w:val="21"/>
                <w:highlight w:val="none"/>
              </w:rPr>
              <w:t>（其中非联合体投标的，须投标人所属红名单类别包含在招标范围内；联合体投标的，须联合体牵头人在红名单中，并且按照</w:t>
            </w:r>
            <w:r>
              <w:rPr>
                <w:rFonts w:hint="eastAsia" w:ascii="宋体" w:hAnsi="宋体"/>
                <w:color w:val="auto"/>
                <w:spacing w:val="4"/>
                <w:kern w:val="0"/>
                <w:szCs w:val="21"/>
                <w:highlight w:val="none"/>
                <w:lang w:eastAsia="zh-CN"/>
              </w:rPr>
              <w:t>共同投标协议</w:t>
            </w:r>
            <w:r>
              <w:rPr>
                <w:rFonts w:hint="eastAsia" w:ascii="宋体" w:hAnsi="宋体"/>
                <w:color w:val="auto"/>
                <w:spacing w:val="4"/>
                <w:kern w:val="0"/>
                <w:szCs w:val="21"/>
                <w:highlight w:val="none"/>
              </w:rPr>
              <w:t>牵头人所属红名单类别包含在其工作范围内。），投标人是否属于红名单，以开标环节信用状况查询结果为准</w:t>
            </w:r>
            <w:r>
              <w:rPr>
                <w:rFonts w:hint="eastAsia" w:ascii="宋体" w:hAnsi="宋体"/>
                <w:color w:val="auto"/>
                <w:kern w:val="0"/>
                <w:highlight w:val="none"/>
              </w:rPr>
              <w:t>；投标人均在红名单中或均不在红名单中的，由评标委员会按照</w:t>
            </w:r>
            <w:r>
              <w:rPr>
                <w:rFonts w:hint="eastAsia" w:ascii="宋体" w:hAnsi="宋体"/>
                <w:color w:val="auto"/>
                <w:kern w:val="0"/>
                <w:highlight w:val="none"/>
                <w:u w:val="single"/>
              </w:rPr>
              <w:t xml:space="preserve">         </w:t>
            </w:r>
            <w:r>
              <w:rPr>
                <w:rFonts w:hint="eastAsia" w:ascii="宋体" w:hAnsi="宋体"/>
                <w:color w:val="auto"/>
                <w:kern w:val="0"/>
                <w:highlight w:val="none"/>
              </w:rPr>
              <w:t>原则排序。</w:t>
            </w:r>
            <w:r>
              <w:rPr>
                <w:rFonts w:hint="eastAsia" w:ascii="宋体" w:hAnsi="宋体"/>
                <w:i/>
                <w:color w:val="auto"/>
                <w:kern w:val="0"/>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rPr>
              <w:t>，但不得采用抽签、摇号方式直接确定中标候选人</w:t>
            </w:r>
            <w:r>
              <w:rPr>
                <w:rFonts w:hint="eastAsia" w:ascii="宋体" w:hAnsi="宋体"/>
                <w:i/>
                <w:color w:val="auto"/>
                <w:kern w:val="0"/>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gridSpan w:val="2"/>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2.1.</w:t>
            </w:r>
            <w:r>
              <w:rPr>
                <w:rFonts w:hint="eastAsia" w:ascii="宋体" w:hAnsi="宋体"/>
                <w:color w:val="auto"/>
                <w:kern w:val="0"/>
                <w:highlight w:val="none"/>
              </w:rPr>
              <w:t>1</w:t>
            </w:r>
          </w:p>
        </w:tc>
        <w:tc>
          <w:tcPr>
            <w:tcW w:w="567"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资格评审标准</w:t>
            </w:r>
          </w:p>
        </w:tc>
        <w:tc>
          <w:tcPr>
            <w:tcW w:w="2864" w:type="dxa"/>
            <w:gridSpan w:val="3"/>
            <w:tcBorders>
              <w:left w:val="single" w:color="auto" w:sz="4" w:space="0"/>
            </w:tcBorders>
            <w:vAlign w:val="center"/>
          </w:tcPr>
          <w:p>
            <w:pPr>
              <w:spacing w:line="400" w:lineRule="exact"/>
              <w:jc w:val="left"/>
              <w:rPr>
                <w:rFonts w:ascii="宋体" w:hAnsi="宋体"/>
                <w:color w:val="auto"/>
                <w:kern w:val="0"/>
                <w:highlight w:val="none"/>
              </w:rPr>
            </w:pPr>
            <w:r>
              <w:rPr>
                <w:rFonts w:hint="eastAsia" w:ascii="宋体" w:hAnsi="宋体"/>
                <w:color w:val="auto"/>
                <w:kern w:val="0"/>
                <w:highlight w:val="none"/>
              </w:rPr>
              <w:t>资质条件</w:t>
            </w:r>
          </w:p>
        </w:tc>
        <w:tc>
          <w:tcPr>
            <w:tcW w:w="5189"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55" w:type="dxa"/>
            <w:gridSpan w:val="2"/>
            <w:vMerge w:val="continue"/>
            <w:tcBorders>
              <w:right w:val="single" w:color="auto" w:sz="4" w:space="0"/>
            </w:tcBorders>
          </w:tcPr>
          <w:p>
            <w:pPr>
              <w:spacing w:line="400" w:lineRule="exact"/>
              <w:jc w:val="center"/>
              <w:rPr>
                <w:rFonts w:ascii="宋体" w:hAnsi="宋体"/>
                <w:color w:val="auto"/>
                <w:kern w:val="0"/>
                <w:highlight w:val="none"/>
              </w:rPr>
            </w:pPr>
          </w:p>
        </w:tc>
        <w:tc>
          <w:tcPr>
            <w:tcW w:w="567" w:type="dxa"/>
            <w:vMerge w:val="continue"/>
            <w:tcBorders>
              <w:right w:val="single" w:color="auto" w:sz="4" w:space="0"/>
            </w:tcBorders>
          </w:tcPr>
          <w:p>
            <w:pPr>
              <w:spacing w:line="400" w:lineRule="exact"/>
              <w:jc w:val="center"/>
              <w:rPr>
                <w:rFonts w:ascii="宋体" w:hAnsi="宋体"/>
                <w:color w:val="auto"/>
                <w:kern w:val="0"/>
                <w:highlight w:val="none"/>
              </w:rPr>
            </w:pPr>
          </w:p>
        </w:tc>
        <w:tc>
          <w:tcPr>
            <w:tcW w:w="2864" w:type="dxa"/>
            <w:gridSpan w:val="3"/>
            <w:tcBorders>
              <w:left w:val="single" w:color="auto" w:sz="4" w:space="0"/>
            </w:tcBorders>
          </w:tcPr>
          <w:p>
            <w:pPr>
              <w:spacing w:line="400" w:lineRule="exact"/>
              <w:jc w:val="left"/>
              <w:rPr>
                <w:rFonts w:ascii="宋体" w:hAnsi="宋体"/>
                <w:color w:val="auto"/>
                <w:kern w:val="0"/>
                <w:highlight w:val="none"/>
              </w:rPr>
            </w:pPr>
            <w:r>
              <w:rPr>
                <w:rFonts w:hint="eastAsia" w:ascii="宋体" w:hAnsi="宋体"/>
                <w:color w:val="auto"/>
                <w:kern w:val="0"/>
                <w:highlight w:val="none"/>
              </w:rPr>
              <w:t>营业执照</w:t>
            </w:r>
          </w:p>
        </w:tc>
        <w:tc>
          <w:tcPr>
            <w:tcW w:w="5189"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gridSpan w:val="2"/>
            <w:vMerge w:val="continue"/>
            <w:tcBorders>
              <w:right w:val="single" w:color="auto" w:sz="4" w:space="0"/>
            </w:tcBorders>
          </w:tcPr>
          <w:p>
            <w:pPr>
              <w:spacing w:line="400" w:lineRule="exact"/>
              <w:jc w:val="center"/>
              <w:rPr>
                <w:rFonts w:ascii="宋体" w:hAnsi="宋体"/>
                <w:color w:val="auto"/>
                <w:kern w:val="0"/>
                <w:highlight w:val="none"/>
              </w:rPr>
            </w:pPr>
          </w:p>
        </w:tc>
        <w:tc>
          <w:tcPr>
            <w:tcW w:w="567" w:type="dxa"/>
            <w:vMerge w:val="continue"/>
            <w:tcBorders>
              <w:right w:val="single" w:color="auto" w:sz="4" w:space="0"/>
            </w:tcBorders>
          </w:tcPr>
          <w:p>
            <w:pPr>
              <w:spacing w:line="400" w:lineRule="exact"/>
              <w:jc w:val="center"/>
              <w:rPr>
                <w:rFonts w:ascii="宋体" w:hAnsi="宋体"/>
                <w:color w:val="auto"/>
                <w:kern w:val="0"/>
                <w:highlight w:val="none"/>
              </w:rPr>
            </w:pPr>
          </w:p>
        </w:tc>
        <w:tc>
          <w:tcPr>
            <w:tcW w:w="2864" w:type="dxa"/>
            <w:gridSpan w:val="3"/>
            <w:tcBorders>
              <w:left w:val="single" w:color="auto" w:sz="4" w:space="0"/>
            </w:tcBorders>
          </w:tcPr>
          <w:p>
            <w:pPr>
              <w:spacing w:line="400" w:lineRule="exact"/>
              <w:jc w:val="left"/>
              <w:rPr>
                <w:rFonts w:ascii="宋体" w:hAnsi="宋体"/>
                <w:color w:val="auto"/>
                <w:kern w:val="0"/>
                <w:highlight w:val="none"/>
              </w:rPr>
            </w:pPr>
            <w:r>
              <w:rPr>
                <w:rFonts w:hint="eastAsia" w:ascii="宋体" w:hAnsi="宋体"/>
                <w:color w:val="auto"/>
                <w:kern w:val="0"/>
                <w:highlight w:val="none"/>
              </w:rPr>
              <w:t>安全生产条件</w:t>
            </w:r>
          </w:p>
        </w:tc>
        <w:tc>
          <w:tcPr>
            <w:tcW w:w="5189"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gridSpan w:val="2"/>
            <w:vMerge w:val="continue"/>
            <w:tcBorders>
              <w:right w:val="single" w:color="auto" w:sz="4" w:space="0"/>
            </w:tcBorders>
          </w:tcPr>
          <w:p>
            <w:pPr>
              <w:spacing w:line="400" w:lineRule="exact"/>
              <w:jc w:val="center"/>
              <w:rPr>
                <w:rFonts w:ascii="宋体" w:hAnsi="宋体"/>
                <w:color w:val="auto"/>
                <w:kern w:val="0"/>
                <w:highlight w:val="none"/>
              </w:rPr>
            </w:pPr>
          </w:p>
        </w:tc>
        <w:tc>
          <w:tcPr>
            <w:tcW w:w="567" w:type="dxa"/>
            <w:vMerge w:val="continue"/>
            <w:tcBorders>
              <w:right w:val="single" w:color="auto" w:sz="4" w:space="0"/>
            </w:tcBorders>
          </w:tcPr>
          <w:p>
            <w:pPr>
              <w:spacing w:line="400" w:lineRule="exact"/>
              <w:jc w:val="center"/>
              <w:rPr>
                <w:rFonts w:ascii="宋体" w:hAnsi="宋体"/>
                <w:color w:val="auto"/>
                <w:kern w:val="0"/>
                <w:highlight w:val="none"/>
              </w:rPr>
            </w:pPr>
          </w:p>
        </w:tc>
        <w:tc>
          <w:tcPr>
            <w:tcW w:w="2864" w:type="dxa"/>
            <w:gridSpan w:val="3"/>
            <w:tcBorders>
              <w:left w:val="single" w:color="auto" w:sz="4" w:space="0"/>
            </w:tcBorders>
            <w:vAlign w:val="center"/>
          </w:tcPr>
          <w:p>
            <w:pPr>
              <w:spacing w:line="400" w:lineRule="exact"/>
              <w:jc w:val="left"/>
              <w:rPr>
                <w:rFonts w:ascii="宋体" w:hAnsi="宋体"/>
                <w:color w:val="auto"/>
                <w:kern w:val="0"/>
                <w:highlight w:val="none"/>
              </w:rPr>
            </w:pPr>
            <w:r>
              <w:rPr>
                <w:rFonts w:hint="eastAsia" w:ascii="宋体" w:hAnsi="宋体" w:cs="宋体"/>
                <w:color w:val="auto"/>
                <w:kern w:val="0"/>
                <w:highlight w:val="none"/>
              </w:rPr>
              <w:t>□</w:t>
            </w:r>
            <w:r>
              <w:rPr>
                <w:rFonts w:ascii="宋体" w:hAnsi="宋体"/>
                <w:color w:val="auto"/>
                <w:kern w:val="0"/>
                <w:highlight w:val="none"/>
              </w:rPr>
              <w:t>财务</w:t>
            </w:r>
            <w:r>
              <w:rPr>
                <w:rFonts w:hint="eastAsia" w:ascii="宋体" w:hAnsi="宋体"/>
                <w:color w:val="auto"/>
                <w:kern w:val="0"/>
                <w:highlight w:val="none"/>
              </w:rPr>
              <w:t>要求</w:t>
            </w:r>
          </w:p>
        </w:tc>
        <w:tc>
          <w:tcPr>
            <w:tcW w:w="5189"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gridSpan w:val="2"/>
            <w:vMerge w:val="continue"/>
            <w:tcBorders>
              <w:right w:val="single" w:color="auto" w:sz="4" w:space="0"/>
            </w:tcBorders>
          </w:tcPr>
          <w:p>
            <w:pPr>
              <w:spacing w:line="400" w:lineRule="exact"/>
              <w:jc w:val="center"/>
              <w:rPr>
                <w:rFonts w:ascii="宋体" w:hAnsi="宋体"/>
                <w:color w:val="auto"/>
                <w:kern w:val="0"/>
                <w:highlight w:val="none"/>
              </w:rPr>
            </w:pPr>
          </w:p>
        </w:tc>
        <w:tc>
          <w:tcPr>
            <w:tcW w:w="567" w:type="dxa"/>
            <w:vMerge w:val="continue"/>
            <w:tcBorders>
              <w:right w:val="single" w:color="auto" w:sz="4" w:space="0"/>
            </w:tcBorders>
          </w:tcPr>
          <w:p>
            <w:pPr>
              <w:spacing w:line="400" w:lineRule="exact"/>
              <w:jc w:val="center"/>
              <w:rPr>
                <w:rFonts w:ascii="宋体" w:hAnsi="宋体"/>
                <w:color w:val="auto"/>
                <w:kern w:val="0"/>
                <w:highlight w:val="none"/>
              </w:rPr>
            </w:pPr>
          </w:p>
        </w:tc>
        <w:tc>
          <w:tcPr>
            <w:tcW w:w="2864" w:type="dxa"/>
            <w:gridSpan w:val="3"/>
            <w:tcBorders>
              <w:left w:val="single" w:color="auto" w:sz="4" w:space="0"/>
            </w:tcBorders>
          </w:tcPr>
          <w:p>
            <w:pPr>
              <w:spacing w:line="400" w:lineRule="exact"/>
              <w:jc w:val="left"/>
              <w:rPr>
                <w:rFonts w:ascii="宋体" w:hAnsi="宋体"/>
                <w:color w:val="auto"/>
                <w:kern w:val="0"/>
                <w:highlight w:val="none"/>
              </w:rPr>
            </w:pPr>
            <w:r>
              <w:rPr>
                <w:rFonts w:hint="eastAsia" w:ascii="宋体" w:hAnsi="宋体" w:cs="宋体"/>
                <w:color w:val="auto"/>
                <w:kern w:val="0"/>
                <w:highlight w:val="none"/>
              </w:rPr>
              <w:t>□</w:t>
            </w:r>
            <w:r>
              <w:rPr>
                <w:rFonts w:hint="eastAsia" w:ascii="宋体" w:hAnsi="宋体"/>
                <w:color w:val="auto"/>
                <w:kern w:val="0"/>
                <w:highlight w:val="none"/>
              </w:rPr>
              <w:t>业绩要求</w:t>
            </w:r>
          </w:p>
        </w:tc>
        <w:tc>
          <w:tcPr>
            <w:tcW w:w="5189"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55" w:type="dxa"/>
            <w:gridSpan w:val="2"/>
            <w:vMerge w:val="continue"/>
            <w:tcBorders>
              <w:right w:val="single" w:color="auto" w:sz="4" w:space="0"/>
            </w:tcBorders>
          </w:tcPr>
          <w:p>
            <w:pPr>
              <w:spacing w:line="400" w:lineRule="exact"/>
              <w:jc w:val="center"/>
              <w:rPr>
                <w:rFonts w:ascii="宋体" w:hAnsi="宋体"/>
                <w:color w:val="auto"/>
                <w:kern w:val="0"/>
                <w:highlight w:val="none"/>
              </w:rPr>
            </w:pPr>
          </w:p>
        </w:tc>
        <w:tc>
          <w:tcPr>
            <w:tcW w:w="567" w:type="dxa"/>
            <w:vMerge w:val="continue"/>
            <w:tcBorders>
              <w:right w:val="single" w:color="auto" w:sz="4" w:space="0"/>
            </w:tcBorders>
          </w:tcPr>
          <w:p>
            <w:pPr>
              <w:spacing w:line="400" w:lineRule="exact"/>
              <w:jc w:val="center"/>
              <w:rPr>
                <w:rFonts w:ascii="宋体" w:hAnsi="宋体"/>
                <w:color w:val="auto"/>
                <w:kern w:val="0"/>
                <w:highlight w:val="none"/>
              </w:rPr>
            </w:pPr>
          </w:p>
        </w:tc>
        <w:tc>
          <w:tcPr>
            <w:tcW w:w="2864" w:type="dxa"/>
            <w:gridSpan w:val="3"/>
            <w:tcBorders>
              <w:left w:val="single" w:color="auto" w:sz="4" w:space="0"/>
            </w:tcBorders>
          </w:tcPr>
          <w:p>
            <w:pPr>
              <w:spacing w:line="400" w:lineRule="exact"/>
              <w:jc w:val="left"/>
              <w:rPr>
                <w:rFonts w:ascii="宋体" w:hAnsi="宋体"/>
                <w:color w:val="auto"/>
                <w:kern w:val="0"/>
                <w:highlight w:val="none"/>
              </w:rPr>
            </w:pPr>
            <w:r>
              <w:rPr>
                <w:rFonts w:ascii="宋体" w:hAnsi="宋体"/>
                <w:color w:val="auto"/>
                <w:szCs w:val="21"/>
                <w:highlight w:val="none"/>
              </w:rPr>
              <w:t>投标截止日投标资格情况</w:t>
            </w:r>
          </w:p>
        </w:tc>
        <w:tc>
          <w:tcPr>
            <w:tcW w:w="5189"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gridSpan w:val="2"/>
            <w:vMerge w:val="continue"/>
            <w:tcBorders>
              <w:right w:val="single" w:color="auto" w:sz="4" w:space="0"/>
            </w:tcBorders>
          </w:tcPr>
          <w:p>
            <w:pPr>
              <w:spacing w:line="400" w:lineRule="exact"/>
              <w:jc w:val="center"/>
              <w:rPr>
                <w:rFonts w:ascii="宋体" w:hAnsi="宋体"/>
                <w:color w:val="auto"/>
                <w:kern w:val="0"/>
                <w:highlight w:val="none"/>
              </w:rPr>
            </w:pPr>
          </w:p>
        </w:tc>
        <w:tc>
          <w:tcPr>
            <w:tcW w:w="567" w:type="dxa"/>
            <w:vMerge w:val="continue"/>
            <w:tcBorders>
              <w:right w:val="single" w:color="auto" w:sz="4" w:space="0"/>
            </w:tcBorders>
          </w:tcPr>
          <w:p>
            <w:pPr>
              <w:spacing w:line="400" w:lineRule="exact"/>
              <w:jc w:val="center"/>
              <w:rPr>
                <w:rFonts w:ascii="宋体" w:hAnsi="宋体"/>
                <w:color w:val="auto"/>
                <w:kern w:val="0"/>
                <w:highlight w:val="none"/>
              </w:rPr>
            </w:pPr>
          </w:p>
        </w:tc>
        <w:tc>
          <w:tcPr>
            <w:tcW w:w="2864" w:type="dxa"/>
            <w:gridSpan w:val="3"/>
            <w:tcBorders>
              <w:left w:val="single" w:color="auto" w:sz="4" w:space="0"/>
            </w:tcBorders>
          </w:tcPr>
          <w:p>
            <w:pPr>
              <w:spacing w:line="400" w:lineRule="exact"/>
              <w:jc w:val="left"/>
              <w:rPr>
                <w:rFonts w:ascii="宋体" w:hAnsi="宋体"/>
                <w:color w:val="auto"/>
                <w:kern w:val="0"/>
                <w:highlight w:val="none"/>
              </w:rPr>
            </w:pPr>
            <w:r>
              <w:rPr>
                <w:rFonts w:ascii="宋体" w:hAnsi="宋体"/>
                <w:color w:val="auto"/>
                <w:kern w:val="0"/>
                <w:highlight w:val="none"/>
              </w:rPr>
              <w:t>项目经理资格</w:t>
            </w:r>
            <w:r>
              <w:rPr>
                <w:rFonts w:hint="eastAsia" w:ascii="宋体" w:hAnsi="宋体"/>
                <w:color w:val="auto"/>
                <w:kern w:val="0"/>
                <w:highlight w:val="none"/>
              </w:rPr>
              <w:t>要求</w:t>
            </w:r>
          </w:p>
        </w:tc>
        <w:tc>
          <w:tcPr>
            <w:tcW w:w="5189"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gridSpan w:val="2"/>
            <w:vMerge w:val="continue"/>
            <w:tcBorders>
              <w:right w:val="single" w:color="auto" w:sz="4" w:space="0"/>
            </w:tcBorders>
          </w:tcPr>
          <w:p>
            <w:pPr>
              <w:spacing w:line="400" w:lineRule="exact"/>
              <w:jc w:val="center"/>
              <w:rPr>
                <w:rFonts w:ascii="宋体" w:hAnsi="宋体"/>
                <w:color w:val="auto"/>
                <w:kern w:val="0"/>
                <w:highlight w:val="none"/>
              </w:rPr>
            </w:pPr>
          </w:p>
        </w:tc>
        <w:tc>
          <w:tcPr>
            <w:tcW w:w="567" w:type="dxa"/>
            <w:vMerge w:val="continue"/>
            <w:tcBorders>
              <w:right w:val="single" w:color="auto" w:sz="4" w:space="0"/>
            </w:tcBorders>
          </w:tcPr>
          <w:p>
            <w:pPr>
              <w:spacing w:line="400" w:lineRule="exact"/>
              <w:jc w:val="center"/>
              <w:rPr>
                <w:rFonts w:ascii="宋体" w:hAnsi="宋体"/>
                <w:color w:val="auto"/>
                <w:kern w:val="0"/>
                <w:highlight w:val="none"/>
              </w:rPr>
            </w:pPr>
          </w:p>
        </w:tc>
        <w:tc>
          <w:tcPr>
            <w:tcW w:w="2864" w:type="dxa"/>
            <w:gridSpan w:val="3"/>
            <w:tcBorders>
              <w:left w:val="single" w:color="auto" w:sz="4" w:space="0"/>
            </w:tcBorders>
          </w:tcPr>
          <w:p>
            <w:pPr>
              <w:spacing w:line="400" w:lineRule="exact"/>
              <w:jc w:val="left"/>
              <w:rPr>
                <w:rFonts w:ascii="宋体" w:hAnsi="宋体"/>
                <w:color w:val="auto"/>
                <w:kern w:val="0"/>
                <w:highlight w:val="none"/>
              </w:rPr>
            </w:pPr>
            <w:r>
              <w:rPr>
                <w:rFonts w:ascii="宋体" w:hAnsi="宋体"/>
                <w:color w:val="auto"/>
                <w:kern w:val="0"/>
                <w:highlight w:val="none"/>
              </w:rPr>
              <w:t>其他要求</w:t>
            </w:r>
          </w:p>
        </w:tc>
        <w:tc>
          <w:tcPr>
            <w:tcW w:w="5189"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gridSpan w:val="2"/>
            <w:vMerge w:val="continue"/>
            <w:tcBorders>
              <w:right w:val="single" w:color="auto" w:sz="4" w:space="0"/>
            </w:tcBorders>
          </w:tcPr>
          <w:p>
            <w:pPr>
              <w:spacing w:line="400" w:lineRule="exact"/>
              <w:jc w:val="center"/>
              <w:rPr>
                <w:rFonts w:ascii="宋体" w:hAnsi="宋体"/>
                <w:color w:val="auto"/>
                <w:kern w:val="0"/>
                <w:highlight w:val="none"/>
              </w:rPr>
            </w:pPr>
          </w:p>
        </w:tc>
        <w:tc>
          <w:tcPr>
            <w:tcW w:w="567" w:type="dxa"/>
            <w:vMerge w:val="continue"/>
            <w:tcBorders>
              <w:right w:val="single" w:color="auto" w:sz="4" w:space="0"/>
            </w:tcBorders>
          </w:tcPr>
          <w:p>
            <w:pPr>
              <w:spacing w:line="400" w:lineRule="exact"/>
              <w:jc w:val="center"/>
              <w:rPr>
                <w:rFonts w:ascii="宋体" w:hAnsi="宋体"/>
                <w:color w:val="auto"/>
                <w:kern w:val="0"/>
                <w:highlight w:val="none"/>
              </w:rPr>
            </w:pPr>
          </w:p>
        </w:tc>
        <w:tc>
          <w:tcPr>
            <w:tcW w:w="2864" w:type="dxa"/>
            <w:gridSpan w:val="3"/>
            <w:tcBorders>
              <w:left w:val="single" w:color="auto" w:sz="4" w:space="0"/>
            </w:tcBorders>
          </w:tcPr>
          <w:p>
            <w:pPr>
              <w:spacing w:line="400" w:lineRule="exact"/>
              <w:jc w:val="left"/>
              <w:rPr>
                <w:rFonts w:ascii="宋体" w:hAnsi="宋体"/>
                <w:color w:val="auto"/>
                <w:kern w:val="0"/>
                <w:highlight w:val="none"/>
              </w:rPr>
            </w:pPr>
            <w:r>
              <w:rPr>
                <w:rFonts w:hint="eastAsia" w:ascii="宋体" w:hAnsi="宋体" w:cs="宋体"/>
                <w:color w:val="auto"/>
                <w:kern w:val="0"/>
                <w:highlight w:val="none"/>
              </w:rPr>
              <w:t>□</w:t>
            </w:r>
            <w:r>
              <w:rPr>
                <w:rFonts w:ascii="宋体" w:hAnsi="宋体"/>
                <w:color w:val="auto"/>
                <w:kern w:val="0"/>
                <w:highlight w:val="none"/>
              </w:rPr>
              <w:t>联合体投标人</w:t>
            </w:r>
          </w:p>
        </w:tc>
        <w:tc>
          <w:tcPr>
            <w:tcW w:w="5189"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55" w:type="dxa"/>
            <w:gridSpan w:val="2"/>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2.1.</w:t>
            </w:r>
            <w:r>
              <w:rPr>
                <w:rFonts w:hint="eastAsia" w:ascii="宋体" w:hAnsi="宋体"/>
                <w:color w:val="auto"/>
                <w:kern w:val="0"/>
                <w:highlight w:val="none"/>
              </w:rPr>
              <w:t>2</w:t>
            </w:r>
          </w:p>
        </w:tc>
        <w:tc>
          <w:tcPr>
            <w:tcW w:w="567"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形式评审标准</w:t>
            </w:r>
          </w:p>
        </w:tc>
        <w:tc>
          <w:tcPr>
            <w:tcW w:w="2864" w:type="dxa"/>
            <w:gridSpan w:val="3"/>
            <w:tcBorders>
              <w:left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投标人名称</w:t>
            </w:r>
          </w:p>
        </w:tc>
        <w:tc>
          <w:tcPr>
            <w:tcW w:w="5189" w:type="dxa"/>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与营业执照、资质证书、安全生产许可证一致。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gridSpan w:val="2"/>
            <w:vMerge w:val="continue"/>
            <w:tcBorders>
              <w:right w:val="single" w:color="auto" w:sz="4" w:space="0"/>
            </w:tcBorders>
          </w:tcPr>
          <w:p>
            <w:pPr>
              <w:spacing w:line="400" w:lineRule="exact"/>
              <w:jc w:val="center"/>
              <w:rPr>
                <w:rFonts w:ascii="宋体" w:hAnsi="宋体"/>
                <w:color w:val="auto"/>
                <w:kern w:val="0"/>
                <w:highlight w:val="none"/>
              </w:rPr>
            </w:pPr>
          </w:p>
        </w:tc>
        <w:tc>
          <w:tcPr>
            <w:tcW w:w="567" w:type="dxa"/>
            <w:vMerge w:val="continue"/>
            <w:tcBorders>
              <w:right w:val="single" w:color="auto" w:sz="4" w:space="0"/>
            </w:tcBorders>
          </w:tcPr>
          <w:p>
            <w:pPr>
              <w:spacing w:line="400" w:lineRule="exact"/>
              <w:jc w:val="center"/>
              <w:rPr>
                <w:rFonts w:ascii="宋体" w:hAnsi="宋体"/>
                <w:color w:val="auto"/>
                <w:kern w:val="0"/>
                <w:highlight w:val="none"/>
              </w:rPr>
            </w:pPr>
          </w:p>
        </w:tc>
        <w:tc>
          <w:tcPr>
            <w:tcW w:w="2864" w:type="dxa"/>
            <w:gridSpan w:val="3"/>
            <w:tcBorders>
              <w:left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投标文件格式</w:t>
            </w:r>
          </w:p>
        </w:tc>
        <w:tc>
          <w:tcPr>
            <w:tcW w:w="5189" w:type="dxa"/>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w:t>
            </w:r>
            <w:r>
              <w:rPr>
                <w:rFonts w:hint="eastAsia" w:ascii="宋体" w:hAnsi="宋体"/>
                <w:color w:val="auto"/>
                <w:kern w:val="0"/>
                <w:highlight w:val="none"/>
              </w:rPr>
              <w:t>二</w:t>
            </w:r>
            <w:r>
              <w:rPr>
                <w:rFonts w:ascii="宋体" w:hAnsi="宋体"/>
                <w:color w:val="auto"/>
                <w:kern w:val="0"/>
                <w:highlight w:val="none"/>
              </w:rPr>
              <w:t>章“投标</w:t>
            </w:r>
            <w:r>
              <w:rPr>
                <w:rFonts w:hint="eastAsia" w:ascii="宋体" w:hAnsi="宋体"/>
                <w:color w:val="auto"/>
                <w:kern w:val="0"/>
                <w:highlight w:val="none"/>
              </w:rPr>
              <w:t>人须知</w:t>
            </w:r>
            <w:r>
              <w:rPr>
                <w:rFonts w:ascii="宋体" w:hAnsi="宋体"/>
                <w:color w:val="auto"/>
                <w:kern w:val="0"/>
                <w:highlight w:val="none"/>
              </w:rPr>
              <w:t>”</w:t>
            </w:r>
            <w:r>
              <w:rPr>
                <w:rFonts w:hint="eastAsia" w:ascii="宋体" w:hAnsi="宋体"/>
                <w:color w:val="auto"/>
                <w:kern w:val="0"/>
                <w:highlight w:val="none"/>
              </w:rPr>
              <w:t>第3.7款</w:t>
            </w:r>
            <w:r>
              <w:rPr>
                <w:rFonts w:ascii="宋体" w:hAnsi="宋体"/>
                <w:color w:val="auto"/>
                <w:kern w:val="0"/>
                <w:highlight w:val="none"/>
              </w:rPr>
              <w:t>的要求</w:t>
            </w:r>
            <w:r>
              <w:rPr>
                <w:rFonts w:hint="eastAsia" w:ascii="宋体" w:hAnsi="宋体"/>
                <w:color w:val="auto"/>
                <w:kern w:val="0"/>
                <w:highlight w:val="none"/>
              </w:rPr>
              <w:t>（不含投标函部分）</w:t>
            </w:r>
            <w:r>
              <w:rPr>
                <w:rFonts w:ascii="宋体" w:hAnsi="宋体"/>
                <w:color w:val="auto"/>
                <w:kern w:val="0"/>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gridSpan w:val="2"/>
            <w:vMerge w:val="continue"/>
            <w:tcBorders>
              <w:right w:val="single" w:color="auto" w:sz="4" w:space="0"/>
            </w:tcBorders>
          </w:tcPr>
          <w:p>
            <w:pPr>
              <w:spacing w:line="400" w:lineRule="exact"/>
              <w:jc w:val="center"/>
              <w:rPr>
                <w:rFonts w:ascii="宋体" w:hAnsi="宋体"/>
                <w:color w:val="auto"/>
                <w:kern w:val="0"/>
                <w:highlight w:val="none"/>
              </w:rPr>
            </w:pPr>
          </w:p>
        </w:tc>
        <w:tc>
          <w:tcPr>
            <w:tcW w:w="567" w:type="dxa"/>
            <w:vMerge w:val="continue"/>
            <w:tcBorders>
              <w:right w:val="single" w:color="auto" w:sz="4" w:space="0"/>
            </w:tcBorders>
          </w:tcPr>
          <w:p>
            <w:pPr>
              <w:spacing w:line="400" w:lineRule="exact"/>
              <w:jc w:val="center"/>
              <w:rPr>
                <w:rFonts w:ascii="宋体" w:hAnsi="宋体"/>
                <w:color w:val="auto"/>
                <w:kern w:val="0"/>
                <w:highlight w:val="none"/>
              </w:rPr>
            </w:pPr>
          </w:p>
        </w:tc>
        <w:tc>
          <w:tcPr>
            <w:tcW w:w="2864" w:type="dxa"/>
            <w:gridSpan w:val="3"/>
            <w:tcBorders>
              <w:left w:val="single" w:color="auto" w:sz="4" w:space="0"/>
            </w:tcBorders>
            <w:vAlign w:val="center"/>
          </w:tcPr>
          <w:p>
            <w:pPr>
              <w:spacing w:line="400" w:lineRule="exact"/>
              <w:jc w:val="left"/>
              <w:rPr>
                <w:rFonts w:ascii="宋体" w:hAnsi="宋体"/>
                <w:color w:val="auto"/>
                <w:kern w:val="0"/>
                <w:highlight w:val="none"/>
              </w:rPr>
            </w:pPr>
            <w:r>
              <w:rPr>
                <w:rFonts w:hint="eastAsia" w:ascii="宋体" w:hAnsi="宋体" w:cs="宋体"/>
                <w:color w:val="auto"/>
                <w:kern w:val="0"/>
                <w:highlight w:val="none"/>
              </w:rPr>
              <w:t>□</w:t>
            </w:r>
            <w:r>
              <w:rPr>
                <w:rFonts w:ascii="宋体" w:hAnsi="宋体"/>
                <w:color w:val="auto"/>
                <w:kern w:val="0"/>
                <w:highlight w:val="none"/>
              </w:rPr>
              <w:t>联合体投标人</w:t>
            </w:r>
          </w:p>
        </w:tc>
        <w:tc>
          <w:tcPr>
            <w:tcW w:w="5189" w:type="dxa"/>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提交</w:t>
            </w:r>
            <w:r>
              <w:rPr>
                <w:rFonts w:hint="eastAsia" w:ascii="宋体" w:hAnsi="宋体"/>
                <w:color w:val="auto"/>
                <w:kern w:val="0"/>
                <w:highlight w:val="none"/>
                <w:lang w:eastAsia="zh-CN"/>
              </w:rPr>
              <w:t>共同投标协议</w:t>
            </w:r>
            <w:r>
              <w:rPr>
                <w:rFonts w:ascii="宋体" w:hAnsi="宋体"/>
                <w:color w:val="auto"/>
                <w:kern w:val="0"/>
                <w:highlight w:val="none"/>
              </w:rPr>
              <w:t>，并明确联合体牵头人</w:t>
            </w:r>
            <w:r>
              <w:rPr>
                <w:rFonts w:hint="eastAsia" w:ascii="宋体" w:hAnsi="宋体"/>
                <w:color w:val="auto"/>
                <w:kern w:val="0"/>
                <w:highlight w:val="none"/>
              </w:rPr>
              <w:t>。在</w:t>
            </w:r>
            <w:r>
              <w:rPr>
                <w:rFonts w:hint="eastAsia" w:ascii="宋体" w:hAnsi="宋体"/>
                <w:color w:val="auto"/>
                <w:kern w:val="0"/>
                <w:highlight w:val="none"/>
                <w:lang w:eastAsia="zh-CN"/>
              </w:rPr>
              <w:t>共同投标协议</w:t>
            </w:r>
            <w:r>
              <w:rPr>
                <w:rFonts w:hint="eastAsia" w:ascii="宋体" w:hAnsi="宋体"/>
                <w:color w:val="auto"/>
                <w:kern w:val="0"/>
                <w:highlight w:val="none"/>
              </w:rPr>
              <w:t>第5条联合体各成员单位内部的职责分工中填写的联合体所有成员单位名称应与其营业执照、资质证书、安全生产许可证一致。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gridSpan w:val="2"/>
            <w:vMerge w:val="continue"/>
            <w:tcBorders>
              <w:right w:val="single" w:color="auto" w:sz="4" w:space="0"/>
            </w:tcBorders>
          </w:tcPr>
          <w:p>
            <w:pPr>
              <w:spacing w:line="400" w:lineRule="exact"/>
              <w:jc w:val="center"/>
              <w:rPr>
                <w:rFonts w:ascii="宋体" w:hAnsi="宋体"/>
                <w:color w:val="auto"/>
                <w:kern w:val="0"/>
                <w:highlight w:val="none"/>
              </w:rPr>
            </w:pPr>
          </w:p>
        </w:tc>
        <w:tc>
          <w:tcPr>
            <w:tcW w:w="567" w:type="dxa"/>
            <w:vMerge w:val="continue"/>
            <w:tcBorders>
              <w:right w:val="single" w:color="auto" w:sz="4" w:space="0"/>
            </w:tcBorders>
          </w:tcPr>
          <w:p>
            <w:pPr>
              <w:spacing w:line="400" w:lineRule="exact"/>
              <w:jc w:val="center"/>
              <w:rPr>
                <w:rFonts w:ascii="宋体" w:hAnsi="宋体"/>
                <w:color w:val="auto"/>
                <w:kern w:val="0"/>
                <w:highlight w:val="none"/>
              </w:rPr>
            </w:pPr>
          </w:p>
        </w:tc>
        <w:tc>
          <w:tcPr>
            <w:tcW w:w="2864" w:type="dxa"/>
            <w:gridSpan w:val="3"/>
            <w:tcBorders>
              <w:left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投标文件的签署</w:t>
            </w:r>
          </w:p>
        </w:tc>
        <w:tc>
          <w:tcPr>
            <w:tcW w:w="5189" w:type="dxa"/>
            <w:vAlign w:val="center"/>
          </w:tcPr>
          <w:p>
            <w:pPr>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 xml:space="preserve">第八章 </w:t>
            </w:r>
            <w:r>
              <w:rPr>
                <w:rFonts w:ascii="宋体" w:hAnsi="宋体"/>
                <w:color w:val="auto"/>
                <w:kern w:val="0"/>
                <w:highlight w:val="none"/>
              </w:rPr>
              <w:t>投标文件</w:t>
            </w:r>
            <w:r>
              <w:rPr>
                <w:rFonts w:hint="eastAsia" w:ascii="宋体" w:hAnsi="宋体"/>
                <w:color w:val="auto"/>
                <w:kern w:val="0"/>
                <w:highlight w:val="none"/>
              </w:rPr>
              <w:t>格式（不含投标函部分）要求</w:t>
            </w:r>
            <w:r>
              <w:rPr>
                <w:rFonts w:ascii="宋体" w:hAnsi="宋体"/>
                <w:color w:val="auto"/>
                <w:kern w:val="0"/>
                <w:highlight w:val="none"/>
              </w:rPr>
              <w:t>法定代表人</w:t>
            </w:r>
            <w:r>
              <w:rPr>
                <w:rFonts w:hint="eastAsia" w:ascii="宋体" w:hAnsi="宋体"/>
                <w:color w:val="auto"/>
                <w:kern w:val="0"/>
                <w:highlight w:val="none"/>
                <w:lang w:eastAsia="zh-CN"/>
              </w:rPr>
              <w:t>（或其委托代理人）</w:t>
            </w:r>
            <w:r>
              <w:rPr>
                <w:rFonts w:hint="eastAsia" w:ascii="宋体" w:hAnsi="宋体"/>
                <w:color w:val="auto"/>
                <w:kern w:val="0"/>
                <w:highlight w:val="none"/>
              </w:rPr>
              <w:t>签名</w:t>
            </w:r>
            <w:r>
              <w:rPr>
                <w:rFonts w:ascii="宋体" w:hAnsi="宋体"/>
                <w:color w:val="auto"/>
                <w:kern w:val="0"/>
                <w:highlight w:val="none"/>
              </w:rPr>
              <w:t>（或盖章）</w:t>
            </w:r>
            <w:r>
              <w:rPr>
                <w:rFonts w:hint="eastAsia" w:ascii="宋体" w:hAnsi="宋体"/>
                <w:color w:val="auto"/>
                <w:kern w:val="0"/>
                <w:highlight w:val="none"/>
              </w:rPr>
              <w:t>的须</w:t>
            </w:r>
            <w:r>
              <w:rPr>
                <w:rFonts w:ascii="宋体" w:hAnsi="宋体"/>
                <w:color w:val="auto"/>
                <w:kern w:val="0"/>
                <w:highlight w:val="none"/>
              </w:rPr>
              <w:t>齐全</w:t>
            </w: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color w:val="auto"/>
                <w:szCs w:val="21"/>
                <w:highlight w:val="none"/>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ascii="宋体" w:hAnsi="宋体"/>
                <w:color w:val="auto"/>
                <w:kern w:val="0"/>
                <w:highlight w:val="none"/>
              </w:rPr>
              <w:t>。</w:t>
            </w:r>
          </w:p>
          <w:p>
            <w:pPr>
              <w:autoSpaceDE w:val="0"/>
              <w:autoSpaceDN w:val="0"/>
              <w:adjustRightInd w:val="0"/>
              <w:snapToGrid w:val="0"/>
              <w:spacing w:line="400" w:lineRule="exact"/>
              <w:ind w:firstLine="420" w:firstLineChars="200"/>
              <w:rPr>
                <w:rFonts w:ascii="宋体" w:hAnsi="宋体"/>
                <w:color w:val="auto"/>
                <w:kern w:val="0"/>
                <w:highlight w:val="none"/>
              </w:rPr>
            </w:pPr>
            <w:r>
              <w:rPr>
                <w:rFonts w:hint="eastAsia" w:ascii="宋体" w:hAnsi="宋体"/>
                <w:snapToGrid w:val="0"/>
                <w:color w:val="auto"/>
                <w:kern w:val="0"/>
                <w:szCs w:val="21"/>
                <w:highlight w:val="none"/>
              </w:rPr>
              <w:t>若投标单位为联合体，则</w:t>
            </w:r>
            <w:r>
              <w:rPr>
                <w:rFonts w:hint="eastAsia" w:ascii="宋体" w:hAnsi="宋体"/>
                <w:snapToGrid w:val="0"/>
                <w:color w:val="auto"/>
                <w:kern w:val="0"/>
                <w:szCs w:val="21"/>
                <w:highlight w:val="none"/>
                <w:lang w:eastAsia="zh-CN"/>
              </w:rPr>
              <w:t>共同投标协议</w:t>
            </w:r>
            <w:r>
              <w:rPr>
                <w:rFonts w:hint="eastAsia" w:ascii="宋体" w:hAnsi="宋体"/>
                <w:snapToGrid w:val="0"/>
                <w:color w:val="auto"/>
                <w:kern w:val="0"/>
                <w:szCs w:val="21"/>
                <w:highlight w:val="none"/>
              </w:rPr>
              <w:t>各联合体成员单位签名（或盖章）须齐全，</w:t>
            </w:r>
            <w:r>
              <w:rPr>
                <w:rFonts w:hint="eastAsia" w:ascii="宋体" w:hAnsi="宋体"/>
                <w:snapToGrid w:val="0"/>
                <w:color w:val="auto"/>
                <w:kern w:val="0"/>
                <w:szCs w:val="21"/>
                <w:highlight w:val="none"/>
                <w:lang w:eastAsia="zh-CN"/>
              </w:rPr>
              <w:t>共同投标协议</w:t>
            </w:r>
            <w:r>
              <w:rPr>
                <w:rFonts w:hint="eastAsia" w:ascii="宋体" w:hAnsi="宋体"/>
                <w:snapToGrid w:val="0"/>
                <w:color w:val="auto"/>
                <w:kern w:val="0"/>
                <w:szCs w:val="21"/>
                <w:highlight w:val="none"/>
              </w:rPr>
              <w:t>以外的</w:t>
            </w:r>
            <w:r>
              <w:rPr>
                <w:rFonts w:ascii="宋体" w:hAnsi="宋体"/>
                <w:color w:val="auto"/>
                <w:kern w:val="0"/>
                <w:highlight w:val="none"/>
              </w:rPr>
              <w:t>投标文件</w:t>
            </w:r>
            <w:r>
              <w:rPr>
                <w:rFonts w:hint="eastAsia" w:ascii="宋体" w:hAnsi="宋体"/>
                <w:color w:val="auto"/>
                <w:kern w:val="0"/>
                <w:highlight w:val="none"/>
              </w:rPr>
              <w:t>格式中，要求法定代表人</w:t>
            </w:r>
            <w:r>
              <w:rPr>
                <w:rFonts w:hint="eastAsia" w:ascii="宋体" w:hAnsi="宋体"/>
                <w:color w:val="auto"/>
                <w:kern w:val="0"/>
                <w:highlight w:val="none"/>
                <w:lang w:eastAsia="zh-CN"/>
              </w:rPr>
              <w:t>（或其委托代理人）</w:t>
            </w:r>
            <w:r>
              <w:rPr>
                <w:rFonts w:hint="eastAsia" w:ascii="宋体" w:hAnsi="宋体"/>
                <w:color w:val="auto"/>
                <w:kern w:val="0"/>
                <w:highlight w:val="none"/>
              </w:rPr>
              <w:t>签名（或盖章）的均由联合体牵头人法定代表人</w:t>
            </w:r>
            <w:r>
              <w:rPr>
                <w:rFonts w:hint="eastAsia" w:ascii="宋体" w:hAnsi="宋体"/>
                <w:color w:val="auto"/>
                <w:kern w:val="0"/>
                <w:highlight w:val="none"/>
                <w:lang w:eastAsia="zh-CN"/>
              </w:rPr>
              <w:t>（或其委托代理人）</w:t>
            </w:r>
            <w:r>
              <w:rPr>
                <w:rFonts w:hint="eastAsia" w:ascii="宋体" w:hAnsi="宋体"/>
                <w:color w:val="auto"/>
                <w:kern w:val="0"/>
                <w:highlight w:val="none"/>
              </w:rPr>
              <w:t>签名（或盖章）</w:t>
            </w:r>
            <w:r>
              <w:rPr>
                <w:rFonts w:ascii="宋体" w:hAnsi="宋体"/>
                <w:color w:val="auto"/>
                <w:kern w:val="0"/>
                <w:highlight w:val="none"/>
              </w:rPr>
              <w:t>。</w:t>
            </w:r>
          </w:p>
          <w:p>
            <w:pPr>
              <w:autoSpaceDE w:val="0"/>
              <w:autoSpaceDN w:val="0"/>
              <w:adjustRightInd w:val="0"/>
              <w:snapToGrid w:val="0"/>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第八章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若投标单位为联合体，则</w:t>
            </w:r>
            <w:r>
              <w:rPr>
                <w:rFonts w:hint="eastAsia" w:ascii="宋体" w:hAnsi="宋体"/>
                <w:color w:val="auto"/>
                <w:kern w:val="0"/>
                <w:highlight w:val="none"/>
                <w:lang w:eastAsia="zh-CN"/>
              </w:rPr>
              <w:t>共同投标协议</w:t>
            </w:r>
            <w:r>
              <w:rPr>
                <w:rFonts w:hint="eastAsia" w:ascii="宋体" w:hAnsi="宋体"/>
                <w:color w:val="auto"/>
                <w:kern w:val="0"/>
                <w:highlight w:val="none"/>
              </w:rPr>
              <w:t>中要求各联合体成员盖单位法人章的，各联合体成员盖章须齐全，</w:t>
            </w:r>
            <w:r>
              <w:rPr>
                <w:rFonts w:hint="eastAsia" w:ascii="宋体" w:hAnsi="宋体"/>
                <w:color w:val="auto"/>
                <w:kern w:val="0"/>
                <w:highlight w:val="none"/>
                <w:lang w:eastAsia="zh-CN"/>
              </w:rPr>
              <w:t>共同投标协议</w:t>
            </w:r>
            <w:r>
              <w:rPr>
                <w:rFonts w:hint="eastAsia" w:ascii="宋体" w:hAnsi="宋体"/>
                <w:color w:val="auto"/>
                <w:kern w:val="0"/>
                <w:highlight w:val="none"/>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55" w:type="dxa"/>
            <w:gridSpan w:val="2"/>
            <w:vMerge w:val="continue"/>
            <w:tcBorders>
              <w:right w:val="single" w:color="auto" w:sz="4" w:space="0"/>
            </w:tcBorders>
          </w:tcPr>
          <w:p>
            <w:pPr>
              <w:spacing w:line="400" w:lineRule="exact"/>
              <w:jc w:val="center"/>
              <w:rPr>
                <w:rFonts w:ascii="宋体" w:hAnsi="宋体"/>
                <w:color w:val="auto"/>
                <w:kern w:val="0"/>
                <w:highlight w:val="none"/>
              </w:rPr>
            </w:pPr>
          </w:p>
        </w:tc>
        <w:tc>
          <w:tcPr>
            <w:tcW w:w="567" w:type="dxa"/>
            <w:vMerge w:val="continue"/>
            <w:tcBorders>
              <w:right w:val="single" w:color="auto" w:sz="4" w:space="0"/>
            </w:tcBorders>
          </w:tcPr>
          <w:p>
            <w:pPr>
              <w:spacing w:line="400" w:lineRule="exact"/>
              <w:jc w:val="center"/>
              <w:rPr>
                <w:rFonts w:ascii="宋体" w:hAnsi="宋体"/>
                <w:color w:val="auto"/>
                <w:kern w:val="0"/>
                <w:highlight w:val="none"/>
              </w:rPr>
            </w:pPr>
          </w:p>
        </w:tc>
        <w:tc>
          <w:tcPr>
            <w:tcW w:w="2864" w:type="dxa"/>
            <w:gridSpan w:val="3"/>
            <w:tcBorders>
              <w:left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委托代理人</w:t>
            </w:r>
          </w:p>
        </w:tc>
        <w:tc>
          <w:tcPr>
            <w:tcW w:w="5189" w:type="dxa"/>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投标人法定代表人的委托代理人有法定代表人签署的授权委托书</w:t>
            </w:r>
            <w:r>
              <w:rPr>
                <w:rFonts w:hint="eastAsia" w:ascii="宋体" w:hAnsi="宋体"/>
                <w:color w:val="auto"/>
                <w:kern w:val="0"/>
                <w:highlight w:val="none"/>
              </w:rPr>
              <w:t>和投标人为其缴纳的养老保险。</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gridSpan w:val="2"/>
            <w:vMerge w:val="restart"/>
            <w:vAlign w:val="center"/>
          </w:tcPr>
          <w:p>
            <w:pPr>
              <w:spacing w:line="400" w:lineRule="exact"/>
              <w:jc w:val="center"/>
              <w:rPr>
                <w:rFonts w:ascii="宋体" w:hAnsi="宋体"/>
                <w:color w:val="auto"/>
                <w:kern w:val="0"/>
                <w:highlight w:val="none"/>
              </w:rPr>
            </w:pPr>
            <w:r>
              <w:rPr>
                <w:rFonts w:ascii="宋体" w:hAnsi="宋体"/>
                <w:color w:val="auto"/>
                <w:kern w:val="0"/>
                <w:highlight w:val="none"/>
              </w:rPr>
              <w:t>2.1.</w:t>
            </w:r>
            <w:r>
              <w:rPr>
                <w:rFonts w:hint="eastAsia" w:ascii="宋体" w:hAnsi="宋体"/>
                <w:color w:val="auto"/>
                <w:kern w:val="0"/>
                <w:highlight w:val="none"/>
              </w:rPr>
              <w:t>3</w:t>
            </w:r>
          </w:p>
        </w:tc>
        <w:tc>
          <w:tcPr>
            <w:tcW w:w="567" w:type="dxa"/>
            <w:vMerge w:val="restart"/>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响应性</w:t>
            </w:r>
            <w:r>
              <w:rPr>
                <w:rFonts w:ascii="宋体" w:hAnsi="宋体"/>
                <w:color w:val="auto"/>
                <w:kern w:val="0"/>
                <w:highlight w:val="none"/>
              </w:rPr>
              <w:t>评审标准</w:t>
            </w:r>
          </w:p>
        </w:tc>
        <w:tc>
          <w:tcPr>
            <w:tcW w:w="2864" w:type="dxa"/>
            <w:gridSpan w:val="3"/>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投标内容</w:t>
            </w:r>
          </w:p>
        </w:tc>
        <w:tc>
          <w:tcPr>
            <w:tcW w:w="5189"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gridSpan w:val="2"/>
            <w:vMerge w:val="continue"/>
            <w:vAlign w:val="center"/>
          </w:tcPr>
          <w:p>
            <w:pPr>
              <w:spacing w:line="400" w:lineRule="exact"/>
              <w:jc w:val="center"/>
              <w:rPr>
                <w:rFonts w:ascii="宋体" w:hAnsi="宋体"/>
                <w:color w:val="auto"/>
                <w:kern w:val="0"/>
                <w:highlight w:val="none"/>
              </w:rPr>
            </w:pPr>
          </w:p>
        </w:tc>
        <w:tc>
          <w:tcPr>
            <w:tcW w:w="567" w:type="dxa"/>
            <w:vMerge w:val="continue"/>
            <w:textDirection w:val="tbRlV"/>
            <w:vAlign w:val="center"/>
          </w:tcPr>
          <w:p>
            <w:pPr>
              <w:spacing w:line="400" w:lineRule="exact"/>
              <w:jc w:val="center"/>
              <w:rPr>
                <w:rFonts w:ascii="宋体" w:hAnsi="宋体"/>
                <w:color w:val="auto"/>
                <w:kern w:val="0"/>
                <w:highlight w:val="none"/>
              </w:rPr>
            </w:pPr>
          </w:p>
        </w:tc>
        <w:tc>
          <w:tcPr>
            <w:tcW w:w="2864" w:type="dxa"/>
            <w:gridSpan w:val="3"/>
            <w:tcBorders>
              <w:top w:val="single" w:color="auto" w:sz="4" w:space="0"/>
            </w:tcBorders>
            <w:vAlign w:val="center"/>
          </w:tcPr>
          <w:p>
            <w:pPr>
              <w:spacing w:line="400" w:lineRule="exact"/>
              <w:jc w:val="left"/>
              <w:rPr>
                <w:rFonts w:ascii="宋体" w:hAnsi="宋体"/>
                <w:color w:val="auto"/>
                <w:kern w:val="0"/>
                <w:highlight w:val="none"/>
              </w:rPr>
            </w:pPr>
            <w:r>
              <w:rPr>
                <w:rFonts w:ascii="宋体" w:hAnsi="宋体"/>
                <w:color w:val="auto"/>
                <w:kern w:val="0"/>
                <w:highlight w:val="none"/>
              </w:rPr>
              <w:t>投标保证金</w:t>
            </w:r>
          </w:p>
        </w:tc>
        <w:tc>
          <w:tcPr>
            <w:tcW w:w="5189" w:type="dxa"/>
            <w:vAlign w:val="center"/>
          </w:tcPr>
          <w:p>
            <w:pPr>
              <w:tabs>
                <w:tab w:val="left" w:pos="601"/>
                <w:tab w:val="left" w:pos="669"/>
              </w:tabs>
              <w:snapToGrid w:val="0"/>
              <w:spacing w:line="400" w:lineRule="exact"/>
              <w:ind w:firstLine="420" w:firstLineChars="200"/>
              <w:rPr>
                <w:rFonts w:ascii="宋体" w:hAnsi="宋体"/>
                <w:color w:val="auto"/>
                <w:kern w:val="0"/>
                <w:highlight w:val="none"/>
              </w:rPr>
            </w:pPr>
            <w:r>
              <w:rPr>
                <w:rFonts w:ascii="宋体" w:hAnsi="宋体"/>
                <w:color w:val="auto"/>
                <w:kern w:val="0"/>
                <w:szCs w:val="21"/>
                <w:highlight w:val="none"/>
              </w:rPr>
              <w:t>符合第二章投标人须知前附表第3.4</w:t>
            </w:r>
            <w:r>
              <w:rPr>
                <w:rFonts w:hint="eastAsia" w:ascii="宋体" w:hAnsi="宋体"/>
                <w:color w:val="auto"/>
                <w:kern w:val="0"/>
                <w:szCs w:val="21"/>
                <w:highlight w:val="none"/>
              </w:rPr>
              <w:t>款</w:t>
            </w:r>
            <w:r>
              <w:rPr>
                <w:rFonts w:ascii="宋体" w:hAnsi="宋体"/>
                <w:color w:val="auto"/>
                <w:kern w:val="0"/>
                <w:highlight w:val="none"/>
              </w:rPr>
              <w:t>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gridSpan w:val="2"/>
            <w:vMerge w:val="continue"/>
          </w:tcPr>
          <w:p>
            <w:pPr>
              <w:spacing w:line="400" w:lineRule="exact"/>
              <w:jc w:val="center"/>
              <w:rPr>
                <w:rFonts w:ascii="宋体" w:hAnsi="宋体"/>
                <w:color w:val="auto"/>
                <w:highlight w:val="none"/>
              </w:rPr>
            </w:pPr>
          </w:p>
        </w:tc>
        <w:tc>
          <w:tcPr>
            <w:tcW w:w="567" w:type="dxa"/>
            <w:vMerge w:val="continue"/>
          </w:tcPr>
          <w:p>
            <w:pPr>
              <w:spacing w:line="400" w:lineRule="exact"/>
              <w:jc w:val="center"/>
              <w:rPr>
                <w:rFonts w:ascii="宋体" w:hAnsi="宋体"/>
                <w:color w:val="auto"/>
                <w:highlight w:val="none"/>
              </w:rPr>
            </w:pPr>
          </w:p>
        </w:tc>
        <w:tc>
          <w:tcPr>
            <w:tcW w:w="2864" w:type="dxa"/>
            <w:gridSpan w:val="3"/>
            <w:vAlign w:val="center"/>
          </w:tcPr>
          <w:p>
            <w:pPr>
              <w:spacing w:line="400" w:lineRule="exact"/>
              <w:jc w:val="left"/>
              <w:rPr>
                <w:rFonts w:ascii="宋体" w:hAnsi="宋体"/>
                <w:color w:val="auto"/>
                <w:kern w:val="0"/>
                <w:highlight w:val="none"/>
              </w:rPr>
            </w:pPr>
            <w:r>
              <w:rPr>
                <w:rFonts w:ascii="宋体" w:hAnsi="宋体"/>
                <w:color w:val="auto"/>
                <w:kern w:val="0"/>
                <w:highlight w:val="none"/>
              </w:rPr>
              <w:t>权利义务</w:t>
            </w:r>
          </w:p>
        </w:tc>
        <w:tc>
          <w:tcPr>
            <w:tcW w:w="5189" w:type="dxa"/>
            <w:vAlign w:val="center"/>
          </w:tcPr>
          <w:p>
            <w:pPr>
              <w:spacing w:after="115" w:afterLines="20" w:line="400" w:lineRule="exact"/>
              <w:ind w:firstLine="420" w:firstLineChars="200"/>
              <w:rPr>
                <w:rFonts w:ascii="宋体" w:hAnsi="宋体"/>
                <w:color w:val="auto"/>
                <w:kern w:val="0"/>
                <w:highlight w:val="none"/>
              </w:rPr>
            </w:pPr>
            <w:r>
              <w:rPr>
                <w:rFonts w:ascii="宋体" w:hAnsi="宋体"/>
                <w:color w:val="auto"/>
                <w:kern w:val="0"/>
                <w:highlight w:val="none"/>
              </w:rPr>
              <w:t>符合第四章“合同条款及格式”规定，投标文件不应附有招标人不能接受的条件。</w:t>
            </w:r>
            <w:r>
              <w:rPr>
                <w:rFonts w:hint="eastAsia" w:ascii="宋体" w:hAnsi="宋体"/>
                <w:color w:val="auto"/>
                <w:kern w:val="0"/>
                <w:highlight w:val="none"/>
              </w:rPr>
              <w:t>（由投标人承诺，承诺书格式详见第八章投标文件格式。）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855" w:type="dxa"/>
            <w:gridSpan w:val="2"/>
            <w:vMerge w:val="continue"/>
          </w:tcPr>
          <w:p>
            <w:pPr>
              <w:spacing w:line="400" w:lineRule="exact"/>
              <w:jc w:val="center"/>
              <w:rPr>
                <w:rFonts w:ascii="宋体" w:hAnsi="宋体"/>
                <w:color w:val="auto"/>
                <w:highlight w:val="none"/>
              </w:rPr>
            </w:pPr>
          </w:p>
        </w:tc>
        <w:tc>
          <w:tcPr>
            <w:tcW w:w="567" w:type="dxa"/>
            <w:vMerge w:val="continue"/>
          </w:tcPr>
          <w:p>
            <w:pPr>
              <w:spacing w:line="400" w:lineRule="exact"/>
              <w:jc w:val="center"/>
              <w:rPr>
                <w:rFonts w:ascii="宋体" w:hAnsi="宋体"/>
                <w:color w:val="auto"/>
                <w:highlight w:val="none"/>
              </w:rPr>
            </w:pPr>
          </w:p>
        </w:tc>
        <w:tc>
          <w:tcPr>
            <w:tcW w:w="2864" w:type="dxa"/>
            <w:gridSpan w:val="3"/>
            <w:vAlign w:val="center"/>
          </w:tcPr>
          <w:p>
            <w:pPr>
              <w:spacing w:line="400" w:lineRule="exact"/>
              <w:jc w:val="left"/>
              <w:rPr>
                <w:rFonts w:ascii="宋体" w:hAnsi="宋体"/>
                <w:color w:val="auto"/>
                <w:kern w:val="0"/>
                <w:highlight w:val="none"/>
              </w:rPr>
            </w:pPr>
            <w:r>
              <w:rPr>
                <w:rFonts w:hint="eastAsia" w:ascii="宋体" w:hAnsi="宋体"/>
                <w:color w:val="auto"/>
                <w:kern w:val="0"/>
                <w:highlight w:val="none"/>
              </w:rPr>
              <w:t>□</w:t>
            </w:r>
            <w:r>
              <w:rPr>
                <w:rFonts w:ascii="宋体" w:hAnsi="宋体"/>
                <w:color w:val="auto"/>
                <w:kern w:val="0"/>
                <w:highlight w:val="none"/>
              </w:rPr>
              <w:t>技术标准和要求</w:t>
            </w:r>
          </w:p>
        </w:tc>
        <w:tc>
          <w:tcPr>
            <w:tcW w:w="5189" w:type="dxa"/>
            <w:vAlign w:val="center"/>
          </w:tcPr>
          <w:p>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符合第七章“技术标准和要求”规定</w:t>
            </w:r>
            <w:r>
              <w:rPr>
                <w:rFonts w:hint="eastAsia" w:ascii="宋体" w:hAnsi="宋体"/>
                <w:color w:val="auto"/>
                <w:kern w:val="0"/>
                <w:highlight w:val="none"/>
              </w:rPr>
              <w:t>。（由投标人承诺，承诺书格式详见第八章投标文件格式。）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gridSpan w:val="2"/>
            <w:vMerge w:val="continue"/>
          </w:tcPr>
          <w:p>
            <w:pPr>
              <w:spacing w:line="400" w:lineRule="exact"/>
              <w:rPr>
                <w:rFonts w:ascii="宋体" w:hAnsi="宋体"/>
                <w:color w:val="auto"/>
                <w:highlight w:val="none"/>
              </w:rPr>
            </w:pPr>
          </w:p>
        </w:tc>
        <w:tc>
          <w:tcPr>
            <w:tcW w:w="567" w:type="dxa"/>
            <w:vMerge w:val="continue"/>
          </w:tcPr>
          <w:p>
            <w:pPr>
              <w:spacing w:line="400" w:lineRule="exact"/>
              <w:rPr>
                <w:rFonts w:ascii="宋体" w:hAnsi="宋体"/>
                <w:color w:val="auto"/>
                <w:highlight w:val="none"/>
              </w:rPr>
            </w:pPr>
          </w:p>
        </w:tc>
        <w:tc>
          <w:tcPr>
            <w:tcW w:w="2864" w:type="dxa"/>
            <w:gridSpan w:val="3"/>
            <w:vAlign w:val="center"/>
          </w:tcPr>
          <w:p>
            <w:pPr>
              <w:spacing w:line="400" w:lineRule="exact"/>
              <w:jc w:val="left"/>
              <w:rPr>
                <w:rFonts w:ascii="宋体" w:hAnsi="宋体"/>
                <w:color w:val="auto"/>
                <w:kern w:val="0"/>
                <w:highlight w:val="none"/>
              </w:rPr>
            </w:pPr>
            <w:r>
              <w:rPr>
                <w:rFonts w:ascii="宋体" w:hAnsi="宋体"/>
                <w:color w:val="auto"/>
                <w:kern w:val="0"/>
                <w:highlight w:val="none"/>
              </w:rPr>
              <w:t>实质性要求</w:t>
            </w:r>
          </w:p>
        </w:tc>
        <w:tc>
          <w:tcPr>
            <w:tcW w:w="5189" w:type="dxa"/>
            <w:vAlign w:val="center"/>
          </w:tcPr>
          <w:p>
            <w:pPr>
              <w:spacing w:after="115" w:afterLines="20" w:line="400" w:lineRule="exact"/>
              <w:ind w:firstLine="420" w:firstLineChars="200"/>
              <w:rPr>
                <w:rFonts w:ascii="宋体" w:hAnsi="宋体"/>
                <w:color w:val="auto"/>
                <w:kern w:val="0"/>
                <w:highlight w:val="none"/>
              </w:rPr>
            </w:pPr>
            <w:r>
              <w:rPr>
                <w:rFonts w:hint="eastAsia" w:ascii="宋体" w:hAnsi="宋体"/>
                <w:color w:val="auto"/>
                <w:kern w:val="0"/>
                <w:highlight w:val="none"/>
              </w:rPr>
              <w:t>符合第二章“投标人须知”第1.4.3项规定。</w:t>
            </w:r>
          </w:p>
          <w:p>
            <w:pPr>
              <w:spacing w:after="115" w:afterLines="20" w:line="400" w:lineRule="exact"/>
              <w:ind w:firstLine="420" w:firstLineChars="200"/>
              <w:rPr>
                <w:rFonts w:ascii="宋体" w:hAnsi="宋体"/>
                <w:color w:val="auto"/>
                <w:kern w:val="0"/>
                <w:highlight w:val="none"/>
              </w:rPr>
            </w:pPr>
            <w:r>
              <w:rPr>
                <w:rFonts w:hint="eastAsia" w:ascii="宋体" w:hAnsi="宋体"/>
                <w:color w:val="auto"/>
                <w:kern w:val="0"/>
                <w:highlight w:val="none"/>
              </w:rPr>
              <w:t>本次投标不得有串通投标</w:t>
            </w:r>
            <w:r>
              <w:rPr>
                <w:rFonts w:ascii="宋体" w:hAnsi="宋体"/>
                <w:color w:val="auto"/>
                <w:kern w:val="0"/>
                <w:highlight w:val="none"/>
              </w:rPr>
              <w:t>、弄虚作假等其他违反招投标相关法律、法规行为。</w:t>
            </w:r>
          </w:p>
          <w:p>
            <w:pPr>
              <w:spacing w:after="115" w:afterLines="20" w:line="400" w:lineRule="exact"/>
              <w:ind w:firstLine="420" w:firstLineChars="200"/>
              <w:rPr>
                <w:rFonts w:ascii="宋体" w:hAnsi="宋体"/>
                <w:color w:val="auto"/>
                <w:kern w:val="0"/>
                <w:highlight w:val="none"/>
              </w:rPr>
            </w:pPr>
            <w:r>
              <w:rPr>
                <w:rFonts w:hint="eastAsia" w:ascii="宋体" w:hAnsi="宋体"/>
                <w:color w:val="auto"/>
                <w:kern w:val="0"/>
                <w:highlight w:val="none"/>
              </w:rPr>
              <w:t>按评标委员会要求澄清、说明或补正。</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22" w:type="dxa"/>
            <w:gridSpan w:val="3"/>
            <w:vAlign w:val="center"/>
          </w:tcPr>
          <w:p>
            <w:pPr>
              <w:spacing w:line="400" w:lineRule="exact"/>
              <w:ind w:firstLine="210" w:firstLineChars="100"/>
              <w:jc w:val="center"/>
              <w:rPr>
                <w:rFonts w:ascii="宋体" w:hAnsi="宋体"/>
                <w:color w:val="auto"/>
                <w:kern w:val="0"/>
                <w:highlight w:val="none"/>
              </w:rPr>
            </w:pPr>
            <w:r>
              <w:rPr>
                <w:rFonts w:ascii="宋体" w:hAnsi="宋体"/>
                <w:color w:val="auto"/>
                <w:kern w:val="0"/>
                <w:highlight w:val="none"/>
              </w:rPr>
              <w:t>2.2.1</w:t>
            </w:r>
          </w:p>
        </w:tc>
        <w:tc>
          <w:tcPr>
            <w:tcW w:w="2864" w:type="dxa"/>
            <w:gridSpan w:val="3"/>
            <w:vAlign w:val="center"/>
          </w:tcPr>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分值构成 （总分1</w:t>
            </w:r>
            <w:r>
              <w:rPr>
                <w:rFonts w:hint="eastAsia" w:ascii="宋体" w:hAnsi="宋体"/>
                <w:color w:val="auto"/>
                <w:kern w:val="0"/>
                <w:highlight w:val="none"/>
              </w:rPr>
              <w:t>00</w:t>
            </w:r>
            <w:r>
              <w:rPr>
                <w:rFonts w:ascii="宋体" w:hAnsi="宋体"/>
                <w:color w:val="auto"/>
                <w:kern w:val="0"/>
                <w:highlight w:val="none"/>
              </w:rPr>
              <w:t>分）</w:t>
            </w:r>
          </w:p>
        </w:tc>
        <w:tc>
          <w:tcPr>
            <w:tcW w:w="5189" w:type="dxa"/>
            <w:vAlign w:val="center"/>
          </w:tcPr>
          <w:p>
            <w:pPr>
              <w:numPr>
                <w:ilvl w:val="-1"/>
                <w:numId w:val="0"/>
              </w:numPr>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 xml:space="preserve">技术部分 </w:t>
            </w:r>
            <w:r>
              <w:rPr>
                <w:rFonts w:hint="eastAsia" w:ascii="宋体" w:hAnsi="宋体" w:cs="宋体"/>
                <w:color w:val="auto"/>
                <w:kern w:val="0"/>
                <w:highlight w:val="none"/>
                <w:u w:val="single"/>
              </w:rPr>
              <w:t>　  　</w:t>
            </w:r>
            <w:r>
              <w:rPr>
                <w:rFonts w:hint="eastAsia" w:ascii="宋体" w:hAnsi="宋体" w:cs="宋体"/>
                <w:color w:val="auto"/>
                <w:kern w:val="0"/>
                <w:highlight w:val="none"/>
              </w:rPr>
              <w:t>分；</w:t>
            </w:r>
            <w:r>
              <w:rPr>
                <w:rFonts w:hint="eastAsia" w:ascii="宋体" w:hAnsi="宋体" w:cs="宋体"/>
                <w:i/>
                <w:color w:val="auto"/>
                <w:kern w:val="0"/>
                <w:highlight w:val="none"/>
              </w:rPr>
              <w:t>[提示：</w:t>
            </w:r>
            <w:r>
              <w:rPr>
                <w:rFonts w:hint="eastAsia" w:ascii="宋体" w:hAnsi="宋体" w:cs="宋体"/>
                <w:i/>
                <w:color w:val="auto"/>
                <w:kern w:val="0"/>
                <w:highlight w:val="none"/>
                <w:lang w:val="en-US" w:eastAsia="zh-CN"/>
              </w:rPr>
              <w:t>一般</w:t>
            </w:r>
            <w:r>
              <w:rPr>
                <w:rFonts w:hint="eastAsia" w:ascii="宋体" w:hAnsi="宋体" w:cs="宋体"/>
                <w:i/>
                <w:color w:val="auto"/>
                <w:kern w:val="0"/>
                <w:highlight w:val="none"/>
              </w:rPr>
              <w:t>不高于30分]</w:t>
            </w:r>
          </w:p>
          <w:p>
            <w:pPr>
              <w:snapToGrid w:val="0"/>
              <w:spacing w:line="360" w:lineRule="auto"/>
              <w:ind w:firstLine="420" w:firstLineChars="200"/>
              <w:rPr>
                <w:rFonts w:ascii="宋体" w:hAnsi="宋体" w:cs="宋体"/>
                <w:color w:val="auto"/>
                <w:kern w:val="0"/>
                <w:highlight w:val="none"/>
              </w:rPr>
            </w:pPr>
            <w:r>
              <w:rPr>
                <w:rFonts w:hint="eastAsia" w:ascii="宋体" w:hAnsi="宋体" w:cs="宋体"/>
                <w:color w:val="auto"/>
                <w:kern w:val="0"/>
                <w:highlight w:val="none"/>
              </w:rPr>
              <w:t>2.商务部分</w:t>
            </w:r>
            <w:r>
              <w:rPr>
                <w:rFonts w:hint="eastAsia" w:ascii="宋体" w:hAnsi="宋体" w:cs="宋体"/>
                <w:color w:val="auto"/>
                <w:kern w:val="0"/>
                <w:highlight w:val="none"/>
                <w:u w:val="single"/>
              </w:rPr>
              <w:t xml:space="preserve">      </w:t>
            </w:r>
            <w:r>
              <w:rPr>
                <w:rFonts w:hint="eastAsia" w:ascii="宋体" w:hAnsi="宋体" w:cs="宋体"/>
                <w:color w:val="auto"/>
                <w:kern w:val="0"/>
                <w:highlight w:val="none"/>
              </w:rPr>
              <w:t>分；</w:t>
            </w:r>
            <w:r>
              <w:rPr>
                <w:rFonts w:hint="eastAsia" w:ascii="宋体" w:hAnsi="宋体" w:cs="宋体"/>
                <w:i/>
                <w:color w:val="auto"/>
                <w:kern w:val="0"/>
                <w:highlight w:val="none"/>
              </w:rPr>
              <w:t>[提示：</w:t>
            </w:r>
            <w:r>
              <w:rPr>
                <w:rFonts w:hint="eastAsia" w:ascii="宋体" w:hAnsi="宋体" w:cs="宋体"/>
                <w:i/>
                <w:color w:val="auto"/>
                <w:kern w:val="0"/>
                <w:highlight w:val="none"/>
                <w:lang w:val="en-US" w:eastAsia="zh-CN"/>
              </w:rPr>
              <w:t>一般</w:t>
            </w:r>
            <w:r>
              <w:rPr>
                <w:rFonts w:hint="eastAsia" w:ascii="宋体" w:hAnsi="宋体" w:cs="宋体"/>
                <w:i/>
                <w:color w:val="auto"/>
                <w:kern w:val="0"/>
                <w:highlight w:val="none"/>
              </w:rPr>
              <w:t>不高于</w:t>
            </w:r>
            <w:r>
              <w:rPr>
                <w:rFonts w:hint="eastAsia" w:ascii="宋体" w:hAnsi="宋体" w:cs="宋体"/>
                <w:i/>
                <w:color w:val="auto"/>
                <w:kern w:val="0"/>
                <w:highlight w:val="none"/>
                <w:lang w:val="en-US" w:eastAsia="zh-CN"/>
              </w:rPr>
              <w:t>20</w:t>
            </w:r>
            <w:r>
              <w:rPr>
                <w:rFonts w:hint="eastAsia" w:ascii="宋体" w:hAnsi="宋体" w:cs="宋体"/>
                <w:i/>
                <w:color w:val="auto"/>
                <w:kern w:val="0"/>
                <w:highlight w:val="none"/>
              </w:rPr>
              <w:t>分]</w:t>
            </w:r>
          </w:p>
          <w:p>
            <w:pPr>
              <w:snapToGrid w:val="0"/>
              <w:spacing w:line="400" w:lineRule="exact"/>
              <w:ind w:firstLine="420" w:firstLineChars="200"/>
              <w:rPr>
                <w:rFonts w:ascii="宋体" w:hAnsi="宋体"/>
                <w:i/>
                <w:color w:val="auto"/>
                <w:kern w:val="0"/>
                <w:highlight w:val="none"/>
              </w:rPr>
            </w:pPr>
            <w:r>
              <w:rPr>
                <w:rFonts w:hint="eastAsia" w:ascii="宋体" w:hAnsi="宋体" w:cs="宋体"/>
                <w:color w:val="auto"/>
                <w:kern w:val="0"/>
                <w:highlight w:val="none"/>
              </w:rPr>
              <w:t>3.</w:t>
            </w:r>
            <w:r>
              <w:rPr>
                <w:rFonts w:hint="eastAsia" w:ascii="宋体" w:hAnsi="宋体" w:cs="宋体"/>
                <w:color w:val="auto"/>
                <w:kern w:val="0"/>
                <w:highlight w:val="none"/>
                <w:lang w:val="en-US" w:eastAsia="zh-CN"/>
              </w:rPr>
              <w:t>投标总报价</w:t>
            </w:r>
            <w:r>
              <w:rPr>
                <w:rFonts w:hint="eastAsia" w:ascii="宋体" w:hAnsi="宋体" w:cs="宋体"/>
                <w:color w:val="auto"/>
                <w:kern w:val="0"/>
                <w:highlight w:val="none"/>
                <w:u w:val="single"/>
              </w:rPr>
              <w:t xml:space="preserve">      </w:t>
            </w:r>
            <w:r>
              <w:rPr>
                <w:rFonts w:hint="eastAsia" w:ascii="宋体" w:hAnsi="宋体" w:cs="宋体"/>
                <w:color w:val="auto"/>
                <w:kern w:val="0"/>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2.2.2（1）</w:t>
            </w:r>
          </w:p>
        </w:tc>
        <w:tc>
          <w:tcPr>
            <w:tcW w:w="604" w:type="dxa"/>
            <w:gridSpan w:val="2"/>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技术部分评分标准</w:t>
            </w:r>
          </w:p>
        </w:tc>
        <w:tc>
          <w:tcPr>
            <w:tcW w:w="692" w:type="dxa"/>
            <w:vMerge w:val="restart"/>
            <w:tcBorders>
              <w:right w:val="single" w:color="auto" w:sz="4" w:space="0"/>
            </w:tcBorders>
            <w:vAlign w:val="center"/>
          </w:tcPr>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技</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术</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方</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案</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评</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审</w:t>
            </w:r>
          </w:p>
        </w:tc>
        <w:tc>
          <w:tcPr>
            <w:tcW w:w="2172" w:type="dxa"/>
            <w:gridSpan w:val="2"/>
            <w:tcBorders>
              <w:left w:val="single" w:color="auto" w:sz="4" w:space="0"/>
            </w:tcBorders>
            <w:vAlign w:val="center"/>
          </w:tcPr>
          <w:p>
            <w:pPr>
              <w:tabs>
                <w:tab w:val="left" w:pos="1875"/>
              </w:tabs>
              <w:spacing w:line="400" w:lineRule="exact"/>
              <w:rPr>
                <w:rFonts w:ascii="宋体" w:hAnsi="宋体"/>
                <w:color w:val="auto"/>
                <w:kern w:val="0"/>
                <w:highlight w:val="none"/>
              </w:rPr>
            </w:pPr>
            <w:r>
              <w:rPr>
                <w:rFonts w:hint="eastAsia"/>
                <w:color w:val="auto"/>
                <w:highlight w:val="none"/>
              </w:rPr>
              <w:t>□</w:t>
            </w:r>
            <w:r>
              <w:rPr>
                <w:rFonts w:hint="eastAsia" w:ascii="宋体" w:hAnsi="宋体" w:cs="宋体"/>
                <w:color w:val="auto"/>
                <w:kern w:val="0"/>
                <w:highlight w:val="none"/>
              </w:rPr>
              <w:t>技术方案部分形式要求</w:t>
            </w:r>
            <w:r>
              <w:rPr>
                <w:rFonts w:hint="eastAsia"/>
                <w:i/>
                <w:iCs/>
                <w:color w:val="auto"/>
                <w:highlight w:val="none"/>
              </w:rPr>
              <w:t>[提示：技术部分采用暗标评审时适用]</w:t>
            </w:r>
          </w:p>
        </w:tc>
        <w:tc>
          <w:tcPr>
            <w:tcW w:w="5189" w:type="dxa"/>
            <w:vAlign w:val="center"/>
          </w:tcPr>
          <w:p>
            <w:pPr>
              <w:snapToGrid w:val="0"/>
              <w:spacing w:line="400" w:lineRule="exact"/>
              <w:ind w:firstLine="420" w:firstLineChars="200"/>
              <w:rPr>
                <w:rFonts w:ascii="宋体" w:hAnsi="宋体"/>
                <w:color w:val="auto"/>
                <w:highlight w:val="none"/>
                <w:u w:val="single"/>
              </w:rPr>
            </w:pPr>
            <w:r>
              <w:rPr>
                <w:rFonts w:hint="eastAsia" w:ascii="宋体" w:hAnsi="宋体" w:cs="宋体"/>
                <w:color w:val="auto"/>
                <w:kern w:val="0"/>
                <w:highlight w:val="none"/>
              </w:rPr>
              <w:t>须符合第二章投标人须知前附表第3.7.5项（</w:t>
            </w:r>
            <w:r>
              <w:rPr>
                <w:rFonts w:hint="eastAsia" w:ascii="宋体" w:hAnsi="宋体" w:cs="宋体"/>
                <w:color w:val="auto"/>
                <w:kern w:val="0"/>
                <w:highlight w:val="none"/>
                <w:lang w:val="en-US" w:eastAsia="zh-CN"/>
              </w:rPr>
              <w:t>4</w:t>
            </w:r>
            <w:r>
              <w:rPr>
                <w:rFonts w:hint="eastAsia" w:ascii="宋体" w:hAnsi="宋体" w:cs="宋体"/>
                <w:color w:val="auto"/>
                <w:kern w:val="0"/>
                <w:highlight w:val="none"/>
              </w:rPr>
              <w:t>）技术部分的要求，否则其技术方案为0分，不再对技术方案的其他评分标准进行评审。</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18"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692" w:type="dxa"/>
            <w:vMerge w:val="continue"/>
            <w:tcBorders>
              <w:right w:val="single" w:color="auto" w:sz="4" w:space="0"/>
            </w:tcBorders>
            <w:vAlign w:val="center"/>
          </w:tcPr>
          <w:p>
            <w:pPr>
              <w:tabs>
                <w:tab w:val="left" w:pos="1875"/>
              </w:tabs>
              <w:spacing w:line="400" w:lineRule="exact"/>
              <w:jc w:val="center"/>
              <w:rPr>
                <w:rFonts w:ascii="宋体" w:hAnsi="宋体"/>
                <w:color w:val="auto"/>
                <w:kern w:val="0"/>
                <w:highlight w:val="none"/>
              </w:rPr>
            </w:pPr>
          </w:p>
        </w:tc>
        <w:tc>
          <w:tcPr>
            <w:tcW w:w="2172" w:type="dxa"/>
            <w:gridSpan w:val="2"/>
            <w:tcBorders>
              <w:left w:val="single" w:color="auto" w:sz="4" w:space="0"/>
            </w:tcBorders>
            <w:vAlign w:val="center"/>
          </w:tcPr>
          <w:p>
            <w:pPr>
              <w:tabs>
                <w:tab w:val="left" w:pos="1875"/>
              </w:tabs>
              <w:spacing w:line="400" w:lineRule="exact"/>
              <w:rPr>
                <w:rFonts w:ascii="宋体" w:hAnsi="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施工组织管理</w:t>
            </w:r>
          </w:p>
        </w:tc>
        <w:tc>
          <w:tcPr>
            <w:tcW w:w="5189" w:type="dxa"/>
            <w:vAlign w:val="center"/>
          </w:tcPr>
          <w:p>
            <w:pPr>
              <w:snapToGrid w:val="0"/>
              <w:spacing w:line="400" w:lineRule="exact"/>
              <w:ind w:firstLine="420" w:firstLineChars="200"/>
              <w:rPr>
                <w:rFonts w:ascii="宋体" w:hAnsi="宋体"/>
                <w:color w:val="auto"/>
                <w:highlight w:val="none"/>
                <w:u w:val="singl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 xml:space="preserve"> </w:t>
            </w:r>
            <w:r>
              <w:rPr>
                <w:rFonts w:ascii="宋体" w:hAnsi="宋体"/>
                <w:color w:val="auto"/>
                <w:highlight w:val="none"/>
              </w:rPr>
              <w:t xml:space="preserve">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continue"/>
            <w:tcBorders>
              <w:righ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92"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2172" w:type="dxa"/>
            <w:gridSpan w:val="2"/>
            <w:tcBorders>
              <w:left w:val="single" w:color="auto" w:sz="4" w:space="0"/>
            </w:tcBorders>
            <w:vAlign w:val="center"/>
          </w:tcPr>
          <w:p>
            <w:pPr>
              <w:tabs>
                <w:tab w:val="left" w:pos="1875"/>
              </w:tabs>
              <w:spacing w:line="400" w:lineRule="exact"/>
              <w:rPr>
                <w:rFonts w:ascii="宋体" w:hAnsi="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施工总平面布置</w:t>
            </w:r>
          </w:p>
        </w:tc>
        <w:tc>
          <w:tcPr>
            <w:tcW w:w="5189" w:type="dxa"/>
            <w:vAlign w:val="center"/>
          </w:tcPr>
          <w:p>
            <w:pPr>
              <w:snapToGrid w:val="0"/>
              <w:spacing w:line="400" w:lineRule="exact"/>
              <w:ind w:firstLine="420" w:firstLineChars="200"/>
              <w:rPr>
                <w:rFonts w:ascii="宋体" w:hAnsi="宋体"/>
                <w:color w:val="auto"/>
                <w:kern w:val="0"/>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分 </w:t>
            </w:r>
            <w:r>
              <w:rPr>
                <w:rFonts w:hint="eastAsia" w:ascii="宋体" w:hAnsi="宋体"/>
                <w:color w:val="auto"/>
                <w:highlight w:val="none"/>
              </w:rPr>
              <w:t xml:space="preserve"> </w:t>
            </w:r>
            <w:r>
              <w:rPr>
                <w:rFonts w:ascii="宋体" w:hAnsi="宋体"/>
                <w:color w:val="auto"/>
                <w:highlight w:val="none"/>
              </w:rPr>
              <w:t xml:space="preserve">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continue"/>
            <w:tcBorders>
              <w:righ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92"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2172" w:type="dxa"/>
            <w:gridSpan w:val="2"/>
            <w:tcBorders>
              <w:left w:val="single" w:color="auto" w:sz="4" w:space="0"/>
            </w:tcBorders>
            <w:vAlign w:val="center"/>
          </w:tcPr>
          <w:p>
            <w:pPr>
              <w:tabs>
                <w:tab w:val="left" w:pos="1875"/>
              </w:tabs>
              <w:spacing w:line="400" w:lineRule="exact"/>
              <w:rPr>
                <w:rFonts w:ascii="宋体" w:hAnsi="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施工方法和技术措施</w:t>
            </w:r>
          </w:p>
        </w:tc>
        <w:tc>
          <w:tcPr>
            <w:tcW w:w="5189" w:type="dxa"/>
            <w:vAlign w:val="center"/>
          </w:tcPr>
          <w:p>
            <w:pPr>
              <w:snapToGrid w:val="0"/>
              <w:spacing w:line="400" w:lineRule="exact"/>
              <w:ind w:firstLine="420" w:firstLineChars="200"/>
              <w:rPr>
                <w:rFonts w:ascii="宋体" w:hAnsi="宋体"/>
                <w:color w:val="auto"/>
                <w:kern w:val="0"/>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continue"/>
            <w:tcBorders>
              <w:righ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92"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2172" w:type="dxa"/>
            <w:gridSpan w:val="2"/>
            <w:tcBorders>
              <w:left w:val="single" w:color="auto" w:sz="4" w:space="0"/>
            </w:tcBorders>
            <w:vAlign w:val="center"/>
          </w:tcPr>
          <w:p>
            <w:pPr>
              <w:tabs>
                <w:tab w:val="left" w:pos="1875"/>
              </w:tabs>
              <w:spacing w:line="400" w:lineRule="exact"/>
              <w:rPr>
                <w:rFonts w:ascii="宋体" w:hAnsi="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监测预警及应急抢险措施方案</w:t>
            </w:r>
          </w:p>
        </w:tc>
        <w:tc>
          <w:tcPr>
            <w:tcW w:w="5189" w:type="dxa"/>
            <w:vAlign w:val="center"/>
          </w:tcPr>
          <w:p>
            <w:pPr>
              <w:snapToGrid w:val="0"/>
              <w:spacing w:line="400" w:lineRule="exact"/>
              <w:ind w:firstLine="420" w:firstLineChars="200"/>
              <w:rPr>
                <w:rFonts w:ascii="宋体" w:hAnsi="宋体"/>
                <w:color w:val="auto"/>
                <w:kern w:val="0"/>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18" w:type="dxa"/>
            <w:vMerge w:val="continue"/>
            <w:tcBorders>
              <w:righ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92"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2172" w:type="dxa"/>
            <w:gridSpan w:val="2"/>
            <w:tcBorders>
              <w:left w:val="single" w:color="auto" w:sz="4" w:space="0"/>
            </w:tcBorders>
            <w:vAlign w:val="center"/>
          </w:tcPr>
          <w:p>
            <w:pPr>
              <w:tabs>
                <w:tab w:val="left" w:pos="1875"/>
              </w:tabs>
              <w:spacing w:line="400" w:lineRule="exact"/>
              <w:rPr>
                <w:rFonts w:ascii="宋体" w:hAnsi="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质量保证体系和质量保证措施</w:t>
            </w:r>
          </w:p>
        </w:tc>
        <w:tc>
          <w:tcPr>
            <w:tcW w:w="5189" w:type="dxa"/>
            <w:vAlign w:val="center"/>
          </w:tcPr>
          <w:p>
            <w:pPr>
              <w:snapToGrid w:val="0"/>
              <w:spacing w:line="400" w:lineRule="exact"/>
              <w:ind w:firstLine="420" w:firstLineChars="200"/>
              <w:rPr>
                <w:rFonts w:ascii="宋体" w:hAnsi="宋体"/>
                <w:color w:val="auto"/>
                <w:kern w:val="0"/>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continue"/>
            <w:tcBorders>
              <w:righ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92"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2172" w:type="dxa"/>
            <w:gridSpan w:val="2"/>
            <w:tcBorders>
              <w:left w:val="single" w:color="auto" w:sz="4" w:space="0"/>
            </w:tcBorders>
            <w:vAlign w:val="center"/>
          </w:tcPr>
          <w:p>
            <w:pPr>
              <w:tabs>
                <w:tab w:val="left" w:pos="1875"/>
              </w:tabs>
              <w:spacing w:line="400" w:lineRule="exact"/>
              <w:rPr>
                <w:rFonts w:ascii="宋体" w:hAnsi="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施工网络进度计划及保证工期的措施</w:t>
            </w:r>
          </w:p>
        </w:tc>
        <w:tc>
          <w:tcPr>
            <w:tcW w:w="5189" w:type="dxa"/>
            <w:vAlign w:val="center"/>
          </w:tcPr>
          <w:p>
            <w:pPr>
              <w:snapToGrid w:val="0"/>
              <w:spacing w:line="400" w:lineRule="exact"/>
              <w:ind w:firstLine="420" w:firstLineChars="200"/>
              <w:rPr>
                <w:rFonts w:ascii="宋体" w:hAnsi="宋体"/>
                <w:color w:val="auto"/>
                <w:kern w:val="0"/>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continue"/>
            <w:tcBorders>
              <w:righ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92"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2172" w:type="dxa"/>
            <w:gridSpan w:val="2"/>
            <w:tcBorders>
              <w:left w:val="single" w:color="auto" w:sz="4" w:space="0"/>
            </w:tcBorders>
            <w:vAlign w:val="center"/>
          </w:tcPr>
          <w:p>
            <w:pPr>
              <w:tabs>
                <w:tab w:val="left" w:pos="1875"/>
              </w:tabs>
              <w:spacing w:line="400" w:lineRule="exact"/>
              <w:rPr>
                <w:rFonts w:ascii="宋体" w:hAnsi="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施工机械设备配置</w:t>
            </w:r>
          </w:p>
        </w:tc>
        <w:tc>
          <w:tcPr>
            <w:tcW w:w="5189" w:type="dxa"/>
            <w:vAlign w:val="center"/>
          </w:tcPr>
          <w:p>
            <w:pPr>
              <w:snapToGrid w:val="0"/>
              <w:spacing w:line="400" w:lineRule="exact"/>
              <w:ind w:firstLine="420" w:firstLineChars="200"/>
              <w:rPr>
                <w:rFonts w:ascii="宋体" w:hAnsi="宋体"/>
                <w:color w:val="auto"/>
                <w:kern w:val="0"/>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continue"/>
            <w:tcBorders>
              <w:righ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92" w:type="dxa"/>
            <w:vMerge w:val="continue"/>
            <w:tcBorders>
              <w:right w:val="single" w:color="auto" w:sz="4" w:space="0"/>
            </w:tcBorders>
          </w:tcPr>
          <w:p>
            <w:pPr>
              <w:tabs>
                <w:tab w:val="left" w:pos="1875"/>
              </w:tabs>
              <w:spacing w:line="400" w:lineRule="exact"/>
              <w:jc w:val="left"/>
              <w:rPr>
                <w:rFonts w:ascii="宋体" w:hAnsi="宋体"/>
                <w:color w:val="auto"/>
                <w:kern w:val="0"/>
                <w:highlight w:val="none"/>
              </w:rPr>
            </w:pPr>
          </w:p>
        </w:tc>
        <w:tc>
          <w:tcPr>
            <w:tcW w:w="2172" w:type="dxa"/>
            <w:gridSpan w:val="2"/>
            <w:tcBorders>
              <w:left w:val="single" w:color="auto" w:sz="4" w:space="0"/>
            </w:tcBorders>
            <w:vAlign w:val="center"/>
          </w:tcPr>
          <w:p>
            <w:pPr>
              <w:tabs>
                <w:tab w:val="left" w:pos="1875"/>
              </w:tabs>
              <w:spacing w:line="400" w:lineRule="exact"/>
              <w:rPr>
                <w:rFonts w:ascii="宋体" w:hAnsi="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安全文明施工保证措施</w:t>
            </w:r>
          </w:p>
        </w:tc>
        <w:tc>
          <w:tcPr>
            <w:tcW w:w="5189" w:type="dxa"/>
            <w:vAlign w:val="center"/>
          </w:tcPr>
          <w:p>
            <w:pPr>
              <w:snapToGrid w:val="0"/>
              <w:spacing w:line="400" w:lineRule="exact"/>
              <w:ind w:firstLine="420" w:firstLineChars="200"/>
              <w:rPr>
                <w:rFonts w:ascii="宋体" w:hAnsi="宋体"/>
                <w:color w:val="auto"/>
                <w:kern w:val="0"/>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18" w:type="dxa"/>
            <w:vMerge w:val="continue"/>
            <w:tcBorders>
              <w:righ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92" w:type="dxa"/>
            <w:vMerge w:val="continue"/>
            <w:tcBorders>
              <w:right w:val="single" w:color="auto" w:sz="4" w:space="0"/>
            </w:tcBorders>
          </w:tcPr>
          <w:p>
            <w:pPr>
              <w:tabs>
                <w:tab w:val="left" w:pos="1875"/>
              </w:tabs>
              <w:spacing w:line="400" w:lineRule="exact"/>
              <w:jc w:val="left"/>
              <w:rPr>
                <w:rFonts w:ascii="宋体" w:hAnsi="宋体"/>
                <w:color w:val="auto"/>
                <w:kern w:val="0"/>
                <w:highlight w:val="none"/>
              </w:rPr>
            </w:pPr>
          </w:p>
        </w:tc>
        <w:tc>
          <w:tcPr>
            <w:tcW w:w="2172" w:type="dxa"/>
            <w:gridSpan w:val="2"/>
            <w:tcBorders>
              <w:left w:val="single" w:color="auto" w:sz="4" w:space="0"/>
            </w:tcBorders>
            <w:vAlign w:val="center"/>
          </w:tcPr>
          <w:p>
            <w:pPr>
              <w:tabs>
                <w:tab w:val="left" w:pos="1875"/>
              </w:tabs>
              <w:spacing w:line="400" w:lineRule="exact"/>
              <w:rPr>
                <w:rFonts w:ascii="宋体" w:hAnsi="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变更应对措施</w:t>
            </w:r>
          </w:p>
        </w:tc>
        <w:tc>
          <w:tcPr>
            <w:tcW w:w="5189" w:type="dxa"/>
            <w:vAlign w:val="center"/>
          </w:tcPr>
          <w:p>
            <w:pPr>
              <w:snapToGrid w:val="0"/>
              <w:spacing w:line="400" w:lineRule="exact"/>
              <w:ind w:firstLine="420" w:firstLineChars="200"/>
              <w:rPr>
                <w:rFonts w:ascii="宋体" w:hAnsi="宋体"/>
                <w:color w:val="auto"/>
                <w:kern w:val="0"/>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continue"/>
            <w:tcBorders>
              <w:righ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92" w:type="dxa"/>
            <w:vMerge w:val="continue"/>
            <w:tcBorders>
              <w:right w:val="single" w:color="auto" w:sz="4" w:space="0"/>
            </w:tcBorders>
          </w:tcPr>
          <w:p>
            <w:pPr>
              <w:tabs>
                <w:tab w:val="left" w:pos="1875"/>
              </w:tabs>
              <w:spacing w:line="400" w:lineRule="exact"/>
              <w:jc w:val="left"/>
              <w:rPr>
                <w:rFonts w:ascii="宋体" w:hAnsi="宋体"/>
                <w:color w:val="auto"/>
                <w:kern w:val="0"/>
                <w:highlight w:val="none"/>
              </w:rPr>
            </w:pPr>
          </w:p>
        </w:tc>
        <w:tc>
          <w:tcPr>
            <w:tcW w:w="2172" w:type="dxa"/>
            <w:gridSpan w:val="2"/>
            <w:tcBorders>
              <w:left w:val="single" w:color="auto" w:sz="4" w:space="0"/>
            </w:tcBorders>
            <w:vAlign w:val="center"/>
          </w:tcPr>
          <w:p>
            <w:pPr>
              <w:tabs>
                <w:tab w:val="left" w:pos="1875"/>
              </w:tabs>
              <w:spacing w:line="400" w:lineRule="exact"/>
              <w:rPr>
                <w:rFonts w:ascii="宋体" w:hAnsi="宋体"/>
                <w:color w:val="auto"/>
                <w:kern w:val="0"/>
                <w:highlight w:val="none"/>
              </w:rPr>
            </w:pPr>
            <w:r>
              <w:rPr>
                <w:rFonts w:hint="eastAsia" w:ascii="宋体" w:hAnsi="宋体" w:cs="宋体"/>
                <w:color w:val="auto"/>
                <w:kern w:val="0"/>
                <w:highlight w:val="none"/>
              </w:rPr>
              <w:t>□</w:t>
            </w:r>
            <w:r>
              <w:rPr>
                <w:rFonts w:ascii="宋体" w:hAnsi="宋体" w:cs="宋体"/>
                <w:color w:val="auto"/>
                <w:kern w:val="0"/>
                <w:highlight w:val="none"/>
              </w:rPr>
              <w:t>……</w:t>
            </w:r>
          </w:p>
        </w:tc>
        <w:tc>
          <w:tcPr>
            <w:tcW w:w="5189" w:type="dxa"/>
            <w:vAlign w:val="center"/>
          </w:tcPr>
          <w:p>
            <w:pPr>
              <w:snapToGrid w:val="0"/>
              <w:spacing w:line="400" w:lineRule="exact"/>
              <w:ind w:firstLine="420" w:firstLineChars="200"/>
              <w:rPr>
                <w:rFonts w:ascii="宋体" w:hAnsi="宋体"/>
                <w:color w:val="auto"/>
                <w:kern w:val="0"/>
                <w:highlight w:val="none"/>
              </w:rPr>
            </w:pP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分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18" w:type="dxa"/>
            <w:vMerge w:val="restart"/>
            <w:tcBorders>
              <w:right w:val="single" w:color="auto" w:sz="4" w:space="0"/>
            </w:tcBorders>
            <w:vAlign w:val="center"/>
          </w:tcPr>
          <w:p>
            <w:pPr>
              <w:snapToGrid w:val="0"/>
              <w:spacing w:line="360" w:lineRule="auto"/>
              <w:jc w:val="center"/>
              <w:rPr>
                <w:rFonts w:ascii="宋体" w:hAnsi="宋体"/>
                <w:color w:val="auto"/>
                <w:kern w:val="0"/>
                <w:highlight w:val="none"/>
              </w:rPr>
            </w:pPr>
            <w:r>
              <w:rPr>
                <w:rFonts w:hint="eastAsia" w:ascii="宋体" w:hAnsi="宋体" w:cs="宋体"/>
                <w:color w:val="auto"/>
                <w:kern w:val="0"/>
                <w:szCs w:val="21"/>
                <w:highlight w:val="none"/>
              </w:rPr>
              <w:t>2.2.2（2）</w:t>
            </w:r>
          </w:p>
        </w:tc>
        <w:tc>
          <w:tcPr>
            <w:tcW w:w="604" w:type="dxa"/>
            <w:gridSpan w:val="2"/>
            <w:vMerge w:val="restart"/>
            <w:tcBorders>
              <w:left w:val="single" w:color="auto" w:sz="4" w:space="0"/>
            </w:tcBorders>
            <w:vAlign w:val="center"/>
          </w:tcPr>
          <w:p>
            <w:pPr>
              <w:snapToGrid w:val="0"/>
              <w:spacing w:line="360" w:lineRule="auto"/>
              <w:jc w:val="center"/>
              <w:rPr>
                <w:rFonts w:ascii="宋体" w:hAnsi="宋体"/>
                <w:color w:val="auto"/>
                <w:kern w:val="0"/>
                <w:highlight w:val="none"/>
              </w:rPr>
            </w:pPr>
            <w:r>
              <w:rPr>
                <w:rFonts w:hint="eastAsia" w:ascii="宋体" w:hAnsi="宋体" w:cs="宋体"/>
                <w:color w:val="auto"/>
                <w:kern w:val="0"/>
                <w:szCs w:val="21"/>
                <w:highlight w:val="none"/>
              </w:rPr>
              <w:t>商务部分评分标准</w:t>
            </w:r>
          </w:p>
        </w:tc>
        <w:tc>
          <w:tcPr>
            <w:tcW w:w="2864" w:type="dxa"/>
            <w:gridSpan w:val="3"/>
            <w:tcBorders>
              <w:bottom w:val="single" w:color="auto" w:sz="4" w:space="0"/>
            </w:tcBorders>
            <w:vAlign w:val="center"/>
          </w:tcPr>
          <w:p>
            <w:pPr>
              <w:spacing w:line="360" w:lineRule="auto"/>
              <w:jc w:val="left"/>
              <w:rPr>
                <w:rFonts w:ascii="宋体" w:hAnsi="宋体" w:cs="宋体"/>
                <w:color w:val="auto"/>
                <w:kern w:val="0"/>
                <w:highlight w:val="none"/>
              </w:rPr>
            </w:pPr>
            <w:r>
              <w:rPr>
                <w:rFonts w:hint="eastAsia" w:ascii="宋体" w:hAnsi="宋体" w:cs="宋体"/>
                <w:szCs w:val="21"/>
              </w:rPr>
              <w:t>□</w:t>
            </w:r>
            <w:r>
              <w:rPr>
                <w:rFonts w:hint="eastAsia" w:ascii="宋体" w:hAnsi="宋体" w:cs="宋体"/>
                <w:color w:val="auto"/>
                <w:kern w:val="0"/>
                <w:szCs w:val="21"/>
                <w:highlight w:val="none"/>
                <w:lang w:val="en-US" w:eastAsia="zh-CN" w:bidi="ar"/>
              </w:rPr>
              <w:t>投标人</w:t>
            </w:r>
            <w:r>
              <w:rPr>
                <w:rFonts w:hint="eastAsia" w:ascii="宋体" w:hAnsi="宋体" w:cs="宋体"/>
                <w:color w:val="auto"/>
                <w:kern w:val="0"/>
                <w:szCs w:val="21"/>
                <w:highlight w:val="none"/>
                <w:lang w:bidi="ar"/>
              </w:rPr>
              <w:t>业绩</w:t>
            </w:r>
          </w:p>
        </w:tc>
        <w:tc>
          <w:tcPr>
            <w:tcW w:w="5189" w:type="dxa"/>
            <w:tcBorders>
              <w:bottom w:val="single" w:color="auto" w:sz="4" w:space="0"/>
            </w:tcBorders>
            <w:vAlign w:val="center"/>
          </w:tcPr>
          <w:p>
            <w:pPr>
              <w:autoSpaceDE w:val="0"/>
              <w:autoSpaceDN w:val="0"/>
              <w:adjustRightInd w:val="0"/>
              <w:snapToGrid w:val="0"/>
              <w:spacing w:line="400" w:lineRule="exact"/>
              <w:ind w:firstLine="415" w:firstLineChars="198"/>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参与商务评审的投标人业绩个数不超过3个</w:t>
            </w:r>
            <w:r>
              <w:rPr>
                <w:rFonts w:hint="eastAsia" w:ascii="宋体" w:hAnsi="宋体"/>
                <w:i/>
                <w:color w:val="auto"/>
                <w:kern w:val="0"/>
                <w:szCs w:val="21"/>
                <w:highlight w:val="none"/>
              </w:rPr>
              <w:t>。</w:t>
            </w:r>
            <w:r>
              <w:rPr>
                <w:rFonts w:hint="eastAsia" w:ascii="宋体" w:hAnsi="宋体"/>
                <w:i/>
                <w:szCs w:val="21"/>
                <w:highlight w:val="none"/>
                <w:lang w:val="en-US" w:eastAsia="zh-CN"/>
              </w:rPr>
              <w:t>设置的业绩指标不得超过本项目对应指标。</w:t>
            </w:r>
            <w:r>
              <w:rPr>
                <w:rFonts w:hint="eastAsia" w:ascii="宋体" w:hAnsi="宋体"/>
                <w:i/>
                <w:color w:val="auto"/>
                <w:kern w:val="0"/>
                <w:szCs w:val="21"/>
                <w:highlight w:val="none"/>
              </w:rPr>
              <w:t>]</w:t>
            </w:r>
          </w:p>
          <w:p>
            <w:pPr>
              <w:autoSpaceDE w:val="0"/>
              <w:autoSpaceDN w:val="0"/>
              <w:adjustRightInd w:val="0"/>
              <w:snapToGrid w:val="0"/>
              <w:spacing w:line="400" w:lineRule="exact"/>
              <w:ind w:firstLine="415" w:firstLineChars="198"/>
              <w:rPr>
                <w:rFonts w:hint="eastAsia" w:ascii="宋体" w:hAnsi="宋体"/>
                <w:szCs w:val="21"/>
                <w:highlight w:val="none"/>
              </w:rPr>
            </w:pPr>
            <w:r>
              <w:rPr>
                <w:rFonts w:hint="eastAsia" w:asciiTheme="minorEastAsia" w:hAnsiTheme="minorEastAsia" w:eastAsiaTheme="minorEastAsia" w:cstheme="minorEastAsia"/>
                <w:kern w:val="0"/>
                <w:sz w:val="21"/>
                <w:szCs w:val="21"/>
                <w:highlight w:val="none"/>
                <w:lang w:eastAsia="zh-CN"/>
              </w:rPr>
              <w:t>在通过资格审查的基础上（通过资格审查的业绩不参与商务评审），投标人</w:t>
            </w:r>
            <w:r>
              <w:rPr>
                <w:rFonts w:hint="eastAsia" w:asciiTheme="minorEastAsia" w:hAnsiTheme="minorEastAsia" w:eastAsiaTheme="minorEastAsia" w:cstheme="minorEastAsia"/>
                <w:snapToGrid/>
                <w:sz w:val="21"/>
                <w:szCs w:val="21"/>
                <w:highlight w:val="none"/>
                <w:u w:val="none"/>
                <w:lang w:eastAsia="zh-CN"/>
              </w:rPr>
              <w:t>自</w:t>
            </w:r>
            <w:r>
              <w:rPr>
                <w:rFonts w:hint="eastAsia" w:asciiTheme="minorEastAsia" w:hAnsiTheme="minorEastAsia" w:eastAsiaTheme="minorEastAsia" w:cstheme="minorEastAsia"/>
                <w:snapToGrid/>
                <w:sz w:val="21"/>
                <w:szCs w:val="21"/>
                <w:highlight w:val="none"/>
                <w:u w:val="single"/>
                <w:lang w:eastAsia="zh-CN"/>
              </w:rPr>
              <w:t xml:space="preserve">    </w:t>
            </w:r>
            <w:r>
              <w:rPr>
                <w:rFonts w:hint="eastAsia" w:asciiTheme="minorEastAsia" w:hAnsiTheme="minorEastAsia" w:eastAsiaTheme="minorEastAsia" w:cstheme="minorEastAsia"/>
                <w:snapToGrid/>
                <w:sz w:val="21"/>
                <w:szCs w:val="21"/>
                <w:highlight w:val="none"/>
                <w:u w:val="none"/>
                <w:lang w:eastAsia="zh-CN"/>
              </w:rPr>
              <w:t>年1月1日起</w:t>
            </w:r>
            <w:r>
              <w:rPr>
                <w:rFonts w:hint="eastAsia" w:asciiTheme="minorEastAsia" w:hAnsiTheme="minorEastAsia" w:eastAsiaTheme="minorEastAsia" w:cstheme="minorEastAsia"/>
                <w:i/>
                <w:iCs/>
                <w:snapToGrid/>
                <w:sz w:val="21"/>
                <w:szCs w:val="21"/>
                <w:highlight w:val="none"/>
                <w:u w:val="none"/>
                <w:lang w:val="en-US" w:eastAsia="zh-CN"/>
              </w:rPr>
              <w:t>[</w:t>
            </w:r>
            <w:r>
              <w:rPr>
                <w:rFonts w:hint="eastAsia" w:asciiTheme="minorEastAsia" w:hAnsiTheme="minorEastAsia" w:eastAsiaTheme="minorEastAsia" w:cstheme="minorEastAsia"/>
                <w:i/>
                <w:iCs/>
                <w:snapToGrid/>
                <w:sz w:val="21"/>
                <w:szCs w:val="21"/>
                <w:highlight w:val="none"/>
                <w:u w:val="none"/>
                <w:lang w:eastAsia="zh-CN"/>
              </w:rPr>
              <w:t>提示：指投标截止日前3年</w:t>
            </w:r>
            <w:r>
              <w:rPr>
                <w:rFonts w:hint="eastAsia" w:asciiTheme="minorEastAsia" w:hAnsiTheme="minorEastAsia" w:eastAsiaTheme="minorEastAsia" w:cstheme="minorEastAsia"/>
                <w:i/>
                <w:iCs/>
                <w:snapToGrid/>
                <w:sz w:val="21"/>
                <w:szCs w:val="21"/>
                <w:highlight w:val="none"/>
                <w:u w:val="none"/>
                <w:lang w:val="en-US" w:eastAsia="zh-CN"/>
              </w:rPr>
              <w:t>及以上</w:t>
            </w:r>
            <w:r>
              <w:rPr>
                <w:rFonts w:hint="eastAsia" w:asciiTheme="minorEastAsia" w:hAnsiTheme="minorEastAsia" w:eastAsiaTheme="minorEastAsia" w:cstheme="minorEastAsia"/>
                <w:i/>
                <w:iCs/>
                <w:snapToGrid/>
                <w:sz w:val="21"/>
                <w:szCs w:val="21"/>
                <w:highlight w:val="none"/>
                <w:u w:val="none"/>
                <w:lang w:eastAsia="zh-CN"/>
              </w:rPr>
              <w:t>，不包含投标截止日当年]</w:t>
            </w:r>
            <w:r>
              <w:rPr>
                <w:rFonts w:hint="eastAsia" w:ascii="宋体" w:hAnsi="宋体"/>
                <w:szCs w:val="21"/>
                <w:highlight w:val="none"/>
              </w:rPr>
              <w:t>至投标截止日止（以竣工时间为准）</w:t>
            </w:r>
            <w:r>
              <w:rPr>
                <w:rFonts w:hint="eastAsia" w:ascii="宋体" w:hAnsi="宋体"/>
                <w:szCs w:val="21"/>
                <w:highlight w:val="none"/>
                <w:lang w:eastAsia="zh-CN"/>
              </w:rPr>
              <w:t>，每增加</w:t>
            </w:r>
            <w:r>
              <w:rPr>
                <w:rFonts w:hint="eastAsia" w:ascii="宋体" w:hAnsi="宋体"/>
                <w:szCs w:val="21"/>
                <w:highlight w:val="none"/>
              </w:rPr>
              <w:t>1个</w:t>
            </w:r>
            <w:r>
              <w:rPr>
                <w:rFonts w:hint="eastAsia" w:ascii="宋体" w:hAnsi="宋体"/>
                <w:szCs w:val="21"/>
                <w:highlight w:val="none"/>
                <w:u w:val="single"/>
                <w:lang w:eastAsia="zh-CN"/>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none"/>
                <w:lang w:val="en-US" w:eastAsia="zh-CN"/>
              </w:rPr>
              <w:t>施工</w:t>
            </w:r>
            <w:r>
              <w:rPr>
                <w:rFonts w:hint="eastAsia" w:ascii="宋体" w:hAnsi="宋体"/>
                <w:szCs w:val="21"/>
                <w:highlight w:val="none"/>
              </w:rPr>
              <w:t>业绩</w:t>
            </w:r>
            <w:r>
              <w:rPr>
                <w:rFonts w:hint="eastAsia" w:ascii="宋体" w:hAnsi="宋体"/>
                <w:szCs w:val="21"/>
                <w:highlight w:val="none"/>
                <w:lang w:val="en-US" w:eastAsia="zh-CN"/>
              </w:rPr>
              <w:t>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分，本项最多得</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分</w:t>
            </w:r>
            <w:r>
              <w:rPr>
                <w:rFonts w:hint="eastAsia" w:ascii="宋体" w:hAnsi="宋体"/>
                <w:szCs w:val="21"/>
                <w:highlight w:val="none"/>
              </w:rPr>
              <w:t>。</w:t>
            </w:r>
          </w:p>
          <w:p>
            <w:pPr>
              <w:autoSpaceDE w:val="0"/>
              <w:autoSpaceDN w:val="0"/>
              <w:adjustRightInd w:val="0"/>
              <w:snapToGrid w:val="0"/>
              <w:spacing w:line="400" w:lineRule="exact"/>
              <w:ind w:firstLine="415" w:firstLineChars="198"/>
              <w:rPr>
                <w:highlight w:val="none"/>
              </w:rPr>
            </w:pPr>
            <w:r>
              <w:rPr>
                <w:rFonts w:hint="eastAsia" w:ascii="宋体" w:hAnsi="宋体"/>
                <w:szCs w:val="21"/>
                <w:highlight w:val="none"/>
              </w:rPr>
              <w:t>提供</w:t>
            </w:r>
            <w:r>
              <w:rPr>
                <w:rFonts w:hint="eastAsia" w:ascii="宋体" w:hAnsi="宋体"/>
                <w:szCs w:val="21"/>
                <w:highlight w:val="none"/>
                <w:lang w:eastAsia="zh-CN"/>
              </w:rPr>
              <w:t>：</w:t>
            </w:r>
            <w:r>
              <w:rPr>
                <w:rFonts w:hint="eastAsia" w:ascii="宋体" w:hAnsi="宋体"/>
                <w:szCs w:val="21"/>
                <w:highlight w:val="none"/>
              </w:rPr>
              <w:t>该业绩的合同协议书和工程竣工验收合格的证明材料。若</w:t>
            </w:r>
            <w:r>
              <w:rPr>
                <w:rFonts w:hint="eastAsia" w:ascii="宋体" w:hAnsi="宋体"/>
                <w:szCs w:val="21"/>
                <w:highlight w:val="none"/>
                <w:lang w:val="en-US" w:eastAsia="zh-CN"/>
              </w:rPr>
              <w:t>提供的业绩证明材料不能</w:t>
            </w:r>
            <w:r>
              <w:rPr>
                <w:rFonts w:hint="eastAsia" w:ascii="宋体" w:hAnsi="宋体"/>
                <w:szCs w:val="21"/>
                <w:highlight w:val="none"/>
              </w:rPr>
              <w:t>体现</w:t>
            </w:r>
            <w:r>
              <w:rPr>
                <w:rFonts w:hint="eastAsia" w:ascii="宋体" w:hAnsi="宋体"/>
                <w:szCs w:val="21"/>
                <w:highlight w:val="none"/>
                <w:lang w:val="en-US" w:eastAsia="zh-CN"/>
              </w:rPr>
              <w:t>上述业绩指标</w:t>
            </w:r>
            <w:r>
              <w:rPr>
                <w:rFonts w:hint="eastAsia" w:ascii="宋体" w:hAnsi="宋体"/>
                <w:szCs w:val="21"/>
                <w:highlight w:val="none"/>
              </w:rPr>
              <w:t>的，应补充提供</w:t>
            </w:r>
            <w:r>
              <w:rPr>
                <w:rFonts w:hint="eastAsia" w:ascii="宋体" w:hAnsi="宋体"/>
                <w:szCs w:val="21"/>
                <w:highlight w:val="none"/>
                <w:u w:val="none"/>
                <w:lang w:eastAsia="zh-CN"/>
              </w:rPr>
              <w:t>业主证明</w:t>
            </w:r>
            <w:r>
              <w:rPr>
                <w:rFonts w:hint="eastAsia" w:ascii="宋体" w:hAnsi="宋体"/>
                <w:szCs w:val="21"/>
                <w:highlight w:val="none"/>
                <w:u w:val="none"/>
                <w:lang w:val="en-US" w:eastAsia="zh-CN"/>
              </w:rPr>
              <w:t>。</w:t>
            </w:r>
          </w:p>
          <w:p>
            <w:pPr>
              <w:autoSpaceDE w:val="0"/>
              <w:autoSpaceDN w:val="0"/>
              <w:adjustRightInd w:val="0"/>
              <w:snapToGrid w:val="0"/>
              <w:spacing w:line="400" w:lineRule="exact"/>
              <w:ind w:firstLine="415" w:firstLineChars="198"/>
              <w:rPr>
                <w:rFonts w:hint="eastAsia" w:ascii="宋体" w:hAnsi="宋体"/>
                <w:szCs w:val="21"/>
                <w:highlight w:val="none"/>
              </w:rPr>
            </w:pPr>
            <w:r>
              <w:rPr>
                <w:rFonts w:hint="eastAsia" w:ascii="宋体" w:hAnsi="宋体"/>
                <w:szCs w:val="21"/>
                <w:highlight w:val="none"/>
              </w:rPr>
              <w:t>□联合体投标的，按</w:t>
            </w:r>
            <w:r>
              <w:rPr>
                <w:rFonts w:hint="eastAsia" w:ascii="宋体" w:hAnsi="宋体"/>
                <w:lang w:val="en-US" w:eastAsia="zh-CN"/>
              </w:rPr>
              <w:t>共同投标协议</w:t>
            </w:r>
            <w:r>
              <w:rPr>
                <w:rFonts w:hint="eastAsia" w:ascii="宋体" w:hAnsi="宋体"/>
                <w:szCs w:val="21"/>
                <w:highlight w:val="none"/>
              </w:rPr>
              <w:t>约定的分工提供。</w:t>
            </w:r>
          </w:p>
          <w:p>
            <w:pPr>
              <w:autoSpaceDE w:val="0"/>
              <w:autoSpaceDN w:val="0"/>
              <w:adjustRightInd w:val="0"/>
              <w:snapToGrid w:val="0"/>
              <w:spacing w:line="400" w:lineRule="exact"/>
              <w:ind w:firstLine="415" w:firstLineChars="198"/>
              <w:rPr>
                <w:rFonts w:hint="eastAsia" w:ascii="宋体" w:hAnsi="宋体"/>
                <w:szCs w:val="21"/>
                <w:highlight w:val="none"/>
              </w:rPr>
            </w:pPr>
            <w:r>
              <w:rPr>
                <w:rFonts w:hint="eastAsia" w:ascii="宋体" w:hAnsi="宋体"/>
                <w:szCs w:val="21"/>
                <w:highlight w:val="none"/>
              </w:rPr>
              <w:t>注：</w:t>
            </w:r>
            <w:r>
              <w:rPr>
                <w:rFonts w:hint="eastAsia" w:ascii="宋体" w:hAnsi="宋体"/>
                <w:szCs w:val="21"/>
                <w:highlight w:val="none"/>
                <w:lang w:eastAsia="zh-CN"/>
              </w:rPr>
              <w:t>（</w:t>
            </w:r>
            <w:r>
              <w:rPr>
                <w:rFonts w:hint="eastAsia" w:ascii="宋体" w:hAnsi="宋体"/>
                <w:szCs w:val="21"/>
                <w:highlight w:val="none"/>
                <w:lang w:val="en-US" w:eastAsia="zh-CN"/>
              </w:rPr>
              <w:t>1</w:t>
            </w:r>
            <w:r>
              <w:rPr>
                <w:rFonts w:hint="eastAsia" w:ascii="宋体" w:hAnsi="宋体"/>
                <w:szCs w:val="21"/>
                <w:highlight w:val="none"/>
                <w:lang w:eastAsia="zh-CN"/>
              </w:rPr>
              <w:t>）</w:t>
            </w:r>
            <w:r>
              <w:rPr>
                <w:rFonts w:hint="eastAsia" w:ascii="宋体" w:hAnsi="宋体"/>
                <w:szCs w:val="21"/>
                <w:highlight w:val="none"/>
              </w:rPr>
              <w:t>当上述</w:t>
            </w:r>
            <w:r>
              <w:rPr>
                <w:rFonts w:hint="eastAsia" w:ascii="宋体" w:hAnsi="宋体"/>
                <w:szCs w:val="21"/>
                <w:highlight w:val="none"/>
                <w:lang w:val="en-US" w:eastAsia="zh-CN"/>
              </w:rPr>
              <w:t>业绩证明材料</w:t>
            </w:r>
            <w:r>
              <w:rPr>
                <w:rFonts w:hint="eastAsia" w:ascii="宋体" w:hAnsi="宋体"/>
                <w:szCs w:val="21"/>
                <w:highlight w:val="none"/>
              </w:rPr>
              <w:t>中针对同一指标存在不一致时，以工程竣工验收合格的证明材料为准。</w:t>
            </w:r>
          </w:p>
          <w:p>
            <w:pPr>
              <w:autoSpaceDE w:val="0"/>
              <w:autoSpaceDN w:val="0"/>
              <w:adjustRightInd w:val="0"/>
              <w:snapToGrid w:val="0"/>
              <w:spacing w:line="360" w:lineRule="auto"/>
              <w:ind w:firstLine="420" w:firstLineChars="200"/>
              <w:rPr>
                <w:rFonts w:hint="eastAsia" w:ascii="宋体" w:hAnsi="宋体" w:eastAsia="宋体"/>
                <w:color w:val="auto"/>
                <w:kern w:val="0"/>
                <w:szCs w:val="21"/>
                <w:highlight w:val="none"/>
                <w:u w:val="none"/>
                <w:lang w:val="en-US" w:eastAsia="zh-CN"/>
              </w:rPr>
            </w:pPr>
            <w:r>
              <w:rPr>
                <w:rFonts w:hint="eastAsia" w:ascii="宋体" w:hAnsi="宋体"/>
                <w:szCs w:val="21"/>
                <w:highlight w:val="none"/>
              </w:rPr>
              <w:t>（2）投标人提供的业绩为联合体业绩的，其在该业绩中的工作分工应与本项目承担的工作一致</w:t>
            </w:r>
            <w:r>
              <w:rPr>
                <w:rFonts w:hint="eastAsia" w:ascii="宋体" w:hAnsi="宋体"/>
                <w:szCs w:val="21"/>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654" w:hRule="atLeast"/>
          <w:jc w:val="center"/>
        </w:trPr>
        <w:tc>
          <w:tcPr>
            <w:tcW w:w="818" w:type="dxa"/>
            <w:vMerge w:val="continue"/>
            <w:tcBorders>
              <w:righ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2864" w:type="dxa"/>
            <w:gridSpan w:val="3"/>
            <w:tcBorders>
              <w:top w:val="single" w:color="auto" w:sz="4" w:space="0"/>
              <w:bottom w:val="single" w:color="auto" w:sz="4" w:space="0"/>
            </w:tcBorders>
            <w:vAlign w:val="center"/>
          </w:tcPr>
          <w:p>
            <w:pPr>
              <w:spacing w:line="360" w:lineRule="auto"/>
              <w:jc w:val="left"/>
              <w:rPr>
                <w:rFonts w:ascii="宋体" w:hAnsi="宋体" w:cs="宋体"/>
                <w:color w:val="auto"/>
                <w:kern w:val="0"/>
                <w:highlight w:val="none"/>
              </w:rPr>
            </w:pPr>
            <w:r>
              <w:rPr>
                <w:rFonts w:hint="eastAsia" w:ascii="宋体" w:hAnsi="宋体" w:cs="宋体"/>
                <w:szCs w:val="21"/>
              </w:rPr>
              <w:t>□</w:t>
            </w:r>
            <w:r>
              <w:rPr>
                <w:rFonts w:hint="eastAsia" w:ascii="宋体" w:hAnsi="宋体" w:cs="宋体"/>
                <w:kern w:val="0"/>
                <w:lang w:val="en-US" w:eastAsia="zh-CN"/>
              </w:rPr>
              <w:t>人员业绩</w:t>
            </w:r>
          </w:p>
        </w:tc>
        <w:tc>
          <w:tcPr>
            <w:tcW w:w="5189" w:type="dxa"/>
            <w:tcBorders>
              <w:top w:val="single" w:color="auto" w:sz="4" w:space="0"/>
              <w:bottom w:val="single" w:color="auto" w:sz="4" w:space="0"/>
            </w:tcBorders>
            <w:vAlign w:val="center"/>
          </w:tcPr>
          <w:p>
            <w:pPr>
              <w:snapToGrid/>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参与商务评审的人员业绩总个数不超过3个</w:t>
            </w:r>
            <w:r>
              <w:rPr>
                <w:rFonts w:hint="eastAsia" w:ascii="宋体" w:hAnsi="宋体"/>
                <w:i/>
                <w:color w:val="auto"/>
                <w:kern w:val="0"/>
                <w:szCs w:val="21"/>
                <w:highlight w:val="none"/>
              </w:rPr>
              <w:t>。</w:t>
            </w:r>
            <w:r>
              <w:rPr>
                <w:rFonts w:hint="eastAsia" w:ascii="宋体" w:hAnsi="宋体"/>
                <w:i/>
                <w:iCs/>
                <w:szCs w:val="21"/>
                <w:highlight w:val="none"/>
                <w:lang w:val="en-US" w:eastAsia="zh-CN"/>
              </w:rPr>
              <w:t>设置的人员业绩指标不得超过本项目对应指标。</w:t>
            </w:r>
            <w:r>
              <w:rPr>
                <w:rFonts w:hint="eastAsia" w:ascii="宋体" w:hAnsi="宋体"/>
                <w:i/>
                <w:color w:val="auto"/>
                <w:kern w:val="0"/>
                <w:szCs w:val="21"/>
                <w:highlight w:val="none"/>
              </w:rPr>
              <w:t>]</w:t>
            </w:r>
          </w:p>
          <w:p>
            <w:pPr>
              <w:snapToGrid/>
              <w:spacing w:line="400" w:lineRule="exact"/>
              <w:ind w:firstLine="420" w:firstLineChars="200"/>
              <w:jc w:val="left"/>
              <w:rPr>
                <w:rFonts w:hint="default" w:ascii="宋体" w:hAnsi="宋体"/>
                <w:color w:val="auto"/>
                <w:highlight w:val="none"/>
                <w:u w:val="none"/>
                <w:lang w:val="en-US" w:eastAsia="zh-CN"/>
              </w:rPr>
            </w:pPr>
            <w:r>
              <w:rPr>
                <w:rFonts w:hint="eastAsia" w:ascii="宋体" w:hAnsi="宋体"/>
                <w:color w:val="auto"/>
                <w:highlight w:val="none"/>
                <w:u w:val="none"/>
                <w:lang w:val="en-US" w:eastAsia="zh-CN"/>
              </w:rPr>
              <w:t>投标人拟派下列人员中，每增加1个业绩</w:t>
            </w:r>
            <w:r>
              <w:rPr>
                <w:rFonts w:hint="eastAsia" w:asciiTheme="minorEastAsia" w:hAnsiTheme="minorEastAsia" w:eastAsiaTheme="minorEastAsia" w:cstheme="minorEastAsia"/>
                <w:kern w:val="0"/>
                <w:sz w:val="21"/>
                <w:szCs w:val="21"/>
                <w:highlight w:val="none"/>
                <w:lang w:eastAsia="zh-CN"/>
              </w:rPr>
              <w:t>（通过资格审查的业绩不参与商务评审）</w:t>
            </w:r>
            <w:r>
              <w:rPr>
                <w:rFonts w:hint="eastAsia" w:ascii="宋体" w:hAnsi="宋体"/>
                <w:color w:val="auto"/>
                <w:highlight w:val="none"/>
                <w:u w:val="none"/>
                <w:lang w:val="en-US" w:eastAsia="zh-CN"/>
              </w:rPr>
              <w:t>，得</w:t>
            </w:r>
            <w:r>
              <w:rPr>
                <w:rFonts w:hint="eastAsia" w:ascii="宋体" w:hAnsi="宋体"/>
                <w:color w:val="auto"/>
                <w:highlight w:val="none"/>
                <w:u w:val="single"/>
                <w:lang w:val="en-US" w:eastAsia="zh-CN"/>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□项目经理业绩：</w:t>
            </w:r>
            <w:r>
              <w:rPr>
                <w:rFonts w:hint="eastAsia" w:ascii="宋体" w:hAnsi="宋体"/>
                <w:color w:val="auto"/>
                <w:highlight w:val="none"/>
                <w:u w:val="single"/>
                <w:lang w:val="en-US" w:eastAsia="zh-CN"/>
              </w:rPr>
              <w:t xml:space="preserve">        </w:t>
            </w:r>
          </w:p>
          <w:p>
            <w:pPr>
              <w:snapToGrid/>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□技术负责人业绩：</w:t>
            </w:r>
            <w:r>
              <w:rPr>
                <w:rFonts w:hint="eastAsia" w:ascii="宋体" w:hAnsi="宋体"/>
                <w:color w:val="auto"/>
                <w:highlight w:val="none"/>
                <w:u w:val="single"/>
                <w:lang w:val="en-US" w:eastAsia="zh-CN"/>
              </w:rPr>
              <w:t xml:space="preserve">        </w:t>
            </w:r>
          </w:p>
          <w:p>
            <w:pPr>
              <w:snapToGrid/>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□其他拟派人员业绩：</w:t>
            </w:r>
            <w:r>
              <w:rPr>
                <w:rFonts w:hint="eastAsia" w:ascii="宋体" w:hAnsi="宋体"/>
                <w:color w:val="auto"/>
                <w:highlight w:val="none"/>
                <w:u w:val="single"/>
                <w:lang w:val="en-US" w:eastAsia="zh-CN"/>
              </w:rPr>
              <w:t xml:space="preserve">        </w:t>
            </w:r>
          </w:p>
          <w:p>
            <w:pPr>
              <w:autoSpaceDE w:val="0"/>
              <w:autoSpaceDN w:val="0"/>
              <w:adjustRightInd w:val="0"/>
              <w:snapToGrid w:val="0"/>
              <w:spacing w:line="400" w:lineRule="exact"/>
              <w:ind w:firstLine="415" w:firstLineChars="198"/>
              <w:rPr>
                <w:rFonts w:ascii="宋体" w:hAnsi="宋体"/>
                <w:szCs w:val="21"/>
              </w:rPr>
            </w:pPr>
            <w:r>
              <w:rPr>
                <w:rFonts w:hint="eastAsia" w:ascii="宋体" w:hAnsi="宋体"/>
                <w:szCs w:val="21"/>
              </w:rPr>
              <w:t>提供</w:t>
            </w:r>
            <w:r>
              <w:rPr>
                <w:rFonts w:hint="eastAsia" w:ascii="宋体" w:hAnsi="宋体"/>
                <w:szCs w:val="21"/>
                <w:lang w:eastAsia="zh-CN"/>
              </w:rPr>
              <w:t>：</w:t>
            </w:r>
            <w:r>
              <w:rPr>
                <w:rFonts w:hint="eastAsia" w:ascii="宋体" w:hAnsi="宋体"/>
                <w:szCs w:val="21"/>
                <w:lang w:val="en-US" w:eastAsia="zh-CN"/>
              </w:rPr>
              <w:t>拟派人员</w:t>
            </w:r>
            <w:r>
              <w:rPr>
                <w:rFonts w:hint="eastAsia" w:ascii="宋体" w:hAnsi="宋体"/>
                <w:szCs w:val="21"/>
              </w:rPr>
              <w:t>业绩的合同协议书和工程竣工验收合格的证明材料。若</w:t>
            </w:r>
            <w:r>
              <w:rPr>
                <w:rFonts w:hint="eastAsia" w:ascii="宋体" w:hAnsi="宋体"/>
                <w:szCs w:val="21"/>
                <w:lang w:val="en-US" w:eastAsia="zh-CN"/>
              </w:rPr>
              <w:t>提供的业绩证明材料不能</w:t>
            </w:r>
            <w:r>
              <w:rPr>
                <w:rFonts w:hint="eastAsia" w:ascii="宋体" w:hAnsi="宋体"/>
                <w:szCs w:val="21"/>
              </w:rPr>
              <w:t>体现</w:t>
            </w:r>
            <w:r>
              <w:rPr>
                <w:rFonts w:hint="eastAsia" w:ascii="宋体" w:hAnsi="宋体"/>
                <w:szCs w:val="21"/>
                <w:lang w:val="en-US" w:eastAsia="zh-CN"/>
              </w:rPr>
              <w:t>上述业绩指标</w:t>
            </w:r>
            <w:r>
              <w:rPr>
                <w:rFonts w:hint="eastAsia" w:ascii="宋体" w:hAnsi="宋体"/>
                <w:szCs w:val="21"/>
              </w:rPr>
              <w:t>的，应补充提供</w:t>
            </w:r>
            <w:r>
              <w:rPr>
                <w:rFonts w:hint="eastAsia" w:ascii="宋体" w:hAnsi="宋体"/>
                <w:szCs w:val="21"/>
                <w:highlight w:val="none"/>
                <w:u w:val="none"/>
                <w:lang w:eastAsia="zh-CN"/>
              </w:rPr>
              <w:t>业主证明</w:t>
            </w:r>
            <w:r>
              <w:rPr>
                <w:rFonts w:hint="eastAsia" w:ascii="宋体" w:hAnsi="宋体"/>
                <w:szCs w:val="21"/>
                <w:highlight w:val="none"/>
              </w:rPr>
              <w:t>。</w:t>
            </w:r>
          </w:p>
          <w:p>
            <w:pPr>
              <w:snapToGrid w:val="0"/>
              <w:spacing w:after="31" w:afterLines="10" w:line="400" w:lineRule="exact"/>
              <w:ind w:firstLine="420" w:firstLineChars="200"/>
              <w:rPr>
                <w:rFonts w:hint="eastAsia" w:ascii="宋体" w:hAnsi="宋体" w:eastAsia="宋体"/>
                <w:szCs w:val="21"/>
                <w:highlight w:val="none"/>
                <w:lang w:eastAsia="zh-CN"/>
              </w:rPr>
            </w:pPr>
            <w:r>
              <w:rPr>
                <w:rFonts w:hint="eastAsia" w:ascii="宋体" w:hAnsi="宋体"/>
                <w:i w:val="0"/>
                <w:iCs/>
                <w:color w:val="auto"/>
                <w:kern w:val="0"/>
                <w:szCs w:val="21"/>
                <w:highlight w:val="none"/>
              </w:rPr>
              <w:t>□</w:t>
            </w:r>
            <w:r>
              <w:rPr>
                <w:rFonts w:hint="eastAsia" w:ascii="宋体" w:hAnsi="宋体"/>
                <w:szCs w:val="21"/>
                <w:highlight w:val="none"/>
              </w:rPr>
              <w:t>联合体投标的，按</w:t>
            </w:r>
            <w:r>
              <w:rPr>
                <w:rFonts w:hint="eastAsia" w:ascii="宋体" w:hAnsi="宋体"/>
                <w:lang w:val="en-US" w:eastAsia="zh-CN"/>
              </w:rPr>
              <w:t>共同投标协议</w:t>
            </w:r>
            <w:r>
              <w:rPr>
                <w:rFonts w:hint="eastAsia" w:ascii="宋体" w:hAnsi="宋体"/>
                <w:szCs w:val="21"/>
                <w:highlight w:val="none"/>
              </w:rPr>
              <w:t>约定的分工提供</w:t>
            </w:r>
            <w:r>
              <w:rPr>
                <w:rFonts w:hint="eastAsia" w:ascii="宋体" w:hAnsi="宋体"/>
                <w:szCs w:val="21"/>
                <w:highlight w:val="none"/>
                <w:lang w:eastAsia="zh-CN"/>
              </w:rPr>
              <w:t>。</w:t>
            </w:r>
          </w:p>
          <w:p>
            <w:pPr>
              <w:autoSpaceDE w:val="0"/>
              <w:autoSpaceDN w:val="0"/>
              <w:adjustRightInd w:val="0"/>
              <w:snapToGrid w:val="0"/>
              <w:spacing w:line="360" w:lineRule="auto"/>
              <w:ind w:firstLine="420" w:firstLineChars="200"/>
              <w:rPr>
                <w:rFonts w:hint="eastAsia" w:ascii="宋体" w:hAnsi="宋体" w:eastAsia="宋体"/>
                <w:color w:val="auto"/>
                <w:kern w:val="0"/>
                <w:szCs w:val="21"/>
                <w:highlight w:val="none"/>
                <w:u w:val="none"/>
                <w:lang w:eastAsia="zh-CN"/>
              </w:rPr>
            </w:pPr>
            <w:r>
              <w:rPr>
                <w:rFonts w:hint="eastAsia" w:ascii="宋体" w:hAnsi="宋体"/>
                <w:szCs w:val="21"/>
              </w:rPr>
              <w:t>注：当上述</w:t>
            </w:r>
            <w:r>
              <w:rPr>
                <w:rFonts w:hint="eastAsia" w:ascii="宋体" w:hAnsi="宋体"/>
                <w:szCs w:val="21"/>
                <w:lang w:val="en-US" w:eastAsia="zh-CN"/>
              </w:rPr>
              <w:t>业绩证明材料</w:t>
            </w:r>
            <w:r>
              <w:rPr>
                <w:rFonts w:hint="eastAsia" w:ascii="宋体" w:hAnsi="宋体"/>
                <w:szCs w:val="21"/>
              </w:rPr>
              <w:t>中针对同一指标存在不一致时，以工程竣工验收合格的证明材料为准</w:t>
            </w:r>
            <w:r>
              <w:rPr>
                <w:rFonts w:hint="eastAsia" w:ascii="宋体" w:hAnsi="宋体"/>
                <w:color w:val="auto"/>
                <w:kern w:val="0"/>
                <w:szCs w:val="21"/>
                <w:highlight w:val="none"/>
                <w:u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654" w:hRule="atLeast"/>
          <w:jc w:val="center"/>
        </w:trPr>
        <w:tc>
          <w:tcPr>
            <w:tcW w:w="818" w:type="dxa"/>
            <w:vMerge w:val="continue"/>
            <w:tcBorders>
              <w:righ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2864" w:type="dxa"/>
            <w:gridSpan w:val="3"/>
            <w:tcBorders>
              <w:top w:val="single" w:color="auto" w:sz="4" w:space="0"/>
              <w:bottom w:val="single" w:color="auto" w:sz="4" w:space="0"/>
            </w:tcBorders>
            <w:vAlign w:val="center"/>
          </w:tcPr>
          <w:p>
            <w:pPr>
              <w:spacing w:line="360" w:lineRule="auto"/>
              <w:jc w:val="left"/>
              <w:rPr>
                <w:rFonts w:hint="eastAsia" w:ascii="宋体" w:hAnsi="宋体" w:cs="宋体"/>
                <w:color w:val="auto"/>
                <w:kern w:val="0"/>
                <w:highlight w:val="none"/>
              </w:rPr>
            </w:pPr>
            <w:r>
              <w:rPr>
                <w:rFonts w:hint="eastAsia" w:ascii="宋体" w:hAnsi="宋体" w:cs="宋体"/>
                <w:szCs w:val="21"/>
              </w:rPr>
              <w:t>□</w:t>
            </w:r>
            <w:r>
              <w:rPr>
                <w:rFonts w:hint="eastAsia" w:ascii="宋体" w:hAnsi="宋体" w:cs="宋体"/>
                <w:kern w:val="0"/>
              </w:rPr>
              <w:t>人员职称（或执业）证书</w:t>
            </w:r>
          </w:p>
        </w:tc>
        <w:tc>
          <w:tcPr>
            <w:tcW w:w="5189" w:type="dxa"/>
            <w:tcBorders>
              <w:top w:val="single" w:color="auto" w:sz="4" w:space="0"/>
              <w:bottom w:val="single" w:color="auto" w:sz="4" w:space="0"/>
            </w:tcBorders>
            <w:vAlign w:val="center"/>
          </w:tcPr>
          <w:p>
            <w:pPr>
              <w:snapToGrid w:val="0"/>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参与商务评审的人员</w:t>
            </w:r>
            <w:r>
              <w:rPr>
                <w:rFonts w:hint="eastAsia" w:ascii="宋体" w:hAnsi="宋体" w:cs="宋体"/>
                <w:i/>
                <w:iCs/>
                <w:kern w:val="0"/>
              </w:rPr>
              <w:t>职称（或执业）证书</w:t>
            </w:r>
            <w:r>
              <w:rPr>
                <w:rFonts w:hint="eastAsia" w:ascii="宋体" w:hAnsi="宋体"/>
                <w:i/>
                <w:color w:val="auto"/>
                <w:kern w:val="0"/>
                <w:szCs w:val="21"/>
                <w:highlight w:val="none"/>
                <w:lang w:val="en-US" w:eastAsia="zh-CN"/>
              </w:rPr>
              <w:t>总个数不超过3个</w:t>
            </w:r>
            <w:r>
              <w:rPr>
                <w:rFonts w:hint="eastAsia" w:ascii="宋体" w:hAnsi="宋体"/>
                <w:i/>
                <w:color w:val="auto"/>
                <w:kern w:val="0"/>
                <w:szCs w:val="21"/>
                <w:highlight w:val="none"/>
              </w:rPr>
              <w:t>。]</w:t>
            </w:r>
          </w:p>
          <w:p>
            <w:pPr>
              <w:snapToGrid w:val="0"/>
              <w:spacing w:line="400" w:lineRule="exact"/>
              <w:ind w:firstLine="420" w:firstLineChars="200"/>
              <w:jc w:val="left"/>
              <w:rPr>
                <w:rFonts w:hint="default" w:ascii="宋体" w:hAnsi="宋体"/>
                <w:color w:val="auto"/>
                <w:highlight w:val="none"/>
                <w:u w:val="none"/>
                <w:lang w:val="en-US" w:eastAsia="zh-CN"/>
              </w:rPr>
            </w:pPr>
            <w:r>
              <w:rPr>
                <w:rFonts w:hint="eastAsia" w:ascii="宋体" w:hAnsi="宋体"/>
                <w:color w:val="auto"/>
                <w:highlight w:val="none"/>
                <w:u w:val="none"/>
                <w:lang w:val="en-US" w:eastAsia="zh-CN"/>
              </w:rPr>
              <w:t>投标人拟派下列人员中，每具有1个</w:t>
            </w:r>
            <w:r>
              <w:rPr>
                <w:rFonts w:hint="eastAsia" w:ascii="宋体" w:hAnsi="宋体" w:cs="宋体"/>
                <w:kern w:val="0"/>
              </w:rPr>
              <w:t>职称（或执业）证书</w:t>
            </w:r>
            <w:r>
              <w:rPr>
                <w:rFonts w:hint="eastAsia" w:ascii="宋体" w:hAnsi="宋体" w:cs="宋体"/>
                <w:kern w:val="0"/>
                <w:lang w:eastAsia="zh-CN"/>
              </w:rPr>
              <w:t>（</w:t>
            </w:r>
            <w:r>
              <w:rPr>
                <w:rFonts w:hint="eastAsia" w:ascii="宋体" w:hAnsi="宋体"/>
                <w:i w:val="0"/>
                <w:color w:val="auto"/>
                <w:kern w:val="2"/>
                <w:szCs w:val="24"/>
                <w:highlight w:val="none"/>
                <w:u w:val="none"/>
                <w:lang w:val="en-US" w:eastAsia="zh-CN"/>
              </w:rPr>
              <w:t>通过</w:t>
            </w:r>
            <w:r>
              <w:rPr>
                <w:rFonts w:hint="eastAsia" w:ascii="宋体" w:hAnsi="宋体"/>
                <w:i w:val="0"/>
                <w:color w:val="auto"/>
                <w:kern w:val="2"/>
                <w:szCs w:val="24"/>
                <w:highlight w:val="none"/>
                <w:u w:val="none"/>
              </w:rPr>
              <w:t>资格审查</w:t>
            </w:r>
            <w:r>
              <w:rPr>
                <w:rFonts w:hint="eastAsia" w:ascii="宋体" w:hAnsi="宋体"/>
                <w:i w:val="0"/>
                <w:color w:val="auto"/>
                <w:kern w:val="2"/>
                <w:szCs w:val="24"/>
                <w:highlight w:val="none"/>
                <w:u w:val="none"/>
                <w:lang w:val="en-US" w:eastAsia="zh-CN"/>
              </w:rPr>
              <w:t>的人员</w:t>
            </w:r>
            <w:r>
              <w:rPr>
                <w:rFonts w:hint="eastAsia" w:ascii="宋体" w:hAnsi="宋体" w:cs="Times New Roman"/>
                <w:i w:val="0"/>
                <w:iCs w:val="0"/>
                <w:color w:val="auto"/>
                <w:kern w:val="2"/>
                <w:highlight w:val="none"/>
                <w:u w:val="none"/>
              </w:rPr>
              <w:t>职称（或执业）证书</w:t>
            </w:r>
            <w:r>
              <w:rPr>
                <w:rFonts w:hint="eastAsia" w:ascii="宋体" w:hAnsi="宋体"/>
                <w:i w:val="0"/>
                <w:color w:val="auto"/>
                <w:kern w:val="2"/>
                <w:szCs w:val="24"/>
                <w:highlight w:val="none"/>
                <w:u w:val="none"/>
                <w:lang w:val="en-US" w:eastAsia="zh-CN"/>
              </w:rPr>
              <w:t>不参与商务评审</w:t>
            </w:r>
            <w:r>
              <w:rPr>
                <w:rFonts w:hint="eastAsia" w:ascii="宋体" w:hAnsi="宋体" w:cs="宋体"/>
                <w:kern w:val="0"/>
                <w:lang w:eastAsia="zh-CN"/>
              </w:rPr>
              <w:t>）</w:t>
            </w:r>
            <w:r>
              <w:rPr>
                <w:rFonts w:hint="eastAsia" w:ascii="宋体" w:hAnsi="宋体"/>
                <w:color w:val="auto"/>
                <w:highlight w:val="none"/>
                <w:u w:val="none"/>
                <w:lang w:val="en-US" w:eastAsia="zh-CN"/>
              </w:rPr>
              <w:t>，得</w:t>
            </w:r>
            <w:r>
              <w:rPr>
                <w:rFonts w:hint="eastAsia" w:ascii="宋体" w:hAnsi="宋体"/>
                <w:color w:val="auto"/>
                <w:highlight w:val="none"/>
                <w:u w:val="single"/>
                <w:lang w:val="en-US" w:eastAsia="zh-CN"/>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□项目经理</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□技术负责人</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line="400" w:lineRule="exact"/>
              <w:ind w:firstLine="420" w:firstLineChars="200"/>
              <w:jc w:val="left"/>
              <w:rPr>
                <w:rFonts w:hint="eastAsia" w:ascii="宋体" w:hAnsi="宋体"/>
                <w:color w:val="auto"/>
                <w:highlight w:val="none"/>
                <w:u w:val="single"/>
                <w:lang w:val="en-US" w:eastAsia="zh-CN"/>
              </w:rPr>
            </w:pPr>
            <w:r>
              <w:rPr>
                <w:rFonts w:hint="eastAsia" w:ascii="宋体" w:hAnsi="宋体"/>
                <w:color w:val="auto"/>
                <w:highlight w:val="none"/>
                <w:u w:val="none"/>
                <w:lang w:val="en-US" w:eastAsia="zh-CN"/>
              </w:rPr>
              <w:t>□其他拟派人员</w:t>
            </w:r>
            <w:r>
              <w:rPr>
                <w:rFonts w:hint="eastAsia" w:ascii="宋体" w:hAnsi="宋体" w:cs="宋体"/>
                <w:kern w:val="0"/>
              </w:rPr>
              <w:t>职称（或执业）证书</w:t>
            </w:r>
            <w:r>
              <w:rPr>
                <w:rFonts w:hint="eastAsia" w:ascii="宋体" w:hAnsi="宋体"/>
                <w:color w:val="auto"/>
                <w:highlight w:val="none"/>
                <w:u w:val="none"/>
                <w:lang w:val="en-US" w:eastAsia="zh-CN"/>
              </w:rPr>
              <w:t>：</w:t>
            </w:r>
            <w:r>
              <w:rPr>
                <w:rFonts w:hint="eastAsia" w:ascii="宋体" w:hAnsi="宋体"/>
                <w:color w:val="auto"/>
                <w:highlight w:val="none"/>
                <w:u w:val="single"/>
                <w:lang w:val="en-US" w:eastAsia="zh-CN"/>
              </w:rPr>
              <w:t xml:space="preserve">        </w:t>
            </w:r>
          </w:p>
          <w:p>
            <w:pPr>
              <w:snapToGrid w:val="0"/>
              <w:spacing w:after="31" w:afterLines="10" w:line="400" w:lineRule="exact"/>
              <w:ind w:firstLine="420" w:firstLineChars="200"/>
              <w:rPr>
                <w:rFonts w:hint="eastAsia" w:ascii="宋体" w:hAnsi="宋体"/>
                <w:kern w:val="0"/>
                <w:szCs w:val="21"/>
                <w:lang w:eastAsia="zh-CN"/>
              </w:rPr>
            </w:pPr>
            <w:r>
              <w:rPr>
                <w:rFonts w:hint="eastAsia" w:ascii="宋体" w:hAnsi="宋体"/>
                <w:kern w:val="0"/>
                <w:szCs w:val="21"/>
              </w:rPr>
              <w:t>提供</w:t>
            </w:r>
            <w:r>
              <w:rPr>
                <w:rFonts w:hint="eastAsia" w:ascii="宋体" w:hAnsi="宋体"/>
                <w:kern w:val="0"/>
                <w:szCs w:val="21"/>
                <w:lang w:eastAsia="zh-CN"/>
              </w:rPr>
              <w:t>：</w:t>
            </w:r>
            <w:r>
              <w:rPr>
                <w:rFonts w:hint="eastAsia" w:ascii="宋体" w:hAnsi="宋体"/>
                <w:kern w:val="0"/>
                <w:szCs w:val="21"/>
                <w:lang w:val="en-US" w:eastAsia="zh-CN"/>
              </w:rPr>
              <w:t>拟派人员</w:t>
            </w:r>
            <w:r>
              <w:rPr>
                <w:rFonts w:hint="eastAsia" w:ascii="宋体" w:hAnsi="宋体"/>
                <w:kern w:val="0"/>
                <w:szCs w:val="21"/>
              </w:rPr>
              <w:t>身份证、职称（或执业）证书、投标人为其缴纳的养老保险证明材料</w:t>
            </w:r>
            <w:r>
              <w:rPr>
                <w:rFonts w:hint="eastAsia" w:ascii="宋体" w:hAnsi="宋体"/>
                <w:kern w:val="0"/>
                <w:szCs w:val="21"/>
                <w:lang w:eastAsia="zh-CN"/>
              </w:rPr>
              <w:t>（</w:t>
            </w:r>
            <w:r>
              <w:rPr>
                <w:rFonts w:hint="eastAsia" w:ascii="宋体" w:hAnsi="宋体"/>
                <w:kern w:val="0"/>
                <w:szCs w:val="21"/>
              </w:rPr>
              <w:t>养老保险证明材料</w:t>
            </w:r>
            <w:r>
              <w:rPr>
                <w:rFonts w:hint="eastAsia" w:ascii="宋体" w:hAnsi="宋体"/>
                <w:i w:val="0"/>
                <w:iCs/>
                <w:color w:val="auto"/>
                <w:kern w:val="0"/>
                <w:szCs w:val="21"/>
                <w:highlight w:val="none"/>
              </w:rPr>
              <w:t>按</w:t>
            </w:r>
            <w:r>
              <w:rPr>
                <w:rFonts w:hint="eastAsia" w:ascii="宋体" w:hAnsi="宋体"/>
                <w:iCs/>
                <w:color w:val="auto"/>
                <w:kern w:val="0"/>
                <w:szCs w:val="21"/>
                <w:highlight w:val="none"/>
              </w:rPr>
              <w:t>第二章“投标人须知前附表”第1.4.1项</w:t>
            </w:r>
            <w:r>
              <w:rPr>
                <w:rFonts w:hint="eastAsia" w:ascii="宋体" w:hAnsi="宋体"/>
                <w:i w:val="0"/>
                <w:iCs/>
                <w:color w:val="auto"/>
                <w:kern w:val="0"/>
                <w:szCs w:val="21"/>
                <w:highlight w:val="none"/>
                <w:lang w:val="en-US" w:eastAsia="zh-CN"/>
              </w:rPr>
              <w:t>特别说明（3）</w:t>
            </w:r>
            <w:r>
              <w:rPr>
                <w:rFonts w:hint="eastAsia" w:ascii="宋体" w:hAnsi="宋体"/>
                <w:i w:val="0"/>
                <w:iCs/>
                <w:color w:val="auto"/>
                <w:kern w:val="0"/>
                <w:szCs w:val="21"/>
                <w:highlight w:val="none"/>
              </w:rPr>
              <w:t>相关要求提供</w:t>
            </w:r>
            <w:r>
              <w:rPr>
                <w:rFonts w:hint="eastAsia" w:ascii="宋体" w:hAnsi="宋体"/>
                <w:kern w:val="0"/>
                <w:szCs w:val="21"/>
                <w:lang w:eastAsia="zh-CN"/>
              </w:rPr>
              <w:t>）。</w:t>
            </w:r>
          </w:p>
          <w:p>
            <w:pPr>
              <w:autoSpaceDE w:val="0"/>
              <w:autoSpaceDN w:val="0"/>
              <w:adjustRightInd w:val="0"/>
              <w:snapToGrid w:val="0"/>
              <w:spacing w:line="360" w:lineRule="auto"/>
              <w:ind w:firstLine="420" w:firstLineChars="200"/>
              <w:rPr>
                <w:rFonts w:ascii="宋体" w:hAnsi="宋体"/>
                <w:color w:val="auto"/>
                <w:kern w:val="0"/>
                <w:szCs w:val="21"/>
                <w:highlight w:val="none"/>
                <w:u w:val="none"/>
              </w:rPr>
            </w:pPr>
            <w:r>
              <w:rPr>
                <w:rFonts w:hint="eastAsia" w:ascii="宋体" w:hAnsi="宋体"/>
                <w:kern w:val="0"/>
                <w:szCs w:val="21"/>
              </w:rPr>
              <w:t>□联合体投标的，按</w:t>
            </w:r>
            <w:r>
              <w:rPr>
                <w:rFonts w:hint="eastAsia" w:ascii="宋体" w:hAnsi="宋体"/>
                <w:lang w:val="en-US" w:eastAsia="zh-CN"/>
              </w:rPr>
              <w:t>共同投标协议</w:t>
            </w:r>
            <w:r>
              <w:rPr>
                <w:rFonts w:hint="eastAsia" w:ascii="宋体" w:hAnsi="宋体"/>
                <w:kern w:val="0"/>
                <w:szCs w:val="21"/>
              </w:rPr>
              <w:t>约定的分工提供。</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78" w:hRule="atLeast"/>
          <w:jc w:val="center"/>
        </w:trPr>
        <w:tc>
          <w:tcPr>
            <w:tcW w:w="818" w:type="dxa"/>
            <w:vMerge w:val="continue"/>
            <w:tcBorders>
              <w:righ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2864" w:type="dxa"/>
            <w:gridSpan w:val="3"/>
            <w:tcBorders>
              <w:top w:val="single" w:color="auto" w:sz="4" w:space="0"/>
            </w:tcBorders>
            <w:vAlign w:val="center"/>
          </w:tcPr>
          <w:p>
            <w:pPr>
              <w:spacing w:line="360" w:lineRule="auto"/>
              <w:jc w:val="left"/>
              <w:rPr>
                <w:rFonts w:ascii="宋体" w:hAnsi="宋体" w:cs="宋体"/>
                <w:color w:val="auto"/>
                <w:kern w:val="0"/>
                <w:highlight w:val="none"/>
              </w:rPr>
            </w:pPr>
            <w:r>
              <w:rPr>
                <w:rFonts w:hint="eastAsia" w:ascii="宋体" w:hAnsi="宋体" w:cs="宋体"/>
                <w:szCs w:val="21"/>
              </w:rPr>
              <w:t>□</w:t>
            </w:r>
            <w:r>
              <w:rPr>
                <w:rFonts w:hint="eastAsia" w:ascii="宋体" w:hAnsi="宋体" w:cs="宋体"/>
                <w:kern w:val="0"/>
              </w:rPr>
              <w:t>获奖情况</w:t>
            </w:r>
          </w:p>
        </w:tc>
        <w:tc>
          <w:tcPr>
            <w:tcW w:w="5189" w:type="dxa"/>
            <w:tcBorders>
              <w:top w:val="single" w:color="auto" w:sz="4" w:space="0"/>
            </w:tcBorders>
            <w:vAlign w:val="center"/>
          </w:tcPr>
          <w:p>
            <w:pPr>
              <w:snapToGrid w:val="0"/>
              <w:spacing w:line="400" w:lineRule="exact"/>
              <w:ind w:firstLine="420" w:firstLineChars="200"/>
              <w:jc w:val="left"/>
              <w:rPr>
                <w:rFonts w:hint="eastAsia"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val="en-US" w:eastAsia="zh-CN"/>
              </w:rPr>
              <w:t>参与商务评审的奖项总个数不超过2个，该项总分不超过2分</w:t>
            </w:r>
            <w:r>
              <w:rPr>
                <w:rFonts w:hint="eastAsia" w:ascii="宋体" w:hAnsi="宋体"/>
                <w:i/>
                <w:color w:val="auto"/>
                <w:kern w:val="0"/>
                <w:szCs w:val="21"/>
                <w:highlight w:val="none"/>
              </w:rPr>
              <w:t>。]</w:t>
            </w:r>
          </w:p>
          <w:p>
            <w:pPr>
              <w:snapToGrid/>
              <w:spacing w:line="400" w:lineRule="exact"/>
              <w:ind w:firstLine="420" w:firstLineChars="200"/>
              <w:jc w:val="left"/>
              <w:rPr>
                <w:rFonts w:hint="default" w:ascii="宋体" w:hAnsi="宋体"/>
                <w:color w:val="auto"/>
                <w:highlight w:val="none"/>
                <w:u w:val="none"/>
                <w:lang w:val="en-US" w:eastAsia="zh-CN"/>
              </w:rPr>
            </w:pPr>
            <w:r>
              <w:rPr>
                <w:rFonts w:hint="eastAsia" w:asciiTheme="minorEastAsia" w:hAnsiTheme="minorEastAsia" w:eastAsiaTheme="minorEastAsia" w:cstheme="minorEastAsia"/>
                <w:snapToGrid/>
                <w:sz w:val="21"/>
                <w:szCs w:val="21"/>
                <w:u w:val="none"/>
                <w:lang w:eastAsia="zh-CN"/>
              </w:rPr>
              <w:t>自</w:t>
            </w:r>
            <w:r>
              <w:rPr>
                <w:rFonts w:hint="eastAsia" w:asciiTheme="minorEastAsia" w:hAnsiTheme="minorEastAsia" w:eastAsiaTheme="minorEastAsia" w:cstheme="minorEastAsia"/>
                <w:snapToGrid/>
                <w:sz w:val="21"/>
                <w:szCs w:val="21"/>
                <w:u w:val="single"/>
                <w:lang w:eastAsia="zh-CN"/>
              </w:rPr>
              <w:t xml:space="preserve">    </w:t>
            </w:r>
            <w:r>
              <w:rPr>
                <w:rFonts w:hint="eastAsia" w:asciiTheme="minorEastAsia" w:hAnsiTheme="minorEastAsia" w:eastAsiaTheme="minorEastAsia" w:cstheme="minorEastAsia"/>
                <w:snapToGrid/>
                <w:sz w:val="21"/>
                <w:szCs w:val="21"/>
                <w:u w:val="none"/>
                <w:lang w:eastAsia="zh-CN"/>
              </w:rPr>
              <w:t>年1月1日起</w:t>
            </w:r>
            <w:r>
              <w:rPr>
                <w:rFonts w:hint="eastAsia" w:asciiTheme="minorEastAsia" w:hAnsiTheme="minorEastAsia" w:eastAsiaTheme="minorEastAsia" w:cstheme="minorEastAsia"/>
                <w:i/>
                <w:iCs/>
                <w:snapToGrid/>
                <w:sz w:val="21"/>
                <w:szCs w:val="21"/>
                <w:u w:val="none"/>
                <w:lang w:val="en-US" w:eastAsia="zh-CN"/>
              </w:rPr>
              <w:t>[</w:t>
            </w:r>
            <w:r>
              <w:rPr>
                <w:rFonts w:hint="eastAsia" w:asciiTheme="minorEastAsia" w:hAnsiTheme="minorEastAsia" w:eastAsiaTheme="minorEastAsia" w:cstheme="minorEastAsia"/>
                <w:i/>
                <w:iCs/>
                <w:snapToGrid/>
                <w:sz w:val="21"/>
                <w:szCs w:val="21"/>
                <w:u w:val="none"/>
                <w:lang w:eastAsia="zh-CN"/>
              </w:rPr>
              <w:t>提示：指投标截止日前3年</w:t>
            </w:r>
            <w:r>
              <w:rPr>
                <w:rFonts w:hint="eastAsia" w:asciiTheme="minorEastAsia" w:hAnsiTheme="minorEastAsia" w:eastAsiaTheme="minorEastAsia" w:cstheme="minorEastAsia"/>
                <w:i/>
                <w:iCs/>
                <w:snapToGrid/>
                <w:sz w:val="21"/>
                <w:szCs w:val="21"/>
                <w:u w:val="none"/>
                <w:lang w:val="en-US" w:eastAsia="zh-CN"/>
              </w:rPr>
              <w:t>及以上</w:t>
            </w:r>
            <w:r>
              <w:rPr>
                <w:rFonts w:hint="eastAsia" w:asciiTheme="minorEastAsia" w:hAnsiTheme="minorEastAsia" w:eastAsiaTheme="minorEastAsia" w:cstheme="minorEastAsia"/>
                <w:i/>
                <w:iCs/>
                <w:snapToGrid/>
                <w:sz w:val="21"/>
                <w:szCs w:val="21"/>
                <w:u w:val="none"/>
                <w:lang w:eastAsia="zh-CN"/>
              </w:rPr>
              <w:t>，</w:t>
            </w:r>
            <w:r>
              <w:rPr>
                <w:rFonts w:hint="eastAsia" w:asciiTheme="minorEastAsia" w:hAnsiTheme="minorEastAsia" w:eastAsiaTheme="minorEastAsia" w:cstheme="minorEastAsia"/>
                <w:i/>
                <w:iCs/>
                <w:snapToGrid/>
                <w:sz w:val="21"/>
                <w:szCs w:val="21"/>
                <w:highlight w:val="none"/>
                <w:u w:val="none"/>
                <w:lang w:eastAsia="zh-CN"/>
              </w:rPr>
              <w:t>不包含投标截止日当年]</w:t>
            </w:r>
            <w:r>
              <w:rPr>
                <w:rFonts w:hint="eastAsia" w:ascii="宋体" w:hAnsi="宋体"/>
                <w:szCs w:val="21"/>
                <w:highlight w:val="none"/>
              </w:rPr>
              <w:t>至投标截止日止（</w:t>
            </w:r>
            <w:r>
              <w:rPr>
                <w:rFonts w:hint="eastAsia" w:asciiTheme="minorEastAsia" w:hAnsiTheme="minorEastAsia" w:eastAsiaTheme="minorEastAsia" w:cstheme="minorEastAsia"/>
                <w:color w:val="auto"/>
                <w:szCs w:val="21"/>
                <w:highlight w:val="none"/>
              </w:rPr>
              <w:t>以获奖证书颁发时间为准</w:t>
            </w:r>
            <w:r>
              <w:rPr>
                <w:rFonts w:hint="eastAsia" w:ascii="宋体" w:hAnsi="宋体"/>
                <w:szCs w:val="21"/>
                <w:highlight w:val="none"/>
              </w:rPr>
              <w:t>）</w:t>
            </w:r>
            <w:r>
              <w:rPr>
                <w:rFonts w:hint="eastAsia" w:ascii="宋体" w:hAnsi="宋体"/>
                <w:szCs w:val="21"/>
                <w:highlight w:val="none"/>
                <w:lang w:eastAsia="zh-CN"/>
              </w:rPr>
              <w:t>，</w:t>
            </w:r>
            <w:r>
              <w:rPr>
                <w:rFonts w:hint="eastAsia" w:ascii="宋体" w:hAnsi="宋体"/>
                <w:color w:val="auto"/>
                <w:highlight w:val="none"/>
                <w:u w:val="single"/>
                <w:lang w:val="en-US" w:eastAsia="zh-CN"/>
              </w:rPr>
              <w:t>投标人（或拟派人员）</w:t>
            </w:r>
            <w:r>
              <w:rPr>
                <w:rFonts w:hint="eastAsia" w:ascii="宋体" w:hAnsi="宋体"/>
                <w:color w:val="auto"/>
                <w:highlight w:val="none"/>
                <w:u w:val="none"/>
                <w:lang w:val="en-US" w:eastAsia="zh-CN"/>
              </w:rPr>
              <w:t>承担（或参与）的项目获得过国家级奖项，每有1个得</w:t>
            </w:r>
            <w:r>
              <w:rPr>
                <w:rFonts w:hint="eastAsia" w:ascii="宋体" w:hAnsi="宋体"/>
                <w:color w:val="auto"/>
                <w:highlight w:val="none"/>
                <w:u w:val="single"/>
              </w:rPr>
              <w:t xml:space="preserve">    </w:t>
            </w:r>
            <w:r>
              <w:rPr>
                <w:rFonts w:hint="eastAsia" w:ascii="宋体" w:hAnsi="宋体"/>
                <w:color w:val="auto"/>
                <w:highlight w:val="none"/>
                <w:u w:val="none"/>
                <w:lang w:val="en-US" w:eastAsia="zh-CN"/>
              </w:rPr>
              <w:t>分</w:t>
            </w:r>
            <w:r>
              <w:rPr>
                <w:rFonts w:hint="eastAsia" w:ascii="宋体" w:hAnsi="宋体"/>
                <w:color w:val="auto"/>
                <w:highlight w:val="none"/>
              </w:rPr>
              <w:t>，</w:t>
            </w:r>
            <w:r>
              <w:rPr>
                <w:rFonts w:hint="eastAsia" w:ascii="宋体" w:hAnsi="宋体"/>
                <w:color w:val="auto"/>
                <w:highlight w:val="none"/>
                <w:lang w:val="en-US" w:eastAsia="zh-CN"/>
              </w:rPr>
              <w:t>本项</w:t>
            </w:r>
            <w:r>
              <w:rPr>
                <w:rFonts w:hint="eastAsia" w:ascii="宋体" w:hAnsi="宋体"/>
                <w:color w:val="auto"/>
                <w:highlight w:val="none"/>
              </w:rPr>
              <w:t>最多得</w:t>
            </w:r>
            <w:r>
              <w:rPr>
                <w:rFonts w:hint="eastAsia" w:ascii="宋体" w:hAnsi="宋体"/>
                <w:color w:val="auto"/>
                <w:highlight w:val="none"/>
                <w:u w:val="single"/>
              </w:rPr>
              <w:t xml:space="preserve">    </w:t>
            </w:r>
            <w:r>
              <w:rPr>
                <w:rFonts w:hint="eastAsia" w:ascii="宋体" w:hAnsi="宋体"/>
                <w:color w:val="auto"/>
                <w:highlight w:val="none"/>
              </w:rPr>
              <w:t>分</w:t>
            </w:r>
            <w:r>
              <w:rPr>
                <w:rFonts w:hint="eastAsia" w:ascii="宋体" w:hAnsi="宋体"/>
                <w:color w:val="auto"/>
                <w:highlight w:val="none"/>
                <w:u w:val="none"/>
                <w:lang w:val="en-US" w:eastAsia="zh-CN"/>
              </w:rPr>
              <w:t>。</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提供</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获奖</w:t>
            </w:r>
            <w:r>
              <w:rPr>
                <w:rFonts w:hint="eastAsia" w:asciiTheme="minorEastAsia" w:hAnsiTheme="minorEastAsia" w:eastAsiaTheme="minorEastAsia" w:cstheme="minorEastAsia"/>
                <w:color w:val="auto"/>
                <w:szCs w:val="21"/>
                <w:highlight w:val="none"/>
                <w:lang w:val="en-US"/>
              </w:rPr>
              <w:t>证书</w:t>
            </w:r>
            <w:r>
              <w:rPr>
                <w:rFonts w:hint="eastAsia" w:asciiTheme="minorEastAsia" w:hAnsiTheme="minorEastAsia" w:eastAsiaTheme="minorEastAsia" w:cstheme="minorEastAsia"/>
                <w:color w:val="auto"/>
                <w:szCs w:val="21"/>
                <w:highlight w:val="none"/>
                <w:lang w:val="en-US" w:eastAsia="zh-CN"/>
              </w:rPr>
              <w:t>或获奖证明材料</w:t>
            </w:r>
            <w:r>
              <w:rPr>
                <w:rFonts w:hint="eastAsia" w:asciiTheme="minorEastAsia" w:hAnsiTheme="minorEastAsia" w:eastAsiaTheme="minorEastAsia" w:cstheme="minorEastAsia"/>
                <w:color w:val="auto"/>
                <w:szCs w:val="21"/>
                <w:highlight w:val="none"/>
              </w:rPr>
              <w:t>。</w:t>
            </w:r>
          </w:p>
          <w:p>
            <w:pPr>
              <w:snapToGrid w:val="0"/>
              <w:spacing w:line="400" w:lineRule="exact"/>
              <w:ind w:firstLine="420" w:firstLineChars="200"/>
              <w:jc w:val="left"/>
              <w:rPr>
                <w:rFonts w:hint="eastAsia" w:asciiTheme="minorEastAsia" w:hAnsiTheme="minorEastAsia" w:eastAsiaTheme="minorEastAsia" w:cstheme="minorEastAsia"/>
                <w:color w:val="auto"/>
                <w:szCs w:val="21"/>
                <w:highlight w:val="none"/>
              </w:rPr>
            </w:pPr>
            <w:r>
              <w:rPr>
                <w:rFonts w:hint="eastAsia" w:ascii="宋体" w:hAnsi="宋体"/>
                <w:kern w:val="0"/>
                <w:szCs w:val="21"/>
              </w:rPr>
              <w:t>□联合体投标的，</w:t>
            </w:r>
            <w:r>
              <w:rPr>
                <w:rFonts w:hint="eastAsia" w:ascii="宋体" w:hAnsi="宋体"/>
                <w:kern w:val="0"/>
                <w:szCs w:val="21"/>
                <w:lang w:val="en-US" w:eastAsia="zh-CN"/>
              </w:rPr>
              <w:t>由联合体任一单位提供</w:t>
            </w:r>
            <w:r>
              <w:rPr>
                <w:rFonts w:hint="eastAsia" w:ascii="宋体" w:hAnsi="宋体"/>
                <w:kern w:val="0"/>
                <w:szCs w:val="21"/>
              </w:rPr>
              <w:t>。</w:t>
            </w:r>
          </w:p>
          <w:p>
            <w:pPr>
              <w:autoSpaceDE w:val="0"/>
              <w:autoSpaceDN w:val="0"/>
              <w:adjustRightInd w:val="0"/>
              <w:snapToGrid w:val="0"/>
              <w:spacing w:line="400" w:lineRule="exact"/>
              <w:ind w:firstLine="420" w:firstLineChars="200"/>
              <w:rPr>
                <w:rFonts w:ascii="宋体" w:hAnsi="宋体"/>
                <w:color w:val="auto"/>
                <w:highlight w:val="none"/>
                <w:u w:val="single"/>
              </w:rPr>
            </w:pPr>
            <w:r>
              <w:rPr>
                <w:rFonts w:hint="eastAsia" w:asciiTheme="minorEastAsia" w:hAnsiTheme="minorEastAsia" w:eastAsiaTheme="minorEastAsia" w:cstheme="minorEastAsia"/>
                <w:color w:val="auto"/>
                <w:szCs w:val="21"/>
                <w:highlight w:val="none"/>
              </w:rPr>
              <w:t>注：国家级奖项是指：中国建筑业协会评选的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w:t>
            </w:r>
            <w:r>
              <w:rPr>
                <w:rFonts w:hint="eastAsia" w:asciiTheme="minorEastAsia" w:hAnsiTheme="minorEastAsia" w:eastAsiaTheme="minorEastAsia" w:cstheme="minorEastAsia"/>
                <w:color w:val="auto"/>
                <w:szCs w:val="21"/>
                <w:highlight w:val="none"/>
                <w:lang w:eastAsia="zh-CN"/>
              </w:rPr>
              <w:t>建设</w:t>
            </w:r>
            <w:r>
              <w:rPr>
                <w:rFonts w:hint="eastAsia" w:asciiTheme="minorEastAsia" w:hAnsiTheme="minorEastAsia" w:eastAsiaTheme="minorEastAsia" w:cstheme="minorEastAsia"/>
                <w:color w:val="auto"/>
                <w:szCs w:val="21"/>
                <w:highlight w:val="none"/>
              </w:rPr>
              <w:t>工程鲁班奖（国家优质工程）</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；中国土木工程学会评选的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中国土木工程詹天佑奖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；中国施工企业管理协会评选的</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国家优质工程奖</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i/>
                <w:iCs/>
                <w:color w:val="auto"/>
                <w:sz w:val="21"/>
                <w:szCs w:val="21"/>
                <w:highlight w:val="none"/>
                <w:u w:val="none"/>
                <w:lang w:val="en-US" w:eastAsia="zh-CN"/>
              </w:rPr>
              <w:t>[提示：可填写《全国评比达标表彰保留项目目录》中，与地质灾害治理工程施工相关的国家级奖项</w:t>
            </w:r>
            <w:r>
              <w:rPr>
                <w:rFonts w:hint="eastAsia" w:asciiTheme="minorEastAsia" w:hAnsiTheme="minorEastAsia" w:eastAsiaTheme="minorEastAsia" w:cstheme="minorEastAsia"/>
                <w:i/>
                <w:iCs/>
                <w:color w:val="auto"/>
                <w:szCs w:val="21"/>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restart"/>
            <w:tcBorders>
              <w:right w:val="single" w:color="auto" w:sz="4" w:space="0"/>
            </w:tcBorders>
            <w:vAlign w:val="center"/>
          </w:tcPr>
          <w:p>
            <w:pPr>
              <w:spacing w:line="400" w:lineRule="exact"/>
              <w:rPr>
                <w:rFonts w:ascii="宋体" w:hAnsi="宋体"/>
                <w:color w:val="auto"/>
                <w:kern w:val="0"/>
                <w:highlight w:val="none"/>
              </w:rPr>
            </w:pPr>
            <w:r>
              <w:rPr>
                <w:rFonts w:hint="eastAsia" w:ascii="宋体" w:hAnsi="宋体"/>
                <w:color w:val="auto"/>
                <w:kern w:val="0"/>
                <w:highlight w:val="none"/>
              </w:rPr>
              <w:t>2.2.2（3）</w:t>
            </w:r>
          </w:p>
        </w:tc>
        <w:tc>
          <w:tcPr>
            <w:tcW w:w="604" w:type="dxa"/>
            <w:gridSpan w:val="2"/>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投标函部分及</w:t>
            </w:r>
            <w:r>
              <w:rPr>
                <w:rFonts w:hint="eastAsia" w:ascii="宋体" w:hAnsi="宋体"/>
                <w:color w:val="auto"/>
                <w:kern w:val="0"/>
                <w:highlight w:val="none"/>
                <w:lang w:eastAsia="zh-CN"/>
              </w:rPr>
              <w:t>报价部分</w:t>
            </w:r>
            <w:r>
              <w:rPr>
                <w:rFonts w:hint="eastAsia" w:ascii="宋体" w:hAnsi="宋体"/>
                <w:color w:val="auto"/>
                <w:kern w:val="0"/>
                <w:highlight w:val="none"/>
              </w:rPr>
              <w:t>评审标准</w:t>
            </w:r>
          </w:p>
        </w:tc>
        <w:tc>
          <w:tcPr>
            <w:tcW w:w="2864" w:type="dxa"/>
            <w:gridSpan w:val="3"/>
            <w:vAlign w:val="center"/>
          </w:tcPr>
          <w:p>
            <w:pPr>
              <w:tabs>
                <w:tab w:val="left" w:pos="1875"/>
              </w:tabs>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投标函部分的签名盖章</w:t>
            </w:r>
          </w:p>
        </w:tc>
        <w:tc>
          <w:tcPr>
            <w:tcW w:w="5189" w:type="dxa"/>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投标函部分的格式要求法定代表人</w:t>
            </w:r>
            <w:r>
              <w:rPr>
                <w:rFonts w:hint="eastAsia" w:ascii="宋体" w:hAnsi="宋体" w:cs="宋体"/>
                <w:color w:val="auto"/>
                <w:kern w:val="0"/>
                <w:highlight w:val="none"/>
                <w:lang w:eastAsia="zh-CN"/>
              </w:rPr>
              <w:t>（或其委托代理人）</w:t>
            </w:r>
            <w:r>
              <w:rPr>
                <w:rFonts w:hint="eastAsia" w:ascii="宋体" w:hAnsi="宋体" w:cs="宋体"/>
                <w:color w:val="auto"/>
                <w:kern w:val="0"/>
                <w:highlight w:val="none"/>
              </w:rPr>
              <w:t>签名（或盖章）的须齐全，</w:t>
            </w:r>
            <w:r>
              <w:rPr>
                <w:rFonts w:hint="eastAsia" w:asciiTheme="minorEastAsia" w:hAnsiTheme="minorEastAsia" w:eastAsiaTheme="minorEastAsia" w:cstheme="minorEastAsia"/>
                <w:color w:val="auto"/>
                <w:szCs w:val="21"/>
                <w:highlight w:val="none"/>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宋体" w:hAnsi="宋体" w:cs="宋体"/>
                <w:color w:val="auto"/>
                <w:kern w:val="0"/>
                <w:highlight w:val="none"/>
              </w:rPr>
              <w:t>要求加盖单位法人章的，应使用 CA 数字证书加盖投标人的单位电子印章。</w:t>
            </w:r>
          </w:p>
          <w:p>
            <w:pPr>
              <w:snapToGrid w:val="0"/>
              <w:spacing w:line="400" w:lineRule="exact"/>
              <w:ind w:firstLine="420" w:firstLineChars="200"/>
              <w:rPr>
                <w:rFonts w:ascii="宋体" w:hAnsi="宋体"/>
                <w:color w:val="auto"/>
                <w:highlight w:val="none"/>
                <w:u w:val="singl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continue"/>
            <w:tcBorders>
              <w:right w:val="single" w:color="auto" w:sz="4" w:space="0"/>
            </w:tcBorders>
            <w:vAlign w:val="center"/>
          </w:tcPr>
          <w:p>
            <w:pPr>
              <w:spacing w:line="400" w:lineRule="exact"/>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2864" w:type="dxa"/>
            <w:gridSpan w:val="3"/>
            <w:vAlign w:val="center"/>
          </w:tcPr>
          <w:p>
            <w:pPr>
              <w:tabs>
                <w:tab w:val="left" w:pos="1875"/>
              </w:tabs>
              <w:spacing w:line="400" w:lineRule="exact"/>
              <w:jc w:val="left"/>
              <w:rPr>
                <w:rFonts w:ascii="宋体" w:hAnsi="宋体" w:cs="宋体"/>
                <w:color w:val="auto"/>
                <w:kern w:val="0"/>
                <w:highlight w:val="none"/>
              </w:rPr>
            </w:pPr>
            <w:r>
              <w:rPr>
                <w:rFonts w:hint="eastAsia" w:ascii="宋体" w:hAnsi="宋体" w:cs="宋体"/>
                <w:color w:val="auto"/>
                <w:kern w:val="0"/>
                <w:highlight w:val="none"/>
              </w:rPr>
              <w:t>工期</w:t>
            </w:r>
          </w:p>
        </w:tc>
        <w:tc>
          <w:tcPr>
            <w:tcW w:w="5189" w:type="dxa"/>
            <w:vAlign w:val="center"/>
          </w:tcPr>
          <w:p>
            <w:pPr>
              <w:snapToGrid w:val="0"/>
              <w:spacing w:line="400" w:lineRule="exact"/>
              <w:ind w:firstLine="420" w:firstLineChars="200"/>
              <w:rPr>
                <w:rFonts w:ascii="宋体" w:hAnsi="宋体"/>
                <w:color w:val="auto"/>
                <w:highlight w:val="none"/>
                <w:u w:val="single"/>
              </w:rPr>
            </w:pPr>
            <w:r>
              <w:rPr>
                <w:rFonts w:hint="eastAsia" w:ascii="宋体" w:hAnsi="宋体" w:cs="宋体"/>
                <w:color w:val="auto"/>
                <w:kern w:val="0"/>
                <w:highlight w:val="none"/>
              </w:rPr>
              <w:t>符合第二章“投标人须知”第1.3.2项规定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18" w:type="dxa"/>
            <w:vMerge w:val="continue"/>
            <w:tcBorders>
              <w:right w:val="single" w:color="auto" w:sz="4" w:space="0"/>
            </w:tcBorders>
            <w:vAlign w:val="center"/>
          </w:tcPr>
          <w:p>
            <w:pPr>
              <w:spacing w:line="400" w:lineRule="exact"/>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2864" w:type="dxa"/>
            <w:gridSpan w:val="3"/>
            <w:vAlign w:val="center"/>
          </w:tcPr>
          <w:p>
            <w:pPr>
              <w:tabs>
                <w:tab w:val="left" w:pos="1875"/>
              </w:tabs>
              <w:spacing w:line="400" w:lineRule="exact"/>
              <w:jc w:val="left"/>
              <w:rPr>
                <w:rFonts w:ascii="宋体" w:hAnsi="宋体" w:cs="宋体"/>
                <w:color w:val="auto"/>
                <w:kern w:val="0"/>
                <w:highlight w:val="none"/>
              </w:rPr>
            </w:pPr>
            <w:r>
              <w:rPr>
                <w:rFonts w:hint="eastAsia" w:ascii="宋体" w:hAnsi="宋体" w:cs="宋体"/>
                <w:color w:val="auto"/>
                <w:kern w:val="0"/>
                <w:highlight w:val="none"/>
              </w:rPr>
              <w:t>工程质量</w:t>
            </w:r>
          </w:p>
        </w:tc>
        <w:tc>
          <w:tcPr>
            <w:tcW w:w="5189" w:type="dxa"/>
            <w:vAlign w:val="center"/>
          </w:tcPr>
          <w:p>
            <w:pPr>
              <w:snapToGrid w:val="0"/>
              <w:spacing w:line="400" w:lineRule="exact"/>
              <w:ind w:firstLine="420" w:firstLineChars="200"/>
              <w:rPr>
                <w:rFonts w:ascii="宋体" w:hAnsi="宋体"/>
                <w:color w:val="auto"/>
                <w:highlight w:val="none"/>
                <w:u w:val="single"/>
              </w:rPr>
            </w:pPr>
            <w:r>
              <w:rPr>
                <w:rFonts w:hint="eastAsia" w:ascii="宋体" w:hAnsi="宋体" w:cs="宋体"/>
                <w:color w:val="auto"/>
                <w:kern w:val="0"/>
                <w:highlight w:val="none"/>
              </w:rPr>
              <w:t>符合第二章“投标人须知”第1.3.3项规定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continue"/>
            <w:tcBorders>
              <w:right w:val="single" w:color="auto" w:sz="4" w:space="0"/>
            </w:tcBorders>
            <w:vAlign w:val="center"/>
          </w:tcPr>
          <w:p>
            <w:pPr>
              <w:spacing w:line="400" w:lineRule="exact"/>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2864" w:type="dxa"/>
            <w:gridSpan w:val="3"/>
            <w:vAlign w:val="center"/>
          </w:tcPr>
          <w:p>
            <w:pPr>
              <w:tabs>
                <w:tab w:val="left" w:pos="1875"/>
              </w:tabs>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5189" w:type="dxa"/>
            <w:vAlign w:val="center"/>
          </w:tcPr>
          <w:p>
            <w:pPr>
              <w:snapToGrid w:val="0"/>
              <w:spacing w:line="400" w:lineRule="exact"/>
              <w:ind w:firstLine="420" w:firstLineChars="200"/>
              <w:rPr>
                <w:rFonts w:ascii="宋体" w:hAnsi="宋体"/>
                <w:color w:val="auto"/>
                <w:highlight w:val="none"/>
                <w:u w:val="single"/>
              </w:rPr>
            </w:pPr>
            <w:r>
              <w:rPr>
                <w:rFonts w:hint="eastAsia" w:ascii="宋体" w:hAnsi="宋体" w:cs="宋体"/>
                <w:color w:val="auto"/>
                <w:kern w:val="0"/>
                <w:highlight w:val="none"/>
              </w:rPr>
              <w:t>符合第二章“投标人须知”第3.3.1项规定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continue"/>
            <w:tcBorders>
              <w:right w:val="single" w:color="auto" w:sz="4" w:space="0"/>
            </w:tcBorders>
            <w:vAlign w:val="center"/>
          </w:tcPr>
          <w:p>
            <w:pPr>
              <w:spacing w:line="400" w:lineRule="exact"/>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2864" w:type="dxa"/>
            <w:gridSpan w:val="3"/>
            <w:vAlign w:val="center"/>
          </w:tcPr>
          <w:p>
            <w:pPr>
              <w:tabs>
                <w:tab w:val="left" w:pos="1875"/>
              </w:tabs>
              <w:spacing w:line="400" w:lineRule="exact"/>
              <w:jc w:val="left"/>
              <w:rPr>
                <w:rFonts w:ascii="宋体" w:hAnsi="宋体" w:cs="宋体"/>
                <w:color w:val="auto"/>
                <w:kern w:val="0"/>
                <w:highlight w:val="none"/>
              </w:rPr>
            </w:pPr>
            <w:r>
              <w:rPr>
                <w:rFonts w:ascii="宋体" w:hAnsi="宋体"/>
                <w:color w:val="auto"/>
                <w:kern w:val="0"/>
                <w:highlight w:val="none"/>
              </w:rPr>
              <w:t>投标总报价</w:t>
            </w:r>
          </w:p>
        </w:tc>
        <w:tc>
          <w:tcPr>
            <w:tcW w:w="5189" w:type="dxa"/>
            <w:vAlign w:val="center"/>
          </w:tcPr>
          <w:p>
            <w:pPr>
              <w:numPr>
                <w:ilvl w:val="0"/>
                <w:numId w:val="1"/>
              </w:numPr>
              <w:snapToGrid w:val="0"/>
              <w:spacing w:line="32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投标函中的总报价必须与已标价工程量清单总报价一致。</w:t>
            </w:r>
          </w:p>
          <w:p>
            <w:pPr>
              <w:spacing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2.投标总报价不得高于招标人公布的投标总报价</w:t>
            </w:r>
            <w:r>
              <w:rPr>
                <w:rFonts w:hint="eastAsia" w:ascii="宋体" w:hAnsi="宋体"/>
                <w:color w:val="auto"/>
                <w:szCs w:val="21"/>
                <w:highlight w:val="none"/>
              </w:rPr>
              <w:t>最高限价</w:t>
            </w:r>
            <w:r>
              <w:rPr>
                <w:rFonts w:hint="eastAsia" w:ascii="宋体" w:hAnsi="宋体" w:cs="宋体"/>
                <w:color w:val="auto"/>
                <w:kern w:val="0"/>
                <w:highlight w:val="none"/>
              </w:rPr>
              <w:t>。</w:t>
            </w:r>
          </w:p>
          <w:p>
            <w:pPr>
              <w:spacing w:line="400" w:lineRule="exact"/>
              <w:ind w:firstLine="420" w:firstLineChars="200"/>
              <w:rPr>
                <w:rFonts w:hint="eastAsia" w:ascii="宋体" w:hAnsi="宋体" w:eastAsia="宋体"/>
                <w:color w:val="auto"/>
                <w:kern w:val="0"/>
                <w:highlight w:val="none"/>
                <w:lang w:eastAsia="zh-CN"/>
              </w:rPr>
            </w:pPr>
            <w:r>
              <w:rPr>
                <w:rFonts w:hint="eastAsia" w:ascii="宋体" w:hAnsi="宋体" w:cs="宋体"/>
                <w:kern w:val="0"/>
              </w:rPr>
              <w:t>□3.投标人投标总报价</w:t>
            </w:r>
            <w:r>
              <w:rPr>
                <w:rFonts w:hint="eastAsia" w:ascii="宋体" w:hAnsi="宋体" w:cs="宋体"/>
                <w:i w:val="0"/>
                <w:iCs w:val="0"/>
                <w:szCs w:val="21"/>
                <w:u w:val="none"/>
                <w:lang w:val="en-US" w:eastAsia="zh-CN"/>
              </w:rPr>
              <w:t>或者部分单项报价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kern w:val="0"/>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continue"/>
            <w:tcBorders>
              <w:right w:val="single" w:color="auto" w:sz="4" w:space="0"/>
            </w:tcBorders>
            <w:vAlign w:val="center"/>
          </w:tcPr>
          <w:p>
            <w:pPr>
              <w:spacing w:line="400" w:lineRule="exact"/>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2864" w:type="dxa"/>
            <w:gridSpan w:val="3"/>
            <w:vAlign w:val="center"/>
          </w:tcPr>
          <w:p>
            <w:pPr>
              <w:tabs>
                <w:tab w:val="left" w:pos="1875"/>
              </w:tabs>
              <w:spacing w:line="400" w:lineRule="exact"/>
              <w:jc w:val="left"/>
              <w:rPr>
                <w:rFonts w:ascii="宋体" w:hAnsi="宋体" w:cs="宋体"/>
                <w:color w:val="auto"/>
                <w:kern w:val="0"/>
                <w:highlight w:val="none"/>
              </w:rPr>
            </w:pPr>
            <w:r>
              <w:rPr>
                <w:rFonts w:ascii="宋体" w:hAnsi="宋体"/>
                <w:color w:val="auto"/>
                <w:kern w:val="0"/>
                <w:highlight w:val="none"/>
              </w:rPr>
              <w:t>报价唯一</w:t>
            </w:r>
          </w:p>
        </w:tc>
        <w:tc>
          <w:tcPr>
            <w:tcW w:w="5189" w:type="dxa"/>
            <w:vAlign w:val="center"/>
          </w:tcPr>
          <w:p>
            <w:pPr>
              <w:snapToGrid w:val="0"/>
              <w:spacing w:line="400" w:lineRule="exact"/>
              <w:ind w:firstLine="420" w:firstLineChars="200"/>
              <w:rPr>
                <w:rFonts w:ascii="宋体" w:hAnsi="宋体"/>
                <w:color w:val="auto"/>
                <w:highlight w:val="none"/>
                <w:u w:val="single"/>
              </w:rPr>
            </w:pPr>
            <w:r>
              <w:rPr>
                <w:rFonts w:ascii="宋体" w:hAnsi="宋体"/>
                <w:color w:val="auto"/>
                <w:kern w:val="0"/>
                <w:highlight w:val="none"/>
              </w:rPr>
              <w:t>只能有一个有效报价，在招标文件没有规定的情况下，不得提交选择性报价。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818" w:type="dxa"/>
            <w:vMerge w:val="continue"/>
            <w:tcBorders>
              <w:right w:val="single" w:color="auto" w:sz="4" w:space="0"/>
            </w:tcBorders>
            <w:vAlign w:val="center"/>
          </w:tcPr>
          <w:p>
            <w:pPr>
              <w:spacing w:line="400" w:lineRule="exact"/>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2864" w:type="dxa"/>
            <w:gridSpan w:val="3"/>
            <w:vAlign w:val="center"/>
          </w:tcPr>
          <w:p>
            <w:pPr>
              <w:tabs>
                <w:tab w:val="left" w:pos="1875"/>
              </w:tabs>
              <w:spacing w:line="400" w:lineRule="exact"/>
              <w:jc w:val="left"/>
              <w:rPr>
                <w:rFonts w:ascii="宋体" w:hAnsi="宋体"/>
                <w:color w:val="auto"/>
                <w:kern w:val="0"/>
                <w:highlight w:val="none"/>
              </w:rPr>
            </w:pPr>
            <w:r>
              <w:rPr>
                <w:rFonts w:hint="eastAsia" w:ascii="宋体" w:hAnsi="宋体"/>
                <w:color w:val="auto"/>
                <w:kern w:val="0"/>
                <w:highlight w:val="none"/>
              </w:rPr>
              <w:t>暂定金额（暂列金）</w:t>
            </w:r>
          </w:p>
        </w:tc>
        <w:tc>
          <w:tcPr>
            <w:tcW w:w="5189" w:type="dxa"/>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olor w:val="auto"/>
                <w:kern w:val="0"/>
                <w:highlight w:val="none"/>
              </w:rPr>
              <w:t>暂定金额（暂列金）、暂估价等暂定金额必须按照招标文件给定的金额填报。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continue"/>
            <w:tcBorders>
              <w:right w:val="single" w:color="auto" w:sz="4" w:space="0"/>
            </w:tcBorders>
            <w:vAlign w:val="center"/>
          </w:tcPr>
          <w:p>
            <w:pPr>
              <w:spacing w:line="400" w:lineRule="exact"/>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2864" w:type="dxa"/>
            <w:gridSpan w:val="3"/>
            <w:vAlign w:val="center"/>
          </w:tcPr>
          <w:p>
            <w:pPr>
              <w:tabs>
                <w:tab w:val="left" w:pos="1875"/>
              </w:tabs>
              <w:spacing w:line="400" w:lineRule="exact"/>
              <w:jc w:val="left"/>
              <w:rPr>
                <w:rFonts w:ascii="宋体" w:hAnsi="宋体" w:cs="宋体"/>
                <w:color w:val="auto"/>
                <w:kern w:val="0"/>
                <w:highlight w:val="none"/>
              </w:rPr>
            </w:pPr>
            <w:r>
              <w:rPr>
                <w:rFonts w:ascii="宋体" w:hAnsi="宋体"/>
                <w:color w:val="auto"/>
                <w:kern w:val="0"/>
                <w:highlight w:val="none"/>
              </w:rPr>
              <w:t>已标价工程量清单</w:t>
            </w:r>
          </w:p>
        </w:tc>
        <w:tc>
          <w:tcPr>
            <w:tcW w:w="5189" w:type="dxa"/>
            <w:vAlign w:val="center"/>
          </w:tcPr>
          <w:p>
            <w:pPr>
              <w:snapToGrid w:val="0"/>
              <w:spacing w:line="400" w:lineRule="exact"/>
              <w:ind w:firstLine="420" w:firstLineChars="200"/>
              <w:rPr>
                <w:rFonts w:ascii="宋体" w:hAnsi="宋体"/>
                <w:color w:val="auto"/>
                <w:highlight w:val="none"/>
                <w:u w:val="single"/>
              </w:rPr>
            </w:pPr>
            <w:r>
              <w:rPr>
                <w:rFonts w:hint="eastAsia" w:ascii="宋体" w:hAnsi="宋体"/>
                <w:color w:val="auto"/>
                <w:kern w:val="0"/>
                <w:highlight w:val="none"/>
              </w:rPr>
              <w:t>投标人承诺已标价工程量清单满足第二章“投标人须知前附表”第3.2款第12条要求，如有差错则按第二章“投标人须知前附表”第3.2款第11条要求原则进行处理（或结算），承诺书格式详见第八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18" w:type="dxa"/>
            <w:vMerge w:val="continue"/>
            <w:tcBorders>
              <w:right w:val="single" w:color="auto" w:sz="4" w:space="0"/>
            </w:tcBorders>
            <w:vAlign w:val="center"/>
          </w:tcPr>
          <w:p>
            <w:pPr>
              <w:spacing w:line="400" w:lineRule="exact"/>
              <w:rPr>
                <w:rFonts w:ascii="宋体" w:hAnsi="宋体"/>
                <w:color w:val="auto"/>
                <w:kern w:val="0"/>
                <w:highlight w:val="none"/>
              </w:rPr>
            </w:pPr>
          </w:p>
        </w:tc>
        <w:tc>
          <w:tcPr>
            <w:tcW w:w="604" w:type="dxa"/>
            <w:gridSpan w:val="2"/>
            <w:vMerge w:val="continue"/>
            <w:tcBorders>
              <w:left w:val="single" w:color="auto" w:sz="4" w:space="0"/>
            </w:tcBorders>
            <w:vAlign w:val="center"/>
          </w:tcPr>
          <w:p>
            <w:pPr>
              <w:spacing w:line="400" w:lineRule="exact"/>
              <w:ind w:firstLine="210" w:firstLineChars="100"/>
              <w:jc w:val="center"/>
              <w:rPr>
                <w:rFonts w:ascii="宋体" w:hAnsi="宋体"/>
                <w:color w:val="auto"/>
                <w:kern w:val="0"/>
                <w:highlight w:val="none"/>
              </w:rPr>
            </w:pPr>
          </w:p>
        </w:tc>
        <w:tc>
          <w:tcPr>
            <w:tcW w:w="2864" w:type="dxa"/>
            <w:gridSpan w:val="3"/>
            <w:vAlign w:val="center"/>
          </w:tcPr>
          <w:p>
            <w:pPr>
              <w:tabs>
                <w:tab w:val="left" w:pos="1875"/>
              </w:tabs>
              <w:spacing w:line="400" w:lineRule="exact"/>
              <w:jc w:val="left"/>
              <w:rPr>
                <w:rFonts w:ascii="宋体" w:hAnsi="宋体" w:cs="宋体"/>
                <w:color w:val="auto"/>
                <w:kern w:val="0"/>
                <w:highlight w:val="none"/>
              </w:rPr>
            </w:pPr>
            <w:r>
              <w:rPr>
                <w:rFonts w:ascii="宋体" w:hAnsi="宋体"/>
                <w:color w:val="auto"/>
                <w:kern w:val="0"/>
                <w:highlight w:val="none"/>
              </w:rPr>
              <w:t>投标报价算术错误修正</w:t>
            </w:r>
          </w:p>
        </w:tc>
        <w:tc>
          <w:tcPr>
            <w:tcW w:w="5189" w:type="dxa"/>
            <w:vAlign w:val="center"/>
          </w:tcPr>
          <w:p>
            <w:pPr>
              <w:snapToGrid w:val="0"/>
              <w:spacing w:line="400" w:lineRule="exact"/>
              <w:ind w:firstLine="420" w:firstLineChars="200"/>
              <w:rPr>
                <w:rFonts w:ascii="宋体" w:hAnsi="宋体"/>
                <w:color w:val="auto"/>
                <w:highlight w:val="none"/>
                <w:u w:val="single"/>
              </w:rPr>
            </w:pPr>
            <w:r>
              <w:rPr>
                <w:rFonts w:ascii="宋体" w:hAnsi="宋体"/>
                <w:color w:val="auto"/>
                <w:kern w:val="0"/>
                <w:highlight w:val="none"/>
              </w:rPr>
              <w:t>符合第三章3.评标程序第3.1.3项规定。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422" w:type="dxa"/>
            <w:gridSpan w:val="3"/>
            <w:vAlign w:val="center"/>
          </w:tcPr>
          <w:p>
            <w:pPr>
              <w:spacing w:line="400" w:lineRule="exact"/>
              <w:jc w:val="center"/>
              <w:rPr>
                <w:rFonts w:ascii="宋体" w:hAnsi="宋体"/>
                <w:color w:val="auto"/>
                <w:kern w:val="0"/>
                <w:highlight w:val="none"/>
              </w:rPr>
            </w:pPr>
            <w:r>
              <w:rPr>
                <w:rFonts w:ascii="宋体" w:hAnsi="宋体"/>
                <w:color w:val="auto"/>
                <w:kern w:val="0"/>
                <w:highlight w:val="none"/>
              </w:rPr>
              <w:t>2.2.</w:t>
            </w:r>
            <w:r>
              <w:rPr>
                <w:rFonts w:hint="eastAsia" w:ascii="宋体" w:hAnsi="宋体"/>
                <w:color w:val="auto"/>
                <w:kern w:val="0"/>
                <w:highlight w:val="none"/>
              </w:rPr>
              <w:t>3</w:t>
            </w:r>
          </w:p>
        </w:tc>
        <w:tc>
          <w:tcPr>
            <w:tcW w:w="1546" w:type="dxa"/>
            <w:gridSpan w:val="2"/>
            <w:vAlign w:val="center"/>
          </w:tcPr>
          <w:p>
            <w:pPr>
              <w:snapToGrid w:val="0"/>
              <w:spacing w:line="400" w:lineRule="exact"/>
              <w:jc w:val="left"/>
              <w:rPr>
                <w:rFonts w:ascii="宋体" w:hAnsi="宋体"/>
                <w:b/>
                <w:color w:val="auto"/>
                <w:kern w:val="0"/>
                <w:highlight w:val="none"/>
              </w:rPr>
            </w:pPr>
            <w:r>
              <w:rPr>
                <w:rFonts w:hint="eastAsia" w:ascii="宋体" w:hAnsi="宋体"/>
                <w:b/>
                <w:color w:val="auto"/>
                <w:kern w:val="0"/>
                <w:highlight w:val="none"/>
              </w:rPr>
              <w:t>□选项一：</w:t>
            </w:r>
          </w:p>
          <w:p>
            <w:pPr>
              <w:spacing w:line="400" w:lineRule="exact"/>
              <w:jc w:val="center"/>
              <w:rPr>
                <w:rFonts w:ascii="宋体" w:hAnsi="宋体"/>
                <w:color w:val="auto"/>
                <w:kern w:val="0"/>
                <w:highlight w:val="none"/>
              </w:rPr>
            </w:pPr>
            <w:r>
              <w:rPr>
                <w:rFonts w:ascii="宋体" w:hAnsi="宋体"/>
                <w:color w:val="auto"/>
                <w:kern w:val="0"/>
                <w:highlight w:val="none"/>
              </w:rPr>
              <w:t>评标基准价计算方法</w:t>
            </w:r>
          </w:p>
        </w:tc>
        <w:tc>
          <w:tcPr>
            <w:tcW w:w="1318" w:type="dxa"/>
            <w:vAlign w:val="center"/>
          </w:tcPr>
          <w:p>
            <w:pPr>
              <w:spacing w:line="400" w:lineRule="exact"/>
              <w:jc w:val="center"/>
              <w:rPr>
                <w:rFonts w:ascii="宋体" w:hAnsi="宋体"/>
                <w:color w:val="auto"/>
                <w:kern w:val="0"/>
                <w:highlight w:val="none"/>
              </w:rPr>
            </w:pPr>
            <w:r>
              <w:rPr>
                <w:rFonts w:ascii="宋体" w:hAnsi="宋体"/>
                <w:color w:val="auto"/>
                <w:kern w:val="0"/>
                <w:highlight w:val="none"/>
              </w:rPr>
              <w:t>投标总报价</w:t>
            </w:r>
          </w:p>
        </w:tc>
        <w:tc>
          <w:tcPr>
            <w:tcW w:w="5189" w:type="dxa"/>
          </w:tcPr>
          <w:p>
            <w:pPr>
              <w:snapToGrid w:val="0"/>
              <w:spacing w:line="4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和本章第2.2.2（3）目评审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rPr>
              <w:t>，即为本项目的投标总报价的评标基准价。</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评标基准价计算的最终</w:t>
            </w:r>
            <w:r>
              <w:rPr>
                <w:rFonts w:ascii="宋体" w:hAnsi="宋体"/>
                <w:color w:val="auto"/>
                <w:kern w:val="0"/>
                <w:szCs w:val="21"/>
                <w:highlight w:val="none"/>
              </w:rPr>
              <w:t>结果取小数点后两位，</w:t>
            </w:r>
            <w:r>
              <w:rPr>
                <w:rFonts w:hint="eastAsia" w:ascii="宋体" w:hAnsi="宋体" w:cs="Times New Roman"/>
                <w:color w:val="auto"/>
                <w:kern w:val="2"/>
                <w:szCs w:val="21"/>
                <w:highlight w:val="none"/>
                <w:lang w:val="en-US" w:eastAsia="zh-CN"/>
              </w:rPr>
              <w:t>小数点后</w:t>
            </w:r>
            <w:r>
              <w:rPr>
                <w:rFonts w:ascii="宋体" w:hAnsi="宋体"/>
                <w:color w:val="auto"/>
                <w:kern w:val="0"/>
                <w:szCs w:val="21"/>
                <w:highlight w:val="none"/>
              </w:rPr>
              <w:t>第三位四舍五入。</w:t>
            </w:r>
          </w:p>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cantSplit/>
          <w:jc w:val="center"/>
        </w:trPr>
        <w:tc>
          <w:tcPr>
            <w:tcW w:w="1422" w:type="dxa"/>
            <w:gridSpan w:val="3"/>
            <w:vAlign w:val="center"/>
          </w:tcPr>
          <w:p>
            <w:pPr>
              <w:spacing w:line="400" w:lineRule="exact"/>
              <w:jc w:val="center"/>
              <w:rPr>
                <w:rFonts w:ascii="宋体" w:hAnsi="宋体"/>
                <w:color w:val="auto"/>
                <w:kern w:val="0"/>
                <w:highlight w:val="none"/>
              </w:rPr>
            </w:pPr>
            <w:r>
              <w:rPr>
                <w:rFonts w:ascii="宋体" w:hAnsi="宋体"/>
                <w:color w:val="auto"/>
                <w:kern w:val="0"/>
                <w:highlight w:val="none"/>
              </w:rPr>
              <w:t>2.2.</w:t>
            </w:r>
            <w:r>
              <w:rPr>
                <w:rFonts w:hint="eastAsia" w:ascii="宋体" w:hAnsi="宋体"/>
                <w:color w:val="auto"/>
                <w:kern w:val="0"/>
                <w:highlight w:val="none"/>
              </w:rPr>
              <w:t>3</w:t>
            </w:r>
          </w:p>
        </w:tc>
        <w:tc>
          <w:tcPr>
            <w:tcW w:w="1546" w:type="dxa"/>
            <w:gridSpan w:val="2"/>
            <w:vAlign w:val="center"/>
          </w:tcPr>
          <w:p>
            <w:pPr>
              <w:snapToGrid w:val="0"/>
              <w:spacing w:line="400" w:lineRule="exact"/>
              <w:jc w:val="left"/>
              <w:rPr>
                <w:rFonts w:ascii="宋体" w:hAnsi="宋体"/>
                <w:b/>
                <w:color w:val="auto"/>
                <w:kern w:val="0"/>
                <w:highlight w:val="none"/>
              </w:rPr>
            </w:pPr>
            <w:r>
              <w:rPr>
                <w:rFonts w:hint="eastAsia" w:ascii="宋体" w:hAnsi="宋体"/>
                <w:b/>
                <w:color w:val="auto"/>
                <w:kern w:val="0"/>
                <w:highlight w:val="none"/>
              </w:rPr>
              <w:t>□选项二：</w:t>
            </w:r>
          </w:p>
          <w:p>
            <w:pPr>
              <w:spacing w:line="400" w:lineRule="exact"/>
              <w:jc w:val="center"/>
              <w:rPr>
                <w:rFonts w:ascii="宋体" w:hAnsi="宋体"/>
                <w:color w:val="auto"/>
                <w:kern w:val="0"/>
                <w:highlight w:val="none"/>
              </w:rPr>
            </w:pPr>
            <w:r>
              <w:rPr>
                <w:rFonts w:ascii="宋体" w:hAnsi="宋体"/>
                <w:color w:val="auto"/>
                <w:kern w:val="0"/>
                <w:highlight w:val="none"/>
              </w:rPr>
              <w:t>评标基准价计算方法</w:t>
            </w:r>
          </w:p>
        </w:tc>
        <w:tc>
          <w:tcPr>
            <w:tcW w:w="1318" w:type="dxa"/>
            <w:vAlign w:val="center"/>
          </w:tcPr>
          <w:p>
            <w:pPr>
              <w:spacing w:line="400" w:lineRule="exact"/>
              <w:jc w:val="center"/>
              <w:rPr>
                <w:rFonts w:ascii="宋体" w:hAnsi="宋体"/>
                <w:color w:val="auto"/>
                <w:kern w:val="0"/>
                <w:highlight w:val="none"/>
              </w:rPr>
            </w:pPr>
            <w:r>
              <w:rPr>
                <w:rFonts w:ascii="宋体" w:hAnsi="宋体"/>
                <w:color w:val="auto"/>
                <w:kern w:val="0"/>
                <w:highlight w:val="none"/>
              </w:rPr>
              <w:t>投标总报价</w:t>
            </w:r>
          </w:p>
        </w:tc>
        <w:tc>
          <w:tcPr>
            <w:tcW w:w="5189" w:type="dxa"/>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和本章第2.2.2（3）目评审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价中去掉六分之一（不能整除的按小数点前整数取整，不足六家报价则不去掉）的最低价和相同家数的最高价后的算术平均值乘以</w:t>
            </w:r>
            <w:r>
              <w:rPr>
                <w:rFonts w:hint="eastAsia" w:ascii="宋体" w:hAnsi="宋体"/>
                <w:color w:val="auto"/>
                <w:kern w:val="0"/>
                <w:szCs w:val="21"/>
                <w:highlight w:val="none"/>
              </w:rPr>
              <w:t>（1-</w:t>
            </w:r>
            <w:r>
              <w:rPr>
                <w:rFonts w:ascii="宋体" w:hAnsi="宋体"/>
                <w:color w:val="auto"/>
                <w:kern w:val="0"/>
                <w:szCs w:val="21"/>
                <w:highlight w:val="none"/>
              </w:rPr>
              <w:t>本项目评标基准价浮动值N</w:t>
            </w:r>
            <w:r>
              <w:rPr>
                <w:rFonts w:hint="eastAsia" w:ascii="宋体" w:hAnsi="宋体"/>
                <w:color w:val="auto"/>
                <w:kern w:val="0"/>
                <w:szCs w:val="21"/>
                <w:highlight w:val="none"/>
              </w:rPr>
              <w:t>）</w:t>
            </w:r>
            <w:r>
              <w:rPr>
                <w:rFonts w:ascii="宋体" w:hAnsi="宋体"/>
                <w:color w:val="auto"/>
                <w:kern w:val="0"/>
                <w:szCs w:val="21"/>
                <w:highlight w:val="none"/>
              </w:rPr>
              <w:t>，即为本项目的投标总报价的评标基准价。（评标基准价浮动值N为</w:t>
            </w:r>
            <w:r>
              <w:rPr>
                <w:rFonts w:hint="eastAsia" w:ascii="宋体" w:hAnsi="宋体"/>
                <w:color w:val="auto"/>
                <w:kern w:val="0"/>
                <w:highlight w:val="none"/>
              </w:rPr>
              <w:t>1</w:t>
            </w:r>
            <w:r>
              <w:rPr>
                <w:rFonts w:ascii="宋体" w:hAnsi="宋体"/>
                <w:color w:val="auto"/>
                <w:kern w:val="0"/>
                <w:highlight w:val="none"/>
              </w:rPr>
              <w:t>%～</w:t>
            </w:r>
            <w:r>
              <w:rPr>
                <w:rFonts w:hint="eastAsia" w:ascii="宋体" w:hAnsi="宋体"/>
                <w:color w:val="auto"/>
                <w:kern w:val="0"/>
                <w:highlight w:val="none"/>
              </w:rPr>
              <w:t>5%范围内百分数取整</w:t>
            </w:r>
            <w:r>
              <w:rPr>
                <w:rFonts w:ascii="宋体" w:hAnsi="宋体"/>
                <w:color w:val="auto"/>
                <w:kern w:val="0"/>
                <w:highlight w:val="none"/>
              </w:rPr>
              <w:t>，</w:t>
            </w:r>
            <w:r>
              <w:rPr>
                <w:rFonts w:ascii="宋体" w:hAnsi="宋体"/>
                <w:color w:val="auto"/>
                <w:kern w:val="0"/>
                <w:szCs w:val="21"/>
                <w:highlight w:val="none"/>
              </w:rPr>
              <w:t>在开标现场随机抽取决定）</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评标基准价计算的最终</w:t>
            </w:r>
            <w:r>
              <w:rPr>
                <w:rFonts w:ascii="宋体" w:hAnsi="宋体"/>
                <w:color w:val="auto"/>
                <w:kern w:val="0"/>
                <w:szCs w:val="21"/>
                <w:highlight w:val="none"/>
              </w:rPr>
              <w:t>结果取小数点后两位，</w:t>
            </w:r>
            <w:r>
              <w:rPr>
                <w:rFonts w:hint="eastAsia" w:ascii="宋体" w:hAnsi="宋体" w:cs="Times New Roman"/>
                <w:color w:val="auto"/>
                <w:kern w:val="2"/>
                <w:szCs w:val="21"/>
                <w:highlight w:val="none"/>
                <w:lang w:val="en-US" w:eastAsia="zh-CN"/>
              </w:rPr>
              <w:t>小数点后</w:t>
            </w:r>
            <w:r>
              <w:rPr>
                <w:rFonts w:ascii="宋体" w:hAnsi="宋体"/>
                <w:color w:val="auto"/>
                <w:kern w:val="0"/>
                <w:szCs w:val="21"/>
                <w:highlight w:val="none"/>
              </w:rPr>
              <w:t>第三位四舍五入。</w:t>
            </w:r>
          </w:p>
          <w:p>
            <w:pPr>
              <w:snapToGrid w:val="0"/>
              <w:spacing w:line="400" w:lineRule="exact"/>
              <w:ind w:firstLine="420" w:firstLineChars="200"/>
              <w:rPr>
                <w:rFonts w:ascii="宋体" w:hAnsi="宋体"/>
                <w:color w:val="auto"/>
                <w:kern w:val="0"/>
                <w:highlight w:val="none"/>
              </w:rPr>
            </w:pPr>
            <w:r>
              <w:rPr>
                <w:rFonts w:ascii="宋体" w:hAnsi="宋体"/>
                <w:color w:val="auto"/>
                <w:kern w:val="0"/>
                <w:szCs w:val="21"/>
                <w:highlight w:val="none"/>
              </w:rPr>
              <w:t>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422" w:type="dxa"/>
            <w:gridSpan w:val="3"/>
            <w:vAlign w:val="center"/>
          </w:tcPr>
          <w:p>
            <w:pPr>
              <w:spacing w:line="400" w:lineRule="exact"/>
              <w:jc w:val="center"/>
              <w:rPr>
                <w:rFonts w:ascii="宋体" w:hAnsi="宋体"/>
                <w:color w:val="auto"/>
                <w:kern w:val="0"/>
                <w:highlight w:val="none"/>
              </w:rPr>
            </w:pPr>
            <w:r>
              <w:rPr>
                <w:rFonts w:ascii="宋体" w:hAnsi="宋体"/>
                <w:color w:val="auto"/>
                <w:kern w:val="0"/>
                <w:highlight w:val="none"/>
              </w:rPr>
              <w:t>2.2.</w:t>
            </w:r>
            <w:r>
              <w:rPr>
                <w:rFonts w:hint="eastAsia" w:ascii="宋体" w:hAnsi="宋体"/>
                <w:color w:val="auto"/>
                <w:kern w:val="0"/>
                <w:highlight w:val="none"/>
              </w:rPr>
              <w:t>3</w:t>
            </w:r>
          </w:p>
        </w:tc>
        <w:tc>
          <w:tcPr>
            <w:tcW w:w="1546" w:type="dxa"/>
            <w:gridSpan w:val="2"/>
            <w:vAlign w:val="center"/>
          </w:tcPr>
          <w:p>
            <w:pPr>
              <w:snapToGrid w:val="0"/>
              <w:spacing w:line="400" w:lineRule="exact"/>
              <w:jc w:val="left"/>
              <w:rPr>
                <w:rFonts w:ascii="宋体" w:hAnsi="宋体"/>
                <w:b/>
                <w:color w:val="auto"/>
                <w:kern w:val="0"/>
                <w:highlight w:val="none"/>
              </w:rPr>
            </w:pPr>
            <w:r>
              <w:rPr>
                <w:rFonts w:hint="eastAsia" w:ascii="宋体" w:hAnsi="宋体"/>
                <w:b/>
                <w:color w:val="auto"/>
                <w:kern w:val="0"/>
                <w:highlight w:val="none"/>
              </w:rPr>
              <w:t>□选项三：</w:t>
            </w:r>
          </w:p>
          <w:p>
            <w:pPr>
              <w:spacing w:line="400" w:lineRule="exact"/>
              <w:jc w:val="center"/>
              <w:rPr>
                <w:rFonts w:ascii="宋体" w:hAnsi="宋体"/>
                <w:color w:val="auto"/>
                <w:kern w:val="0"/>
                <w:highlight w:val="none"/>
              </w:rPr>
            </w:pPr>
            <w:r>
              <w:rPr>
                <w:rFonts w:ascii="宋体" w:hAnsi="宋体"/>
                <w:color w:val="auto"/>
                <w:kern w:val="0"/>
                <w:highlight w:val="none"/>
              </w:rPr>
              <w:t>评标基准价计算方法</w:t>
            </w:r>
          </w:p>
        </w:tc>
        <w:tc>
          <w:tcPr>
            <w:tcW w:w="1318" w:type="dxa"/>
            <w:vAlign w:val="center"/>
          </w:tcPr>
          <w:p>
            <w:pPr>
              <w:spacing w:line="400" w:lineRule="exact"/>
              <w:jc w:val="center"/>
              <w:rPr>
                <w:rFonts w:ascii="宋体" w:hAnsi="宋体"/>
                <w:color w:val="auto"/>
                <w:kern w:val="0"/>
                <w:highlight w:val="none"/>
              </w:rPr>
            </w:pPr>
            <w:r>
              <w:rPr>
                <w:rFonts w:ascii="宋体" w:hAnsi="宋体"/>
                <w:color w:val="auto"/>
                <w:kern w:val="0"/>
                <w:highlight w:val="none"/>
              </w:rPr>
              <w:t>投标总报价</w:t>
            </w:r>
          </w:p>
        </w:tc>
        <w:tc>
          <w:tcPr>
            <w:tcW w:w="5189" w:type="dxa"/>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所有通过初步评审</w:t>
            </w:r>
            <w:r>
              <w:rPr>
                <w:rFonts w:hint="eastAsia" w:ascii="宋体" w:hAnsi="宋体"/>
                <w:color w:val="auto"/>
                <w:kern w:val="0"/>
                <w:szCs w:val="21"/>
                <w:highlight w:val="none"/>
              </w:rPr>
              <w:t>和本章第2.2.2（3）目评审</w:t>
            </w:r>
            <w:r>
              <w:rPr>
                <w:rFonts w:ascii="宋体" w:hAnsi="宋体"/>
                <w:color w:val="auto"/>
                <w:kern w:val="0"/>
                <w:szCs w:val="21"/>
                <w:highlight w:val="none"/>
              </w:rPr>
              <w:t>合格的投标人</w:t>
            </w:r>
            <w:r>
              <w:rPr>
                <w:rFonts w:ascii="宋体" w:hAnsi="宋体"/>
                <w:color w:val="auto"/>
                <w:szCs w:val="21"/>
                <w:highlight w:val="none"/>
              </w:rPr>
              <w:t>的投标总报</w:t>
            </w:r>
            <w:r>
              <w:rPr>
                <w:rFonts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rPr>
              <w:t>乘以（1-本项目评标基准价</w:t>
            </w:r>
            <w:r>
              <w:rPr>
                <w:rFonts w:ascii="宋体" w:hAnsi="宋体"/>
                <w:color w:val="auto"/>
                <w:kern w:val="0"/>
                <w:szCs w:val="21"/>
                <w:highlight w:val="none"/>
              </w:rPr>
              <w:t>下浮</w:t>
            </w:r>
            <w:r>
              <w:rPr>
                <w:rFonts w:hint="eastAsia" w:ascii="宋体" w:hAnsi="宋体"/>
                <w:color w:val="auto"/>
                <w:kern w:val="0"/>
                <w:szCs w:val="21"/>
                <w:highlight w:val="none"/>
              </w:rPr>
              <w:t>比例</w:t>
            </w:r>
            <w:r>
              <w:rPr>
                <w:rFonts w:ascii="宋体" w:hAnsi="宋体"/>
                <w:color w:val="auto"/>
                <w:kern w:val="0"/>
                <w:szCs w:val="21"/>
                <w:highlight w:val="none"/>
              </w:rPr>
              <w:t>M</w:t>
            </w:r>
            <w:r>
              <w:rPr>
                <w:rFonts w:hint="eastAsia" w:ascii="宋体" w:hAnsi="宋体"/>
                <w:color w:val="auto"/>
                <w:kern w:val="0"/>
                <w:szCs w:val="21"/>
                <w:highlight w:val="none"/>
              </w:rPr>
              <w:t>），</w:t>
            </w:r>
            <w:r>
              <w:rPr>
                <w:rFonts w:ascii="宋体" w:hAnsi="宋体"/>
                <w:color w:val="auto"/>
                <w:kern w:val="0"/>
                <w:szCs w:val="21"/>
                <w:highlight w:val="none"/>
              </w:rPr>
              <w:t>即为本项目的投标总报价的评标基准价。（</w:t>
            </w:r>
            <w:r>
              <w:rPr>
                <w:rFonts w:hint="eastAsia" w:ascii="宋体" w:hAnsi="宋体"/>
                <w:color w:val="auto"/>
                <w:kern w:val="0"/>
                <w:szCs w:val="21"/>
                <w:highlight w:val="none"/>
              </w:rPr>
              <w:t>评标基准价下浮比例</w:t>
            </w:r>
            <w:r>
              <w:rPr>
                <w:rFonts w:ascii="宋体" w:hAnsi="宋体"/>
                <w:color w:val="auto"/>
                <w:kern w:val="0"/>
                <w:szCs w:val="21"/>
                <w:highlight w:val="none"/>
              </w:rPr>
              <w:t>M为</w:t>
            </w:r>
            <w:r>
              <w:rPr>
                <w:rFonts w:hint="eastAsia" w:ascii="宋体" w:hAnsi="宋体"/>
                <w:color w:val="auto"/>
                <w:kern w:val="0"/>
                <w:highlight w:val="none"/>
              </w:rPr>
              <w:t>1%</w:t>
            </w:r>
            <w:r>
              <w:rPr>
                <w:rFonts w:ascii="宋体" w:hAnsi="宋体"/>
                <w:color w:val="auto"/>
                <w:kern w:val="0"/>
                <w:highlight w:val="none"/>
              </w:rPr>
              <w:t>～</w:t>
            </w:r>
            <w:r>
              <w:rPr>
                <w:rFonts w:hint="eastAsia" w:ascii="宋体" w:hAnsi="宋体"/>
                <w:color w:val="auto"/>
                <w:kern w:val="0"/>
                <w:highlight w:val="none"/>
              </w:rPr>
              <w:t>5%范围内百分数取整</w:t>
            </w:r>
            <w:r>
              <w:rPr>
                <w:rFonts w:ascii="宋体" w:hAnsi="宋体"/>
                <w:color w:val="auto"/>
                <w:kern w:val="0"/>
                <w:highlight w:val="none"/>
              </w:rPr>
              <w:t>，具体值在招标文件中明确</w:t>
            </w:r>
            <w:r>
              <w:rPr>
                <w:rFonts w:ascii="宋体" w:hAnsi="宋体"/>
                <w:color w:val="auto"/>
                <w:kern w:val="0"/>
                <w:szCs w:val="21"/>
                <w:highlight w:val="none"/>
              </w:rPr>
              <w:t>）</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评标基准价计算的最终</w:t>
            </w:r>
            <w:r>
              <w:rPr>
                <w:rFonts w:ascii="宋体" w:hAnsi="宋体"/>
                <w:color w:val="auto"/>
                <w:kern w:val="0"/>
                <w:szCs w:val="21"/>
                <w:highlight w:val="none"/>
              </w:rPr>
              <w:t>结果取小数点后两位，</w:t>
            </w:r>
            <w:r>
              <w:rPr>
                <w:rFonts w:hint="eastAsia" w:ascii="宋体" w:hAnsi="宋体" w:cs="Times New Roman"/>
                <w:color w:val="auto"/>
                <w:kern w:val="2"/>
                <w:szCs w:val="21"/>
                <w:highlight w:val="none"/>
                <w:lang w:val="en-US" w:eastAsia="zh-CN"/>
              </w:rPr>
              <w:t>小数点后</w:t>
            </w:r>
            <w:r>
              <w:rPr>
                <w:rFonts w:ascii="宋体" w:hAnsi="宋体"/>
                <w:color w:val="auto"/>
                <w:kern w:val="0"/>
                <w:szCs w:val="21"/>
                <w:highlight w:val="none"/>
              </w:rPr>
              <w:t>第三位四舍五入。</w:t>
            </w:r>
          </w:p>
          <w:p>
            <w:pPr>
              <w:snapToGrid w:val="0"/>
              <w:spacing w:line="400" w:lineRule="exact"/>
              <w:ind w:firstLine="420" w:firstLineChars="200"/>
              <w:rPr>
                <w:rFonts w:ascii="宋体" w:hAnsi="宋体"/>
                <w:color w:val="auto"/>
                <w:kern w:val="0"/>
                <w:highlight w:val="none"/>
              </w:rPr>
            </w:pPr>
            <w:r>
              <w:rPr>
                <w:rFonts w:ascii="宋体" w:hAnsi="宋体"/>
                <w:color w:val="auto"/>
                <w:kern w:val="0"/>
                <w:szCs w:val="21"/>
                <w:highlight w:val="none"/>
              </w:rPr>
              <w:t>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1422" w:type="dxa"/>
            <w:gridSpan w:val="3"/>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2864" w:type="dxa"/>
            <w:gridSpan w:val="3"/>
            <w:vAlign w:val="center"/>
          </w:tcPr>
          <w:p>
            <w:pPr>
              <w:spacing w:line="400" w:lineRule="exact"/>
              <w:jc w:val="center"/>
              <w:rPr>
                <w:color w:val="auto"/>
                <w:highlight w:val="none"/>
              </w:rPr>
            </w:pPr>
            <w:r>
              <w:rPr>
                <w:rFonts w:hint="eastAsia" w:ascii="宋体" w:hAnsi="宋体"/>
                <w:color w:val="auto"/>
                <w:kern w:val="0"/>
                <w:highlight w:val="none"/>
              </w:rPr>
              <w:t>偏差率</w:t>
            </w:r>
          </w:p>
        </w:tc>
        <w:tc>
          <w:tcPr>
            <w:tcW w:w="5189" w:type="dxa"/>
            <w:vAlign w:val="center"/>
          </w:tcPr>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投标总报价的偏差率计算公式</w:t>
            </w:r>
          </w:p>
          <w:p>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偏差率</w:t>
            </w:r>
            <w:r>
              <w:rPr>
                <w:rFonts w:ascii="宋体" w:hAnsi="宋体"/>
                <w:color w:val="auto"/>
                <w:kern w:val="0"/>
                <w:sz w:val="28"/>
                <w:szCs w:val="28"/>
                <w:highlight w:val="none"/>
              </w:rPr>
              <w:t>=</w:t>
            </w:r>
            <w:r>
              <w:rPr>
                <w:rFonts w:ascii="宋体" w:hAnsi="宋体"/>
                <w:color w:val="auto"/>
                <w:kern w:val="0"/>
                <w:highlight w:val="none"/>
              </w:rPr>
              <w:t>100％×（投标人报价一评标基准价）／评标基准价</w:t>
            </w:r>
          </w:p>
          <w:p>
            <w:pPr>
              <w:spacing w:line="400" w:lineRule="exact"/>
              <w:ind w:firstLine="407" w:firstLineChars="194"/>
              <w:rPr>
                <w:rFonts w:ascii="宋体" w:hAnsi="宋体"/>
                <w:color w:val="auto"/>
                <w:kern w:val="0"/>
                <w:szCs w:val="21"/>
                <w:highlight w:val="none"/>
              </w:rPr>
            </w:pPr>
            <w:r>
              <w:rPr>
                <w:rFonts w:ascii="宋体" w:hAnsi="宋体"/>
                <w:color w:val="auto"/>
                <w:kern w:val="0"/>
                <w:highlight w:val="none"/>
              </w:rPr>
              <w:t>偏差率</w:t>
            </w:r>
            <w:r>
              <w:rPr>
                <w:rFonts w:ascii="宋体" w:hAnsi="宋体"/>
                <w:color w:val="auto"/>
                <w:kern w:val="0"/>
                <w:szCs w:val="21"/>
                <w:highlight w:val="none"/>
              </w:rPr>
              <w:t>计算保留小数点后两位，小数点后第三位“四舍五入”。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5926" w:hRule="atLeast"/>
          <w:jc w:val="center"/>
        </w:trPr>
        <w:tc>
          <w:tcPr>
            <w:tcW w:w="855" w:type="dxa"/>
            <w:gridSpan w:val="2"/>
            <w:vAlign w:val="center"/>
          </w:tcPr>
          <w:p>
            <w:pPr>
              <w:spacing w:line="400" w:lineRule="exact"/>
              <w:jc w:val="center"/>
              <w:rPr>
                <w:rFonts w:ascii="宋体" w:hAnsi="宋体"/>
                <w:color w:val="auto"/>
                <w:kern w:val="0"/>
                <w:highlight w:val="none"/>
              </w:rPr>
            </w:pPr>
            <w:r>
              <w:rPr>
                <w:rFonts w:ascii="宋体" w:hAnsi="宋体"/>
                <w:color w:val="auto"/>
                <w:highlight w:val="none"/>
              </w:rPr>
              <w:t>3</w:t>
            </w:r>
          </w:p>
        </w:tc>
        <w:tc>
          <w:tcPr>
            <w:tcW w:w="1259" w:type="dxa"/>
            <w:gridSpan w:val="2"/>
            <w:vAlign w:val="center"/>
          </w:tcPr>
          <w:p>
            <w:pPr>
              <w:spacing w:line="400" w:lineRule="exact"/>
              <w:jc w:val="center"/>
              <w:rPr>
                <w:rFonts w:ascii="宋体" w:hAnsi="宋体"/>
                <w:color w:val="auto"/>
                <w:kern w:val="0"/>
                <w:highlight w:val="none"/>
              </w:rPr>
            </w:pPr>
            <w:r>
              <w:rPr>
                <w:rFonts w:ascii="宋体" w:hAnsi="宋体"/>
                <w:color w:val="auto"/>
                <w:highlight w:val="none"/>
              </w:rPr>
              <w:t>评标程序</w:t>
            </w:r>
          </w:p>
        </w:tc>
        <w:tc>
          <w:tcPr>
            <w:tcW w:w="7361" w:type="dxa"/>
            <w:gridSpan w:val="3"/>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1.按本章评标办法第3.1款进行初步评审。未通过初步评审或评标委员会认定为无效的投标文件的不再进行后续评审。</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2.按本章评标办法前附表第2.2.2（1）目及第3.2.1（1）目的规定对技术部分进行评审。</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3.按本章评标办法前附表第2.2.2（2）目及第3.2.1（2）目的规定对商务部分进行评审。</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4.按本章评标办法前附表第2.2.2（3）目的规定对投标函部分及</w:t>
            </w:r>
            <w:r>
              <w:rPr>
                <w:rFonts w:hint="eastAsia" w:ascii="宋体" w:hAnsi="宋体"/>
                <w:color w:val="auto"/>
                <w:szCs w:val="21"/>
                <w:highlight w:val="none"/>
                <w:lang w:val="en-US" w:eastAsia="zh-CN"/>
              </w:rPr>
              <w:t>报价</w:t>
            </w:r>
            <w:r>
              <w:rPr>
                <w:rFonts w:hint="eastAsia" w:ascii="宋体" w:hAnsi="宋体"/>
                <w:color w:val="auto"/>
                <w:szCs w:val="21"/>
                <w:highlight w:val="none"/>
              </w:rPr>
              <w:t>部分进行评审，经评审不合格的投标文件不再参与后续评审。</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color w:val="auto"/>
                <w:szCs w:val="21"/>
                <w:highlight w:val="none"/>
              </w:rPr>
              <w:t>经济、技术等指标仍然具有市场竞争力，能够满足招标文件要求的，评标委员会可以继续评标并确定中标候选人。</w:t>
            </w:r>
            <w:r>
              <w:rPr>
                <w:rFonts w:hint="eastAsia" w:asciiTheme="minorEastAsia" w:hAnsiTheme="minorEastAsia" w:eastAsiaTheme="minorEastAsia" w:cstheme="minorEastAsia"/>
                <w:i w:val="0"/>
                <w:iCs w:val="0"/>
                <w:color w:val="auto"/>
                <w:kern w:val="0"/>
                <w:szCs w:val="21"/>
                <w:highlight w:val="none"/>
                <w:lang w:val="en-US" w:eastAsia="zh-CN"/>
              </w:rPr>
              <w:t>（注：本款只适用于首次招标。）</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6.经评审合格的投标人按照本章第2.2.3项计算方法计算评标基准价，并按本附表第3.2.1（3）目规定的评分方法对投标总报价进行评分。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7.对技术部分、商务部分、投标总报价得分进行汇总，确定得分由高至低前1-3名投标人为中标候选人。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5" w:type="dxa"/>
            <w:gridSpan w:val="2"/>
            <w:vMerge w:val="restart"/>
            <w:vAlign w:val="center"/>
          </w:tcPr>
          <w:p>
            <w:pPr>
              <w:spacing w:line="400" w:lineRule="exact"/>
              <w:jc w:val="center"/>
              <w:rPr>
                <w:rFonts w:ascii="宋体" w:hAnsi="宋体"/>
                <w:color w:val="auto"/>
                <w:highlight w:val="none"/>
              </w:rPr>
            </w:pPr>
            <w:r>
              <w:rPr>
                <w:rFonts w:ascii="宋体" w:hAnsi="宋体"/>
                <w:color w:val="auto"/>
                <w:highlight w:val="none"/>
              </w:rPr>
              <w:t>3.2.1</w:t>
            </w:r>
          </w:p>
          <w:p>
            <w:pPr>
              <w:spacing w:line="400" w:lineRule="exact"/>
              <w:jc w:val="center"/>
              <w:rPr>
                <w:rFonts w:ascii="宋体" w:hAnsi="宋体"/>
                <w:color w:val="auto"/>
                <w:highlight w:val="none"/>
              </w:rPr>
            </w:pPr>
            <w:r>
              <w:rPr>
                <w:rFonts w:ascii="宋体" w:hAnsi="宋体"/>
                <w:color w:val="auto"/>
                <w:highlight w:val="none"/>
              </w:rPr>
              <w:t>（</w:t>
            </w:r>
            <w:r>
              <w:rPr>
                <w:rFonts w:hint="eastAsia" w:ascii="宋体" w:hAnsi="宋体"/>
                <w:color w:val="auto"/>
                <w:highlight w:val="none"/>
              </w:rPr>
              <w:t>1</w:t>
            </w:r>
            <w:r>
              <w:rPr>
                <w:rFonts w:ascii="宋体" w:hAnsi="宋体"/>
                <w:color w:val="auto"/>
                <w:highlight w:val="none"/>
              </w:rPr>
              <w:t>）</w:t>
            </w:r>
          </w:p>
        </w:tc>
        <w:tc>
          <w:tcPr>
            <w:tcW w:w="1259" w:type="dxa"/>
            <w:gridSpan w:val="2"/>
            <w:vMerge w:val="restart"/>
            <w:vAlign w:val="center"/>
          </w:tcPr>
          <w:p>
            <w:pPr>
              <w:spacing w:line="400" w:lineRule="exact"/>
              <w:jc w:val="center"/>
              <w:rPr>
                <w:rFonts w:ascii="宋体" w:hAnsi="宋体"/>
                <w:color w:val="auto"/>
                <w:highlight w:val="none"/>
              </w:rPr>
            </w:pPr>
            <w:r>
              <w:rPr>
                <w:rFonts w:hint="eastAsia" w:ascii="宋体" w:hAnsi="宋体"/>
                <w:color w:val="auto"/>
                <w:highlight w:val="none"/>
              </w:rPr>
              <w:t>技术部分</w:t>
            </w:r>
            <w:r>
              <w:rPr>
                <w:rFonts w:ascii="宋体" w:hAnsi="宋体"/>
                <w:color w:val="auto"/>
                <w:kern w:val="0"/>
                <w:highlight w:val="none"/>
              </w:rPr>
              <w:t>得分</w:t>
            </w:r>
            <w:r>
              <w:rPr>
                <w:rFonts w:ascii="宋体" w:hAnsi="宋体"/>
                <w:color w:val="auto"/>
                <w:spacing w:val="-4"/>
                <w:highlight w:val="none"/>
              </w:rPr>
              <w:t>（</w:t>
            </w:r>
            <w:r>
              <w:rPr>
                <w:rFonts w:hint="eastAsia" w:ascii="宋体" w:hAnsi="宋体"/>
                <w:color w:val="auto"/>
                <w:spacing w:val="-4"/>
                <w:highlight w:val="none"/>
              </w:rPr>
              <w:t>A）</w:t>
            </w:r>
          </w:p>
        </w:tc>
        <w:tc>
          <w:tcPr>
            <w:tcW w:w="2172" w:type="dxa"/>
            <w:gridSpan w:val="2"/>
            <w:tcBorders>
              <w:bottom w:val="single" w:color="auto" w:sz="4" w:space="0"/>
            </w:tcBorders>
            <w:vAlign w:val="center"/>
          </w:tcPr>
          <w:p>
            <w:pPr>
              <w:spacing w:line="400" w:lineRule="exact"/>
              <w:jc w:val="left"/>
              <w:rPr>
                <w:rFonts w:ascii="宋体" w:hAnsi="宋体"/>
                <w:color w:val="auto"/>
                <w:highlight w:val="none"/>
              </w:rPr>
            </w:pPr>
            <w:r>
              <w:rPr>
                <w:rFonts w:hint="eastAsia"/>
                <w:color w:val="auto"/>
                <w:highlight w:val="none"/>
              </w:rPr>
              <w:t>□</w:t>
            </w:r>
            <w:r>
              <w:rPr>
                <w:rFonts w:hint="eastAsia" w:ascii="宋体" w:hAnsi="宋体" w:cs="宋体"/>
                <w:color w:val="auto"/>
                <w:kern w:val="0"/>
                <w:highlight w:val="none"/>
              </w:rPr>
              <w:t>技术方案部分形式要求</w:t>
            </w:r>
          </w:p>
        </w:tc>
        <w:tc>
          <w:tcPr>
            <w:tcW w:w="5189" w:type="dxa"/>
            <w:tcBorders>
              <w:bottom w:val="single" w:color="auto" w:sz="4" w:space="0"/>
            </w:tcBorders>
            <w:vAlign w:val="center"/>
          </w:tcPr>
          <w:p>
            <w:pPr>
              <w:spacing w:line="400" w:lineRule="exact"/>
              <w:ind w:firstLine="420" w:firstLineChars="200"/>
              <w:rPr>
                <w:rFonts w:ascii="宋体" w:hAnsi="宋体"/>
                <w:color w:val="auto"/>
                <w:kern w:val="0"/>
                <w:szCs w:val="21"/>
                <w:highlight w:val="none"/>
              </w:rPr>
            </w:pPr>
            <w:r>
              <w:rPr>
                <w:rFonts w:hint="eastAsia" w:ascii="宋体" w:hAnsi="宋体"/>
                <w:color w:val="auto"/>
                <w:kern w:val="0"/>
                <w:highlight w:val="none"/>
              </w:rPr>
              <w:t>不符合第二章投标人须知前附表第3.7.5项（</w:t>
            </w:r>
            <w:r>
              <w:rPr>
                <w:rFonts w:hint="eastAsia" w:ascii="宋体" w:hAnsi="宋体"/>
                <w:color w:val="auto"/>
                <w:kern w:val="0"/>
                <w:highlight w:val="none"/>
                <w:lang w:val="en-US" w:eastAsia="zh-CN"/>
              </w:rPr>
              <w:t>4</w:t>
            </w:r>
            <w:r>
              <w:rPr>
                <w:rFonts w:hint="eastAsia" w:ascii="宋体" w:hAnsi="宋体"/>
                <w:color w:val="auto"/>
                <w:kern w:val="0"/>
                <w:highlight w:val="none"/>
              </w:rPr>
              <w:t>）技术部分要求的，技术方案得0分。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5" w:type="dxa"/>
            <w:gridSpan w:val="2"/>
            <w:vMerge w:val="continue"/>
            <w:vAlign w:val="center"/>
          </w:tcPr>
          <w:p>
            <w:pPr>
              <w:spacing w:line="400" w:lineRule="exact"/>
              <w:jc w:val="center"/>
              <w:rPr>
                <w:rFonts w:ascii="宋体" w:hAnsi="宋体"/>
                <w:color w:val="auto"/>
                <w:highlight w:val="none"/>
              </w:rPr>
            </w:pPr>
          </w:p>
        </w:tc>
        <w:tc>
          <w:tcPr>
            <w:tcW w:w="1259" w:type="dxa"/>
            <w:gridSpan w:val="2"/>
            <w:vMerge w:val="continue"/>
            <w:vAlign w:val="center"/>
          </w:tcPr>
          <w:p>
            <w:pPr>
              <w:spacing w:line="400" w:lineRule="exact"/>
              <w:jc w:val="center"/>
              <w:rPr>
                <w:rFonts w:ascii="宋体" w:hAnsi="宋体"/>
                <w:color w:val="auto"/>
                <w:highlight w:val="none"/>
              </w:rPr>
            </w:pPr>
          </w:p>
        </w:tc>
        <w:tc>
          <w:tcPr>
            <w:tcW w:w="2172" w:type="dxa"/>
            <w:gridSpan w:val="2"/>
            <w:tcBorders>
              <w:bottom w:val="single" w:color="auto" w:sz="4" w:space="0"/>
            </w:tcBorders>
            <w:vAlign w:val="center"/>
          </w:tcPr>
          <w:p>
            <w:pPr>
              <w:spacing w:line="400" w:lineRule="exact"/>
              <w:jc w:val="left"/>
              <w:rPr>
                <w:rFonts w:ascii="宋体" w:hAnsi="宋体"/>
                <w:color w:val="auto"/>
                <w:kern w:val="0"/>
                <w:highlight w:val="none"/>
              </w:rPr>
            </w:pPr>
            <w:r>
              <w:rPr>
                <w:rFonts w:hint="eastAsia" w:ascii="宋体" w:hAnsi="宋体" w:cs="宋体"/>
                <w:color w:val="auto"/>
                <w:kern w:val="0"/>
                <w:highlight w:val="none"/>
              </w:rPr>
              <w:t>□</w:t>
            </w:r>
            <w:r>
              <w:rPr>
                <w:rFonts w:hint="eastAsia" w:ascii="宋体" w:hAnsi="宋体" w:cs="宋体"/>
                <w:color w:val="auto"/>
                <w:kern w:val="0"/>
                <w:highlight w:val="none"/>
                <w:u w:val="single"/>
              </w:rPr>
              <w:t>施工组织管理</w:t>
            </w:r>
          </w:p>
        </w:tc>
        <w:tc>
          <w:tcPr>
            <w:tcW w:w="5189" w:type="dxa"/>
            <w:vMerge w:val="restart"/>
            <w:tcBorders>
              <w:top w:val="single" w:color="auto" w:sz="4" w:space="0"/>
            </w:tcBorders>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评标委员会按第2.2.</w:t>
            </w:r>
            <w:r>
              <w:rPr>
                <w:rFonts w:hint="eastAsia" w:ascii="宋体" w:hAnsi="宋体"/>
                <w:color w:val="auto"/>
                <w:szCs w:val="21"/>
                <w:highlight w:val="none"/>
              </w:rPr>
              <w:t>2（1）目</w:t>
            </w:r>
            <w:r>
              <w:rPr>
                <w:rFonts w:ascii="宋体" w:hAnsi="宋体"/>
                <w:color w:val="auto"/>
                <w:szCs w:val="21"/>
                <w:highlight w:val="none"/>
              </w:rPr>
              <w:t>各评审因素设定的分值评分。</w:t>
            </w:r>
          </w:p>
          <w:p>
            <w:pPr>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评标委员会成员为5人及以上时，所有评委</w:t>
            </w:r>
            <w:r>
              <w:rPr>
                <w:rFonts w:hint="eastAsia" w:ascii="宋体" w:hAnsi="宋体"/>
                <w:snapToGrid w:val="0"/>
                <w:color w:val="auto"/>
                <w:kern w:val="0"/>
                <w:szCs w:val="21"/>
                <w:highlight w:val="none"/>
              </w:rPr>
              <w:t>评分</w:t>
            </w:r>
            <w:r>
              <w:rPr>
                <w:rFonts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rPr>
              <w:t>评分</w:t>
            </w:r>
            <w:r>
              <w:rPr>
                <w:rFonts w:ascii="宋体" w:hAnsi="宋体"/>
                <w:snapToGrid w:val="0"/>
                <w:color w:val="auto"/>
                <w:kern w:val="0"/>
                <w:szCs w:val="21"/>
                <w:highlight w:val="none"/>
              </w:rPr>
              <w:t>取算术平均值为该投标人技术方案得分。</w:t>
            </w:r>
          </w:p>
          <w:p>
            <w:pPr>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技术方案得分的最终结果取小数点后两位，</w:t>
            </w:r>
            <w:r>
              <w:rPr>
                <w:rFonts w:hint="eastAsia" w:ascii="宋体" w:hAnsi="宋体" w:cs="Times New Roman"/>
                <w:color w:val="auto"/>
                <w:kern w:val="2"/>
                <w:szCs w:val="21"/>
                <w:highlight w:val="none"/>
                <w:lang w:val="en-US" w:eastAsia="zh-CN"/>
              </w:rPr>
              <w:t>小数点后</w:t>
            </w:r>
            <w:r>
              <w:rPr>
                <w:rFonts w:ascii="宋体" w:hAnsi="宋体"/>
                <w:color w:val="auto"/>
                <w:kern w:val="0"/>
                <w:szCs w:val="21"/>
                <w:highlight w:val="none"/>
              </w:rPr>
              <w:t>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6" w:hRule="atLeast"/>
          <w:jc w:val="center"/>
        </w:trPr>
        <w:tc>
          <w:tcPr>
            <w:tcW w:w="855" w:type="dxa"/>
            <w:gridSpan w:val="2"/>
            <w:vMerge w:val="continue"/>
            <w:vAlign w:val="center"/>
          </w:tcPr>
          <w:p>
            <w:pPr>
              <w:spacing w:line="400" w:lineRule="exact"/>
              <w:jc w:val="center"/>
              <w:rPr>
                <w:rFonts w:ascii="宋体" w:hAnsi="宋体"/>
                <w:color w:val="auto"/>
                <w:highlight w:val="none"/>
              </w:rPr>
            </w:pPr>
          </w:p>
        </w:tc>
        <w:tc>
          <w:tcPr>
            <w:tcW w:w="1259" w:type="dxa"/>
            <w:gridSpan w:val="2"/>
            <w:vMerge w:val="continue"/>
            <w:vAlign w:val="center"/>
          </w:tcPr>
          <w:p>
            <w:pPr>
              <w:spacing w:line="400" w:lineRule="exact"/>
              <w:jc w:val="center"/>
              <w:rPr>
                <w:rFonts w:ascii="宋体" w:hAnsi="宋体"/>
                <w:color w:val="auto"/>
                <w:highlight w:val="none"/>
              </w:rPr>
            </w:pPr>
          </w:p>
        </w:tc>
        <w:tc>
          <w:tcPr>
            <w:tcW w:w="2172" w:type="dxa"/>
            <w:gridSpan w:val="2"/>
            <w:tcBorders>
              <w:top w:val="single" w:color="auto" w:sz="4" w:space="0"/>
              <w:bottom w:val="single" w:color="auto" w:sz="4" w:space="0"/>
            </w:tcBorders>
            <w:vAlign w:val="center"/>
          </w:tcPr>
          <w:p>
            <w:pPr>
              <w:spacing w:line="400" w:lineRule="exact"/>
              <w:jc w:val="left"/>
              <w:rPr>
                <w:rFonts w:ascii="宋体" w:hAnsi="宋体"/>
                <w:color w:val="auto"/>
                <w:highlight w:val="none"/>
              </w:rPr>
            </w:pPr>
            <w:r>
              <w:rPr>
                <w:rFonts w:hint="eastAsia" w:ascii="宋体" w:hAnsi="宋体" w:cs="宋体"/>
                <w:color w:val="auto"/>
                <w:kern w:val="0"/>
                <w:highlight w:val="none"/>
              </w:rPr>
              <w:t>□</w:t>
            </w:r>
            <w:r>
              <w:rPr>
                <w:rFonts w:hint="eastAsia" w:ascii="宋体" w:hAnsi="宋体" w:cs="宋体"/>
                <w:color w:val="auto"/>
                <w:kern w:val="0"/>
                <w:highlight w:val="none"/>
                <w:u w:val="single"/>
              </w:rPr>
              <w:t>施工总平面布置</w:t>
            </w:r>
          </w:p>
        </w:tc>
        <w:tc>
          <w:tcPr>
            <w:tcW w:w="5189" w:type="dxa"/>
            <w:vMerge w:val="continue"/>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51" w:hRule="atLeast"/>
          <w:jc w:val="center"/>
        </w:trPr>
        <w:tc>
          <w:tcPr>
            <w:tcW w:w="855" w:type="dxa"/>
            <w:gridSpan w:val="2"/>
            <w:vMerge w:val="continue"/>
            <w:vAlign w:val="center"/>
          </w:tcPr>
          <w:p>
            <w:pPr>
              <w:spacing w:line="400" w:lineRule="exact"/>
              <w:jc w:val="center"/>
              <w:rPr>
                <w:rFonts w:ascii="宋体" w:hAnsi="宋体"/>
                <w:color w:val="auto"/>
                <w:highlight w:val="none"/>
              </w:rPr>
            </w:pPr>
          </w:p>
        </w:tc>
        <w:tc>
          <w:tcPr>
            <w:tcW w:w="1259" w:type="dxa"/>
            <w:gridSpan w:val="2"/>
            <w:vMerge w:val="continue"/>
            <w:vAlign w:val="center"/>
          </w:tcPr>
          <w:p>
            <w:pPr>
              <w:spacing w:line="400" w:lineRule="exact"/>
              <w:jc w:val="center"/>
              <w:rPr>
                <w:rFonts w:ascii="宋体" w:hAnsi="宋体"/>
                <w:color w:val="auto"/>
                <w:highlight w:val="none"/>
              </w:rPr>
            </w:pPr>
          </w:p>
        </w:tc>
        <w:tc>
          <w:tcPr>
            <w:tcW w:w="2172" w:type="dxa"/>
            <w:gridSpan w:val="2"/>
            <w:tcBorders>
              <w:top w:val="single" w:color="auto" w:sz="4" w:space="0"/>
              <w:bottom w:val="single" w:color="auto" w:sz="4" w:space="0"/>
            </w:tcBorders>
            <w:vAlign w:val="center"/>
          </w:tcPr>
          <w:p>
            <w:pPr>
              <w:spacing w:line="400" w:lineRule="exact"/>
              <w:jc w:val="left"/>
              <w:rPr>
                <w:rFonts w:ascii="宋体" w:hAnsi="宋体"/>
                <w:color w:val="auto"/>
                <w:highlight w:val="none"/>
              </w:rPr>
            </w:pPr>
            <w:r>
              <w:rPr>
                <w:rFonts w:hint="eastAsia" w:ascii="宋体" w:hAnsi="宋体" w:cs="宋体"/>
                <w:color w:val="auto"/>
                <w:kern w:val="0"/>
                <w:highlight w:val="none"/>
              </w:rPr>
              <w:t>□</w:t>
            </w:r>
            <w:r>
              <w:rPr>
                <w:rFonts w:hint="eastAsia" w:ascii="宋体" w:hAnsi="宋体" w:cs="宋体"/>
                <w:color w:val="auto"/>
                <w:kern w:val="0"/>
                <w:highlight w:val="none"/>
                <w:u w:val="single"/>
              </w:rPr>
              <w:t>施工方法和技术措施</w:t>
            </w:r>
          </w:p>
        </w:tc>
        <w:tc>
          <w:tcPr>
            <w:tcW w:w="5189" w:type="dxa"/>
            <w:vMerge w:val="continue"/>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855" w:type="dxa"/>
            <w:gridSpan w:val="2"/>
            <w:vMerge w:val="continue"/>
            <w:vAlign w:val="center"/>
          </w:tcPr>
          <w:p>
            <w:pPr>
              <w:spacing w:line="400" w:lineRule="exact"/>
              <w:jc w:val="center"/>
              <w:rPr>
                <w:rFonts w:ascii="宋体" w:hAnsi="宋体"/>
                <w:color w:val="auto"/>
                <w:highlight w:val="none"/>
              </w:rPr>
            </w:pPr>
          </w:p>
        </w:tc>
        <w:tc>
          <w:tcPr>
            <w:tcW w:w="1259" w:type="dxa"/>
            <w:gridSpan w:val="2"/>
            <w:vMerge w:val="continue"/>
            <w:vAlign w:val="center"/>
          </w:tcPr>
          <w:p>
            <w:pPr>
              <w:spacing w:line="400" w:lineRule="exact"/>
              <w:jc w:val="center"/>
              <w:rPr>
                <w:rFonts w:ascii="宋体" w:hAnsi="宋体"/>
                <w:color w:val="auto"/>
                <w:highlight w:val="none"/>
              </w:rPr>
            </w:pPr>
          </w:p>
        </w:tc>
        <w:tc>
          <w:tcPr>
            <w:tcW w:w="2172" w:type="dxa"/>
            <w:gridSpan w:val="2"/>
            <w:tcBorders>
              <w:top w:val="single" w:color="auto" w:sz="4" w:space="0"/>
              <w:bottom w:val="single" w:color="auto" w:sz="4" w:space="0"/>
            </w:tcBorders>
            <w:vAlign w:val="center"/>
          </w:tcPr>
          <w:p>
            <w:pPr>
              <w:spacing w:line="400" w:lineRule="exact"/>
              <w:jc w:val="left"/>
              <w:rPr>
                <w:rFonts w:ascii="宋体" w:hAnsi="宋体"/>
                <w:color w:val="auto"/>
                <w:highlight w:val="none"/>
              </w:rPr>
            </w:pPr>
            <w:r>
              <w:rPr>
                <w:rFonts w:hint="eastAsia" w:ascii="宋体" w:hAnsi="宋体" w:cs="宋体"/>
                <w:color w:val="auto"/>
                <w:kern w:val="0"/>
                <w:highlight w:val="none"/>
              </w:rPr>
              <w:t>□</w:t>
            </w:r>
            <w:r>
              <w:rPr>
                <w:rFonts w:hint="eastAsia" w:ascii="宋体" w:hAnsi="宋体" w:cs="宋体"/>
                <w:color w:val="auto"/>
                <w:kern w:val="0"/>
                <w:highlight w:val="none"/>
                <w:u w:val="single"/>
              </w:rPr>
              <w:t>监测预警及应急抢险措施方案</w:t>
            </w:r>
          </w:p>
        </w:tc>
        <w:tc>
          <w:tcPr>
            <w:tcW w:w="5189" w:type="dxa"/>
            <w:vMerge w:val="continue"/>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18" w:hRule="atLeast"/>
          <w:jc w:val="center"/>
        </w:trPr>
        <w:tc>
          <w:tcPr>
            <w:tcW w:w="855" w:type="dxa"/>
            <w:gridSpan w:val="2"/>
            <w:vMerge w:val="continue"/>
            <w:vAlign w:val="center"/>
          </w:tcPr>
          <w:p>
            <w:pPr>
              <w:spacing w:line="400" w:lineRule="exact"/>
              <w:jc w:val="center"/>
              <w:rPr>
                <w:rFonts w:ascii="宋体" w:hAnsi="宋体"/>
                <w:color w:val="auto"/>
                <w:highlight w:val="none"/>
              </w:rPr>
            </w:pPr>
          </w:p>
        </w:tc>
        <w:tc>
          <w:tcPr>
            <w:tcW w:w="1259" w:type="dxa"/>
            <w:gridSpan w:val="2"/>
            <w:vMerge w:val="continue"/>
            <w:vAlign w:val="center"/>
          </w:tcPr>
          <w:p>
            <w:pPr>
              <w:spacing w:line="400" w:lineRule="exact"/>
              <w:jc w:val="center"/>
              <w:rPr>
                <w:rFonts w:ascii="宋体" w:hAnsi="宋体"/>
                <w:color w:val="auto"/>
                <w:highlight w:val="none"/>
              </w:rPr>
            </w:pPr>
          </w:p>
        </w:tc>
        <w:tc>
          <w:tcPr>
            <w:tcW w:w="2172" w:type="dxa"/>
            <w:gridSpan w:val="2"/>
            <w:tcBorders>
              <w:top w:val="single" w:color="auto" w:sz="4" w:space="0"/>
              <w:bottom w:val="single" w:color="auto" w:sz="4" w:space="0"/>
            </w:tcBorders>
            <w:vAlign w:val="center"/>
          </w:tcPr>
          <w:p>
            <w:pPr>
              <w:spacing w:line="400" w:lineRule="exact"/>
              <w:jc w:val="left"/>
              <w:rPr>
                <w:rFonts w:ascii="宋体" w:hAnsi="宋体"/>
                <w:color w:val="auto"/>
                <w:highlight w:val="none"/>
              </w:rPr>
            </w:pPr>
            <w:r>
              <w:rPr>
                <w:rFonts w:hint="eastAsia" w:ascii="宋体" w:hAnsi="宋体" w:cs="宋体"/>
                <w:color w:val="auto"/>
                <w:kern w:val="0"/>
                <w:highlight w:val="none"/>
              </w:rPr>
              <w:t>□</w:t>
            </w:r>
            <w:r>
              <w:rPr>
                <w:rFonts w:hint="eastAsia" w:ascii="宋体" w:hAnsi="宋体" w:cs="宋体"/>
                <w:color w:val="auto"/>
                <w:kern w:val="0"/>
                <w:highlight w:val="none"/>
                <w:u w:val="single"/>
              </w:rPr>
              <w:t>质量保证体系和质量保证措施</w:t>
            </w:r>
          </w:p>
        </w:tc>
        <w:tc>
          <w:tcPr>
            <w:tcW w:w="5189" w:type="dxa"/>
            <w:vMerge w:val="continue"/>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855" w:type="dxa"/>
            <w:gridSpan w:val="2"/>
            <w:vMerge w:val="continue"/>
            <w:vAlign w:val="center"/>
          </w:tcPr>
          <w:p>
            <w:pPr>
              <w:spacing w:line="400" w:lineRule="exact"/>
              <w:jc w:val="center"/>
              <w:rPr>
                <w:rFonts w:ascii="宋体" w:hAnsi="宋体"/>
                <w:color w:val="auto"/>
                <w:highlight w:val="none"/>
              </w:rPr>
            </w:pPr>
          </w:p>
        </w:tc>
        <w:tc>
          <w:tcPr>
            <w:tcW w:w="1259" w:type="dxa"/>
            <w:gridSpan w:val="2"/>
            <w:vMerge w:val="continue"/>
            <w:vAlign w:val="center"/>
          </w:tcPr>
          <w:p>
            <w:pPr>
              <w:spacing w:line="400" w:lineRule="exact"/>
              <w:jc w:val="center"/>
              <w:rPr>
                <w:rFonts w:ascii="宋体" w:hAnsi="宋体"/>
                <w:color w:val="auto"/>
                <w:highlight w:val="none"/>
              </w:rPr>
            </w:pPr>
          </w:p>
        </w:tc>
        <w:tc>
          <w:tcPr>
            <w:tcW w:w="2172" w:type="dxa"/>
            <w:gridSpan w:val="2"/>
            <w:tcBorders>
              <w:top w:val="single" w:color="auto" w:sz="4" w:space="0"/>
              <w:bottom w:val="single" w:color="auto" w:sz="4" w:space="0"/>
            </w:tcBorders>
            <w:vAlign w:val="center"/>
          </w:tcPr>
          <w:p>
            <w:pPr>
              <w:spacing w:line="400" w:lineRule="exact"/>
              <w:jc w:val="left"/>
              <w:rPr>
                <w:rFonts w:ascii="宋体" w:hAnsi="宋体"/>
                <w:color w:val="auto"/>
                <w:highlight w:val="none"/>
              </w:rPr>
            </w:pPr>
            <w:r>
              <w:rPr>
                <w:rFonts w:hint="eastAsia" w:ascii="宋体" w:hAnsi="宋体" w:cs="宋体"/>
                <w:color w:val="auto"/>
                <w:kern w:val="0"/>
                <w:highlight w:val="none"/>
              </w:rPr>
              <w:t>□</w:t>
            </w:r>
            <w:r>
              <w:rPr>
                <w:rFonts w:hint="eastAsia" w:ascii="宋体" w:hAnsi="宋体" w:cs="宋体"/>
                <w:color w:val="auto"/>
                <w:kern w:val="0"/>
                <w:highlight w:val="none"/>
                <w:u w:val="single"/>
              </w:rPr>
              <w:t>施工网络进度计划及保证工期的措施</w:t>
            </w:r>
          </w:p>
        </w:tc>
        <w:tc>
          <w:tcPr>
            <w:tcW w:w="5189" w:type="dxa"/>
            <w:vMerge w:val="continue"/>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855" w:type="dxa"/>
            <w:gridSpan w:val="2"/>
            <w:vMerge w:val="continue"/>
            <w:vAlign w:val="center"/>
          </w:tcPr>
          <w:p>
            <w:pPr>
              <w:spacing w:line="400" w:lineRule="exact"/>
              <w:jc w:val="center"/>
              <w:rPr>
                <w:rFonts w:ascii="宋体" w:hAnsi="宋体"/>
                <w:color w:val="auto"/>
                <w:highlight w:val="none"/>
              </w:rPr>
            </w:pPr>
          </w:p>
        </w:tc>
        <w:tc>
          <w:tcPr>
            <w:tcW w:w="1259" w:type="dxa"/>
            <w:gridSpan w:val="2"/>
            <w:vMerge w:val="continue"/>
            <w:vAlign w:val="center"/>
          </w:tcPr>
          <w:p>
            <w:pPr>
              <w:spacing w:line="400" w:lineRule="exact"/>
              <w:jc w:val="center"/>
              <w:rPr>
                <w:rFonts w:ascii="宋体" w:hAnsi="宋体"/>
                <w:color w:val="auto"/>
                <w:highlight w:val="none"/>
              </w:rPr>
            </w:pPr>
          </w:p>
        </w:tc>
        <w:tc>
          <w:tcPr>
            <w:tcW w:w="2172" w:type="dxa"/>
            <w:gridSpan w:val="2"/>
            <w:tcBorders>
              <w:top w:val="single" w:color="auto" w:sz="4" w:space="0"/>
              <w:bottom w:val="single" w:color="auto" w:sz="4" w:space="0"/>
            </w:tcBorders>
            <w:vAlign w:val="center"/>
          </w:tcPr>
          <w:p>
            <w:pPr>
              <w:spacing w:line="400" w:lineRule="exact"/>
              <w:jc w:val="left"/>
              <w:rPr>
                <w:rFonts w:ascii="宋体" w:hAnsi="宋体"/>
                <w:color w:val="auto"/>
                <w:highlight w:val="none"/>
              </w:rPr>
            </w:pPr>
            <w:r>
              <w:rPr>
                <w:rFonts w:hint="eastAsia" w:ascii="宋体" w:hAnsi="宋体" w:cs="宋体"/>
                <w:color w:val="auto"/>
                <w:kern w:val="0"/>
                <w:highlight w:val="none"/>
              </w:rPr>
              <w:t>□</w:t>
            </w:r>
            <w:r>
              <w:rPr>
                <w:rFonts w:hint="eastAsia" w:ascii="宋体" w:hAnsi="宋体" w:cs="宋体"/>
                <w:color w:val="auto"/>
                <w:kern w:val="0"/>
                <w:highlight w:val="none"/>
                <w:u w:val="single"/>
              </w:rPr>
              <w:t>施工机械设备配置</w:t>
            </w:r>
          </w:p>
        </w:tc>
        <w:tc>
          <w:tcPr>
            <w:tcW w:w="5189" w:type="dxa"/>
            <w:vMerge w:val="continue"/>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855" w:type="dxa"/>
            <w:gridSpan w:val="2"/>
            <w:vMerge w:val="continue"/>
            <w:vAlign w:val="center"/>
          </w:tcPr>
          <w:p>
            <w:pPr>
              <w:spacing w:line="400" w:lineRule="exact"/>
              <w:jc w:val="center"/>
              <w:rPr>
                <w:rFonts w:ascii="宋体" w:hAnsi="宋体"/>
                <w:color w:val="auto"/>
                <w:highlight w:val="none"/>
              </w:rPr>
            </w:pPr>
          </w:p>
        </w:tc>
        <w:tc>
          <w:tcPr>
            <w:tcW w:w="1259" w:type="dxa"/>
            <w:gridSpan w:val="2"/>
            <w:vMerge w:val="continue"/>
            <w:vAlign w:val="center"/>
          </w:tcPr>
          <w:p>
            <w:pPr>
              <w:spacing w:line="400" w:lineRule="exact"/>
              <w:jc w:val="center"/>
              <w:rPr>
                <w:rFonts w:ascii="宋体" w:hAnsi="宋体"/>
                <w:color w:val="auto"/>
                <w:highlight w:val="none"/>
              </w:rPr>
            </w:pPr>
          </w:p>
        </w:tc>
        <w:tc>
          <w:tcPr>
            <w:tcW w:w="2172" w:type="dxa"/>
            <w:gridSpan w:val="2"/>
            <w:tcBorders>
              <w:top w:val="single" w:color="auto" w:sz="4" w:space="0"/>
              <w:bottom w:val="single" w:color="auto" w:sz="4" w:space="0"/>
            </w:tcBorders>
          </w:tcPr>
          <w:p>
            <w:pPr>
              <w:spacing w:line="400" w:lineRule="exact"/>
              <w:jc w:val="left"/>
              <w:rPr>
                <w:rFonts w:ascii="宋体" w:hAnsi="宋体"/>
                <w:color w:val="auto"/>
                <w:highlight w:val="none"/>
              </w:rPr>
            </w:pPr>
            <w:r>
              <w:rPr>
                <w:rFonts w:hint="eastAsia" w:ascii="宋体" w:hAnsi="宋体" w:cs="宋体"/>
                <w:color w:val="auto"/>
                <w:kern w:val="0"/>
                <w:highlight w:val="none"/>
              </w:rPr>
              <w:t>□</w:t>
            </w:r>
            <w:r>
              <w:rPr>
                <w:rFonts w:hint="eastAsia" w:ascii="宋体" w:hAnsi="宋体" w:cs="宋体"/>
                <w:color w:val="auto"/>
                <w:kern w:val="0"/>
                <w:highlight w:val="none"/>
                <w:u w:val="single"/>
              </w:rPr>
              <w:t>安全文明施工保证措施</w:t>
            </w:r>
          </w:p>
        </w:tc>
        <w:tc>
          <w:tcPr>
            <w:tcW w:w="5189" w:type="dxa"/>
            <w:vMerge w:val="continue"/>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855" w:type="dxa"/>
            <w:gridSpan w:val="2"/>
            <w:vMerge w:val="continue"/>
            <w:vAlign w:val="center"/>
          </w:tcPr>
          <w:p>
            <w:pPr>
              <w:spacing w:line="400" w:lineRule="exact"/>
              <w:jc w:val="center"/>
              <w:rPr>
                <w:rFonts w:ascii="宋体" w:hAnsi="宋体"/>
                <w:color w:val="auto"/>
                <w:highlight w:val="none"/>
              </w:rPr>
            </w:pPr>
          </w:p>
        </w:tc>
        <w:tc>
          <w:tcPr>
            <w:tcW w:w="1259" w:type="dxa"/>
            <w:gridSpan w:val="2"/>
            <w:vMerge w:val="continue"/>
            <w:vAlign w:val="center"/>
          </w:tcPr>
          <w:p>
            <w:pPr>
              <w:spacing w:line="400" w:lineRule="exact"/>
              <w:jc w:val="center"/>
              <w:rPr>
                <w:rFonts w:ascii="宋体" w:hAnsi="宋体"/>
                <w:color w:val="auto"/>
                <w:highlight w:val="none"/>
              </w:rPr>
            </w:pPr>
          </w:p>
        </w:tc>
        <w:tc>
          <w:tcPr>
            <w:tcW w:w="2172" w:type="dxa"/>
            <w:gridSpan w:val="2"/>
            <w:tcBorders>
              <w:top w:val="single" w:color="auto" w:sz="4" w:space="0"/>
              <w:bottom w:val="single" w:color="auto" w:sz="4" w:space="0"/>
            </w:tcBorders>
          </w:tcPr>
          <w:p>
            <w:pPr>
              <w:spacing w:line="400" w:lineRule="exact"/>
              <w:jc w:val="left"/>
              <w:rPr>
                <w:rFonts w:ascii="宋体" w:hAnsi="宋体"/>
                <w:color w:val="auto"/>
                <w:highlight w:val="none"/>
              </w:rPr>
            </w:pPr>
            <w:r>
              <w:rPr>
                <w:rFonts w:hint="eastAsia" w:ascii="宋体" w:hAnsi="宋体" w:cs="宋体"/>
                <w:color w:val="auto"/>
                <w:kern w:val="0"/>
                <w:highlight w:val="none"/>
              </w:rPr>
              <w:t>□</w:t>
            </w:r>
            <w:r>
              <w:rPr>
                <w:rFonts w:hint="eastAsia" w:ascii="宋体" w:hAnsi="宋体" w:cs="宋体"/>
                <w:color w:val="auto"/>
                <w:kern w:val="0"/>
                <w:highlight w:val="none"/>
                <w:u w:val="single"/>
              </w:rPr>
              <w:t>变更应对措施</w:t>
            </w:r>
          </w:p>
        </w:tc>
        <w:tc>
          <w:tcPr>
            <w:tcW w:w="5189" w:type="dxa"/>
            <w:vMerge w:val="continue"/>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855" w:type="dxa"/>
            <w:gridSpan w:val="2"/>
            <w:vMerge w:val="continue"/>
            <w:vAlign w:val="center"/>
          </w:tcPr>
          <w:p>
            <w:pPr>
              <w:spacing w:line="400" w:lineRule="exact"/>
              <w:jc w:val="center"/>
              <w:rPr>
                <w:rFonts w:ascii="宋体" w:hAnsi="宋体"/>
                <w:color w:val="auto"/>
                <w:highlight w:val="none"/>
              </w:rPr>
            </w:pPr>
          </w:p>
        </w:tc>
        <w:tc>
          <w:tcPr>
            <w:tcW w:w="1259" w:type="dxa"/>
            <w:gridSpan w:val="2"/>
            <w:vMerge w:val="continue"/>
            <w:vAlign w:val="center"/>
          </w:tcPr>
          <w:p>
            <w:pPr>
              <w:spacing w:line="400" w:lineRule="exact"/>
              <w:jc w:val="center"/>
              <w:rPr>
                <w:rFonts w:ascii="宋体" w:hAnsi="宋体"/>
                <w:color w:val="auto"/>
                <w:highlight w:val="none"/>
              </w:rPr>
            </w:pPr>
          </w:p>
        </w:tc>
        <w:tc>
          <w:tcPr>
            <w:tcW w:w="2172" w:type="dxa"/>
            <w:gridSpan w:val="2"/>
            <w:tcBorders>
              <w:top w:val="single" w:color="auto" w:sz="4" w:space="0"/>
              <w:bottom w:val="single" w:color="auto" w:sz="4" w:space="0"/>
            </w:tcBorders>
          </w:tcPr>
          <w:p>
            <w:pPr>
              <w:spacing w:line="400" w:lineRule="exact"/>
              <w:jc w:val="left"/>
              <w:rPr>
                <w:rFonts w:ascii="宋体" w:hAnsi="宋体"/>
                <w:color w:val="auto"/>
                <w:highlight w:val="none"/>
              </w:rPr>
            </w:pPr>
            <w:r>
              <w:rPr>
                <w:rFonts w:hint="eastAsia" w:ascii="宋体" w:hAnsi="宋体" w:cs="宋体"/>
                <w:color w:val="auto"/>
                <w:kern w:val="0"/>
                <w:highlight w:val="none"/>
              </w:rPr>
              <w:t>□</w:t>
            </w:r>
            <w:r>
              <w:rPr>
                <w:rFonts w:ascii="宋体" w:hAnsi="宋体" w:cs="宋体"/>
                <w:color w:val="auto"/>
                <w:kern w:val="0"/>
                <w:highlight w:val="none"/>
              </w:rPr>
              <w:t>……</w:t>
            </w:r>
          </w:p>
        </w:tc>
        <w:tc>
          <w:tcPr>
            <w:tcW w:w="5189" w:type="dxa"/>
            <w:vMerge w:val="continue"/>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855" w:type="dxa"/>
            <w:gridSpan w:val="2"/>
            <w:vAlign w:val="center"/>
          </w:tcPr>
          <w:p>
            <w:pPr>
              <w:spacing w:line="400" w:lineRule="exact"/>
              <w:jc w:val="center"/>
              <w:rPr>
                <w:rFonts w:ascii="宋体" w:hAnsi="宋体"/>
                <w:color w:val="auto"/>
                <w:highlight w:val="none"/>
              </w:rPr>
            </w:pPr>
            <w:r>
              <w:rPr>
                <w:rFonts w:hint="eastAsia" w:ascii="宋体" w:hAnsi="宋体"/>
                <w:color w:val="auto"/>
                <w:highlight w:val="none"/>
              </w:rPr>
              <w:t>3.2.1</w:t>
            </w:r>
          </w:p>
          <w:p>
            <w:pPr>
              <w:spacing w:line="400" w:lineRule="exact"/>
              <w:jc w:val="center"/>
              <w:rPr>
                <w:rFonts w:ascii="宋体" w:hAnsi="宋体"/>
                <w:color w:val="auto"/>
                <w:highlight w:val="none"/>
              </w:rPr>
            </w:pPr>
            <w:r>
              <w:rPr>
                <w:rFonts w:hint="eastAsia" w:ascii="宋体" w:hAnsi="宋体"/>
                <w:color w:val="auto"/>
                <w:highlight w:val="none"/>
              </w:rPr>
              <w:t>（2）</w:t>
            </w:r>
          </w:p>
        </w:tc>
        <w:tc>
          <w:tcPr>
            <w:tcW w:w="1259" w:type="dxa"/>
            <w:gridSpan w:val="2"/>
            <w:vAlign w:val="center"/>
          </w:tcPr>
          <w:p>
            <w:pPr>
              <w:spacing w:line="400" w:lineRule="exact"/>
              <w:jc w:val="center"/>
              <w:rPr>
                <w:rFonts w:ascii="宋体" w:hAnsi="宋体"/>
                <w:color w:val="auto"/>
                <w:highlight w:val="none"/>
              </w:rPr>
            </w:pPr>
            <w:r>
              <w:rPr>
                <w:rFonts w:hint="eastAsia" w:ascii="宋体" w:hAnsi="宋体"/>
                <w:color w:val="auto"/>
                <w:highlight w:val="none"/>
              </w:rPr>
              <w:t>商务部分得分（B）</w:t>
            </w:r>
          </w:p>
        </w:tc>
        <w:tc>
          <w:tcPr>
            <w:tcW w:w="2172" w:type="dxa"/>
            <w:gridSpan w:val="2"/>
            <w:tcBorders>
              <w:top w:val="single" w:color="auto" w:sz="4" w:space="0"/>
              <w:bottom w:val="single" w:color="auto" w:sz="4" w:space="0"/>
            </w:tcBorders>
            <w:vAlign w:val="center"/>
          </w:tcPr>
          <w:p>
            <w:pPr>
              <w:spacing w:line="400" w:lineRule="exact"/>
              <w:jc w:val="center"/>
              <w:rPr>
                <w:rFonts w:hint="eastAsia" w:ascii="宋体" w:hAnsi="宋体"/>
                <w:color w:val="auto"/>
                <w:highlight w:val="none"/>
              </w:rPr>
            </w:pPr>
            <w:r>
              <w:rPr>
                <w:rFonts w:hint="eastAsia" w:ascii="宋体" w:hAnsi="宋体"/>
                <w:color w:val="auto"/>
                <w:highlight w:val="none"/>
              </w:rPr>
              <w:t>评标标准详见</w:t>
            </w:r>
          </w:p>
          <w:p>
            <w:pPr>
              <w:spacing w:line="400" w:lineRule="exact"/>
              <w:jc w:val="center"/>
              <w:rPr>
                <w:rFonts w:ascii="宋体" w:hAnsi="宋体" w:cs="宋体"/>
                <w:color w:val="auto"/>
                <w:kern w:val="0"/>
                <w:highlight w:val="none"/>
              </w:rPr>
            </w:pPr>
            <w:r>
              <w:rPr>
                <w:rFonts w:hint="eastAsia" w:ascii="宋体" w:hAnsi="宋体"/>
                <w:color w:val="auto"/>
                <w:highlight w:val="none"/>
              </w:rPr>
              <w:t>2.2.2（2）</w:t>
            </w:r>
          </w:p>
        </w:tc>
        <w:tc>
          <w:tcPr>
            <w:tcW w:w="5189"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商务</w:t>
            </w:r>
            <w:r>
              <w:rPr>
                <w:rFonts w:ascii="宋体" w:hAnsi="宋体"/>
                <w:color w:val="auto"/>
                <w:szCs w:val="21"/>
                <w:highlight w:val="none"/>
              </w:rPr>
              <w:t>部分</w:t>
            </w:r>
            <w:r>
              <w:rPr>
                <w:rFonts w:hint="eastAsia" w:ascii="宋体" w:hAnsi="宋体"/>
                <w:color w:val="auto"/>
                <w:szCs w:val="21"/>
                <w:highlight w:val="none"/>
              </w:rPr>
              <w:t>评分为客观评分，</w:t>
            </w:r>
            <w:r>
              <w:rPr>
                <w:rFonts w:ascii="宋体" w:hAnsi="宋体"/>
                <w:color w:val="auto"/>
                <w:szCs w:val="21"/>
                <w:highlight w:val="none"/>
              </w:rPr>
              <w:t>评标委员会按第2.2.</w:t>
            </w:r>
            <w:r>
              <w:rPr>
                <w:rFonts w:hint="eastAsia" w:ascii="宋体" w:hAnsi="宋体"/>
                <w:color w:val="auto"/>
                <w:szCs w:val="21"/>
                <w:highlight w:val="none"/>
              </w:rPr>
              <w:t>2（2）项</w:t>
            </w:r>
            <w:r>
              <w:rPr>
                <w:rFonts w:ascii="宋体" w:hAnsi="宋体"/>
                <w:color w:val="auto"/>
                <w:szCs w:val="21"/>
                <w:highlight w:val="none"/>
              </w:rPr>
              <w:t>各评审因素设定的分值</w:t>
            </w:r>
            <w:r>
              <w:rPr>
                <w:rFonts w:hint="eastAsia" w:ascii="宋体" w:hAnsi="宋体"/>
                <w:color w:val="auto"/>
                <w:szCs w:val="21"/>
                <w:highlight w:val="none"/>
              </w:rPr>
              <w:t>统一进行</w:t>
            </w:r>
            <w:r>
              <w:rPr>
                <w:rFonts w:ascii="宋体" w:hAnsi="宋体"/>
                <w:color w:val="auto"/>
                <w:szCs w:val="21"/>
                <w:highlight w:val="none"/>
              </w:rPr>
              <w:t>评分。</w:t>
            </w:r>
            <w:r>
              <w:rPr>
                <w:rFonts w:hint="eastAsia" w:ascii="宋体" w:hAnsi="宋体"/>
                <w:color w:val="auto"/>
                <w:kern w:val="0"/>
                <w:szCs w:val="21"/>
                <w:highlight w:val="none"/>
              </w:rPr>
              <w:t>商务评分的最终结果</w:t>
            </w:r>
            <w:r>
              <w:rPr>
                <w:rFonts w:ascii="宋体" w:hAnsi="宋体"/>
                <w:color w:val="auto"/>
                <w:kern w:val="0"/>
                <w:szCs w:val="21"/>
                <w:highlight w:val="none"/>
              </w:rPr>
              <w:t>取小数点后两位，</w:t>
            </w:r>
            <w:r>
              <w:rPr>
                <w:rFonts w:hint="eastAsia" w:ascii="宋体" w:hAnsi="宋体" w:cs="Times New Roman"/>
                <w:color w:val="auto"/>
                <w:kern w:val="2"/>
                <w:szCs w:val="21"/>
                <w:highlight w:val="none"/>
                <w:lang w:val="en-US" w:eastAsia="zh-CN"/>
              </w:rPr>
              <w:t>小数点后</w:t>
            </w:r>
            <w:r>
              <w:rPr>
                <w:rFonts w:ascii="宋体" w:hAnsi="宋体"/>
                <w:color w:val="auto"/>
                <w:kern w:val="0"/>
                <w:szCs w:val="21"/>
                <w:highlight w:val="none"/>
              </w:rPr>
              <w:t>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55" w:type="dxa"/>
            <w:gridSpan w:val="2"/>
            <w:vAlign w:val="center"/>
          </w:tcPr>
          <w:p>
            <w:pPr>
              <w:spacing w:line="400" w:lineRule="exact"/>
              <w:jc w:val="center"/>
              <w:rPr>
                <w:rFonts w:ascii="宋体" w:hAnsi="宋体"/>
                <w:color w:val="auto"/>
                <w:highlight w:val="none"/>
              </w:rPr>
            </w:pPr>
            <w:r>
              <w:rPr>
                <w:rFonts w:ascii="宋体" w:hAnsi="宋体"/>
                <w:color w:val="auto"/>
                <w:highlight w:val="none"/>
              </w:rPr>
              <w:t>3.2.1（</w:t>
            </w:r>
            <w:r>
              <w:rPr>
                <w:rFonts w:hint="eastAsia" w:ascii="宋体" w:hAnsi="宋体"/>
                <w:color w:val="auto"/>
                <w:highlight w:val="none"/>
              </w:rPr>
              <w:t>3</w:t>
            </w:r>
            <w:r>
              <w:rPr>
                <w:rFonts w:ascii="宋体" w:hAnsi="宋体"/>
                <w:color w:val="auto"/>
                <w:highlight w:val="none"/>
              </w:rPr>
              <w:t>）</w:t>
            </w:r>
          </w:p>
        </w:tc>
        <w:tc>
          <w:tcPr>
            <w:tcW w:w="1259" w:type="dxa"/>
            <w:gridSpan w:val="2"/>
            <w:vAlign w:val="center"/>
          </w:tcPr>
          <w:p>
            <w:pPr>
              <w:spacing w:line="400" w:lineRule="exact"/>
              <w:jc w:val="center"/>
              <w:rPr>
                <w:rFonts w:ascii="宋体" w:hAnsi="宋体"/>
                <w:color w:val="auto"/>
                <w:highlight w:val="none"/>
              </w:rPr>
            </w:pPr>
            <w:r>
              <w:rPr>
                <w:rFonts w:ascii="宋体" w:hAnsi="宋体"/>
                <w:color w:val="auto"/>
                <w:highlight w:val="none"/>
              </w:rPr>
              <w:t>投标报价</w:t>
            </w:r>
            <w:r>
              <w:rPr>
                <w:rFonts w:ascii="宋体" w:hAnsi="宋体"/>
                <w:color w:val="auto"/>
                <w:kern w:val="0"/>
                <w:highlight w:val="none"/>
              </w:rPr>
              <w:t>得分</w:t>
            </w:r>
            <w:r>
              <w:rPr>
                <w:rFonts w:ascii="宋体" w:hAnsi="宋体"/>
                <w:color w:val="auto"/>
                <w:spacing w:val="-8"/>
                <w:highlight w:val="none"/>
              </w:rPr>
              <w:t>（</w:t>
            </w:r>
            <w:r>
              <w:rPr>
                <w:rFonts w:hint="eastAsia" w:ascii="宋体" w:hAnsi="宋体"/>
                <w:color w:val="auto"/>
                <w:spacing w:val="-8"/>
                <w:highlight w:val="none"/>
              </w:rPr>
              <w:t>C</w:t>
            </w:r>
            <w:r>
              <w:rPr>
                <w:rFonts w:ascii="宋体" w:hAnsi="宋体"/>
                <w:color w:val="auto"/>
                <w:spacing w:val="-8"/>
                <w:highlight w:val="none"/>
              </w:rPr>
              <w:t>）</w:t>
            </w:r>
          </w:p>
        </w:tc>
        <w:tc>
          <w:tcPr>
            <w:tcW w:w="2172" w:type="dxa"/>
            <w:gridSpan w:val="2"/>
            <w:tcBorders>
              <w:top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投标总报价</w:t>
            </w:r>
          </w:p>
        </w:tc>
        <w:tc>
          <w:tcPr>
            <w:tcW w:w="5189" w:type="dxa"/>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s="Times New Roman"/>
                <w:color w:val="auto"/>
                <w:kern w:val="2"/>
                <w:szCs w:val="21"/>
                <w:highlight w:val="none"/>
              </w:rPr>
              <w:t>所有通过初步评审及本章第</w:t>
            </w:r>
            <w:r>
              <w:rPr>
                <w:rFonts w:ascii="宋体" w:hAnsi="宋体" w:cs="Times New Roman"/>
                <w:color w:val="auto"/>
                <w:kern w:val="2"/>
                <w:szCs w:val="21"/>
                <w:highlight w:val="none"/>
              </w:rPr>
              <w:t>2.2.2（3）目评审合格的投标人的投标总报价，得本附表2.2.1规定分值的满分</w:t>
            </w:r>
            <w:r>
              <w:rPr>
                <w:rFonts w:ascii="宋体" w:hAnsi="宋体" w:cs="Times New Roman"/>
                <w:color w:val="auto"/>
                <w:kern w:val="2"/>
                <w:szCs w:val="21"/>
                <w:highlight w:val="none"/>
                <w:u w:val="single"/>
              </w:rPr>
              <w:t xml:space="preserve">     </w:t>
            </w:r>
            <w:r>
              <w:rPr>
                <w:rFonts w:hint="eastAsia" w:ascii="宋体" w:hAnsi="宋体" w:cs="Times New Roman"/>
                <w:color w:val="auto"/>
                <w:kern w:val="2"/>
                <w:szCs w:val="21"/>
                <w:highlight w:val="none"/>
              </w:rPr>
              <w:t>分。</w:t>
            </w:r>
            <w:r>
              <w:rPr>
                <w:rFonts w:hint="eastAsia" w:ascii="宋体" w:hAnsi="宋体"/>
                <w:color w:val="auto"/>
                <w:szCs w:val="21"/>
                <w:highlight w:val="none"/>
              </w:rPr>
              <w:t>在此基础上，投标总报价与评标基准价相比，每增加1%扣</w:t>
            </w:r>
            <w:r>
              <w:rPr>
                <w:rFonts w:hint="eastAsia" w:ascii="宋体" w:hAnsi="宋体"/>
                <w:color w:val="auto"/>
                <w:szCs w:val="21"/>
                <w:highlight w:val="none"/>
                <w:u w:val="single"/>
              </w:rPr>
              <w:t>　   　</w:t>
            </w:r>
            <w:r>
              <w:rPr>
                <w:rFonts w:hint="eastAsia" w:asciiTheme="minorEastAsia" w:hAnsiTheme="minorEastAsia" w:eastAsiaTheme="minorEastAsia" w:cstheme="minorEastAsia"/>
                <w:bCs/>
                <w:i/>
                <w:iCs/>
                <w:color w:val="auto"/>
                <w:szCs w:val="28"/>
                <w:highlight w:val="none"/>
                <w:u w:val="none"/>
                <w:lang w:val="en-US" w:eastAsia="zh-CN"/>
              </w:rPr>
              <w:t>[提示：本空格填写数值</w:t>
            </w:r>
            <w:r>
              <w:rPr>
                <w:rFonts w:hint="eastAsia" w:asciiTheme="minorEastAsia" w:hAnsiTheme="minorEastAsia" w:eastAsiaTheme="minorEastAsia" w:cstheme="minorEastAsia"/>
                <w:i/>
                <w:iCs/>
                <w:color w:val="auto"/>
                <w:szCs w:val="21"/>
                <w:highlight w:val="none"/>
                <w:u w:val="none"/>
                <w:lang w:val="en-US" w:eastAsia="zh-CN"/>
              </w:rPr>
              <w:t>1</w:t>
            </w:r>
            <w:r>
              <w:rPr>
                <w:rFonts w:hint="eastAsia" w:asciiTheme="minorEastAsia" w:hAnsiTheme="minorEastAsia" w:eastAsiaTheme="minorEastAsia" w:cstheme="minorEastAsia"/>
                <w:i/>
                <w:iCs/>
                <w:color w:val="auto"/>
                <w:szCs w:val="21"/>
                <w:highlight w:val="none"/>
                <w:u w:val="none"/>
              </w:rPr>
              <w:t>～</w:t>
            </w:r>
            <w:r>
              <w:rPr>
                <w:rFonts w:hint="eastAsia" w:asciiTheme="minorEastAsia" w:hAnsiTheme="minorEastAsia" w:eastAsiaTheme="minorEastAsia" w:cstheme="minorEastAsia"/>
                <w:i/>
                <w:iCs/>
                <w:color w:val="auto"/>
                <w:szCs w:val="21"/>
                <w:highlight w:val="none"/>
                <w:u w:val="none"/>
                <w:lang w:val="en-US" w:eastAsia="zh-CN"/>
              </w:rPr>
              <w:t>2]</w:t>
            </w:r>
            <w:r>
              <w:rPr>
                <w:rFonts w:hint="eastAsia" w:ascii="宋体" w:hAnsi="宋体"/>
                <w:color w:val="auto"/>
                <w:szCs w:val="21"/>
                <w:highlight w:val="none"/>
              </w:rPr>
              <w:t>分，每减少1%扣</w:t>
            </w:r>
            <w:r>
              <w:rPr>
                <w:rFonts w:hint="eastAsia" w:ascii="宋体" w:hAnsi="宋体"/>
                <w:color w:val="auto"/>
                <w:szCs w:val="21"/>
                <w:highlight w:val="none"/>
                <w:u w:val="single"/>
              </w:rPr>
              <w:t>　</w:t>
            </w:r>
            <w:r>
              <w:rPr>
                <w:rFonts w:ascii="宋体" w:hAnsi="宋体" w:cs="Times New Roman"/>
                <w:color w:val="auto"/>
                <w:szCs w:val="21"/>
                <w:highlight w:val="none"/>
                <w:u w:val="single"/>
              </w:rPr>
              <w:t xml:space="preserve">  　</w:t>
            </w:r>
            <w:r>
              <w:rPr>
                <w:rFonts w:hint="eastAsia" w:asciiTheme="minorEastAsia" w:hAnsiTheme="minorEastAsia" w:eastAsiaTheme="minorEastAsia" w:cstheme="minorEastAsia"/>
                <w:i/>
                <w:iCs/>
                <w:color w:val="auto"/>
                <w:szCs w:val="21"/>
                <w:highlight w:val="none"/>
                <w:u w:val="none"/>
                <w:lang w:val="en-US" w:eastAsia="zh-CN"/>
              </w:rPr>
              <w:t>[提示：本空格填写数值0.5</w:t>
            </w:r>
            <w:r>
              <w:rPr>
                <w:rFonts w:hint="eastAsia" w:asciiTheme="minorEastAsia" w:hAnsiTheme="minorEastAsia" w:eastAsiaTheme="minorEastAsia" w:cstheme="minorEastAsia"/>
                <w:i/>
                <w:iCs/>
                <w:color w:val="auto"/>
                <w:szCs w:val="21"/>
                <w:highlight w:val="none"/>
                <w:u w:val="none"/>
              </w:rPr>
              <w:t>～</w:t>
            </w:r>
            <w:r>
              <w:rPr>
                <w:rFonts w:hint="eastAsia" w:asciiTheme="minorEastAsia" w:hAnsiTheme="minorEastAsia" w:eastAsiaTheme="minorEastAsia" w:cstheme="minorEastAsia"/>
                <w:i/>
                <w:iCs/>
                <w:color w:val="auto"/>
                <w:szCs w:val="21"/>
                <w:highlight w:val="none"/>
                <w:u w:val="none"/>
                <w:lang w:val="en-US" w:eastAsia="zh-CN"/>
              </w:rPr>
              <w:t>1]</w:t>
            </w:r>
            <w:r>
              <w:rPr>
                <w:rFonts w:hint="eastAsia" w:ascii="宋体" w:hAnsi="宋体"/>
                <w:color w:val="auto"/>
                <w:szCs w:val="21"/>
                <w:highlight w:val="none"/>
              </w:rPr>
              <w:t>分，扣完为止。</w:t>
            </w:r>
          </w:p>
          <w:p>
            <w:pPr>
              <w:autoSpaceDE w:val="0"/>
              <w:autoSpaceDN w:val="0"/>
              <w:adjustRightInd w:val="0"/>
              <w:snapToGrid w:val="0"/>
              <w:spacing w:line="400" w:lineRule="exact"/>
              <w:ind w:firstLine="420" w:firstLineChars="200"/>
              <w:rPr>
                <w:rFonts w:ascii="宋体" w:hAnsi="宋体" w:cs="Times New Roman"/>
                <w:color w:val="auto"/>
                <w:szCs w:val="21"/>
                <w:highlight w:val="none"/>
              </w:rPr>
            </w:pPr>
            <w:r>
              <w:rPr>
                <w:rFonts w:hint="eastAsia" w:ascii="宋体" w:hAnsi="宋体" w:cs="Times New Roman"/>
                <w:color w:val="auto"/>
                <w:szCs w:val="21"/>
                <w:highlight w:val="none"/>
              </w:rPr>
              <w:t>按插入法计算得分。</w:t>
            </w:r>
          </w:p>
          <w:p>
            <w:pPr>
              <w:autoSpaceDE w:val="0"/>
              <w:autoSpaceDN w:val="0"/>
              <w:adjustRightInd w:val="0"/>
              <w:snapToGrid w:val="0"/>
              <w:spacing w:line="400" w:lineRule="exact"/>
              <w:ind w:firstLine="420" w:firstLineChars="200"/>
              <w:rPr>
                <w:rFonts w:ascii="宋体" w:hAnsi="宋体"/>
                <w:color w:val="auto"/>
                <w:kern w:val="2"/>
                <w:szCs w:val="21"/>
                <w:highlight w:val="none"/>
              </w:rPr>
            </w:pPr>
            <w:r>
              <w:rPr>
                <w:rFonts w:hint="eastAsia" w:ascii="宋体" w:hAnsi="宋体" w:cs="Times New Roman"/>
                <w:color w:val="auto"/>
                <w:kern w:val="2"/>
                <w:szCs w:val="21"/>
                <w:highlight w:val="none"/>
              </w:rPr>
              <w:t>投标总报价得分最终结果取小数点后两位，</w:t>
            </w:r>
            <w:r>
              <w:rPr>
                <w:rFonts w:hint="eastAsia" w:ascii="宋体" w:hAnsi="宋体" w:cs="Times New Roman"/>
                <w:color w:val="auto"/>
                <w:kern w:val="2"/>
                <w:szCs w:val="21"/>
                <w:highlight w:val="none"/>
                <w:lang w:val="en-US" w:eastAsia="zh-CN"/>
              </w:rPr>
              <w:t>小数点后</w:t>
            </w:r>
            <w:r>
              <w:rPr>
                <w:rFonts w:hint="eastAsia" w:ascii="宋体" w:hAnsi="宋体" w:cs="Times New Roman"/>
                <w:color w:val="auto"/>
                <w:kern w:val="2"/>
                <w:szCs w:val="21"/>
                <w:highlight w:val="none"/>
              </w:rPr>
              <w:t>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2114" w:type="dxa"/>
            <w:gridSpan w:val="4"/>
            <w:vAlign w:val="center"/>
          </w:tcPr>
          <w:p>
            <w:pPr>
              <w:spacing w:line="400" w:lineRule="exact"/>
              <w:ind w:firstLine="18" w:firstLineChars="9"/>
              <w:jc w:val="center"/>
              <w:rPr>
                <w:rFonts w:ascii="宋体" w:hAnsi="宋体"/>
                <w:color w:val="auto"/>
                <w:szCs w:val="21"/>
                <w:highlight w:val="none"/>
              </w:rPr>
            </w:pPr>
            <w:r>
              <w:rPr>
                <w:rFonts w:ascii="宋体" w:hAnsi="宋体"/>
                <w:color w:val="auto"/>
                <w:szCs w:val="21"/>
                <w:highlight w:val="none"/>
              </w:rPr>
              <w:t>3.2.3</w:t>
            </w:r>
          </w:p>
        </w:tc>
        <w:tc>
          <w:tcPr>
            <w:tcW w:w="2172" w:type="dxa"/>
            <w:gridSpan w:val="2"/>
            <w:vAlign w:val="center"/>
          </w:tcPr>
          <w:p>
            <w:pPr>
              <w:spacing w:line="400" w:lineRule="exact"/>
              <w:ind w:firstLine="18" w:firstLineChars="9"/>
              <w:jc w:val="center"/>
              <w:rPr>
                <w:rFonts w:ascii="宋体" w:hAnsi="宋体"/>
                <w:color w:val="auto"/>
                <w:szCs w:val="21"/>
                <w:highlight w:val="none"/>
              </w:rPr>
            </w:pPr>
            <w:r>
              <w:rPr>
                <w:rFonts w:ascii="宋体" w:hAnsi="宋体"/>
                <w:color w:val="auto"/>
                <w:szCs w:val="21"/>
                <w:highlight w:val="none"/>
              </w:rPr>
              <w:t>投标人得分</w:t>
            </w:r>
          </w:p>
        </w:tc>
        <w:tc>
          <w:tcPr>
            <w:tcW w:w="5189" w:type="dxa"/>
            <w:vAlign w:val="center"/>
          </w:tcPr>
          <w:p>
            <w:pPr>
              <w:spacing w:line="400" w:lineRule="exact"/>
              <w:jc w:val="center"/>
              <w:rPr>
                <w:rFonts w:ascii="宋体" w:hAnsi="宋体"/>
                <w:color w:val="auto"/>
                <w:szCs w:val="21"/>
                <w:highlight w:val="none"/>
                <w:u w:val="single"/>
              </w:rPr>
            </w:pPr>
            <w:r>
              <w:rPr>
                <w:rFonts w:ascii="宋体" w:hAnsi="宋体"/>
                <w:color w:val="auto"/>
                <w:szCs w:val="21"/>
                <w:highlight w:val="none"/>
                <w:u w:val="single"/>
              </w:rPr>
              <w:t>投标人得分=A+B</w:t>
            </w:r>
            <w:r>
              <w:rPr>
                <w:rFonts w:hint="eastAsia" w:ascii="宋体" w:hAnsi="宋体"/>
                <w:color w:val="auto"/>
                <w:szCs w:val="21"/>
                <w:highlight w:val="none"/>
                <w:u w:val="single"/>
              </w:rPr>
              <w:t>+C</w:t>
            </w:r>
          </w:p>
        </w:tc>
      </w:tr>
    </w:tbl>
    <w:p>
      <w:pPr>
        <w:pStyle w:val="4"/>
        <w:spacing w:before="0" w:after="0" w:line="360" w:lineRule="auto"/>
        <w:outlineLvl w:val="9"/>
        <w:rPr>
          <w:rFonts w:ascii="宋体" w:hAnsi="宋体"/>
          <w:b w:val="0"/>
          <w:snapToGrid w:val="0"/>
          <w:color w:val="auto"/>
          <w:highlight w:val="none"/>
        </w:rPr>
      </w:pPr>
    </w:p>
    <w:p>
      <w:pPr>
        <w:pStyle w:val="4"/>
        <w:spacing w:before="0" w:after="0" w:line="360" w:lineRule="auto"/>
        <w:outlineLvl w:val="9"/>
        <w:rPr>
          <w:rFonts w:ascii="宋体" w:hAnsi="宋体"/>
          <w:b w:val="0"/>
          <w:snapToGrid w:val="0"/>
          <w:color w:val="auto"/>
          <w:highlight w:val="none"/>
        </w:rPr>
      </w:pPr>
    </w:p>
    <w:p>
      <w:pPr>
        <w:pStyle w:val="4"/>
        <w:spacing w:before="0" w:after="0" w:line="360" w:lineRule="auto"/>
        <w:rPr>
          <w:rFonts w:ascii="宋体" w:hAnsi="宋体"/>
          <w:b w:val="0"/>
          <w:snapToGrid w:val="0"/>
          <w:color w:val="auto"/>
          <w:highlight w:val="none"/>
        </w:rPr>
      </w:pPr>
      <w:r>
        <w:rPr>
          <w:rFonts w:ascii="宋体" w:hAnsi="宋体"/>
          <w:b w:val="0"/>
          <w:snapToGrid w:val="0"/>
          <w:color w:val="auto"/>
          <w:highlight w:val="none"/>
        </w:rPr>
        <w:br w:type="page"/>
      </w:r>
      <w:bookmarkStart w:id="678" w:name="_Toc16409"/>
      <w:bookmarkStart w:id="679" w:name="_Toc6333"/>
      <w:bookmarkStart w:id="680" w:name="_Toc29707"/>
      <w:bookmarkStart w:id="681" w:name="_Toc4048"/>
      <w:r>
        <w:rPr>
          <w:rFonts w:ascii="宋体" w:hAnsi="宋体"/>
          <w:bCs w:val="0"/>
          <w:snapToGrid w:val="0"/>
          <w:color w:val="auto"/>
          <w:highlight w:val="none"/>
        </w:rPr>
        <w:t>1.  评标方法</w:t>
      </w:r>
      <w:bookmarkEnd w:id="656"/>
      <w:bookmarkEnd w:id="657"/>
      <w:bookmarkEnd w:id="658"/>
      <w:bookmarkEnd w:id="659"/>
      <w:bookmarkEnd w:id="660"/>
      <w:bookmarkEnd w:id="661"/>
      <w:bookmarkEnd w:id="677"/>
      <w:bookmarkEnd w:id="678"/>
      <w:bookmarkEnd w:id="679"/>
      <w:bookmarkEnd w:id="680"/>
      <w:bookmarkEnd w:id="681"/>
    </w:p>
    <w:p>
      <w:pPr>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本次评标采用综合评估法</w:t>
      </w:r>
      <w:r>
        <w:rPr>
          <w:rFonts w:ascii="宋体" w:hAnsi="宋体"/>
          <w:color w:val="auto"/>
          <w:spacing w:val="-47"/>
          <w:kern w:val="0"/>
          <w:szCs w:val="21"/>
          <w:highlight w:val="none"/>
        </w:rPr>
        <w:t>。</w:t>
      </w:r>
      <w:r>
        <w:rPr>
          <w:rFonts w:ascii="宋体" w:hAnsi="宋体"/>
          <w:color w:val="auto"/>
          <w:kern w:val="0"/>
          <w:szCs w:val="21"/>
          <w:highlight w:val="none"/>
        </w:rPr>
        <w:t xml:space="preserve">评标委员会按照本章第 </w:t>
      </w:r>
      <w:r>
        <w:rPr>
          <w:rFonts w:ascii="宋体" w:hAnsi="宋体"/>
          <w:color w:val="auto"/>
          <w:spacing w:val="1"/>
          <w:kern w:val="0"/>
          <w:szCs w:val="21"/>
          <w:highlight w:val="none"/>
        </w:rPr>
        <w:t>2</w:t>
      </w:r>
      <w:r>
        <w:rPr>
          <w:rFonts w:ascii="宋体" w:hAnsi="宋体"/>
          <w:color w:val="auto"/>
          <w:spacing w:val="-1"/>
          <w:kern w:val="0"/>
          <w:szCs w:val="21"/>
          <w:highlight w:val="none"/>
        </w:rPr>
        <w:t>.</w:t>
      </w:r>
      <w:r>
        <w:rPr>
          <w:rFonts w:ascii="宋体" w:hAnsi="宋体"/>
          <w:color w:val="auto"/>
          <w:kern w:val="0"/>
          <w:szCs w:val="21"/>
          <w:highlight w:val="none"/>
        </w:rPr>
        <w:t>2</w:t>
      </w:r>
      <w:r>
        <w:rPr>
          <w:rFonts w:ascii="宋体" w:hAnsi="宋体"/>
          <w:color w:val="auto"/>
          <w:spacing w:val="1"/>
          <w:kern w:val="0"/>
          <w:szCs w:val="21"/>
          <w:highlight w:val="none"/>
        </w:rPr>
        <w:t xml:space="preserve"> </w:t>
      </w:r>
      <w:r>
        <w:rPr>
          <w:rFonts w:ascii="宋体" w:hAnsi="宋体"/>
          <w:color w:val="auto"/>
          <w:kern w:val="0"/>
          <w:szCs w:val="21"/>
          <w:highlight w:val="none"/>
        </w:rPr>
        <w:t>款</w:t>
      </w:r>
      <w:r>
        <w:rPr>
          <w:rFonts w:ascii="宋体" w:hAnsi="宋体"/>
          <w:color w:val="auto"/>
          <w:spacing w:val="-1"/>
          <w:kern w:val="0"/>
          <w:szCs w:val="21"/>
          <w:highlight w:val="none"/>
        </w:rPr>
        <w:t>规</w:t>
      </w:r>
      <w:r>
        <w:rPr>
          <w:rFonts w:ascii="宋体" w:hAnsi="宋体"/>
          <w:color w:val="auto"/>
          <w:kern w:val="0"/>
          <w:szCs w:val="21"/>
          <w:highlight w:val="none"/>
        </w:rPr>
        <w:t>定的评分标准进行</w:t>
      </w:r>
      <w:r>
        <w:rPr>
          <w:rFonts w:hint="eastAsia" w:ascii="宋体" w:hAnsi="宋体"/>
          <w:color w:val="auto"/>
          <w:kern w:val="0"/>
          <w:szCs w:val="21"/>
          <w:highlight w:val="none"/>
        </w:rPr>
        <w:t>评分</w:t>
      </w:r>
      <w:r>
        <w:rPr>
          <w:rFonts w:ascii="宋体" w:hAnsi="宋体"/>
          <w:color w:val="auto"/>
          <w:kern w:val="0"/>
          <w:szCs w:val="21"/>
          <w:highlight w:val="none"/>
        </w:rPr>
        <w:t>，按得分由高到低顺序推荐中标候选人</w:t>
      </w:r>
      <w:r>
        <w:rPr>
          <w:rFonts w:ascii="宋体" w:hAnsi="宋体"/>
          <w:color w:val="auto"/>
          <w:spacing w:val="-20"/>
          <w:kern w:val="0"/>
          <w:szCs w:val="21"/>
          <w:highlight w:val="none"/>
        </w:rPr>
        <w:t>，</w:t>
      </w:r>
      <w:r>
        <w:rPr>
          <w:rFonts w:ascii="宋体" w:hAnsi="宋体"/>
          <w:color w:val="auto"/>
          <w:kern w:val="0"/>
          <w:szCs w:val="21"/>
          <w:highlight w:val="none"/>
        </w:rPr>
        <w:t>或根据招标人授权直接确定中标人</w:t>
      </w:r>
      <w:r>
        <w:rPr>
          <w:rFonts w:hint="eastAsia" w:ascii="宋体" w:hAnsi="宋体"/>
          <w:color w:val="auto"/>
          <w:kern w:val="0"/>
          <w:szCs w:val="21"/>
          <w:highlight w:val="none"/>
        </w:rPr>
        <w:t>，若出现投标人投标报价相同的，以评标办法前附表约定的原则确定排序</w:t>
      </w:r>
      <w:r>
        <w:rPr>
          <w:rFonts w:ascii="宋体" w:hAnsi="宋体"/>
          <w:color w:val="auto"/>
          <w:spacing w:val="-31"/>
          <w:kern w:val="0"/>
          <w:szCs w:val="21"/>
          <w:highlight w:val="none"/>
        </w:rPr>
        <w:t>。</w:t>
      </w:r>
    </w:p>
    <w:p>
      <w:pPr>
        <w:pStyle w:val="4"/>
        <w:spacing w:before="0" w:after="0" w:line="360" w:lineRule="auto"/>
        <w:rPr>
          <w:rFonts w:ascii="宋体" w:hAnsi="宋体"/>
          <w:bCs w:val="0"/>
          <w:snapToGrid w:val="0"/>
          <w:color w:val="auto"/>
          <w:highlight w:val="none"/>
        </w:rPr>
      </w:pPr>
      <w:bookmarkStart w:id="682" w:name="_Toc19427"/>
      <w:bookmarkStart w:id="683" w:name="_Toc509218777"/>
      <w:bookmarkStart w:id="684" w:name="_Toc277082619"/>
      <w:bookmarkStart w:id="685" w:name="_Toc11726"/>
      <w:bookmarkStart w:id="686" w:name="_Toc287607813"/>
      <w:bookmarkStart w:id="687" w:name="_Toc430530501"/>
      <w:bookmarkStart w:id="688" w:name="_Toc224103385"/>
      <w:bookmarkStart w:id="689" w:name="_Toc22891"/>
      <w:bookmarkStart w:id="690" w:name="_Toc21467"/>
      <w:bookmarkStart w:id="691" w:name="_Toc287620752"/>
      <w:bookmarkStart w:id="692" w:name="_Toc200513199"/>
      <w:r>
        <w:rPr>
          <w:rFonts w:ascii="宋体" w:hAnsi="宋体"/>
          <w:bCs w:val="0"/>
          <w:snapToGrid w:val="0"/>
          <w:color w:val="auto"/>
          <w:highlight w:val="none"/>
        </w:rPr>
        <w:t>2.  评审标准</w:t>
      </w:r>
      <w:bookmarkEnd w:id="682"/>
      <w:bookmarkEnd w:id="683"/>
      <w:bookmarkEnd w:id="684"/>
      <w:bookmarkEnd w:id="685"/>
      <w:bookmarkEnd w:id="686"/>
      <w:bookmarkEnd w:id="687"/>
      <w:bookmarkEnd w:id="688"/>
      <w:bookmarkEnd w:id="689"/>
      <w:bookmarkEnd w:id="690"/>
      <w:bookmarkEnd w:id="691"/>
      <w:bookmarkEnd w:id="692"/>
    </w:p>
    <w:p>
      <w:pPr>
        <w:pStyle w:val="5"/>
        <w:snapToGrid w:val="0"/>
        <w:spacing w:before="0" w:after="0" w:line="360" w:lineRule="auto"/>
        <w:rPr>
          <w:rFonts w:ascii="宋体" w:hAnsi="宋体"/>
          <w:bCs w:val="0"/>
          <w:snapToGrid w:val="0"/>
          <w:color w:val="auto"/>
          <w:sz w:val="24"/>
          <w:szCs w:val="24"/>
          <w:highlight w:val="none"/>
        </w:rPr>
      </w:pPr>
      <w:bookmarkStart w:id="693" w:name="_Toc430530502"/>
      <w:bookmarkStart w:id="694" w:name="_Toc287607814"/>
      <w:bookmarkStart w:id="695" w:name="_Toc224103386"/>
      <w:bookmarkStart w:id="696" w:name="_Toc509218778"/>
      <w:bookmarkStart w:id="697" w:name="_Toc277082620"/>
      <w:bookmarkStart w:id="698" w:name="_Toc200513200"/>
      <w:bookmarkStart w:id="699" w:name="_Toc287620753"/>
      <w:bookmarkStart w:id="700" w:name="_Toc1449"/>
      <w:r>
        <w:rPr>
          <w:rFonts w:ascii="宋体" w:hAnsi="宋体"/>
          <w:bCs w:val="0"/>
          <w:snapToGrid w:val="0"/>
          <w:color w:val="auto"/>
          <w:sz w:val="24"/>
          <w:szCs w:val="24"/>
          <w:highlight w:val="none"/>
        </w:rPr>
        <w:t>2.1  初步评审标准</w:t>
      </w:r>
      <w:bookmarkEnd w:id="693"/>
      <w:bookmarkEnd w:id="694"/>
      <w:bookmarkEnd w:id="695"/>
      <w:bookmarkEnd w:id="696"/>
      <w:bookmarkEnd w:id="697"/>
      <w:bookmarkEnd w:id="698"/>
      <w:bookmarkEnd w:id="699"/>
      <w:bookmarkEnd w:id="700"/>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1</w:t>
      </w:r>
      <w:r>
        <w:rPr>
          <w:rFonts w:ascii="宋体" w:hAnsi="宋体"/>
          <w:color w:val="auto"/>
          <w:kern w:val="0"/>
          <w:szCs w:val="21"/>
          <w:highlight w:val="none"/>
        </w:rPr>
        <w:t xml:space="preserve"> 资格评审标准：见评标办法前附表。</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2</w:t>
      </w:r>
      <w:r>
        <w:rPr>
          <w:rFonts w:ascii="宋体" w:hAnsi="宋体"/>
          <w:color w:val="auto"/>
          <w:kern w:val="0"/>
          <w:szCs w:val="21"/>
          <w:highlight w:val="none"/>
        </w:rPr>
        <w:t xml:space="preserve">  形式评审标准：见评标办法前附表。</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2.1.3  响应性评审标准：见评标办法前附表。</w:t>
      </w:r>
    </w:p>
    <w:p>
      <w:pPr>
        <w:pStyle w:val="5"/>
        <w:snapToGrid w:val="0"/>
        <w:spacing w:before="0" w:after="0" w:line="360" w:lineRule="auto"/>
        <w:rPr>
          <w:rFonts w:ascii="宋体" w:hAnsi="宋体"/>
          <w:bCs w:val="0"/>
          <w:snapToGrid w:val="0"/>
          <w:color w:val="auto"/>
          <w:sz w:val="24"/>
          <w:szCs w:val="24"/>
          <w:highlight w:val="none"/>
        </w:rPr>
      </w:pPr>
      <w:bookmarkStart w:id="701" w:name="_Toc509218779"/>
      <w:bookmarkStart w:id="702" w:name="_Toc430530503"/>
      <w:bookmarkStart w:id="703" w:name="_Toc287620754"/>
      <w:bookmarkStart w:id="704" w:name="_Toc287607815"/>
      <w:bookmarkStart w:id="705" w:name="_Toc224103387"/>
      <w:bookmarkStart w:id="706" w:name="_Toc200513201"/>
      <w:bookmarkStart w:id="707" w:name="_Toc277082621"/>
      <w:bookmarkStart w:id="708" w:name="_Toc639"/>
      <w:r>
        <w:rPr>
          <w:rFonts w:ascii="宋体" w:hAnsi="宋体"/>
          <w:bCs w:val="0"/>
          <w:snapToGrid w:val="0"/>
          <w:color w:val="auto"/>
          <w:sz w:val="24"/>
          <w:szCs w:val="24"/>
          <w:highlight w:val="none"/>
        </w:rPr>
        <w:t>2.2  分值构成与评分标准</w:t>
      </w:r>
      <w:bookmarkEnd w:id="701"/>
      <w:bookmarkEnd w:id="702"/>
      <w:bookmarkEnd w:id="703"/>
      <w:bookmarkEnd w:id="704"/>
      <w:bookmarkEnd w:id="705"/>
      <w:bookmarkEnd w:id="706"/>
      <w:bookmarkEnd w:id="707"/>
      <w:bookmarkEnd w:id="708"/>
    </w:p>
    <w:p>
      <w:pPr>
        <w:autoSpaceDE w:val="0"/>
        <w:autoSpaceDN w:val="0"/>
        <w:adjustRightInd w:val="0"/>
        <w:snapToGrid w:val="0"/>
        <w:spacing w:line="360" w:lineRule="auto"/>
        <w:ind w:firstLine="525" w:firstLineChars="250"/>
        <w:rPr>
          <w:rFonts w:ascii="宋体" w:hAnsi="宋体"/>
          <w:color w:val="auto"/>
          <w:kern w:val="0"/>
          <w:szCs w:val="21"/>
          <w:highlight w:val="none"/>
        </w:rPr>
      </w:pPr>
      <w:r>
        <w:rPr>
          <w:rFonts w:ascii="宋体" w:hAnsi="宋体"/>
          <w:color w:val="auto"/>
          <w:kern w:val="0"/>
          <w:szCs w:val="21"/>
          <w:highlight w:val="none"/>
        </w:rPr>
        <w:t>2.2.1  分值构成</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1</w:t>
      </w:r>
      <w:r>
        <w:rPr>
          <w:rFonts w:ascii="宋体" w:hAnsi="宋体"/>
          <w:color w:val="auto"/>
          <w:kern w:val="0"/>
          <w:szCs w:val="21"/>
          <w:highlight w:val="none"/>
        </w:rPr>
        <w:t>）技术</w:t>
      </w:r>
      <w:r>
        <w:rPr>
          <w:rFonts w:hint="eastAsia" w:ascii="宋体" w:hAnsi="宋体"/>
          <w:color w:val="auto"/>
          <w:kern w:val="0"/>
          <w:szCs w:val="21"/>
          <w:highlight w:val="none"/>
        </w:rPr>
        <w:t>部分</w:t>
      </w:r>
      <w:r>
        <w:rPr>
          <w:rFonts w:ascii="宋体" w:hAnsi="宋体"/>
          <w:color w:val="auto"/>
          <w:kern w:val="0"/>
          <w:szCs w:val="21"/>
          <w:highlight w:val="none"/>
        </w:rPr>
        <w:t>：见评标办法前附表</w:t>
      </w:r>
      <w:r>
        <w:rPr>
          <w:rFonts w:hint="eastAsia" w:ascii="宋体" w:hAnsi="宋体"/>
          <w:color w:val="auto"/>
          <w:kern w:val="0"/>
          <w:szCs w:val="21"/>
          <w:highlight w:val="none"/>
        </w:rPr>
        <w:t>。</w:t>
      </w:r>
    </w:p>
    <w:p>
      <w:pPr>
        <w:pStyle w:val="2"/>
        <w:rPr>
          <w:rFonts w:ascii="宋体" w:hAnsi="宋体"/>
          <w:color w:val="auto"/>
          <w:kern w:val="0"/>
          <w:szCs w:val="21"/>
          <w:highlight w:val="none"/>
        </w:rPr>
      </w:pPr>
      <w:r>
        <w:rPr>
          <w:rFonts w:hint="eastAsia" w:ascii="宋体" w:hAnsi="宋体"/>
          <w:color w:val="auto"/>
          <w:kern w:val="0"/>
          <w:szCs w:val="21"/>
          <w:highlight w:val="none"/>
          <w:lang w:val="en-US" w:eastAsia="zh-CN"/>
        </w:rPr>
        <w:t xml:space="preserve">    （2）商务部分：见评标办法前附表。</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3</w:t>
      </w:r>
      <w:r>
        <w:rPr>
          <w:rFonts w:ascii="宋体" w:hAnsi="宋体"/>
          <w:color w:val="auto"/>
          <w:kern w:val="0"/>
          <w:szCs w:val="21"/>
          <w:highlight w:val="none"/>
        </w:rPr>
        <w:t>）投标</w:t>
      </w:r>
      <w:r>
        <w:rPr>
          <w:rFonts w:hint="eastAsia" w:ascii="宋体" w:hAnsi="宋体"/>
          <w:color w:val="auto"/>
          <w:kern w:val="0"/>
          <w:szCs w:val="21"/>
          <w:highlight w:val="none"/>
        </w:rPr>
        <w:t>总</w:t>
      </w:r>
      <w:r>
        <w:rPr>
          <w:rFonts w:ascii="宋体" w:hAnsi="宋体"/>
          <w:color w:val="auto"/>
          <w:spacing w:val="-1"/>
          <w:kern w:val="0"/>
          <w:szCs w:val="21"/>
          <w:highlight w:val="none"/>
        </w:rPr>
        <w:t>报</w:t>
      </w:r>
      <w:r>
        <w:rPr>
          <w:rFonts w:ascii="宋体" w:hAnsi="宋体"/>
          <w:color w:val="auto"/>
          <w:kern w:val="0"/>
          <w:szCs w:val="21"/>
          <w:highlight w:val="none"/>
        </w:rPr>
        <w:t>价：见评标办法前附表</w:t>
      </w:r>
      <w:r>
        <w:rPr>
          <w:rFonts w:hint="eastAsia" w:ascii="宋体" w:hAnsi="宋体"/>
          <w:color w:val="auto"/>
          <w:kern w:val="0"/>
          <w:szCs w:val="21"/>
          <w:highlight w:val="none"/>
        </w:rPr>
        <w:t>。</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2  评审标准</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hint="eastAsia" w:ascii="宋体" w:hAnsi="宋体"/>
          <w:color w:val="auto"/>
          <w:kern w:val="0"/>
          <w:szCs w:val="21"/>
          <w:highlight w:val="none"/>
        </w:rPr>
        <w:t>（1）</w:t>
      </w:r>
      <w:r>
        <w:rPr>
          <w:rFonts w:ascii="宋体" w:hAnsi="宋体"/>
          <w:color w:val="auto"/>
          <w:kern w:val="0"/>
          <w:szCs w:val="21"/>
          <w:highlight w:val="none"/>
        </w:rPr>
        <w:t>技术</w:t>
      </w:r>
      <w:r>
        <w:rPr>
          <w:rFonts w:hint="eastAsia" w:ascii="宋体" w:hAnsi="宋体"/>
          <w:color w:val="auto"/>
          <w:kern w:val="0"/>
          <w:szCs w:val="21"/>
          <w:highlight w:val="none"/>
        </w:rPr>
        <w:t>部分</w:t>
      </w:r>
      <w:r>
        <w:rPr>
          <w:rFonts w:ascii="宋体" w:hAnsi="宋体"/>
          <w:color w:val="auto"/>
          <w:kern w:val="0"/>
          <w:szCs w:val="21"/>
          <w:highlight w:val="none"/>
        </w:rPr>
        <w:t>评分标准：见评标办法前附表；（对于施工难度大、专业技术复杂的项目，应由招标人会同设计单位提出技术方案编写要点，作为评分标准）。</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hint="eastAsia" w:ascii="宋体" w:hAnsi="宋体"/>
          <w:color w:val="auto"/>
          <w:kern w:val="0"/>
          <w:szCs w:val="21"/>
          <w:highlight w:val="none"/>
        </w:rPr>
        <w:t>（2）商务部分评分标准：见评标办法前附表。</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hint="eastAsia" w:ascii="宋体" w:hAnsi="宋体"/>
          <w:color w:val="auto"/>
          <w:kern w:val="0"/>
          <w:szCs w:val="21"/>
          <w:highlight w:val="none"/>
        </w:rPr>
        <w:t>（3）投标函部分及</w:t>
      </w:r>
      <w:r>
        <w:rPr>
          <w:rFonts w:hint="eastAsia" w:ascii="宋体" w:hAnsi="宋体"/>
          <w:color w:val="auto"/>
          <w:kern w:val="0"/>
          <w:szCs w:val="21"/>
          <w:highlight w:val="none"/>
          <w:lang w:eastAsia="zh-CN"/>
        </w:rPr>
        <w:t>报价部分</w:t>
      </w:r>
      <w:r>
        <w:rPr>
          <w:rFonts w:hint="eastAsia" w:ascii="宋体" w:hAnsi="宋体"/>
          <w:color w:val="auto"/>
          <w:kern w:val="0"/>
          <w:szCs w:val="21"/>
          <w:highlight w:val="none"/>
        </w:rPr>
        <w:t>评审标准：见评标办法前附表。</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3</w:t>
      </w:r>
      <w:r>
        <w:rPr>
          <w:rFonts w:ascii="宋体" w:hAnsi="宋体"/>
          <w:color w:val="auto"/>
          <w:kern w:val="0"/>
          <w:szCs w:val="21"/>
          <w:highlight w:val="none"/>
        </w:rPr>
        <w:t xml:space="preserve">  评标基准价计算</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评标基准价计算方法：见评标办法前附表。</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4</w:t>
      </w: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投标报价的偏差率计算</w:t>
      </w:r>
      <w:r>
        <w:rPr>
          <w:rFonts w:hint="eastAsia" w:ascii="宋体" w:hAnsi="宋体"/>
          <w:color w:val="auto"/>
          <w:kern w:val="0"/>
          <w:szCs w:val="21"/>
          <w:highlight w:val="none"/>
        </w:rPr>
        <w:t>和允许偏差范围</w:t>
      </w:r>
    </w:p>
    <w:p>
      <w:pPr>
        <w:autoSpaceDE w:val="0"/>
        <w:autoSpaceDN w:val="0"/>
        <w:adjustRightInd w:val="0"/>
        <w:snapToGrid w:val="0"/>
        <w:spacing w:line="360" w:lineRule="auto"/>
        <w:ind w:firstLine="630" w:firstLineChars="300"/>
        <w:rPr>
          <w:rFonts w:hint="eastAsia" w:ascii="宋体" w:hAnsi="宋体" w:eastAsia="宋体"/>
          <w:color w:val="auto"/>
          <w:kern w:val="0"/>
          <w:szCs w:val="21"/>
          <w:highlight w:val="none"/>
          <w:lang w:eastAsia="zh-CN"/>
        </w:rPr>
      </w:pPr>
      <w:r>
        <w:rPr>
          <w:rFonts w:ascii="宋体" w:hAnsi="宋体"/>
          <w:color w:val="auto"/>
          <w:kern w:val="0"/>
          <w:szCs w:val="21"/>
          <w:highlight w:val="none"/>
        </w:rPr>
        <w:t>投标报价的偏差率计算公式：见评标办法前附表</w:t>
      </w:r>
      <w:r>
        <w:rPr>
          <w:rFonts w:hint="eastAsia" w:ascii="宋体" w:hAnsi="宋体"/>
          <w:color w:val="auto"/>
          <w:kern w:val="0"/>
          <w:szCs w:val="21"/>
          <w:highlight w:val="none"/>
          <w:lang w:eastAsia="zh-CN"/>
        </w:rPr>
        <w:t>。</w:t>
      </w:r>
    </w:p>
    <w:p>
      <w:pPr>
        <w:pStyle w:val="4"/>
        <w:spacing w:before="0" w:after="0" w:line="360" w:lineRule="auto"/>
        <w:rPr>
          <w:rFonts w:ascii="宋体" w:hAnsi="宋体"/>
          <w:bCs w:val="0"/>
          <w:snapToGrid w:val="0"/>
          <w:color w:val="auto"/>
          <w:highlight w:val="none"/>
        </w:rPr>
      </w:pPr>
      <w:bookmarkStart w:id="709" w:name="_Toc287607816"/>
      <w:bookmarkStart w:id="710" w:name="_Toc200513202"/>
      <w:bookmarkStart w:id="711" w:name="_Toc2233"/>
      <w:bookmarkStart w:id="712" w:name="_Toc277082622"/>
      <w:bookmarkStart w:id="713" w:name="_Toc509218780"/>
      <w:bookmarkStart w:id="714" w:name="_Toc224103388"/>
      <w:bookmarkStart w:id="715" w:name="_Toc344"/>
      <w:bookmarkStart w:id="716" w:name="_Toc30414"/>
      <w:bookmarkStart w:id="717" w:name="_Toc8131"/>
      <w:bookmarkStart w:id="718" w:name="_Toc287620755"/>
      <w:bookmarkStart w:id="719" w:name="_Toc430530504"/>
      <w:r>
        <w:rPr>
          <w:rFonts w:ascii="宋体" w:hAnsi="宋体"/>
          <w:bCs w:val="0"/>
          <w:snapToGrid w:val="0"/>
          <w:color w:val="auto"/>
          <w:highlight w:val="none"/>
        </w:rPr>
        <w:t>3.  评标程序</w:t>
      </w:r>
      <w:bookmarkEnd w:id="709"/>
      <w:bookmarkEnd w:id="710"/>
      <w:bookmarkEnd w:id="711"/>
      <w:bookmarkEnd w:id="712"/>
      <w:bookmarkEnd w:id="713"/>
      <w:bookmarkEnd w:id="714"/>
      <w:bookmarkEnd w:id="715"/>
      <w:bookmarkEnd w:id="716"/>
      <w:bookmarkEnd w:id="717"/>
      <w:bookmarkEnd w:id="718"/>
      <w:bookmarkEnd w:id="719"/>
    </w:p>
    <w:p>
      <w:pPr>
        <w:pStyle w:val="5"/>
        <w:snapToGrid w:val="0"/>
        <w:spacing w:before="0" w:after="0" w:line="360" w:lineRule="auto"/>
        <w:rPr>
          <w:rFonts w:ascii="宋体" w:hAnsi="宋体"/>
          <w:bCs w:val="0"/>
          <w:snapToGrid w:val="0"/>
          <w:color w:val="auto"/>
          <w:sz w:val="24"/>
          <w:szCs w:val="24"/>
          <w:highlight w:val="none"/>
        </w:rPr>
      </w:pPr>
      <w:bookmarkStart w:id="720" w:name="_Toc509218781"/>
      <w:bookmarkStart w:id="721" w:name="_Toc15242"/>
      <w:bookmarkStart w:id="722" w:name="_Toc430530505"/>
      <w:bookmarkStart w:id="723" w:name="_Toc277082623"/>
      <w:bookmarkStart w:id="724" w:name="_Toc224103389"/>
      <w:bookmarkStart w:id="725" w:name="_Toc287607817"/>
      <w:bookmarkStart w:id="726" w:name="_Toc287620756"/>
      <w:bookmarkStart w:id="727" w:name="_Toc200513203"/>
      <w:r>
        <w:rPr>
          <w:rFonts w:ascii="宋体" w:hAnsi="宋体"/>
          <w:bCs w:val="0"/>
          <w:snapToGrid w:val="0"/>
          <w:color w:val="auto"/>
          <w:sz w:val="24"/>
          <w:szCs w:val="24"/>
          <w:highlight w:val="none"/>
        </w:rPr>
        <w:t>3.1  初步评审</w:t>
      </w:r>
      <w:bookmarkEnd w:id="720"/>
      <w:bookmarkEnd w:id="721"/>
      <w:bookmarkEnd w:id="722"/>
      <w:bookmarkEnd w:id="723"/>
      <w:bookmarkEnd w:id="724"/>
      <w:bookmarkEnd w:id="725"/>
      <w:bookmarkEnd w:id="726"/>
      <w:bookmarkEnd w:id="727"/>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3.1.1  评标委员会依据本章第 2.1 款规定的标准对投标文件进行初步评审。有一项不符合评审标准的，作否决投标处理。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3.1.2  投标人有以下情形之一的，其投标作否决投标处理：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1</w:t>
      </w:r>
      <w:r>
        <w:rPr>
          <w:rFonts w:ascii="宋体" w:hAnsi="宋体"/>
          <w:color w:val="auto"/>
          <w:kern w:val="0"/>
          <w:szCs w:val="21"/>
          <w:highlight w:val="none"/>
        </w:rPr>
        <w:t>）第二</w:t>
      </w:r>
      <w:r>
        <w:rPr>
          <w:rFonts w:ascii="宋体" w:hAnsi="宋体"/>
          <w:color w:val="auto"/>
          <w:spacing w:val="-1"/>
          <w:kern w:val="0"/>
          <w:szCs w:val="21"/>
          <w:highlight w:val="none"/>
        </w:rPr>
        <w:t>章</w:t>
      </w:r>
      <w:r>
        <w:rPr>
          <w:rFonts w:ascii="宋体" w:hAnsi="宋体"/>
          <w:color w:val="auto"/>
          <w:kern w:val="0"/>
          <w:szCs w:val="21"/>
          <w:highlight w:val="none"/>
        </w:rPr>
        <w:t>“投标人须知”第</w:t>
      </w:r>
      <w:r>
        <w:rPr>
          <w:rFonts w:ascii="宋体" w:hAnsi="宋体"/>
          <w:color w:val="auto"/>
          <w:spacing w:val="1"/>
          <w:kern w:val="0"/>
          <w:szCs w:val="21"/>
          <w:highlight w:val="none"/>
        </w:rPr>
        <w:t>1</w:t>
      </w:r>
      <w:r>
        <w:rPr>
          <w:rFonts w:ascii="宋体" w:hAnsi="宋体"/>
          <w:color w:val="auto"/>
          <w:spacing w:val="-1"/>
          <w:kern w:val="0"/>
          <w:szCs w:val="21"/>
          <w:highlight w:val="none"/>
        </w:rPr>
        <w:t>.</w:t>
      </w:r>
      <w:r>
        <w:rPr>
          <w:rFonts w:ascii="宋体" w:hAnsi="宋体"/>
          <w:color w:val="auto"/>
          <w:spacing w:val="1"/>
          <w:kern w:val="0"/>
          <w:szCs w:val="21"/>
          <w:highlight w:val="none"/>
        </w:rPr>
        <w:t>4</w:t>
      </w:r>
      <w:r>
        <w:rPr>
          <w:rFonts w:ascii="宋体" w:hAnsi="宋体"/>
          <w:color w:val="auto"/>
          <w:spacing w:val="-1"/>
          <w:kern w:val="0"/>
          <w:szCs w:val="21"/>
          <w:highlight w:val="none"/>
        </w:rPr>
        <w:t>.</w:t>
      </w:r>
      <w:r>
        <w:rPr>
          <w:rFonts w:ascii="宋体" w:hAnsi="宋体"/>
          <w:color w:val="auto"/>
          <w:kern w:val="0"/>
          <w:szCs w:val="21"/>
          <w:highlight w:val="none"/>
        </w:rPr>
        <w:t>3项规定的任何一种情形的；</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2</w:t>
      </w:r>
      <w:r>
        <w:rPr>
          <w:rFonts w:ascii="宋体" w:hAnsi="宋体"/>
          <w:color w:val="auto"/>
          <w:kern w:val="0"/>
          <w:szCs w:val="21"/>
          <w:highlight w:val="none"/>
        </w:rPr>
        <w:t>）</w:t>
      </w:r>
      <w:r>
        <w:rPr>
          <w:rFonts w:hint="eastAsia" w:ascii="宋体" w:hAnsi="宋体" w:cs="宋体"/>
          <w:color w:val="auto"/>
          <w:szCs w:val="21"/>
          <w:highlight w:val="none"/>
        </w:rPr>
        <w:t>本次投标有串通投标、弄虚作假等其他违反招投标相关法律、法规行为的</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3</w:t>
      </w:r>
      <w:r>
        <w:rPr>
          <w:rFonts w:ascii="宋体" w:hAnsi="宋体"/>
          <w:color w:val="auto"/>
          <w:kern w:val="0"/>
          <w:szCs w:val="21"/>
          <w:highlight w:val="none"/>
        </w:rPr>
        <w:t>）</w:t>
      </w:r>
      <w:r>
        <w:rPr>
          <w:rFonts w:hint="eastAsia" w:ascii="宋体" w:hAnsi="宋体"/>
          <w:color w:val="auto"/>
          <w:kern w:val="0"/>
          <w:szCs w:val="21"/>
          <w:highlight w:val="none"/>
        </w:rPr>
        <w:t>拒绝</w:t>
      </w:r>
      <w:r>
        <w:rPr>
          <w:rFonts w:ascii="宋体" w:hAnsi="宋体"/>
          <w:color w:val="auto"/>
          <w:kern w:val="0"/>
          <w:szCs w:val="21"/>
          <w:highlight w:val="none"/>
        </w:rPr>
        <w:t>按</w:t>
      </w:r>
      <w:r>
        <w:rPr>
          <w:rFonts w:ascii="宋体" w:hAnsi="宋体"/>
          <w:color w:val="auto"/>
          <w:spacing w:val="-1"/>
          <w:kern w:val="0"/>
          <w:szCs w:val="21"/>
          <w:highlight w:val="none"/>
        </w:rPr>
        <w:t>评</w:t>
      </w:r>
      <w:r>
        <w:rPr>
          <w:rFonts w:ascii="宋体" w:hAnsi="宋体"/>
          <w:color w:val="auto"/>
          <w:kern w:val="0"/>
          <w:szCs w:val="21"/>
          <w:highlight w:val="none"/>
        </w:rPr>
        <w:t>标委员会要求澄清、说明或补正的</w:t>
      </w:r>
      <w:r>
        <w:rPr>
          <w:rFonts w:hint="eastAsia"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3.1.3  投标报价有算术错误的，评标委员会按以下原则对投标报价进行修正，修正的价格经投标人书面确认后具有约束力</w:t>
      </w:r>
      <w:r>
        <w:rPr>
          <w:rFonts w:hint="eastAsia" w:ascii="宋体" w:hAnsi="宋体"/>
          <w:color w:val="auto"/>
          <w:kern w:val="0"/>
          <w:szCs w:val="21"/>
          <w:highlight w:val="none"/>
        </w:rPr>
        <w:t>，修正原则如下：</w:t>
      </w:r>
    </w:p>
    <w:p>
      <w:pPr>
        <w:autoSpaceDE w:val="0"/>
        <w:autoSpaceDN w:val="0"/>
        <w:adjustRightInd w:val="0"/>
        <w:snapToGrid w:val="0"/>
        <w:spacing w:line="360" w:lineRule="auto"/>
        <w:ind w:firstLine="420" w:firstLineChars="200"/>
        <w:rPr>
          <w:rFonts w:hint="eastAsia" w:ascii="宋体" w:hAnsi="宋体" w:eastAsia="宋体"/>
          <w:color w:val="auto"/>
          <w:kern w:val="0"/>
          <w:szCs w:val="21"/>
          <w:highlight w:val="none"/>
          <w:lang w:eastAsia="zh-CN"/>
        </w:rPr>
      </w:pPr>
      <w:r>
        <w:rPr>
          <w:rFonts w:ascii="宋体" w:hAnsi="宋体"/>
          <w:color w:val="auto"/>
          <w:kern w:val="0"/>
          <w:szCs w:val="21"/>
          <w:highlight w:val="none"/>
        </w:rPr>
        <w:t>（1）投标文件中的大写金额与小写金额不一致的，以大写金额为准</w:t>
      </w:r>
    </w:p>
    <w:p>
      <w:pPr>
        <w:pStyle w:val="5"/>
        <w:snapToGrid w:val="0"/>
        <w:spacing w:before="0" w:after="0" w:line="360" w:lineRule="auto"/>
        <w:rPr>
          <w:rFonts w:ascii="宋体" w:hAnsi="宋体"/>
          <w:bCs w:val="0"/>
          <w:snapToGrid w:val="0"/>
          <w:color w:val="auto"/>
          <w:sz w:val="24"/>
          <w:szCs w:val="24"/>
          <w:highlight w:val="none"/>
        </w:rPr>
      </w:pPr>
      <w:bookmarkStart w:id="728" w:name="_Toc24460"/>
      <w:bookmarkStart w:id="729" w:name="_Toc200513204"/>
      <w:bookmarkStart w:id="730" w:name="_Toc287620757"/>
      <w:bookmarkStart w:id="731" w:name="_Toc509218782"/>
      <w:bookmarkStart w:id="732" w:name="_Toc430530506"/>
      <w:bookmarkStart w:id="733" w:name="_Toc277082624"/>
      <w:bookmarkStart w:id="734" w:name="_Toc224103390"/>
      <w:bookmarkStart w:id="735" w:name="_Toc287607818"/>
      <w:r>
        <w:rPr>
          <w:rFonts w:ascii="宋体" w:hAnsi="宋体"/>
          <w:bCs w:val="0"/>
          <w:snapToGrid w:val="0"/>
          <w:color w:val="auto"/>
          <w:sz w:val="24"/>
          <w:szCs w:val="24"/>
          <w:highlight w:val="none"/>
        </w:rPr>
        <w:t>3.2  详细评审</w:t>
      </w:r>
      <w:bookmarkEnd w:id="728"/>
      <w:bookmarkEnd w:id="729"/>
      <w:bookmarkEnd w:id="730"/>
      <w:bookmarkEnd w:id="731"/>
      <w:bookmarkEnd w:id="732"/>
      <w:bookmarkEnd w:id="733"/>
      <w:bookmarkEnd w:id="734"/>
      <w:bookmarkEnd w:id="735"/>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3.2.1  评标委员会按本章第2.2款规定的量化因素和分值进行</w:t>
      </w:r>
      <w:r>
        <w:rPr>
          <w:rFonts w:hint="eastAsia" w:ascii="宋体" w:hAnsi="宋体"/>
          <w:color w:val="auto"/>
          <w:kern w:val="0"/>
          <w:szCs w:val="21"/>
          <w:highlight w:val="none"/>
        </w:rPr>
        <w:t>评分</w:t>
      </w:r>
      <w:r>
        <w:rPr>
          <w:rFonts w:ascii="宋体" w:hAnsi="宋体"/>
          <w:color w:val="auto"/>
          <w:kern w:val="0"/>
          <w:szCs w:val="21"/>
          <w:highlight w:val="none"/>
        </w:rPr>
        <w:t>，并计算出综合评估得分。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1</w:t>
      </w:r>
      <w:r>
        <w:rPr>
          <w:rFonts w:ascii="宋体" w:hAnsi="宋体"/>
          <w:color w:val="auto"/>
          <w:kern w:val="0"/>
          <w:szCs w:val="21"/>
          <w:highlight w:val="none"/>
        </w:rPr>
        <w:t>）按本章第3.2.1（</w:t>
      </w:r>
      <w:r>
        <w:rPr>
          <w:rFonts w:hint="eastAsia" w:ascii="宋体" w:hAnsi="宋体"/>
          <w:color w:val="auto"/>
          <w:kern w:val="0"/>
          <w:szCs w:val="21"/>
          <w:highlight w:val="none"/>
        </w:rPr>
        <w:t>1</w:t>
      </w:r>
      <w:r>
        <w:rPr>
          <w:rFonts w:ascii="宋体" w:hAnsi="宋体"/>
          <w:color w:val="auto"/>
          <w:kern w:val="0"/>
          <w:szCs w:val="21"/>
          <w:highlight w:val="none"/>
        </w:rPr>
        <w:t>）目规定的评审因素和分值对技术</w:t>
      </w:r>
      <w:r>
        <w:rPr>
          <w:rFonts w:hint="eastAsia" w:ascii="宋体" w:hAnsi="宋体"/>
          <w:color w:val="auto"/>
          <w:kern w:val="0"/>
          <w:szCs w:val="21"/>
          <w:highlight w:val="none"/>
        </w:rPr>
        <w:t>部分</w:t>
      </w:r>
      <w:r>
        <w:rPr>
          <w:rFonts w:ascii="宋体" w:hAnsi="宋体"/>
          <w:color w:val="auto"/>
          <w:kern w:val="0"/>
          <w:szCs w:val="21"/>
          <w:highlight w:val="none"/>
        </w:rPr>
        <w:t>计算出得分</w:t>
      </w:r>
      <w:r>
        <w:rPr>
          <w:rFonts w:hint="eastAsia" w:ascii="宋体" w:hAnsi="宋体"/>
          <w:color w:val="auto"/>
          <w:kern w:val="0"/>
          <w:szCs w:val="21"/>
          <w:highlight w:val="none"/>
        </w:rPr>
        <w:t>A（</w:t>
      </w:r>
      <w:r>
        <w:rPr>
          <w:rFonts w:ascii="宋体" w:hAnsi="宋体"/>
          <w:snapToGrid w:val="0"/>
          <w:color w:val="auto"/>
          <w:kern w:val="0"/>
          <w:szCs w:val="21"/>
          <w:highlight w:val="none"/>
        </w:rPr>
        <w:t>所有评委</w:t>
      </w:r>
      <w:r>
        <w:rPr>
          <w:rFonts w:hint="eastAsia" w:ascii="宋体" w:hAnsi="宋体"/>
          <w:snapToGrid w:val="0"/>
          <w:color w:val="auto"/>
          <w:kern w:val="0"/>
          <w:szCs w:val="21"/>
          <w:highlight w:val="none"/>
        </w:rPr>
        <w:t>评分</w:t>
      </w:r>
      <w:r>
        <w:rPr>
          <w:rFonts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rPr>
        <w:t>评分</w:t>
      </w:r>
      <w:r>
        <w:rPr>
          <w:rFonts w:ascii="宋体" w:hAnsi="宋体"/>
          <w:snapToGrid w:val="0"/>
          <w:color w:val="auto"/>
          <w:kern w:val="0"/>
          <w:szCs w:val="21"/>
          <w:highlight w:val="none"/>
        </w:rPr>
        <w:t>取算术平均值为该投标人技术</w:t>
      </w:r>
      <w:r>
        <w:rPr>
          <w:rFonts w:hint="eastAsia" w:ascii="宋体" w:hAnsi="宋体"/>
          <w:snapToGrid w:val="0"/>
          <w:color w:val="auto"/>
          <w:kern w:val="0"/>
          <w:szCs w:val="21"/>
          <w:highlight w:val="none"/>
        </w:rPr>
        <w:t>部分</w:t>
      </w:r>
      <w:r>
        <w:rPr>
          <w:rFonts w:ascii="宋体" w:hAnsi="宋体"/>
          <w:snapToGrid w:val="0"/>
          <w:color w:val="auto"/>
          <w:kern w:val="0"/>
          <w:szCs w:val="21"/>
          <w:highlight w:val="none"/>
        </w:rPr>
        <w:t>得分。</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2</w:t>
      </w:r>
      <w:r>
        <w:rPr>
          <w:rFonts w:ascii="宋体" w:hAnsi="宋体"/>
          <w:color w:val="auto"/>
          <w:kern w:val="0"/>
          <w:szCs w:val="21"/>
          <w:highlight w:val="none"/>
        </w:rPr>
        <w:t>）按本章第3.2.1（</w:t>
      </w:r>
      <w:r>
        <w:rPr>
          <w:rFonts w:hint="eastAsia" w:ascii="宋体" w:hAnsi="宋体"/>
          <w:color w:val="auto"/>
          <w:kern w:val="0"/>
          <w:szCs w:val="21"/>
          <w:highlight w:val="none"/>
        </w:rPr>
        <w:t>2</w:t>
      </w:r>
      <w:r>
        <w:rPr>
          <w:rFonts w:ascii="宋体" w:hAnsi="宋体"/>
          <w:color w:val="auto"/>
          <w:kern w:val="0"/>
          <w:szCs w:val="21"/>
          <w:highlight w:val="none"/>
        </w:rPr>
        <w:t>）目规定的评审因素和分值对</w:t>
      </w:r>
      <w:r>
        <w:rPr>
          <w:rFonts w:hint="eastAsia" w:ascii="宋体" w:hAnsi="宋体"/>
          <w:color w:val="auto"/>
          <w:kern w:val="0"/>
          <w:szCs w:val="21"/>
          <w:highlight w:val="none"/>
        </w:rPr>
        <w:t>投标人商务部分计算出</w:t>
      </w:r>
      <w:r>
        <w:rPr>
          <w:rFonts w:ascii="宋体" w:hAnsi="宋体"/>
          <w:color w:val="auto"/>
          <w:kern w:val="0"/>
          <w:szCs w:val="21"/>
          <w:highlight w:val="none"/>
        </w:rPr>
        <w:t>得分</w:t>
      </w:r>
      <w:r>
        <w:rPr>
          <w:rFonts w:hint="eastAsia" w:ascii="宋体" w:hAnsi="宋体"/>
          <w:color w:val="auto"/>
          <w:kern w:val="0"/>
          <w:szCs w:val="21"/>
          <w:highlight w:val="none"/>
        </w:rPr>
        <w:t>B。</w:t>
      </w:r>
    </w:p>
    <w:p>
      <w:pPr>
        <w:autoSpaceDE w:val="0"/>
        <w:autoSpaceDN w:val="0"/>
        <w:adjustRightInd w:val="0"/>
        <w:snapToGrid w:val="0"/>
        <w:spacing w:line="360" w:lineRule="auto"/>
        <w:ind w:firstLine="420" w:firstLineChars="200"/>
        <w:rPr>
          <w:color w:val="auto"/>
          <w:highlight w:val="none"/>
        </w:rPr>
      </w:pPr>
      <w:r>
        <w:rPr>
          <w:rFonts w:ascii="宋体" w:hAnsi="宋体"/>
          <w:color w:val="auto"/>
          <w:kern w:val="0"/>
          <w:szCs w:val="21"/>
          <w:highlight w:val="none"/>
        </w:rPr>
        <w:t>（</w:t>
      </w:r>
      <w:r>
        <w:rPr>
          <w:rFonts w:hint="eastAsia" w:ascii="宋体" w:hAnsi="宋体"/>
          <w:color w:val="auto"/>
          <w:kern w:val="0"/>
          <w:szCs w:val="21"/>
          <w:highlight w:val="none"/>
        </w:rPr>
        <w:t>3</w:t>
      </w:r>
      <w:r>
        <w:rPr>
          <w:rFonts w:ascii="宋体" w:hAnsi="宋体"/>
          <w:color w:val="auto"/>
          <w:kern w:val="0"/>
          <w:szCs w:val="21"/>
          <w:highlight w:val="none"/>
        </w:rPr>
        <w:t>）按本章第3.2.1（</w:t>
      </w:r>
      <w:r>
        <w:rPr>
          <w:rFonts w:hint="eastAsia" w:ascii="宋体" w:hAnsi="宋体"/>
          <w:color w:val="auto"/>
          <w:kern w:val="0"/>
          <w:szCs w:val="21"/>
          <w:highlight w:val="none"/>
        </w:rPr>
        <w:t>3</w:t>
      </w:r>
      <w:r>
        <w:rPr>
          <w:rFonts w:ascii="宋体" w:hAnsi="宋体"/>
          <w:color w:val="auto"/>
          <w:kern w:val="0"/>
          <w:szCs w:val="21"/>
          <w:highlight w:val="none"/>
        </w:rPr>
        <w:t>）目规定的评审因素和分值对投标总报价计算出得分</w:t>
      </w:r>
      <w:r>
        <w:rPr>
          <w:rFonts w:hint="eastAsia" w:ascii="宋体" w:hAnsi="宋体"/>
          <w:color w:val="auto"/>
          <w:kern w:val="0"/>
          <w:szCs w:val="21"/>
          <w:highlight w:val="none"/>
        </w:rPr>
        <w:t>C。</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3.2.2  各类评分分值的最终计算结果保留小数点后两位，小数点后第三位“四舍五入”。</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3.2.3  投标人得分=A+B</w:t>
      </w:r>
      <w:r>
        <w:rPr>
          <w:rFonts w:hint="eastAsia" w:ascii="宋体" w:hAnsi="宋体"/>
          <w:color w:val="auto"/>
          <w:kern w:val="0"/>
          <w:szCs w:val="21"/>
          <w:highlight w:val="none"/>
        </w:rPr>
        <w:t>+C。</w:t>
      </w:r>
    </w:p>
    <w:p>
      <w:pPr>
        <w:pStyle w:val="5"/>
        <w:snapToGrid w:val="0"/>
        <w:spacing w:before="0" w:after="0" w:line="360" w:lineRule="auto"/>
        <w:rPr>
          <w:rFonts w:ascii="宋体" w:hAnsi="宋体"/>
          <w:bCs w:val="0"/>
          <w:snapToGrid w:val="0"/>
          <w:color w:val="auto"/>
          <w:sz w:val="24"/>
          <w:szCs w:val="24"/>
          <w:highlight w:val="none"/>
        </w:rPr>
      </w:pPr>
      <w:bookmarkStart w:id="736" w:name="_Toc224103391"/>
      <w:bookmarkStart w:id="737" w:name="_Toc287620758"/>
      <w:bookmarkStart w:id="738" w:name="_Toc509218783"/>
      <w:bookmarkStart w:id="739" w:name="_Toc287607819"/>
      <w:bookmarkStart w:id="740" w:name="_Toc430530507"/>
      <w:bookmarkStart w:id="741" w:name="_Toc200513205"/>
      <w:bookmarkStart w:id="742" w:name="_Toc277082625"/>
      <w:bookmarkStart w:id="743" w:name="_Toc22359"/>
      <w:r>
        <w:rPr>
          <w:rFonts w:ascii="宋体" w:hAnsi="宋体"/>
          <w:bCs w:val="0"/>
          <w:snapToGrid w:val="0"/>
          <w:color w:val="auto"/>
          <w:sz w:val="24"/>
          <w:szCs w:val="24"/>
          <w:highlight w:val="none"/>
        </w:rPr>
        <w:t>3.3  投标文件的澄清和补正</w:t>
      </w:r>
      <w:bookmarkEnd w:id="736"/>
      <w:bookmarkEnd w:id="737"/>
      <w:bookmarkEnd w:id="738"/>
      <w:bookmarkEnd w:id="739"/>
      <w:bookmarkEnd w:id="740"/>
      <w:bookmarkEnd w:id="741"/>
      <w:bookmarkEnd w:id="742"/>
      <w:bookmarkEnd w:id="743"/>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3.3.2  澄清、说明和补正不得改变投标文件的实质性内容（算术性错误修正的除外）。投标人的书面澄清、说明和补正属于投标文件的组成部分。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3.3.3  评标委员会对投标人提交的澄清、说明或补正有疑问的，可以要求投标人进一步澄清、说明或补正，直至满足评标委员会的要求。</w:t>
      </w:r>
    </w:p>
    <w:p>
      <w:pPr>
        <w:pStyle w:val="5"/>
        <w:snapToGrid w:val="0"/>
        <w:spacing w:before="0" w:after="0" w:line="360" w:lineRule="auto"/>
        <w:rPr>
          <w:rFonts w:ascii="宋体" w:hAnsi="宋体"/>
          <w:bCs w:val="0"/>
          <w:snapToGrid w:val="0"/>
          <w:color w:val="auto"/>
          <w:sz w:val="24"/>
          <w:szCs w:val="24"/>
          <w:highlight w:val="none"/>
        </w:rPr>
      </w:pPr>
      <w:bookmarkStart w:id="744" w:name="_Toc287620759"/>
      <w:bookmarkStart w:id="745" w:name="_Toc277082626"/>
      <w:bookmarkStart w:id="746" w:name="_Toc14577"/>
      <w:bookmarkStart w:id="747" w:name="_Toc224103392"/>
      <w:bookmarkStart w:id="748" w:name="_Toc430530508"/>
      <w:bookmarkStart w:id="749" w:name="_Toc509218784"/>
      <w:bookmarkStart w:id="750" w:name="_Toc200513206"/>
      <w:bookmarkStart w:id="751" w:name="_Toc287607820"/>
      <w:r>
        <w:rPr>
          <w:rFonts w:ascii="宋体" w:hAnsi="宋体"/>
          <w:bCs w:val="0"/>
          <w:snapToGrid w:val="0"/>
          <w:color w:val="auto"/>
          <w:sz w:val="24"/>
          <w:szCs w:val="24"/>
          <w:highlight w:val="none"/>
        </w:rPr>
        <w:t>3.4  评标结果</w:t>
      </w:r>
      <w:bookmarkEnd w:id="744"/>
      <w:bookmarkEnd w:id="745"/>
      <w:bookmarkEnd w:id="746"/>
      <w:bookmarkEnd w:id="747"/>
      <w:bookmarkEnd w:id="748"/>
      <w:bookmarkEnd w:id="749"/>
      <w:bookmarkEnd w:id="750"/>
      <w:bookmarkEnd w:id="751"/>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 xml:space="preserve">.1 </w:t>
      </w:r>
      <w:r>
        <w:rPr>
          <w:rFonts w:ascii="宋体" w:hAnsi="宋体"/>
          <w:color w:val="auto"/>
          <w:spacing w:val="1"/>
          <w:kern w:val="0"/>
          <w:szCs w:val="21"/>
          <w:highlight w:val="none"/>
        </w:rPr>
        <w:t xml:space="preserve"> </w:t>
      </w:r>
      <w:r>
        <w:rPr>
          <w:rFonts w:ascii="宋体" w:hAnsi="宋体"/>
          <w:color w:val="auto"/>
          <w:kern w:val="0"/>
          <w:szCs w:val="21"/>
          <w:highlight w:val="none"/>
        </w:rPr>
        <w:t>除第二章“投标</w:t>
      </w:r>
      <w:r>
        <w:rPr>
          <w:rFonts w:ascii="宋体" w:hAnsi="宋体"/>
          <w:color w:val="auto"/>
          <w:spacing w:val="1"/>
          <w:kern w:val="0"/>
          <w:szCs w:val="21"/>
          <w:highlight w:val="none"/>
        </w:rPr>
        <w:t>人</w:t>
      </w:r>
      <w:r>
        <w:rPr>
          <w:rFonts w:ascii="宋体" w:hAnsi="宋体"/>
          <w:color w:val="auto"/>
          <w:kern w:val="0"/>
          <w:szCs w:val="21"/>
          <w:highlight w:val="none"/>
        </w:rPr>
        <w:t>须知”前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员会按照</w:t>
      </w:r>
      <w:r>
        <w:rPr>
          <w:rFonts w:ascii="宋体" w:hAnsi="宋体"/>
          <w:color w:val="auto"/>
          <w:spacing w:val="1"/>
          <w:kern w:val="0"/>
          <w:szCs w:val="21"/>
          <w:highlight w:val="none"/>
        </w:rPr>
        <w:t>得分</w:t>
      </w:r>
      <w:r>
        <w:rPr>
          <w:rFonts w:ascii="宋体" w:hAnsi="宋体"/>
          <w:color w:val="auto"/>
          <w:kern w:val="0"/>
          <w:szCs w:val="21"/>
          <w:highlight w:val="none"/>
        </w:rPr>
        <w:t>由高到低的顺序推荐中标候选人。</w:t>
      </w:r>
    </w:p>
    <w:p>
      <w:pPr>
        <w:autoSpaceDE w:val="0"/>
        <w:autoSpaceDN w:val="0"/>
        <w:adjustRightInd w:val="0"/>
        <w:snapToGrid w:val="0"/>
        <w:spacing w:line="360" w:lineRule="auto"/>
        <w:ind w:firstLine="424" w:firstLineChars="200"/>
        <w:rPr>
          <w:rFonts w:ascii="宋体" w:hAnsi="宋体"/>
          <w:color w:val="auto"/>
          <w:kern w:val="0"/>
          <w:szCs w:val="21"/>
          <w:highlight w:val="none"/>
        </w:rPr>
      </w:pPr>
      <w:r>
        <w:rPr>
          <w:rFonts w:ascii="宋体" w:hAnsi="宋体"/>
          <w:color w:val="auto"/>
          <w:spacing w:val="1"/>
          <w:kern w:val="0"/>
          <w:szCs w:val="21"/>
          <w:highlight w:val="none"/>
        </w:rPr>
        <w:t>3</w:t>
      </w:r>
      <w:r>
        <w:rPr>
          <w:rFonts w:ascii="宋体" w:hAnsi="宋体"/>
          <w:color w:val="auto"/>
          <w:kern w:val="0"/>
          <w:szCs w:val="21"/>
          <w:highlight w:val="none"/>
        </w:rPr>
        <w:t>.4.2  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p>
    <w:p>
      <w:pPr>
        <w:autoSpaceDE w:val="0"/>
        <w:autoSpaceDN w:val="0"/>
        <w:adjustRightInd w:val="0"/>
        <w:snapToGrid w:val="0"/>
        <w:spacing w:line="360" w:lineRule="auto"/>
        <w:ind w:firstLine="420" w:firstLineChars="200"/>
        <w:rPr>
          <w:rFonts w:ascii="宋体" w:hAnsi="宋体"/>
          <w:color w:val="auto"/>
          <w:kern w:val="0"/>
          <w:sz w:val="20"/>
          <w:szCs w:val="20"/>
          <w:highlight w:val="none"/>
        </w:rPr>
      </w:pPr>
      <w:r>
        <w:rPr>
          <w:rFonts w:hint="eastAsia" w:asciiTheme="minorEastAsia" w:hAnsiTheme="minorEastAsia" w:eastAsiaTheme="minorEastAsia"/>
          <w:color w:val="auto"/>
          <w:kern w:val="0"/>
          <w:szCs w:val="21"/>
          <w:highlight w:val="none"/>
          <w:lang w:val="en-US" w:eastAsia="zh-CN"/>
        </w:rPr>
        <w:t>3.4.3  有效投标不足三个的，应当对投标是否明显缺乏竞争和是否需要否决全部投标进行充分论证，并在评标报告中记载论证过程和结果。</w:t>
      </w:r>
    </w:p>
    <w:p>
      <w:pPr>
        <w:spacing w:line="360" w:lineRule="auto"/>
        <w:rPr>
          <w:rFonts w:ascii="宋体" w:hAnsi="宋体"/>
          <w:b/>
          <w:color w:val="auto"/>
          <w:szCs w:val="20"/>
          <w:highlight w:val="none"/>
        </w:rPr>
      </w:pPr>
      <w:r>
        <w:rPr>
          <w:rFonts w:ascii="宋体" w:hAnsi="宋体"/>
          <w:color w:val="auto"/>
          <w:kern w:val="0"/>
          <w:sz w:val="20"/>
          <w:szCs w:val="20"/>
          <w:highlight w:val="none"/>
        </w:rPr>
        <w:br w:type="page"/>
      </w:r>
    </w:p>
    <w:p>
      <w:pPr>
        <w:pStyle w:val="33"/>
        <w:spacing w:line="360" w:lineRule="auto"/>
        <w:rPr>
          <w:rFonts w:ascii="宋体" w:hAnsi="宋体"/>
          <w:b/>
          <w:color w:val="auto"/>
          <w:sz w:val="28"/>
          <w:szCs w:val="28"/>
          <w:highlight w:val="none"/>
          <w:u w:val="none"/>
          <w:lang w:eastAsia="zh-CN"/>
        </w:rPr>
      </w:pPr>
      <w:bookmarkStart w:id="752" w:name="招标文件04章合同条款及格式"/>
      <w:bookmarkEnd w:id="752"/>
      <w:bookmarkStart w:id="753" w:name="招标文件03章02评标办法综合评估法02附件02"/>
      <w:bookmarkEnd w:id="753"/>
      <w:bookmarkStart w:id="754" w:name="_Toc230410480"/>
      <w:bookmarkStart w:id="755" w:name="_Toc277082627"/>
      <w:r>
        <w:rPr>
          <w:rFonts w:ascii="宋体" w:hAnsi="宋体"/>
          <w:b/>
          <w:color w:val="auto"/>
          <w:sz w:val="28"/>
          <w:szCs w:val="28"/>
          <w:highlight w:val="none"/>
          <w:u w:val="none"/>
          <w:lang w:eastAsia="zh-CN"/>
        </w:rPr>
        <w:t>附件A：综合评估法否决投标情况一览表</w:t>
      </w:r>
      <w:bookmarkEnd w:id="754"/>
    </w:p>
    <w:bookmarkEnd w:id="755"/>
    <w:p>
      <w:pPr>
        <w:pStyle w:val="33"/>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r>
        <w:rPr>
          <w:rFonts w:ascii="宋体" w:hAnsi="宋体"/>
          <w:color w:val="auto"/>
          <w:sz w:val="21"/>
          <w:szCs w:val="21"/>
          <w:highlight w:val="none"/>
          <w:u w:val="none"/>
          <w:lang w:eastAsia="zh-CN"/>
        </w:rPr>
        <w:t>。</w:t>
      </w:r>
    </w:p>
    <w:tbl>
      <w:tblPr>
        <w:tblStyle w:val="45"/>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章节号</w:t>
            </w:r>
          </w:p>
        </w:tc>
        <w:tc>
          <w:tcPr>
            <w:tcW w:w="1899"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6333"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第三章</w:t>
            </w:r>
          </w:p>
        </w:tc>
        <w:tc>
          <w:tcPr>
            <w:tcW w:w="189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A-1投标人的资质条件、营业执照及安全生产条件须满足投标人须知前附表1.4.1项的要求，否则由评标委员会作否决投标处理。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A-5投标人的项目经理资格须满足投标人须知前附表第1.4.1项的要求，否则由评标委员会作否决投标处理。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A-7若有联合体投标人，则：</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（1）联合体各方应按照招标文件提供的格式签订</w:t>
            </w:r>
            <w:r>
              <w:rPr>
                <w:rFonts w:hint="eastAsia" w:ascii="宋体" w:hAnsi="宋体"/>
                <w:color w:val="auto"/>
                <w:szCs w:val="21"/>
                <w:highlight w:val="none"/>
                <w:lang w:eastAsia="zh-CN"/>
              </w:rPr>
              <w:t>共同投标协议</w:t>
            </w:r>
            <w:r>
              <w:rPr>
                <w:rFonts w:hint="eastAsia" w:ascii="宋体" w:hAnsi="宋体"/>
                <w:color w:val="auto"/>
                <w:szCs w:val="21"/>
                <w:highlight w:val="none"/>
              </w:rPr>
              <w:t>，明确联合体牵头人和各方权利义务；</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（2）联合体各方均应当具备承担招标项目的相应能力，</w:t>
            </w:r>
            <w:r>
              <w:rPr>
                <w:rFonts w:hint="eastAsia" w:ascii="宋体" w:hAnsi="宋体"/>
                <w:color w:val="auto"/>
                <w:szCs w:val="21"/>
                <w:highlight w:val="none"/>
                <w:lang w:eastAsia="zh-CN"/>
              </w:rPr>
              <w:t>共同投标协议</w:t>
            </w:r>
            <w:r>
              <w:rPr>
                <w:rFonts w:hint="eastAsia" w:ascii="宋体" w:hAnsi="宋体"/>
                <w:color w:val="auto"/>
                <w:szCs w:val="21"/>
                <w:highlight w:val="none"/>
              </w:rPr>
              <w:t>约定同一专业分工由两个及以上单位共同承担的，按照资质等级较低的单位确定资质等级；</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（3）联合体各方不得再以自己名义单独或参加其他联合体在同一标段中投标。</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A-8投标人名称必须与营业执照、资质证书、安全生产许可证一致，</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A-9投标文件格式（不含投标函部分）符合第二章“投标人须知”第3.7款的要求，否则由评标委员会作否决投标处理。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编制投标文件时不得对第八章“投标文件格式”的相应要素作实质性修改，否则视为重大偏差，由评标委员会作否决投标处理。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A-10联合体参与投标的应提交</w:t>
            </w:r>
            <w:r>
              <w:rPr>
                <w:rFonts w:hint="eastAsia" w:ascii="宋体" w:hAnsi="宋体"/>
                <w:color w:val="auto"/>
                <w:szCs w:val="21"/>
                <w:highlight w:val="none"/>
                <w:lang w:eastAsia="zh-CN"/>
              </w:rPr>
              <w:t>共同投标协议</w:t>
            </w:r>
            <w:r>
              <w:rPr>
                <w:rFonts w:hint="eastAsia" w:ascii="宋体" w:hAnsi="宋体"/>
                <w:color w:val="auto"/>
                <w:szCs w:val="21"/>
                <w:highlight w:val="none"/>
              </w:rPr>
              <w:t>，并明确联合体牵头人。在</w:t>
            </w:r>
            <w:r>
              <w:rPr>
                <w:rFonts w:hint="eastAsia" w:ascii="宋体" w:hAnsi="宋体"/>
                <w:color w:val="auto"/>
                <w:szCs w:val="21"/>
                <w:highlight w:val="none"/>
                <w:lang w:eastAsia="zh-CN"/>
              </w:rPr>
              <w:t>共同投标协议</w:t>
            </w:r>
            <w:r>
              <w:rPr>
                <w:rFonts w:hint="eastAsia" w:ascii="宋体" w:hAnsi="宋体"/>
                <w:color w:val="auto"/>
                <w:szCs w:val="21"/>
                <w:highlight w:val="none"/>
              </w:rPr>
              <w:t>第5条联合体各成员单位内部的职责分工中填写的联合体所有成员单位名称应与其营业执照、资质证书、安全生产许可证一致，否则由评标委员会作否决投标处理。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A-11第八章 投标文件格式（不含投标函部分）要求法定代表人</w:t>
            </w:r>
            <w:r>
              <w:rPr>
                <w:rFonts w:hint="eastAsia" w:ascii="宋体" w:hAnsi="宋体"/>
                <w:color w:val="auto"/>
                <w:szCs w:val="21"/>
                <w:highlight w:val="none"/>
                <w:lang w:eastAsia="zh-CN"/>
              </w:rPr>
              <w:t>（或其委托代理人）</w:t>
            </w:r>
            <w:r>
              <w:rPr>
                <w:rFonts w:hint="eastAsia" w:ascii="宋体" w:hAnsi="宋体"/>
                <w:color w:val="auto"/>
                <w:szCs w:val="21"/>
                <w:highlight w:val="none"/>
              </w:rPr>
              <w:t>签名（或盖章）的须齐全，要求签名的，</w:t>
            </w:r>
            <w:r>
              <w:rPr>
                <w:rFonts w:hint="eastAsia" w:ascii="宋体" w:hAnsi="宋体"/>
                <w:color w:val="auto"/>
                <w:kern w:val="0"/>
                <w:highlight w:val="none"/>
              </w:rPr>
              <w:t>签名采用手写签名或签章或加盖CA数字证书均可，</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中各联合体成员单位签名（或盖章）须齐全，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以外的投标文件格式中，要求法定代表人</w:t>
            </w:r>
            <w:r>
              <w:rPr>
                <w:rFonts w:hint="eastAsia" w:ascii="宋体" w:hAnsi="宋体"/>
                <w:color w:val="auto"/>
                <w:szCs w:val="21"/>
                <w:highlight w:val="none"/>
                <w:lang w:eastAsia="zh-CN"/>
              </w:rPr>
              <w:t>（或其委托代理人）</w:t>
            </w:r>
            <w:r>
              <w:rPr>
                <w:rFonts w:hint="eastAsia" w:ascii="宋体" w:hAnsi="宋体"/>
                <w:color w:val="auto"/>
                <w:szCs w:val="21"/>
                <w:highlight w:val="none"/>
              </w:rPr>
              <w:t>签名（或盖章）的均由联合体牵头人法定代表人</w:t>
            </w:r>
            <w:r>
              <w:rPr>
                <w:rFonts w:hint="eastAsia" w:ascii="宋体" w:hAnsi="宋体"/>
                <w:color w:val="auto"/>
                <w:szCs w:val="21"/>
                <w:highlight w:val="none"/>
                <w:lang w:eastAsia="zh-CN"/>
              </w:rPr>
              <w:t>（或其委托代理人）</w:t>
            </w:r>
            <w:r>
              <w:rPr>
                <w:rFonts w:hint="eastAsia" w:ascii="宋体" w:hAnsi="宋体"/>
                <w:color w:val="auto"/>
                <w:szCs w:val="21"/>
                <w:highlight w:val="none"/>
              </w:rPr>
              <w:t>签名（或盖章），否则由评标委员会作否决投标处理。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第八章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中要求各联合体成员盖单位法人章的，各联合体成员盖章须齐全，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A-12投标人法定代表人的委托代理人有法定代表人签署的授权委托书和投标人为其缴纳的养老保险证明材料，否则由评标委员会作否决投标处理。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A-15符合第四章“合同条款及格式”规定，投标文件不应附有招标人不能接受的条件。否则由评标委员会作否决投标处理。（由投标人承诺，承诺书格式详见第八章投标文件格式。）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A-16符合第七章“技术标准和要求”规定。否则由评标委员会作否决投标处理（如有）。（由投标人承诺，承诺书格式详见第八章投标文件格式。）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A-17投标人有以下情形之一的，其投标文件由评标委员会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投标函部分及</w:t>
            </w:r>
            <w:r>
              <w:rPr>
                <w:rFonts w:hint="eastAsia" w:ascii="宋体" w:hAnsi="宋体"/>
                <w:color w:val="auto"/>
                <w:szCs w:val="21"/>
                <w:highlight w:val="none"/>
                <w:lang w:eastAsia="zh-CN"/>
              </w:rPr>
              <w:t>报价部分</w:t>
            </w:r>
            <w:r>
              <w:rPr>
                <w:rFonts w:hint="eastAsia" w:ascii="宋体" w:hAnsi="宋体"/>
                <w:color w:val="auto"/>
                <w:szCs w:val="21"/>
                <w:highlight w:val="none"/>
              </w:rPr>
              <w:t>评审</w:t>
            </w: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A-18</w:t>
            </w:r>
            <w:r>
              <w:rPr>
                <w:rFonts w:hint="eastAsia" w:ascii="宋体" w:hAnsi="宋体" w:cs="宋体"/>
                <w:color w:val="auto"/>
                <w:kern w:val="0"/>
                <w:highlight w:val="none"/>
              </w:rPr>
              <w:t>投标函部分的格式要求法定代表人</w:t>
            </w:r>
            <w:r>
              <w:rPr>
                <w:rFonts w:hint="eastAsia" w:ascii="宋体" w:hAnsi="宋体" w:cs="宋体"/>
                <w:color w:val="auto"/>
                <w:kern w:val="0"/>
                <w:highlight w:val="none"/>
                <w:lang w:eastAsia="zh-CN"/>
              </w:rPr>
              <w:t>（或其委托代理人）</w:t>
            </w:r>
            <w:r>
              <w:rPr>
                <w:rFonts w:hint="eastAsia" w:ascii="宋体" w:hAnsi="宋体" w:cs="宋体"/>
                <w:color w:val="auto"/>
                <w:kern w:val="0"/>
                <w:highlight w:val="none"/>
              </w:rPr>
              <w:t>签名（或盖章）的须齐全，</w:t>
            </w:r>
            <w:r>
              <w:rPr>
                <w:rFonts w:hint="eastAsia" w:ascii="宋体" w:hAnsi="宋体"/>
                <w:color w:val="auto"/>
                <w:szCs w:val="21"/>
                <w:highlight w:val="none"/>
              </w:rPr>
              <w:t>要求签名的，</w:t>
            </w:r>
            <w:r>
              <w:rPr>
                <w:rFonts w:hint="eastAsia" w:ascii="宋体" w:hAnsi="宋体"/>
                <w:color w:val="auto"/>
                <w:kern w:val="0"/>
                <w:highlight w:val="none"/>
              </w:rPr>
              <w:t>签名采用手写签名或签章或加盖CA数字证书均可，</w:t>
            </w:r>
            <w:r>
              <w:rPr>
                <w:rFonts w:hint="eastAsia" w:ascii="宋体" w:hAnsi="宋体" w:cs="宋体"/>
                <w:color w:val="auto"/>
                <w:kern w:val="0"/>
                <w:highlight w:val="none"/>
              </w:rPr>
              <w:t>要求加盖单位法人章的，应使用 CA 数字证书加盖投标人的单位电子印章</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A-19工期符合第二章“投标人须知”第1.3.2项规定，否则由评标委员会作否决投标处理。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A-20工程质量符合第二章“投标人须知”第1.3.3项规定，否则由评标委员会作否决投标处理。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A-21投标有效期符合第二章“投标人须知”第3.3.1项规定，否则由评标委员会作否决投标处理。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napToGrid w:val="0"/>
              <w:spacing w:line="320" w:lineRule="exact"/>
              <w:ind w:firstLine="420" w:firstLineChars="200"/>
              <w:rPr>
                <w:rFonts w:ascii="宋体" w:hAnsi="宋体"/>
                <w:i/>
                <w:color w:val="auto"/>
                <w:szCs w:val="21"/>
                <w:highlight w:val="none"/>
              </w:rPr>
            </w:pPr>
            <w:r>
              <w:rPr>
                <w:rFonts w:hint="eastAsia" w:ascii="宋体" w:hAnsi="宋体"/>
                <w:color w:val="auto"/>
                <w:szCs w:val="21"/>
                <w:highlight w:val="none"/>
              </w:rPr>
              <w:t>A-22. 投标函中的总报价必须与已标价工程量清单总报价一致，否则由评标委员会作否决投标处理。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napToGrid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A-23投标人的投标总报价不得超过投标总报价最高限价，否则由评标委员会作否决投标处理。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napToGrid w:val="0"/>
              <w:spacing w:line="320" w:lineRule="exact"/>
              <w:ind w:firstLine="420" w:firstLineChars="200"/>
              <w:rPr>
                <w:rFonts w:hint="eastAsia" w:ascii="宋体" w:hAnsi="宋体"/>
                <w:color w:val="auto"/>
                <w:szCs w:val="21"/>
                <w:highlight w:val="none"/>
              </w:rPr>
            </w:pPr>
            <w:r>
              <w:rPr>
                <w:rFonts w:hint="eastAsia" w:ascii="宋体" w:hAnsi="宋体"/>
                <w:szCs w:val="21"/>
              </w:rPr>
              <w:t>A-</w:t>
            </w:r>
            <w:r>
              <w:rPr>
                <w:rFonts w:hint="eastAsia" w:ascii="宋体" w:hAnsi="宋体"/>
                <w:szCs w:val="21"/>
                <w:lang w:val="en-US" w:eastAsia="zh-CN"/>
              </w:rPr>
              <w:t>24</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r>
              <w:rPr>
                <w:rFonts w:hint="eastAsia" w:ascii="宋体" w:hAnsi="宋体"/>
                <w:szCs w:val="21"/>
              </w:rPr>
              <w:t>否则由评标委员会作否决投标处理</w:t>
            </w:r>
            <w:r>
              <w:rPr>
                <w:rFonts w:hint="eastAsia" w:ascii="宋体" w:hAnsi="宋体"/>
                <w:szCs w:val="21"/>
                <w:lang w:eastAsia="zh-CN"/>
              </w:rPr>
              <w:t>（</w:t>
            </w:r>
            <w:r>
              <w:rPr>
                <w:rFonts w:hint="eastAsia" w:ascii="宋体" w:hAnsi="宋体"/>
                <w:szCs w:val="21"/>
                <w:lang w:val="en-US" w:eastAsia="zh-CN"/>
              </w:rPr>
              <w:t>如有</w:t>
            </w:r>
            <w:r>
              <w:rPr>
                <w:rFonts w:hint="eastAsia" w:ascii="宋体" w:hAnsi="宋体"/>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25</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26</w:t>
            </w:r>
            <w:r>
              <w:rPr>
                <w:rFonts w:hint="eastAsia" w:ascii="宋体" w:hAnsi="宋体"/>
                <w:color w:val="auto"/>
                <w:kern w:val="0"/>
                <w:highlight w:val="none"/>
              </w:rPr>
              <w:t>暂定金额（暂列金）、暂估价等暂定金额必须按照招标文件给定的金额填报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27</w:t>
            </w:r>
            <w:r>
              <w:rPr>
                <w:rFonts w:hint="eastAsia" w:ascii="宋体" w:hAnsi="宋体"/>
                <w:color w:val="auto"/>
                <w:szCs w:val="21"/>
                <w:highlight w:val="none"/>
              </w:rPr>
              <w:t>投标人承诺已标价工程量清单满足第二章“投标人须知前附表”第3.2款第12条要求，如有差错则按第二章“投标人须知前附表”第3.2款第11条要求原则进行处理（或结算），承诺书格式详见第八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28</w:t>
            </w:r>
            <w:r>
              <w:rPr>
                <w:rFonts w:hint="eastAsia" w:ascii="宋体" w:hAnsi="宋体"/>
                <w:color w:val="auto"/>
                <w:szCs w:val="21"/>
                <w:highlight w:val="none"/>
              </w:rPr>
              <w:t>投标报价有算术错误的，按照第三章3.评标程序第3.1.3项规定执行，否则由评标委员会作否决投标处理。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48" w:hRule="atLeast"/>
          <w:jc w:val="center"/>
        </w:trPr>
        <w:tc>
          <w:tcPr>
            <w:tcW w:w="1237" w:type="dxa"/>
            <w:vAlign w:val="center"/>
          </w:tcPr>
          <w:p>
            <w:pPr>
              <w:spacing w:line="400" w:lineRule="exact"/>
              <w:jc w:val="center"/>
              <w:rPr>
                <w:rFonts w:ascii="宋体" w:hAnsi="宋体"/>
                <w:color w:val="auto"/>
                <w:szCs w:val="21"/>
                <w:highlight w:val="none"/>
              </w:rPr>
            </w:pPr>
            <w:r>
              <w:rPr>
                <w:rFonts w:ascii="宋体" w:hAnsi="宋体"/>
                <w:color w:val="auto"/>
                <w:szCs w:val="21"/>
                <w:highlight w:val="none"/>
              </w:rPr>
              <w:t>其他</w:t>
            </w:r>
          </w:p>
        </w:tc>
        <w:tc>
          <w:tcPr>
            <w:tcW w:w="1899" w:type="dxa"/>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pStyle w:val="33"/>
        <w:spacing w:line="360" w:lineRule="auto"/>
        <w:jc w:val="both"/>
        <w:rPr>
          <w:rFonts w:ascii="宋体" w:hAnsi="宋体"/>
          <w:color w:val="auto"/>
          <w:sz w:val="21"/>
          <w:szCs w:val="21"/>
          <w:highlight w:val="none"/>
          <w:u w:val="none"/>
          <w:lang w:eastAsia="zh-CN"/>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before="340" w:after="330" w:line="360" w:lineRule="auto"/>
        <w:jc w:val="left"/>
        <w:rPr>
          <w:rFonts w:ascii="宋体" w:hAnsi="宋体"/>
          <w:color w:val="auto"/>
          <w:kern w:val="0"/>
          <w:highlight w:val="none"/>
        </w:rPr>
      </w:pPr>
      <w:r>
        <w:rPr>
          <w:rFonts w:ascii="宋体" w:hAnsi="宋体"/>
          <w:color w:val="auto"/>
          <w:kern w:val="0"/>
          <w:highlight w:val="none"/>
        </w:rPr>
        <w:br w:type="page"/>
      </w:r>
    </w:p>
    <w:p>
      <w:pPr>
        <w:pStyle w:val="3"/>
        <w:spacing w:line="360" w:lineRule="auto"/>
        <w:jc w:val="center"/>
        <w:rPr>
          <w:rFonts w:ascii="宋体" w:hAnsi="宋体"/>
          <w:snapToGrid w:val="0"/>
          <w:color w:val="auto"/>
          <w:kern w:val="0"/>
          <w:highlight w:val="none"/>
        </w:rPr>
      </w:pPr>
      <w:bookmarkStart w:id="756" w:name="_Toc28249"/>
      <w:bookmarkStart w:id="757" w:name="_Toc30357"/>
      <w:bookmarkStart w:id="758" w:name="_Toc1281"/>
      <w:bookmarkStart w:id="759" w:name="_Toc7143"/>
      <w:r>
        <w:rPr>
          <w:rFonts w:ascii="宋体" w:hAnsi="宋体"/>
          <w:snapToGrid w:val="0"/>
          <w:color w:val="auto"/>
          <w:kern w:val="0"/>
          <w:highlight w:val="none"/>
        </w:rPr>
        <w:t xml:space="preserve">第三章 </w:t>
      </w:r>
      <w:r>
        <w:rPr>
          <w:rFonts w:hint="eastAsia" w:ascii="宋体" w:hAnsi="宋体"/>
          <w:snapToGrid w:val="0"/>
          <w:color w:val="auto"/>
          <w:kern w:val="0"/>
          <w:highlight w:val="none"/>
        </w:rPr>
        <w:t xml:space="preserve"> </w:t>
      </w:r>
      <w:r>
        <w:rPr>
          <w:rFonts w:ascii="宋体" w:hAnsi="宋体"/>
          <w:snapToGrid w:val="0"/>
          <w:color w:val="auto"/>
          <w:kern w:val="0"/>
          <w:highlight w:val="none"/>
        </w:rPr>
        <w:t>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bookmarkEnd w:id="756"/>
      <w:bookmarkEnd w:id="757"/>
      <w:bookmarkEnd w:id="758"/>
      <w:bookmarkEnd w:id="759"/>
    </w:p>
    <w:p>
      <w:pPr>
        <w:keepNext/>
        <w:keepLines/>
        <w:spacing w:before="100" w:after="100" w:line="360" w:lineRule="auto"/>
        <w:outlineLvl w:val="1"/>
        <w:rPr>
          <w:rFonts w:ascii="宋体" w:hAnsi="宋体"/>
          <w:b/>
          <w:color w:val="auto"/>
          <w:sz w:val="32"/>
          <w:szCs w:val="32"/>
          <w:highlight w:val="none"/>
        </w:rPr>
      </w:pPr>
      <w:bookmarkStart w:id="760" w:name="_Toc24549"/>
      <w:bookmarkStart w:id="761" w:name="_Toc3261"/>
      <w:bookmarkStart w:id="762" w:name="_Toc22902"/>
      <w:bookmarkStart w:id="763" w:name="_Toc29605"/>
      <w:r>
        <w:rPr>
          <w:rFonts w:hint="eastAsia" w:ascii="宋体" w:hAnsi="宋体"/>
          <w:b/>
          <w:color w:val="auto"/>
          <w:sz w:val="32"/>
          <w:szCs w:val="32"/>
          <w:highlight w:val="none"/>
        </w:rPr>
        <w:t>评标办法前附表</w:t>
      </w:r>
      <w:bookmarkEnd w:id="760"/>
      <w:bookmarkEnd w:id="761"/>
      <w:bookmarkEnd w:id="762"/>
      <w:bookmarkEnd w:id="763"/>
    </w:p>
    <w:p>
      <w:pPr>
        <w:spacing w:line="400" w:lineRule="exact"/>
        <w:ind w:firstLine="427" w:firstLineChars="196"/>
        <w:rPr>
          <w:rFonts w:ascii="宋体" w:hAnsi="宋体"/>
          <w:color w:val="auto"/>
          <w:spacing w:val="4"/>
          <w:kern w:val="0"/>
          <w:szCs w:val="21"/>
          <w:highlight w:val="none"/>
        </w:rPr>
      </w:pPr>
      <w:bookmarkStart w:id="764" w:name="_Toc13210726"/>
      <w:r>
        <w:rPr>
          <w:rFonts w:ascii="宋体" w:hAnsi="宋体"/>
          <w:color w:val="auto"/>
          <w:spacing w:val="4"/>
          <w:kern w:val="0"/>
          <w:szCs w:val="21"/>
          <w:highlight w:val="none"/>
        </w:rPr>
        <w:t>评标办法中的评审内容必须和投标人须知中的对应内容一致，若投标人须知中未作要求的内容，不得列入评标办法作为评定依据。</w:t>
      </w:r>
      <w:bookmarkEnd w:id="764"/>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条款号</w:t>
            </w:r>
          </w:p>
        </w:tc>
        <w:tc>
          <w:tcPr>
            <w:tcW w:w="1560" w:type="dxa"/>
            <w:tcBorders>
              <w:lef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6882" w:type="dxa"/>
            <w:gridSpan w:val="2"/>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106"/>
              <w:spacing w:line="400" w:lineRule="exact"/>
              <w:ind w:firstLine="412"/>
              <w:rPr>
                <w:color w:val="auto"/>
                <w:sz w:val="21"/>
                <w:szCs w:val="21"/>
                <w:highlight w:val="none"/>
              </w:rPr>
            </w:pPr>
            <w:r>
              <w:rPr>
                <w:color w:val="auto"/>
                <w:sz w:val="21"/>
                <w:szCs w:val="21"/>
                <w:highlight w:val="none"/>
              </w:rPr>
              <w:t>1</w:t>
            </w:r>
          </w:p>
        </w:tc>
        <w:tc>
          <w:tcPr>
            <w:tcW w:w="1560" w:type="dxa"/>
            <w:tcBorders>
              <w:left w:val="single" w:color="auto" w:sz="4" w:space="0"/>
            </w:tcBorders>
            <w:vAlign w:val="center"/>
          </w:tcPr>
          <w:p>
            <w:pPr>
              <w:pStyle w:val="106"/>
              <w:spacing w:line="400" w:lineRule="exact"/>
              <w:ind w:firstLine="0" w:firstLineChars="0"/>
              <w:jc w:val="center"/>
              <w:rPr>
                <w:color w:val="auto"/>
                <w:sz w:val="21"/>
                <w:szCs w:val="21"/>
                <w:highlight w:val="none"/>
              </w:rPr>
            </w:pPr>
            <w:r>
              <w:rPr>
                <w:rFonts w:hint="eastAsia"/>
                <w:color w:val="auto"/>
                <w:sz w:val="21"/>
                <w:szCs w:val="21"/>
                <w:highlight w:val="none"/>
              </w:rPr>
              <w:t>评标办法</w:t>
            </w:r>
          </w:p>
        </w:tc>
        <w:tc>
          <w:tcPr>
            <w:tcW w:w="6882" w:type="dxa"/>
            <w:gridSpan w:val="2"/>
            <w:vAlign w:val="center"/>
          </w:tcPr>
          <w:p>
            <w:pPr>
              <w:spacing w:line="400" w:lineRule="exact"/>
              <w:ind w:firstLine="427" w:firstLineChars="196"/>
              <w:rPr>
                <w:rFonts w:ascii="宋体" w:hAnsi="宋体"/>
                <w:color w:val="auto"/>
                <w:spacing w:val="4"/>
                <w:kern w:val="0"/>
                <w:szCs w:val="21"/>
                <w:highlight w:val="none"/>
              </w:rPr>
            </w:pPr>
            <w:r>
              <w:rPr>
                <w:rFonts w:hint="eastAsia" w:ascii="宋体" w:hAnsi="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投标人在红名单中优先”的原则排序（</w:t>
            </w:r>
            <w:r>
              <w:rPr>
                <w:rFonts w:hint="eastAsia" w:ascii="宋体" w:hAnsi="宋体"/>
                <w:iCs/>
                <w:color w:val="auto"/>
                <w:spacing w:val="4"/>
                <w:kern w:val="0"/>
                <w:szCs w:val="21"/>
                <w:highlight w:val="none"/>
              </w:rPr>
              <w:t>其中非联合体投标的，须投标人所属红名单类别包含在招标范围内；</w:t>
            </w:r>
            <w:r>
              <w:rPr>
                <w:rFonts w:hint="eastAsia" w:ascii="宋体" w:hAnsi="宋体"/>
                <w:color w:val="auto"/>
                <w:spacing w:val="4"/>
                <w:kern w:val="0"/>
                <w:szCs w:val="21"/>
                <w:highlight w:val="none"/>
              </w:rPr>
              <w:t>联合体投标的，须联合体牵头人在红名单中</w:t>
            </w:r>
            <w:r>
              <w:rPr>
                <w:rFonts w:hint="eastAsia" w:ascii="宋体" w:hAnsi="宋体"/>
                <w:iCs/>
                <w:color w:val="auto"/>
                <w:kern w:val="0"/>
                <w:szCs w:val="21"/>
                <w:highlight w:val="none"/>
              </w:rPr>
              <w:t>，并且按照</w:t>
            </w:r>
            <w:r>
              <w:rPr>
                <w:rFonts w:hint="eastAsia" w:ascii="宋体" w:hAnsi="宋体"/>
                <w:iCs/>
                <w:color w:val="auto"/>
                <w:kern w:val="0"/>
                <w:szCs w:val="21"/>
                <w:highlight w:val="none"/>
                <w:lang w:eastAsia="zh-CN"/>
              </w:rPr>
              <w:t>共同投标协议</w:t>
            </w:r>
            <w:r>
              <w:rPr>
                <w:rFonts w:hint="eastAsia" w:ascii="宋体" w:hAnsi="宋体"/>
                <w:iCs/>
                <w:color w:val="auto"/>
                <w:kern w:val="0"/>
                <w:szCs w:val="21"/>
                <w:highlight w:val="none"/>
              </w:rPr>
              <w:t>牵头人所属红名单类别包含在其工作范围内。</w:t>
            </w:r>
            <w:r>
              <w:rPr>
                <w:rFonts w:hint="eastAsia" w:ascii="宋体" w:hAnsi="宋体"/>
                <w:color w:val="auto"/>
                <w:spacing w:val="4"/>
                <w:kern w:val="0"/>
                <w:szCs w:val="21"/>
                <w:highlight w:val="none"/>
              </w:rPr>
              <w:t>），投标人是否属于红名单，以开标环节信用状况查询结果为准；投标人均在红名单中或均不在红名单中的，由评标委员会按照</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rPr>
              <w:t>原则排序。</w:t>
            </w:r>
            <w:r>
              <w:rPr>
                <w:rFonts w:hint="eastAsia" w:ascii="宋体" w:hAnsi="宋体"/>
                <w:i/>
                <w:color w:val="auto"/>
                <w:spacing w:val="4"/>
                <w:kern w:val="0"/>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rPr>
              <w:t>，但不得采用抽签、摇号方式直接确定中标候选人</w:t>
            </w:r>
            <w:r>
              <w:rPr>
                <w:rFonts w:hint="eastAsia" w:ascii="宋体" w:hAnsi="宋体"/>
                <w:i/>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2.1</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对报价不高于最高限价的所有投标人的投标文件，按照报价由低到高的顺序排序。需技术方案评审的，由电子评标系统对技术方案进行自动随机编号。在投标函评审前，推送给评标委员会的投标文件不得显示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符合性审查</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取报价排序前□5□6□7名（若实际投标人数量小于勾选数量，</w:t>
            </w:r>
            <w:r>
              <w:rPr>
                <w:rFonts w:hint="eastAsia" w:ascii="宋体" w:hAnsi="宋体"/>
                <w:color w:val="auto"/>
                <w:spacing w:val="4"/>
                <w:kern w:val="0"/>
                <w:szCs w:val="21"/>
                <w:highlight w:val="none"/>
              </w:rPr>
              <w:t>则全部纳入）进行符合性审查。符合性审查内容：□技术方案评审、资格评审、形式评审、响应性评审、投标函部分及</w:t>
            </w:r>
            <w:r>
              <w:rPr>
                <w:rFonts w:hint="eastAsia" w:ascii="宋体" w:hAnsi="宋体"/>
                <w:color w:val="auto"/>
                <w:spacing w:val="4"/>
                <w:kern w:val="0"/>
                <w:szCs w:val="21"/>
                <w:highlight w:val="none"/>
                <w:lang w:eastAsia="zh-CN"/>
              </w:rPr>
              <w:t>报价部分</w:t>
            </w:r>
            <w:r>
              <w:rPr>
                <w:rFonts w:hint="eastAsia" w:ascii="宋体" w:hAnsi="宋体"/>
                <w:color w:val="auto"/>
                <w:spacing w:val="4"/>
                <w:kern w:val="0"/>
                <w:szCs w:val="21"/>
                <w:highlight w:val="none"/>
              </w:rPr>
              <w:t>评审。符合性审查</w:t>
            </w:r>
            <w:r>
              <w:rPr>
                <w:rFonts w:hint="eastAsia" w:ascii="宋体" w:hAnsi="宋体"/>
                <w:color w:val="auto"/>
                <w:kern w:val="0"/>
                <w:highlight w:val="none"/>
              </w:rPr>
              <w:t>合格的投标人中，报价最低的成为第一中标候选人，报价次低的成为第二中标候选人，依次类推。</w:t>
            </w:r>
          </w:p>
          <w:p>
            <w:pPr>
              <w:spacing w:line="400" w:lineRule="exact"/>
              <w:ind w:firstLine="420" w:firstLineChars="200"/>
              <w:jc w:val="left"/>
              <w:rPr>
                <w:rFonts w:ascii="宋体" w:hAnsi="宋体"/>
                <w:color w:val="auto"/>
                <w:kern w:val="0"/>
                <w:highlight w:val="none"/>
              </w:rPr>
            </w:pPr>
            <w:r>
              <w:rPr>
                <w:rFonts w:hint="eastAsia" w:ascii="宋体" w:hAnsi="宋体"/>
                <w:i/>
                <w:color w:val="auto"/>
                <w:kern w:val="0"/>
                <w:highlight w:val="none"/>
              </w:rPr>
              <w:t>[提示：勾选技术方案评审的，符合性审查应首先进行技术方案评审，再按照资格、形式、响应性、投标函部分及</w:t>
            </w:r>
            <w:r>
              <w:rPr>
                <w:rFonts w:hint="eastAsia" w:ascii="宋体" w:hAnsi="宋体"/>
                <w:i/>
                <w:color w:val="auto"/>
                <w:kern w:val="0"/>
                <w:highlight w:val="none"/>
                <w:lang w:eastAsia="zh-CN"/>
              </w:rPr>
              <w:t>报价部分</w:t>
            </w:r>
            <w:r>
              <w:rPr>
                <w:rFonts w:hint="eastAsia" w:ascii="宋体" w:hAnsi="宋体"/>
                <w:i/>
                <w:color w:val="auto"/>
                <w:kern w:val="0"/>
                <w:highlight w:val="none"/>
              </w:rPr>
              <w:t>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s="宋体"/>
                <w:color w:val="auto"/>
                <w:szCs w:val="21"/>
                <w:highlight w:val="none"/>
              </w:rPr>
              <w:t>□</w:t>
            </w:r>
            <w:r>
              <w:rPr>
                <w:rFonts w:hint="eastAsia" w:ascii="宋体" w:hAnsi="宋体"/>
                <w:color w:val="auto"/>
                <w:kern w:val="0"/>
                <w:highlight w:val="none"/>
              </w:rPr>
              <w:t>2.2.1</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技术</w:t>
            </w:r>
            <w:r>
              <w:rPr>
                <w:rFonts w:hint="eastAsia" w:ascii="宋体" w:hAnsi="宋体"/>
                <w:color w:val="auto"/>
                <w:kern w:val="0"/>
                <w:highlight w:val="none"/>
              </w:rPr>
              <w:t>方案评审</w:t>
            </w:r>
            <w:r>
              <w:rPr>
                <w:rFonts w:ascii="宋体" w:hAnsi="宋体"/>
                <w:color w:val="auto"/>
                <w:kern w:val="0"/>
                <w:highlight w:val="none"/>
              </w:rPr>
              <w:t>标准</w:t>
            </w:r>
          </w:p>
        </w:tc>
        <w:tc>
          <w:tcPr>
            <w:tcW w:w="2267" w:type="dxa"/>
            <w:tcBorders>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auto"/>
                <w:kern w:val="0"/>
                <w:highlight w:val="none"/>
              </w:rPr>
            </w:pPr>
            <w:r>
              <w:rPr>
                <w:rFonts w:hint="eastAsia"/>
                <w:color w:val="auto"/>
                <w:highlight w:val="none"/>
              </w:rPr>
              <w:t>□</w:t>
            </w:r>
            <w:r>
              <w:rPr>
                <w:rFonts w:hint="eastAsia" w:ascii="宋体" w:hAnsi="宋体" w:cs="宋体"/>
                <w:color w:val="auto"/>
                <w:kern w:val="0"/>
                <w:highlight w:val="none"/>
              </w:rPr>
              <w:t>技术方案形式要求</w:t>
            </w:r>
          </w:p>
          <w:p>
            <w:pPr>
              <w:snapToGrid w:val="0"/>
              <w:spacing w:line="400" w:lineRule="exact"/>
              <w:jc w:val="center"/>
              <w:rPr>
                <w:rFonts w:ascii="宋体" w:hAnsi="宋体" w:cs="宋体"/>
                <w:color w:val="auto"/>
                <w:kern w:val="0"/>
                <w:highlight w:val="none"/>
              </w:rPr>
            </w:pPr>
            <w:r>
              <w:rPr>
                <w:rFonts w:hint="eastAsia"/>
                <w:i/>
                <w:iCs/>
                <w:color w:val="auto"/>
                <w:highlight w:val="none"/>
              </w:rPr>
              <w:t>[提示：技术方案采用暗标评审时适用。]</w:t>
            </w:r>
          </w:p>
        </w:tc>
        <w:tc>
          <w:tcPr>
            <w:tcW w:w="4615" w:type="dxa"/>
            <w:tcBorders>
              <w:left w:val="single" w:color="auto" w:sz="4" w:space="0"/>
              <w:bottom w:val="single" w:color="auto" w:sz="4" w:space="0"/>
            </w:tcBorders>
            <w:vAlign w:val="center"/>
          </w:tcPr>
          <w:p>
            <w:pPr>
              <w:snapToGrid w:val="0"/>
              <w:spacing w:after="57" w:afterLines="1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是否符合第二章投标人须知前附表第3.7.5项（</w:t>
            </w:r>
            <w:r>
              <w:rPr>
                <w:rFonts w:hint="eastAsia" w:ascii="宋体" w:hAnsi="宋体" w:cs="宋体"/>
                <w:color w:val="auto"/>
                <w:kern w:val="0"/>
                <w:highlight w:val="none"/>
                <w:lang w:val="en-US" w:eastAsia="zh-CN"/>
              </w:rPr>
              <w:t>4</w:t>
            </w:r>
            <w:r>
              <w:rPr>
                <w:rFonts w:hint="eastAsia" w:ascii="宋体" w:hAnsi="宋体" w:cs="宋体"/>
                <w:color w:val="auto"/>
                <w:kern w:val="0"/>
                <w:highlight w:val="none"/>
              </w:rPr>
              <w:t>）技术部分的要求：符合/不符合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color w:val="auto"/>
                <w:highlight w:val="none"/>
              </w:rPr>
              <w:t>□</w:t>
            </w:r>
            <w:r>
              <w:rPr>
                <w:rFonts w:hint="eastAsia" w:ascii="宋体" w:hAnsi="宋体" w:cs="宋体"/>
                <w:color w:val="auto"/>
                <w:szCs w:val="21"/>
                <w:highlight w:val="none"/>
                <w:u w:val="single"/>
              </w:rPr>
              <w:t>施工组织管理</w:t>
            </w:r>
          </w:p>
        </w:tc>
        <w:tc>
          <w:tcPr>
            <w:tcW w:w="4615" w:type="dxa"/>
            <w:vMerge w:val="restart"/>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评标委员会对投标人递交的技术方案进行综合性评审，综合评判是否满足本工程需求：满足/不满足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施工总平面布置</w:t>
            </w:r>
          </w:p>
        </w:tc>
        <w:tc>
          <w:tcPr>
            <w:tcW w:w="4615" w:type="dxa"/>
            <w:vMerge w:val="continue"/>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施工方法和技术措施</w:t>
            </w:r>
          </w:p>
        </w:tc>
        <w:tc>
          <w:tcPr>
            <w:tcW w:w="4615" w:type="dxa"/>
            <w:vMerge w:val="continue"/>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监测预警及应急抢险措施方案</w:t>
            </w:r>
          </w:p>
        </w:tc>
        <w:tc>
          <w:tcPr>
            <w:tcW w:w="4615" w:type="dxa"/>
            <w:vMerge w:val="continue"/>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6"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质量保证体系和质量保证措施</w:t>
            </w:r>
          </w:p>
        </w:tc>
        <w:tc>
          <w:tcPr>
            <w:tcW w:w="4615" w:type="dxa"/>
            <w:vMerge w:val="continue"/>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施工网络进度计划及保证工期的措施</w:t>
            </w:r>
          </w:p>
        </w:tc>
        <w:tc>
          <w:tcPr>
            <w:tcW w:w="4615" w:type="dxa"/>
            <w:vMerge w:val="continue"/>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施工机械设备配置</w:t>
            </w:r>
          </w:p>
        </w:tc>
        <w:tc>
          <w:tcPr>
            <w:tcW w:w="4615" w:type="dxa"/>
            <w:vMerge w:val="continue"/>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安全文明施工保证措施</w:t>
            </w:r>
          </w:p>
        </w:tc>
        <w:tc>
          <w:tcPr>
            <w:tcW w:w="4615" w:type="dxa"/>
            <w:vMerge w:val="continue"/>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w:t>
            </w:r>
            <w:r>
              <w:rPr>
                <w:rFonts w:hint="eastAsia" w:ascii="宋体" w:hAnsi="宋体" w:cs="宋体"/>
                <w:color w:val="auto"/>
                <w:szCs w:val="21"/>
                <w:highlight w:val="none"/>
                <w:u w:val="single"/>
              </w:rPr>
              <w:t>变更应对措施</w:t>
            </w:r>
          </w:p>
        </w:tc>
        <w:tc>
          <w:tcPr>
            <w:tcW w:w="4615" w:type="dxa"/>
            <w:vMerge w:val="continue"/>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w:t>
            </w:r>
            <w:r>
              <w:rPr>
                <w:rFonts w:ascii="宋体" w:hAnsi="宋体" w:cs="宋体"/>
                <w:color w:val="auto"/>
                <w:kern w:val="0"/>
                <w:highlight w:val="none"/>
              </w:rPr>
              <w:t>……</w:t>
            </w:r>
          </w:p>
        </w:tc>
        <w:tc>
          <w:tcPr>
            <w:tcW w:w="4615" w:type="dxa"/>
            <w:vMerge w:val="continue"/>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资质条件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eastAsia="zh-CN"/>
              </w:rPr>
            </w:pPr>
            <w:r>
              <w:rPr>
                <w:rFonts w:hint="eastAsia" w:ascii="宋体" w:hAnsi="宋体" w:cs="宋体"/>
                <w:color w:val="auto"/>
                <w:kern w:val="0"/>
                <w:highlight w:val="none"/>
                <w:lang w:eastAsia="zh-CN"/>
              </w:rPr>
              <w:t>独立法人资格</w:t>
            </w:r>
          </w:p>
        </w:tc>
        <w:tc>
          <w:tcPr>
            <w:tcW w:w="4615" w:type="dxa"/>
            <w:tcBorders>
              <w:top w:val="single" w:color="auto" w:sz="4" w:space="0"/>
              <w:left w:val="single" w:color="auto" w:sz="4" w:space="0"/>
            </w:tcBorders>
            <w:vAlign w:val="center"/>
          </w:tcPr>
          <w:p>
            <w:pPr>
              <w:snapToGrid w:val="0"/>
              <w:spacing w:after="144"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安全生产条件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□财务要求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144" w:afterLines="25" w:line="400" w:lineRule="exact"/>
              <w:jc w:val="left"/>
              <w:rPr>
                <w:rFonts w:ascii="宋体" w:hAnsi="宋体" w:cs="宋体"/>
                <w:color w:val="auto"/>
                <w:kern w:val="0"/>
                <w:highlight w:val="none"/>
              </w:rPr>
            </w:pPr>
            <w:r>
              <w:rPr>
                <w:rFonts w:hint="eastAsia" w:ascii="宋体" w:hAnsi="宋体" w:cs="宋体"/>
                <w:color w:val="auto"/>
                <w:kern w:val="0"/>
                <w:highlight w:val="none"/>
              </w:rPr>
              <w:t>□业绩要求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144"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项目经理资格要求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u w:val="singl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□联合体投标人</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2.</w:t>
            </w: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kern w:val="0"/>
                <w:highlight w:val="none"/>
              </w:rPr>
              <w:t>3</w:t>
            </w:r>
          </w:p>
        </w:tc>
        <w:tc>
          <w:tcPr>
            <w:tcW w:w="1560"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形式评审标准</w:t>
            </w: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与营业执照、资质证书、安全生产许可证一致。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□联合体投标人</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提交</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，并明确联合体牵头人。在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第5条联合体各成员单位内部的职责分工中填写的联合体所有成员单位名称应与其营业执照、资质证书、安全生产许可证一致。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投标文件的签署</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第八章 投标文件格式（不含投标函部分）要求法定代表人</w:t>
            </w:r>
            <w:r>
              <w:rPr>
                <w:rFonts w:hint="eastAsia" w:ascii="宋体" w:hAnsi="宋体" w:cs="宋体"/>
                <w:color w:val="auto"/>
                <w:kern w:val="0"/>
                <w:highlight w:val="none"/>
                <w:lang w:eastAsia="zh-CN"/>
              </w:rPr>
              <w:t>（或其委托代理人）</w:t>
            </w:r>
            <w:r>
              <w:rPr>
                <w:rFonts w:hint="eastAsia" w:ascii="宋体" w:hAnsi="宋体" w:cs="宋体"/>
                <w:color w:val="auto"/>
                <w:kern w:val="0"/>
                <w:highlight w:val="none"/>
              </w:rPr>
              <w:t>签名（或盖章）的须齐全</w:t>
            </w: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color w:val="auto"/>
                <w:szCs w:val="21"/>
                <w:highlight w:val="none"/>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宋体" w:hAnsi="宋体" w:cs="宋体"/>
                <w:color w:val="auto"/>
                <w:kern w:val="0"/>
                <w:highlight w:val="none"/>
              </w:rPr>
              <w:t>。</w:t>
            </w:r>
          </w:p>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snapToGrid w:val="0"/>
                <w:color w:val="auto"/>
                <w:kern w:val="0"/>
                <w:szCs w:val="21"/>
                <w:highlight w:val="none"/>
              </w:rPr>
              <w:t>若投标单位为联合体，则</w:t>
            </w:r>
            <w:r>
              <w:rPr>
                <w:rFonts w:hint="eastAsia" w:ascii="宋体" w:hAnsi="宋体" w:cs="宋体"/>
                <w:snapToGrid w:val="0"/>
                <w:color w:val="auto"/>
                <w:kern w:val="0"/>
                <w:szCs w:val="21"/>
                <w:highlight w:val="none"/>
                <w:lang w:eastAsia="zh-CN"/>
              </w:rPr>
              <w:t>共同投标协议</w:t>
            </w:r>
            <w:r>
              <w:rPr>
                <w:rFonts w:hint="eastAsia" w:ascii="宋体" w:hAnsi="宋体" w:cs="宋体"/>
                <w:snapToGrid w:val="0"/>
                <w:color w:val="auto"/>
                <w:kern w:val="0"/>
                <w:szCs w:val="21"/>
                <w:highlight w:val="none"/>
              </w:rPr>
              <w:t>中各联合体成员单位签名（或盖章）须齐全，</w:t>
            </w:r>
            <w:r>
              <w:rPr>
                <w:rFonts w:hint="eastAsia" w:ascii="宋体" w:hAnsi="宋体" w:cs="宋体"/>
                <w:snapToGrid w:val="0"/>
                <w:color w:val="auto"/>
                <w:kern w:val="0"/>
                <w:szCs w:val="21"/>
                <w:highlight w:val="none"/>
                <w:lang w:eastAsia="zh-CN"/>
              </w:rPr>
              <w:t>共同投标协议</w:t>
            </w:r>
            <w:r>
              <w:rPr>
                <w:rFonts w:hint="eastAsia" w:ascii="宋体" w:hAnsi="宋体" w:cs="宋体"/>
                <w:snapToGrid w:val="0"/>
                <w:color w:val="auto"/>
                <w:kern w:val="0"/>
                <w:szCs w:val="21"/>
                <w:highlight w:val="none"/>
              </w:rPr>
              <w:t>以外的</w:t>
            </w:r>
            <w:r>
              <w:rPr>
                <w:rFonts w:hint="eastAsia" w:ascii="宋体" w:hAnsi="宋体" w:cs="宋体"/>
                <w:color w:val="auto"/>
                <w:kern w:val="0"/>
                <w:highlight w:val="none"/>
              </w:rPr>
              <w:t>投标文件格式中，要求法定代表人</w:t>
            </w:r>
            <w:r>
              <w:rPr>
                <w:rFonts w:hint="eastAsia" w:ascii="宋体" w:hAnsi="宋体" w:cs="宋体"/>
                <w:color w:val="auto"/>
                <w:kern w:val="0"/>
                <w:highlight w:val="none"/>
                <w:lang w:eastAsia="zh-CN"/>
              </w:rPr>
              <w:t>（或其委托代理人）</w:t>
            </w:r>
            <w:r>
              <w:rPr>
                <w:rFonts w:hint="eastAsia" w:ascii="宋体" w:hAnsi="宋体" w:cs="宋体"/>
                <w:color w:val="auto"/>
                <w:kern w:val="0"/>
                <w:highlight w:val="none"/>
              </w:rPr>
              <w:t>签名（或盖章）的均由联合体牵头人法定代表人</w:t>
            </w:r>
            <w:r>
              <w:rPr>
                <w:rFonts w:hint="eastAsia" w:ascii="宋体" w:hAnsi="宋体" w:cs="宋体"/>
                <w:color w:val="auto"/>
                <w:kern w:val="0"/>
                <w:highlight w:val="none"/>
                <w:lang w:eastAsia="zh-CN"/>
              </w:rPr>
              <w:t>（或其委托代理人）</w:t>
            </w:r>
            <w:r>
              <w:rPr>
                <w:rFonts w:hint="eastAsia" w:ascii="宋体" w:hAnsi="宋体" w:cs="宋体"/>
                <w:color w:val="auto"/>
                <w:kern w:val="0"/>
                <w:highlight w:val="none"/>
              </w:rPr>
              <w:t>签名（或盖章）。</w:t>
            </w:r>
          </w:p>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第八章 投标文件格式（不含投标函部分）要求加盖单位法人章的，应使用 CA 数字证书加盖投标人的单位电子印章。</w:t>
            </w:r>
          </w:p>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若投标单位为联合体，则</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中要求各联合体成员盖单位法人章的，各联合体成员盖章须齐全，</w:t>
            </w:r>
            <w:r>
              <w:rPr>
                <w:rFonts w:hint="eastAsia" w:ascii="宋体" w:hAnsi="宋体" w:cs="宋体"/>
                <w:color w:val="auto"/>
                <w:kern w:val="0"/>
                <w:highlight w:val="none"/>
                <w:lang w:eastAsia="zh-CN"/>
              </w:rPr>
              <w:t>共同投标协议</w:t>
            </w:r>
            <w:r>
              <w:rPr>
                <w:rFonts w:hint="eastAsia" w:ascii="宋体" w:hAnsi="宋体" w:cs="宋体"/>
                <w:color w:val="auto"/>
                <w:kern w:val="0"/>
                <w:highlight w:val="none"/>
              </w:rPr>
              <w:t>以外的投标文件格式中要求投标人加盖单位法人章的，均由联合体牵头人使用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4615" w:type="dxa"/>
            <w:tcBorders>
              <w:left w:val="single" w:color="auto" w:sz="4" w:space="0"/>
            </w:tcBorders>
            <w:vAlign w:val="center"/>
          </w:tcPr>
          <w:p>
            <w:pPr>
              <w:snapToGrid w:val="0"/>
              <w:spacing w:after="144"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响应性评审标准</w:t>
            </w: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4615" w:type="dxa"/>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符合第四章“合同条款及格式”规定，投标文件不应附有招标人不能接受的条件。（由投标人承诺，承诺书格式详见第八章投标文件格式。）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技术标准和要求</w:t>
            </w:r>
          </w:p>
        </w:tc>
        <w:tc>
          <w:tcPr>
            <w:tcW w:w="4615" w:type="dxa"/>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符合第七章“技术标准和要求”规定。（由投标人承诺，承诺书格式详见第八章投标文件格式。）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bottom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实质性要求</w:t>
            </w:r>
          </w:p>
        </w:tc>
        <w:tc>
          <w:tcPr>
            <w:tcW w:w="4615" w:type="dxa"/>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符合第二章“投标人须知”第1.4.3项规定。</w:t>
            </w:r>
          </w:p>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本次投标不得有串通投标、弄虚作假等其他违反招投标相关法律、法规行为。</w:t>
            </w:r>
          </w:p>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2.2.5</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投标函部分及</w:t>
            </w:r>
            <w:r>
              <w:rPr>
                <w:rFonts w:hint="eastAsia" w:ascii="宋体" w:hAnsi="宋体"/>
                <w:color w:val="auto"/>
                <w:kern w:val="0"/>
                <w:highlight w:val="none"/>
                <w:lang w:eastAsia="zh-CN"/>
              </w:rPr>
              <w:t>报价部分</w:t>
            </w:r>
            <w:r>
              <w:rPr>
                <w:rFonts w:hint="eastAsia" w:ascii="宋体" w:hAnsi="宋体"/>
                <w:color w:val="auto"/>
                <w:kern w:val="0"/>
                <w:highlight w:val="none"/>
              </w:rPr>
              <w:t>评审标准</w:t>
            </w: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投标函部分的签名盖章</w:t>
            </w:r>
          </w:p>
        </w:tc>
        <w:tc>
          <w:tcPr>
            <w:tcW w:w="4615" w:type="dxa"/>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投标函部分的格式要求法定代表人</w:t>
            </w:r>
            <w:r>
              <w:rPr>
                <w:rFonts w:hint="eastAsia" w:ascii="宋体" w:hAnsi="宋体" w:cs="宋体"/>
                <w:color w:val="auto"/>
                <w:kern w:val="0"/>
                <w:highlight w:val="none"/>
                <w:lang w:eastAsia="zh-CN"/>
              </w:rPr>
              <w:t>（或其委托代理人）</w:t>
            </w:r>
            <w:r>
              <w:rPr>
                <w:rFonts w:hint="eastAsia" w:ascii="宋体" w:hAnsi="宋体" w:cs="宋体"/>
                <w:color w:val="auto"/>
                <w:kern w:val="0"/>
                <w:highlight w:val="none"/>
              </w:rPr>
              <w:t>签名（或盖章）的须齐全，</w:t>
            </w:r>
            <w:r>
              <w:rPr>
                <w:rFonts w:hint="eastAsia" w:asciiTheme="minorEastAsia" w:hAnsiTheme="minorEastAsia" w:eastAsiaTheme="minorEastAsia" w:cstheme="minorEastAsia"/>
                <w:color w:val="auto"/>
                <w:szCs w:val="21"/>
                <w:highlight w:val="none"/>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宋体" w:hAnsi="宋体" w:cs="宋体"/>
                <w:color w:val="auto"/>
                <w:kern w:val="0"/>
                <w:highlight w:val="none"/>
              </w:rPr>
              <w:t>要求加盖单位法人章的，应使用 CA 数字证书加盖投标人的单位电子印章。</w:t>
            </w:r>
          </w:p>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工期</w:t>
            </w:r>
          </w:p>
        </w:tc>
        <w:tc>
          <w:tcPr>
            <w:tcW w:w="4615" w:type="dxa"/>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工程质量</w:t>
            </w:r>
          </w:p>
        </w:tc>
        <w:tc>
          <w:tcPr>
            <w:tcW w:w="4615" w:type="dxa"/>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4615" w:type="dxa"/>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投标总报价</w:t>
            </w:r>
          </w:p>
        </w:tc>
        <w:tc>
          <w:tcPr>
            <w:tcW w:w="4615" w:type="dxa"/>
            <w:tcBorders>
              <w:left w:val="single" w:color="auto" w:sz="4" w:space="0"/>
            </w:tcBorders>
            <w:vAlign w:val="center"/>
          </w:tcPr>
          <w:p>
            <w:pPr>
              <w:snapToGrid w:val="0"/>
              <w:spacing w:line="32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1.</w:t>
            </w:r>
            <w:r>
              <w:rPr>
                <w:rFonts w:hint="eastAsia"/>
                <w:color w:val="auto"/>
                <w:highlight w:val="none"/>
              </w:rPr>
              <w:t xml:space="preserve"> </w:t>
            </w:r>
            <w:r>
              <w:rPr>
                <w:rFonts w:hint="eastAsia" w:ascii="宋体" w:hAnsi="宋体" w:cs="宋体"/>
                <w:color w:val="auto"/>
                <w:kern w:val="0"/>
                <w:highlight w:val="none"/>
              </w:rPr>
              <w:t>投标函中的总报价必须与已标价工程量清单总报价一致，投标总报价不得高于招标人公布的投标总报价</w:t>
            </w:r>
            <w:r>
              <w:rPr>
                <w:rFonts w:hint="eastAsia" w:ascii="宋体" w:hAnsi="宋体"/>
                <w:color w:val="auto"/>
                <w:szCs w:val="21"/>
                <w:highlight w:val="none"/>
              </w:rPr>
              <w:t>最高限价</w:t>
            </w:r>
            <w:r>
              <w:rPr>
                <w:rFonts w:hint="eastAsia" w:ascii="宋体" w:hAnsi="宋体" w:cs="宋体"/>
                <w:color w:val="auto"/>
                <w:kern w:val="0"/>
                <w:highlight w:val="none"/>
              </w:rPr>
              <w:t>。</w:t>
            </w:r>
          </w:p>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2.</w:t>
            </w:r>
            <w:r>
              <w:rPr>
                <w:rFonts w:hint="eastAsia" w:ascii="宋体" w:hAnsi="宋体" w:cs="宋体"/>
                <w:kern w:val="0"/>
              </w:rPr>
              <w:t>投标人投标总报价</w:t>
            </w:r>
            <w:r>
              <w:rPr>
                <w:rFonts w:hint="eastAsia" w:ascii="宋体" w:hAnsi="宋体" w:cs="宋体"/>
                <w:i w:val="0"/>
                <w:iCs w:val="0"/>
                <w:szCs w:val="21"/>
                <w:u w:val="none"/>
                <w:lang w:val="en-US" w:eastAsia="zh-CN"/>
              </w:rPr>
              <w:t>或者部分单项报价</w:t>
            </w:r>
            <w:r>
              <w:rPr>
                <w:rFonts w:hint="eastAsia" w:ascii="宋体" w:hAnsi="宋体" w:cs="宋体"/>
                <w:kern w:val="0"/>
              </w:rPr>
              <w:t>低于招标文件规定的对应的异常低价警戒线的，应提供报价合理性说明，并提供必要的证明材料</w:t>
            </w:r>
            <w:r>
              <w:rPr>
                <w:rFonts w:hint="eastAsia" w:ascii="宋体" w:hAnsi="宋体" w:cs="宋体"/>
                <w:color w:val="auto"/>
                <w:kern w:val="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报价唯一</w:t>
            </w:r>
          </w:p>
        </w:tc>
        <w:tc>
          <w:tcPr>
            <w:tcW w:w="4615" w:type="dxa"/>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tabs>
                <w:tab w:val="left" w:pos="1875"/>
              </w:tabs>
              <w:spacing w:line="400" w:lineRule="exact"/>
              <w:jc w:val="left"/>
              <w:rPr>
                <w:rFonts w:ascii="宋体" w:hAnsi="宋体" w:cs="宋体"/>
                <w:color w:val="auto"/>
                <w:kern w:val="0"/>
                <w:highlight w:val="none"/>
              </w:rPr>
            </w:pPr>
            <w:r>
              <w:rPr>
                <w:rFonts w:hint="eastAsia" w:ascii="宋体" w:hAnsi="宋体"/>
                <w:color w:val="auto"/>
                <w:kern w:val="0"/>
                <w:highlight w:val="none"/>
              </w:rPr>
              <w:t>暂定金额（暂列金）</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olor w:val="auto"/>
                <w:kern w:val="0"/>
                <w:highlight w:val="none"/>
              </w:rPr>
              <w:t>暂定金额（暂列金）、暂估价等暂定金额必须按照招标文件给定的金额填报，否则由评标委员会作否决投标处理。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已标价工程量清单</w:t>
            </w:r>
          </w:p>
        </w:tc>
        <w:tc>
          <w:tcPr>
            <w:tcW w:w="4615" w:type="dxa"/>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olor w:val="auto"/>
                <w:kern w:val="0"/>
                <w:highlight w:val="none"/>
              </w:rPr>
              <w:t>投标人承诺已标价工程量清单满足第二章“投标人须知前附表”第3.2款第12条要求，如有差错则按第二章“投标人须知前附表”第3.2款第11条要求原则进行处理（或结算），承诺书格式详见第八章投标文件格式。否则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投标报价算术错误修正</w:t>
            </w:r>
          </w:p>
        </w:tc>
        <w:tc>
          <w:tcPr>
            <w:tcW w:w="4615" w:type="dxa"/>
            <w:tcBorders>
              <w:left w:val="single" w:color="auto" w:sz="4" w:space="0"/>
            </w:tcBorders>
            <w:vAlign w:val="center"/>
          </w:tcPr>
          <w:p>
            <w:pPr>
              <w:snapToGrid w:val="0"/>
              <w:spacing w:after="57"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符合第三章</w:t>
            </w:r>
            <w:r>
              <w:rPr>
                <w:rFonts w:hint="eastAsia" w:ascii="宋体" w:hAnsi="宋体" w:cs="宋体"/>
                <w:color w:val="auto"/>
                <w:kern w:val="0"/>
                <w:highlight w:val="none"/>
                <w:lang w:val="en-US" w:eastAsia="zh-CN"/>
              </w:rPr>
              <w:t>3.</w:t>
            </w:r>
            <w:r>
              <w:rPr>
                <w:rFonts w:hint="eastAsia" w:ascii="宋体" w:hAnsi="宋体" w:cs="宋体"/>
                <w:color w:val="auto"/>
                <w:kern w:val="0"/>
                <w:highlight w:val="none"/>
              </w:rPr>
              <w:t>评标</w:t>
            </w:r>
            <w:r>
              <w:rPr>
                <w:rFonts w:hint="eastAsia" w:ascii="宋体" w:hAnsi="宋体" w:cs="宋体"/>
                <w:color w:val="auto"/>
                <w:kern w:val="0"/>
                <w:highlight w:val="none"/>
                <w:lang w:val="en-US" w:eastAsia="zh-CN"/>
              </w:rPr>
              <w:t>程序</w:t>
            </w:r>
            <w:r>
              <w:rPr>
                <w:rFonts w:hint="eastAsia" w:ascii="宋体" w:hAnsi="宋体" w:cs="宋体"/>
                <w:color w:val="auto"/>
                <w:kern w:val="0"/>
                <w:highlight w:val="none"/>
              </w:rPr>
              <w:t>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3</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评标程序</w:t>
            </w:r>
          </w:p>
        </w:tc>
        <w:tc>
          <w:tcPr>
            <w:tcW w:w="6882" w:type="dxa"/>
            <w:gridSpan w:val="2"/>
            <w:tcBorders>
              <w:left w:val="single" w:color="auto" w:sz="4" w:space="0"/>
            </w:tcBorders>
            <w:vAlign w:val="center"/>
          </w:tcPr>
          <w:p>
            <w:pPr>
              <w:spacing w:after="57"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1.对报价不高于最高限价的所有投标人的投标文件，按照报价由低到高的顺序排序。需技术方案评审的，由电子评标系统对技术方案进行自动随机编号。在投标函部分及</w:t>
            </w:r>
            <w:r>
              <w:rPr>
                <w:rFonts w:hint="eastAsia" w:ascii="宋体" w:hAnsi="宋体"/>
                <w:color w:val="auto"/>
                <w:kern w:val="0"/>
                <w:szCs w:val="21"/>
                <w:highlight w:val="none"/>
                <w:lang w:eastAsia="zh-CN"/>
              </w:rPr>
              <w:t>报价部分</w:t>
            </w:r>
            <w:r>
              <w:rPr>
                <w:rFonts w:hint="eastAsia" w:ascii="宋体" w:hAnsi="宋体"/>
                <w:color w:val="auto"/>
                <w:kern w:val="0"/>
                <w:szCs w:val="21"/>
                <w:highlight w:val="none"/>
              </w:rPr>
              <w:t>评审前，推送给评标委员会的投标文件不得显示排序。</w:t>
            </w:r>
          </w:p>
          <w:p>
            <w:pPr>
              <w:spacing w:after="57"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2.根据本章第2.2款约定进行符合性审查</w:t>
            </w:r>
            <w:r>
              <w:rPr>
                <w:rFonts w:hint="eastAsia" w:ascii="宋体" w:hAnsi="宋体"/>
                <w:color w:val="auto"/>
                <w:spacing w:val="4"/>
                <w:kern w:val="0"/>
                <w:szCs w:val="21"/>
                <w:highlight w:val="none"/>
              </w:rPr>
              <w:t>。符合性审查</w:t>
            </w:r>
            <w:r>
              <w:rPr>
                <w:rFonts w:hint="eastAsia" w:ascii="宋体" w:hAnsi="宋体"/>
                <w:color w:val="auto"/>
                <w:kern w:val="0"/>
                <w:szCs w:val="21"/>
                <w:highlight w:val="none"/>
              </w:rPr>
              <w:t>合格的投标人中，报价最低的成为第一中标候选人，报价次低的成为第二中标候选人，依次类推。</w:t>
            </w:r>
          </w:p>
          <w:p>
            <w:pPr>
              <w:spacing w:after="57" w:afterLines="10" w:line="400" w:lineRule="exact"/>
              <w:ind w:firstLine="420" w:firstLineChars="200"/>
              <w:jc w:val="left"/>
              <w:rPr>
                <w:rFonts w:ascii="宋体" w:hAnsi="宋体"/>
                <w:color w:val="auto"/>
                <w:kern w:val="0"/>
                <w:szCs w:val="21"/>
                <w:highlight w:val="none"/>
              </w:rPr>
            </w:pPr>
            <w:r>
              <w:rPr>
                <w:rFonts w:hint="eastAsia" w:ascii="宋体" w:hAnsi="宋体"/>
                <w:i/>
                <w:color w:val="auto"/>
                <w:kern w:val="0"/>
                <w:highlight w:val="none"/>
              </w:rPr>
              <w:t>[提示：勾选技术方案评审的，符合性审查应首先进行技术方案评审，再按照资格、形式、响应性、投标函部分及</w:t>
            </w:r>
            <w:r>
              <w:rPr>
                <w:rFonts w:hint="eastAsia" w:ascii="宋体" w:hAnsi="宋体"/>
                <w:i/>
                <w:color w:val="auto"/>
                <w:kern w:val="0"/>
                <w:highlight w:val="none"/>
                <w:lang w:eastAsia="zh-CN"/>
              </w:rPr>
              <w:t>报价部分</w:t>
            </w:r>
            <w:r>
              <w:rPr>
                <w:rFonts w:hint="eastAsia" w:ascii="宋体" w:hAnsi="宋体"/>
                <w:i/>
                <w:color w:val="auto"/>
                <w:kern w:val="0"/>
                <w:highlight w:val="none"/>
              </w:rPr>
              <w:t>的顺序进行评审。]</w:t>
            </w:r>
          </w:p>
          <w:p>
            <w:pPr>
              <w:spacing w:after="57"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若上述程序未能评出三名中标候选人</w:t>
            </w:r>
            <w:r>
              <w:rPr>
                <w:rFonts w:hint="eastAsia" w:ascii="宋体" w:hAnsi="宋体"/>
                <w:color w:val="auto"/>
                <w:kern w:val="0"/>
                <w:szCs w:val="21"/>
                <w:highlight w:val="none"/>
              </w:rPr>
              <w:t>，则评标委员会对剩余投标文件继续按上述第2条进行评审，直至评出三名中标候选人，或者评审完所有投标文件。</w:t>
            </w:r>
          </w:p>
          <w:p>
            <w:pPr>
              <w:spacing w:after="57"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w:t>
            </w:r>
            <w:r>
              <w:rPr>
                <w:rFonts w:hint="eastAsia"/>
                <w:color w:val="auto"/>
                <w:highlight w:val="none"/>
              </w:rPr>
              <w:t xml:space="preserve"> </w:t>
            </w:r>
            <w:r>
              <w:rPr>
                <w:rFonts w:hint="eastAsia" w:ascii="宋体" w:hAnsi="宋体"/>
                <w:color w:val="auto"/>
                <w:kern w:val="0"/>
                <w:szCs w:val="21"/>
                <w:highlight w:val="none"/>
              </w:rPr>
              <w:t>因评标委员会作否决投标处理，导致有效投标人不足三个的，评标委员会应当</w:t>
            </w:r>
            <w:r>
              <w:rPr>
                <w:rFonts w:hint="eastAsia" w:ascii="宋体" w:hAnsi="宋体"/>
                <w:color w:val="auto"/>
                <w:spacing w:val="4"/>
                <w:kern w:val="0"/>
                <w:szCs w:val="21"/>
                <w:highlight w:val="none"/>
                <w:lang w:eastAsia="zh-CN"/>
              </w:rPr>
              <w:t>对有效投标人是否仍具有竞争性进行论证</w:t>
            </w:r>
            <w:r>
              <w:rPr>
                <w:rFonts w:hint="eastAsia" w:ascii="宋体" w:hAnsi="宋体"/>
                <w:color w:val="auto"/>
                <w:spacing w:val="4"/>
                <w:kern w:val="0"/>
                <w:szCs w:val="21"/>
                <w:highlight w:val="none"/>
              </w:rPr>
              <w:t>。评标委员会</w:t>
            </w:r>
            <w:r>
              <w:rPr>
                <w:rFonts w:hint="eastAsia" w:ascii="宋体" w:hAnsi="宋体"/>
                <w:color w:val="auto"/>
                <w:spacing w:val="4"/>
                <w:kern w:val="0"/>
                <w:szCs w:val="21"/>
                <w:highlight w:val="none"/>
                <w:lang w:eastAsia="zh-CN"/>
              </w:rPr>
              <w:t>认为有效投标人的</w:t>
            </w:r>
            <w:r>
              <w:rPr>
                <w:rFonts w:hint="eastAsia" w:ascii="宋体" w:hAnsi="宋体"/>
                <w:color w:val="auto"/>
                <w:kern w:val="0"/>
                <w:szCs w:val="21"/>
                <w:highlight w:val="none"/>
              </w:rPr>
              <w:t>经济、技术等指标仍然具有市场竞争力，并满足招标文件要求的，评标委员会可以继续评标并确定中标候选人。</w:t>
            </w:r>
            <w:r>
              <w:rPr>
                <w:rFonts w:hint="eastAsia" w:asciiTheme="minorEastAsia" w:hAnsiTheme="minorEastAsia" w:eastAsiaTheme="minorEastAsia" w:cstheme="minorEastAsia"/>
                <w:i w:val="0"/>
                <w:iCs w:val="0"/>
                <w:color w:val="auto"/>
                <w:kern w:val="0"/>
                <w:szCs w:val="21"/>
                <w:highlight w:val="none"/>
                <w:lang w:val="en-US" w:eastAsia="zh-CN"/>
              </w:rPr>
              <w:t>（注：本款只适用于首次招标。）</w:t>
            </w:r>
          </w:p>
          <w:p>
            <w:pPr>
              <w:spacing w:after="57"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注：若出现投标人投标报价相同的，以“投标人在红名单中优先”的原则排序</w:t>
            </w:r>
            <w:r>
              <w:rPr>
                <w:rFonts w:hint="eastAsia" w:ascii="宋体" w:hAnsi="宋体"/>
                <w:color w:val="auto"/>
                <w:spacing w:val="4"/>
                <w:kern w:val="0"/>
                <w:szCs w:val="21"/>
                <w:highlight w:val="none"/>
              </w:rPr>
              <w:t>（</w:t>
            </w:r>
            <w:r>
              <w:rPr>
                <w:rFonts w:hint="eastAsia" w:ascii="宋体" w:hAnsi="宋体"/>
                <w:iCs/>
                <w:color w:val="auto"/>
                <w:kern w:val="0"/>
                <w:szCs w:val="21"/>
                <w:highlight w:val="none"/>
              </w:rPr>
              <w:t>其中非联合体投标的，须投标人所属红名单类别包含在招标范围内；</w:t>
            </w:r>
            <w:r>
              <w:rPr>
                <w:rFonts w:hint="eastAsia" w:ascii="宋体" w:hAnsi="宋体"/>
                <w:color w:val="auto"/>
                <w:spacing w:val="4"/>
                <w:kern w:val="0"/>
                <w:szCs w:val="21"/>
                <w:highlight w:val="none"/>
              </w:rPr>
              <w:t>联合体投标的，须联合体牵头人在红名单中</w:t>
            </w:r>
            <w:r>
              <w:rPr>
                <w:rFonts w:hint="eastAsia" w:ascii="宋体" w:hAnsi="宋体"/>
                <w:iCs/>
                <w:color w:val="auto"/>
                <w:kern w:val="0"/>
                <w:szCs w:val="21"/>
                <w:highlight w:val="none"/>
              </w:rPr>
              <w:t>，并且按照</w:t>
            </w:r>
            <w:r>
              <w:rPr>
                <w:rFonts w:hint="eastAsia" w:ascii="宋体" w:hAnsi="宋体"/>
                <w:iCs/>
                <w:color w:val="auto"/>
                <w:kern w:val="0"/>
                <w:szCs w:val="21"/>
                <w:highlight w:val="none"/>
                <w:lang w:eastAsia="zh-CN"/>
              </w:rPr>
              <w:t>共同投标协议</w:t>
            </w:r>
            <w:r>
              <w:rPr>
                <w:rFonts w:hint="eastAsia" w:ascii="宋体" w:hAnsi="宋体"/>
                <w:iCs/>
                <w:color w:val="auto"/>
                <w:kern w:val="0"/>
                <w:szCs w:val="21"/>
                <w:highlight w:val="none"/>
              </w:rPr>
              <w:t>牵头人所属红名单类别包含在其工作范围内。</w:t>
            </w:r>
            <w:r>
              <w:rPr>
                <w:rFonts w:hint="eastAsia" w:ascii="宋体" w:hAnsi="宋体"/>
                <w:color w:val="auto"/>
                <w:spacing w:val="4"/>
                <w:kern w:val="0"/>
                <w:szCs w:val="21"/>
                <w:highlight w:val="none"/>
              </w:rPr>
              <w:t>），投标人是否属于红名单，以开标环节信用状况查询结果为准</w:t>
            </w:r>
            <w:r>
              <w:rPr>
                <w:rFonts w:hint="eastAsia" w:ascii="宋体" w:hAnsi="宋体"/>
                <w:color w:val="auto"/>
                <w:kern w:val="0"/>
                <w:szCs w:val="21"/>
                <w:highlight w:val="none"/>
              </w:rPr>
              <w:t>；投标人均在红名单中</w:t>
            </w:r>
            <w:r>
              <w:rPr>
                <w:rFonts w:hint="eastAsia" w:ascii="宋体" w:hAnsi="宋体"/>
                <w:color w:val="auto"/>
                <w:spacing w:val="4"/>
                <w:kern w:val="0"/>
                <w:szCs w:val="21"/>
                <w:highlight w:val="none"/>
              </w:rPr>
              <w:t>或均不在红名单中的，由评标委员会按照</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rPr>
              <w:t>原则排序。</w:t>
            </w:r>
            <w:r>
              <w:rPr>
                <w:rFonts w:hint="eastAsia" w:ascii="宋体" w:hAnsi="宋体"/>
                <w:i/>
                <w:color w:val="auto"/>
                <w:spacing w:val="4"/>
                <w:kern w:val="0"/>
                <w:szCs w:val="21"/>
                <w:highlight w:val="none"/>
              </w:rPr>
              <w:t>[提示：由招标人事先在招标文件中按照有利于合同履行的原则确定</w:t>
            </w:r>
            <w:r>
              <w:rPr>
                <w:rFonts w:hint="eastAsia" w:asciiTheme="minorEastAsia" w:hAnsiTheme="minorEastAsia" w:eastAsiaTheme="minorEastAsia" w:cstheme="minorEastAsia"/>
                <w:i/>
                <w:color w:val="auto"/>
                <w:spacing w:val="4"/>
                <w:kern w:val="0"/>
                <w:szCs w:val="21"/>
                <w:highlight w:val="none"/>
              </w:rPr>
              <w:t>，但不得采用抽签、摇号方式直接确定中标候选人</w:t>
            </w:r>
            <w:r>
              <w:rPr>
                <w:rFonts w:hint="eastAsia" w:ascii="宋体" w:hAnsi="宋体"/>
                <w:i/>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3.4</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评标结果</w:t>
            </w:r>
          </w:p>
        </w:tc>
        <w:tc>
          <w:tcPr>
            <w:tcW w:w="6882"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ascii="宋体" w:hAnsi="宋体"/>
                <w:color w:val="auto"/>
                <w:kern w:val="0"/>
                <w:szCs w:val="21"/>
                <w:highlight w:val="none"/>
              </w:rPr>
              <w:t>除第二章“投标</w:t>
            </w:r>
            <w:r>
              <w:rPr>
                <w:rFonts w:ascii="宋体" w:hAnsi="宋体"/>
                <w:color w:val="auto"/>
                <w:spacing w:val="1"/>
                <w:kern w:val="0"/>
                <w:szCs w:val="21"/>
                <w:highlight w:val="none"/>
              </w:rPr>
              <w:t>人</w:t>
            </w:r>
            <w:r>
              <w:rPr>
                <w:rFonts w:ascii="宋体" w:hAnsi="宋体"/>
                <w:color w:val="auto"/>
                <w:kern w:val="0"/>
                <w:szCs w:val="21"/>
                <w:highlight w:val="none"/>
              </w:rPr>
              <w:t>须知”前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ascii="宋体" w:hAnsi="宋体"/>
                <w:color w:val="auto"/>
                <w:kern w:val="0"/>
                <w:szCs w:val="21"/>
                <w:highlight w:val="none"/>
              </w:rPr>
              <w:t>推荐中标候选人。</w:t>
            </w:r>
          </w:p>
          <w:p>
            <w:pPr>
              <w:spacing w:line="400" w:lineRule="exact"/>
              <w:ind w:firstLine="424" w:firstLineChars="200"/>
              <w:rPr>
                <w:rFonts w:ascii="宋体" w:hAnsi="宋体"/>
                <w:color w:val="auto"/>
                <w:highlight w:val="none"/>
              </w:rPr>
            </w:pPr>
            <w:r>
              <w:rPr>
                <w:rFonts w:ascii="宋体" w:hAnsi="宋体"/>
                <w:color w:val="auto"/>
                <w:spacing w:val="1"/>
                <w:kern w:val="0"/>
                <w:szCs w:val="21"/>
                <w:highlight w:val="none"/>
              </w:rPr>
              <w:t>3</w:t>
            </w:r>
            <w:r>
              <w:rPr>
                <w:rFonts w:ascii="宋体" w:hAnsi="宋体"/>
                <w:color w:val="auto"/>
                <w:kern w:val="0"/>
                <w:szCs w:val="21"/>
                <w:highlight w:val="none"/>
              </w:rPr>
              <w:t>.4.2</w:t>
            </w:r>
            <w:r>
              <w:rPr>
                <w:rFonts w:hint="eastAsia" w:ascii="宋体" w:hAnsi="宋体"/>
                <w:color w:val="auto"/>
                <w:kern w:val="0"/>
                <w:szCs w:val="21"/>
                <w:highlight w:val="none"/>
              </w:rPr>
              <w:t xml:space="preserve"> </w:t>
            </w:r>
            <w:r>
              <w:rPr>
                <w:rFonts w:ascii="宋体" w:hAnsi="宋体"/>
                <w:color w:val="auto"/>
                <w:kern w:val="0"/>
                <w:szCs w:val="21"/>
                <w:highlight w:val="none"/>
              </w:rPr>
              <w:t>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p>
        </w:tc>
      </w:tr>
    </w:tbl>
    <w:p>
      <w:pPr>
        <w:pStyle w:val="2"/>
      </w:pPr>
    </w:p>
    <w:p>
      <w:pPr>
        <w:pStyle w:val="4"/>
        <w:spacing w:before="0" w:after="0" w:line="360" w:lineRule="auto"/>
        <w:rPr>
          <w:rFonts w:ascii="宋体" w:hAnsi="宋体"/>
          <w:bCs w:val="0"/>
          <w:snapToGrid w:val="0"/>
        </w:rPr>
      </w:pPr>
      <w:r>
        <w:rPr>
          <w:rFonts w:ascii="宋体" w:hAnsi="宋体"/>
          <w:bCs w:val="0"/>
          <w:snapToGrid w:val="0"/>
          <w:color w:val="auto"/>
          <w:highlight w:val="none"/>
        </w:rPr>
        <w:br w:type="page"/>
      </w:r>
      <w:bookmarkStart w:id="765" w:name="_Toc7536"/>
      <w:bookmarkStart w:id="766" w:name="_Toc22521"/>
      <w:bookmarkStart w:id="767" w:name="_Toc2704"/>
      <w:bookmarkStart w:id="768" w:name="_Toc22617"/>
      <w:bookmarkStart w:id="769" w:name="_Toc25275"/>
      <w:bookmarkStart w:id="770" w:name="_Toc32646"/>
      <w:bookmarkStart w:id="771" w:name="_Toc29275"/>
      <w:r>
        <w:rPr>
          <w:rFonts w:ascii="宋体" w:hAnsi="宋体"/>
          <w:b w:val="0"/>
          <w:snapToGrid w:val="0"/>
        </w:rPr>
        <w:t>1.  评标方法</w:t>
      </w:r>
      <w:bookmarkEnd w:id="765"/>
      <w:bookmarkEnd w:id="766"/>
      <w:bookmarkEnd w:id="767"/>
      <w:bookmarkEnd w:id="768"/>
    </w:p>
    <w:p>
      <w:pPr>
        <w:spacing w:line="360" w:lineRule="auto"/>
        <w:ind w:firstLine="420" w:firstLineChars="200"/>
        <w:rPr>
          <w:rFonts w:ascii="宋体" w:hAnsi="宋体"/>
        </w:rPr>
      </w:pPr>
      <w:r>
        <w:rPr>
          <w:rFonts w:hint="eastAsia" w:ascii="宋体" w:hAnsi="宋体"/>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r>
        <w:rPr>
          <w:rFonts w:hint="eastAsia" w:ascii="宋体" w:hAnsi="宋体"/>
        </w:rPr>
        <w:t>。</w:t>
      </w:r>
    </w:p>
    <w:p>
      <w:pPr>
        <w:pStyle w:val="4"/>
        <w:spacing w:before="0" w:after="0" w:line="360" w:lineRule="auto"/>
        <w:rPr>
          <w:rFonts w:ascii="宋体" w:hAnsi="宋体"/>
          <w:b w:val="0"/>
          <w:snapToGrid w:val="0"/>
        </w:rPr>
      </w:pPr>
      <w:bookmarkStart w:id="772" w:name="_Toc21533"/>
      <w:bookmarkStart w:id="773" w:name="_Toc29050"/>
      <w:bookmarkStart w:id="774" w:name="_Toc17856"/>
      <w:bookmarkStart w:id="775" w:name="_Toc25266"/>
      <w:r>
        <w:rPr>
          <w:rFonts w:ascii="宋体" w:hAnsi="宋体"/>
          <w:b w:val="0"/>
          <w:snapToGrid w:val="0"/>
        </w:rPr>
        <w:t>2.  评审标准</w:t>
      </w:r>
      <w:bookmarkEnd w:id="772"/>
      <w:bookmarkEnd w:id="773"/>
      <w:bookmarkEnd w:id="774"/>
      <w:bookmarkEnd w:id="775"/>
    </w:p>
    <w:p>
      <w:pPr>
        <w:pStyle w:val="5"/>
        <w:spacing w:before="0" w:after="0" w:line="360" w:lineRule="auto"/>
        <w:rPr>
          <w:rFonts w:ascii="宋体" w:hAnsi="宋体" w:cs="宋体"/>
          <w:sz w:val="21"/>
          <w:szCs w:val="21"/>
        </w:rPr>
      </w:pPr>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r>
        <w:rPr>
          <w:rFonts w:hint="eastAsia" w:ascii="宋体" w:hAnsi="宋体" w:cs="宋体"/>
          <w:sz w:val="21"/>
          <w:szCs w:val="21"/>
        </w:rPr>
        <w:t>标准</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5"/>
        <w:spacing w:before="0" w:after="0" w:line="360" w:lineRule="auto"/>
        <w:rPr>
          <w:rFonts w:ascii="宋体" w:hAnsi="宋体" w:cs="宋体"/>
          <w:sz w:val="21"/>
          <w:szCs w:val="21"/>
        </w:rPr>
      </w:pPr>
      <w:r>
        <w:rPr>
          <w:rFonts w:ascii="宋体" w:hAnsi="宋体" w:cs="宋体"/>
          <w:sz w:val="21"/>
          <w:szCs w:val="21"/>
        </w:rPr>
        <w:t>2.</w:t>
      </w:r>
      <w:r>
        <w:rPr>
          <w:rFonts w:hint="eastAsia" w:ascii="宋体" w:hAnsi="宋体" w:cs="宋体"/>
          <w:sz w:val="21"/>
          <w:szCs w:val="21"/>
        </w:rPr>
        <w:t>2符合性审查标准</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按评标办法前附表约定的投标单位报价排序数量进行符合性审查</w:t>
      </w:r>
      <w:r>
        <w:rPr>
          <w:rFonts w:hint="eastAsia" w:ascii="宋体" w:hAnsi="宋体"/>
          <w:color w:val="auto"/>
          <w:spacing w:val="4"/>
          <w:kern w:val="0"/>
          <w:szCs w:val="21"/>
          <w:highlight w:val="none"/>
        </w:rPr>
        <w:t>。符合性审查内容：技术方案评审（如有）、资格评审、形式评审、响应性、投标函部分及</w:t>
      </w:r>
      <w:r>
        <w:rPr>
          <w:rFonts w:hint="eastAsia" w:ascii="宋体" w:hAnsi="宋体"/>
          <w:color w:val="auto"/>
          <w:spacing w:val="4"/>
          <w:kern w:val="0"/>
          <w:szCs w:val="21"/>
          <w:highlight w:val="none"/>
          <w:lang w:eastAsia="zh-CN"/>
        </w:rPr>
        <w:t>报价部分</w:t>
      </w:r>
      <w:r>
        <w:rPr>
          <w:rFonts w:hint="eastAsia" w:ascii="宋体" w:hAnsi="宋体"/>
          <w:color w:val="auto"/>
          <w:spacing w:val="4"/>
          <w:kern w:val="0"/>
          <w:szCs w:val="21"/>
          <w:highlight w:val="none"/>
        </w:rPr>
        <w:t>评审</w:t>
      </w:r>
      <w:r>
        <w:rPr>
          <w:rFonts w:hint="eastAsia" w:ascii="宋体" w:hAnsi="宋体" w:cs="宋体"/>
          <w:color w:val="auto"/>
          <w:szCs w:val="21"/>
          <w:highlight w:val="none"/>
        </w:rPr>
        <w:t>。</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2.2.1  技术方案评审标准：见评标办法前附表。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2B  资格评审标准：见评标办法前附表。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color w:val="auto"/>
          <w:szCs w:val="21"/>
          <w:highlight w:val="none"/>
        </w:rPr>
        <w:t>2.2.5  投标函部分及</w:t>
      </w:r>
      <w:r>
        <w:rPr>
          <w:rFonts w:hint="eastAsia" w:ascii="宋体" w:hAnsi="宋体" w:cs="宋体"/>
          <w:color w:val="auto"/>
          <w:szCs w:val="21"/>
          <w:highlight w:val="none"/>
          <w:lang w:eastAsia="zh-CN"/>
        </w:rPr>
        <w:t>报价部分</w:t>
      </w:r>
      <w:r>
        <w:rPr>
          <w:rFonts w:hint="eastAsia" w:ascii="宋体" w:hAnsi="宋体" w:cs="宋体"/>
          <w:color w:val="auto"/>
          <w:szCs w:val="21"/>
          <w:highlight w:val="none"/>
        </w:rPr>
        <w:t>评审标准：见评标办法前附表</w:t>
      </w:r>
      <w:r>
        <w:rPr>
          <w:rFonts w:hint="eastAsia" w:ascii="宋体" w:hAnsi="宋体" w:cs="宋体"/>
          <w:szCs w:val="21"/>
        </w:rPr>
        <w:t>。</w:t>
      </w:r>
    </w:p>
    <w:p>
      <w:pPr>
        <w:pStyle w:val="4"/>
        <w:spacing w:before="0" w:after="0" w:line="360" w:lineRule="auto"/>
        <w:rPr>
          <w:rFonts w:ascii="宋体" w:hAnsi="宋体"/>
          <w:b w:val="0"/>
          <w:snapToGrid w:val="0"/>
        </w:rPr>
      </w:pPr>
      <w:bookmarkStart w:id="776" w:name="_Toc19866"/>
      <w:bookmarkStart w:id="777" w:name="_Toc32681"/>
      <w:bookmarkStart w:id="778" w:name="_Toc1704"/>
      <w:bookmarkStart w:id="779" w:name="_Toc29970"/>
      <w:r>
        <w:rPr>
          <w:rFonts w:ascii="宋体" w:hAnsi="宋体"/>
          <w:b w:val="0"/>
          <w:snapToGrid w:val="0"/>
        </w:rPr>
        <w:t>3.  评标程序</w:t>
      </w:r>
      <w:bookmarkEnd w:id="776"/>
      <w:bookmarkEnd w:id="777"/>
      <w:bookmarkEnd w:id="778"/>
      <w:bookmarkEnd w:id="779"/>
    </w:p>
    <w:p>
      <w:pPr>
        <w:pStyle w:val="5"/>
        <w:spacing w:before="0" w:after="0" w:line="360" w:lineRule="auto"/>
        <w:rPr>
          <w:rFonts w:ascii="宋体" w:hAnsi="宋体" w:cs="宋体"/>
          <w:sz w:val="21"/>
          <w:szCs w:val="21"/>
        </w:rPr>
      </w:pPr>
      <w:r>
        <w:rPr>
          <w:rFonts w:ascii="宋体" w:hAnsi="宋体" w:cs="宋体"/>
          <w:sz w:val="21"/>
          <w:szCs w:val="21"/>
        </w:rPr>
        <w:t>3.1</w:t>
      </w:r>
      <w:r>
        <w:rPr>
          <w:rFonts w:hint="eastAsia" w:ascii="宋体" w:hAnsi="宋体" w:cs="宋体"/>
          <w:sz w:val="21"/>
          <w:szCs w:val="21"/>
        </w:rPr>
        <w:t>报价排序</w:t>
      </w:r>
    </w:p>
    <w:p>
      <w:pPr>
        <w:spacing w:line="360" w:lineRule="auto"/>
        <w:ind w:firstLine="413" w:firstLineChars="197"/>
        <w:rPr>
          <w:rFonts w:ascii="宋体" w:hAnsi="宋体" w:cs="宋体"/>
          <w:szCs w:val="21"/>
        </w:rPr>
      </w:pPr>
      <w:r>
        <w:rPr>
          <w:rFonts w:hint="eastAsia" w:ascii="宋体" w:hAnsi="宋体" w:cs="宋体"/>
          <w:color w:val="auto"/>
          <w:szCs w:val="21"/>
          <w:highlight w:val="none"/>
        </w:rPr>
        <w:t>对报价不高于最高限价的所有投标人的投标文件，按照报价由低到高的顺序排序。需技术方案评审的，由电子评标系统对技术方案进行自动随机编号。在投标函部分及</w:t>
      </w:r>
      <w:r>
        <w:rPr>
          <w:rFonts w:hint="eastAsia" w:ascii="宋体" w:hAnsi="宋体" w:cs="宋体"/>
          <w:color w:val="auto"/>
          <w:szCs w:val="21"/>
          <w:highlight w:val="none"/>
          <w:lang w:eastAsia="zh-CN"/>
        </w:rPr>
        <w:t>报价部分</w:t>
      </w:r>
      <w:r>
        <w:rPr>
          <w:rFonts w:hint="eastAsia" w:ascii="宋体" w:hAnsi="宋体" w:cs="宋体"/>
          <w:color w:val="auto"/>
          <w:szCs w:val="21"/>
          <w:highlight w:val="none"/>
        </w:rPr>
        <w:t>评审前，推送给评标委员会的投标文件不得显示排序</w:t>
      </w:r>
      <w:r>
        <w:rPr>
          <w:rFonts w:hint="eastAsia" w:ascii="宋体" w:hAnsi="宋体" w:cs="宋体"/>
          <w:szCs w:val="21"/>
        </w:rPr>
        <w:t>。</w:t>
      </w:r>
    </w:p>
    <w:p>
      <w:pPr>
        <w:pStyle w:val="5"/>
        <w:spacing w:before="0" w:after="0" w:line="360" w:lineRule="auto"/>
        <w:rPr>
          <w:rFonts w:ascii="宋体" w:hAnsi="宋体" w:cs="宋体"/>
          <w:sz w:val="21"/>
          <w:szCs w:val="21"/>
        </w:rPr>
      </w:pPr>
      <w:r>
        <w:rPr>
          <w:rFonts w:ascii="宋体" w:hAnsi="宋体" w:cs="宋体"/>
          <w:sz w:val="21"/>
          <w:szCs w:val="21"/>
        </w:rPr>
        <w:t>3.</w:t>
      </w:r>
      <w:r>
        <w:rPr>
          <w:rFonts w:hint="eastAsia" w:ascii="宋体" w:hAnsi="宋体" w:cs="宋体"/>
          <w:sz w:val="21"/>
          <w:szCs w:val="21"/>
        </w:rPr>
        <w:t>2符合性审查</w:t>
      </w:r>
    </w:p>
    <w:p>
      <w:pPr>
        <w:spacing w:line="360" w:lineRule="auto"/>
        <w:ind w:firstLine="413" w:firstLineChars="197"/>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款规定的标准对投标文件进行符合性审查。符合性审查顺序：技术方案评审（如有）、资格评审、形式评审、响应性、投标函部分及</w:t>
      </w:r>
      <w:r>
        <w:rPr>
          <w:rFonts w:hint="eastAsia" w:ascii="宋体" w:hAnsi="宋体" w:cs="宋体"/>
          <w:color w:val="auto"/>
          <w:szCs w:val="21"/>
          <w:highlight w:val="none"/>
          <w:lang w:eastAsia="zh-CN"/>
        </w:rPr>
        <w:t>报价部分</w:t>
      </w:r>
      <w:r>
        <w:rPr>
          <w:rFonts w:hint="eastAsia" w:ascii="宋体" w:hAnsi="宋体" w:cs="宋体"/>
          <w:color w:val="auto"/>
          <w:szCs w:val="21"/>
          <w:highlight w:val="none"/>
        </w:rPr>
        <w:t>评审。</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勾选技术方案评审的，符合性审查应首先进行技术方案审查，再按照资格、形式、响应性、投标函部分及</w:t>
      </w:r>
      <w:r>
        <w:rPr>
          <w:rFonts w:hint="eastAsia" w:ascii="宋体" w:hAnsi="宋体" w:cs="宋体"/>
          <w:color w:val="auto"/>
          <w:szCs w:val="21"/>
          <w:highlight w:val="none"/>
          <w:lang w:eastAsia="zh-CN"/>
        </w:rPr>
        <w:t>报价部分</w:t>
      </w:r>
      <w:r>
        <w:rPr>
          <w:rFonts w:hint="eastAsia" w:ascii="宋体" w:hAnsi="宋体" w:cs="宋体"/>
          <w:color w:val="auto"/>
          <w:szCs w:val="21"/>
          <w:highlight w:val="none"/>
        </w:rPr>
        <w:t>的顺序进行评审。有一项不符合评审标准的，作否决投标处理。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（1</w:t>
      </w:r>
      <w:r>
        <w:rPr>
          <w:rFonts w:ascii="宋体" w:hAnsi="宋体" w:cs="宋体"/>
          <w:color w:val="auto"/>
          <w:szCs w:val="21"/>
          <w:highlight w:val="none"/>
        </w:rPr>
        <w:t xml:space="preserve">）第二章“投标人须知”第1.4.3 </w:t>
      </w:r>
      <w:r>
        <w:rPr>
          <w:rFonts w:hint="eastAsia" w:ascii="宋体" w:hAnsi="宋体" w:cs="宋体"/>
          <w:color w:val="auto"/>
          <w:szCs w:val="21"/>
          <w:highlight w:val="none"/>
        </w:rPr>
        <w:t>项</w:t>
      </w:r>
      <w:r>
        <w:rPr>
          <w:rFonts w:ascii="宋体" w:hAnsi="宋体" w:cs="宋体"/>
          <w:color w:val="auto"/>
          <w:szCs w:val="21"/>
          <w:highlight w:val="none"/>
        </w:rPr>
        <w:t>规定的任何一种情形的；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本次投标有串通投标、弄虚作假等其他违反招投标相关法律、法规行为的；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3.2.3 投标报价有算术错误的，评标委员会按以下原则对投标报价进行修正，修正的价格经投标人书面确认后具有约束力，修正原则如下：</w:t>
      </w:r>
    </w:p>
    <w:p>
      <w:pPr>
        <w:spacing w:line="360" w:lineRule="auto"/>
        <w:ind w:firstLine="420" w:firstLineChars="200"/>
        <w:rPr>
          <w:rFonts w:hint="eastAsia" w:ascii="宋体" w:hAnsi="宋体" w:eastAsia="宋体" w:cs="宋体"/>
          <w:szCs w:val="21"/>
          <w:lang w:eastAsia="zh-CN"/>
        </w:rPr>
      </w:pPr>
      <w:r>
        <w:rPr>
          <w:rFonts w:hint="eastAsia" w:ascii="宋体" w:hAnsi="宋体" w:cs="宋体"/>
          <w:color w:val="auto"/>
          <w:szCs w:val="21"/>
          <w:highlight w:val="none"/>
        </w:rPr>
        <w:t>（1）投标文件中的大写金额与小写金额不一致的，以大写金额为准</w:t>
      </w:r>
      <w:r>
        <w:rPr>
          <w:rFonts w:hint="eastAsia" w:ascii="宋体" w:hAnsi="宋体" w:cs="宋体"/>
          <w:szCs w:val="21"/>
          <w:lang w:eastAsia="zh-CN"/>
        </w:rPr>
        <w:t>；</w:t>
      </w:r>
    </w:p>
    <w:p>
      <w:pPr>
        <w:pStyle w:val="5"/>
        <w:spacing w:before="0" w:after="0" w:line="360" w:lineRule="auto"/>
        <w:rPr>
          <w:rFonts w:ascii="宋体" w:hAnsi="宋体" w:cs="宋体"/>
          <w:sz w:val="21"/>
          <w:szCs w:val="21"/>
        </w:rPr>
      </w:pPr>
      <w:r>
        <w:rPr>
          <w:rFonts w:ascii="宋体" w:hAnsi="宋体" w:cs="宋体"/>
          <w:sz w:val="21"/>
          <w:szCs w:val="21"/>
        </w:rPr>
        <w:t>3.</w:t>
      </w:r>
      <w:r>
        <w:rPr>
          <w:rFonts w:hint="eastAsia" w:ascii="宋体" w:hAnsi="宋体" w:cs="宋体"/>
          <w:sz w:val="21"/>
          <w:szCs w:val="21"/>
        </w:rPr>
        <w:t>3</w:t>
      </w:r>
      <w:r>
        <w:rPr>
          <w:rFonts w:ascii="宋体" w:hAnsi="宋体" w:cs="宋体"/>
          <w:sz w:val="21"/>
          <w:szCs w:val="21"/>
        </w:rPr>
        <w:t xml:space="preserve"> </w:t>
      </w:r>
      <w:r>
        <w:rPr>
          <w:rFonts w:hint="eastAsia" w:ascii="宋体" w:hAnsi="宋体" w:cs="宋体"/>
          <w:sz w:val="21"/>
          <w:szCs w:val="21"/>
        </w:rPr>
        <w:t>投标文件的澄清和补正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.1 </w:t>
      </w:r>
      <w:r>
        <w:rPr>
          <w:rFonts w:hint="eastAsia" w:ascii="宋体" w:hAnsi="宋体" w:cs="宋体"/>
          <w:color w:val="auto"/>
          <w:szCs w:val="21"/>
          <w:highlight w:val="none"/>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.2 </w:t>
      </w:r>
      <w:r>
        <w:rPr>
          <w:rFonts w:hint="eastAsia" w:ascii="宋体" w:hAnsi="宋体" w:cs="宋体"/>
          <w:color w:val="auto"/>
          <w:szCs w:val="21"/>
          <w:highlight w:val="none"/>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szCs w:val="21"/>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.3 </w:t>
      </w:r>
      <w:r>
        <w:rPr>
          <w:rFonts w:hint="eastAsia" w:ascii="宋体" w:hAnsi="宋体" w:cs="宋体"/>
          <w:color w:val="auto"/>
          <w:szCs w:val="21"/>
          <w:highlight w:val="none"/>
        </w:rPr>
        <w:t>评标委员会对投标人提交的澄清、说明或补正有疑问的，可以要求投标人进一步澄清、说明或补正，直至满足评标委员会的要求</w:t>
      </w:r>
      <w:r>
        <w:rPr>
          <w:rFonts w:hint="eastAsia" w:ascii="宋体" w:hAnsi="宋体" w:cs="宋体"/>
          <w:szCs w:val="21"/>
        </w:rPr>
        <w:t>。</w:t>
      </w:r>
    </w:p>
    <w:p>
      <w:pPr>
        <w:pStyle w:val="5"/>
        <w:spacing w:before="0" w:after="0" w:line="360" w:lineRule="auto"/>
        <w:rPr>
          <w:rFonts w:ascii="宋体" w:hAnsi="宋体" w:cs="宋体"/>
          <w:sz w:val="21"/>
          <w:szCs w:val="21"/>
        </w:rPr>
      </w:pPr>
      <w:r>
        <w:rPr>
          <w:rFonts w:ascii="宋体" w:hAnsi="宋体" w:cs="宋体"/>
          <w:sz w:val="21"/>
          <w:szCs w:val="21"/>
        </w:rPr>
        <w:t>3.</w:t>
      </w:r>
      <w:r>
        <w:rPr>
          <w:rFonts w:hint="eastAsia" w:ascii="宋体" w:hAnsi="宋体" w:cs="宋体"/>
          <w:sz w:val="21"/>
          <w:szCs w:val="21"/>
        </w:rPr>
        <w:t>4</w:t>
      </w:r>
      <w:r>
        <w:rPr>
          <w:rFonts w:ascii="宋体" w:hAnsi="宋体" w:cs="宋体"/>
          <w:sz w:val="21"/>
          <w:szCs w:val="21"/>
        </w:rPr>
        <w:t xml:space="preserve"> </w:t>
      </w:r>
      <w:r>
        <w:rPr>
          <w:rFonts w:hint="eastAsia" w:ascii="宋体" w:hAnsi="宋体" w:cs="宋体"/>
          <w:sz w:val="21"/>
          <w:szCs w:val="21"/>
        </w:rPr>
        <w:t>评标结果</w:t>
      </w:r>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.1</w:t>
      </w:r>
      <w:r>
        <w:rPr>
          <w:rFonts w:hint="eastAsia" w:ascii="宋体" w:hAnsi="宋体" w:cs="宋体"/>
          <w:color w:val="auto"/>
          <w:szCs w:val="21"/>
          <w:highlight w:val="none"/>
        </w:rPr>
        <w:t xml:space="preserve"> 除第二章“投标人须知”前附表授权直接确定中标人外，评标委员会按经评审的最低投标价法推荐中标候选人。</w:t>
      </w:r>
    </w:p>
    <w:p>
      <w:pPr>
        <w:spacing w:line="360" w:lineRule="auto"/>
        <w:ind w:firstLine="420" w:firstLineChars="200"/>
        <w:jc w:val="left"/>
        <w:rPr>
          <w:rFonts w:hint="eastAsia"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评标委员会完成评标后，应当向招标人提交书面评标报告和中标候选人名单。</w:t>
      </w:r>
    </w:p>
    <w:p>
      <w:pPr>
        <w:spacing w:line="360" w:lineRule="auto"/>
        <w:ind w:firstLine="420" w:firstLineChars="200"/>
        <w:jc w:val="left"/>
        <w:rPr>
          <w:rFonts w:ascii="宋体" w:hAnsi="宋体" w:cs="宋体"/>
          <w:color w:val="auto"/>
          <w:szCs w:val="21"/>
          <w:highlight w:val="none"/>
        </w:rPr>
      </w:pPr>
      <w:r>
        <w:rPr>
          <w:rFonts w:hint="eastAsia" w:asciiTheme="minorEastAsia" w:hAnsiTheme="minorEastAsia" w:eastAsiaTheme="minorEastAsia"/>
          <w:color w:val="auto"/>
          <w:kern w:val="0"/>
          <w:szCs w:val="21"/>
          <w:highlight w:val="none"/>
          <w:lang w:val="en-US" w:eastAsia="zh-CN"/>
        </w:rPr>
        <w:t>3.4.3 有效投标不足三个的，应当对投标是否明显缺乏竞争和是否需要否决全部投标进行充分论证，并在评标报告中记载论证过程和结果</w:t>
      </w:r>
      <w:r>
        <w:rPr>
          <w:rFonts w:hint="eastAsia" w:asciiTheme="minorEastAsia" w:hAnsiTheme="minorEastAsia" w:eastAsiaTheme="minorEastAsia"/>
          <w:b w:val="0"/>
          <w:bCs w:val="0"/>
          <w:color w:val="auto"/>
          <w:kern w:val="0"/>
          <w:sz w:val="21"/>
          <w:szCs w:val="21"/>
          <w:highlight w:val="none"/>
          <w:lang w:val="en-US" w:eastAsia="zh-CN"/>
        </w:rPr>
        <w:t>。</w:t>
      </w:r>
      <w:bookmarkEnd w:id="769"/>
      <w:bookmarkEnd w:id="770"/>
      <w:bookmarkEnd w:id="771"/>
    </w:p>
    <w:p>
      <w:pPr>
        <w:pStyle w:val="33"/>
        <w:spacing w:line="360" w:lineRule="auto"/>
        <w:rPr>
          <w:rFonts w:ascii="宋体" w:hAnsi="宋体"/>
          <w:b/>
          <w:color w:val="auto"/>
          <w:sz w:val="28"/>
          <w:szCs w:val="28"/>
          <w:highlight w:val="none"/>
          <w:u w:val="none"/>
          <w:lang w:eastAsia="zh-CN"/>
        </w:rPr>
      </w:pPr>
      <w:r>
        <w:rPr>
          <w:rFonts w:ascii="宋体" w:hAnsi="宋体" w:cs="宋体"/>
          <w:color w:val="auto"/>
          <w:szCs w:val="21"/>
          <w:highlight w:val="none"/>
          <w:lang w:eastAsia="zh-CN"/>
        </w:rPr>
        <w:br w:type="page"/>
      </w:r>
      <w:r>
        <w:rPr>
          <w:rFonts w:ascii="宋体" w:hAnsi="宋体"/>
          <w:b/>
          <w:color w:val="auto"/>
          <w:sz w:val="28"/>
          <w:szCs w:val="28"/>
          <w:highlight w:val="none"/>
          <w:u w:val="none"/>
          <w:lang w:eastAsia="zh-CN"/>
        </w:rPr>
        <w:t>附件A：</w:t>
      </w:r>
      <w:r>
        <w:rPr>
          <w:rFonts w:hint="eastAsia" w:ascii="宋体" w:hAnsi="宋体"/>
          <w:b/>
          <w:color w:val="auto"/>
          <w:sz w:val="28"/>
          <w:szCs w:val="28"/>
          <w:highlight w:val="none"/>
          <w:u w:val="none"/>
          <w:lang w:eastAsia="zh-CN"/>
        </w:rPr>
        <w:t>经评审的最低投标价法</w:t>
      </w:r>
      <w:r>
        <w:rPr>
          <w:rFonts w:ascii="宋体" w:hAnsi="宋体"/>
          <w:b/>
          <w:color w:val="auto"/>
          <w:sz w:val="28"/>
          <w:szCs w:val="28"/>
          <w:highlight w:val="none"/>
          <w:u w:val="none"/>
          <w:lang w:eastAsia="zh-CN"/>
        </w:rPr>
        <w:t>否决投标情况一览表</w:t>
      </w:r>
    </w:p>
    <w:p>
      <w:pPr>
        <w:pStyle w:val="33"/>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r>
        <w:rPr>
          <w:rFonts w:ascii="宋体" w:hAnsi="宋体"/>
          <w:color w:val="auto"/>
          <w:sz w:val="21"/>
          <w:szCs w:val="21"/>
          <w:highlight w:val="none"/>
          <w:u w:val="none"/>
          <w:lang w:eastAsia="zh-CN"/>
        </w:rPr>
        <w:t>。</w:t>
      </w:r>
    </w:p>
    <w:tbl>
      <w:tblPr>
        <w:tblStyle w:val="45"/>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章节号</w:t>
            </w:r>
          </w:p>
        </w:tc>
        <w:tc>
          <w:tcPr>
            <w:tcW w:w="1515"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6333"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第三章</w:t>
            </w:r>
          </w:p>
        </w:tc>
        <w:tc>
          <w:tcPr>
            <w:tcW w:w="1515" w:type="dxa"/>
            <w:tcBorders>
              <w:bottom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技术方案评审</w:t>
            </w:r>
          </w:p>
          <w:p>
            <w:pPr>
              <w:spacing w:line="400" w:lineRule="exact"/>
              <w:jc w:val="center"/>
              <w:rPr>
                <w:rFonts w:ascii="宋体" w:hAnsi="宋体"/>
                <w:color w:val="auto"/>
                <w:szCs w:val="21"/>
                <w:highlight w:val="none"/>
              </w:rPr>
            </w:pPr>
            <w:r>
              <w:rPr>
                <w:rFonts w:hint="eastAsia" w:ascii="宋体" w:hAnsi="宋体"/>
                <w:color w:val="auto"/>
                <w:szCs w:val="21"/>
                <w:highlight w:val="none"/>
              </w:rPr>
              <w:t>（如有）</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A-1投标人的技术方案综合性评审不合格，由评标委员会作否决投标处理。技术方案采用暗标评审时，其形式应符合第二章投标人须知前附表第3.7.5项（3）技术部分的要求，否则由评标委员会作否决投标处理。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A-2投标人的资质条件、</w:t>
            </w:r>
            <w:r>
              <w:rPr>
                <w:rFonts w:hint="eastAsia" w:ascii="宋体" w:hAnsi="宋体"/>
                <w:color w:val="auto"/>
                <w:szCs w:val="21"/>
                <w:highlight w:val="none"/>
                <w:lang w:eastAsia="zh-CN"/>
              </w:rPr>
              <w:t>独立法人资格</w:t>
            </w:r>
            <w:r>
              <w:rPr>
                <w:rFonts w:hint="eastAsia" w:ascii="宋体" w:hAnsi="宋体"/>
                <w:color w:val="auto"/>
                <w:szCs w:val="21"/>
                <w:highlight w:val="none"/>
              </w:rPr>
              <w:t>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A-6投标人的项目经理资格须满足投标人须知前附表第1.4.1项的要求，否则由评标委员会作否决投标处理。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A-7投标人的其他要求须满足投标人须知前附表第1.4.1项的要求，否则由评标委员会作否决投标处理。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A-8若有联合体投标人，则：</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（1）联合体各方应按照招标文件提供的格式签订</w:t>
            </w:r>
            <w:r>
              <w:rPr>
                <w:rFonts w:hint="eastAsia" w:ascii="宋体" w:hAnsi="宋体"/>
                <w:color w:val="auto"/>
                <w:szCs w:val="21"/>
                <w:highlight w:val="none"/>
                <w:lang w:eastAsia="zh-CN"/>
              </w:rPr>
              <w:t>共同投标协议</w:t>
            </w:r>
            <w:r>
              <w:rPr>
                <w:rFonts w:hint="eastAsia" w:ascii="宋体" w:hAnsi="宋体"/>
                <w:color w:val="auto"/>
                <w:szCs w:val="21"/>
                <w:highlight w:val="none"/>
              </w:rPr>
              <w:t>，明确联合体牵头人和各方权利义务；</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（2）联合体各方均应当具备承担招标项目的相应能力，</w:t>
            </w:r>
            <w:r>
              <w:rPr>
                <w:rFonts w:hint="eastAsia" w:ascii="宋体" w:hAnsi="宋体"/>
                <w:color w:val="auto"/>
                <w:szCs w:val="21"/>
                <w:highlight w:val="none"/>
                <w:lang w:eastAsia="zh-CN"/>
              </w:rPr>
              <w:t>共同投标协议</w:t>
            </w:r>
            <w:r>
              <w:rPr>
                <w:rFonts w:hint="eastAsia" w:ascii="宋体" w:hAnsi="宋体"/>
                <w:color w:val="auto"/>
                <w:szCs w:val="21"/>
                <w:highlight w:val="none"/>
              </w:rPr>
              <w:t>约定同一专业分工由两个及以上单位共同承担的，按照资质等级较低的单位确定资质等级；</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（3）联合体各方不得再以自己名义单独或参加其他联合体在同一标段中投标。</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A-9投标人名称必须与营业执照、资质证书、安全生产许可证一致，</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A-10投标文件格式（不含投标函部分）符合第二章“投标人须知”第3.7款的要求，否则由评标委员会作否决投标处理。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编制投标文件时不得对第八章“投标文件格式”的相应要素作实质性修改，否则</w:t>
            </w:r>
            <w:r>
              <w:rPr>
                <w:rFonts w:hint="eastAsia" w:ascii="宋体" w:hAnsi="宋体"/>
                <w:color w:val="auto"/>
                <w:szCs w:val="21"/>
                <w:highlight w:val="none"/>
              </w:rPr>
              <w:t>视为重大偏差，</w:t>
            </w:r>
            <w:r>
              <w:rPr>
                <w:rFonts w:hint="eastAsia" w:ascii="宋体" w:hAnsi="宋体"/>
                <w:color w:val="auto"/>
                <w:kern w:val="0"/>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A-11联合体参与投标的应提交</w:t>
            </w:r>
            <w:r>
              <w:rPr>
                <w:rFonts w:hint="eastAsia" w:ascii="宋体" w:hAnsi="宋体"/>
                <w:color w:val="auto"/>
                <w:szCs w:val="21"/>
                <w:highlight w:val="none"/>
                <w:lang w:eastAsia="zh-CN"/>
              </w:rPr>
              <w:t>共同投标协议</w:t>
            </w:r>
            <w:r>
              <w:rPr>
                <w:rFonts w:hint="eastAsia" w:ascii="宋体" w:hAnsi="宋体"/>
                <w:color w:val="auto"/>
                <w:szCs w:val="21"/>
                <w:highlight w:val="none"/>
              </w:rPr>
              <w:t>，并明确联合体牵头人。在</w:t>
            </w:r>
            <w:r>
              <w:rPr>
                <w:rFonts w:hint="eastAsia" w:ascii="宋体" w:hAnsi="宋体"/>
                <w:color w:val="auto"/>
                <w:szCs w:val="21"/>
                <w:highlight w:val="none"/>
                <w:lang w:eastAsia="zh-CN"/>
              </w:rPr>
              <w:t>共同投标协议</w:t>
            </w:r>
            <w:r>
              <w:rPr>
                <w:rFonts w:hint="eastAsia" w:ascii="宋体" w:hAnsi="宋体"/>
                <w:color w:val="auto"/>
                <w:szCs w:val="21"/>
                <w:highlight w:val="none"/>
              </w:rPr>
              <w:t>第5条联合体各成员单位内部的职责分工中填写的联合体所有成员单位名称应与其营业执照、资质证书、安全生产许可证一致，否则由评标委员会作否决投标处理。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A-12第八章 投标文件格式（不含投标函部分）要求法定代表人</w:t>
            </w:r>
            <w:r>
              <w:rPr>
                <w:rFonts w:hint="eastAsia" w:ascii="宋体" w:hAnsi="宋体"/>
                <w:color w:val="auto"/>
                <w:szCs w:val="21"/>
                <w:highlight w:val="none"/>
                <w:lang w:eastAsia="zh-CN"/>
              </w:rPr>
              <w:t>（或其委托代理人）</w:t>
            </w:r>
            <w:r>
              <w:rPr>
                <w:rFonts w:hint="eastAsia" w:ascii="宋体" w:hAnsi="宋体"/>
                <w:color w:val="auto"/>
                <w:szCs w:val="21"/>
                <w:highlight w:val="none"/>
              </w:rPr>
              <w:t>签名（或盖章）的须齐全，要求签名的，</w:t>
            </w:r>
            <w:r>
              <w:rPr>
                <w:rFonts w:hint="eastAsia" w:ascii="宋体" w:hAnsi="宋体"/>
                <w:color w:val="auto"/>
                <w:kern w:val="0"/>
                <w:highlight w:val="none"/>
              </w:rPr>
              <w:t>签名采用手写签名或签章或加盖CA数字证书均可，</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中各联合体成员单位签名（或盖章）须齐全，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以外的投标文件格式中，要求法定代表人</w:t>
            </w:r>
            <w:r>
              <w:rPr>
                <w:rFonts w:hint="eastAsia" w:ascii="宋体" w:hAnsi="宋体"/>
                <w:color w:val="auto"/>
                <w:szCs w:val="21"/>
                <w:highlight w:val="none"/>
                <w:lang w:eastAsia="zh-CN"/>
              </w:rPr>
              <w:t>（或其委托代理人）</w:t>
            </w:r>
            <w:r>
              <w:rPr>
                <w:rFonts w:hint="eastAsia" w:ascii="宋体" w:hAnsi="宋体"/>
                <w:color w:val="auto"/>
                <w:szCs w:val="21"/>
                <w:highlight w:val="none"/>
              </w:rPr>
              <w:t>签名（或盖章）的均由联合体牵头人法定代表人</w:t>
            </w:r>
            <w:r>
              <w:rPr>
                <w:rFonts w:hint="eastAsia" w:ascii="宋体" w:hAnsi="宋体"/>
                <w:color w:val="auto"/>
                <w:szCs w:val="21"/>
                <w:highlight w:val="none"/>
                <w:lang w:eastAsia="zh-CN"/>
              </w:rPr>
              <w:t>（或其委托代理人）</w:t>
            </w:r>
            <w:r>
              <w:rPr>
                <w:rFonts w:hint="eastAsia" w:ascii="宋体" w:hAnsi="宋体"/>
                <w:color w:val="auto"/>
                <w:szCs w:val="21"/>
                <w:highlight w:val="none"/>
              </w:rPr>
              <w:t>签名（或盖章），否则由评标委员会作否决投标处理。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第八章 投标文件格式（不含投标函部分）要求加盖单位法人章的，应使用 CA 数字证书加盖投标人的单位电子印章，否则由评标委员会作否决投标处理。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若投标单位为联合体，则</w:t>
            </w:r>
            <w:r>
              <w:rPr>
                <w:rFonts w:hint="eastAsia" w:ascii="宋体" w:hAnsi="宋体"/>
                <w:color w:val="auto"/>
                <w:szCs w:val="21"/>
                <w:highlight w:val="none"/>
                <w:lang w:eastAsia="zh-CN"/>
              </w:rPr>
              <w:t>共同投标协议</w:t>
            </w:r>
            <w:r>
              <w:rPr>
                <w:rFonts w:hint="eastAsia" w:ascii="宋体" w:hAnsi="宋体"/>
                <w:color w:val="auto"/>
                <w:szCs w:val="21"/>
                <w:highlight w:val="none"/>
              </w:rPr>
              <w:t>中要求各联合体成员盖单位法人章的，各联合体成员盖章须齐全，</w:t>
            </w:r>
            <w:r>
              <w:rPr>
                <w:rFonts w:hint="eastAsia" w:ascii="宋体" w:hAnsi="宋体"/>
                <w:color w:val="auto"/>
                <w:szCs w:val="21"/>
                <w:highlight w:val="none"/>
                <w:lang w:eastAsia="zh-CN"/>
              </w:rPr>
              <w:t>共同投标协议</w:t>
            </w:r>
            <w:r>
              <w:rPr>
                <w:rFonts w:hint="eastAsia" w:ascii="宋体" w:hAnsi="宋体"/>
                <w:color w:val="auto"/>
                <w:szCs w:val="21"/>
                <w:highlight w:val="none"/>
              </w:rPr>
              <w:t>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A-16符合第四章“合同条款及格式”规定，投标文件不应附有招标人不能接受的条件。否则由评标委员会作否决投标处理。（由投标人承诺，承诺书格式详见第八章投标文件格式。）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A-17符合第七章“技术标准和要求”规定。否则由评标委员会作否决投标处理（如有）。（由投标人承诺，承诺书格式详见第八章投标文件格式。）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A-18投标人有以下情形之一的，其投标文件由评标委员会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restart"/>
            <w:vAlign w:val="center"/>
          </w:tcPr>
          <w:p>
            <w:pPr>
              <w:spacing w:line="400" w:lineRule="exact"/>
              <w:jc w:val="center"/>
              <w:rPr>
                <w:rFonts w:ascii="宋体" w:hAnsi="宋体"/>
                <w:color w:val="auto"/>
                <w:szCs w:val="21"/>
                <w:highlight w:val="none"/>
              </w:rPr>
            </w:pPr>
            <w:r>
              <w:rPr>
                <w:rFonts w:ascii="宋体" w:hAnsi="宋体"/>
                <w:color w:val="auto"/>
                <w:szCs w:val="21"/>
                <w:highlight w:val="none"/>
              </w:rPr>
              <w:t>投标函部分及</w:t>
            </w:r>
            <w:r>
              <w:rPr>
                <w:rFonts w:hint="eastAsia" w:ascii="宋体" w:hAnsi="宋体"/>
                <w:color w:val="auto"/>
                <w:szCs w:val="21"/>
                <w:highlight w:val="none"/>
                <w:lang w:eastAsia="zh-CN"/>
              </w:rPr>
              <w:t>报价部分</w:t>
            </w:r>
            <w:r>
              <w:rPr>
                <w:rFonts w:ascii="宋体" w:hAnsi="宋体"/>
                <w:color w:val="auto"/>
                <w:szCs w:val="21"/>
                <w:highlight w:val="none"/>
              </w:rPr>
              <w:t>评审</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A-19</w:t>
            </w:r>
            <w:r>
              <w:rPr>
                <w:rFonts w:hint="eastAsia" w:ascii="宋体" w:hAnsi="宋体" w:cs="宋体"/>
                <w:color w:val="auto"/>
                <w:kern w:val="0"/>
                <w:highlight w:val="none"/>
              </w:rPr>
              <w:t>投标函部分的格式要求法定代表人</w:t>
            </w:r>
            <w:r>
              <w:rPr>
                <w:rFonts w:hint="eastAsia" w:ascii="宋体" w:hAnsi="宋体" w:cs="宋体"/>
                <w:color w:val="auto"/>
                <w:kern w:val="0"/>
                <w:highlight w:val="none"/>
                <w:lang w:eastAsia="zh-CN"/>
              </w:rPr>
              <w:t>（或其委托代理人）</w:t>
            </w:r>
            <w:r>
              <w:rPr>
                <w:rFonts w:hint="eastAsia" w:ascii="宋体" w:hAnsi="宋体" w:cs="宋体"/>
                <w:color w:val="auto"/>
                <w:kern w:val="0"/>
                <w:highlight w:val="none"/>
              </w:rPr>
              <w:t>签名（或盖章）的须齐全，</w:t>
            </w:r>
            <w:r>
              <w:rPr>
                <w:rFonts w:hint="eastAsia" w:ascii="宋体" w:hAnsi="宋体"/>
                <w:color w:val="auto"/>
                <w:szCs w:val="21"/>
                <w:highlight w:val="none"/>
              </w:rPr>
              <w:t>要求签名的，</w:t>
            </w:r>
            <w:r>
              <w:rPr>
                <w:rFonts w:hint="eastAsia" w:ascii="宋体" w:hAnsi="宋体"/>
                <w:color w:val="auto"/>
                <w:kern w:val="0"/>
                <w:highlight w:val="none"/>
              </w:rPr>
              <w:t>签名采用手写签名或签章或加盖CA数字证书均可，</w:t>
            </w:r>
            <w:r>
              <w:rPr>
                <w:rFonts w:hint="eastAsia" w:ascii="宋体" w:hAnsi="宋体" w:cs="宋体"/>
                <w:color w:val="auto"/>
                <w:kern w:val="0"/>
                <w:highlight w:val="none"/>
              </w:rPr>
              <w:t>要求加盖单位法人章的，应使用 CA 数字证书加盖投标人的单位电子印章</w:t>
            </w:r>
            <w:r>
              <w:rPr>
                <w:rFonts w:hint="eastAsia" w:ascii="宋体" w:hAnsi="宋体"/>
                <w:color w:val="auto"/>
                <w:szCs w:val="21"/>
                <w:highlight w:val="none"/>
              </w:rPr>
              <w:t>，否则由评标委员会作否决投标处理。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A-20工期符合第二章“投标人须知”第1.3.2项规定，否则由评标委员会作否决投标处理。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A-21工程质量符合第二章“投标人须知”第1.3.3项规定，否则由评标委员会作否决投标处理。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A-22投标有效期符合第二章“投标人须知”第3.3.1项规定，否则由评标委员会作否决投标处理。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napToGrid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A-23</w:t>
            </w:r>
            <w:r>
              <w:rPr>
                <w:rFonts w:hint="eastAsia" w:ascii="宋体" w:hAnsi="宋体" w:cs="宋体"/>
                <w:color w:val="auto"/>
                <w:kern w:val="0"/>
                <w:highlight w:val="none"/>
              </w:rPr>
              <w:t>.</w:t>
            </w:r>
            <w:r>
              <w:rPr>
                <w:rFonts w:hint="eastAsia" w:ascii="宋体" w:hAnsi="宋体" w:cs="宋体"/>
                <w:color w:val="auto"/>
                <w:szCs w:val="21"/>
                <w:highlight w:val="none"/>
              </w:rPr>
              <w:t xml:space="preserve"> 投标函中的总报价必须与已标价工程量清单总报价一致，否则</w:t>
            </w:r>
            <w:r>
              <w:rPr>
                <w:rFonts w:hint="eastAsia" w:ascii="宋体" w:hAnsi="宋体"/>
                <w:color w:val="auto"/>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napToGrid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A-24 投标函中的总报价不得高于招标人公布的投标总报价最高限价，否则由评标委员会作否决投标处理。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 xml:space="preserve">A-25 </w:t>
            </w:r>
            <w:r>
              <w:rPr>
                <w:rFonts w:hint="eastAsia" w:ascii="宋体" w:hAnsi="宋体"/>
                <w:szCs w:val="21"/>
              </w:rPr>
              <w:t>投标人投标总报价或者部分单项报价低于招标文件规定的对应的异常低价警戒线的，应提供报价合理性说明，并提供必要的证明材料</w:t>
            </w:r>
            <w:r>
              <w:rPr>
                <w:rFonts w:hint="eastAsia" w:ascii="宋体" w:hAnsi="宋体"/>
                <w:szCs w:val="21"/>
                <w:lang w:eastAsia="zh-CN"/>
              </w:rPr>
              <w:t>，</w:t>
            </w:r>
            <w:r>
              <w:rPr>
                <w:rFonts w:hint="eastAsia" w:ascii="宋体" w:hAnsi="宋体"/>
                <w:szCs w:val="21"/>
              </w:rPr>
              <w:t>否则由评标委员会作否决投标处理</w:t>
            </w:r>
            <w:r>
              <w:rPr>
                <w:rFonts w:hint="eastAsia" w:ascii="宋体" w:hAnsi="宋体"/>
                <w:color w:val="auto"/>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A-26只能有一个有效报价。在招标文件没有规定的情况下，不得提交选择性报价，否则由评标委员会作否决投标处理。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A-27</w:t>
            </w:r>
            <w:r>
              <w:rPr>
                <w:rFonts w:hint="eastAsia" w:ascii="宋体" w:hAnsi="宋体"/>
                <w:color w:val="auto"/>
                <w:kern w:val="0"/>
                <w:highlight w:val="none"/>
              </w:rPr>
              <w:t>暂定金额（暂列金）、暂估价等暂定金额必须按照招标文件给定的金额填报</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napToGrid w:val="0"/>
              <w:spacing w:after="57" w:afterLines="10" w:line="400" w:lineRule="exact"/>
              <w:ind w:firstLine="420" w:firstLineChars="200"/>
              <w:rPr>
                <w:rFonts w:ascii="宋体" w:hAnsi="宋体"/>
                <w:color w:val="auto"/>
                <w:szCs w:val="21"/>
                <w:highlight w:val="none"/>
              </w:rPr>
            </w:pPr>
            <w:r>
              <w:rPr>
                <w:rFonts w:hint="eastAsia" w:ascii="宋体" w:hAnsi="宋体"/>
                <w:color w:val="auto"/>
                <w:szCs w:val="21"/>
                <w:highlight w:val="none"/>
              </w:rPr>
              <w:t>A-28投标人承诺已标价工程量清单满足第二章“投标人须知前附表”第3.2款第12条要求，如有差错则按第二章“投标人须知前附表”第3.2款第11条要求原则进行处理（或结算），承诺书格式详见第八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spacing w:line="400" w:lineRule="exact"/>
              <w:jc w:val="center"/>
              <w:rPr>
                <w:rFonts w:ascii="宋体" w:hAnsi="宋体"/>
                <w:color w:val="auto"/>
                <w:szCs w:val="21"/>
                <w:highlight w:val="none"/>
              </w:rPr>
            </w:pPr>
          </w:p>
        </w:tc>
        <w:tc>
          <w:tcPr>
            <w:tcW w:w="1515"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A-29投标报价有算术错误的，按照第三章“评标办法”第3.2.3项规定执行，否则由评标委员会作否决投标处理。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spacing w:line="400" w:lineRule="exact"/>
              <w:jc w:val="center"/>
              <w:rPr>
                <w:rFonts w:ascii="宋体" w:hAnsi="宋体"/>
                <w:color w:val="auto"/>
                <w:szCs w:val="21"/>
                <w:highlight w:val="none"/>
              </w:rPr>
            </w:pPr>
            <w:r>
              <w:rPr>
                <w:rFonts w:ascii="宋体" w:hAnsi="宋体"/>
                <w:color w:val="auto"/>
                <w:szCs w:val="21"/>
                <w:highlight w:val="none"/>
              </w:rPr>
              <w:t>其他</w:t>
            </w:r>
          </w:p>
        </w:tc>
        <w:tc>
          <w:tcPr>
            <w:tcW w:w="1515" w:type="dxa"/>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pStyle w:val="33"/>
        <w:spacing w:line="360" w:lineRule="auto"/>
        <w:jc w:val="both"/>
        <w:rPr>
          <w:rFonts w:ascii="宋体" w:hAnsi="宋体"/>
          <w:color w:val="auto"/>
          <w:sz w:val="21"/>
          <w:szCs w:val="21"/>
          <w:highlight w:val="none"/>
          <w:u w:val="none"/>
          <w:lang w:eastAsia="zh-CN"/>
        </w:rPr>
      </w:pPr>
    </w:p>
    <w:p>
      <w:pPr>
        <w:pStyle w:val="33"/>
        <w:spacing w:line="360" w:lineRule="auto"/>
        <w:jc w:val="both"/>
        <w:rPr>
          <w:rFonts w:ascii="宋体" w:hAnsi="宋体"/>
          <w:color w:val="auto"/>
          <w:sz w:val="21"/>
          <w:szCs w:val="21"/>
          <w:highlight w:val="none"/>
          <w:u w:val="none"/>
          <w:lang w:eastAsia="zh-CN"/>
        </w:rPr>
      </w:pPr>
    </w:p>
    <w:p>
      <w:pPr>
        <w:spacing w:line="200" w:lineRule="exact"/>
        <w:rPr>
          <w:rFonts w:ascii="宋体" w:hAnsi="宋体"/>
          <w:color w:val="auto"/>
          <w:kern w:val="0"/>
          <w:highlight w:val="none"/>
        </w:rPr>
      </w:pPr>
      <w:r>
        <w:rPr>
          <w:rFonts w:ascii="宋体" w:hAnsi="宋体"/>
          <w:snapToGrid w:val="0"/>
          <w:color w:val="auto"/>
          <w:kern w:val="0"/>
          <w:highlight w:val="none"/>
        </w:rPr>
        <w:br w:type="page"/>
      </w:r>
    </w:p>
    <w:p>
      <w:pPr>
        <w:pStyle w:val="2"/>
        <w:rPr>
          <w:color w:val="auto"/>
          <w:highlight w:val="none"/>
        </w:rPr>
      </w:pPr>
    </w:p>
    <w:p>
      <w:pPr>
        <w:pStyle w:val="3"/>
        <w:spacing w:line="360" w:lineRule="auto"/>
        <w:jc w:val="center"/>
        <w:rPr>
          <w:rFonts w:ascii="宋体" w:hAnsi="宋体"/>
          <w:color w:val="auto"/>
          <w:kern w:val="0"/>
          <w:highlight w:val="none"/>
        </w:rPr>
      </w:pPr>
      <w:bookmarkStart w:id="780" w:name="_Toc28479"/>
      <w:bookmarkStart w:id="781" w:name="_Toc509218785"/>
      <w:bookmarkStart w:id="782" w:name="_Toc430530509"/>
      <w:bookmarkStart w:id="783" w:name="_Toc164"/>
      <w:bookmarkStart w:id="784" w:name="_Toc8213"/>
      <w:bookmarkStart w:id="785" w:name="_Toc2689"/>
      <w:r>
        <w:rPr>
          <w:rFonts w:hint="eastAsia" w:ascii="宋体" w:hAnsi="宋体"/>
          <w:color w:val="auto"/>
          <w:kern w:val="0"/>
          <w:highlight w:val="none"/>
        </w:rPr>
        <w:t>第四章  合同条款及格式</w:t>
      </w:r>
      <w:bookmarkEnd w:id="780"/>
      <w:bookmarkEnd w:id="781"/>
      <w:bookmarkEnd w:id="782"/>
      <w:bookmarkEnd w:id="783"/>
      <w:bookmarkEnd w:id="784"/>
      <w:bookmarkEnd w:id="785"/>
    </w:p>
    <w:p>
      <w:pPr>
        <w:rPr>
          <w:rFonts w:ascii="宋体" w:hAnsi="宋体"/>
          <w:color w:val="auto"/>
          <w:sz w:val="44"/>
          <w:szCs w:val="44"/>
          <w:highlight w:val="none"/>
        </w:rPr>
      </w:pPr>
      <w:bookmarkStart w:id="786" w:name="_Toc296890982"/>
      <w:bookmarkStart w:id="787" w:name="_Toc351203480"/>
      <w:bookmarkStart w:id="788" w:name="_Toc296503025"/>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p>
    <w:p>
      <w:pPr>
        <w:spacing w:line="360" w:lineRule="auto"/>
        <w:jc w:val="center"/>
        <w:rPr>
          <w:rFonts w:ascii="宋体" w:hAnsi="宋体"/>
          <w:color w:val="auto"/>
          <w:sz w:val="44"/>
          <w:szCs w:val="44"/>
          <w:highlight w:val="none"/>
        </w:rPr>
      </w:pPr>
      <w:r>
        <w:rPr>
          <w:rFonts w:hint="eastAsia" w:ascii="宋体" w:hAnsi="宋体"/>
          <w:color w:val="auto"/>
          <w:sz w:val="44"/>
          <w:szCs w:val="44"/>
          <w:highlight w:val="none"/>
        </w:rPr>
        <w:t>第一部分 合同协议书</w:t>
      </w:r>
    </w:p>
    <w:p>
      <w:pPr>
        <w:pStyle w:val="123"/>
        <w:snapToGrid w:val="0"/>
        <w:spacing w:before="0" w:line="360" w:lineRule="auto"/>
        <w:ind w:firstLine="562" w:firstLineChars="200"/>
        <w:rPr>
          <w:rFonts w:ascii="宋体" w:hAnsi="宋体"/>
          <w:color w:val="auto"/>
          <w:highlight w:val="none"/>
        </w:rPr>
      </w:pPr>
    </w:p>
    <w:p>
      <w:pPr>
        <w:spacing w:line="360" w:lineRule="auto"/>
        <w:ind w:firstLine="420" w:firstLineChars="200"/>
        <w:rPr>
          <w:rFonts w:ascii="宋体" w:hAnsi="宋体"/>
          <w:bCs/>
          <w:i/>
          <w:color w:val="auto"/>
          <w:szCs w:val="21"/>
          <w:highlight w:val="none"/>
        </w:rPr>
      </w:pPr>
      <w:r>
        <w:rPr>
          <w:rFonts w:hint="eastAsia" w:ascii="宋体" w:hAnsi="宋体"/>
          <w:bCs/>
          <w:i/>
          <w:color w:val="auto"/>
          <w:szCs w:val="21"/>
          <w:highlight w:val="none"/>
        </w:rPr>
        <w:t>[提示：合同协议书为示范性内容，招标人在编制招标文件时不必填写，供中标后签订合同时填写。]</w:t>
      </w:r>
    </w:p>
    <w:p>
      <w:pPr>
        <w:rPr>
          <w:rFonts w:ascii="宋体" w:hAnsi="宋体"/>
          <w:b/>
          <w:color w:val="auto"/>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 name="矩形 130"/>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txbxContent>
                      </wps:txbx>
                      <wps:bodyPr wrap="square" upright="true"/>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Dz153fZAAAADQEAAA8AAAAAAAAAAQAgAAAAOAAAAGRycy9kb3ducmV2LnhtbFBL&#10;AQIUABQAAAAIAIdO4kBtsFVcpgEAAC4DAAAOAAAAAAAAAAEAIAAAAD4BAABkcnMvZTJvRG9jLnht&#10;bFBLBQYAAAAABgAGAFkBAABWBQAAAAA=&#10;">
                <v:fill on="t" focussize="0,0"/>
                <v:stroke on="f"/>
                <v:imagedata o:title=""/>
                <o:lock v:ext="edit" aspectratio="f"/>
                <v:textbox>
                  <w:txbxContent>
                    <w:p/>
                  </w:txbxContent>
                </v:textbox>
              </v:rect>
            </w:pict>
          </mc:Fallback>
        </mc:AlternateContent>
      </w:r>
      <w:r>
        <w:rPr>
          <w:rFonts w:ascii="宋体" w:hAnsi="宋体"/>
          <w:color w:val="auto"/>
          <w:highlight w:val="none"/>
        </w:rPr>
        <w:br w:type="page"/>
      </w:r>
    </w:p>
    <w:p>
      <w:pPr>
        <w:pStyle w:val="5"/>
        <w:jc w:val="center"/>
        <w:rPr>
          <w:rFonts w:ascii="宋体" w:hAnsi="宋体"/>
          <w:b w:val="0"/>
          <w:color w:val="auto"/>
          <w:sz w:val="44"/>
          <w:szCs w:val="44"/>
          <w:highlight w:val="none"/>
        </w:rPr>
      </w:pPr>
      <w:bookmarkStart w:id="789" w:name="_Toc12487"/>
      <w:bookmarkStart w:id="790" w:name="_Toc509218786"/>
      <w:bookmarkStart w:id="791" w:name="_Toc534185765"/>
      <w:bookmarkStart w:id="792" w:name="_Toc351203494"/>
      <w:r>
        <w:rPr>
          <w:rFonts w:ascii="宋体" w:hAnsi="宋体"/>
          <w:color w:val="auto"/>
          <w:sz w:val="44"/>
          <w:szCs w:val="44"/>
          <w:highlight w:val="none"/>
        </w:rPr>
        <w:t>第一部分 合同协议书</w:t>
      </w:r>
      <w:bookmarkEnd w:id="789"/>
      <w:bookmarkEnd w:id="790"/>
      <w:bookmarkEnd w:id="791"/>
    </w:p>
    <w:bookmarkEnd w:id="792"/>
    <w:p>
      <w:pPr>
        <w:snapToGrid w:val="0"/>
        <w:spacing w:line="600" w:lineRule="exact"/>
        <w:ind w:firstLine="480" w:firstLineChars="200"/>
        <w:rPr>
          <w:rFonts w:ascii="宋体" w:hAnsi="宋体"/>
          <w:color w:val="auto"/>
          <w:sz w:val="24"/>
          <w:highlight w:val="none"/>
        </w:rPr>
      </w:pPr>
      <w:bookmarkStart w:id="793" w:name="_Toc351203632"/>
    </w:p>
    <w:p>
      <w:pPr>
        <w:adjustRightInd w:val="0"/>
        <w:snapToGrid w:val="0"/>
        <w:spacing w:line="400" w:lineRule="exact"/>
        <w:ind w:firstLine="420" w:firstLineChars="200"/>
        <w:rPr>
          <w:rFonts w:ascii="宋体" w:hAnsi="宋体" w:cs="宋体"/>
          <w:color w:val="auto"/>
          <w:szCs w:val="21"/>
          <w:highlight w:val="none"/>
        </w:rPr>
      </w:pPr>
      <w:bookmarkStart w:id="794" w:name="_Toc532375586"/>
      <w:bookmarkStart w:id="795" w:name="_Toc532377179"/>
      <w:bookmarkStart w:id="796" w:name="_Toc529388289"/>
      <w:r>
        <w:rPr>
          <w:rFonts w:hint="eastAsia" w:ascii="宋体" w:hAnsi="宋体" w:cs="宋体"/>
          <w:color w:val="auto"/>
          <w:szCs w:val="21"/>
          <w:highlight w:val="none"/>
        </w:rPr>
        <w:t>发包人（全称）：</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承包人（全称）：</w:t>
      </w:r>
      <w:r>
        <w:rPr>
          <w:rFonts w:hint="eastAsia" w:ascii="宋体" w:hAnsi="宋体" w:cs="宋体"/>
          <w:strike/>
          <w:color w:val="auto"/>
          <w:szCs w:val="21"/>
          <w:highlight w:val="none"/>
        </w:rPr>
        <w:t>               </w:t>
      </w:r>
      <w:r>
        <w:rPr>
          <w:rFonts w:hint="eastAsia" w:ascii="宋体" w:hAnsi="宋体" w:cs="宋体"/>
          <w:color w:val="auto"/>
          <w:szCs w:val="21"/>
          <w:highlight w:val="none"/>
        </w:rPr>
        <w:t xml:space="preserve">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依照《中华人民共和国民法典》、《中华人民共和国建筑法》及其他有关法律、行政法规，遵循平等、自愿、公平和诚实信用的原则，双方就本建设工程施工事项协商一致，订立本合同。</w:t>
      </w:r>
    </w:p>
    <w:p>
      <w:pPr>
        <w:adjustRightInd w:val="0"/>
        <w:snapToGrid w:val="0"/>
        <w:spacing w:line="400" w:lineRule="exact"/>
        <w:ind w:firstLine="421" w:firstLineChars="200"/>
        <w:rPr>
          <w:rFonts w:ascii="宋体" w:hAnsi="宋体" w:cs="宋体"/>
          <w:b/>
          <w:bCs/>
          <w:color w:val="auto"/>
          <w:szCs w:val="21"/>
          <w:highlight w:val="none"/>
        </w:rPr>
      </w:pPr>
      <w:bookmarkStart w:id="797" w:name="_Toc231612921"/>
      <w:bookmarkStart w:id="798" w:name="_Toc231612677"/>
      <w:bookmarkStart w:id="799" w:name="_Toc231613070"/>
      <w:r>
        <w:rPr>
          <w:rFonts w:hint="eastAsia" w:ascii="宋体" w:hAnsi="宋体" w:cs="宋体"/>
          <w:b/>
          <w:bCs/>
          <w:color w:val="auto"/>
          <w:szCs w:val="21"/>
          <w:highlight w:val="none"/>
        </w:rPr>
        <w:t>一、工程概况</w:t>
      </w:r>
      <w:bookmarkEnd w:id="797"/>
      <w:bookmarkEnd w:id="798"/>
      <w:bookmarkEnd w:id="799"/>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工程名称：</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工程地点：</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工程内容：</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工程立项批准文号：</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资金来源：</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w:t>
      </w:r>
    </w:p>
    <w:p>
      <w:pPr>
        <w:adjustRightInd w:val="0"/>
        <w:snapToGrid w:val="0"/>
        <w:spacing w:line="400" w:lineRule="exact"/>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二、工程承包范围</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承包范围：</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w:t>
      </w:r>
    </w:p>
    <w:p>
      <w:pPr>
        <w:adjustRightInd w:val="0"/>
        <w:snapToGrid w:val="0"/>
        <w:spacing w:line="400" w:lineRule="exact"/>
        <w:ind w:firstLine="421" w:firstLineChars="200"/>
        <w:rPr>
          <w:rFonts w:ascii="宋体" w:hAnsi="宋体" w:cs="宋体"/>
          <w:color w:val="auto"/>
          <w:szCs w:val="21"/>
          <w:highlight w:val="none"/>
        </w:rPr>
      </w:pPr>
      <w:r>
        <w:rPr>
          <w:rFonts w:hint="eastAsia" w:ascii="宋体" w:hAnsi="宋体" w:cs="宋体"/>
          <w:b/>
          <w:bCs/>
          <w:color w:val="auto"/>
          <w:szCs w:val="21"/>
          <w:highlight w:val="none"/>
        </w:rPr>
        <w:t>三、合同工期</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开工日期：</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竣工日期：</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合同工期总日历天数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天。</w:t>
      </w:r>
    </w:p>
    <w:p>
      <w:pPr>
        <w:adjustRightInd w:val="0"/>
        <w:snapToGrid w:val="0"/>
        <w:spacing w:line="400" w:lineRule="exact"/>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四、质量标准</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工程质量标准：</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w:t>
      </w:r>
    </w:p>
    <w:p>
      <w:pPr>
        <w:adjustRightInd w:val="0"/>
        <w:snapToGrid w:val="0"/>
        <w:spacing w:line="400" w:lineRule="exact"/>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 xml:space="preserve">五、合同价款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金额（大写）：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元（人民币）；¥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      </w:t>
      </w:r>
    </w:p>
    <w:p>
      <w:pPr>
        <w:adjustRightInd w:val="0"/>
        <w:snapToGrid w:val="0"/>
        <w:spacing w:line="400" w:lineRule="exact"/>
        <w:ind w:firstLine="421" w:firstLineChars="200"/>
        <w:rPr>
          <w:rFonts w:ascii="宋体" w:hAnsi="宋体" w:cs="宋体"/>
          <w:b/>
          <w:bCs/>
          <w:color w:val="auto"/>
          <w:szCs w:val="21"/>
          <w:highlight w:val="none"/>
        </w:rPr>
      </w:pPr>
      <w:bookmarkStart w:id="800" w:name="_Toc231612682"/>
      <w:bookmarkStart w:id="801" w:name="_Toc231612926"/>
      <w:bookmarkStart w:id="802" w:name="_Toc231613075"/>
      <w:r>
        <w:rPr>
          <w:rFonts w:hint="eastAsia" w:ascii="宋体" w:hAnsi="宋体" w:cs="宋体"/>
          <w:b/>
          <w:bCs/>
          <w:color w:val="auto"/>
          <w:szCs w:val="21"/>
          <w:highlight w:val="none"/>
        </w:rPr>
        <w:t>六、组成合同的文件</w:t>
      </w:r>
      <w:bookmarkEnd w:id="800"/>
      <w:bookmarkEnd w:id="801"/>
      <w:bookmarkEnd w:id="802"/>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组成本合同的文件包括：</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1、本合同协议书；</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2、中标通知书；</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3、投标函；</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4、本合同专用条款；</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5、本合同通用条款；</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6、招标文件及其澄清、补充、答疑文件；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7、投标书及其附件；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8、标准和规范及有关技术文件；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9、图纸；</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10、工程量清单；</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11、工程报价单或预算书；</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12、监理合同；</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13、保险合同；</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14、工程建设项目廉政责任书；</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15、质量保修书；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16、构成本合同组成部分的洽商、签证、变更等书面协议或文件。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以上文件均为本合同的组成部分。</w:t>
      </w:r>
    </w:p>
    <w:p>
      <w:pPr>
        <w:adjustRightInd w:val="0"/>
        <w:snapToGrid w:val="0"/>
        <w:spacing w:line="400" w:lineRule="exact"/>
        <w:ind w:firstLine="421" w:firstLineChars="200"/>
        <w:rPr>
          <w:rFonts w:ascii="宋体" w:hAnsi="宋体" w:cs="宋体"/>
          <w:color w:val="auto"/>
          <w:szCs w:val="21"/>
          <w:highlight w:val="none"/>
        </w:rPr>
      </w:pPr>
      <w:bookmarkStart w:id="803" w:name="_Toc231613076"/>
      <w:bookmarkStart w:id="804" w:name="_Toc231612927"/>
      <w:bookmarkStart w:id="805" w:name="_Toc231612683"/>
      <w:r>
        <w:rPr>
          <w:rFonts w:hint="eastAsia" w:ascii="宋体" w:hAnsi="宋体" w:cs="宋体"/>
          <w:b/>
          <w:bCs/>
          <w:color w:val="auto"/>
          <w:szCs w:val="21"/>
          <w:highlight w:val="none"/>
        </w:rPr>
        <w:t>七</w:t>
      </w:r>
      <w:r>
        <w:rPr>
          <w:rFonts w:hint="eastAsia" w:ascii="宋体" w:hAnsi="宋体" w:cs="宋体"/>
          <w:color w:val="auto"/>
          <w:szCs w:val="21"/>
          <w:highlight w:val="none"/>
        </w:rPr>
        <w:t>、本协议书中有关词语含义与本合同《通用条款》和《专用条款》中分别赋予它们的定义相同。</w:t>
      </w:r>
      <w:bookmarkEnd w:id="803"/>
      <w:bookmarkEnd w:id="804"/>
      <w:bookmarkEnd w:id="805"/>
    </w:p>
    <w:p>
      <w:pPr>
        <w:adjustRightInd w:val="0"/>
        <w:snapToGrid w:val="0"/>
        <w:spacing w:line="400" w:lineRule="exact"/>
        <w:ind w:firstLine="421" w:firstLineChars="200"/>
        <w:rPr>
          <w:rFonts w:ascii="宋体" w:hAnsi="宋体" w:cs="宋体"/>
          <w:color w:val="auto"/>
          <w:szCs w:val="21"/>
          <w:highlight w:val="none"/>
        </w:rPr>
      </w:pPr>
      <w:bookmarkStart w:id="806" w:name="_Toc231612928"/>
      <w:bookmarkStart w:id="807" w:name="_Toc231613077"/>
      <w:bookmarkStart w:id="808" w:name="_Toc231612684"/>
      <w:r>
        <w:rPr>
          <w:rFonts w:hint="eastAsia" w:ascii="宋体" w:hAnsi="宋体" w:cs="宋体"/>
          <w:b/>
          <w:bCs/>
          <w:color w:val="auto"/>
          <w:szCs w:val="21"/>
          <w:highlight w:val="none"/>
        </w:rPr>
        <w:t>八</w:t>
      </w:r>
      <w:r>
        <w:rPr>
          <w:rFonts w:hint="eastAsia" w:ascii="宋体" w:hAnsi="宋体" w:cs="宋体"/>
          <w:color w:val="auto"/>
          <w:szCs w:val="21"/>
          <w:highlight w:val="none"/>
        </w:rPr>
        <w:t>、承包人向发包人承诺按照合同约定进行施工、竣工并在质量保修期内承担工程质量保修责任。</w:t>
      </w:r>
      <w:bookmarkEnd w:id="806"/>
      <w:bookmarkEnd w:id="807"/>
      <w:bookmarkEnd w:id="808"/>
    </w:p>
    <w:p>
      <w:pPr>
        <w:adjustRightInd w:val="0"/>
        <w:snapToGrid w:val="0"/>
        <w:spacing w:line="400" w:lineRule="exact"/>
        <w:ind w:firstLine="421" w:firstLineChars="200"/>
        <w:rPr>
          <w:rFonts w:ascii="宋体" w:hAnsi="宋体" w:cs="宋体"/>
          <w:color w:val="auto"/>
          <w:szCs w:val="21"/>
          <w:highlight w:val="none"/>
        </w:rPr>
      </w:pPr>
      <w:bookmarkStart w:id="809" w:name="_Toc231612929"/>
      <w:bookmarkStart w:id="810" w:name="_Toc231613078"/>
      <w:bookmarkStart w:id="811" w:name="_Toc231612685"/>
      <w:r>
        <w:rPr>
          <w:rFonts w:hint="eastAsia" w:ascii="宋体" w:hAnsi="宋体" w:cs="宋体"/>
          <w:b/>
          <w:bCs/>
          <w:color w:val="auto"/>
          <w:szCs w:val="21"/>
          <w:highlight w:val="none"/>
        </w:rPr>
        <w:t>九</w:t>
      </w:r>
      <w:r>
        <w:rPr>
          <w:rFonts w:hint="eastAsia" w:ascii="宋体" w:hAnsi="宋体" w:cs="宋体"/>
          <w:color w:val="auto"/>
          <w:szCs w:val="21"/>
          <w:highlight w:val="none"/>
        </w:rPr>
        <w:t>、发包人向承包人承诺按照合同约定的期限和方式支付合同价款及其他应当支付的款项。</w:t>
      </w:r>
      <w:bookmarkEnd w:id="809"/>
      <w:bookmarkEnd w:id="810"/>
      <w:bookmarkEnd w:id="811"/>
    </w:p>
    <w:p>
      <w:pPr>
        <w:adjustRightInd w:val="0"/>
        <w:snapToGrid w:val="0"/>
        <w:spacing w:line="400" w:lineRule="exact"/>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十、合同生效</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合同订立时间：</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年 </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月 </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日</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合同订立地点：</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本合同双方约定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后生效。</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发包人：      （公章）              承包人：   （公章）</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住  所：                         住  所：</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法定代表人：                            法定代表人：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委托代表人：                        委托代表人：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电  话：                                电  话：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传  真：                                  传  真：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开户银行：                           开户银行：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帐  号：                                 帐  号：            </w:t>
      </w:r>
    </w:p>
    <w:p>
      <w:pPr>
        <w:adjustRightInd w:val="0"/>
        <w:snapToGrid w:val="0"/>
        <w:spacing w:line="400" w:lineRule="exact"/>
        <w:ind w:firstLine="420" w:firstLineChars="200"/>
        <w:rPr>
          <w:rFonts w:ascii="宋体" w:hAnsi="宋体"/>
          <w:color w:val="auto"/>
          <w:sz w:val="44"/>
          <w:szCs w:val="44"/>
          <w:highlight w:val="none"/>
        </w:rPr>
      </w:pPr>
      <w:r>
        <w:rPr>
          <w:rFonts w:hint="eastAsia" w:ascii="宋体" w:hAnsi="宋体" w:cs="宋体"/>
          <w:color w:val="auto"/>
          <w:szCs w:val="21"/>
          <w:highlight w:val="none"/>
        </w:rPr>
        <w:t>邮政编码：                          邮政编码：  </w:t>
      </w:r>
    </w:p>
    <w:p>
      <w:pPr>
        <w:pStyle w:val="5"/>
        <w:outlineLvl w:val="9"/>
        <w:rPr>
          <w:rFonts w:ascii="宋体" w:hAnsi="宋体"/>
          <w:color w:val="auto"/>
          <w:sz w:val="44"/>
          <w:szCs w:val="44"/>
          <w:highlight w:val="none"/>
        </w:rPr>
      </w:pPr>
    </w:p>
    <w:bookmarkEnd w:id="794"/>
    <w:bookmarkEnd w:id="795"/>
    <w:bookmarkEnd w:id="796"/>
    <w:p>
      <w:pPr>
        <w:pStyle w:val="7"/>
        <w:spacing w:before="0" w:beforeAutospacing="0" w:after="0" w:afterAutospacing="0" w:line="360" w:lineRule="auto"/>
        <w:ind w:firstLine="421" w:firstLineChars="200"/>
        <w:outlineLvl w:val="9"/>
        <w:rPr>
          <w:color w:val="auto"/>
          <w:sz w:val="21"/>
          <w:szCs w:val="21"/>
          <w:highlight w:val="none"/>
        </w:rPr>
      </w:pPr>
      <w:bookmarkStart w:id="812" w:name="_Toc296503028"/>
      <w:bookmarkStart w:id="813" w:name="_Toc337558728"/>
      <w:bookmarkStart w:id="814" w:name="_Toc296346529"/>
      <w:bookmarkStart w:id="815" w:name="_Toc532377181"/>
      <w:bookmarkStart w:id="816" w:name="_Toc351203496"/>
    </w:p>
    <w:p>
      <w:pPr>
        <w:pStyle w:val="7"/>
        <w:spacing w:before="0" w:beforeAutospacing="0" w:after="0" w:afterAutospacing="0" w:line="360" w:lineRule="auto"/>
        <w:ind w:firstLine="421" w:firstLineChars="200"/>
        <w:outlineLvl w:val="9"/>
        <w:rPr>
          <w:color w:val="auto"/>
          <w:sz w:val="21"/>
          <w:szCs w:val="21"/>
          <w:highlight w:val="none"/>
        </w:rPr>
      </w:pPr>
    </w:p>
    <w:p>
      <w:pPr>
        <w:pStyle w:val="7"/>
        <w:spacing w:before="0" w:beforeAutospacing="0" w:after="0" w:afterAutospacing="0" w:line="360" w:lineRule="auto"/>
        <w:ind w:firstLine="421" w:firstLineChars="200"/>
        <w:outlineLvl w:val="9"/>
        <w:rPr>
          <w:color w:val="auto"/>
          <w:sz w:val="21"/>
          <w:szCs w:val="21"/>
          <w:highlight w:val="none"/>
        </w:rPr>
      </w:pPr>
    </w:p>
    <w:p>
      <w:pPr>
        <w:pStyle w:val="7"/>
        <w:spacing w:before="0" w:beforeAutospacing="0" w:after="0" w:afterAutospacing="0" w:line="360" w:lineRule="auto"/>
        <w:ind w:firstLine="421" w:firstLineChars="200"/>
        <w:outlineLvl w:val="9"/>
        <w:rPr>
          <w:color w:val="auto"/>
          <w:sz w:val="21"/>
          <w:szCs w:val="21"/>
          <w:highlight w:val="none"/>
        </w:rPr>
      </w:pPr>
    </w:p>
    <w:p>
      <w:pPr>
        <w:pStyle w:val="7"/>
        <w:spacing w:before="0" w:beforeAutospacing="0" w:after="0" w:afterAutospacing="0" w:line="360" w:lineRule="auto"/>
        <w:ind w:firstLine="421" w:firstLineChars="200"/>
        <w:outlineLvl w:val="9"/>
        <w:rPr>
          <w:color w:val="auto"/>
          <w:sz w:val="21"/>
          <w:szCs w:val="21"/>
          <w:highlight w:val="none"/>
        </w:rPr>
      </w:pPr>
    </w:p>
    <w:p>
      <w:pPr>
        <w:pStyle w:val="7"/>
        <w:spacing w:before="0" w:beforeAutospacing="0" w:after="0" w:afterAutospacing="0" w:line="360" w:lineRule="auto"/>
        <w:ind w:firstLine="421" w:firstLineChars="200"/>
        <w:outlineLvl w:val="9"/>
        <w:rPr>
          <w:color w:val="auto"/>
          <w:sz w:val="21"/>
          <w:szCs w:val="21"/>
          <w:highlight w:val="none"/>
        </w:rPr>
      </w:pPr>
    </w:p>
    <w:p>
      <w:pPr>
        <w:pStyle w:val="7"/>
        <w:spacing w:before="0" w:beforeAutospacing="0" w:after="0" w:afterAutospacing="0" w:line="360" w:lineRule="auto"/>
        <w:ind w:firstLine="421" w:firstLineChars="200"/>
        <w:outlineLvl w:val="9"/>
        <w:rPr>
          <w:color w:val="auto"/>
          <w:sz w:val="21"/>
          <w:szCs w:val="21"/>
          <w:highlight w:val="none"/>
        </w:rPr>
      </w:pPr>
    </w:p>
    <w:p>
      <w:pPr>
        <w:pStyle w:val="5"/>
        <w:jc w:val="center"/>
        <w:rPr>
          <w:rFonts w:ascii="宋体" w:hAnsi="宋体"/>
          <w:bCs w:val="0"/>
          <w:color w:val="auto"/>
          <w:sz w:val="21"/>
          <w:szCs w:val="21"/>
          <w:highlight w:val="none"/>
        </w:rPr>
      </w:pPr>
      <w:bookmarkStart w:id="817" w:name="_Toc171"/>
      <w:r>
        <w:rPr>
          <w:rFonts w:hint="eastAsia" w:ascii="宋体" w:hAnsi="宋体"/>
          <w:color w:val="auto"/>
          <w:sz w:val="44"/>
          <w:szCs w:val="44"/>
          <w:highlight w:val="none"/>
        </w:rPr>
        <w:t>第二部分 通用合同条款</w:t>
      </w:r>
      <w:bookmarkEnd w:id="817"/>
    </w:p>
    <w:bookmarkEnd w:id="812"/>
    <w:bookmarkEnd w:id="813"/>
    <w:bookmarkEnd w:id="814"/>
    <w:bookmarkEnd w:id="815"/>
    <w:bookmarkEnd w:id="816"/>
    <w:p>
      <w:pPr>
        <w:adjustRightInd w:val="0"/>
        <w:snapToGrid w:val="0"/>
        <w:spacing w:line="400" w:lineRule="exact"/>
        <w:ind w:firstLine="421" w:firstLineChars="200"/>
        <w:rPr>
          <w:rFonts w:ascii="方正黑体_GBK" w:hAnsi="宋体" w:eastAsia="方正黑体_GBK" w:cs="宋体"/>
          <w:b/>
          <w:bCs/>
          <w:color w:val="auto"/>
          <w:szCs w:val="21"/>
          <w:highlight w:val="none"/>
        </w:rPr>
      </w:pPr>
      <w:r>
        <w:rPr>
          <w:rFonts w:hint="eastAsia" w:ascii="方正黑体_GBK" w:hAnsi="宋体" w:eastAsia="方正黑体_GBK" w:cs="宋体"/>
          <w:b/>
          <w:bCs/>
          <w:color w:val="auto"/>
          <w:szCs w:val="21"/>
          <w:highlight w:val="none"/>
        </w:rPr>
        <w:t>一、词语定义及合同文件</w:t>
      </w:r>
    </w:p>
    <w:p>
      <w:pPr>
        <w:adjustRightInd w:val="0"/>
        <w:snapToGrid w:val="0"/>
        <w:spacing w:line="400" w:lineRule="exact"/>
        <w:ind w:firstLine="421" w:firstLineChars="200"/>
        <w:rPr>
          <w:rFonts w:ascii="宋体" w:hAnsi="宋体" w:cs="宋体"/>
          <w:b/>
          <w:color w:val="auto"/>
          <w:szCs w:val="21"/>
          <w:highlight w:val="none"/>
        </w:rPr>
      </w:pPr>
      <w:bookmarkStart w:id="818" w:name="_Toc101155954"/>
      <w:bookmarkStart w:id="819" w:name="_Toc98238908"/>
      <w:bookmarkStart w:id="820" w:name="_Toc100123476"/>
      <w:bookmarkStart w:id="821" w:name="_Toc231612689"/>
      <w:bookmarkStart w:id="822" w:name="_Toc101155751"/>
      <w:bookmarkStart w:id="823" w:name="_Toc98239372"/>
      <w:bookmarkStart w:id="824" w:name="_Toc193188620"/>
      <w:bookmarkStart w:id="825" w:name="_Toc99792266"/>
      <w:bookmarkStart w:id="826" w:name="_Toc115511269"/>
      <w:r>
        <w:rPr>
          <w:rFonts w:hint="eastAsia" w:ascii="宋体" w:hAnsi="宋体" w:cs="宋体"/>
          <w:b/>
          <w:color w:val="auto"/>
          <w:szCs w:val="21"/>
          <w:highlight w:val="none"/>
        </w:rPr>
        <w:t>1、词语定义</w:t>
      </w:r>
      <w:bookmarkEnd w:id="818"/>
      <w:bookmarkEnd w:id="819"/>
      <w:bookmarkEnd w:id="820"/>
      <w:bookmarkEnd w:id="821"/>
      <w:bookmarkEnd w:id="822"/>
      <w:bookmarkEnd w:id="823"/>
      <w:bookmarkEnd w:id="824"/>
      <w:bookmarkEnd w:id="825"/>
      <w:bookmarkEnd w:id="826"/>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下列词语除专用条款另有约定外，应具有本条所赋予的定义：</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 通用条款：是根据法律、行政法规规定及建设工程施工的需要订立，通用于建设工程施工的条款。</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1.2专用条款：是发包人与承包人根据法律、行政法规规定，结合具体工程实际，经协商达成一致意见的条款，是对通用条款的具体化、补充或修改。</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1.3 发包人：指在协议书中约定，具有工程发包主体资格和支付工程价款能力的当事人以及取得该当事人资格的合法继承人。</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1.4 承包人：指在协议书中约定，被发包人接受的具有工程施工承包主体资格的当事人以及取得该当事人资格的合法继承人。</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1.5 项目经理：指承包人在专用条款中指定的负责施工管理和合同履行的代表。</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1.6 设计单位：指发包人委托的负责本工程设计并取得相应工程设计资质等级证书的单位。</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1.7 监理单位：指发包人委托的负责本工程监理并取得相应工程监理资质等级证书的单位。</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1.8 工程师：指本工程监理单位委派的总监理工程师或发包人指定的履行本合同的代表，其具体身份和职权由发包人另行通知承包人。</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1.9 工程造价管理部门：指国务院有关部门、县级以上人民政府建设行政主管部门或其委托的工程造价管理机构。</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1.10 工程：指发包人承包人在协议书中约定的承包范围内的工程。</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1.11 合同价款：指发包人承包人在协议书中约定，发包人用以支付承包人按照合同约定完成承包范围内全部工程并承担质量保修责任的款项。</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1.12 追加合同价款：指在合同履行中发生需要增加合同价款的情况，经发包人确认后按计算合同价款的方法增加的合同价款。</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1.13 费用：指不包含在合同价款之内的应当由发包人或承包人承担的经济支出。</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1.14工期：指发包人承包人在协议书中约定，按总日历天数（包括法定节假日）计算的承包天数。</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1.15 开工日期：指发包人承包人在协议书中约定，承包人开始施工的绝对或相对的日期。</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1.16 竣工日期：指发包人承包人在协议书中约定，承包人完成承包范围内工程的绝对或相对的日期。</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1.17 图纸：指由发包人提供或承包人提供并经发包人批准，满足承包人施工需要的所有图纸（包括配套说明和有关资料）。</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1.18 施工场地：指由发包人提供的用于工程施工的场所以及发包人在图纸中具体指定的供施工使用的任何其他场所。</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1.19 书面形式：指合同书、信件和数据电文（包括电报、电传、传真、电子数据交换和电子邮件）等可以有形地表现所载内容的形式。</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1.20 违约责任：指合同一方不履行合同义务或履行合同义务不符合约定所应承担的责任。</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1.21 索赔：指在合同履行过程中，对于并非自己的过错，而是应由对方承担责任的情况造成的实际损失，向对方提出经济补偿和（或）工期顺延的要求。</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1.22 不可抗力：指不能预见、不能避免并不能克服的客观情况。</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1.23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adjustRightInd w:val="0"/>
        <w:snapToGrid w:val="0"/>
        <w:spacing w:line="400" w:lineRule="exact"/>
        <w:ind w:firstLine="421" w:firstLineChars="200"/>
        <w:rPr>
          <w:rFonts w:ascii="宋体" w:hAnsi="宋体" w:cs="宋体"/>
          <w:b/>
          <w:color w:val="auto"/>
          <w:szCs w:val="21"/>
          <w:highlight w:val="none"/>
        </w:rPr>
      </w:pPr>
      <w:bookmarkStart w:id="827" w:name="_Toc98238909"/>
      <w:bookmarkStart w:id="828" w:name="_Toc193188621"/>
      <w:bookmarkStart w:id="829" w:name="_Toc100123477"/>
      <w:bookmarkStart w:id="830" w:name="_Toc99792267"/>
      <w:bookmarkStart w:id="831" w:name="_Toc115511270"/>
      <w:bookmarkStart w:id="832" w:name="_Toc98239373"/>
      <w:bookmarkStart w:id="833" w:name="_Toc101155752"/>
      <w:bookmarkStart w:id="834" w:name="_Toc101155955"/>
      <w:bookmarkStart w:id="835" w:name="_Toc231612690"/>
      <w:r>
        <w:rPr>
          <w:rFonts w:hint="eastAsia" w:ascii="宋体" w:hAnsi="宋体" w:cs="宋体"/>
          <w:b/>
          <w:color w:val="auto"/>
          <w:szCs w:val="21"/>
          <w:highlight w:val="none"/>
        </w:rPr>
        <w:t>2、合同文件及解释顺序</w:t>
      </w:r>
      <w:bookmarkEnd w:id="827"/>
      <w:bookmarkEnd w:id="828"/>
      <w:bookmarkEnd w:id="829"/>
      <w:bookmarkEnd w:id="830"/>
      <w:bookmarkEnd w:id="831"/>
      <w:bookmarkEnd w:id="832"/>
      <w:bookmarkEnd w:id="833"/>
      <w:bookmarkEnd w:id="834"/>
      <w:bookmarkEnd w:id="835"/>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2.1 合同文件应能相互解释，互为说明。除专用条款另有约定外，组成本合同的文件及优先解释顺序如下：</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本合同协议书</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中标通知书</w:t>
      </w:r>
      <w:r>
        <w:rPr>
          <w:rFonts w:hint="eastAsia" w:ascii="宋体" w:hAnsi="宋体" w:cs="宋体"/>
          <w:color w:val="auto"/>
          <w:szCs w:val="21"/>
          <w:highlight w:val="none"/>
        </w:rPr>
        <w:tab/>
      </w:r>
      <w:r>
        <w:rPr>
          <w:rFonts w:hint="eastAsia" w:ascii="宋体" w:hAnsi="宋体" w:cs="宋体"/>
          <w:color w:val="auto"/>
          <w:szCs w:val="21"/>
          <w:highlight w:val="none"/>
        </w:rPr>
        <w:tab/>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投标书及其附件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本合同专用条款</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 本合同通用条款</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 标准、规范及有关技术文件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(7) 图纸</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(8) 工程量清单</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(9) 工程报价单或预算书</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合同履行中，发包人承包人有关工程的洽商、变更等书面协议或文件视为本合同的组成部分。</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2.2 当合同文件内容含糊不清或不相一致时，在不影响工程正常进行的情况下，由发包人承包人协商解决。双方也可以提请负责监理的工程师作出解释。双方协商不成或不同意负责监理的工程师的解释时，按本通用条款第37条关于争议的约定处理。</w:t>
      </w:r>
    </w:p>
    <w:p>
      <w:pPr>
        <w:adjustRightInd w:val="0"/>
        <w:snapToGrid w:val="0"/>
        <w:spacing w:line="400" w:lineRule="exact"/>
        <w:ind w:firstLine="421" w:firstLineChars="200"/>
        <w:rPr>
          <w:rFonts w:ascii="宋体" w:hAnsi="宋体" w:cs="宋体"/>
          <w:b/>
          <w:color w:val="auto"/>
          <w:szCs w:val="21"/>
          <w:highlight w:val="none"/>
        </w:rPr>
      </w:pPr>
      <w:bookmarkStart w:id="836" w:name="_Toc99792268"/>
      <w:bookmarkStart w:id="837" w:name="_Toc98238910"/>
      <w:bookmarkStart w:id="838" w:name="_Toc193188622"/>
      <w:bookmarkStart w:id="839" w:name="_Toc98239374"/>
      <w:bookmarkStart w:id="840" w:name="_Toc115511271"/>
      <w:bookmarkStart w:id="841" w:name="_Toc101155956"/>
      <w:bookmarkStart w:id="842" w:name="_Toc100123478"/>
      <w:bookmarkStart w:id="843" w:name="_Toc231612691"/>
      <w:bookmarkStart w:id="844" w:name="_Toc101155753"/>
      <w:r>
        <w:rPr>
          <w:rFonts w:hint="eastAsia" w:ascii="宋体" w:hAnsi="宋体" w:cs="宋体"/>
          <w:b/>
          <w:color w:val="auto"/>
          <w:szCs w:val="21"/>
          <w:highlight w:val="none"/>
        </w:rPr>
        <w:t>3、语言文字和适用法律、标准及规范</w:t>
      </w:r>
      <w:bookmarkEnd w:id="836"/>
      <w:bookmarkEnd w:id="837"/>
      <w:bookmarkEnd w:id="838"/>
      <w:bookmarkEnd w:id="839"/>
      <w:bookmarkEnd w:id="840"/>
      <w:bookmarkEnd w:id="841"/>
      <w:bookmarkEnd w:id="842"/>
      <w:bookmarkEnd w:id="843"/>
      <w:bookmarkEnd w:id="844"/>
    </w:p>
    <w:p>
      <w:pPr>
        <w:adjustRightInd w:val="0"/>
        <w:snapToGrid w:val="0"/>
        <w:spacing w:line="400" w:lineRule="exact"/>
        <w:ind w:firstLine="420" w:firstLineChars="200"/>
        <w:rPr>
          <w:rFonts w:ascii="宋体" w:hAnsi="宋体" w:cs="宋体"/>
          <w:color w:val="auto"/>
          <w:szCs w:val="21"/>
          <w:highlight w:val="none"/>
        </w:rPr>
      </w:pPr>
      <w:bookmarkStart w:id="845" w:name="_Toc231613081"/>
      <w:bookmarkStart w:id="846" w:name="_Toc231612933"/>
      <w:bookmarkStart w:id="847" w:name="_Toc231612692"/>
      <w:r>
        <w:rPr>
          <w:rFonts w:hint="eastAsia" w:ascii="宋体" w:hAnsi="宋体" w:cs="宋体"/>
          <w:color w:val="auto"/>
          <w:szCs w:val="21"/>
          <w:highlight w:val="none"/>
        </w:rPr>
        <w:t>3.1 语言文字</w:t>
      </w:r>
      <w:bookmarkEnd w:id="845"/>
      <w:bookmarkEnd w:id="846"/>
      <w:bookmarkEnd w:id="847"/>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本合同文件使用汉语语言文字书写、解释和说明。如专用条款约定使用两种以上（含两种）语言文字时，汉语应为解释和说明本合同的标准语言文字。</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在少数民族地区，双方可以约定使用少数民族语言文字书写和解释、说明本合同。</w:t>
      </w:r>
    </w:p>
    <w:p>
      <w:pPr>
        <w:adjustRightInd w:val="0"/>
        <w:snapToGrid w:val="0"/>
        <w:spacing w:line="400" w:lineRule="exact"/>
        <w:ind w:firstLine="420" w:firstLineChars="200"/>
        <w:rPr>
          <w:rFonts w:ascii="宋体" w:hAnsi="宋体" w:cs="宋体"/>
          <w:color w:val="auto"/>
          <w:szCs w:val="21"/>
          <w:highlight w:val="none"/>
        </w:rPr>
      </w:pPr>
      <w:bookmarkStart w:id="848" w:name="_Toc231613082"/>
      <w:bookmarkStart w:id="849" w:name="_Toc231612693"/>
      <w:bookmarkStart w:id="850" w:name="_Toc231612934"/>
      <w:r>
        <w:rPr>
          <w:rFonts w:hint="eastAsia" w:ascii="宋体" w:hAnsi="宋体" w:cs="宋体"/>
          <w:color w:val="auto"/>
          <w:szCs w:val="21"/>
          <w:highlight w:val="none"/>
        </w:rPr>
        <w:t>3.2 适用法律和法规</w:t>
      </w:r>
      <w:bookmarkEnd w:id="848"/>
      <w:bookmarkEnd w:id="849"/>
      <w:bookmarkEnd w:id="850"/>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本合同文件适用国家的法律和行政法规。需要明示的法律、行政法规，由双方在专用条款中约定。</w:t>
      </w:r>
    </w:p>
    <w:p>
      <w:pPr>
        <w:adjustRightInd w:val="0"/>
        <w:snapToGrid w:val="0"/>
        <w:spacing w:line="400" w:lineRule="exact"/>
        <w:ind w:firstLine="420" w:firstLineChars="200"/>
        <w:rPr>
          <w:rFonts w:ascii="宋体" w:hAnsi="宋体" w:cs="宋体"/>
          <w:color w:val="auto"/>
          <w:szCs w:val="21"/>
          <w:highlight w:val="none"/>
        </w:rPr>
      </w:pPr>
      <w:bookmarkStart w:id="851" w:name="_Toc231612694"/>
      <w:bookmarkStart w:id="852" w:name="_Toc231612935"/>
      <w:bookmarkStart w:id="853" w:name="_Toc231613083"/>
      <w:r>
        <w:rPr>
          <w:rFonts w:hint="eastAsia" w:ascii="宋体" w:hAnsi="宋体" w:cs="宋体"/>
          <w:color w:val="auto"/>
          <w:szCs w:val="21"/>
          <w:highlight w:val="none"/>
        </w:rPr>
        <w:t>3.3 适用标准、规范</w:t>
      </w:r>
      <w:bookmarkEnd w:id="851"/>
      <w:bookmarkEnd w:id="852"/>
      <w:bookmarkEnd w:id="853"/>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本条所发生的购买、翻译标准、规范或制定施工工艺的费用，由发包人承担。</w:t>
      </w:r>
    </w:p>
    <w:p>
      <w:pPr>
        <w:adjustRightInd w:val="0"/>
        <w:snapToGrid w:val="0"/>
        <w:spacing w:line="400" w:lineRule="exact"/>
        <w:ind w:firstLine="421" w:firstLineChars="200"/>
        <w:rPr>
          <w:rFonts w:ascii="宋体" w:hAnsi="宋体" w:cs="宋体"/>
          <w:b/>
          <w:color w:val="auto"/>
          <w:szCs w:val="21"/>
          <w:highlight w:val="none"/>
        </w:rPr>
      </w:pPr>
      <w:bookmarkStart w:id="854" w:name="_Toc101155754"/>
      <w:bookmarkStart w:id="855" w:name="_Toc100123479"/>
      <w:bookmarkStart w:id="856" w:name="_Toc231613084"/>
      <w:bookmarkStart w:id="857" w:name="_Toc101155957"/>
      <w:bookmarkStart w:id="858" w:name="_Toc193188623"/>
      <w:bookmarkStart w:id="859" w:name="_Toc98239375"/>
      <w:bookmarkStart w:id="860" w:name="_Toc231612936"/>
      <w:bookmarkStart w:id="861" w:name="_Toc99792269"/>
      <w:bookmarkStart w:id="862" w:name="_Toc231612695"/>
      <w:bookmarkStart w:id="863" w:name="_Toc98238911"/>
      <w:bookmarkStart w:id="864" w:name="_Toc115511272"/>
      <w:r>
        <w:rPr>
          <w:rFonts w:hint="eastAsia" w:ascii="宋体" w:hAnsi="宋体" w:cs="宋体"/>
          <w:b/>
          <w:color w:val="auto"/>
          <w:szCs w:val="21"/>
          <w:highlight w:val="none"/>
        </w:rPr>
        <w:t>4、图纸</w:t>
      </w:r>
      <w:bookmarkEnd w:id="854"/>
      <w:bookmarkEnd w:id="855"/>
      <w:bookmarkEnd w:id="856"/>
      <w:bookmarkEnd w:id="857"/>
      <w:bookmarkEnd w:id="858"/>
      <w:bookmarkEnd w:id="859"/>
      <w:bookmarkEnd w:id="860"/>
      <w:bookmarkEnd w:id="861"/>
      <w:bookmarkEnd w:id="862"/>
      <w:bookmarkEnd w:id="863"/>
      <w:bookmarkEnd w:id="864"/>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4.2 承包人未经发包人同意，不得将本工程图纸转给第三人。工程质量保修期满后，除承包人存档需要的图纸外，应将全部图纸退还给发包人。</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4.3 承包人应在施工现场保留一套完整图纸，供工程师及有关人员进行工程检查时使用。</w:t>
      </w:r>
    </w:p>
    <w:p>
      <w:pPr>
        <w:adjustRightInd w:val="0"/>
        <w:snapToGrid w:val="0"/>
        <w:spacing w:line="400" w:lineRule="exact"/>
        <w:ind w:firstLine="421" w:firstLineChars="200"/>
        <w:rPr>
          <w:rFonts w:ascii="方正黑体_GBK" w:hAnsi="宋体" w:eastAsia="方正黑体_GBK" w:cs="宋体"/>
          <w:b/>
          <w:bCs/>
          <w:color w:val="auto"/>
          <w:szCs w:val="21"/>
          <w:highlight w:val="none"/>
        </w:rPr>
      </w:pPr>
      <w:bookmarkStart w:id="865" w:name="_Toc98238912"/>
      <w:bookmarkStart w:id="866" w:name="_Toc101155755"/>
      <w:bookmarkStart w:id="867" w:name="_Toc231612937"/>
      <w:bookmarkStart w:id="868" w:name="_Toc100123480"/>
      <w:bookmarkStart w:id="869" w:name="_Toc231612696"/>
      <w:bookmarkStart w:id="870" w:name="_Toc231613085"/>
      <w:bookmarkStart w:id="871" w:name="_Toc193188624"/>
      <w:bookmarkStart w:id="872" w:name="_Toc115511273"/>
      <w:bookmarkStart w:id="873" w:name="_Toc98239376"/>
      <w:bookmarkStart w:id="874" w:name="_Toc101155958"/>
      <w:bookmarkStart w:id="875" w:name="_Toc99792270"/>
      <w:r>
        <w:rPr>
          <w:rFonts w:hint="eastAsia" w:ascii="方正黑体_GBK" w:hAnsi="宋体" w:eastAsia="方正黑体_GBK" w:cs="宋体"/>
          <w:b/>
          <w:bCs/>
          <w:color w:val="auto"/>
          <w:szCs w:val="21"/>
          <w:highlight w:val="none"/>
        </w:rPr>
        <w:t>二、双方一般权利和义务</w:t>
      </w:r>
      <w:bookmarkEnd w:id="865"/>
      <w:bookmarkEnd w:id="866"/>
      <w:bookmarkEnd w:id="867"/>
      <w:bookmarkEnd w:id="868"/>
      <w:bookmarkEnd w:id="869"/>
      <w:bookmarkEnd w:id="870"/>
      <w:bookmarkEnd w:id="871"/>
      <w:bookmarkEnd w:id="872"/>
      <w:bookmarkEnd w:id="873"/>
      <w:bookmarkEnd w:id="874"/>
      <w:bookmarkEnd w:id="875"/>
    </w:p>
    <w:p>
      <w:pPr>
        <w:adjustRightInd w:val="0"/>
        <w:snapToGrid w:val="0"/>
        <w:spacing w:line="400" w:lineRule="exact"/>
        <w:ind w:firstLine="421" w:firstLineChars="200"/>
        <w:rPr>
          <w:rFonts w:ascii="宋体" w:hAnsi="宋体" w:cs="宋体"/>
          <w:b/>
          <w:color w:val="auto"/>
          <w:szCs w:val="21"/>
          <w:highlight w:val="none"/>
        </w:rPr>
      </w:pPr>
      <w:bookmarkStart w:id="876" w:name="_Toc100123481"/>
      <w:bookmarkStart w:id="877" w:name="_Toc115511274"/>
      <w:bookmarkStart w:id="878" w:name="_Toc101155959"/>
      <w:bookmarkStart w:id="879" w:name="_Toc231612697"/>
      <w:bookmarkStart w:id="880" w:name="_Toc98238913"/>
      <w:bookmarkStart w:id="881" w:name="_Toc193188625"/>
      <w:bookmarkStart w:id="882" w:name="_Toc99792271"/>
      <w:bookmarkStart w:id="883" w:name="_Toc101155756"/>
      <w:bookmarkStart w:id="884" w:name="_Toc98239377"/>
      <w:r>
        <w:rPr>
          <w:rFonts w:hint="eastAsia" w:ascii="宋体" w:hAnsi="宋体" w:cs="宋体"/>
          <w:b/>
          <w:color w:val="auto"/>
          <w:szCs w:val="21"/>
          <w:highlight w:val="none"/>
        </w:rPr>
        <w:t>5、工程师</w:t>
      </w:r>
      <w:bookmarkEnd w:id="876"/>
      <w:bookmarkEnd w:id="877"/>
      <w:bookmarkEnd w:id="878"/>
      <w:bookmarkEnd w:id="879"/>
      <w:bookmarkEnd w:id="880"/>
      <w:bookmarkEnd w:id="881"/>
      <w:bookmarkEnd w:id="882"/>
      <w:bookmarkEnd w:id="883"/>
      <w:bookmarkEnd w:id="884"/>
    </w:p>
    <w:p>
      <w:pPr>
        <w:adjustRightInd w:val="0"/>
        <w:snapToGrid w:val="0"/>
        <w:spacing w:line="400" w:lineRule="exact"/>
        <w:ind w:firstLine="420" w:firstLineChars="200"/>
        <w:rPr>
          <w:rFonts w:ascii="宋体" w:hAnsi="宋体" w:cs="宋体"/>
          <w:color w:val="auto"/>
          <w:szCs w:val="21"/>
          <w:highlight w:val="none"/>
        </w:rPr>
      </w:pPr>
      <w:bookmarkStart w:id="885" w:name="_Toc231612938"/>
      <w:bookmarkStart w:id="886" w:name="_Toc231612698"/>
      <w:bookmarkStart w:id="887" w:name="_Toc231613086"/>
      <w:r>
        <w:rPr>
          <w:rFonts w:hint="eastAsia" w:ascii="宋体" w:hAnsi="宋体" w:cs="宋体"/>
          <w:color w:val="auto"/>
          <w:szCs w:val="21"/>
          <w:highlight w:val="none"/>
        </w:rPr>
        <w:t>5.1 实行工程监理的，发包人应在实施监理前将委托的监理单位名称、监理内容及监理权限以书面形式通知承包人。</w:t>
      </w:r>
      <w:bookmarkEnd w:id="885"/>
      <w:bookmarkEnd w:id="886"/>
      <w:bookmarkEnd w:id="887"/>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5.2 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5.4 合同履行中，发生影响发包人承包人双方权利或义务的事件时，负责监理的工程师应依据合同在其职权范围内客观公正地进行处理。一方对工程师的处理有异议时，按本通用条款第37条关于争议的约定处理。</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5.5 除合同内有明确约定或经发包人同意外，负责监理的工程师无权解除本合同约定的承包人的任何权利与义务。</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5.6 不实行工程监理的，本合同中工程师专指发包人派驻施工工场地履行合同的代表，其具体职权由发包人在专用条款内写明。</w:t>
      </w:r>
    </w:p>
    <w:p>
      <w:pPr>
        <w:adjustRightInd w:val="0"/>
        <w:snapToGrid w:val="0"/>
        <w:spacing w:line="400" w:lineRule="exact"/>
        <w:ind w:firstLine="421" w:firstLineChars="200"/>
        <w:rPr>
          <w:rFonts w:ascii="宋体" w:hAnsi="宋体" w:cs="宋体"/>
          <w:b/>
          <w:color w:val="auto"/>
          <w:szCs w:val="21"/>
          <w:highlight w:val="none"/>
        </w:rPr>
      </w:pPr>
      <w:bookmarkStart w:id="888" w:name="_Toc98239378"/>
      <w:bookmarkStart w:id="889" w:name="_Toc101155757"/>
      <w:bookmarkStart w:id="890" w:name="_Toc193188626"/>
      <w:bookmarkStart w:id="891" w:name="_Toc231612699"/>
      <w:bookmarkStart w:id="892" w:name="_Toc101155960"/>
      <w:bookmarkStart w:id="893" w:name="_Toc100123482"/>
      <w:bookmarkStart w:id="894" w:name="_Toc99792272"/>
      <w:bookmarkStart w:id="895" w:name="_Toc115511275"/>
      <w:bookmarkStart w:id="896" w:name="_Toc98238914"/>
      <w:r>
        <w:rPr>
          <w:rFonts w:hint="eastAsia" w:ascii="宋体" w:hAnsi="宋体" w:cs="宋体"/>
          <w:b/>
          <w:color w:val="auto"/>
          <w:szCs w:val="21"/>
          <w:highlight w:val="none"/>
        </w:rPr>
        <w:t>6、工程师的委派和指令</w:t>
      </w:r>
      <w:bookmarkEnd w:id="888"/>
      <w:bookmarkEnd w:id="889"/>
      <w:bookmarkEnd w:id="890"/>
      <w:bookmarkEnd w:id="891"/>
      <w:bookmarkEnd w:id="892"/>
      <w:bookmarkEnd w:id="893"/>
      <w:bookmarkEnd w:id="894"/>
      <w:bookmarkEnd w:id="895"/>
      <w:bookmarkEnd w:id="896"/>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除工程师或工程师代表外，发包人派驻工地的其他人员均无权向承包人发出任何指令。</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本款规定同样适用于由工程师代表发出的指令、通知。</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6.3 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6.4 如需更换工程师，发包人应至少提前7天以书面形式通知承包人，后任继续行使合同文件约定的前任的职权，履行前任的义务。</w:t>
      </w:r>
    </w:p>
    <w:p>
      <w:pPr>
        <w:adjustRightInd w:val="0"/>
        <w:snapToGrid w:val="0"/>
        <w:spacing w:line="400" w:lineRule="exact"/>
        <w:ind w:firstLine="421" w:firstLineChars="200"/>
        <w:rPr>
          <w:rFonts w:ascii="宋体" w:hAnsi="宋体" w:cs="宋体"/>
          <w:b/>
          <w:color w:val="auto"/>
          <w:szCs w:val="21"/>
          <w:highlight w:val="none"/>
        </w:rPr>
      </w:pPr>
      <w:bookmarkStart w:id="897" w:name="_Toc101155758"/>
      <w:bookmarkStart w:id="898" w:name="_Toc99792273"/>
      <w:bookmarkStart w:id="899" w:name="_Toc193188627"/>
      <w:bookmarkStart w:id="900" w:name="_Toc115511276"/>
      <w:bookmarkStart w:id="901" w:name="_Toc231612700"/>
      <w:bookmarkStart w:id="902" w:name="_Toc101155961"/>
      <w:bookmarkStart w:id="903" w:name="_Toc98238915"/>
      <w:bookmarkStart w:id="904" w:name="_Toc98239379"/>
      <w:bookmarkStart w:id="905" w:name="_Toc100123483"/>
      <w:r>
        <w:rPr>
          <w:rFonts w:hint="eastAsia" w:ascii="宋体" w:hAnsi="宋体" w:cs="宋体"/>
          <w:b/>
          <w:color w:val="auto"/>
          <w:szCs w:val="21"/>
          <w:highlight w:val="none"/>
        </w:rPr>
        <w:t>7、项目经理</w:t>
      </w:r>
      <w:bookmarkEnd w:id="897"/>
      <w:bookmarkEnd w:id="898"/>
      <w:bookmarkEnd w:id="899"/>
      <w:bookmarkEnd w:id="900"/>
      <w:bookmarkEnd w:id="901"/>
      <w:bookmarkEnd w:id="902"/>
      <w:bookmarkEnd w:id="903"/>
      <w:bookmarkEnd w:id="904"/>
      <w:bookmarkEnd w:id="905"/>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7.1 项目经理的姓名、职务在专用条款内写明。</w:t>
      </w:r>
    </w:p>
    <w:p>
      <w:pPr>
        <w:adjustRightInd w:val="0"/>
        <w:snapToGrid w:val="0"/>
        <w:spacing w:line="400" w:lineRule="exact"/>
        <w:ind w:firstLine="420" w:firstLineChars="200"/>
        <w:rPr>
          <w:rFonts w:ascii="宋体" w:hAnsi="宋体" w:cs="宋体"/>
          <w:color w:val="auto"/>
          <w:szCs w:val="21"/>
          <w:highlight w:val="none"/>
        </w:rPr>
      </w:pPr>
      <w:bookmarkStart w:id="906" w:name="_Toc231613087"/>
      <w:bookmarkStart w:id="907" w:name="_Toc231612701"/>
      <w:bookmarkStart w:id="908" w:name="_Toc231612939"/>
      <w:r>
        <w:rPr>
          <w:rFonts w:hint="eastAsia" w:ascii="宋体" w:hAnsi="宋体" w:cs="宋体"/>
          <w:color w:val="auto"/>
          <w:szCs w:val="21"/>
          <w:highlight w:val="none"/>
        </w:rPr>
        <w:t>7.2 承包人依据合同发出的通知，以书面形式由项目经理签字后送交工程师，工程师在回执上签署姓名和收到时间后生效。</w:t>
      </w:r>
      <w:bookmarkEnd w:id="906"/>
      <w:bookmarkEnd w:id="907"/>
      <w:bookmarkEnd w:id="908"/>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7.3 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pPr>
        <w:adjustRightInd w:val="0"/>
        <w:snapToGrid w:val="0"/>
        <w:spacing w:line="400" w:lineRule="exact"/>
        <w:ind w:firstLine="420" w:firstLineChars="200"/>
        <w:rPr>
          <w:rFonts w:ascii="宋体" w:hAnsi="宋体" w:cs="宋体"/>
          <w:color w:val="auto"/>
          <w:szCs w:val="21"/>
          <w:highlight w:val="none"/>
        </w:rPr>
      </w:pPr>
      <w:bookmarkStart w:id="909" w:name="_Toc231612940"/>
      <w:bookmarkStart w:id="910" w:name="_Toc231613088"/>
      <w:bookmarkStart w:id="911" w:name="_Toc231612702"/>
      <w:r>
        <w:rPr>
          <w:rFonts w:hint="eastAsia" w:ascii="宋体" w:hAnsi="宋体" w:cs="宋体"/>
          <w:color w:val="auto"/>
          <w:szCs w:val="21"/>
          <w:highlight w:val="none"/>
        </w:rPr>
        <w:t>7.4 承包人如需更换项目经理，应至少提前7天以书面形式通知发包人，并征得发包人同意。后任继续先行使合同文件约定的前任的职权，履行前任的义务。</w:t>
      </w:r>
      <w:bookmarkEnd w:id="909"/>
      <w:bookmarkEnd w:id="910"/>
      <w:bookmarkEnd w:id="911"/>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7.5 发包人可以与承包人协商，建议更换其认为不称职的项目经理。</w:t>
      </w:r>
    </w:p>
    <w:p>
      <w:pPr>
        <w:adjustRightInd w:val="0"/>
        <w:snapToGrid w:val="0"/>
        <w:spacing w:line="400" w:lineRule="exact"/>
        <w:ind w:firstLine="421" w:firstLineChars="200"/>
        <w:rPr>
          <w:rFonts w:ascii="宋体" w:hAnsi="宋体" w:cs="宋体"/>
          <w:b/>
          <w:color w:val="auto"/>
          <w:szCs w:val="21"/>
          <w:highlight w:val="none"/>
        </w:rPr>
      </w:pPr>
      <w:bookmarkStart w:id="912" w:name="_Toc98239380"/>
      <w:bookmarkStart w:id="913" w:name="_Toc101155759"/>
      <w:bookmarkStart w:id="914" w:name="_Toc101155962"/>
      <w:bookmarkStart w:id="915" w:name="_Toc115511277"/>
      <w:bookmarkStart w:id="916" w:name="_Toc99792274"/>
      <w:bookmarkStart w:id="917" w:name="_Toc193188628"/>
      <w:bookmarkStart w:id="918" w:name="_Toc231612703"/>
      <w:bookmarkStart w:id="919" w:name="_Toc98238916"/>
      <w:bookmarkStart w:id="920" w:name="_Toc100123484"/>
      <w:r>
        <w:rPr>
          <w:rFonts w:hint="eastAsia" w:ascii="宋体" w:hAnsi="宋体" w:cs="宋体"/>
          <w:b/>
          <w:color w:val="auto"/>
          <w:szCs w:val="21"/>
          <w:highlight w:val="none"/>
        </w:rPr>
        <w:t>8、发包人工作</w:t>
      </w:r>
      <w:bookmarkEnd w:id="912"/>
      <w:bookmarkEnd w:id="913"/>
      <w:bookmarkEnd w:id="914"/>
      <w:bookmarkEnd w:id="915"/>
      <w:bookmarkEnd w:id="916"/>
      <w:bookmarkEnd w:id="917"/>
      <w:bookmarkEnd w:id="918"/>
      <w:bookmarkEnd w:id="919"/>
      <w:bookmarkEnd w:id="920"/>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8.1 发包人按专用条款约定的内容和时间完成下列工作: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办理土地征用、拆迁补偿、平整施工场地等工作，使施工场地具备施工条件，在开工后继续负责解决以上事项遗留问题；</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开通施工场地与城乡公共道路的通道，以及专用条款约定的施工场地内的主要道路，满足施工运输的需要，保证施工期间的畅通；</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向承包人提供施工场地的工程地质和地下管线资料，对资料的真实准确性负责；</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办理施工许可证及其他施工所需证件、批件和临时用地、停水、停电、中断道路交通、爆破作业等的申请批准手续（证明承包人自身资质的证件除外）；</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 确定水准点与座标控制点，以书面形式交给承包人，进行现场交验；</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 组织承包人和设计单位进行图纸会审和设计交底；</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(7) 协调处理施工场地周围地下管线和邻近建筑物、构筑物（包括文物保护建筑）、古树名木的保护工作。</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(8) 发包人应做的其他工作，双方在专用条款内约定。</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8.2发包人可以将8.1款部分工作委托承包人办理，双方在专用条款内约定，其费用由发包人承担。</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8.3发包人未能履行8.1款各项义务，导致工期延误或给承包人造成损失的，发包人赔偿承包人有关损失，顺延延误的工期。</w:t>
      </w:r>
    </w:p>
    <w:p>
      <w:pPr>
        <w:adjustRightInd w:val="0"/>
        <w:snapToGrid w:val="0"/>
        <w:spacing w:line="400" w:lineRule="exact"/>
        <w:ind w:firstLine="421" w:firstLineChars="200"/>
        <w:rPr>
          <w:rFonts w:ascii="宋体" w:hAnsi="宋体" w:cs="宋体"/>
          <w:b/>
          <w:color w:val="auto"/>
          <w:szCs w:val="21"/>
          <w:highlight w:val="none"/>
        </w:rPr>
      </w:pPr>
      <w:bookmarkStart w:id="921" w:name="_Toc231612704"/>
      <w:bookmarkStart w:id="922" w:name="_Toc101155760"/>
      <w:bookmarkStart w:id="923" w:name="_Toc193188629"/>
      <w:bookmarkStart w:id="924" w:name="_Toc100123485"/>
      <w:bookmarkStart w:id="925" w:name="_Toc98238917"/>
      <w:bookmarkStart w:id="926" w:name="_Toc98239381"/>
      <w:bookmarkStart w:id="927" w:name="_Toc101155963"/>
      <w:bookmarkStart w:id="928" w:name="_Toc115511278"/>
      <w:bookmarkStart w:id="929" w:name="_Toc99792275"/>
      <w:r>
        <w:rPr>
          <w:rFonts w:hint="eastAsia" w:ascii="宋体" w:hAnsi="宋体" w:cs="宋体"/>
          <w:b/>
          <w:color w:val="auto"/>
          <w:szCs w:val="21"/>
          <w:highlight w:val="none"/>
        </w:rPr>
        <w:t>9、承包人工作</w:t>
      </w:r>
      <w:bookmarkEnd w:id="921"/>
      <w:bookmarkEnd w:id="922"/>
      <w:bookmarkEnd w:id="923"/>
      <w:bookmarkEnd w:id="924"/>
      <w:bookmarkEnd w:id="925"/>
      <w:bookmarkEnd w:id="926"/>
      <w:bookmarkEnd w:id="927"/>
      <w:bookmarkEnd w:id="928"/>
      <w:bookmarkEnd w:id="929"/>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9.1 承包人按专用条款约定的内容和时间完成以下工作：</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根据发包人委托，在其设计资质等级和业务允许的范围内，完成施工图设计或与工程配套的设计，经工程师确认后使用，发包人承担由此发生的费用；</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向工程师提供年、季、月度工程进度计划及相应进度统计报表；</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根据工程需要，提供和维修非夜间施工使用的照明、围栏设施，并负责安全保卫；</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按专用条款约定的数量和要求，向发包人提供施工场地办公和生活的房屋及设施，承包人承担由此发生的费用；</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 遵守政府有关主管部门对施工场地交通、施工噪音以及环境保护和安全生产等的管理规定，按规定办理有关手续，并以书面形式通知发包人，承包人承担由此发生的费用，因发包人责任造成的违约金除外；</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 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(7) 按专用条款约定做好施工场地地下管线和邻近建筑物、构筑物（包括文物保护建筑）、古树名木的保护工作；</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(8) 保证施工场地清洁符合环境卫生管理的有关规定，交工前清理现场达到专用条款约定的要求，承担因自身原因违反有关规定造成的损失和违约金；</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 承包人应做的其他工作，双方在专用条款内约定。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9.2 承包人未能履行9.1款各项义务，造成发包人损失的，承包人赔偿发包人有关损失。</w:t>
      </w:r>
    </w:p>
    <w:p>
      <w:pPr>
        <w:adjustRightInd w:val="0"/>
        <w:snapToGrid w:val="0"/>
        <w:spacing w:line="400" w:lineRule="exact"/>
        <w:ind w:firstLine="421" w:firstLineChars="200"/>
        <w:rPr>
          <w:rFonts w:ascii="方正黑体_GBK" w:hAnsi="宋体" w:eastAsia="方正黑体_GBK" w:cs="宋体"/>
          <w:b/>
          <w:bCs/>
          <w:color w:val="auto"/>
          <w:szCs w:val="21"/>
          <w:highlight w:val="none"/>
        </w:rPr>
      </w:pPr>
      <w:bookmarkStart w:id="930" w:name="_Toc231612941"/>
      <w:bookmarkStart w:id="931" w:name="_Toc115511279"/>
      <w:bookmarkStart w:id="932" w:name="_Toc98239382"/>
      <w:bookmarkStart w:id="933" w:name="_Toc231612705"/>
      <w:bookmarkStart w:id="934" w:name="_Toc100123486"/>
      <w:bookmarkStart w:id="935" w:name="_Toc99792276"/>
      <w:bookmarkStart w:id="936" w:name="_Toc193188630"/>
      <w:bookmarkStart w:id="937" w:name="_Toc101155761"/>
      <w:bookmarkStart w:id="938" w:name="_Toc101155964"/>
      <w:bookmarkStart w:id="939" w:name="_Toc98238918"/>
      <w:bookmarkStart w:id="940" w:name="_Toc231613089"/>
      <w:r>
        <w:rPr>
          <w:rFonts w:hint="eastAsia" w:ascii="方正黑体_GBK" w:hAnsi="宋体" w:eastAsia="方正黑体_GBK" w:cs="宋体"/>
          <w:b/>
          <w:bCs/>
          <w:color w:val="auto"/>
          <w:szCs w:val="21"/>
          <w:highlight w:val="none"/>
        </w:rPr>
        <w:t>三、施工组织设计和工期</w:t>
      </w:r>
      <w:bookmarkEnd w:id="930"/>
      <w:bookmarkEnd w:id="931"/>
      <w:bookmarkEnd w:id="932"/>
      <w:bookmarkEnd w:id="933"/>
      <w:bookmarkEnd w:id="934"/>
      <w:bookmarkEnd w:id="935"/>
      <w:bookmarkEnd w:id="936"/>
      <w:bookmarkEnd w:id="937"/>
      <w:bookmarkEnd w:id="938"/>
      <w:bookmarkEnd w:id="939"/>
      <w:bookmarkEnd w:id="940"/>
    </w:p>
    <w:p>
      <w:pPr>
        <w:adjustRightInd w:val="0"/>
        <w:snapToGrid w:val="0"/>
        <w:spacing w:line="400" w:lineRule="exact"/>
        <w:ind w:firstLine="421" w:firstLineChars="200"/>
        <w:rPr>
          <w:rFonts w:ascii="宋体" w:hAnsi="宋体" w:cs="宋体"/>
          <w:b/>
          <w:color w:val="auto"/>
          <w:szCs w:val="21"/>
          <w:highlight w:val="none"/>
        </w:rPr>
      </w:pPr>
      <w:bookmarkStart w:id="941" w:name="_Toc115511280"/>
      <w:bookmarkStart w:id="942" w:name="_Toc101155762"/>
      <w:bookmarkStart w:id="943" w:name="_Toc98239383"/>
      <w:bookmarkStart w:id="944" w:name="_Toc231612706"/>
      <w:bookmarkStart w:id="945" w:name="_Toc193188631"/>
      <w:bookmarkStart w:id="946" w:name="_Toc100123487"/>
      <w:bookmarkStart w:id="947" w:name="_Toc99792277"/>
      <w:bookmarkStart w:id="948" w:name="_Toc101155965"/>
      <w:bookmarkStart w:id="949" w:name="_Toc98238919"/>
      <w:r>
        <w:rPr>
          <w:rFonts w:hint="eastAsia" w:ascii="宋体" w:hAnsi="宋体" w:cs="宋体"/>
          <w:b/>
          <w:color w:val="auto"/>
          <w:szCs w:val="21"/>
          <w:highlight w:val="none"/>
        </w:rPr>
        <w:t>10、进度计划</w:t>
      </w:r>
      <w:bookmarkEnd w:id="941"/>
      <w:bookmarkEnd w:id="942"/>
      <w:bookmarkEnd w:id="943"/>
      <w:bookmarkEnd w:id="944"/>
      <w:bookmarkEnd w:id="945"/>
      <w:bookmarkEnd w:id="946"/>
      <w:bookmarkEnd w:id="947"/>
      <w:bookmarkEnd w:id="948"/>
      <w:bookmarkEnd w:id="949"/>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10.1 承包人应按专用条款约定的日期，将施工组织设计和工程进度计划提交工程师，工程师按专用条款约定的时间予以确认或提出修改意见，逾期不确认也不提出书面意见的，视为同意。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10.2 群体工程中单位工程分期进行施工的，承包人应按照发包人提供图纸及有关资料的时间，按单位工程编制进度计划，其具体内容双方在专用条款中约定。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10.3 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adjustRightInd w:val="0"/>
        <w:snapToGrid w:val="0"/>
        <w:spacing w:line="400" w:lineRule="exact"/>
        <w:ind w:firstLine="421" w:firstLineChars="200"/>
        <w:rPr>
          <w:rFonts w:ascii="宋体" w:hAnsi="宋体" w:cs="宋体"/>
          <w:b/>
          <w:color w:val="auto"/>
          <w:szCs w:val="21"/>
          <w:highlight w:val="none"/>
        </w:rPr>
      </w:pPr>
      <w:bookmarkStart w:id="950" w:name="_Toc98238920"/>
      <w:bookmarkStart w:id="951" w:name="_Toc231612707"/>
      <w:bookmarkStart w:id="952" w:name="_Toc100123488"/>
      <w:bookmarkStart w:id="953" w:name="_Toc99792278"/>
      <w:bookmarkStart w:id="954" w:name="_Toc193188632"/>
      <w:bookmarkStart w:id="955" w:name="_Toc101155966"/>
      <w:bookmarkStart w:id="956" w:name="_Toc101155763"/>
      <w:bookmarkStart w:id="957" w:name="_Toc98239384"/>
      <w:bookmarkStart w:id="958" w:name="_Toc115511281"/>
      <w:r>
        <w:rPr>
          <w:rFonts w:hint="eastAsia" w:ascii="宋体" w:hAnsi="宋体" w:cs="宋体"/>
          <w:b/>
          <w:color w:val="auto"/>
          <w:szCs w:val="21"/>
          <w:highlight w:val="none"/>
        </w:rPr>
        <w:t>11、开工及延期开工</w:t>
      </w:r>
      <w:bookmarkEnd w:id="950"/>
      <w:bookmarkEnd w:id="951"/>
      <w:bookmarkEnd w:id="952"/>
      <w:bookmarkEnd w:id="953"/>
      <w:bookmarkEnd w:id="954"/>
      <w:bookmarkEnd w:id="955"/>
      <w:bookmarkEnd w:id="956"/>
      <w:bookmarkEnd w:id="957"/>
      <w:bookmarkEnd w:id="958"/>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11.1 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11.2 因发包人原因不能按照协议书约定的开工日期开工，工程师应以书面形式通知承包人，推迟开工日期。发包人赔偿承包人因延期开工造成的损失，并相应顺延工期。</w:t>
      </w:r>
    </w:p>
    <w:p>
      <w:pPr>
        <w:adjustRightInd w:val="0"/>
        <w:snapToGrid w:val="0"/>
        <w:spacing w:line="400" w:lineRule="exact"/>
        <w:ind w:firstLine="421" w:firstLineChars="200"/>
        <w:rPr>
          <w:rFonts w:ascii="宋体" w:hAnsi="宋体" w:cs="宋体"/>
          <w:b/>
          <w:color w:val="auto"/>
          <w:szCs w:val="21"/>
          <w:highlight w:val="none"/>
        </w:rPr>
      </w:pPr>
      <w:bookmarkStart w:id="959" w:name="_Toc231612708"/>
      <w:bookmarkStart w:id="960" w:name="_Toc101155764"/>
      <w:bookmarkStart w:id="961" w:name="_Toc193188633"/>
      <w:bookmarkStart w:id="962" w:name="_Toc115511282"/>
      <w:bookmarkStart w:id="963" w:name="_Toc101155967"/>
      <w:bookmarkStart w:id="964" w:name="_Toc99792279"/>
      <w:bookmarkStart w:id="965" w:name="_Toc98239385"/>
      <w:bookmarkStart w:id="966" w:name="_Toc100123489"/>
      <w:bookmarkStart w:id="967" w:name="_Toc98238921"/>
      <w:r>
        <w:rPr>
          <w:rFonts w:hint="eastAsia" w:ascii="宋体" w:hAnsi="宋体" w:cs="宋体"/>
          <w:b/>
          <w:color w:val="auto"/>
          <w:szCs w:val="21"/>
          <w:highlight w:val="none"/>
        </w:rPr>
        <w:t>12、暂停施工</w:t>
      </w:r>
      <w:bookmarkEnd w:id="959"/>
      <w:bookmarkEnd w:id="960"/>
      <w:bookmarkEnd w:id="961"/>
      <w:bookmarkEnd w:id="962"/>
      <w:bookmarkEnd w:id="963"/>
      <w:bookmarkEnd w:id="964"/>
      <w:bookmarkEnd w:id="965"/>
      <w:bookmarkEnd w:id="966"/>
      <w:bookmarkEnd w:id="967"/>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12.1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adjustRightInd w:val="0"/>
        <w:snapToGrid w:val="0"/>
        <w:spacing w:line="400" w:lineRule="exact"/>
        <w:ind w:firstLine="421" w:firstLineChars="200"/>
        <w:rPr>
          <w:rFonts w:ascii="宋体" w:hAnsi="宋体" w:cs="宋体"/>
          <w:b/>
          <w:color w:val="auto"/>
          <w:szCs w:val="21"/>
          <w:highlight w:val="none"/>
        </w:rPr>
      </w:pPr>
      <w:bookmarkStart w:id="968" w:name="_Toc98239386"/>
      <w:bookmarkStart w:id="969" w:name="_Toc99792280"/>
      <w:bookmarkStart w:id="970" w:name="_Toc101155968"/>
      <w:bookmarkStart w:id="971" w:name="_Toc101155765"/>
      <w:bookmarkStart w:id="972" w:name="_Toc193188634"/>
      <w:bookmarkStart w:id="973" w:name="_Toc100123490"/>
      <w:bookmarkStart w:id="974" w:name="_Toc98238922"/>
      <w:bookmarkStart w:id="975" w:name="_Toc115511283"/>
      <w:bookmarkStart w:id="976" w:name="_Toc231612709"/>
      <w:r>
        <w:rPr>
          <w:rFonts w:hint="eastAsia" w:ascii="宋体" w:hAnsi="宋体" w:cs="宋体"/>
          <w:b/>
          <w:color w:val="auto"/>
          <w:szCs w:val="21"/>
          <w:highlight w:val="none"/>
        </w:rPr>
        <w:t>13、工期延误</w:t>
      </w:r>
      <w:bookmarkEnd w:id="968"/>
      <w:bookmarkEnd w:id="969"/>
      <w:bookmarkEnd w:id="970"/>
      <w:bookmarkEnd w:id="971"/>
      <w:bookmarkEnd w:id="972"/>
      <w:bookmarkEnd w:id="973"/>
      <w:bookmarkEnd w:id="974"/>
      <w:bookmarkEnd w:id="975"/>
      <w:bookmarkEnd w:id="976"/>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13.1 因下列原因造成工期延误，经工程师确认，工期相应顺延：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发包人未能按专用条款的约定提供图纸及开工条件；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发包人未能按约定日期支付工程预付款、进度款，到使施工不能正常进行；</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工程师未按合同约定提供所需指令、批准等，致使施工不能正常进行；</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设计变更和工程量增加；</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 一周内非承包人原因停水、停电、停气造成停工累计超过8小时；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 不可抗力；</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(7) 专用条款中约定或工程师同意工期顺延的其他情况。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13.2承包人在13.1款情况发生后14天内，就延误的工期以书面形式向工程师提出报告。工程师在收到报告后14天内予以确认，逾期不予确认也不提出修改意见，视为同意顺延工期。</w:t>
      </w:r>
    </w:p>
    <w:p>
      <w:pPr>
        <w:adjustRightInd w:val="0"/>
        <w:snapToGrid w:val="0"/>
        <w:spacing w:line="400" w:lineRule="exact"/>
        <w:ind w:firstLine="421" w:firstLineChars="200"/>
        <w:rPr>
          <w:rFonts w:ascii="宋体" w:hAnsi="宋体" w:cs="宋体"/>
          <w:b/>
          <w:color w:val="auto"/>
          <w:szCs w:val="21"/>
          <w:highlight w:val="none"/>
        </w:rPr>
      </w:pPr>
      <w:bookmarkStart w:id="977" w:name="_Toc231612710"/>
      <w:bookmarkStart w:id="978" w:name="_Toc101155766"/>
      <w:bookmarkStart w:id="979" w:name="_Toc98239387"/>
      <w:bookmarkStart w:id="980" w:name="_Toc101155969"/>
      <w:bookmarkStart w:id="981" w:name="_Toc115511284"/>
      <w:bookmarkStart w:id="982" w:name="_Toc100123491"/>
      <w:bookmarkStart w:id="983" w:name="_Toc193188635"/>
      <w:bookmarkStart w:id="984" w:name="_Toc99792281"/>
      <w:bookmarkStart w:id="985" w:name="_Toc98238923"/>
      <w:r>
        <w:rPr>
          <w:rFonts w:hint="eastAsia" w:ascii="宋体" w:hAnsi="宋体" w:cs="宋体"/>
          <w:b/>
          <w:color w:val="auto"/>
          <w:szCs w:val="21"/>
          <w:highlight w:val="none"/>
        </w:rPr>
        <w:t>14、工程竣工</w:t>
      </w:r>
      <w:bookmarkEnd w:id="977"/>
      <w:bookmarkEnd w:id="978"/>
      <w:bookmarkEnd w:id="979"/>
      <w:bookmarkEnd w:id="980"/>
      <w:bookmarkEnd w:id="981"/>
      <w:bookmarkEnd w:id="982"/>
      <w:bookmarkEnd w:id="983"/>
      <w:bookmarkEnd w:id="984"/>
      <w:bookmarkEnd w:id="985"/>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14.1 承包人必须按照协议书约定的竣工日期或工程师同意顺延的工期竣工。</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14.2 因承包人原因不能按照协议书约定的竣工日期或工程师同意顺延的工期竣工的，承包人承担违约责任。</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14.3 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adjustRightInd w:val="0"/>
        <w:snapToGrid w:val="0"/>
        <w:spacing w:line="400" w:lineRule="exact"/>
        <w:ind w:firstLine="421" w:firstLineChars="200"/>
        <w:rPr>
          <w:rFonts w:ascii="方正黑体_GBK" w:hAnsi="宋体" w:eastAsia="方正黑体_GBK" w:cs="宋体"/>
          <w:b/>
          <w:bCs/>
          <w:color w:val="auto"/>
          <w:szCs w:val="21"/>
          <w:highlight w:val="none"/>
        </w:rPr>
      </w:pPr>
      <w:bookmarkStart w:id="986" w:name="_Toc98239388"/>
      <w:bookmarkStart w:id="987" w:name="_Toc193188636"/>
      <w:bookmarkStart w:id="988" w:name="_Toc98238924"/>
      <w:bookmarkStart w:id="989" w:name="_Toc231612942"/>
      <w:bookmarkStart w:id="990" w:name="_Toc101155970"/>
      <w:bookmarkStart w:id="991" w:name="_Toc231613090"/>
      <w:bookmarkStart w:id="992" w:name="_Toc231612711"/>
      <w:bookmarkStart w:id="993" w:name="_Toc99792282"/>
      <w:bookmarkStart w:id="994" w:name="_Toc100123492"/>
      <w:bookmarkStart w:id="995" w:name="_Toc101155767"/>
      <w:bookmarkStart w:id="996" w:name="_Toc115511285"/>
      <w:r>
        <w:rPr>
          <w:rFonts w:hint="eastAsia" w:ascii="方正黑体_GBK" w:hAnsi="宋体" w:eastAsia="方正黑体_GBK" w:cs="宋体"/>
          <w:b/>
          <w:bCs/>
          <w:color w:val="auto"/>
          <w:szCs w:val="21"/>
          <w:highlight w:val="none"/>
        </w:rPr>
        <w:t>四、质量与检验</w:t>
      </w:r>
      <w:bookmarkEnd w:id="986"/>
      <w:bookmarkEnd w:id="987"/>
      <w:bookmarkEnd w:id="988"/>
      <w:bookmarkEnd w:id="989"/>
      <w:bookmarkEnd w:id="990"/>
      <w:bookmarkEnd w:id="991"/>
      <w:bookmarkEnd w:id="992"/>
      <w:bookmarkEnd w:id="993"/>
      <w:bookmarkEnd w:id="994"/>
      <w:bookmarkEnd w:id="995"/>
      <w:bookmarkEnd w:id="996"/>
    </w:p>
    <w:p>
      <w:pPr>
        <w:adjustRightInd w:val="0"/>
        <w:snapToGrid w:val="0"/>
        <w:spacing w:line="400" w:lineRule="exact"/>
        <w:ind w:firstLine="421" w:firstLineChars="200"/>
        <w:rPr>
          <w:rFonts w:ascii="宋体" w:hAnsi="宋体" w:cs="宋体"/>
          <w:b/>
          <w:color w:val="auto"/>
          <w:szCs w:val="21"/>
          <w:highlight w:val="none"/>
        </w:rPr>
      </w:pPr>
      <w:bookmarkStart w:id="997" w:name="_Toc100123493"/>
      <w:bookmarkStart w:id="998" w:name="_Toc193188637"/>
      <w:bookmarkStart w:id="999" w:name="_Toc98238925"/>
      <w:bookmarkStart w:id="1000" w:name="_Toc101155768"/>
      <w:bookmarkStart w:id="1001" w:name="_Toc98239389"/>
      <w:bookmarkStart w:id="1002" w:name="_Toc99792283"/>
      <w:bookmarkStart w:id="1003" w:name="_Toc231612712"/>
      <w:bookmarkStart w:id="1004" w:name="_Toc101155971"/>
      <w:bookmarkStart w:id="1005" w:name="_Toc115511286"/>
      <w:r>
        <w:rPr>
          <w:rFonts w:hint="eastAsia" w:ascii="宋体" w:hAnsi="宋体" w:cs="宋体"/>
          <w:b/>
          <w:color w:val="auto"/>
          <w:szCs w:val="21"/>
          <w:highlight w:val="none"/>
        </w:rPr>
        <w:t>15、工程质量</w:t>
      </w:r>
      <w:bookmarkEnd w:id="997"/>
      <w:bookmarkEnd w:id="998"/>
      <w:bookmarkEnd w:id="999"/>
      <w:bookmarkEnd w:id="1000"/>
      <w:bookmarkEnd w:id="1001"/>
      <w:bookmarkEnd w:id="1002"/>
      <w:bookmarkEnd w:id="1003"/>
      <w:bookmarkEnd w:id="1004"/>
      <w:bookmarkEnd w:id="1005"/>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15.1 工程质量应当达到协议书约定的质量标准，质量标准的评定以国家或行业的质量检验评定标准为依据。因承包人原因致使工程质量达不到约定的质量标准，承包人承担违约责任。</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15.2 双方对工程质量有争议，由双方同意的工程质量检测机构鉴定，所需费用及因此造成的损失，由责任方承担。双方均有责任，由双方根据其责任分别承担。</w:t>
      </w:r>
    </w:p>
    <w:p>
      <w:pPr>
        <w:adjustRightInd w:val="0"/>
        <w:snapToGrid w:val="0"/>
        <w:spacing w:line="400" w:lineRule="exact"/>
        <w:ind w:firstLine="421" w:firstLineChars="200"/>
        <w:rPr>
          <w:rFonts w:ascii="宋体" w:hAnsi="宋体" w:cs="宋体"/>
          <w:b/>
          <w:color w:val="auto"/>
          <w:szCs w:val="21"/>
          <w:highlight w:val="none"/>
        </w:rPr>
      </w:pPr>
      <w:bookmarkStart w:id="1006" w:name="_Toc98238926"/>
      <w:bookmarkStart w:id="1007" w:name="_Toc101155769"/>
      <w:bookmarkStart w:id="1008" w:name="_Toc231612713"/>
      <w:bookmarkStart w:id="1009" w:name="_Toc99792284"/>
      <w:bookmarkStart w:id="1010" w:name="_Toc115511287"/>
      <w:bookmarkStart w:id="1011" w:name="_Toc101155972"/>
      <w:bookmarkStart w:id="1012" w:name="_Toc100123494"/>
      <w:bookmarkStart w:id="1013" w:name="_Toc193188638"/>
      <w:bookmarkStart w:id="1014" w:name="_Toc98239390"/>
      <w:r>
        <w:rPr>
          <w:rFonts w:hint="eastAsia" w:ascii="宋体" w:hAnsi="宋体" w:cs="宋体"/>
          <w:b/>
          <w:color w:val="auto"/>
          <w:szCs w:val="21"/>
          <w:highlight w:val="none"/>
        </w:rPr>
        <w:t>16、检查和返工</w:t>
      </w:r>
      <w:bookmarkEnd w:id="1006"/>
      <w:bookmarkEnd w:id="1007"/>
      <w:bookmarkEnd w:id="1008"/>
      <w:bookmarkEnd w:id="1009"/>
      <w:bookmarkEnd w:id="1010"/>
      <w:bookmarkEnd w:id="1011"/>
      <w:bookmarkEnd w:id="1012"/>
      <w:bookmarkEnd w:id="1013"/>
      <w:bookmarkEnd w:id="1014"/>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16.1 承包人应认真按照标准、规范和设计图纸要求以及工程师依据合同发出的指令施工，随时接受工程师的检查检验，为检查检验提供便利条件。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16.2 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16.3 工程师的检查检验不应影响施工正常进行。如影响施工正常进行，检查检验不合格时，影响正常施工的费用由承包人承担。除此之外影响正常施工的追加合同价款由发包人承担，相应顺延工期。</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16.4 因工程师指令失误或其他非承包人原因发生的追加合同价款，由发包人承担。</w:t>
      </w:r>
    </w:p>
    <w:p>
      <w:pPr>
        <w:adjustRightInd w:val="0"/>
        <w:snapToGrid w:val="0"/>
        <w:spacing w:line="400" w:lineRule="exact"/>
        <w:ind w:firstLine="421" w:firstLineChars="200"/>
        <w:rPr>
          <w:rFonts w:ascii="宋体" w:hAnsi="宋体" w:cs="宋体"/>
          <w:b/>
          <w:color w:val="auto"/>
          <w:szCs w:val="21"/>
          <w:highlight w:val="none"/>
        </w:rPr>
      </w:pPr>
      <w:bookmarkStart w:id="1015" w:name="_Toc100123495"/>
      <w:bookmarkStart w:id="1016" w:name="_Toc98238927"/>
      <w:bookmarkStart w:id="1017" w:name="_Toc193188639"/>
      <w:bookmarkStart w:id="1018" w:name="_Toc99792285"/>
      <w:bookmarkStart w:id="1019" w:name="_Toc101155770"/>
      <w:bookmarkStart w:id="1020" w:name="_Toc101155973"/>
      <w:bookmarkStart w:id="1021" w:name="_Toc115511288"/>
      <w:bookmarkStart w:id="1022" w:name="_Toc98239391"/>
      <w:bookmarkStart w:id="1023" w:name="_Toc231612714"/>
      <w:r>
        <w:rPr>
          <w:rFonts w:hint="eastAsia" w:ascii="宋体" w:hAnsi="宋体" w:cs="宋体"/>
          <w:b/>
          <w:color w:val="auto"/>
          <w:szCs w:val="21"/>
          <w:highlight w:val="none"/>
        </w:rPr>
        <w:t>17、隐蔽工程和中间验收</w:t>
      </w:r>
      <w:bookmarkEnd w:id="1015"/>
      <w:bookmarkEnd w:id="1016"/>
      <w:bookmarkEnd w:id="1017"/>
      <w:bookmarkEnd w:id="1018"/>
      <w:bookmarkEnd w:id="1019"/>
      <w:bookmarkEnd w:id="1020"/>
      <w:bookmarkEnd w:id="1021"/>
      <w:bookmarkEnd w:id="1022"/>
      <w:bookmarkEnd w:id="1023"/>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17.1 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17.2 工程师不能按时进行验收，应在验收前24小时以书面形式向承包人提出延期要求，延期不能超过48小时。工程师未能按以上时间提出延期要求，不进行验收，承包人可自行组织验收，工程师应承认验收记录。</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17.3 经工程师验收，工程质量符合标准、规范和设计图纸等要求，验收24小时后，工程师不在验收记录上签字，视为工程师已经认可验收记录，承包人可进行隐蔽或继续施工。</w:t>
      </w:r>
    </w:p>
    <w:p>
      <w:pPr>
        <w:adjustRightInd w:val="0"/>
        <w:snapToGrid w:val="0"/>
        <w:spacing w:line="400" w:lineRule="exact"/>
        <w:ind w:firstLine="421" w:firstLineChars="200"/>
        <w:rPr>
          <w:rFonts w:ascii="宋体" w:hAnsi="宋体" w:cs="宋体"/>
          <w:b/>
          <w:color w:val="auto"/>
          <w:szCs w:val="21"/>
          <w:highlight w:val="none"/>
        </w:rPr>
      </w:pPr>
      <w:bookmarkStart w:id="1024" w:name="_Toc98239392"/>
      <w:bookmarkStart w:id="1025" w:name="_Toc99792286"/>
      <w:bookmarkStart w:id="1026" w:name="_Toc231612715"/>
      <w:bookmarkStart w:id="1027" w:name="_Toc98238928"/>
      <w:bookmarkStart w:id="1028" w:name="_Toc101155771"/>
      <w:bookmarkStart w:id="1029" w:name="_Toc100123496"/>
      <w:bookmarkStart w:id="1030" w:name="_Toc101155974"/>
      <w:bookmarkStart w:id="1031" w:name="_Toc115511289"/>
      <w:bookmarkStart w:id="1032" w:name="_Toc193188640"/>
      <w:r>
        <w:rPr>
          <w:rFonts w:hint="eastAsia" w:ascii="宋体" w:hAnsi="宋体" w:cs="宋体"/>
          <w:b/>
          <w:color w:val="auto"/>
          <w:szCs w:val="21"/>
          <w:highlight w:val="none"/>
        </w:rPr>
        <w:t>18、重新检验</w:t>
      </w:r>
      <w:bookmarkEnd w:id="1024"/>
      <w:bookmarkEnd w:id="1025"/>
      <w:bookmarkEnd w:id="1026"/>
      <w:bookmarkEnd w:id="1027"/>
      <w:bookmarkEnd w:id="1028"/>
      <w:bookmarkEnd w:id="1029"/>
      <w:bookmarkEnd w:id="1030"/>
      <w:bookmarkEnd w:id="1031"/>
      <w:bookmarkEnd w:id="1032"/>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18.1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adjustRightInd w:val="0"/>
        <w:snapToGrid w:val="0"/>
        <w:spacing w:line="400" w:lineRule="exact"/>
        <w:ind w:firstLine="421" w:firstLineChars="200"/>
        <w:rPr>
          <w:rFonts w:ascii="宋体" w:hAnsi="宋体" w:cs="宋体"/>
          <w:b/>
          <w:color w:val="auto"/>
          <w:szCs w:val="21"/>
          <w:highlight w:val="none"/>
        </w:rPr>
      </w:pPr>
      <w:bookmarkStart w:id="1033" w:name="_Toc193188641"/>
      <w:bookmarkStart w:id="1034" w:name="_Toc99792287"/>
      <w:bookmarkStart w:id="1035" w:name="_Toc98239393"/>
      <w:bookmarkStart w:id="1036" w:name="_Toc98238929"/>
      <w:bookmarkStart w:id="1037" w:name="_Toc100123497"/>
      <w:bookmarkStart w:id="1038" w:name="_Toc101155772"/>
      <w:bookmarkStart w:id="1039" w:name="_Toc101155975"/>
      <w:bookmarkStart w:id="1040" w:name="_Toc231612716"/>
      <w:bookmarkStart w:id="1041" w:name="_Toc115511290"/>
      <w:r>
        <w:rPr>
          <w:rFonts w:hint="eastAsia" w:ascii="宋体" w:hAnsi="宋体" w:cs="宋体"/>
          <w:b/>
          <w:color w:val="auto"/>
          <w:szCs w:val="21"/>
          <w:highlight w:val="none"/>
        </w:rPr>
        <w:t>19、工程试车</w:t>
      </w:r>
      <w:bookmarkEnd w:id="1033"/>
      <w:bookmarkEnd w:id="1034"/>
      <w:bookmarkEnd w:id="1035"/>
      <w:bookmarkEnd w:id="1036"/>
      <w:bookmarkEnd w:id="1037"/>
      <w:bookmarkEnd w:id="1038"/>
      <w:bookmarkEnd w:id="1039"/>
      <w:bookmarkEnd w:id="1040"/>
      <w:bookmarkEnd w:id="1041"/>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19.1 双方约定需要试车的，试车内容应与承包人承包的安装范围相一致。</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19.3 工程师不能按时参加试车，须在开始试车前24小时以书面形式向承包人提出延期要求，延期不能超过48小时。工程师未能按以上时间提出延期要求，不参加试车，应承认试车记录。</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19.5 双方责任</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由于设计原因试车达不到验收要求，发包人应要求设计单位修改设计，承包人按修改后的设计重新安装。发包人承担修改设计、拆除及重新安装的全部费用和追加合同价款，工期相应顺延。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(2) 由于设备制造原因试车达不到验收要求，由该设备采购一方负责重新购置或修理，承包人负责拆除和重新安装。设备由承包人采购的，由承包人承担修理或重新购置、拆除及重新安装的费用，工期不予顺延；设备由发包人采购的，发包人承担上述各项追加合同价款，工期相应顺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由于承包人施工原因试车达不到验收要求，承包人按工程师要求重新安装和试车，并承担重新安装和试车的费用，工期不予顺延。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试车费用除已包括在合同价款之内或专用条款另有约定外，均由发包人承担。</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(5) 工程师在试车合格后不在试车记录上签字，试车结束24小时后，视为工程师已经认可试车记录，承包人可继续施工或办理竣工手续。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19.6 投料试车应在工程竣工验收后由发包人负责，如发包人要求在工程竣工验收前进行或需要承包人配合时，应征得承包人同意，另行签订补充协议。</w:t>
      </w:r>
    </w:p>
    <w:p>
      <w:pPr>
        <w:adjustRightInd w:val="0"/>
        <w:snapToGrid w:val="0"/>
        <w:spacing w:line="400" w:lineRule="exact"/>
        <w:ind w:firstLine="421" w:firstLineChars="200"/>
        <w:rPr>
          <w:rFonts w:ascii="方正黑体_GBK" w:hAnsi="宋体" w:eastAsia="方正黑体_GBK" w:cs="宋体"/>
          <w:b/>
          <w:bCs/>
          <w:color w:val="auto"/>
          <w:szCs w:val="21"/>
          <w:highlight w:val="none"/>
        </w:rPr>
      </w:pPr>
      <w:bookmarkStart w:id="1042" w:name="_Toc231612717"/>
      <w:bookmarkStart w:id="1043" w:name="_Toc98238930"/>
      <w:bookmarkStart w:id="1044" w:name="_Toc231613091"/>
      <w:bookmarkStart w:id="1045" w:name="_Toc98239394"/>
      <w:bookmarkStart w:id="1046" w:name="_Toc100123498"/>
      <w:bookmarkStart w:id="1047" w:name="_Toc101155773"/>
      <w:bookmarkStart w:id="1048" w:name="_Toc193188642"/>
      <w:bookmarkStart w:id="1049" w:name="_Toc231612943"/>
      <w:bookmarkStart w:id="1050" w:name="_Toc101155976"/>
      <w:bookmarkStart w:id="1051" w:name="_Toc115511291"/>
      <w:bookmarkStart w:id="1052" w:name="_Toc99792288"/>
      <w:r>
        <w:rPr>
          <w:rFonts w:hint="eastAsia" w:ascii="方正黑体_GBK" w:hAnsi="宋体" w:eastAsia="方正黑体_GBK" w:cs="宋体"/>
          <w:b/>
          <w:bCs/>
          <w:color w:val="auto"/>
          <w:szCs w:val="21"/>
          <w:highlight w:val="none"/>
        </w:rPr>
        <w:t>五、安全施工</w:t>
      </w:r>
      <w:bookmarkEnd w:id="1042"/>
      <w:bookmarkEnd w:id="1043"/>
      <w:bookmarkEnd w:id="1044"/>
      <w:bookmarkEnd w:id="1045"/>
      <w:bookmarkEnd w:id="1046"/>
      <w:bookmarkEnd w:id="1047"/>
      <w:bookmarkEnd w:id="1048"/>
      <w:bookmarkEnd w:id="1049"/>
      <w:bookmarkEnd w:id="1050"/>
      <w:bookmarkEnd w:id="1051"/>
      <w:bookmarkEnd w:id="1052"/>
    </w:p>
    <w:p>
      <w:pPr>
        <w:adjustRightInd w:val="0"/>
        <w:snapToGrid w:val="0"/>
        <w:spacing w:line="400" w:lineRule="exact"/>
        <w:ind w:firstLine="421" w:firstLineChars="200"/>
        <w:rPr>
          <w:rFonts w:ascii="宋体" w:hAnsi="宋体" w:cs="宋体"/>
          <w:b/>
          <w:color w:val="auto"/>
          <w:szCs w:val="21"/>
          <w:highlight w:val="none"/>
        </w:rPr>
      </w:pPr>
      <w:bookmarkStart w:id="1053" w:name="_Toc100123499"/>
      <w:bookmarkStart w:id="1054" w:name="_Toc99792289"/>
      <w:bookmarkStart w:id="1055" w:name="_Toc115511292"/>
      <w:bookmarkStart w:id="1056" w:name="_Toc98239395"/>
      <w:bookmarkStart w:id="1057" w:name="_Toc231612718"/>
      <w:bookmarkStart w:id="1058" w:name="_Toc98238931"/>
      <w:bookmarkStart w:id="1059" w:name="_Toc101155977"/>
      <w:bookmarkStart w:id="1060" w:name="_Toc101155774"/>
      <w:bookmarkStart w:id="1061" w:name="_Toc193188643"/>
      <w:r>
        <w:rPr>
          <w:rFonts w:hint="eastAsia" w:ascii="宋体" w:hAnsi="宋体" w:cs="宋体"/>
          <w:b/>
          <w:color w:val="auto"/>
          <w:szCs w:val="21"/>
          <w:highlight w:val="none"/>
        </w:rPr>
        <w:t>20、安全施工与检查</w:t>
      </w:r>
      <w:bookmarkEnd w:id="1053"/>
      <w:bookmarkEnd w:id="1054"/>
      <w:bookmarkEnd w:id="1055"/>
      <w:bookmarkEnd w:id="1056"/>
      <w:bookmarkEnd w:id="1057"/>
      <w:bookmarkEnd w:id="1058"/>
      <w:bookmarkEnd w:id="1059"/>
      <w:bookmarkEnd w:id="1060"/>
      <w:bookmarkEnd w:id="1061"/>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20.1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20.2发包人应对其在施工场地的工作人员进行安全教育，并对他们的安全负责。发包人不得要求承包人违反安全管理的规定进行施工。因发包人原因导致的安全事故，由发包人承担相应责任及发生的费用。</w:t>
      </w:r>
    </w:p>
    <w:p>
      <w:pPr>
        <w:adjustRightInd w:val="0"/>
        <w:snapToGrid w:val="0"/>
        <w:spacing w:line="400" w:lineRule="exact"/>
        <w:ind w:firstLine="421" w:firstLineChars="200"/>
        <w:rPr>
          <w:rFonts w:ascii="宋体" w:hAnsi="宋体" w:cs="宋体"/>
          <w:b/>
          <w:color w:val="auto"/>
          <w:szCs w:val="21"/>
          <w:highlight w:val="none"/>
        </w:rPr>
      </w:pPr>
      <w:bookmarkStart w:id="1062" w:name="_Toc231612719"/>
      <w:bookmarkStart w:id="1063" w:name="_Toc193188644"/>
      <w:bookmarkStart w:id="1064" w:name="_Toc100123500"/>
      <w:bookmarkStart w:id="1065" w:name="_Toc115511293"/>
      <w:bookmarkStart w:id="1066" w:name="_Toc101155775"/>
      <w:bookmarkStart w:id="1067" w:name="_Toc99792290"/>
      <w:bookmarkStart w:id="1068" w:name="_Toc101155978"/>
      <w:bookmarkStart w:id="1069" w:name="_Toc98238932"/>
      <w:bookmarkStart w:id="1070" w:name="_Toc98239396"/>
      <w:r>
        <w:rPr>
          <w:rFonts w:hint="eastAsia" w:ascii="宋体" w:hAnsi="宋体" w:cs="宋体"/>
          <w:b/>
          <w:color w:val="auto"/>
          <w:szCs w:val="21"/>
          <w:highlight w:val="none"/>
        </w:rPr>
        <w:t>21、安全防护</w:t>
      </w:r>
      <w:bookmarkEnd w:id="1062"/>
      <w:bookmarkEnd w:id="1063"/>
      <w:bookmarkEnd w:id="1064"/>
      <w:bookmarkEnd w:id="1065"/>
      <w:bookmarkEnd w:id="1066"/>
      <w:bookmarkEnd w:id="1067"/>
      <w:bookmarkEnd w:id="1068"/>
      <w:bookmarkEnd w:id="1069"/>
      <w:bookmarkEnd w:id="1070"/>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21.1承包人在动力设备、输电线路、地下管道、密封防震车间、易燃易爆地段以及临街交通要道附近施工时，施工开始前应向工程师提出安全防护措施，经工程师认可后实施，防护措施费用由发包人承担。</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21.2实施爆破作业，在放射、毒害性环境中施工（含储存、运输、使用）及使用毒害性、腐蚀性物品施工时，承包人应在施工前14天以书面形式通知工程师，并提出相应的安全防护措施，经工程师认可后实施，由发包人承担安全防护措施费用。</w:t>
      </w:r>
    </w:p>
    <w:p>
      <w:pPr>
        <w:adjustRightInd w:val="0"/>
        <w:snapToGrid w:val="0"/>
        <w:spacing w:line="400" w:lineRule="exact"/>
        <w:ind w:firstLine="421" w:firstLineChars="200"/>
        <w:rPr>
          <w:rFonts w:ascii="宋体" w:hAnsi="宋体" w:cs="宋体"/>
          <w:b/>
          <w:color w:val="auto"/>
          <w:szCs w:val="21"/>
          <w:highlight w:val="none"/>
        </w:rPr>
      </w:pPr>
      <w:bookmarkStart w:id="1071" w:name="_Toc193188645"/>
      <w:bookmarkStart w:id="1072" w:name="_Toc115511294"/>
      <w:bookmarkStart w:id="1073" w:name="_Toc100123501"/>
      <w:bookmarkStart w:id="1074" w:name="_Toc99792291"/>
      <w:bookmarkStart w:id="1075" w:name="_Toc231612720"/>
      <w:bookmarkStart w:id="1076" w:name="_Toc101155979"/>
      <w:bookmarkStart w:id="1077" w:name="_Toc98239397"/>
      <w:bookmarkStart w:id="1078" w:name="_Toc101155776"/>
      <w:bookmarkStart w:id="1079" w:name="_Toc98238933"/>
      <w:r>
        <w:rPr>
          <w:rFonts w:hint="eastAsia" w:ascii="宋体" w:hAnsi="宋体" w:cs="宋体"/>
          <w:b/>
          <w:color w:val="auto"/>
          <w:szCs w:val="21"/>
          <w:highlight w:val="none"/>
        </w:rPr>
        <w:t>22、事故处理</w:t>
      </w:r>
      <w:bookmarkEnd w:id="1071"/>
      <w:bookmarkEnd w:id="1072"/>
      <w:bookmarkEnd w:id="1073"/>
      <w:bookmarkEnd w:id="1074"/>
      <w:bookmarkEnd w:id="1075"/>
      <w:bookmarkEnd w:id="1076"/>
      <w:bookmarkEnd w:id="1077"/>
      <w:bookmarkEnd w:id="1078"/>
      <w:bookmarkEnd w:id="1079"/>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22.1 发生重大伤亡及其他安全事故，承包人应按有关规定立即上报有关部门并通知工程师，同时按政府有关部门要求处理，由事故责任方承担发生的费用。</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22.2 发包人承包人对事故责任有争议时，应按政府有关部门的认定处理。</w:t>
      </w:r>
    </w:p>
    <w:p>
      <w:pPr>
        <w:adjustRightInd w:val="0"/>
        <w:snapToGrid w:val="0"/>
        <w:spacing w:line="400" w:lineRule="exact"/>
        <w:ind w:firstLine="421" w:firstLineChars="200"/>
        <w:rPr>
          <w:rFonts w:ascii="方正黑体_GBK" w:hAnsi="宋体" w:eastAsia="方正黑体_GBK" w:cs="宋体"/>
          <w:b/>
          <w:bCs/>
          <w:color w:val="auto"/>
          <w:szCs w:val="21"/>
          <w:highlight w:val="none"/>
        </w:rPr>
      </w:pPr>
      <w:bookmarkStart w:id="1080" w:name="_Toc101155980"/>
      <w:bookmarkStart w:id="1081" w:name="_Toc231612944"/>
      <w:bookmarkStart w:id="1082" w:name="_Toc115511295"/>
      <w:bookmarkStart w:id="1083" w:name="_Toc98238934"/>
      <w:bookmarkStart w:id="1084" w:name="_Toc193188646"/>
      <w:bookmarkStart w:id="1085" w:name="_Toc101155777"/>
      <w:bookmarkStart w:id="1086" w:name="_Toc231612721"/>
      <w:bookmarkStart w:id="1087" w:name="_Toc100123502"/>
      <w:bookmarkStart w:id="1088" w:name="_Toc98239398"/>
      <w:bookmarkStart w:id="1089" w:name="_Toc99792292"/>
      <w:bookmarkStart w:id="1090" w:name="_Toc231613092"/>
      <w:r>
        <w:rPr>
          <w:rFonts w:hint="eastAsia" w:ascii="方正黑体_GBK" w:hAnsi="宋体" w:eastAsia="方正黑体_GBK" w:cs="宋体"/>
          <w:b/>
          <w:bCs/>
          <w:color w:val="auto"/>
          <w:szCs w:val="21"/>
          <w:highlight w:val="none"/>
        </w:rPr>
        <w:t>六、合同价款与支付</w:t>
      </w:r>
      <w:bookmarkEnd w:id="1080"/>
      <w:bookmarkEnd w:id="1081"/>
      <w:bookmarkEnd w:id="1082"/>
      <w:bookmarkEnd w:id="1083"/>
      <w:bookmarkEnd w:id="1084"/>
      <w:bookmarkEnd w:id="1085"/>
      <w:bookmarkEnd w:id="1086"/>
      <w:bookmarkEnd w:id="1087"/>
      <w:bookmarkEnd w:id="1088"/>
      <w:bookmarkEnd w:id="1089"/>
      <w:bookmarkEnd w:id="1090"/>
    </w:p>
    <w:p>
      <w:pPr>
        <w:adjustRightInd w:val="0"/>
        <w:snapToGrid w:val="0"/>
        <w:spacing w:line="400" w:lineRule="exact"/>
        <w:ind w:firstLine="421" w:firstLineChars="200"/>
        <w:rPr>
          <w:rFonts w:ascii="宋体" w:hAnsi="宋体" w:cs="宋体"/>
          <w:b/>
          <w:color w:val="auto"/>
          <w:szCs w:val="21"/>
          <w:highlight w:val="none"/>
        </w:rPr>
      </w:pPr>
      <w:bookmarkStart w:id="1091" w:name="_Toc99792293"/>
      <w:bookmarkStart w:id="1092" w:name="_Toc231612722"/>
      <w:bookmarkStart w:id="1093" w:name="_Toc100123503"/>
      <w:bookmarkStart w:id="1094" w:name="_Toc115511296"/>
      <w:bookmarkStart w:id="1095" w:name="_Toc101155981"/>
      <w:bookmarkStart w:id="1096" w:name="_Toc98239399"/>
      <w:bookmarkStart w:id="1097" w:name="_Toc98238935"/>
      <w:bookmarkStart w:id="1098" w:name="_Toc101155778"/>
      <w:bookmarkStart w:id="1099" w:name="_Toc193188647"/>
      <w:r>
        <w:rPr>
          <w:rFonts w:hint="eastAsia" w:ascii="宋体" w:hAnsi="宋体" w:cs="宋体"/>
          <w:b/>
          <w:color w:val="auto"/>
          <w:szCs w:val="21"/>
          <w:highlight w:val="none"/>
        </w:rPr>
        <w:t>23、合同价款及调整</w:t>
      </w:r>
      <w:bookmarkEnd w:id="1091"/>
      <w:bookmarkEnd w:id="1092"/>
      <w:bookmarkEnd w:id="1093"/>
      <w:bookmarkEnd w:id="1094"/>
      <w:bookmarkEnd w:id="1095"/>
      <w:bookmarkEnd w:id="1096"/>
      <w:bookmarkEnd w:id="1097"/>
      <w:bookmarkEnd w:id="1098"/>
      <w:bookmarkEnd w:id="1099"/>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23.1 招标工程的合同价款由发包人承包人依据中标通知书中的中标价格在协议书内约定。非招标工程的合同价款由发包人承包人依据工程预算书在协议书内约定。</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23.2 合同价款在协议书内约定后，任何一方不得擅自改变。下列三种确定合同价款的方式，双方可在专用条款内约定采用其中一种：</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（1）单价合同</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w:t>
      </w:r>
    </w:p>
    <w:p>
      <w:pPr>
        <w:numPr>
          <w:ilvl w:val="0"/>
          <w:numId w:val="2"/>
        </w:num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总价合同</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（3）其它价格形式</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合同当事人可在专用合同条款中约定其他合同价格形式。</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23.3可调价格合同中合同价款的调整因素包括：</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法律、行政法规和国家有关政策变化影响合同价款；</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工程造价管理部门公布的价格调整；</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一周内非承包人原因停水、停电、停气造成的停工累计超过8小时；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双方约定的其他因素。</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23.4承包人应当在23.3款情况发生后14天内，将调整原因、金额以书面形式通知工程师，工程师确认调整金额后作为追加合同价款，与工程款同期支付。工程师收到承包人通知后14天内不予确认也不提出修改意见，视为已经同意该项调整。</w:t>
      </w:r>
    </w:p>
    <w:p>
      <w:pPr>
        <w:adjustRightInd w:val="0"/>
        <w:snapToGrid w:val="0"/>
        <w:spacing w:line="400" w:lineRule="exact"/>
        <w:ind w:firstLine="421" w:firstLineChars="200"/>
        <w:rPr>
          <w:rFonts w:ascii="宋体" w:hAnsi="宋体" w:cs="宋体"/>
          <w:b/>
          <w:color w:val="auto"/>
          <w:szCs w:val="21"/>
          <w:highlight w:val="none"/>
        </w:rPr>
      </w:pPr>
      <w:bookmarkStart w:id="1100" w:name="_Toc98238936"/>
      <w:bookmarkStart w:id="1101" w:name="_Toc100123504"/>
      <w:bookmarkStart w:id="1102" w:name="_Toc98239400"/>
      <w:bookmarkStart w:id="1103" w:name="_Toc99792294"/>
      <w:bookmarkStart w:id="1104" w:name="_Toc231612723"/>
      <w:bookmarkStart w:id="1105" w:name="_Toc193188648"/>
      <w:bookmarkStart w:id="1106" w:name="_Toc101155779"/>
      <w:bookmarkStart w:id="1107" w:name="_Toc101155982"/>
      <w:bookmarkStart w:id="1108" w:name="_Toc115511297"/>
      <w:r>
        <w:rPr>
          <w:rFonts w:hint="eastAsia" w:ascii="宋体" w:hAnsi="宋体" w:cs="宋体"/>
          <w:b/>
          <w:color w:val="auto"/>
          <w:szCs w:val="21"/>
          <w:highlight w:val="none"/>
        </w:rPr>
        <w:t>24、工程预付款</w:t>
      </w:r>
      <w:bookmarkEnd w:id="1100"/>
      <w:bookmarkEnd w:id="1101"/>
      <w:bookmarkEnd w:id="1102"/>
      <w:bookmarkEnd w:id="1103"/>
      <w:bookmarkEnd w:id="1104"/>
      <w:bookmarkEnd w:id="1105"/>
      <w:bookmarkEnd w:id="1106"/>
      <w:bookmarkEnd w:id="1107"/>
      <w:bookmarkEnd w:id="1108"/>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24.1实行工程预付款的，双方应当在专用条款内约定发包人向承包人预付工程款的时间和数额，开工后按约定的时间和比例逐次扣回。预付时间应不迟于约定的开工日期前7天。发包人不按约定预付，承包人在约定预付时间7天后向发包人发出要求预付的通知，发包人收到通知后仍不能按要求预付，承包人可在发出通知后7天停止施工，发包人应从约定应付之日起向承包人支付应付款的贷款利息，并承担违约责任。</w:t>
      </w:r>
    </w:p>
    <w:p>
      <w:pPr>
        <w:adjustRightInd w:val="0"/>
        <w:snapToGrid w:val="0"/>
        <w:spacing w:line="400" w:lineRule="exact"/>
        <w:ind w:firstLine="421" w:firstLineChars="200"/>
        <w:rPr>
          <w:rFonts w:ascii="宋体" w:hAnsi="宋体" w:cs="宋体"/>
          <w:b/>
          <w:color w:val="auto"/>
          <w:szCs w:val="21"/>
          <w:highlight w:val="none"/>
        </w:rPr>
      </w:pPr>
      <w:bookmarkStart w:id="1109" w:name="_Toc99792295"/>
      <w:bookmarkStart w:id="1110" w:name="_Toc115511298"/>
      <w:bookmarkStart w:id="1111" w:name="_Toc98239401"/>
      <w:bookmarkStart w:id="1112" w:name="_Toc100123505"/>
      <w:bookmarkStart w:id="1113" w:name="_Toc101155780"/>
      <w:bookmarkStart w:id="1114" w:name="_Toc231612724"/>
      <w:bookmarkStart w:id="1115" w:name="_Toc193188649"/>
      <w:bookmarkStart w:id="1116" w:name="_Toc101155983"/>
      <w:bookmarkStart w:id="1117" w:name="_Toc98238937"/>
      <w:r>
        <w:rPr>
          <w:rFonts w:hint="eastAsia" w:ascii="宋体" w:hAnsi="宋体" w:cs="宋体"/>
          <w:b/>
          <w:color w:val="auto"/>
          <w:szCs w:val="21"/>
          <w:highlight w:val="none"/>
        </w:rPr>
        <w:t>25、工程量的确认</w:t>
      </w:r>
      <w:bookmarkEnd w:id="1109"/>
      <w:bookmarkEnd w:id="1110"/>
      <w:bookmarkEnd w:id="1111"/>
      <w:bookmarkEnd w:id="1112"/>
      <w:bookmarkEnd w:id="1113"/>
      <w:bookmarkEnd w:id="1114"/>
      <w:bookmarkEnd w:id="1115"/>
      <w:bookmarkEnd w:id="1116"/>
      <w:bookmarkEnd w:id="1117"/>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25.1 承包人应按专用条款约定的时间，向工程师提交已完工程量的报告。工程师接到报告后7天内按设计图纸核实已完工程量（以下称计量），并在计量前24小时通知承包人，承包人应为计量提供便利条件并派人参加。承包人收到通知后不参加计量，计量结果有效，作为工程价款支付的依据。</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25.2 工程师收到承包人报告后7天内未进行计量，从第8天起，承包人报告中开列的工程量即视为被确认，作为工程价款支付的依据。工程师不按约定时间通知承包人，致使承包人未能参加计量，计量结果无效。</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25.3 对承包人超出设计图纸范围和因承包人原因造成返工的工程量，工程师不予计量。</w:t>
      </w:r>
    </w:p>
    <w:p>
      <w:pPr>
        <w:adjustRightInd w:val="0"/>
        <w:snapToGrid w:val="0"/>
        <w:spacing w:line="400" w:lineRule="exact"/>
        <w:ind w:firstLine="421" w:firstLineChars="200"/>
        <w:rPr>
          <w:rFonts w:ascii="宋体" w:hAnsi="宋体" w:cs="宋体"/>
          <w:b/>
          <w:color w:val="auto"/>
          <w:szCs w:val="21"/>
          <w:highlight w:val="none"/>
        </w:rPr>
      </w:pPr>
      <w:bookmarkStart w:id="1118" w:name="_Toc193188650"/>
      <w:bookmarkStart w:id="1119" w:name="_Toc98238938"/>
      <w:bookmarkStart w:id="1120" w:name="_Toc101155781"/>
      <w:bookmarkStart w:id="1121" w:name="_Toc101155984"/>
      <w:bookmarkStart w:id="1122" w:name="_Toc100123506"/>
      <w:bookmarkStart w:id="1123" w:name="_Toc115511299"/>
      <w:bookmarkStart w:id="1124" w:name="_Toc99792296"/>
      <w:bookmarkStart w:id="1125" w:name="_Toc98239402"/>
      <w:bookmarkStart w:id="1126" w:name="_Toc231612725"/>
      <w:r>
        <w:rPr>
          <w:rFonts w:hint="eastAsia" w:ascii="宋体" w:hAnsi="宋体" w:cs="宋体"/>
          <w:b/>
          <w:color w:val="auto"/>
          <w:szCs w:val="21"/>
          <w:highlight w:val="none"/>
        </w:rPr>
        <w:t>26、工程款（进度款）支付</w:t>
      </w:r>
      <w:bookmarkEnd w:id="1118"/>
      <w:bookmarkEnd w:id="1119"/>
      <w:bookmarkEnd w:id="1120"/>
      <w:bookmarkEnd w:id="1121"/>
      <w:bookmarkEnd w:id="1122"/>
      <w:bookmarkEnd w:id="1123"/>
      <w:bookmarkEnd w:id="1124"/>
      <w:bookmarkEnd w:id="1125"/>
      <w:bookmarkEnd w:id="1126"/>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26.1 在确认计量结果后14天内，发包人应向承包人支付工程款（进度款）。按约定时间发包人应扣回的预付款，与工程款（进度款）同期结算。</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26.2 本通用条款第23条确定调整的合同价款，第31条工程变更调整的合同价款及其他条款中约定的追加合同价款，应与工程款（进度款）同期调整支付。</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26.3 发包人超过约定的支付时间不支付工程款（进度款），承包人可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26.4 发包人不按合同约定支付工程款（进度款），双方又未达成延期付款协议，导致施工无法进行，承包人可停止施工，由发包人承担违约责任。</w:t>
      </w:r>
    </w:p>
    <w:p>
      <w:pPr>
        <w:adjustRightInd w:val="0"/>
        <w:snapToGrid w:val="0"/>
        <w:spacing w:line="400" w:lineRule="exact"/>
        <w:ind w:firstLine="421" w:firstLineChars="200"/>
        <w:rPr>
          <w:rFonts w:ascii="方正黑体_GBK" w:hAnsi="宋体" w:eastAsia="方正黑体_GBK" w:cs="宋体"/>
          <w:b/>
          <w:bCs/>
          <w:color w:val="auto"/>
          <w:szCs w:val="21"/>
          <w:highlight w:val="none"/>
        </w:rPr>
      </w:pPr>
      <w:bookmarkStart w:id="1127" w:name="_Toc98238939"/>
      <w:bookmarkStart w:id="1128" w:name="_Toc100123507"/>
      <w:bookmarkStart w:id="1129" w:name="_Toc99792297"/>
      <w:bookmarkStart w:id="1130" w:name="_Toc115511300"/>
      <w:bookmarkStart w:id="1131" w:name="_Toc101155985"/>
      <w:bookmarkStart w:id="1132" w:name="_Toc101155782"/>
      <w:bookmarkStart w:id="1133" w:name="_Toc193188651"/>
      <w:bookmarkStart w:id="1134" w:name="_Toc98239403"/>
      <w:bookmarkStart w:id="1135" w:name="_Toc231612726"/>
      <w:r>
        <w:rPr>
          <w:rFonts w:hint="eastAsia" w:ascii="方正黑体_GBK" w:hAnsi="宋体" w:eastAsia="方正黑体_GBK" w:cs="宋体"/>
          <w:b/>
          <w:bCs/>
          <w:color w:val="auto"/>
          <w:szCs w:val="21"/>
          <w:highlight w:val="none"/>
        </w:rPr>
        <w:t>七、材料设备供应</w:t>
      </w:r>
      <w:bookmarkEnd w:id="1127"/>
      <w:bookmarkEnd w:id="1128"/>
      <w:bookmarkEnd w:id="1129"/>
      <w:bookmarkEnd w:id="1130"/>
      <w:bookmarkEnd w:id="1131"/>
      <w:bookmarkEnd w:id="1132"/>
      <w:bookmarkEnd w:id="1133"/>
      <w:bookmarkEnd w:id="1134"/>
      <w:bookmarkEnd w:id="1135"/>
    </w:p>
    <w:p>
      <w:pPr>
        <w:adjustRightInd w:val="0"/>
        <w:snapToGrid w:val="0"/>
        <w:spacing w:line="400" w:lineRule="exact"/>
        <w:ind w:firstLine="421" w:firstLineChars="200"/>
        <w:rPr>
          <w:rFonts w:ascii="宋体" w:hAnsi="宋体" w:cs="宋体"/>
          <w:b/>
          <w:color w:val="auto"/>
          <w:szCs w:val="21"/>
          <w:highlight w:val="none"/>
        </w:rPr>
      </w:pPr>
      <w:bookmarkStart w:id="1136" w:name="_Toc101155783"/>
      <w:bookmarkStart w:id="1137" w:name="_Toc98239404"/>
      <w:bookmarkStart w:id="1138" w:name="_Toc231612727"/>
      <w:bookmarkStart w:id="1139" w:name="_Toc100123508"/>
      <w:bookmarkStart w:id="1140" w:name="_Toc98238940"/>
      <w:bookmarkStart w:id="1141" w:name="_Toc99792298"/>
      <w:bookmarkStart w:id="1142" w:name="_Toc115511301"/>
      <w:bookmarkStart w:id="1143" w:name="_Toc101155986"/>
      <w:bookmarkStart w:id="1144" w:name="_Toc193188652"/>
      <w:r>
        <w:rPr>
          <w:rFonts w:hint="eastAsia" w:ascii="宋体" w:hAnsi="宋体" w:cs="宋体"/>
          <w:b/>
          <w:color w:val="auto"/>
          <w:szCs w:val="21"/>
          <w:highlight w:val="none"/>
        </w:rPr>
        <w:t>27、发包人供应材料设备</w:t>
      </w:r>
      <w:bookmarkEnd w:id="1136"/>
      <w:bookmarkEnd w:id="1137"/>
      <w:bookmarkEnd w:id="1138"/>
      <w:bookmarkEnd w:id="1139"/>
      <w:bookmarkEnd w:id="1140"/>
      <w:bookmarkEnd w:id="1141"/>
      <w:bookmarkEnd w:id="1142"/>
      <w:bookmarkEnd w:id="1143"/>
      <w:bookmarkEnd w:id="1144"/>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27.1 实行发包人供应材料设备的，双方应当约定发包人供应材料设备的一览表，作为本合同附件（附件2）。一览表包括发包人供应材料设备的品种、规格、型号、数量、单价、质量等级、提供时间和地点。</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27.2 发包人按一览表约定的内容提供材料设备，并向承包人提供产品合格证明，对其质量负责。发包人在所供材料设备到货前24小时，以书面形式通知承包人，由承包人派人与发包人共同清点。</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27.3 发包人供应的材料设备，承包人派人参加清点后由承包人妥善保管，发包人支付相应保管费用。因承包人原因发生丢失损坏，由承包人负责赔偿。</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发包人未通知承包人清点，承包人不负责材料设备的保管，丢失损坏由发包人负责。 </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27.4 发包人供应的材料设备与一览表不符时，发包人承担有关责任。发包人应承担责任的具体内容，双方根据下列情况在专用条款内约定。</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材料设备单价与一览表不符，由发包人承担所有价差；</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材料设备的品种、规格、型号、质量等级与一览表不符，承包人可拒绝接收保管，由发包人运出施工场地并重新采购；</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发包人供应的材料规格、型号与一览表不符，经发包人同意，承包人可代为调剂串换，由发包人承担相应费用；</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到货地点与一览表不符，由发包人负责运至一览表指定地点：</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 供应数量少于一览表约定的数量时，由发包人补齐，多于一览表约定数量时，发包人负责将多出部分运出施工场地；</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 到货时间早于一览表约定时间，由发包人承担因此发生的保管费用；到货时间迟于一览表约定的供应时间，发包人赔偿由此造成的承包人损失，造成工期延误的，相应顺延工期。</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27.5 发包人供应的材料设备使用前，由承包人负责检验或试验，不合格的不得使用，检验或试验费用由发包人承担。</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27.6 发包人供应材料设备的结算方法，双方在专用条款内约定。</w:t>
      </w:r>
    </w:p>
    <w:p>
      <w:pPr>
        <w:adjustRightInd w:val="0"/>
        <w:snapToGrid w:val="0"/>
        <w:spacing w:line="400" w:lineRule="exact"/>
        <w:ind w:firstLine="421" w:firstLineChars="200"/>
        <w:rPr>
          <w:rFonts w:ascii="宋体" w:hAnsi="宋体" w:cs="宋体"/>
          <w:b/>
          <w:color w:val="auto"/>
          <w:szCs w:val="21"/>
          <w:highlight w:val="none"/>
        </w:rPr>
      </w:pPr>
      <w:bookmarkStart w:id="1145" w:name="_Toc193188653"/>
      <w:bookmarkStart w:id="1146" w:name="_Toc101155987"/>
      <w:bookmarkStart w:id="1147" w:name="_Toc98239405"/>
      <w:bookmarkStart w:id="1148" w:name="_Toc99792299"/>
      <w:bookmarkStart w:id="1149" w:name="_Toc231612728"/>
      <w:bookmarkStart w:id="1150" w:name="_Toc115511302"/>
      <w:bookmarkStart w:id="1151" w:name="_Toc100123509"/>
      <w:bookmarkStart w:id="1152" w:name="_Toc101155784"/>
      <w:bookmarkStart w:id="1153" w:name="_Toc98238941"/>
      <w:r>
        <w:rPr>
          <w:rFonts w:hint="eastAsia" w:ascii="宋体" w:hAnsi="宋体" w:cs="宋体"/>
          <w:b/>
          <w:color w:val="auto"/>
          <w:szCs w:val="21"/>
          <w:highlight w:val="none"/>
        </w:rPr>
        <w:t>28、承包人采购材料设备</w:t>
      </w:r>
      <w:bookmarkEnd w:id="1145"/>
      <w:bookmarkEnd w:id="1146"/>
      <w:bookmarkEnd w:id="1147"/>
      <w:bookmarkEnd w:id="1148"/>
      <w:bookmarkEnd w:id="1149"/>
      <w:bookmarkEnd w:id="1150"/>
      <w:bookmarkEnd w:id="1151"/>
      <w:bookmarkEnd w:id="1152"/>
      <w:bookmarkEnd w:id="1153"/>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28.1 承包人负责采购材料设备的，应按照专用条款约定及设计和有关标准要求采购，并提供产品合格证明，对材料设备质量负责。承包人在材料设备到货前24小时通知工程师清点。</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28.2 承包人采购的材料设备与设计或标准要求不符时，承包人应按工程师要求的时间运出施工场地，重新采购符合要求的产品，承担由此发生的费用，由此延误的工期不予顺延。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28.3 承包人采购的材料设备在使用前，承包人应按工程师的要求进行检验或试验，不合格的不得使用，检验或试验费用由承包人承担。</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28.4 工程师发现承包人采购并使用不符合设计和标准要求的材料设备时，应要求承包人负责修复、拆除或重新采购，由承包人承担发生的费用，由此延误的工期不予顺延。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28.5 承包人需要使用代用材料时，应经工程师认可后才能使用，由此增减的合同价款双方以书面形式议定。</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28.6 由承包人采购的材料设备，发包人不得指定生产厂或供应商。</w:t>
      </w:r>
    </w:p>
    <w:p>
      <w:pPr>
        <w:adjustRightInd w:val="0"/>
        <w:snapToGrid w:val="0"/>
        <w:spacing w:line="400" w:lineRule="exact"/>
        <w:ind w:firstLine="421" w:firstLineChars="200"/>
        <w:rPr>
          <w:rFonts w:ascii="方正黑体_GBK" w:hAnsi="宋体" w:eastAsia="方正黑体_GBK" w:cs="宋体"/>
          <w:b/>
          <w:bCs/>
          <w:color w:val="auto"/>
          <w:szCs w:val="21"/>
          <w:highlight w:val="none"/>
        </w:rPr>
      </w:pPr>
      <w:bookmarkStart w:id="1154" w:name="_Toc115511303"/>
      <w:bookmarkStart w:id="1155" w:name="_Toc98238942"/>
      <w:bookmarkStart w:id="1156" w:name="_Toc231612729"/>
      <w:bookmarkStart w:id="1157" w:name="_Toc231613093"/>
      <w:bookmarkStart w:id="1158" w:name="_Toc101155988"/>
      <w:bookmarkStart w:id="1159" w:name="_Toc193188654"/>
      <w:bookmarkStart w:id="1160" w:name="_Toc231612945"/>
      <w:bookmarkStart w:id="1161" w:name="_Toc98239406"/>
      <w:bookmarkStart w:id="1162" w:name="_Toc101155785"/>
      <w:bookmarkStart w:id="1163" w:name="_Toc99792300"/>
      <w:bookmarkStart w:id="1164" w:name="_Toc100123510"/>
      <w:r>
        <w:rPr>
          <w:rFonts w:hint="eastAsia" w:ascii="方正黑体_GBK" w:hAnsi="宋体" w:eastAsia="方正黑体_GBK" w:cs="宋体"/>
          <w:b/>
          <w:bCs/>
          <w:color w:val="auto"/>
          <w:szCs w:val="21"/>
          <w:highlight w:val="none"/>
        </w:rPr>
        <w:t>八、工程变更</w:t>
      </w:r>
      <w:bookmarkEnd w:id="1154"/>
      <w:bookmarkEnd w:id="1155"/>
      <w:bookmarkEnd w:id="1156"/>
      <w:bookmarkEnd w:id="1157"/>
      <w:bookmarkEnd w:id="1158"/>
      <w:bookmarkEnd w:id="1159"/>
      <w:bookmarkEnd w:id="1160"/>
      <w:bookmarkEnd w:id="1161"/>
      <w:bookmarkEnd w:id="1162"/>
      <w:bookmarkEnd w:id="1163"/>
      <w:bookmarkEnd w:id="1164"/>
    </w:p>
    <w:p>
      <w:pPr>
        <w:adjustRightInd w:val="0"/>
        <w:snapToGrid w:val="0"/>
        <w:spacing w:line="400" w:lineRule="exact"/>
        <w:ind w:firstLine="421" w:firstLineChars="200"/>
        <w:rPr>
          <w:rFonts w:ascii="宋体" w:hAnsi="宋体" w:cs="宋体"/>
          <w:b/>
          <w:color w:val="auto"/>
          <w:szCs w:val="21"/>
          <w:highlight w:val="none"/>
        </w:rPr>
      </w:pPr>
      <w:bookmarkStart w:id="1165" w:name="_Toc193188655"/>
      <w:bookmarkStart w:id="1166" w:name="_Toc231612730"/>
      <w:bookmarkStart w:id="1167" w:name="_Toc98239407"/>
      <w:bookmarkStart w:id="1168" w:name="_Toc99792301"/>
      <w:bookmarkStart w:id="1169" w:name="_Toc101155989"/>
      <w:bookmarkStart w:id="1170" w:name="_Toc100123511"/>
      <w:bookmarkStart w:id="1171" w:name="_Toc101155786"/>
      <w:bookmarkStart w:id="1172" w:name="_Toc115511304"/>
      <w:bookmarkStart w:id="1173" w:name="_Toc98238943"/>
      <w:r>
        <w:rPr>
          <w:rFonts w:hint="eastAsia" w:ascii="宋体" w:hAnsi="宋体" w:cs="宋体"/>
          <w:b/>
          <w:color w:val="auto"/>
          <w:szCs w:val="21"/>
          <w:highlight w:val="none"/>
        </w:rPr>
        <w:t>29、工程设计变更</w:t>
      </w:r>
      <w:bookmarkEnd w:id="1165"/>
      <w:bookmarkEnd w:id="1166"/>
      <w:bookmarkEnd w:id="1167"/>
      <w:bookmarkEnd w:id="1168"/>
      <w:bookmarkEnd w:id="1169"/>
      <w:bookmarkEnd w:id="1170"/>
      <w:bookmarkEnd w:id="1171"/>
      <w:bookmarkEnd w:id="1172"/>
      <w:bookmarkEnd w:id="1173"/>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29.1 施工中发包人需对原工程设计进行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更改工程有关部分的标高、基线、位置和尺寸；</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增减合同中约定的工程量；</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改变有关工程的施工时间和顺序；</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其他有关工程变更需要的附加工作。</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因变更导致合同价款的增减及造成的承包人损失，由发包人承担，延误的工期相应顺延。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29.2 施工中承包人不得对原工程设计进行变更。因承包人擅自变更设计发生的费用和由此导致发包人的直接损失，由承包人承担，延误的工期不予顺延。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29.3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工程师同意采用承包人合理化建议，所发生的费用和获得的收益，发包人承包人另行约定分担或分享。</w:t>
      </w:r>
    </w:p>
    <w:p>
      <w:pPr>
        <w:adjustRightInd w:val="0"/>
        <w:snapToGrid w:val="0"/>
        <w:spacing w:line="400" w:lineRule="exact"/>
        <w:ind w:firstLine="421" w:firstLineChars="200"/>
        <w:rPr>
          <w:rFonts w:ascii="宋体" w:hAnsi="宋体" w:cs="宋体"/>
          <w:b/>
          <w:color w:val="auto"/>
          <w:szCs w:val="21"/>
          <w:highlight w:val="none"/>
        </w:rPr>
      </w:pPr>
      <w:bookmarkStart w:id="1174" w:name="_Toc115511305"/>
      <w:bookmarkStart w:id="1175" w:name="_Toc101155990"/>
      <w:bookmarkStart w:id="1176" w:name="_Toc100123512"/>
      <w:bookmarkStart w:id="1177" w:name="_Toc101155787"/>
      <w:bookmarkStart w:id="1178" w:name="_Toc193188656"/>
      <w:bookmarkStart w:id="1179" w:name="_Toc231612731"/>
      <w:bookmarkStart w:id="1180" w:name="_Toc98238944"/>
      <w:bookmarkStart w:id="1181" w:name="_Toc99792302"/>
      <w:bookmarkStart w:id="1182" w:name="_Toc98239408"/>
      <w:r>
        <w:rPr>
          <w:rFonts w:hint="eastAsia" w:ascii="宋体" w:hAnsi="宋体" w:cs="宋体"/>
          <w:b/>
          <w:color w:val="auto"/>
          <w:szCs w:val="21"/>
          <w:highlight w:val="none"/>
        </w:rPr>
        <w:t>30、其他变更</w:t>
      </w:r>
      <w:bookmarkEnd w:id="1174"/>
      <w:bookmarkEnd w:id="1175"/>
      <w:bookmarkEnd w:id="1176"/>
      <w:bookmarkEnd w:id="1177"/>
      <w:bookmarkEnd w:id="1178"/>
      <w:bookmarkEnd w:id="1179"/>
      <w:bookmarkEnd w:id="1180"/>
      <w:bookmarkEnd w:id="1181"/>
      <w:bookmarkEnd w:id="1182"/>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30.1合同履行中发包人要求变更工程质量标准及发生其他实质性变更，由双方协商解决。</w:t>
      </w:r>
    </w:p>
    <w:p>
      <w:pPr>
        <w:adjustRightInd w:val="0"/>
        <w:snapToGrid w:val="0"/>
        <w:spacing w:line="400" w:lineRule="exact"/>
        <w:ind w:firstLine="421" w:firstLineChars="200"/>
        <w:rPr>
          <w:rFonts w:ascii="宋体" w:hAnsi="宋体" w:cs="宋体"/>
          <w:b/>
          <w:color w:val="auto"/>
          <w:szCs w:val="21"/>
          <w:highlight w:val="none"/>
        </w:rPr>
      </w:pPr>
      <w:bookmarkStart w:id="1183" w:name="_Toc101155991"/>
      <w:bookmarkStart w:id="1184" w:name="_Toc115511306"/>
      <w:bookmarkStart w:id="1185" w:name="_Toc231612732"/>
      <w:bookmarkStart w:id="1186" w:name="_Toc193188657"/>
      <w:bookmarkStart w:id="1187" w:name="_Toc98238945"/>
      <w:bookmarkStart w:id="1188" w:name="_Toc100123513"/>
      <w:bookmarkStart w:id="1189" w:name="_Toc99792303"/>
      <w:bookmarkStart w:id="1190" w:name="_Toc98239409"/>
      <w:bookmarkStart w:id="1191" w:name="_Toc101155788"/>
      <w:r>
        <w:rPr>
          <w:rFonts w:hint="eastAsia" w:ascii="宋体" w:hAnsi="宋体" w:cs="宋体"/>
          <w:b/>
          <w:color w:val="auto"/>
          <w:szCs w:val="21"/>
          <w:highlight w:val="none"/>
        </w:rPr>
        <w:t>31、确定变更价款</w:t>
      </w:r>
      <w:bookmarkEnd w:id="1183"/>
      <w:bookmarkEnd w:id="1184"/>
      <w:bookmarkEnd w:id="1185"/>
      <w:bookmarkEnd w:id="1186"/>
      <w:bookmarkEnd w:id="1187"/>
      <w:bookmarkEnd w:id="1188"/>
      <w:bookmarkEnd w:id="1189"/>
      <w:bookmarkEnd w:id="1190"/>
      <w:bookmarkEnd w:id="1191"/>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31.1承包人在工程变更确定后14天内，提出变更工程价款的报告，经工程师确认后调整合同价款。变更合同价款按下列方法进行：</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(1)合同中已有适用于变更工程的价格，按合同已有的价格变更合同价款；</w:t>
      </w:r>
    </w:p>
    <w:p>
      <w:pPr>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(2)合同中只有类似于变更工程的价格，可以参照类似价格变更合同价款；</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(3)合同中没有适用或类似于变更工程的价格，由承包人提出适当的变更价格，经工程师确认后执行。</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31.2 承包人在双方确定变更后14天内不向工程师提出变更工程价款报告时，视为该项变更不涉及合同价款的变更。</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31.3 工程师应在收到变更工程价款报告之日起14天内予以确认，工程师无正当理由不确认时，自变更工程价款报告送达之日起14天后视为变更工程价款报告已被确认。</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31.4 工程师不同意承包人提出的变更价款，按本通用条款第37条关于争议的约定处理。</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31.5 工程师确认增加的工程变更价款作为追加合同价款，与工程款同期支付。</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31.6 因承包人自身原因导致的工程变更，承包人无权要求追加合同价款。</w:t>
      </w:r>
    </w:p>
    <w:p>
      <w:pPr>
        <w:adjustRightInd w:val="0"/>
        <w:snapToGrid w:val="0"/>
        <w:spacing w:line="380" w:lineRule="exact"/>
        <w:ind w:firstLine="421" w:firstLineChars="200"/>
        <w:rPr>
          <w:rFonts w:ascii="方正黑体_GBK" w:hAnsi="宋体" w:eastAsia="方正黑体_GBK" w:cs="宋体"/>
          <w:b/>
          <w:bCs/>
          <w:color w:val="auto"/>
          <w:szCs w:val="21"/>
          <w:highlight w:val="none"/>
        </w:rPr>
      </w:pPr>
      <w:bookmarkStart w:id="1192" w:name="_Toc231612733"/>
      <w:bookmarkStart w:id="1193" w:name="_Toc101155789"/>
      <w:bookmarkStart w:id="1194" w:name="_Toc115511307"/>
      <w:bookmarkStart w:id="1195" w:name="_Toc98238946"/>
      <w:bookmarkStart w:id="1196" w:name="_Toc193188658"/>
      <w:bookmarkStart w:id="1197" w:name="_Toc100123514"/>
      <w:bookmarkStart w:id="1198" w:name="_Toc231613094"/>
      <w:bookmarkStart w:id="1199" w:name="_Toc231612946"/>
      <w:bookmarkStart w:id="1200" w:name="_Toc101155992"/>
      <w:bookmarkStart w:id="1201" w:name="_Toc99792304"/>
      <w:bookmarkStart w:id="1202" w:name="_Toc98239410"/>
      <w:r>
        <w:rPr>
          <w:rFonts w:hint="eastAsia" w:ascii="方正黑体_GBK" w:hAnsi="宋体" w:eastAsia="方正黑体_GBK" w:cs="宋体"/>
          <w:b/>
          <w:bCs/>
          <w:color w:val="auto"/>
          <w:szCs w:val="21"/>
          <w:highlight w:val="none"/>
        </w:rPr>
        <w:t>九、竣工验收与结算</w:t>
      </w:r>
      <w:bookmarkEnd w:id="1192"/>
      <w:bookmarkEnd w:id="1193"/>
      <w:bookmarkEnd w:id="1194"/>
      <w:bookmarkEnd w:id="1195"/>
      <w:bookmarkEnd w:id="1196"/>
      <w:bookmarkEnd w:id="1197"/>
      <w:bookmarkEnd w:id="1198"/>
      <w:bookmarkEnd w:id="1199"/>
      <w:bookmarkEnd w:id="1200"/>
      <w:bookmarkEnd w:id="1201"/>
      <w:bookmarkEnd w:id="1202"/>
    </w:p>
    <w:p>
      <w:pPr>
        <w:adjustRightInd w:val="0"/>
        <w:snapToGrid w:val="0"/>
        <w:spacing w:line="400" w:lineRule="exact"/>
        <w:ind w:firstLine="421" w:firstLineChars="200"/>
        <w:rPr>
          <w:rFonts w:ascii="宋体" w:hAnsi="宋体" w:cs="宋体"/>
          <w:b/>
          <w:color w:val="auto"/>
          <w:szCs w:val="21"/>
          <w:highlight w:val="none"/>
        </w:rPr>
      </w:pPr>
      <w:bookmarkStart w:id="1203" w:name="_Toc98239411"/>
      <w:bookmarkStart w:id="1204" w:name="_Toc101155790"/>
      <w:bookmarkStart w:id="1205" w:name="_Toc98238947"/>
      <w:bookmarkStart w:id="1206" w:name="_Toc100123515"/>
      <w:bookmarkStart w:id="1207" w:name="_Toc193188659"/>
      <w:bookmarkStart w:id="1208" w:name="_Toc99792305"/>
      <w:bookmarkStart w:id="1209" w:name="_Toc101155993"/>
      <w:bookmarkStart w:id="1210" w:name="_Toc231612734"/>
      <w:bookmarkStart w:id="1211" w:name="_Toc115511308"/>
      <w:r>
        <w:rPr>
          <w:rFonts w:hint="eastAsia" w:ascii="宋体" w:hAnsi="宋体" w:cs="宋体"/>
          <w:b/>
          <w:color w:val="auto"/>
          <w:szCs w:val="21"/>
          <w:highlight w:val="none"/>
        </w:rPr>
        <w:t>32、竣工验收</w:t>
      </w:r>
      <w:bookmarkEnd w:id="1203"/>
      <w:bookmarkEnd w:id="1204"/>
      <w:bookmarkEnd w:id="1205"/>
      <w:bookmarkEnd w:id="1206"/>
      <w:bookmarkEnd w:id="1207"/>
      <w:bookmarkEnd w:id="1208"/>
      <w:bookmarkEnd w:id="1209"/>
      <w:bookmarkEnd w:id="1210"/>
      <w:bookmarkEnd w:id="1211"/>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32.1 工程具备竣工验收条件，承包人按《重庆市国土房管局关于加强三峡后续工作规划地质灾害治理工程验收工作的通知》（渝国土房管〔2017〕840号）等文件要求，向发包人提供完整竣工资料及竣工验收报告。</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32.2 质量验收</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地灾治理工程完工后，先由项目业主、项目总监理工程师在质量监督部门的监督下，组织治理工程质量预验收；预验收合格后，项目业主在质量监督部门的监督下，组织参建单位进行竣工质量初步验收；在竣工质量初步验收合格，试运行一个水文年后进行竣工质量最终验收。</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承包人按要求修改，并承担由自身原因造成修改的费用。</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32.3 项目验收</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非应急项目的项目验收由区县政府组织地质灾害防治领导小组成员单位（国土、发展改革、建委、财政等相关部门）人员及专家，组成项目验收小组，依照有关文件的要求对治理工程的项目管理、资金管理、质量验收等（包括规划、立项、勘察、设计、施工、质量、竣工质量验收等工作）进行全面的验收检查。区县级项目验收比例为100％；市国土资源行政主管部门组织市级相关部门进行非应急项目的市级项目验收，验收比例不低于50％。</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对于应急抢险的项目验收：由市和区县国土资源行政主管部门组织有关部门联合进行项目验收，验收比例为100％。</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承包人按要求修改，并承担由自身原因造成修改的费用。</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32.4 工程竣工项目最终验收通过后15日内，发包人组织承包人向工程后期维护单位办理工程移交手续。工程按发包人要求修改后通过竣工验收的，实际竣工日期为承包人修改后提请发包人验收的日期。</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32.5 中间交工工程的范围和竣工时间，双方在专用条款内约定，其验收程序按本通用条款32.1款至32.4款办理。</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32.6 因特殊原因，发包人要求部分单位工程或工程部位甩项竣工的，双方另行签订甩项竣工协议，明确双方责任和工程价款支付方法。</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32.7 工程未经竣工验收或竣工验收未通过的，发包人不得使用。发包人强行使用时，由此发生的质量问题及其他问题，由发包人承担责任。</w:t>
      </w:r>
    </w:p>
    <w:p>
      <w:pPr>
        <w:adjustRightInd w:val="0"/>
        <w:snapToGrid w:val="0"/>
        <w:spacing w:line="400" w:lineRule="exact"/>
        <w:ind w:firstLine="421" w:firstLineChars="200"/>
        <w:rPr>
          <w:rFonts w:ascii="宋体" w:hAnsi="宋体" w:cs="宋体"/>
          <w:b/>
          <w:color w:val="auto"/>
          <w:szCs w:val="21"/>
          <w:highlight w:val="none"/>
        </w:rPr>
      </w:pPr>
      <w:bookmarkStart w:id="1212" w:name="_Toc98239412"/>
      <w:bookmarkStart w:id="1213" w:name="_Toc231612735"/>
      <w:bookmarkStart w:id="1214" w:name="_Toc99792306"/>
      <w:bookmarkStart w:id="1215" w:name="_Toc100123516"/>
      <w:bookmarkStart w:id="1216" w:name="_Toc193188660"/>
      <w:bookmarkStart w:id="1217" w:name="_Toc115511309"/>
      <w:bookmarkStart w:id="1218" w:name="_Toc101155994"/>
      <w:bookmarkStart w:id="1219" w:name="_Toc98238948"/>
      <w:bookmarkStart w:id="1220" w:name="_Toc101155791"/>
      <w:r>
        <w:rPr>
          <w:rFonts w:hint="eastAsia" w:ascii="宋体" w:hAnsi="宋体" w:cs="宋体"/>
          <w:b/>
          <w:color w:val="auto"/>
          <w:szCs w:val="21"/>
          <w:highlight w:val="none"/>
        </w:rPr>
        <w:t>33、竣工结算</w:t>
      </w:r>
      <w:bookmarkEnd w:id="1212"/>
      <w:bookmarkEnd w:id="1213"/>
      <w:bookmarkEnd w:id="1214"/>
      <w:bookmarkEnd w:id="1215"/>
      <w:bookmarkEnd w:id="1216"/>
      <w:bookmarkEnd w:id="1217"/>
      <w:bookmarkEnd w:id="1218"/>
      <w:bookmarkEnd w:id="1219"/>
      <w:bookmarkEnd w:id="1220"/>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33.1 工程竣工质量初步验收合格后1个月内，承包人与发包人完成治理工程项目财务决算，并由发包人向财政部门申请项目竣工财务决算审核审批。双方按照协议书约定的合同价款及专用条款约定的合同价款调整内容，进行工程竣工结算。</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33.2 发包人确认竣工结算报告后通知经办银行向承包人支付工程竣工结算价款。承包人收到竣工结算价款后14天内将竣工工程交付发包人。</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33.3 发包人与承包人完成财务决算后28天内无正当理由不支付工程竣工结算价款，从第29天起按承包人同期向银行贷款利率支付拖欠工程价款的利息，并承担违约责任。</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33.4 发包人承包人对工程竣工结算价款发生争议时，按本通用条款第37条关于争议的约定处理。</w:t>
      </w:r>
    </w:p>
    <w:p>
      <w:pPr>
        <w:adjustRightInd w:val="0"/>
        <w:snapToGrid w:val="0"/>
        <w:spacing w:line="400" w:lineRule="exact"/>
        <w:ind w:firstLine="421" w:firstLineChars="200"/>
        <w:rPr>
          <w:rFonts w:ascii="宋体" w:hAnsi="宋体" w:cs="宋体"/>
          <w:b/>
          <w:color w:val="auto"/>
          <w:szCs w:val="21"/>
          <w:highlight w:val="none"/>
        </w:rPr>
      </w:pPr>
      <w:bookmarkStart w:id="1221" w:name="_Toc100123517"/>
      <w:bookmarkStart w:id="1222" w:name="_Toc115511310"/>
      <w:bookmarkStart w:id="1223" w:name="_Toc101155792"/>
      <w:bookmarkStart w:id="1224" w:name="_Toc101155995"/>
      <w:bookmarkStart w:id="1225" w:name="_Toc231612736"/>
      <w:bookmarkStart w:id="1226" w:name="_Toc98239413"/>
      <w:bookmarkStart w:id="1227" w:name="_Toc193188661"/>
      <w:bookmarkStart w:id="1228" w:name="_Toc99792307"/>
      <w:bookmarkStart w:id="1229" w:name="_Toc98238949"/>
      <w:r>
        <w:rPr>
          <w:rFonts w:hint="eastAsia" w:ascii="宋体" w:hAnsi="宋体" w:cs="宋体"/>
          <w:b/>
          <w:color w:val="auto"/>
          <w:szCs w:val="21"/>
          <w:highlight w:val="none"/>
        </w:rPr>
        <w:t>34、质量保修</w:t>
      </w:r>
      <w:bookmarkEnd w:id="1221"/>
      <w:bookmarkEnd w:id="1222"/>
      <w:bookmarkEnd w:id="1223"/>
      <w:bookmarkEnd w:id="1224"/>
      <w:bookmarkEnd w:id="1225"/>
      <w:bookmarkEnd w:id="1226"/>
      <w:bookmarkEnd w:id="1227"/>
      <w:bookmarkEnd w:id="1228"/>
      <w:bookmarkEnd w:id="1229"/>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34.1 承包人应按法律、行政法规或国家关于工程质量保修的有关规定，对交付发包人使用的工程在质量保修期内承担质量保修责任。</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34.2 质量保修工作的实施。承包人应在工程竣工质量初步验收之前，与发包人签订质量保修书，保修期为质量初步验收后到项目最终验收止，作为本合同附件。</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34.3 质量保修书的主要内容包括：</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质量保修项目内容及范围；</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质量保修期；</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质量保修责任；</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质量保修金的支付方法。</w:t>
      </w:r>
    </w:p>
    <w:p>
      <w:pPr>
        <w:adjustRightInd w:val="0"/>
        <w:snapToGrid w:val="0"/>
        <w:spacing w:line="380" w:lineRule="exact"/>
        <w:ind w:firstLine="421" w:firstLineChars="200"/>
        <w:rPr>
          <w:rFonts w:ascii="方正黑体_GBK" w:hAnsi="宋体" w:eastAsia="方正黑体_GBK" w:cs="宋体"/>
          <w:b/>
          <w:bCs/>
          <w:color w:val="auto"/>
          <w:szCs w:val="21"/>
          <w:highlight w:val="none"/>
        </w:rPr>
      </w:pPr>
      <w:bookmarkStart w:id="1230" w:name="_Toc98238950"/>
      <w:bookmarkStart w:id="1231" w:name="_Toc101155793"/>
      <w:bookmarkStart w:id="1232" w:name="_Toc98239414"/>
      <w:bookmarkStart w:id="1233" w:name="_Toc99792308"/>
      <w:bookmarkStart w:id="1234" w:name="_Toc100123518"/>
      <w:bookmarkStart w:id="1235" w:name="_Toc231612737"/>
      <w:bookmarkStart w:id="1236" w:name="_Toc101155996"/>
      <w:bookmarkStart w:id="1237" w:name="_Toc193188662"/>
      <w:bookmarkStart w:id="1238" w:name="_Toc115511311"/>
      <w:r>
        <w:rPr>
          <w:rFonts w:hint="eastAsia" w:ascii="方正黑体_GBK" w:hAnsi="宋体" w:eastAsia="方正黑体_GBK" w:cs="宋体"/>
          <w:b/>
          <w:bCs/>
          <w:color w:val="auto"/>
          <w:szCs w:val="21"/>
          <w:highlight w:val="none"/>
        </w:rPr>
        <w:t>十、违约、索赔和争议</w:t>
      </w:r>
      <w:bookmarkEnd w:id="1230"/>
      <w:bookmarkEnd w:id="1231"/>
      <w:bookmarkEnd w:id="1232"/>
      <w:bookmarkEnd w:id="1233"/>
      <w:bookmarkEnd w:id="1234"/>
      <w:bookmarkEnd w:id="1235"/>
      <w:bookmarkEnd w:id="1236"/>
      <w:bookmarkEnd w:id="1237"/>
      <w:bookmarkEnd w:id="1238"/>
    </w:p>
    <w:p>
      <w:pPr>
        <w:adjustRightInd w:val="0"/>
        <w:snapToGrid w:val="0"/>
        <w:spacing w:line="400" w:lineRule="exact"/>
        <w:ind w:firstLine="421" w:firstLineChars="200"/>
        <w:rPr>
          <w:rFonts w:ascii="宋体" w:hAnsi="宋体" w:cs="宋体"/>
          <w:b/>
          <w:color w:val="auto"/>
          <w:szCs w:val="21"/>
          <w:highlight w:val="none"/>
        </w:rPr>
      </w:pPr>
      <w:bookmarkStart w:id="1239" w:name="_Toc231612738"/>
      <w:bookmarkStart w:id="1240" w:name="_Toc100123519"/>
      <w:bookmarkStart w:id="1241" w:name="_Toc193188663"/>
      <w:bookmarkStart w:id="1242" w:name="_Toc101155997"/>
      <w:bookmarkStart w:id="1243" w:name="_Toc98239415"/>
      <w:bookmarkStart w:id="1244" w:name="_Toc99792309"/>
      <w:bookmarkStart w:id="1245" w:name="_Toc101155794"/>
      <w:bookmarkStart w:id="1246" w:name="_Toc98238951"/>
      <w:bookmarkStart w:id="1247" w:name="_Toc115511312"/>
      <w:r>
        <w:rPr>
          <w:rFonts w:hint="eastAsia" w:ascii="宋体" w:hAnsi="宋体" w:cs="宋体"/>
          <w:b/>
          <w:color w:val="auto"/>
          <w:szCs w:val="21"/>
          <w:highlight w:val="none"/>
        </w:rPr>
        <w:t>35、违约</w:t>
      </w:r>
      <w:bookmarkEnd w:id="1239"/>
      <w:bookmarkEnd w:id="1240"/>
      <w:bookmarkEnd w:id="1241"/>
      <w:bookmarkEnd w:id="1242"/>
      <w:bookmarkEnd w:id="1243"/>
      <w:bookmarkEnd w:id="1244"/>
      <w:bookmarkEnd w:id="1245"/>
      <w:bookmarkEnd w:id="1246"/>
      <w:bookmarkEnd w:id="1247"/>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35.1发包人违约。当发生下列情况时：</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本通用条款第24条提到的发包人不按时支付工程预付款；</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本通用条款第26.4款提到的发包人不按合同约定支付工程款，导致施工无法进行；</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本通用条款第33.3款提到的发包人无正当理由不支付工程竣工结算价款；</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发包人不履行合同义务或不按合同约定履行义务的其他情况。</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发包人承担违约责任，赔偿因其违约给承包人造成的经济损失，顺延延误的工期。双方在专用条款内约定发包人赔偿承包人损失的计算方法或者发包人应当支付违约金的数额或计算方法。</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35.2 承包人违约。当发生下列情况时：</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本通用条款第14.2款提到的因承包人原因不能按照协议书约定的竣工日期或工程师同意顺延的工期竣工；</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本通用条款第15.1款提到的因承包人原因工程质量达不到协议书约定的质量标准；</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承包人不履行合同义务或不按合同约定履行义务的其他情况。</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承包人承担违约责任，赔偿因其违约给发包人造成的损失。双方在专用条款内约定承包人赔偿发包人损失的计算方法或者承包人应当支付违约金的数额或计算方法。</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35.3 一方违约后，另一方要求违约方继续履行合同时，违约方承担上述违约责任后仍应继续履行合同。</w:t>
      </w:r>
    </w:p>
    <w:p>
      <w:pPr>
        <w:adjustRightInd w:val="0"/>
        <w:snapToGrid w:val="0"/>
        <w:spacing w:line="400" w:lineRule="exact"/>
        <w:ind w:firstLine="421" w:firstLineChars="200"/>
        <w:rPr>
          <w:rFonts w:ascii="宋体" w:hAnsi="宋体" w:cs="宋体"/>
          <w:b/>
          <w:color w:val="auto"/>
          <w:szCs w:val="21"/>
          <w:highlight w:val="none"/>
        </w:rPr>
      </w:pPr>
      <w:bookmarkStart w:id="1248" w:name="_Toc99792310"/>
      <w:bookmarkStart w:id="1249" w:name="_Toc98239416"/>
      <w:bookmarkStart w:id="1250" w:name="_Toc100123520"/>
      <w:bookmarkStart w:id="1251" w:name="_Toc101155795"/>
      <w:bookmarkStart w:id="1252" w:name="_Toc115511313"/>
      <w:bookmarkStart w:id="1253" w:name="_Toc98238952"/>
      <w:bookmarkStart w:id="1254" w:name="_Toc101155998"/>
      <w:bookmarkStart w:id="1255" w:name="_Toc231612739"/>
      <w:bookmarkStart w:id="1256" w:name="_Toc193188664"/>
      <w:r>
        <w:rPr>
          <w:rFonts w:hint="eastAsia" w:ascii="宋体" w:hAnsi="宋体" w:cs="宋体"/>
          <w:b/>
          <w:color w:val="auto"/>
          <w:szCs w:val="21"/>
          <w:highlight w:val="none"/>
        </w:rPr>
        <w:t>36、索赔</w:t>
      </w:r>
      <w:bookmarkEnd w:id="1248"/>
      <w:bookmarkEnd w:id="1249"/>
      <w:bookmarkEnd w:id="1250"/>
      <w:bookmarkEnd w:id="1251"/>
      <w:bookmarkEnd w:id="1252"/>
      <w:bookmarkEnd w:id="1253"/>
      <w:bookmarkEnd w:id="1254"/>
      <w:bookmarkEnd w:id="1255"/>
      <w:bookmarkEnd w:id="1256"/>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36.1 当一方向另一方提出索赔时，要有正当索赔理由，且有索赔事件发生时的有效证据。</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36.2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索赔事件发生后28天内，向工程师发出索赔意向通知；</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发出索赔意向通知后28天内，向工程师提出延长工期和（或）补偿经济损失的索赔报告及有关资料；</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工程师在收到承包人送交的索赔报告和有关资料后，于28天内给予答复，或要求承包人进一步补充索赔理由和证据；</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工程师在收到承包人送交的索赔报告和有关资料后28天内未予答复或未对承包人作进一步要求，视为该项索赔已经认可；</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 当该索赔事件持续进行时，承包人应当阶段性向工程师发出索赔意向，在索赔事件终了后28天内，向工程师送交索赔的有关资料和最终索赔报告。索赔答复程序与 （3）、（4）规定相同。</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36.3 承包人未能按合同约定履行自己的各项义务或发生错误，给发包人造成经济损失，发包人可按36.2款确定的时限向承包人提出索赔。</w:t>
      </w:r>
    </w:p>
    <w:p>
      <w:pPr>
        <w:adjustRightInd w:val="0"/>
        <w:snapToGrid w:val="0"/>
        <w:spacing w:line="400" w:lineRule="exact"/>
        <w:ind w:firstLine="421" w:firstLineChars="200"/>
        <w:rPr>
          <w:rFonts w:ascii="宋体" w:hAnsi="宋体" w:cs="宋体"/>
          <w:b/>
          <w:color w:val="auto"/>
          <w:szCs w:val="21"/>
          <w:highlight w:val="none"/>
        </w:rPr>
      </w:pPr>
      <w:bookmarkStart w:id="1257" w:name="_Toc101155999"/>
      <w:bookmarkStart w:id="1258" w:name="_Toc98239417"/>
      <w:bookmarkStart w:id="1259" w:name="_Toc193188665"/>
      <w:bookmarkStart w:id="1260" w:name="_Toc99792311"/>
      <w:bookmarkStart w:id="1261" w:name="_Toc101155796"/>
      <w:bookmarkStart w:id="1262" w:name="_Toc115511314"/>
      <w:bookmarkStart w:id="1263" w:name="_Toc98238953"/>
      <w:bookmarkStart w:id="1264" w:name="_Toc100123521"/>
      <w:bookmarkStart w:id="1265" w:name="_Toc231612740"/>
      <w:r>
        <w:rPr>
          <w:rFonts w:hint="eastAsia" w:ascii="宋体" w:hAnsi="宋体" w:cs="宋体"/>
          <w:b/>
          <w:color w:val="auto"/>
          <w:szCs w:val="21"/>
          <w:highlight w:val="none"/>
        </w:rPr>
        <w:t>37、争议</w:t>
      </w:r>
      <w:bookmarkEnd w:id="1257"/>
      <w:bookmarkEnd w:id="1258"/>
      <w:bookmarkEnd w:id="1259"/>
      <w:bookmarkEnd w:id="1260"/>
      <w:bookmarkEnd w:id="1261"/>
      <w:bookmarkEnd w:id="1262"/>
      <w:bookmarkEnd w:id="1263"/>
      <w:bookmarkEnd w:id="1264"/>
      <w:bookmarkEnd w:id="1265"/>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37.1 发包人承包人在履行合同时发生争议，可以和解或者要求有关主管部门调解。当事人不愿和解、调解或者和解、调解不成的，双方可以在专用条款内约定下一种方式解决争议：</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第一种解决方式：双方达成仲裁协议，向约定的仲裁委员会申请仲裁；</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第二种解决方式：向有管辖权的人民法院起诉。</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37.2 发生争议后，除非出现下列情况的，双方都应继续履行合同，保持施工连续，保护好已完工程：</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单方违约导致合同确已无法履行，双方协议停止施工；</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调解要求停止施工，且为双方接受；</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仲裁机构要求停止施工；</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法院要求停止施工。</w:t>
      </w:r>
    </w:p>
    <w:p>
      <w:pPr>
        <w:adjustRightInd w:val="0"/>
        <w:snapToGrid w:val="0"/>
        <w:spacing w:line="380" w:lineRule="exact"/>
        <w:ind w:firstLine="421" w:firstLineChars="200"/>
        <w:rPr>
          <w:rFonts w:ascii="方正黑体_GBK" w:hAnsi="宋体" w:eastAsia="方正黑体_GBK" w:cs="宋体"/>
          <w:b/>
          <w:bCs/>
          <w:color w:val="auto"/>
          <w:szCs w:val="21"/>
          <w:highlight w:val="none"/>
        </w:rPr>
      </w:pPr>
      <w:bookmarkStart w:id="1266" w:name="_Toc99792312"/>
      <w:bookmarkStart w:id="1267" w:name="_Toc98239418"/>
      <w:bookmarkStart w:id="1268" w:name="_Toc100123522"/>
      <w:bookmarkStart w:id="1269" w:name="_Toc101156000"/>
      <w:bookmarkStart w:id="1270" w:name="_Toc193188666"/>
      <w:bookmarkStart w:id="1271" w:name="_Toc101155797"/>
      <w:bookmarkStart w:id="1272" w:name="_Toc98238954"/>
      <w:bookmarkStart w:id="1273" w:name="_Toc231612741"/>
      <w:bookmarkStart w:id="1274" w:name="_Toc115511315"/>
      <w:bookmarkStart w:id="1275" w:name="_Toc231612947"/>
      <w:bookmarkStart w:id="1276" w:name="_Toc231613095"/>
      <w:r>
        <w:rPr>
          <w:rFonts w:hint="eastAsia" w:ascii="方正黑体_GBK" w:hAnsi="宋体" w:eastAsia="方正黑体_GBK" w:cs="宋体"/>
          <w:b/>
          <w:bCs/>
          <w:color w:val="auto"/>
          <w:szCs w:val="21"/>
          <w:highlight w:val="none"/>
        </w:rPr>
        <w:t>十一、其他</w:t>
      </w:r>
      <w:bookmarkEnd w:id="1266"/>
      <w:bookmarkEnd w:id="1267"/>
      <w:bookmarkEnd w:id="1268"/>
      <w:bookmarkEnd w:id="1269"/>
      <w:bookmarkEnd w:id="1270"/>
      <w:bookmarkEnd w:id="1271"/>
      <w:bookmarkEnd w:id="1272"/>
      <w:bookmarkEnd w:id="1273"/>
      <w:bookmarkEnd w:id="1274"/>
      <w:bookmarkEnd w:id="1275"/>
      <w:bookmarkEnd w:id="1276"/>
    </w:p>
    <w:p>
      <w:pPr>
        <w:adjustRightInd w:val="0"/>
        <w:snapToGrid w:val="0"/>
        <w:spacing w:line="400" w:lineRule="exact"/>
        <w:ind w:firstLine="421" w:firstLineChars="200"/>
        <w:rPr>
          <w:rFonts w:ascii="宋体" w:hAnsi="宋体" w:cs="宋体"/>
          <w:b/>
          <w:bCs/>
          <w:color w:val="auto"/>
          <w:szCs w:val="21"/>
          <w:highlight w:val="none"/>
        </w:rPr>
      </w:pPr>
      <w:bookmarkStart w:id="1277" w:name="_Toc231612742"/>
      <w:bookmarkStart w:id="1278" w:name="_Toc98238955"/>
      <w:bookmarkStart w:id="1279" w:name="_Toc101156001"/>
      <w:bookmarkStart w:id="1280" w:name="_Toc115511316"/>
      <w:bookmarkStart w:id="1281" w:name="_Toc101155798"/>
      <w:bookmarkStart w:id="1282" w:name="_Toc98239419"/>
      <w:bookmarkStart w:id="1283" w:name="_Toc100123523"/>
      <w:bookmarkStart w:id="1284" w:name="_Toc99792313"/>
      <w:bookmarkStart w:id="1285" w:name="_Toc193188667"/>
      <w:r>
        <w:rPr>
          <w:rFonts w:hint="eastAsia" w:ascii="宋体" w:hAnsi="宋体" w:cs="宋体"/>
          <w:b/>
          <w:bCs/>
          <w:color w:val="auto"/>
          <w:szCs w:val="21"/>
          <w:highlight w:val="none"/>
        </w:rPr>
        <w:t>38、工程分包</w:t>
      </w:r>
      <w:bookmarkEnd w:id="1277"/>
      <w:bookmarkEnd w:id="1278"/>
      <w:bookmarkEnd w:id="1279"/>
      <w:bookmarkEnd w:id="1280"/>
      <w:bookmarkEnd w:id="1281"/>
      <w:bookmarkEnd w:id="1282"/>
      <w:bookmarkEnd w:id="1283"/>
      <w:bookmarkEnd w:id="1284"/>
      <w:bookmarkEnd w:id="1285"/>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38.1 承包人按专用条款的约定分包所承包的部分工程，并与分包单位签订分包合同。非经发包人同意，承包人不得将承包工程的任何部分分包。</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38.2 承包人不得将其承包的全部工程转包给他人，也不得将其承包的全部工程肢解以后以分包的名义分别转包给他人。</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38.3 工程分包不能解除承包人任何责任与义务。承包人应在分包场地派驻相应管理人员，保证本合同的履行。分包单位的任何违约行为或疏忽导致工程损害或给发包人造成其他损失，承包人承担连带责任。</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38.4 分包工程价款由承包人与分包单位结算。发包人未经承包人同意不得以任何形式向分包单位支付各种工程款项。</w:t>
      </w:r>
    </w:p>
    <w:p>
      <w:pPr>
        <w:adjustRightInd w:val="0"/>
        <w:snapToGrid w:val="0"/>
        <w:spacing w:line="400" w:lineRule="exact"/>
        <w:ind w:firstLine="421" w:firstLineChars="200"/>
        <w:rPr>
          <w:rFonts w:ascii="宋体" w:hAnsi="宋体" w:cs="宋体"/>
          <w:b/>
          <w:color w:val="auto"/>
          <w:szCs w:val="21"/>
          <w:highlight w:val="none"/>
        </w:rPr>
      </w:pPr>
      <w:bookmarkStart w:id="1286" w:name="_Toc101156002"/>
      <w:bookmarkStart w:id="1287" w:name="_Toc101155799"/>
      <w:bookmarkStart w:id="1288" w:name="_Toc98238956"/>
      <w:bookmarkStart w:id="1289" w:name="_Toc231612743"/>
      <w:bookmarkStart w:id="1290" w:name="_Toc98239420"/>
      <w:bookmarkStart w:id="1291" w:name="_Toc115511317"/>
      <w:bookmarkStart w:id="1292" w:name="_Toc193188668"/>
      <w:bookmarkStart w:id="1293" w:name="_Toc99792314"/>
      <w:bookmarkStart w:id="1294" w:name="_Toc100123524"/>
      <w:r>
        <w:rPr>
          <w:rFonts w:hint="eastAsia" w:ascii="宋体" w:hAnsi="宋体" w:cs="宋体"/>
          <w:b/>
          <w:color w:val="auto"/>
          <w:szCs w:val="21"/>
          <w:highlight w:val="none"/>
        </w:rPr>
        <w:t>39、不可抗力</w:t>
      </w:r>
      <w:bookmarkEnd w:id="1286"/>
      <w:bookmarkEnd w:id="1287"/>
      <w:bookmarkEnd w:id="1288"/>
      <w:bookmarkEnd w:id="1289"/>
      <w:bookmarkEnd w:id="1290"/>
      <w:bookmarkEnd w:id="1291"/>
      <w:bookmarkEnd w:id="1292"/>
      <w:bookmarkEnd w:id="1293"/>
      <w:bookmarkEnd w:id="1294"/>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39.1 不可抗力包括因战争、动乱、空中飞行物体坠落或其他非发包人承包人责任造成的爆炸、火灾，以及专用条款约定的风、雨、雪、洪、震等自然灾害。</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39.2 不可抗力事件发生后，承包人应立即通知工程师，并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力事件持续发生，承包人应每隔7天向工程师报告一次受害情况。不可抗力结束后14天内，承包人向工程师提交清理和修复费用的正式报告及有关资料。</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39.3 因不可抗力事件导致的费用及延误的工期由双方按下列方法分别承担：</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工程本身的损害、因工程损害导致第三人人员伤亡和财产损失以及运至施工场地用于施工的材料和待安装的设备的损害，由发包人承担；</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发包人承包人人员伤亡由其所在单位负责，并承担相应费用；</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承包人机械设备损坏及停工损失，由承包人承担；</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停工期间，承包人应工程师要求留在施工场地的必要的管理人员及保卫人员的费用由发包人承担；</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 工程所需清理、修复费用，由发包人承担；</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 延误的工期相应顺延。</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39.4 因合同一方迟延履行合同后发生不可抗力的，不能免除迟延履行方的相应责任。</w:t>
      </w:r>
    </w:p>
    <w:p>
      <w:pPr>
        <w:adjustRightInd w:val="0"/>
        <w:snapToGrid w:val="0"/>
        <w:spacing w:line="400" w:lineRule="exact"/>
        <w:ind w:firstLine="421" w:firstLineChars="200"/>
        <w:rPr>
          <w:rFonts w:ascii="宋体" w:hAnsi="宋体" w:cs="宋体"/>
          <w:b/>
          <w:color w:val="auto"/>
          <w:szCs w:val="21"/>
          <w:highlight w:val="none"/>
        </w:rPr>
      </w:pPr>
      <w:bookmarkStart w:id="1295" w:name="_Toc99792315"/>
      <w:bookmarkStart w:id="1296" w:name="_Toc100123525"/>
      <w:bookmarkStart w:id="1297" w:name="_Toc98239421"/>
      <w:bookmarkStart w:id="1298" w:name="_Toc193188669"/>
      <w:bookmarkStart w:id="1299" w:name="_Toc115511318"/>
      <w:bookmarkStart w:id="1300" w:name="_Toc98238957"/>
      <w:bookmarkStart w:id="1301" w:name="_Toc101155800"/>
      <w:bookmarkStart w:id="1302" w:name="_Toc101156003"/>
      <w:bookmarkStart w:id="1303" w:name="_Toc231612744"/>
      <w:r>
        <w:rPr>
          <w:rFonts w:hint="eastAsia" w:ascii="宋体" w:hAnsi="宋体" w:cs="宋体"/>
          <w:b/>
          <w:color w:val="auto"/>
          <w:szCs w:val="21"/>
          <w:highlight w:val="none"/>
        </w:rPr>
        <w:t>40、保险</w:t>
      </w:r>
      <w:bookmarkEnd w:id="1295"/>
      <w:bookmarkEnd w:id="1296"/>
      <w:bookmarkEnd w:id="1297"/>
      <w:bookmarkEnd w:id="1298"/>
      <w:bookmarkEnd w:id="1299"/>
      <w:bookmarkEnd w:id="1300"/>
      <w:bookmarkEnd w:id="1301"/>
      <w:bookmarkEnd w:id="1302"/>
      <w:bookmarkEnd w:id="1303"/>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40.1 工程开工前，发包人为建设工程和施工场地内的自有人员及第三人人员生命财产办理保险，支付保险费用。</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40.2 运至施工场地内用于工程的材料和待安装设备，由发包人办理保险，并支付保险费用。</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40.3 发包人可以将有关保险事项委托承包人办理，费用由发包人承担。</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40.4 承包人须为从事危险作业的职工办理意外伤害保险，并为施工场地内自有人员生命财产和施工机械设备办理保险，支付保险费用。</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40.5 保险事故发生时，发包人承包人有责任尽力采取必要的措施，防止或者减少损失。</w:t>
      </w:r>
    </w:p>
    <w:p>
      <w:pPr>
        <w:adjustRightInd w:val="0"/>
        <w:snapToGrid w:val="0"/>
        <w:spacing w:line="380" w:lineRule="exact"/>
        <w:ind w:firstLine="420" w:firstLineChars="200"/>
        <w:rPr>
          <w:rFonts w:ascii="宋体" w:hAnsi="宋体" w:cs="宋体"/>
          <w:color w:val="auto"/>
          <w:szCs w:val="21"/>
          <w:highlight w:val="none"/>
        </w:rPr>
      </w:pPr>
      <w:bookmarkStart w:id="1304" w:name="_Toc231612948"/>
      <w:bookmarkStart w:id="1305" w:name="_Toc231612745"/>
      <w:bookmarkStart w:id="1306" w:name="_Toc231613096"/>
      <w:r>
        <w:rPr>
          <w:rFonts w:hint="eastAsia" w:ascii="宋体" w:hAnsi="宋体" w:cs="宋体"/>
          <w:color w:val="auto"/>
          <w:szCs w:val="21"/>
          <w:highlight w:val="none"/>
        </w:rPr>
        <w:t>40.6 具体投保内容和相关责任，发包人承包人在专用条款中约定。</w:t>
      </w:r>
      <w:bookmarkEnd w:id="1304"/>
      <w:bookmarkEnd w:id="1305"/>
      <w:bookmarkEnd w:id="1306"/>
    </w:p>
    <w:p>
      <w:pPr>
        <w:adjustRightInd w:val="0"/>
        <w:snapToGrid w:val="0"/>
        <w:spacing w:line="400" w:lineRule="exact"/>
        <w:ind w:firstLine="421" w:firstLineChars="200"/>
        <w:rPr>
          <w:rFonts w:ascii="宋体" w:hAnsi="宋体" w:cs="宋体"/>
          <w:b/>
          <w:color w:val="auto"/>
          <w:szCs w:val="21"/>
          <w:highlight w:val="none"/>
        </w:rPr>
      </w:pPr>
      <w:bookmarkStart w:id="1307" w:name="_Toc193188670"/>
      <w:bookmarkStart w:id="1308" w:name="_Toc101156004"/>
      <w:bookmarkStart w:id="1309" w:name="_Toc101155801"/>
      <w:bookmarkStart w:id="1310" w:name="_Toc231612746"/>
      <w:bookmarkStart w:id="1311" w:name="_Toc98238958"/>
      <w:bookmarkStart w:id="1312" w:name="_Toc115511319"/>
      <w:bookmarkStart w:id="1313" w:name="_Toc99792316"/>
      <w:bookmarkStart w:id="1314" w:name="_Toc100123526"/>
      <w:bookmarkStart w:id="1315" w:name="_Toc98239422"/>
      <w:r>
        <w:rPr>
          <w:rFonts w:hint="eastAsia" w:ascii="宋体" w:hAnsi="宋体" w:cs="宋体"/>
          <w:b/>
          <w:color w:val="auto"/>
          <w:szCs w:val="21"/>
          <w:highlight w:val="none"/>
        </w:rPr>
        <w:t>41、担保</w:t>
      </w:r>
      <w:bookmarkEnd w:id="1307"/>
      <w:bookmarkEnd w:id="1308"/>
      <w:bookmarkEnd w:id="1309"/>
      <w:bookmarkEnd w:id="1310"/>
      <w:bookmarkEnd w:id="1311"/>
      <w:bookmarkEnd w:id="1312"/>
      <w:bookmarkEnd w:id="1313"/>
      <w:bookmarkEnd w:id="1314"/>
      <w:bookmarkEnd w:id="1315"/>
    </w:p>
    <w:p>
      <w:pPr>
        <w:adjustRightInd w:val="0"/>
        <w:snapToGrid w:val="0"/>
        <w:spacing w:line="380" w:lineRule="exact"/>
        <w:ind w:firstLine="420" w:firstLineChars="200"/>
        <w:rPr>
          <w:rFonts w:ascii="宋体" w:hAnsi="宋体" w:cs="宋体"/>
          <w:color w:val="auto"/>
          <w:szCs w:val="21"/>
          <w:highlight w:val="none"/>
        </w:rPr>
      </w:pPr>
      <w:bookmarkStart w:id="1316" w:name="_Toc231612747"/>
      <w:bookmarkStart w:id="1317" w:name="_Toc231612949"/>
      <w:bookmarkStart w:id="1318" w:name="_Toc231613097"/>
      <w:r>
        <w:rPr>
          <w:rFonts w:hint="eastAsia" w:ascii="宋体" w:hAnsi="宋体" w:cs="宋体"/>
          <w:color w:val="auto"/>
          <w:szCs w:val="21"/>
          <w:highlight w:val="none"/>
        </w:rPr>
        <w:t>41.1 发包人承包人为了全面履行合同，应互相提供以下担保：</w:t>
      </w:r>
      <w:bookmarkEnd w:id="1316"/>
      <w:bookmarkEnd w:id="1317"/>
      <w:bookmarkEnd w:id="1318"/>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发包人向承包人提供履约担保，按合同约定支付工程价款及履行合同约定的其他义务。</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承包人向发包人提供履约担保，按合同约定履行自己的各项义务。</w:t>
      </w:r>
    </w:p>
    <w:p>
      <w:pPr>
        <w:adjustRightInd w:val="0"/>
        <w:snapToGrid w:val="0"/>
        <w:spacing w:line="380" w:lineRule="exact"/>
        <w:ind w:firstLine="420" w:firstLineChars="200"/>
        <w:rPr>
          <w:rFonts w:ascii="宋体" w:hAnsi="宋体" w:cs="宋体"/>
          <w:color w:val="auto"/>
          <w:szCs w:val="21"/>
          <w:highlight w:val="none"/>
        </w:rPr>
      </w:pPr>
      <w:bookmarkStart w:id="1319" w:name="_Toc231612950"/>
      <w:bookmarkStart w:id="1320" w:name="_Toc231613098"/>
      <w:bookmarkStart w:id="1321" w:name="_Toc231612748"/>
      <w:r>
        <w:rPr>
          <w:rFonts w:hint="eastAsia" w:ascii="宋体" w:hAnsi="宋体" w:cs="宋体"/>
          <w:color w:val="auto"/>
          <w:szCs w:val="21"/>
          <w:highlight w:val="none"/>
        </w:rPr>
        <w:t>41.2 一方违约后，另一方可要求提供担保的第三人承担相应责任。</w:t>
      </w:r>
      <w:bookmarkEnd w:id="1319"/>
      <w:bookmarkEnd w:id="1320"/>
      <w:bookmarkEnd w:id="1321"/>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41.3 提供担保的内容、方式和相关责任，发包人承包人除在专用条款中约定外，被担保方与担保方还应签订担保合同，作为本合同附件。</w:t>
      </w:r>
    </w:p>
    <w:p>
      <w:pPr>
        <w:adjustRightInd w:val="0"/>
        <w:snapToGrid w:val="0"/>
        <w:spacing w:line="400" w:lineRule="exact"/>
        <w:ind w:firstLine="421" w:firstLineChars="200"/>
        <w:rPr>
          <w:rFonts w:ascii="宋体" w:hAnsi="宋体" w:cs="宋体"/>
          <w:b/>
          <w:color w:val="auto"/>
          <w:szCs w:val="21"/>
          <w:highlight w:val="none"/>
        </w:rPr>
      </w:pPr>
      <w:bookmarkStart w:id="1322" w:name="_Toc101156005"/>
      <w:bookmarkStart w:id="1323" w:name="_Toc231612749"/>
      <w:bookmarkStart w:id="1324" w:name="_Toc99792317"/>
      <w:bookmarkStart w:id="1325" w:name="_Toc101155802"/>
      <w:bookmarkStart w:id="1326" w:name="_Toc98239423"/>
      <w:bookmarkStart w:id="1327" w:name="_Toc100123527"/>
      <w:bookmarkStart w:id="1328" w:name="_Toc98238959"/>
      <w:bookmarkStart w:id="1329" w:name="_Toc115511320"/>
      <w:bookmarkStart w:id="1330" w:name="_Toc193188671"/>
      <w:r>
        <w:rPr>
          <w:rFonts w:hint="eastAsia" w:ascii="宋体" w:hAnsi="宋体" w:cs="宋体"/>
          <w:b/>
          <w:color w:val="auto"/>
          <w:szCs w:val="21"/>
          <w:highlight w:val="none"/>
        </w:rPr>
        <w:t>42、专利技术及特殊工艺</w:t>
      </w:r>
      <w:bookmarkEnd w:id="1322"/>
      <w:bookmarkEnd w:id="1323"/>
      <w:bookmarkEnd w:id="1324"/>
      <w:bookmarkEnd w:id="1325"/>
      <w:bookmarkEnd w:id="1326"/>
      <w:bookmarkEnd w:id="1327"/>
      <w:bookmarkEnd w:id="1328"/>
      <w:bookmarkEnd w:id="1329"/>
      <w:bookmarkEnd w:id="1330"/>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42.1 发包人要求使用专利技术或特殊工艺，应负责办理相应的申报手续，承担申报、试验、使用等费用；承包人提出使用专利技术或特殊工艺，应取得工程师认可，承包人负责办理申报手续并承担有关费用。</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42.2 擅自使用专利技术侵犯他人专利权的，责任者依法承担相应责任。</w:t>
      </w:r>
    </w:p>
    <w:p>
      <w:pPr>
        <w:adjustRightInd w:val="0"/>
        <w:snapToGrid w:val="0"/>
        <w:spacing w:line="400" w:lineRule="exact"/>
        <w:ind w:firstLine="421" w:firstLineChars="200"/>
        <w:rPr>
          <w:rFonts w:ascii="宋体" w:hAnsi="宋体" w:cs="宋体"/>
          <w:b/>
          <w:color w:val="auto"/>
          <w:szCs w:val="21"/>
          <w:highlight w:val="none"/>
        </w:rPr>
      </w:pPr>
      <w:bookmarkStart w:id="1331" w:name="_Toc101156006"/>
      <w:bookmarkStart w:id="1332" w:name="_Toc101155803"/>
      <w:bookmarkStart w:id="1333" w:name="_Toc99792318"/>
      <w:bookmarkStart w:id="1334" w:name="_Toc231612750"/>
      <w:bookmarkStart w:id="1335" w:name="_Toc98238960"/>
      <w:bookmarkStart w:id="1336" w:name="_Toc98239424"/>
      <w:bookmarkStart w:id="1337" w:name="_Toc100123528"/>
      <w:bookmarkStart w:id="1338" w:name="_Toc115511321"/>
      <w:bookmarkStart w:id="1339" w:name="_Toc193188672"/>
      <w:r>
        <w:rPr>
          <w:rFonts w:hint="eastAsia" w:ascii="宋体" w:hAnsi="宋体" w:cs="宋体"/>
          <w:b/>
          <w:color w:val="auto"/>
          <w:szCs w:val="21"/>
          <w:highlight w:val="none"/>
        </w:rPr>
        <w:t>43、文物和地下障碍物</w:t>
      </w:r>
      <w:bookmarkEnd w:id="1331"/>
      <w:bookmarkEnd w:id="1332"/>
      <w:bookmarkEnd w:id="1333"/>
      <w:bookmarkEnd w:id="1334"/>
      <w:bookmarkEnd w:id="1335"/>
      <w:bookmarkEnd w:id="1336"/>
      <w:bookmarkEnd w:id="1337"/>
      <w:bookmarkEnd w:id="1338"/>
      <w:bookmarkEnd w:id="1339"/>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43.1 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如发现后隐瞒不报，致使文物遭受破坏，责任者依法承担相应责任。</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43.2施工中发现影响施工的地下障碍物时，承包人应于8小时内以书面形式通知工程师，同时提出处置方案，工程师收到处置方案后24小时内予以认可或提出修正方案。发包人承担由此发生的费用，顺延延误的工期。</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所发现的地下障碍物有归属单位时，发包人应报请有关部门协同处置。</w:t>
      </w:r>
    </w:p>
    <w:p>
      <w:pPr>
        <w:adjustRightInd w:val="0"/>
        <w:snapToGrid w:val="0"/>
        <w:spacing w:line="400" w:lineRule="exact"/>
        <w:ind w:firstLine="421" w:firstLineChars="200"/>
        <w:rPr>
          <w:rFonts w:ascii="宋体" w:hAnsi="宋体" w:cs="宋体"/>
          <w:b/>
          <w:color w:val="auto"/>
          <w:szCs w:val="21"/>
          <w:highlight w:val="none"/>
        </w:rPr>
      </w:pPr>
      <w:bookmarkStart w:id="1340" w:name="_Toc101156007"/>
      <w:bookmarkStart w:id="1341" w:name="_Toc193188673"/>
      <w:bookmarkStart w:id="1342" w:name="_Toc98238961"/>
      <w:bookmarkStart w:id="1343" w:name="_Toc115511322"/>
      <w:bookmarkStart w:id="1344" w:name="_Toc98239425"/>
      <w:bookmarkStart w:id="1345" w:name="_Toc101155804"/>
      <w:bookmarkStart w:id="1346" w:name="_Toc231612751"/>
      <w:bookmarkStart w:id="1347" w:name="_Toc99792319"/>
      <w:bookmarkStart w:id="1348" w:name="_Toc100123529"/>
      <w:r>
        <w:rPr>
          <w:rFonts w:hint="eastAsia" w:ascii="宋体" w:hAnsi="宋体" w:cs="宋体"/>
          <w:b/>
          <w:color w:val="auto"/>
          <w:szCs w:val="21"/>
          <w:highlight w:val="none"/>
        </w:rPr>
        <w:t>44、合同解除</w:t>
      </w:r>
      <w:bookmarkEnd w:id="1340"/>
      <w:bookmarkEnd w:id="1341"/>
      <w:bookmarkEnd w:id="1342"/>
      <w:bookmarkEnd w:id="1343"/>
      <w:bookmarkEnd w:id="1344"/>
      <w:bookmarkEnd w:id="1345"/>
      <w:bookmarkEnd w:id="1346"/>
      <w:bookmarkEnd w:id="1347"/>
      <w:bookmarkEnd w:id="1348"/>
    </w:p>
    <w:p>
      <w:pPr>
        <w:adjustRightInd w:val="0"/>
        <w:snapToGrid w:val="0"/>
        <w:spacing w:line="380" w:lineRule="exact"/>
        <w:ind w:firstLine="420" w:firstLineChars="200"/>
        <w:rPr>
          <w:rFonts w:ascii="宋体" w:hAnsi="宋体" w:cs="宋体"/>
          <w:color w:val="auto"/>
          <w:szCs w:val="21"/>
          <w:highlight w:val="none"/>
        </w:rPr>
      </w:pPr>
      <w:bookmarkStart w:id="1349" w:name="_Toc231612752"/>
      <w:bookmarkStart w:id="1350" w:name="_Toc231613099"/>
      <w:bookmarkStart w:id="1351" w:name="_Toc231612951"/>
      <w:r>
        <w:rPr>
          <w:rFonts w:hint="eastAsia" w:ascii="宋体" w:hAnsi="宋体" w:cs="宋体"/>
          <w:color w:val="auto"/>
          <w:szCs w:val="21"/>
          <w:highlight w:val="none"/>
        </w:rPr>
        <w:t>44.1 发包人承包人协商一致，可以解除合同。</w:t>
      </w:r>
      <w:bookmarkEnd w:id="1349"/>
      <w:bookmarkEnd w:id="1350"/>
      <w:bookmarkEnd w:id="1351"/>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44.2 发生本通用条款第26.4款情况，停止施工超过56天，发包人仍不支付工程款（进度款），承包人有权解除合同。</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44.3 发生本通用条款第38.2款禁止的情况，承包人将其承包的全部工程转包给他人或者肢解以后以分包的名义分别转包给他人，发包人有权解除合同。</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44.4 有下列情形之一的，发包人承包人可以解除合同：</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因不可抗力致使合同无法履行；</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因一方违约（包括因发包人原因造成工程停建或缓建）致使合同无法履行。</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44.5 一方依据44.2.44.3.44.4款约定要求解除合同的，应以书面形式向对方发出解除合同的通知，并在发出通知前7天告知对方，通知到达对方时合同解除。对解除合同有争议的，按本通用条款第37条关于争议的约定处理。</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44.6 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adjustRightInd w:val="0"/>
        <w:snapToGrid w:val="0"/>
        <w:spacing w:line="38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44.7 合同解除后，不影响双方在合同中约定的结算和清理条款的效力。</w:t>
      </w:r>
    </w:p>
    <w:p>
      <w:pPr>
        <w:adjustRightInd w:val="0"/>
        <w:snapToGrid w:val="0"/>
        <w:spacing w:line="360" w:lineRule="auto"/>
        <w:ind w:firstLine="421" w:firstLineChars="200"/>
        <w:rPr>
          <w:rFonts w:ascii="宋体" w:hAnsi="宋体" w:cs="宋体"/>
          <w:b/>
          <w:color w:val="auto"/>
          <w:szCs w:val="21"/>
          <w:highlight w:val="none"/>
        </w:rPr>
      </w:pPr>
      <w:bookmarkStart w:id="1352" w:name="_Toc101155805"/>
      <w:bookmarkStart w:id="1353" w:name="_Toc98239426"/>
      <w:bookmarkStart w:id="1354" w:name="_Toc98238962"/>
      <w:bookmarkStart w:id="1355" w:name="_Toc193188674"/>
      <w:bookmarkStart w:id="1356" w:name="_Toc115511323"/>
      <w:bookmarkStart w:id="1357" w:name="_Toc231612753"/>
      <w:bookmarkStart w:id="1358" w:name="_Toc99792320"/>
      <w:bookmarkStart w:id="1359" w:name="_Toc100123530"/>
      <w:bookmarkStart w:id="1360" w:name="_Toc101156008"/>
      <w:r>
        <w:rPr>
          <w:rFonts w:hint="eastAsia" w:ascii="宋体" w:hAnsi="宋体" w:cs="宋体"/>
          <w:b/>
          <w:color w:val="auto"/>
          <w:szCs w:val="21"/>
          <w:highlight w:val="none"/>
        </w:rPr>
        <w:t>45、合同生效与终止</w:t>
      </w:r>
      <w:bookmarkEnd w:id="1352"/>
      <w:bookmarkEnd w:id="1353"/>
      <w:bookmarkEnd w:id="1354"/>
      <w:bookmarkEnd w:id="1355"/>
      <w:bookmarkEnd w:id="1356"/>
      <w:bookmarkEnd w:id="1357"/>
      <w:bookmarkEnd w:id="1358"/>
      <w:bookmarkEnd w:id="1359"/>
      <w:bookmarkEnd w:id="1360"/>
    </w:p>
    <w:p>
      <w:pPr>
        <w:adjustRightInd w:val="0"/>
        <w:snapToGrid w:val="0"/>
        <w:spacing w:line="360" w:lineRule="auto"/>
        <w:ind w:firstLine="420" w:firstLineChars="200"/>
        <w:rPr>
          <w:rFonts w:ascii="宋体" w:hAnsi="宋体" w:cs="宋体"/>
          <w:color w:val="auto"/>
          <w:szCs w:val="21"/>
          <w:highlight w:val="none"/>
        </w:rPr>
      </w:pPr>
      <w:bookmarkStart w:id="1361" w:name="_Toc231612952"/>
      <w:bookmarkStart w:id="1362" w:name="_Toc231613100"/>
      <w:bookmarkStart w:id="1363" w:name="_Toc231612754"/>
      <w:r>
        <w:rPr>
          <w:rFonts w:hint="eastAsia" w:ascii="宋体" w:hAnsi="宋体" w:cs="宋体"/>
          <w:color w:val="auto"/>
          <w:szCs w:val="21"/>
          <w:highlight w:val="none"/>
        </w:rPr>
        <w:t>45.1 双方在协议书中约定合同生效方式。</w:t>
      </w:r>
      <w:bookmarkEnd w:id="1361"/>
      <w:bookmarkEnd w:id="1362"/>
      <w:bookmarkEnd w:id="1363"/>
    </w:p>
    <w:p>
      <w:pPr>
        <w:adjustRightInd w:val="0"/>
        <w:snapToGrid w:val="0"/>
        <w:spacing w:line="360" w:lineRule="auto"/>
        <w:ind w:firstLine="420" w:firstLineChars="200"/>
        <w:rPr>
          <w:rFonts w:ascii="宋体" w:hAnsi="宋体" w:cs="宋体"/>
          <w:color w:val="auto"/>
          <w:szCs w:val="21"/>
          <w:highlight w:val="none"/>
        </w:rPr>
      </w:pPr>
      <w:bookmarkStart w:id="1364" w:name="_Toc231612953"/>
      <w:bookmarkStart w:id="1365" w:name="_Toc231613101"/>
      <w:bookmarkStart w:id="1366" w:name="_Toc231612755"/>
      <w:r>
        <w:rPr>
          <w:rFonts w:hint="eastAsia" w:ascii="宋体" w:hAnsi="宋体" w:cs="宋体"/>
          <w:color w:val="auto"/>
          <w:szCs w:val="21"/>
          <w:highlight w:val="none"/>
        </w:rPr>
        <w:t>45.2 除本通用条款第34条外，发包人承包人履行合同全部义务，竣工结算价款支付完毕，承包人向发包人交付竣工工程后，本合同即告终止。</w:t>
      </w:r>
      <w:bookmarkEnd w:id="1364"/>
      <w:bookmarkEnd w:id="1365"/>
      <w:bookmarkEnd w:id="1366"/>
    </w:p>
    <w:p>
      <w:pPr>
        <w:adjustRightInd w:val="0"/>
        <w:snapToGrid w:val="0"/>
        <w:spacing w:line="360" w:lineRule="auto"/>
        <w:ind w:firstLine="420" w:firstLineChars="200"/>
        <w:rPr>
          <w:rFonts w:ascii="宋体" w:hAnsi="宋体" w:cs="宋体"/>
          <w:color w:val="auto"/>
          <w:szCs w:val="21"/>
          <w:highlight w:val="none"/>
        </w:rPr>
      </w:pPr>
      <w:bookmarkStart w:id="1367" w:name="_Toc231612756"/>
      <w:bookmarkStart w:id="1368" w:name="_Toc231612954"/>
      <w:bookmarkStart w:id="1369" w:name="_Toc231613102"/>
      <w:r>
        <w:rPr>
          <w:rFonts w:hint="eastAsia" w:ascii="宋体" w:hAnsi="宋体" w:cs="宋体"/>
          <w:color w:val="auto"/>
          <w:szCs w:val="21"/>
          <w:highlight w:val="none"/>
        </w:rPr>
        <w:t>45.3 合同的权利义务终止后，发包人承包人应当遵循诚实信用原则，履行通知、协助、保密等义务。</w:t>
      </w:r>
      <w:bookmarkEnd w:id="1367"/>
      <w:bookmarkEnd w:id="1368"/>
      <w:bookmarkEnd w:id="1369"/>
    </w:p>
    <w:p>
      <w:pPr>
        <w:adjustRightInd w:val="0"/>
        <w:snapToGrid w:val="0"/>
        <w:spacing w:line="400" w:lineRule="exact"/>
        <w:ind w:firstLine="421" w:firstLineChars="200"/>
        <w:rPr>
          <w:rFonts w:ascii="宋体" w:hAnsi="宋体" w:cs="宋体"/>
          <w:b/>
          <w:color w:val="auto"/>
          <w:szCs w:val="21"/>
          <w:highlight w:val="none"/>
        </w:rPr>
      </w:pPr>
      <w:bookmarkStart w:id="1370" w:name="_Toc231612757"/>
      <w:bookmarkStart w:id="1371" w:name="_Toc101156009"/>
      <w:bookmarkStart w:id="1372" w:name="_Toc99792321"/>
      <w:bookmarkStart w:id="1373" w:name="_Toc101155806"/>
      <w:bookmarkStart w:id="1374" w:name="_Toc193188675"/>
      <w:bookmarkStart w:id="1375" w:name="_Toc115511324"/>
      <w:bookmarkStart w:id="1376" w:name="_Toc98239427"/>
      <w:bookmarkStart w:id="1377" w:name="_Toc100123531"/>
      <w:bookmarkStart w:id="1378" w:name="_Toc98238963"/>
      <w:r>
        <w:rPr>
          <w:rFonts w:hint="eastAsia" w:ascii="宋体" w:hAnsi="宋体" w:cs="宋体"/>
          <w:b/>
          <w:color w:val="auto"/>
          <w:szCs w:val="21"/>
          <w:highlight w:val="none"/>
        </w:rPr>
        <w:t>46、合同份数</w:t>
      </w:r>
      <w:bookmarkEnd w:id="1370"/>
      <w:bookmarkEnd w:id="1371"/>
      <w:bookmarkEnd w:id="1372"/>
      <w:bookmarkEnd w:id="1373"/>
      <w:bookmarkEnd w:id="1374"/>
      <w:bookmarkEnd w:id="1375"/>
      <w:bookmarkEnd w:id="1376"/>
      <w:bookmarkEnd w:id="1377"/>
      <w:bookmarkEnd w:id="1378"/>
    </w:p>
    <w:p>
      <w:pPr>
        <w:adjustRightInd w:val="0"/>
        <w:snapToGrid w:val="0"/>
        <w:spacing w:line="380" w:lineRule="exact"/>
        <w:ind w:firstLine="420" w:firstLineChars="200"/>
        <w:rPr>
          <w:rFonts w:ascii="宋体" w:hAnsi="宋体" w:cs="宋体"/>
          <w:color w:val="auto"/>
          <w:szCs w:val="21"/>
          <w:highlight w:val="none"/>
        </w:rPr>
      </w:pPr>
      <w:bookmarkStart w:id="1379" w:name="_Toc231612758"/>
      <w:bookmarkStart w:id="1380" w:name="_Toc231612955"/>
      <w:bookmarkStart w:id="1381" w:name="_Toc231613103"/>
      <w:r>
        <w:rPr>
          <w:rFonts w:hint="eastAsia" w:ascii="宋体" w:hAnsi="宋体" w:cs="宋体"/>
          <w:color w:val="auto"/>
          <w:szCs w:val="21"/>
          <w:highlight w:val="none"/>
        </w:rPr>
        <w:t>46.1 本合同正本两份，具有同等效力，由发包人承包人分别保存一份。</w:t>
      </w:r>
      <w:bookmarkEnd w:id="1379"/>
      <w:bookmarkEnd w:id="1380"/>
      <w:bookmarkEnd w:id="1381"/>
    </w:p>
    <w:p>
      <w:pPr>
        <w:adjustRightInd w:val="0"/>
        <w:snapToGrid w:val="0"/>
        <w:spacing w:line="380" w:lineRule="exact"/>
        <w:ind w:firstLine="420" w:firstLineChars="200"/>
        <w:rPr>
          <w:rFonts w:ascii="宋体" w:hAnsi="宋体" w:cs="宋体"/>
          <w:color w:val="auto"/>
          <w:szCs w:val="21"/>
          <w:highlight w:val="none"/>
        </w:rPr>
      </w:pPr>
      <w:bookmarkStart w:id="1382" w:name="_Toc231612956"/>
      <w:bookmarkStart w:id="1383" w:name="_Toc231613104"/>
      <w:bookmarkStart w:id="1384" w:name="_Toc231612759"/>
      <w:r>
        <w:rPr>
          <w:rFonts w:hint="eastAsia" w:ascii="宋体" w:hAnsi="宋体" w:cs="宋体"/>
          <w:color w:val="auto"/>
          <w:szCs w:val="21"/>
          <w:highlight w:val="none"/>
        </w:rPr>
        <w:t>46.2 本合同副本份数，由双方根据需要在专用条款内约定。</w:t>
      </w:r>
      <w:bookmarkEnd w:id="1382"/>
      <w:bookmarkEnd w:id="1383"/>
      <w:bookmarkEnd w:id="1384"/>
    </w:p>
    <w:p>
      <w:pPr>
        <w:adjustRightInd w:val="0"/>
        <w:snapToGrid w:val="0"/>
        <w:spacing w:line="380" w:lineRule="exact"/>
        <w:ind w:firstLine="421" w:firstLineChars="200"/>
        <w:rPr>
          <w:rFonts w:ascii="方正黑体_GBK" w:hAnsi="宋体" w:eastAsia="方正黑体_GBK" w:cs="宋体"/>
          <w:b/>
          <w:bCs/>
          <w:color w:val="auto"/>
          <w:szCs w:val="21"/>
          <w:highlight w:val="none"/>
        </w:rPr>
      </w:pPr>
      <w:bookmarkStart w:id="1385" w:name="_Toc115511325"/>
      <w:bookmarkStart w:id="1386" w:name="_Toc101156010"/>
      <w:bookmarkStart w:id="1387" w:name="_Toc231613105"/>
      <w:bookmarkStart w:id="1388" w:name="_Toc99792322"/>
      <w:bookmarkStart w:id="1389" w:name="_Toc231612957"/>
      <w:bookmarkStart w:id="1390" w:name="_Toc231612760"/>
      <w:bookmarkStart w:id="1391" w:name="_Toc98239428"/>
      <w:bookmarkStart w:id="1392" w:name="_Toc98238964"/>
      <w:bookmarkStart w:id="1393" w:name="_Toc101155807"/>
      <w:bookmarkStart w:id="1394" w:name="_Toc100123532"/>
      <w:bookmarkStart w:id="1395" w:name="_Toc193188676"/>
      <w:r>
        <w:rPr>
          <w:rFonts w:hint="eastAsia" w:ascii="方正黑体_GBK" w:hAnsi="宋体" w:eastAsia="方正黑体_GBK" w:cs="宋体"/>
          <w:b/>
          <w:bCs/>
          <w:color w:val="auto"/>
          <w:szCs w:val="21"/>
          <w:highlight w:val="none"/>
        </w:rPr>
        <w:t>十二、补充条款</w:t>
      </w:r>
      <w:bookmarkEnd w:id="1385"/>
      <w:bookmarkEnd w:id="1386"/>
      <w:bookmarkEnd w:id="1387"/>
      <w:bookmarkEnd w:id="1388"/>
      <w:bookmarkEnd w:id="1389"/>
      <w:bookmarkEnd w:id="1390"/>
      <w:bookmarkEnd w:id="1391"/>
      <w:bookmarkEnd w:id="1392"/>
      <w:bookmarkEnd w:id="1393"/>
      <w:bookmarkEnd w:id="1394"/>
      <w:bookmarkEnd w:id="1395"/>
    </w:p>
    <w:p>
      <w:pPr>
        <w:adjustRightInd w:val="0"/>
        <w:snapToGrid w:val="0"/>
        <w:spacing w:line="380" w:lineRule="exact"/>
        <w:ind w:firstLine="420" w:firstLineChars="200"/>
        <w:rPr>
          <w:rFonts w:ascii="宋体" w:hAnsi="宋体"/>
          <w:snapToGrid w:val="0"/>
          <w:color w:val="auto"/>
          <w:kern w:val="0"/>
          <w:szCs w:val="21"/>
          <w:highlight w:val="none"/>
        </w:rPr>
      </w:pPr>
      <w:r>
        <w:rPr>
          <w:rFonts w:hint="eastAsia" w:ascii="宋体" w:hAnsi="宋体" w:cs="宋体"/>
          <w:color w:val="auto"/>
          <w:szCs w:val="21"/>
          <w:highlight w:val="none"/>
        </w:rPr>
        <w:t>双方根据有关法律、行政法规规定，结合工程实际，经协商一致后，可对本通用条款内容具体化、补充或修改，在专用条款内约定。</w:t>
      </w:r>
    </w:p>
    <w:p>
      <w:pPr>
        <w:snapToGrid w:val="0"/>
        <w:spacing w:line="560" w:lineRule="exact"/>
        <w:rPr>
          <w:rFonts w:eastAsia="方正仿宋_GBK"/>
          <w:snapToGrid w:val="0"/>
          <w:color w:val="auto"/>
          <w:kern w:val="0"/>
          <w:szCs w:val="32"/>
          <w:highlight w:val="none"/>
        </w:rPr>
      </w:pPr>
    </w:p>
    <w:p>
      <w:pPr>
        <w:keepNext/>
        <w:keepLines/>
        <w:snapToGrid w:val="0"/>
        <w:spacing w:before="260" w:after="260" w:line="360" w:lineRule="auto"/>
        <w:outlineLvl w:val="9"/>
        <w:rPr>
          <w:rFonts w:ascii="宋体" w:hAnsi="宋体"/>
          <w:b/>
          <w:bCs/>
          <w:color w:val="auto"/>
          <w:szCs w:val="21"/>
          <w:highlight w:val="none"/>
          <w:lang w:val="zh-CN"/>
        </w:rPr>
      </w:pPr>
      <w:r>
        <w:rPr>
          <w:rFonts w:hint="eastAsia" w:ascii="宋体" w:hAnsi="宋体"/>
          <w:b/>
          <w:bCs/>
          <w:color w:val="auto"/>
          <w:szCs w:val="21"/>
          <w:highlight w:val="none"/>
          <w:lang w:val="zh-CN"/>
        </w:rPr>
        <w:br w:type="page"/>
      </w:r>
    </w:p>
    <w:p>
      <w:pPr>
        <w:pStyle w:val="5"/>
        <w:jc w:val="center"/>
        <w:rPr>
          <w:rFonts w:ascii="宋体" w:hAnsi="宋体"/>
          <w:color w:val="auto"/>
          <w:sz w:val="44"/>
          <w:szCs w:val="44"/>
          <w:highlight w:val="none"/>
        </w:rPr>
      </w:pPr>
      <w:bookmarkStart w:id="1396" w:name="_Toc27968"/>
      <w:bookmarkStart w:id="1397" w:name="_Toc529388290"/>
      <w:bookmarkStart w:id="1398" w:name="_Toc532377320"/>
      <w:bookmarkStart w:id="1399" w:name="_Toc532375607"/>
      <w:r>
        <w:rPr>
          <w:rFonts w:hint="eastAsia" w:ascii="宋体" w:hAnsi="宋体"/>
          <w:color w:val="auto"/>
          <w:sz w:val="44"/>
          <w:szCs w:val="44"/>
          <w:highlight w:val="none"/>
        </w:rPr>
        <w:t>第三部分 专用合同条款</w:t>
      </w:r>
      <w:bookmarkEnd w:id="1396"/>
      <w:bookmarkEnd w:id="1397"/>
      <w:bookmarkEnd w:id="1398"/>
      <w:bookmarkEnd w:id="1399"/>
    </w:p>
    <w:p>
      <w:pPr>
        <w:adjustRightInd w:val="0"/>
        <w:snapToGrid w:val="0"/>
        <w:spacing w:line="360" w:lineRule="auto"/>
        <w:rPr>
          <w:rFonts w:ascii="方正黑体_GBK" w:hAnsi="宋体" w:eastAsia="方正黑体_GBK" w:cs="宋体"/>
          <w:b/>
          <w:bCs/>
          <w:color w:val="auto"/>
          <w:szCs w:val="21"/>
          <w:highlight w:val="none"/>
        </w:rPr>
      </w:pPr>
      <w:bookmarkStart w:id="1400" w:name="_Toc532377425"/>
      <w:bookmarkStart w:id="1401" w:name="_Toc532375686"/>
      <w:bookmarkStart w:id="1402" w:name="_Toc351203652"/>
      <w:r>
        <w:rPr>
          <w:rFonts w:hint="eastAsia" w:ascii="方正黑体_GBK" w:hAnsi="宋体" w:eastAsia="方正黑体_GBK" w:cs="宋体"/>
          <w:b/>
          <w:bCs/>
          <w:color w:val="auto"/>
          <w:szCs w:val="21"/>
          <w:highlight w:val="none"/>
        </w:rPr>
        <w:t xml:space="preserve">一、词语定义及合同文件 </w:t>
      </w:r>
    </w:p>
    <w:p>
      <w:pPr>
        <w:adjustRightInd w:val="0"/>
        <w:snapToGrid w:val="0"/>
        <w:spacing w:line="360" w:lineRule="auto"/>
        <w:ind w:firstLine="421" w:firstLineChars="200"/>
        <w:rPr>
          <w:rFonts w:ascii="宋体" w:hAnsi="宋体" w:cs="宋体"/>
          <w:b/>
          <w:color w:val="auto"/>
          <w:szCs w:val="21"/>
          <w:highlight w:val="none"/>
        </w:rPr>
      </w:pPr>
      <w:bookmarkStart w:id="1403" w:name="_Toc123715509"/>
      <w:bookmarkStart w:id="1404" w:name="_Toc193188679"/>
      <w:bookmarkStart w:id="1405" w:name="_Toc231612763"/>
      <w:bookmarkStart w:id="1406" w:name="_Toc98238967"/>
      <w:bookmarkStart w:id="1407" w:name="_Toc100123535"/>
      <w:bookmarkStart w:id="1408" w:name="_Toc101156013"/>
      <w:bookmarkStart w:id="1409" w:name="_Toc98239431"/>
      <w:bookmarkStart w:id="1410" w:name="_Toc101155810"/>
      <w:bookmarkStart w:id="1411" w:name="_Toc115511328"/>
      <w:bookmarkStart w:id="1412" w:name="_Toc99792325"/>
      <w:r>
        <w:rPr>
          <w:rFonts w:hint="eastAsia" w:ascii="宋体" w:hAnsi="宋体" w:cs="宋体"/>
          <w:b/>
          <w:color w:val="auto"/>
          <w:szCs w:val="21"/>
          <w:highlight w:val="none"/>
        </w:rPr>
        <w:t>1、词语定义</w:t>
      </w:r>
      <w:bookmarkEnd w:id="1403"/>
      <w:bookmarkEnd w:id="1404"/>
      <w:bookmarkEnd w:id="1405"/>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在本条内补充以下各款：</w:t>
      </w:r>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1.24合同</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指协议书、中标通知书、招标文件及其澄清、补充、答疑文件、投标文件、专用条款、通用条款、标准规范及有关技术说明、图纸、工程量清单以及其他双方约定构成合同组成部分的协议、往来信函、纪要、备忘等所有合同文件的总称。</w:t>
      </w:r>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1.25协议书</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指构成本合同一部分,需由发包人与承包人共同签署且以此标志合同成立的文件。</w:t>
      </w:r>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1.26中标通知书</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指发包人通知承包人中标的函。 </w:t>
      </w:r>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1.27标准、规范及有关技术文件</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指构成本合同一部分的具有同样名称的文件，以及根据第 3.3 款由工程师批准的任何此类文件。</w:t>
      </w:r>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1.28投标书</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指承包人根据合同的各项约定，为工程的实施、完成和修补缺陷，向发包人提出并被发包人接受的报价书及其附属文件 </w:t>
      </w:r>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1.29投标书附件</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指附于投标书之后的，己填写完内容的构成本合同一部分的文件。</w:t>
      </w:r>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1.30其他承包人</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指发包人直接雇佣，从事承包人的承包范围之外但与本合同工程有关的其他工作的承包单位。</w:t>
      </w:r>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l.31质量保修书</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指由发承包双方签署的约定工程保修事宜及其双方的权力、义务的协议。</w:t>
      </w:r>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1.32竣工验收证书</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指由发包人、承包人、监理单位和设计单位四方共同签署，由工程师向承包人颁发的证明工程通过了竣工验收的文件。</w:t>
      </w:r>
    </w:p>
    <w:p>
      <w:pPr>
        <w:adjustRightInd w:val="0"/>
        <w:snapToGrid w:val="0"/>
        <w:spacing w:line="360" w:lineRule="auto"/>
        <w:ind w:firstLine="421" w:firstLineChars="200"/>
        <w:rPr>
          <w:rFonts w:ascii="宋体" w:hAnsi="宋体" w:cs="宋体"/>
          <w:b/>
          <w:color w:val="auto"/>
          <w:szCs w:val="21"/>
          <w:highlight w:val="none"/>
        </w:rPr>
      </w:pPr>
      <w:bookmarkStart w:id="1413" w:name="_Toc123715510"/>
      <w:bookmarkStart w:id="1414" w:name="_Toc231612764"/>
      <w:bookmarkStart w:id="1415" w:name="_Toc193188680"/>
      <w:r>
        <w:rPr>
          <w:rFonts w:hint="eastAsia" w:ascii="宋体" w:hAnsi="宋体" w:cs="宋体"/>
          <w:b/>
          <w:color w:val="auto"/>
          <w:szCs w:val="21"/>
          <w:highlight w:val="none"/>
        </w:rPr>
        <w:t>2、合同文件及解释顺序</w:t>
      </w:r>
      <w:bookmarkEnd w:id="1406"/>
      <w:bookmarkEnd w:id="1407"/>
      <w:bookmarkEnd w:id="1408"/>
      <w:bookmarkEnd w:id="1409"/>
      <w:bookmarkEnd w:id="1410"/>
      <w:bookmarkEnd w:id="1411"/>
      <w:bookmarkEnd w:id="1412"/>
      <w:bookmarkEnd w:id="1413"/>
      <w:bookmarkEnd w:id="1414"/>
      <w:bookmarkEnd w:id="1415"/>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2.1合同文件组成及解释顺序：</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（1）合同协议书；</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（2）中标通知书；</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（3）投标函；</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（4）专用合同条款；</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（5）通用合同条款；</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（6）技术标准和要求；</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（7）图纸；</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w:t>
      </w:r>
      <w:r>
        <w:rPr>
          <w:rFonts w:hint="eastAsia" w:ascii="宋体" w:hAnsi="宋体" w:cs="宋体"/>
          <w:color w:val="auto"/>
          <w:szCs w:val="21"/>
          <w:highlight w:val="none"/>
          <w:u w:val="single"/>
        </w:rPr>
        <w:t>投标报价书（或已标价工程量清单</w:t>
      </w:r>
      <w:r>
        <w:rPr>
          <w:rFonts w:hint="eastAsia" w:ascii="宋体" w:hAnsi="宋体" w:cs="宋体"/>
          <w:color w:val="auto"/>
          <w:szCs w:val="21"/>
          <w:highlight w:val="none"/>
        </w:rPr>
        <w:t>）；</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（9）其他合同文件。</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合同协议书中约定采用单价合同形式的，已标价工程量清单中的各项工程量对合同双方不具合同约束力。</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图纸与技术标准和要求之间有矛盾或者不一致的，以其中要求较严格的标准为准。</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合同双方在合同履行过程中签订的补充协议亦构成合同文件的组成部分，其解释顺序视其内容与其他合同文件的相互关系而定。</w:t>
      </w:r>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在本条内补充以下各款：</w:t>
      </w:r>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2.1.1</w:t>
      </w:r>
      <w:r>
        <w:rPr>
          <w:rFonts w:hint="eastAsia" w:ascii="宋体" w:hAnsi="宋体" w:cs="宋体"/>
          <w:color w:val="auto"/>
          <w:szCs w:val="21"/>
          <w:highlight w:val="none"/>
        </w:rPr>
        <w:t>本合同文件中对合同条款编号的引用，均是对合同通用条款相应条款的删除、补充和修改。</w:t>
      </w:r>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2.1.2</w:t>
      </w:r>
      <w:r>
        <w:rPr>
          <w:rFonts w:hint="eastAsia" w:ascii="宋体" w:hAnsi="宋体" w:cs="宋体"/>
          <w:color w:val="auto"/>
          <w:szCs w:val="21"/>
          <w:highlight w:val="none"/>
        </w:rPr>
        <w:t>本合同提及的通知、指示、同意、批准、证书或决定等，除非合同中另有约定，一律应是书面形式，且任何一方不得无故扣押或拖延。书面形式的通知、指示、同意、批准、证书及决定等，应由专人送达并取得书面签收，或通过传真送达并保存传真记录，或通过邮寄并保存邮局的邮寄证明，或以E-mail发送但随后以书面形式对文件收发进行确认。</w:t>
      </w:r>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2.1.3</w:t>
      </w:r>
      <w:r>
        <w:rPr>
          <w:rFonts w:hint="eastAsia" w:ascii="宋体" w:hAnsi="宋体" w:cs="宋体"/>
          <w:color w:val="auto"/>
          <w:szCs w:val="21"/>
          <w:highlight w:val="none"/>
        </w:rPr>
        <w:t xml:space="preserve"> 如果由于任何原因使得本合同中的某些条款或约定无效或无法履行,这种情况不应影响到本合同中其他条款或约定的有效性,也不应在任何方面使得本合同完全失效。</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如果发生上述情况并且发承包双方认为有必要对已经无效或无法履行的条款或约定进行修改时，发承包双方应本着不改变本合同的最终目的并最大限度地保证本合同的最终目的不受影响的原则进行修改和协商。</w:t>
      </w:r>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2.1.4</w:t>
      </w:r>
      <w:r>
        <w:rPr>
          <w:rFonts w:hint="eastAsia" w:ascii="宋体" w:hAnsi="宋体" w:cs="宋体"/>
          <w:color w:val="auto"/>
          <w:szCs w:val="21"/>
          <w:highlight w:val="none"/>
        </w:rPr>
        <w:t>除非合同中另有约定，第2.1款中提及的构成本合同的全部合同文件（包括可能对它们的修改或补充）应是本合同的全部和完整的内容。除此以外的发承包双方之间在签订本合同之前存在的任何谈判、协商、纪要、备忘录或协议等，除非在签订合同以前或以后经双方同意纳入本合同，否则均不构成本工程合同文件的组成部分。</w:t>
      </w:r>
    </w:p>
    <w:p>
      <w:pPr>
        <w:adjustRightInd w:val="0"/>
        <w:snapToGrid w:val="0"/>
        <w:spacing w:line="360" w:lineRule="auto"/>
        <w:ind w:firstLine="421" w:firstLineChars="200"/>
        <w:rPr>
          <w:rFonts w:ascii="宋体" w:hAnsi="宋体" w:cs="宋体"/>
          <w:b/>
          <w:color w:val="auto"/>
          <w:szCs w:val="21"/>
          <w:highlight w:val="none"/>
        </w:rPr>
      </w:pPr>
      <w:bookmarkStart w:id="1416" w:name="_Toc98238968"/>
      <w:bookmarkStart w:id="1417" w:name="_Toc193188681"/>
      <w:bookmarkStart w:id="1418" w:name="_Toc123715511"/>
      <w:bookmarkStart w:id="1419" w:name="_Toc98239432"/>
      <w:bookmarkStart w:id="1420" w:name="_Toc99792326"/>
      <w:bookmarkStart w:id="1421" w:name="_Toc231612765"/>
      <w:bookmarkStart w:id="1422" w:name="_Toc101155811"/>
      <w:bookmarkStart w:id="1423" w:name="_Toc115511329"/>
      <w:bookmarkStart w:id="1424" w:name="_Toc101156014"/>
      <w:bookmarkStart w:id="1425" w:name="_Toc100123536"/>
      <w:r>
        <w:rPr>
          <w:rFonts w:hint="eastAsia" w:ascii="宋体" w:hAnsi="宋体" w:cs="宋体"/>
          <w:b/>
          <w:color w:val="auto"/>
          <w:szCs w:val="21"/>
          <w:highlight w:val="none"/>
        </w:rPr>
        <w:t>3、语言文字和适用法律、标准及规范</w:t>
      </w:r>
      <w:bookmarkEnd w:id="1416"/>
      <w:bookmarkEnd w:id="1417"/>
      <w:bookmarkEnd w:id="1418"/>
      <w:bookmarkEnd w:id="1419"/>
      <w:bookmarkEnd w:id="1420"/>
      <w:bookmarkEnd w:id="1421"/>
      <w:bookmarkEnd w:id="1422"/>
      <w:bookmarkEnd w:id="1423"/>
      <w:bookmarkEnd w:id="1424"/>
      <w:bookmarkEnd w:id="1425"/>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3.1 本合同除使用汉语外，还使用无其他语言文字。</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 适用法律和法规</w:t>
      </w:r>
    </w:p>
    <w:p>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需要明示的法律、行政法规：</w:t>
      </w:r>
      <w:r>
        <w:rPr>
          <w:rFonts w:hint="eastAsia" w:ascii="宋体" w:hAnsi="宋体" w:cs="宋体"/>
          <w:color w:val="auto"/>
          <w:szCs w:val="21"/>
          <w:highlight w:val="none"/>
          <w:u w:val="single"/>
        </w:rPr>
        <w:t xml:space="preserve">  国家及重庆市现行相关法律、法规、规章，以及有关三期地质灾害防治的规定。</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3.3 适用标准、规范</w:t>
      </w:r>
    </w:p>
    <w:p>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适用标准、规范的名称：</w:t>
      </w:r>
      <w:r>
        <w:rPr>
          <w:rFonts w:hint="eastAsia" w:ascii="宋体" w:hAnsi="宋体" w:cs="宋体"/>
          <w:color w:val="auto"/>
          <w:szCs w:val="21"/>
          <w:highlight w:val="none"/>
          <w:u w:val="single"/>
        </w:rPr>
        <w:t>执行国家现行有效施工验收规范、质量标准及相关规定，同时执行地灾害相关管理规定及国家公安部对爆破资质单位所规定的相关管理要求。</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发包人提供标准、规范的时间：</w:t>
      </w:r>
      <w:r>
        <w:rPr>
          <w:rFonts w:hint="eastAsia" w:ascii="宋体" w:hAnsi="宋体" w:cs="宋体"/>
          <w:color w:val="auto"/>
          <w:szCs w:val="21"/>
          <w:highlight w:val="none"/>
          <w:u w:val="single"/>
        </w:rPr>
        <w:t>发包人只在招标文件中提供适用的标准及规范索引，由承包人自行收集或购买并承担相应费用。</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国内没有相应标准、规范时的约定：</w:t>
      </w:r>
      <w:r>
        <w:rPr>
          <w:rFonts w:hint="eastAsia" w:ascii="宋体" w:hAnsi="宋体" w:cs="宋体"/>
          <w:color w:val="auto"/>
          <w:szCs w:val="21"/>
          <w:highlight w:val="none"/>
          <w:u w:val="single"/>
        </w:rPr>
        <w:t xml:space="preserve">按通用条款执行。  </w:t>
      </w:r>
    </w:p>
    <w:p>
      <w:pPr>
        <w:adjustRightInd w:val="0"/>
        <w:snapToGrid w:val="0"/>
        <w:spacing w:line="360" w:lineRule="auto"/>
        <w:ind w:firstLine="421" w:firstLineChars="200"/>
        <w:rPr>
          <w:rFonts w:ascii="宋体" w:hAnsi="宋体" w:cs="宋体"/>
          <w:b/>
          <w:color w:val="auto"/>
          <w:szCs w:val="21"/>
          <w:highlight w:val="none"/>
        </w:rPr>
      </w:pPr>
      <w:bookmarkStart w:id="1426" w:name="_Toc100123537"/>
      <w:bookmarkStart w:id="1427" w:name="_Toc101156015"/>
      <w:bookmarkStart w:id="1428" w:name="_Toc101155812"/>
      <w:bookmarkStart w:id="1429" w:name="_Toc99792327"/>
      <w:bookmarkStart w:id="1430" w:name="_Toc98239433"/>
      <w:bookmarkStart w:id="1431" w:name="_Toc115511330"/>
      <w:bookmarkStart w:id="1432" w:name="_Toc231612766"/>
      <w:bookmarkStart w:id="1433" w:name="_Toc98238969"/>
      <w:bookmarkStart w:id="1434" w:name="_Toc123715512"/>
      <w:bookmarkStart w:id="1435" w:name="_Toc193188682"/>
      <w:r>
        <w:rPr>
          <w:rFonts w:hint="eastAsia" w:ascii="宋体" w:hAnsi="宋体" w:cs="宋体"/>
          <w:b/>
          <w:color w:val="auto"/>
          <w:szCs w:val="21"/>
          <w:highlight w:val="none"/>
        </w:rPr>
        <w:t>4、图纸</w:t>
      </w:r>
      <w:bookmarkEnd w:id="1426"/>
      <w:bookmarkEnd w:id="1427"/>
      <w:bookmarkEnd w:id="1428"/>
      <w:bookmarkEnd w:id="1429"/>
      <w:bookmarkEnd w:id="1430"/>
      <w:bookmarkEnd w:id="1431"/>
      <w:bookmarkEnd w:id="1432"/>
      <w:bookmarkEnd w:id="1433"/>
      <w:bookmarkEnd w:id="1434"/>
      <w:bookmarkEnd w:id="1435"/>
    </w:p>
    <w:p>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4.1 发包人向承包人提供图纸日期和套数：</w:t>
      </w:r>
      <w:r>
        <w:rPr>
          <w:rFonts w:hint="eastAsia" w:ascii="宋体" w:hAnsi="宋体" w:cs="宋体"/>
          <w:color w:val="auto"/>
          <w:szCs w:val="21"/>
          <w:highlight w:val="none"/>
          <w:u w:val="single"/>
        </w:rPr>
        <w:t>合同签订后7天内提供2套施工图，若只能分期提供图纸的情况，发包人在相应的工程部位开始施工前提供相应的图纸。</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发包人对图纸的保密要求：</w:t>
      </w:r>
      <w:r>
        <w:rPr>
          <w:rFonts w:hint="eastAsia" w:ascii="宋体" w:hAnsi="宋体" w:cs="宋体"/>
          <w:color w:val="auto"/>
          <w:szCs w:val="21"/>
          <w:highlight w:val="none"/>
          <w:u w:val="single"/>
        </w:rPr>
        <w:t>参见通用条款。</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 xml:space="preserve">使用国外图纸的要求及费用承担： </w:t>
      </w:r>
      <w:r>
        <w:rPr>
          <w:rFonts w:hint="eastAsia" w:ascii="宋体" w:hAnsi="宋体" w:cs="宋体"/>
          <w:color w:val="auto"/>
          <w:szCs w:val="21"/>
          <w:highlight w:val="none"/>
          <w:u w:val="single"/>
        </w:rPr>
        <w:t xml:space="preserve">无。 </w:t>
      </w:r>
    </w:p>
    <w:p>
      <w:pPr>
        <w:adjustRightInd w:val="0"/>
        <w:snapToGrid w:val="0"/>
        <w:spacing w:line="360" w:lineRule="auto"/>
        <w:rPr>
          <w:rFonts w:ascii="方正黑体_GBK" w:hAnsi="宋体" w:eastAsia="方正黑体_GBK" w:cs="宋体"/>
          <w:b/>
          <w:bCs/>
          <w:color w:val="auto"/>
          <w:szCs w:val="21"/>
          <w:highlight w:val="none"/>
        </w:rPr>
      </w:pPr>
      <w:bookmarkStart w:id="1436" w:name="_Toc101156016"/>
      <w:bookmarkStart w:id="1437" w:name="_Toc115511331"/>
      <w:bookmarkStart w:id="1438" w:name="_Toc193188683"/>
      <w:bookmarkStart w:id="1439" w:name="_Toc98238970"/>
      <w:bookmarkStart w:id="1440" w:name="_Toc99792328"/>
      <w:bookmarkStart w:id="1441" w:name="_Toc231612960"/>
      <w:bookmarkStart w:id="1442" w:name="_Toc231612767"/>
      <w:bookmarkStart w:id="1443" w:name="_Toc98239434"/>
      <w:bookmarkStart w:id="1444" w:name="_Toc101155813"/>
      <w:bookmarkStart w:id="1445" w:name="_Toc100123538"/>
      <w:bookmarkStart w:id="1446" w:name="_Toc123715513"/>
      <w:bookmarkStart w:id="1447" w:name="_Toc231613107"/>
      <w:r>
        <w:rPr>
          <w:rFonts w:hint="eastAsia" w:ascii="方正黑体_GBK" w:hAnsi="宋体" w:eastAsia="方正黑体_GBK" w:cs="宋体"/>
          <w:b/>
          <w:bCs/>
          <w:color w:val="auto"/>
          <w:szCs w:val="21"/>
          <w:highlight w:val="none"/>
        </w:rPr>
        <w:t>二、双方一般权利和义务</w:t>
      </w:r>
      <w:bookmarkEnd w:id="1436"/>
      <w:bookmarkEnd w:id="1437"/>
      <w:bookmarkEnd w:id="1438"/>
      <w:bookmarkEnd w:id="1439"/>
      <w:bookmarkEnd w:id="1440"/>
      <w:bookmarkEnd w:id="1441"/>
      <w:bookmarkEnd w:id="1442"/>
      <w:bookmarkEnd w:id="1443"/>
      <w:bookmarkEnd w:id="1444"/>
      <w:bookmarkEnd w:id="1445"/>
      <w:bookmarkEnd w:id="1446"/>
      <w:bookmarkEnd w:id="1447"/>
    </w:p>
    <w:p>
      <w:pPr>
        <w:adjustRightInd w:val="0"/>
        <w:snapToGrid w:val="0"/>
        <w:spacing w:line="360" w:lineRule="auto"/>
        <w:ind w:firstLine="421" w:firstLineChars="200"/>
        <w:rPr>
          <w:rFonts w:ascii="宋体" w:hAnsi="宋体" w:cs="宋体"/>
          <w:b/>
          <w:color w:val="auto"/>
          <w:szCs w:val="21"/>
          <w:highlight w:val="none"/>
        </w:rPr>
      </w:pPr>
      <w:bookmarkStart w:id="1448" w:name="_Toc98238971"/>
      <w:bookmarkStart w:id="1449" w:name="_Toc100123539"/>
      <w:bookmarkStart w:id="1450" w:name="_Toc123715514"/>
      <w:bookmarkStart w:id="1451" w:name="_Toc193188684"/>
      <w:bookmarkStart w:id="1452" w:name="_Toc231612768"/>
      <w:bookmarkStart w:id="1453" w:name="_Toc101155814"/>
      <w:bookmarkStart w:id="1454" w:name="_Toc101156017"/>
      <w:bookmarkStart w:id="1455" w:name="_Toc99792329"/>
      <w:bookmarkStart w:id="1456" w:name="_Toc98239435"/>
      <w:bookmarkStart w:id="1457" w:name="_Toc115511332"/>
      <w:r>
        <w:rPr>
          <w:rFonts w:hint="eastAsia" w:ascii="宋体" w:hAnsi="宋体" w:cs="宋体"/>
          <w:b/>
          <w:color w:val="auto"/>
          <w:szCs w:val="21"/>
          <w:highlight w:val="none"/>
        </w:rPr>
        <w:t>5、工程师</w:t>
      </w:r>
      <w:bookmarkEnd w:id="1448"/>
      <w:bookmarkEnd w:id="1449"/>
      <w:bookmarkEnd w:id="1450"/>
      <w:bookmarkEnd w:id="1451"/>
      <w:bookmarkEnd w:id="1452"/>
      <w:bookmarkEnd w:id="1453"/>
      <w:bookmarkEnd w:id="1454"/>
      <w:bookmarkEnd w:id="1455"/>
      <w:bookmarkEnd w:id="1456"/>
      <w:bookmarkEnd w:id="1457"/>
    </w:p>
    <w:p>
      <w:pPr>
        <w:adjustRightInd w:val="0"/>
        <w:snapToGrid w:val="0"/>
        <w:spacing w:line="360" w:lineRule="auto"/>
        <w:ind w:firstLine="420" w:firstLineChars="200"/>
        <w:rPr>
          <w:rFonts w:ascii="宋体" w:hAnsi="宋体" w:cs="宋体"/>
          <w:color w:val="auto"/>
          <w:szCs w:val="21"/>
          <w:highlight w:val="none"/>
        </w:rPr>
      </w:pPr>
      <w:bookmarkStart w:id="1458" w:name="_Toc231612961"/>
      <w:bookmarkStart w:id="1459" w:name="_Toc231613108"/>
      <w:bookmarkStart w:id="1460" w:name="_Toc231612769"/>
      <w:r>
        <w:rPr>
          <w:rFonts w:hint="eastAsia" w:ascii="宋体" w:hAnsi="宋体" w:cs="宋体"/>
          <w:color w:val="auto"/>
          <w:szCs w:val="21"/>
          <w:highlight w:val="none"/>
        </w:rPr>
        <w:t>5.1 监理单位委派的工程师</w:t>
      </w:r>
      <w:bookmarkEnd w:id="1458"/>
      <w:bookmarkEnd w:id="1459"/>
      <w:bookmarkEnd w:id="1460"/>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姓名：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职务：</w:t>
      </w:r>
      <w:r>
        <w:rPr>
          <w:rFonts w:hint="eastAsia" w:ascii="宋体" w:hAnsi="宋体" w:cs="宋体"/>
          <w:color w:val="auto"/>
          <w:szCs w:val="21"/>
          <w:highlight w:val="none"/>
          <w:u w:val="single"/>
        </w:rPr>
        <w:t>总监工程师</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发包人委托的职权：</w:t>
      </w:r>
      <w:r>
        <w:rPr>
          <w:rFonts w:hint="eastAsia" w:ascii="宋体" w:hAnsi="宋体" w:cs="宋体"/>
          <w:color w:val="auto"/>
          <w:szCs w:val="21"/>
          <w:highlight w:val="none"/>
          <w:u w:val="single"/>
        </w:rPr>
        <w:t>以发包人与监理公司签订的相关合同、协议为准。</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需要取得发包人批准才能行使的职权：</w:t>
      </w:r>
      <w:r>
        <w:rPr>
          <w:rFonts w:hint="eastAsia" w:ascii="宋体" w:hAnsi="宋体" w:cs="宋体"/>
          <w:color w:val="auto"/>
          <w:szCs w:val="21"/>
          <w:highlight w:val="none"/>
          <w:u w:val="single"/>
        </w:rPr>
        <w:t>以发包人与监理公司签订的相关合同、协议为准。</w:t>
      </w:r>
    </w:p>
    <w:p>
      <w:pPr>
        <w:snapToGrid w:val="0"/>
        <w:spacing w:line="360" w:lineRule="auto"/>
        <w:ind w:firstLine="420" w:firstLineChars="200"/>
        <w:rPr>
          <w:rFonts w:ascii="宋体" w:hAnsi="宋体" w:cs="宋体"/>
          <w:color w:val="auto"/>
          <w:szCs w:val="21"/>
          <w:highlight w:val="none"/>
        </w:rPr>
      </w:pPr>
      <w:bookmarkStart w:id="1461" w:name="_Toc231612962"/>
      <w:bookmarkStart w:id="1462" w:name="_Toc231612770"/>
      <w:bookmarkStart w:id="1463" w:name="_Toc231613109"/>
      <w:r>
        <w:rPr>
          <w:rFonts w:hint="eastAsia" w:ascii="宋体" w:hAnsi="宋体" w:cs="宋体"/>
          <w:color w:val="auto"/>
          <w:szCs w:val="21"/>
          <w:highlight w:val="none"/>
        </w:rPr>
        <w:t>5.3 发包人派驻的工程师</w:t>
      </w:r>
      <w:bookmarkEnd w:id="1461"/>
      <w:bookmarkEnd w:id="1462"/>
      <w:bookmarkEnd w:id="1463"/>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姓名：</w:t>
      </w:r>
      <w:r>
        <w:rPr>
          <w:rFonts w:hint="eastAsia" w:ascii="宋体" w:hAnsi="宋体" w:cs="宋体"/>
          <w:color w:val="auto"/>
          <w:szCs w:val="21"/>
          <w:highlight w:val="none"/>
          <w:u w:val="single"/>
        </w:rPr>
        <w:t>发包人另行确定。</w:t>
      </w:r>
      <w:r>
        <w:rPr>
          <w:rFonts w:hint="eastAsia" w:ascii="宋体" w:hAnsi="宋体" w:cs="宋体"/>
          <w:color w:val="auto"/>
          <w:szCs w:val="21"/>
          <w:highlight w:val="none"/>
        </w:rPr>
        <w:t xml:space="preserve">                           职务：</w:t>
      </w:r>
      <w:r>
        <w:rPr>
          <w:rFonts w:hint="eastAsia" w:ascii="宋体" w:hAnsi="宋体" w:cs="宋体"/>
          <w:color w:val="auto"/>
          <w:szCs w:val="21"/>
          <w:highlight w:val="none"/>
          <w:u w:val="single"/>
        </w:rPr>
        <w:t>驻地工程师</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职权：</w:t>
      </w:r>
      <w:r>
        <w:rPr>
          <w:rFonts w:hint="eastAsia" w:ascii="宋体" w:hAnsi="宋体" w:cs="宋体"/>
          <w:color w:val="auto"/>
          <w:szCs w:val="21"/>
          <w:highlight w:val="none"/>
          <w:u w:val="single"/>
        </w:rPr>
        <w:t>发包人另行确定。</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5.6 不实行监理的，工程师的职权：</w:t>
      </w:r>
      <w:r>
        <w:rPr>
          <w:rFonts w:hint="eastAsia" w:ascii="宋体" w:hAnsi="宋体" w:cs="宋体"/>
          <w:color w:val="auto"/>
          <w:szCs w:val="21"/>
          <w:highlight w:val="none"/>
          <w:u w:val="single"/>
        </w:rPr>
        <w:t>发包人另行确定。</w:t>
      </w:r>
    </w:p>
    <w:p>
      <w:pPr>
        <w:adjustRightInd w:val="0"/>
        <w:snapToGrid w:val="0"/>
        <w:spacing w:line="360" w:lineRule="auto"/>
        <w:ind w:firstLine="421" w:firstLineChars="200"/>
        <w:rPr>
          <w:rFonts w:ascii="宋体" w:hAnsi="宋体" w:cs="宋体"/>
          <w:b/>
          <w:color w:val="auto"/>
          <w:szCs w:val="21"/>
          <w:highlight w:val="none"/>
        </w:rPr>
      </w:pPr>
      <w:bookmarkStart w:id="1464" w:name="_Toc98238972"/>
      <w:bookmarkStart w:id="1465" w:name="_Toc98239436"/>
      <w:bookmarkStart w:id="1466" w:name="_Toc101156018"/>
      <w:bookmarkStart w:id="1467" w:name="_Toc231612771"/>
      <w:bookmarkStart w:id="1468" w:name="_Toc99792330"/>
      <w:bookmarkStart w:id="1469" w:name="_Toc193188685"/>
      <w:bookmarkStart w:id="1470" w:name="_Toc115511333"/>
      <w:bookmarkStart w:id="1471" w:name="_Toc123715515"/>
      <w:bookmarkStart w:id="1472" w:name="_Toc101155815"/>
      <w:bookmarkStart w:id="1473" w:name="_Toc100123540"/>
      <w:r>
        <w:rPr>
          <w:rFonts w:hint="eastAsia" w:ascii="宋体" w:hAnsi="宋体" w:cs="宋体"/>
          <w:b/>
          <w:color w:val="auto"/>
          <w:szCs w:val="21"/>
          <w:highlight w:val="none"/>
        </w:rPr>
        <w:t>7、项目经理</w:t>
      </w:r>
      <w:bookmarkEnd w:id="1464"/>
      <w:bookmarkEnd w:id="1465"/>
      <w:bookmarkEnd w:id="1466"/>
      <w:bookmarkEnd w:id="1467"/>
      <w:bookmarkEnd w:id="1468"/>
      <w:bookmarkEnd w:id="1469"/>
      <w:bookmarkEnd w:id="1470"/>
      <w:bookmarkEnd w:id="1471"/>
      <w:bookmarkEnd w:id="1472"/>
      <w:bookmarkEnd w:id="1473"/>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姓名：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职务：</w:t>
      </w:r>
      <w:r>
        <w:rPr>
          <w:rFonts w:hint="eastAsia" w:ascii="宋体" w:hAnsi="宋体" w:cs="宋体"/>
          <w:color w:val="auto"/>
          <w:szCs w:val="21"/>
          <w:highlight w:val="none"/>
          <w:u w:val="single"/>
        </w:rPr>
        <w:t xml:space="preserve"> 项目经理 </w:t>
      </w:r>
    </w:p>
    <w:p>
      <w:pPr>
        <w:adjustRightInd w:val="0"/>
        <w:snapToGrid w:val="0"/>
        <w:spacing w:line="360" w:lineRule="auto"/>
        <w:ind w:firstLine="421" w:firstLineChars="200"/>
        <w:rPr>
          <w:rFonts w:ascii="宋体" w:hAnsi="宋体" w:cs="宋体"/>
          <w:b/>
          <w:color w:val="auto"/>
          <w:szCs w:val="21"/>
          <w:highlight w:val="none"/>
        </w:rPr>
      </w:pPr>
      <w:bookmarkStart w:id="1474" w:name="_Toc98238973"/>
      <w:bookmarkStart w:id="1475" w:name="_Toc101155816"/>
      <w:bookmarkStart w:id="1476" w:name="_Toc193188686"/>
      <w:bookmarkStart w:id="1477" w:name="_Toc100123541"/>
      <w:bookmarkStart w:id="1478" w:name="_Toc115511334"/>
      <w:bookmarkStart w:id="1479" w:name="_Toc99792331"/>
      <w:bookmarkStart w:id="1480" w:name="_Toc231612772"/>
      <w:bookmarkStart w:id="1481" w:name="_Toc98239437"/>
      <w:bookmarkStart w:id="1482" w:name="_Toc123715516"/>
      <w:bookmarkStart w:id="1483" w:name="_Toc101156019"/>
      <w:r>
        <w:rPr>
          <w:rFonts w:hint="eastAsia" w:ascii="宋体" w:hAnsi="宋体" w:cs="宋体"/>
          <w:b/>
          <w:color w:val="auto"/>
          <w:szCs w:val="21"/>
          <w:highlight w:val="none"/>
        </w:rPr>
        <w:t>8、发包人工作</w:t>
      </w:r>
      <w:bookmarkEnd w:id="1474"/>
      <w:bookmarkEnd w:id="1475"/>
      <w:bookmarkEnd w:id="1476"/>
      <w:bookmarkEnd w:id="1477"/>
      <w:bookmarkEnd w:id="1478"/>
      <w:bookmarkEnd w:id="1479"/>
      <w:bookmarkEnd w:id="1480"/>
      <w:bookmarkEnd w:id="1481"/>
      <w:bookmarkEnd w:id="1482"/>
      <w:bookmarkEnd w:id="1483"/>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8.1 发包人应按约定的时间和要求完成以下工作：</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 施工场地具备施工条件的要求及完成的时间：</w:t>
      </w:r>
      <w:r>
        <w:rPr>
          <w:rFonts w:hint="eastAsia" w:ascii="宋体" w:hAnsi="宋体" w:cs="宋体"/>
          <w:color w:val="auto"/>
          <w:szCs w:val="21"/>
          <w:highlight w:val="none"/>
          <w:u w:val="single"/>
        </w:rPr>
        <w:t>开工前完成通用条款中约定的条件及要求。</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(2) 将施工所需的水、电线路接至施工场地的时间、地点和供应要求：</w:t>
      </w:r>
      <w:r>
        <w:rPr>
          <w:rFonts w:hint="eastAsia" w:ascii="宋体" w:hAnsi="宋体" w:cs="宋体"/>
          <w:color w:val="auto"/>
          <w:szCs w:val="21"/>
          <w:highlight w:val="none"/>
          <w:u w:val="single"/>
        </w:rPr>
        <w:t>从接口至施工现场的施工用水的管道及临时用电线路的铺设均由承包人按批准的施工方案实施，发包人承担由此发生的费用。</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(3) 施工场地与公共道路的通道开通时间和要求：</w:t>
      </w:r>
      <w:r>
        <w:rPr>
          <w:rFonts w:hint="eastAsia" w:ascii="宋体" w:hAnsi="宋体" w:cs="宋体"/>
          <w:color w:val="auto"/>
          <w:szCs w:val="21"/>
          <w:highlight w:val="none"/>
          <w:u w:val="single"/>
        </w:rPr>
        <w:t>由承包人按批准的施工方案实施，发包人承担由此发生的费用。</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(4) 工程地质和地下管线资料的提供时间：</w:t>
      </w:r>
      <w:r>
        <w:rPr>
          <w:rFonts w:hint="eastAsia" w:ascii="宋体" w:hAnsi="宋体" w:cs="宋体"/>
          <w:color w:val="auto"/>
          <w:szCs w:val="21"/>
          <w:highlight w:val="none"/>
          <w:u w:val="single"/>
        </w:rPr>
        <w:t>与招标文件同时发放</w:t>
      </w:r>
      <w:r>
        <w:rPr>
          <w:rFonts w:hint="eastAsia" w:ascii="宋体" w:hAnsi="宋体" w:cs="宋体"/>
          <w:color w:val="auto"/>
          <w:szCs w:val="21"/>
          <w:highlight w:val="none"/>
        </w:rPr>
        <w:t>。</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(5) 由发包人办理的施工所需证件、批件的名称和完成时间：</w:t>
      </w:r>
      <w:r>
        <w:rPr>
          <w:rFonts w:hint="eastAsia" w:ascii="宋体" w:hAnsi="宋体" w:cs="宋体"/>
          <w:color w:val="auto"/>
          <w:szCs w:val="21"/>
          <w:highlight w:val="none"/>
          <w:u w:val="single"/>
        </w:rPr>
        <w:t>开工前由发包人向承包人提供。</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(6) 水准点与座标控制点交验要求：</w:t>
      </w:r>
      <w:r>
        <w:rPr>
          <w:rFonts w:hint="eastAsia" w:ascii="宋体" w:hAnsi="宋体" w:cs="宋体"/>
          <w:color w:val="auto"/>
          <w:szCs w:val="21"/>
          <w:highlight w:val="none"/>
          <w:u w:val="single"/>
        </w:rPr>
        <w:t>工程开工前由发包人和监理工程师以书面形式提供给承包人，并组织现场校验。</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(7) 图纸会审和设计交底时间：</w:t>
      </w:r>
      <w:r>
        <w:rPr>
          <w:rFonts w:hint="eastAsia" w:ascii="宋体" w:hAnsi="宋体" w:cs="宋体"/>
          <w:color w:val="auto"/>
          <w:szCs w:val="21"/>
          <w:highlight w:val="none"/>
          <w:u w:val="single"/>
        </w:rPr>
        <w:t>在工程开工前由发包人组织承包人、监理单位和设计单位进行图纸会审并向承包人进行设计交底。</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(8)  协调处理施工场地周围地下管线和邻近建筑物、构筑物（含文物保护建筑）、古树名木的保护工作：</w:t>
      </w:r>
      <w:r>
        <w:rPr>
          <w:rFonts w:hint="eastAsia" w:ascii="宋体" w:hAnsi="宋体" w:cs="宋体"/>
          <w:color w:val="auto"/>
          <w:szCs w:val="21"/>
          <w:highlight w:val="none"/>
          <w:u w:val="single"/>
        </w:rPr>
        <w:t>由承包人按批准的防护方案实施，发包人承担由此发生的费用。</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 双方约定发包人应做的其他工作：</w:t>
      </w:r>
      <w:r>
        <w:rPr>
          <w:rFonts w:hint="eastAsia" w:ascii="宋体" w:hAnsi="宋体" w:cs="宋体"/>
          <w:color w:val="auto"/>
          <w:szCs w:val="21"/>
          <w:highlight w:val="none"/>
          <w:u w:val="single"/>
        </w:rPr>
        <w:t xml:space="preserve">协助处理周边关系及环保的有关事宜。 </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8.2 发包人委托承包人办理的工作：</w:t>
      </w:r>
      <w:r>
        <w:rPr>
          <w:rFonts w:hint="eastAsia" w:ascii="宋体" w:hAnsi="宋体" w:cs="宋体"/>
          <w:color w:val="auto"/>
          <w:szCs w:val="21"/>
          <w:highlight w:val="none"/>
          <w:u w:val="single"/>
        </w:rPr>
        <w:t xml:space="preserve">   另议   </w:t>
      </w:r>
    </w:p>
    <w:p>
      <w:pPr>
        <w:adjustRightInd w:val="0"/>
        <w:snapToGrid w:val="0"/>
        <w:spacing w:line="360" w:lineRule="auto"/>
        <w:ind w:firstLine="421" w:firstLineChars="200"/>
        <w:rPr>
          <w:rFonts w:ascii="宋体" w:hAnsi="宋体" w:cs="宋体"/>
          <w:b/>
          <w:color w:val="auto"/>
          <w:szCs w:val="21"/>
          <w:highlight w:val="none"/>
        </w:rPr>
      </w:pPr>
      <w:bookmarkStart w:id="1484" w:name="_Toc101155817"/>
      <w:bookmarkStart w:id="1485" w:name="_Toc98239438"/>
      <w:bookmarkStart w:id="1486" w:name="_Toc193188687"/>
      <w:bookmarkStart w:id="1487" w:name="_Toc99792332"/>
      <w:bookmarkStart w:id="1488" w:name="_Toc100123542"/>
      <w:bookmarkStart w:id="1489" w:name="_Toc231612773"/>
      <w:bookmarkStart w:id="1490" w:name="_Toc115511335"/>
      <w:bookmarkStart w:id="1491" w:name="_Toc101156020"/>
      <w:bookmarkStart w:id="1492" w:name="_Toc98238974"/>
      <w:bookmarkStart w:id="1493" w:name="_Toc123715517"/>
      <w:r>
        <w:rPr>
          <w:rFonts w:hint="eastAsia" w:ascii="宋体" w:hAnsi="宋体" w:cs="宋体"/>
          <w:b/>
          <w:color w:val="auto"/>
          <w:szCs w:val="21"/>
          <w:highlight w:val="none"/>
        </w:rPr>
        <w:t>9、承包人工作</w:t>
      </w:r>
      <w:bookmarkEnd w:id="1484"/>
      <w:bookmarkEnd w:id="1485"/>
      <w:bookmarkEnd w:id="1486"/>
      <w:bookmarkEnd w:id="1487"/>
      <w:bookmarkEnd w:id="1488"/>
      <w:bookmarkEnd w:id="1489"/>
      <w:bookmarkEnd w:id="1490"/>
      <w:bookmarkEnd w:id="1491"/>
      <w:bookmarkEnd w:id="1492"/>
      <w:bookmarkEnd w:id="1493"/>
    </w:p>
    <w:p>
      <w:pPr>
        <w:adjustRightInd w:val="0"/>
        <w:snapToGrid w:val="0"/>
        <w:spacing w:line="360" w:lineRule="auto"/>
        <w:ind w:firstLine="420" w:firstLineChars="200"/>
        <w:rPr>
          <w:rFonts w:ascii="宋体" w:hAnsi="宋体" w:cs="宋体"/>
          <w:color w:val="auto"/>
          <w:szCs w:val="21"/>
          <w:highlight w:val="none"/>
        </w:rPr>
      </w:pPr>
      <w:bookmarkStart w:id="1494" w:name="_Toc231613110"/>
      <w:bookmarkStart w:id="1495" w:name="_Toc231612963"/>
      <w:bookmarkStart w:id="1496" w:name="_Toc231612774"/>
      <w:bookmarkStart w:id="1497" w:name="_Toc123715518"/>
      <w:r>
        <w:rPr>
          <w:rFonts w:hint="eastAsia" w:ascii="宋体" w:hAnsi="宋体" w:cs="宋体"/>
          <w:color w:val="auto"/>
          <w:szCs w:val="21"/>
          <w:highlight w:val="none"/>
        </w:rPr>
        <w:t>9.1承包人应按约定的时间和要求完成以下工作：</w:t>
      </w:r>
      <w:bookmarkEnd w:id="1494"/>
      <w:bookmarkEnd w:id="1495"/>
      <w:bookmarkEnd w:id="1496"/>
      <w:bookmarkEnd w:id="1497"/>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 需由设计资质等级和业务范围允许的承包人完成的设计文件提交时间：无。</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 应提供计划、报表的名称及完成时间：按发包方要求。</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 承担施工安全保卫工作及非夜间施工照明的责任和要求：由承包人按甲方或监理工程师的要求承担全部此类责任并承担与此相关的费用。</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 向发包人和工程师提供的办公和生活房屋及设施的要求：</w:t>
      </w:r>
      <w:r>
        <w:rPr>
          <w:rFonts w:hint="eastAsia" w:ascii="宋体" w:hAnsi="宋体" w:cs="宋体"/>
          <w:color w:val="auto"/>
          <w:szCs w:val="21"/>
          <w:highlight w:val="none"/>
          <w:u w:val="single"/>
        </w:rPr>
        <w:t xml:space="preserve">            。</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(5) 需承包人办理的有关施工场地交通、环卫和施工噪声管理等手续：</w:t>
      </w:r>
      <w:r>
        <w:rPr>
          <w:rFonts w:hint="eastAsia" w:ascii="宋体" w:hAnsi="宋体" w:cs="宋体"/>
          <w:color w:val="auto"/>
          <w:szCs w:val="21"/>
          <w:highlight w:val="none"/>
          <w:u w:val="single"/>
        </w:rPr>
        <w:t>由承包人按行政主管部门的相关规定以及发包人和监理工程师的要求办理并承担与此相关的全部费用。</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(6) 已完工程成品保护的特殊要求及费用承担：</w:t>
      </w:r>
      <w:r>
        <w:rPr>
          <w:rFonts w:hint="eastAsia" w:ascii="宋体" w:hAnsi="宋体" w:cs="宋体"/>
          <w:color w:val="auto"/>
          <w:szCs w:val="21"/>
          <w:highlight w:val="none"/>
          <w:u w:val="single"/>
        </w:rPr>
        <w:t>工程竣工验收并正式移交前的所有成品保护工作由承包人按照监理工程师的要求承担全部成品保护工作及费用。</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 施工场地周围地下管线和邻近建筑物、构筑物（含文物保护建筑）、古树名木的保护要求及费用承担</w:t>
      </w:r>
      <w:r>
        <w:rPr>
          <w:rFonts w:hint="eastAsia" w:ascii="宋体" w:hAnsi="宋体" w:cs="宋体"/>
          <w:color w:val="auto"/>
          <w:szCs w:val="21"/>
          <w:highlight w:val="none"/>
          <w:u w:val="single"/>
        </w:rPr>
        <w:t>：由承包人按批准的防护方案实施，发包人承担由此发生的费用。</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 施工场地清洁卫生的要求：</w:t>
      </w:r>
      <w:r>
        <w:rPr>
          <w:rFonts w:hint="eastAsia" w:ascii="宋体" w:hAnsi="宋体" w:cs="宋体"/>
          <w:color w:val="auto"/>
          <w:szCs w:val="21"/>
          <w:highlight w:val="none"/>
          <w:u w:val="single"/>
        </w:rPr>
        <w:t>由承包人按行政主管部门的相关规定以及发包人和监理工程师的要求办理并承担全部与此相关的费用。</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 xml:space="preserve"> (9) 双方约定承包人应做的其他工作：</w:t>
      </w:r>
      <w:r>
        <w:rPr>
          <w:rFonts w:hint="eastAsia" w:ascii="宋体" w:hAnsi="宋体" w:cs="宋体"/>
          <w:color w:val="auto"/>
          <w:szCs w:val="21"/>
          <w:highlight w:val="none"/>
          <w:u w:val="single"/>
        </w:rPr>
        <w:t>在施工过程中发生的所有问题，包括但不限于扰民、民扰、安全、消防、保卫、交通、环保、周边关系等工作全部由承包人负责并承担与之相关的一切费用。</w:t>
      </w:r>
    </w:p>
    <w:p>
      <w:pPr>
        <w:adjustRightInd w:val="0"/>
        <w:snapToGrid w:val="0"/>
        <w:spacing w:line="360" w:lineRule="auto"/>
        <w:rPr>
          <w:rFonts w:ascii="方正黑体_GBK" w:hAnsi="宋体" w:eastAsia="方正黑体_GBK" w:cs="宋体"/>
          <w:b/>
          <w:bCs/>
          <w:color w:val="auto"/>
          <w:szCs w:val="21"/>
          <w:highlight w:val="none"/>
        </w:rPr>
      </w:pPr>
      <w:bookmarkStart w:id="1498" w:name="_Toc98238975"/>
      <w:bookmarkStart w:id="1499" w:name="_Toc115511336"/>
      <w:bookmarkStart w:id="1500" w:name="_Toc101155818"/>
      <w:bookmarkStart w:id="1501" w:name="_Toc99792333"/>
      <w:bookmarkStart w:id="1502" w:name="_Toc231612775"/>
      <w:bookmarkStart w:id="1503" w:name="_Toc98239439"/>
      <w:bookmarkStart w:id="1504" w:name="_Toc193188688"/>
      <w:bookmarkStart w:id="1505" w:name="_Toc100123543"/>
      <w:bookmarkStart w:id="1506" w:name="_Toc101156021"/>
      <w:bookmarkStart w:id="1507" w:name="_Toc123715519"/>
      <w:r>
        <w:rPr>
          <w:rFonts w:hint="eastAsia" w:ascii="方正黑体_GBK" w:hAnsi="宋体" w:eastAsia="方正黑体_GBK" w:cs="宋体"/>
          <w:b/>
          <w:bCs/>
          <w:color w:val="auto"/>
          <w:szCs w:val="21"/>
          <w:highlight w:val="none"/>
        </w:rPr>
        <w:t>三、施工组织设计和工期</w:t>
      </w:r>
      <w:bookmarkEnd w:id="1498"/>
      <w:bookmarkEnd w:id="1499"/>
      <w:bookmarkEnd w:id="1500"/>
      <w:bookmarkEnd w:id="1501"/>
      <w:bookmarkEnd w:id="1502"/>
      <w:bookmarkEnd w:id="1503"/>
      <w:bookmarkEnd w:id="1504"/>
      <w:bookmarkEnd w:id="1505"/>
      <w:bookmarkEnd w:id="1506"/>
      <w:bookmarkEnd w:id="1507"/>
    </w:p>
    <w:p>
      <w:pPr>
        <w:adjustRightInd w:val="0"/>
        <w:snapToGrid w:val="0"/>
        <w:spacing w:line="360" w:lineRule="auto"/>
        <w:ind w:firstLine="421" w:firstLineChars="200"/>
        <w:rPr>
          <w:rFonts w:ascii="宋体" w:hAnsi="宋体" w:cs="宋体"/>
          <w:b/>
          <w:color w:val="auto"/>
          <w:szCs w:val="21"/>
          <w:highlight w:val="none"/>
        </w:rPr>
      </w:pPr>
      <w:bookmarkStart w:id="1508" w:name="_Toc101156022"/>
      <w:bookmarkStart w:id="1509" w:name="_Toc98238976"/>
      <w:bookmarkStart w:id="1510" w:name="_Toc123715520"/>
      <w:bookmarkStart w:id="1511" w:name="_Toc231612776"/>
      <w:bookmarkStart w:id="1512" w:name="_Toc101155819"/>
      <w:bookmarkStart w:id="1513" w:name="_Toc99792334"/>
      <w:bookmarkStart w:id="1514" w:name="_Toc193188689"/>
      <w:bookmarkStart w:id="1515" w:name="_Toc100123544"/>
      <w:bookmarkStart w:id="1516" w:name="_Toc115511337"/>
      <w:bookmarkStart w:id="1517" w:name="_Toc98239440"/>
      <w:r>
        <w:rPr>
          <w:rFonts w:hint="eastAsia" w:ascii="宋体" w:hAnsi="宋体" w:cs="宋体"/>
          <w:b/>
          <w:color w:val="auto"/>
          <w:szCs w:val="21"/>
          <w:highlight w:val="none"/>
        </w:rPr>
        <w:t>10、进度计划</w:t>
      </w:r>
      <w:bookmarkEnd w:id="1508"/>
      <w:bookmarkEnd w:id="1509"/>
      <w:bookmarkEnd w:id="1510"/>
      <w:bookmarkEnd w:id="1511"/>
      <w:bookmarkEnd w:id="1512"/>
      <w:bookmarkEnd w:id="1513"/>
      <w:bookmarkEnd w:id="1514"/>
      <w:bookmarkEnd w:id="1515"/>
      <w:bookmarkEnd w:id="1516"/>
      <w:bookmarkEnd w:id="1517"/>
    </w:p>
    <w:p>
      <w:pPr>
        <w:snapToGrid w:val="0"/>
        <w:spacing w:line="360" w:lineRule="auto"/>
        <w:ind w:firstLine="420" w:firstLineChars="200"/>
        <w:rPr>
          <w:rFonts w:ascii="宋体" w:hAnsi="宋体" w:cs="宋体"/>
          <w:color w:val="auto"/>
          <w:szCs w:val="21"/>
          <w:highlight w:val="none"/>
          <w:u w:val="single"/>
        </w:rPr>
      </w:pPr>
      <w:bookmarkStart w:id="1518" w:name="_Toc231612964"/>
      <w:bookmarkStart w:id="1519" w:name="_Toc231612777"/>
      <w:bookmarkStart w:id="1520" w:name="_Toc231613111"/>
      <w:r>
        <w:rPr>
          <w:rFonts w:hint="eastAsia" w:ascii="宋体" w:hAnsi="宋体" w:cs="宋体"/>
          <w:color w:val="auto"/>
          <w:szCs w:val="21"/>
          <w:highlight w:val="none"/>
        </w:rPr>
        <w:t>10.1 承包人提供施工组织设计（施工方案）和进度计划的时间：</w:t>
      </w:r>
      <w:r>
        <w:rPr>
          <w:rFonts w:hint="eastAsia" w:ascii="宋体" w:hAnsi="宋体" w:cs="宋体"/>
          <w:color w:val="auto"/>
          <w:szCs w:val="21"/>
          <w:highlight w:val="none"/>
          <w:u w:val="single"/>
        </w:rPr>
        <w:t>承包人应在收到全部施工图纸、技术资料和发包人组织的设计交底后7日内提供。</w:t>
      </w:r>
      <w:bookmarkEnd w:id="1518"/>
      <w:bookmarkEnd w:id="1519"/>
      <w:bookmarkEnd w:id="1520"/>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 xml:space="preserve">工程师确认的时间： </w:t>
      </w:r>
      <w:r>
        <w:rPr>
          <w:rFonts w:hint="eastAsia" w:ascii="宋体" w:hAnsi="宋体" w:cs="宋体"/>
          <w:color w:val="auto"/>
          <w:szCs w:val="21"/>
          <w:highlight w:val="none"/>
          <w:u w:val="single"/>
        </w:rPr>
        <w:t>收到承包人提供的施工组织设计（施工方案）和进度计划7日内确认。</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10.2 群体工程中有关进度计划的要求：</w:t>
      </w:r>
      <w:r>
        <w:rPr>
          <w:rFonts w:hint="eastAsia" w:ascii="宋体" w:hAnsi="宋体" w:cs="宋体"/>
          <w:color w:val="auto"/>
          <w:szCs w:val="21"/>
          <w:highlight w:val="none"/>
          <w:u w:val="single"/>
        </w:rPr>
        <w:t>群体工程中的单位工程进度应在总进度控制之下，按单位工程进度计划进行控制。</w:t>
      </w:r>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另在本条内补充下款：</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10.4</w:t>
      </w:r>
      <w:r>
        <w:rPr>
          <w:rFonts w:hint="eastAsia" w:ascii="宋体" w:hAnsi="宋体" w:cs="宋体"/>
          <w:color w:val="auto"/>
          <w:szCs w:val="21"/>
          <w:highlight w:val="none"/>
        </w:rPr>
        <w:t>本条所述的施工组织设计和进度计划不应对随投标文件提交的施工组织设计、进度计划做实质性变动，而是对其的进一步细化。在施工过程中，工程师有权要求承包人随时提交工程师认为必要的关于施工组织设计和进度计划的任何说明或文件，对此类指示，承包人应遵照执行。</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承包人应按照经工程师批准的上述施工组织设计和进度计划进行施工。但在任何情况下，工程师对上述施工组织设计、进度计划的批准不应解除承包人对其应负的责任。</w:t>
      </w:r>
    </w:p>
    <w:p>
      <w:pPr>
        <w:adjustRightInd w:val="0"/>
        <w:snapToGrid w:val="0"/>
        <w:spacing w:line="360" w:lineRule="auto"/>
        <w:ind w:firstLine="421" w:firstLineChars="200"/>
        <w:rPr>
          <w:rFonts w:ascii="宋体" w:hAnsi="宋体" w:cs="宋体"/>
          <w:b/>
          <w:color w:val="auto"/>
          <w:szCs w:val="21"/>
          <w:highlight w:val="none"/>
        </w:rPr>
      </w:pPr>
      <w:bookmarkStart w:id="1521" w:name="_Toc123715521"/>
      <w:bookmarkStart w:id="1522" w:name="_Toc231612778"/>
      <w:bookmarkStart w:id="1523" w:name="_Toc193188690"/>
      <w:r>
        <w:rPr>
          <w:rFonts w:hint="eastAsia" w:ascii="宋体" w:hAnsi="宋体" w:cs="宋体"/>
          <w:b/>
          <w:color w:val="auto"/>
          <w:szCs w:val="21"/>
          <w:highlight w:val="none"/>
        </w:rPr>
        <w:t>12、暂停施工</w:t>
      </w:r>
      <w:bookmarkEnd w:id="1521"/>
      <w:bookmarkEnd w:id="1522"/>
      <w:bookmarkEnd w:id="1523"/>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在本条内补充以下各款：</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12.2</w:t>
      </w:r>
      <w:r>
        <w:rPr>
          <w:rFonts w:hint="eastAsia" w:ascii="宋体" w:hAnsi="宋体" w:cs="宋体"/>
          <w:color w:val="auto"/>
          <w:szCs w:val="21"/>
          <w:highlight w:val="none"/>
        </w:rPr>
        <w:t>如果在工程师依据第12.1款发出部分或全部工程暂停指令之前，承包人已经订购有关工程设备或材料，并且工程暂停已经超过 28 天，则承包人有权获得该未被运到现场的工程设备或材料的支付。但以下列条件为前提：</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（1）承包人根据工程师的指示已将该工程设备或材料标记为发包人的财产；</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（2）暂时停工不是由于承包人原因造成的。如果承包人要求，发包人应随后接管该工程设备或材料的保护、照管、保障及保险的责任。</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12.3</w:t>
      </w:r>
      <w:r>
        <w:rPr>
          <w:rFonts w:hint="eastAsia" w:ascii="宋体" w:hAnsi="宋体" w:cs="宋体"/>
          <w:color w:val="auto"/>
          <w:szCs w:val="21"/>
          <w:highlight w:val="none"/>
        </w:rPr>
        <w:t>如果第12.1款所述的暂停已持续56天以上，且此暂停不是由于承包人的原因引起的，则承包人可通知工程师，要求工程师自接到该通知后28天内同意己中断的工程或其部分继续施工；若在上述时间内未得到许可，承包人可以做如下选择：</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当暂时停工仅影响工程的局部时，承包人可以将此暂停所影响的工程内容视为删除工作；当此类暂停影响到整个工程，承包人可以将此暂停视为发包人违约，并根据第44.2款解除合同，此时应执行第 44 条的约定。</w:t>
      </w:r>
    </w:p>
    <w:p>
      <w:pPr>
        <w:adjustRightInd w:val="0"/>
        <w:snapToGrid w:val="0"/>
        <w:spacing w:line="360" w:lineRule="auto"/>
        <w:ind w:firstLine="421" w:firstLineChars="200"/>
        <w:rPr>
          <w:rFonts w:ascii="宋体" w:hAnsi="宋体" w:cs="宋体"/>
          <w:b/>
          <w:color w:val="auto"/>
          <w:szCs w:val="21"/>
          <w:highlight w:val="none"/>
        </w:rPr>
      </w:pPr>
      <w:bookmarkStart w:id="1524" w:name="_Toc101155820"/>
      <w:bookmarkStart w:id="1525" w:name="_Toc99792335"/>
      <w:bookmarkStart w:id="1526" w:name="_Toc123715522"/>
      <w:bookmarkStart w:id="1527" w:name="_Toc98238977"/>
      <w:bookmarkStart w:id="1528" w:name="_Toc98239441"/>
      <w:bookmarkStart w:id="1529" w:name="_Toc100123545"/>
      <w:bookmarkStart w:id="1530" w:name="_Toc115511338"/>
      <w:bookmarkStart w:id="1531" w:name="_Toc101156023"/>
      <w:bookmarkStart w:id="1532" w:name="_Toc193188691"/>
      <w:bookmarkStart w:id="1533" w:name="_Toc231612779"/>
      <w:r>
        <w:rPr>
          <w:rFonts w:hint="eastAsia" w:ascii="宋体" w:hAnsi="宋体" w:cs="宋体"/>
          <w:b/>
          <w:color w:val="auto"/>
          <w:szCs w:val="21"/>
          <w:highlight w:val="none"/>
        </w:rPr>
        <w:t>13、工期延误</w:t>
      </w:r>
      <w:bookmarkEnd w:id="1524"/>
      <w:bookmarkEnd w:id="1525"/>
      <w:bookmarkEnd w:id="1526"/>
      <w:bookmarkEnd w:id="1527"/>
      <w:bookmarkEnd w:id="1528"/>
      <w:bookmarkEnd w:id="1529"/>
      <w:bookmarkEnd w:id="1530"/>
      <w:bookmarkEnd w:id="1531"/>
      <w:bookmarkEnd w:id="1532"/>
      <w:bookmarkEnd w:id="1533"/>
    </w:p>
    <w:p>
      <w:pPr>
        <w:adjustRightInd w:val="0"/>
        <w:snapToGrid w:val="0"/>
        <w:spacing w:line="360" w:lineRule="auto"/>
        <w:ind w:firstLine="420" w:firstLineChars="200"/>
        <w:rPr>
          <w:rFonts w:ascii="宋体" w:hAnsi="宋体" w:cs="宋体"/>
          <w:color w:val="auto"/>
          <w:szCs w:val="21"/>
          <w:highlight w:val="none"/>
        </w:rPr>
      </w:pPr>
      <w:bookmarkStart w:id="1534" w:name="_Toc123715523"/>
      <w:r>
        <w:rPr>
          <w:rFonts w:hint="eastAsia" w:ascii="宋体" w:hAnsi="宋体" w:cs="宋体"/>
          <w:color w:val="auto"/>
          <w:szCs w:val="21"/>
          <w:highlight w:val="none"/>
        </w:rPr>
        <w:t>13.1 双方约定工期顺延的其他情况：</w:t>
      </w:r>
      <w:r>
        <w:rPr>
          <w:rFonts w:hint="eastAsia" w:ascii="宋体" w:hAnsi="宋体" w:cs="宋体"/>
          <w:color w:val="auto"/>
          <w:szCs w:val="21"/>
          <w:highlight w:val="none"/>
          <w:u w:val="single"/>
        </w:rPr>
        <w:t xml:space="preserve">  无</w:t>
      </w:r>
      <w:r>
        <w:rPr>
          <w:rFonts w:hint="eastAsia" w:ascii="宋体" w:hAnsi="宋体" w:cs="宋体"/>
          <w:color w:val="auto"/>
          <w:szCs w:val="21"/>
          <w:highlight w:val="none"/>
        </w:rPr>
        <w:t>。</w:t>
      </w:r>
      <w:bookmarkEnd w:id="1534"/>
      <w:r>
        <w:rPr>
          <w:rFonts w:hint="eastAsia" w:ascii="宋体" w:hAnsi="宋体" w:cs="宋体"/>
          <w:color w:val="auto"/>
          <w:szCs w:val="21"/>
          <w:highlight w:val="none"/>
        </w:rPr>
        <w:t xml:space="preserve">  </w:t>
      </w:r>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另在本条内补充下款：</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13.1.1</w:t>
      </w:r>
      <w:r>
        <w:rPr>
          <w:rFonts w:hint="eastAsia" w:ascii="宋体" w:hAnsi="宋体" w:cs="宋体"/>
          <w:color w:val="auto"/>
          <w:szCs w:val="21"/>
          <w:highlight w:val="none"/>
        </w:rPr>
        <w:t xml:space="preserve"> 如果承包人已努力遵守了政府及有关管理机构制定的程序和规定，但因为第三方（且按照合同约定不应由承包人代其承担责任）原因延误、干扰或阻碍承包人正常履行合同，且这种延误、干扰或阻碍 对工程造成的延误是在事前无法合理预见的，则承包人应就此通知工程师，工程师在收到此类通知并于承包人适当协商之后应决定；</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（1）依据实际延误情况延长工期；</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（2）根据现场实际情况，因工期顺延，不得增加任何费用。</w:t>
      </w:r>
    </w:p>
    <w:p>
      <w:pPr>
        <w:adjustRightInd w:val="0"/>
        <w:snapToGrid w:val="0"/>
        <w:spacing w:line="360" w:lineRule="auto"/>
        <w:rPr>
          <w:rFonts w:ascii="方正黑体_GBK" w:hAnsi="宋体" w:eastAsia="方正黑体_GBK" w:cs="宋体"/>
          <w:b/>
          <w:bCs/>
          <w:color w:val="auto"/>
          <w:szCs w:val="21"/>
          <w:highlight w:val="none"/>
        </w:rPr>
      </w:pPr>
      <w:bookmarkStart w:id="1535" w:name="_Toc98239442"/>
      <w:bookmarkStart w:id="1536" w:name="_Toc193188692"/>
      <w:bookmarkStart w:id="1537" w:name="_Toc98238978"/>
      <w:bookmarkStart w:id="1538" w:name="_Toc101155821"/>
      <w:bookmarkStart w:id="1539" w:name="_Toc123715524"/>
      <w:bookmarkStart w:id="1540" w:name="_Toc101156024"/>
      <w:bookmarkStart w:id="1541" w:name="_Toc99792336"/>
      <w:bookmarkStart w:id="1542" w:name="_Toc115511339"/>
      <w:bookmarkStart w:id="1543" w:name="_Toc231612780"/>
      <w:bookmarkStart w:id="1544" w:name="_Toc100123546"/>
      <w:r>
        <w:rPr>
          <w:rFonts w:hint="eastAsia" w:ascii="方正黑体_GBK" w:hAnsi="宋体" w:eastAsia="方正黑体_GBK" w:cs="宋体"/>
          <w:b/>
          <w:bCs/>
          <w:color w:val="auto"/>
          <w:szCs w:val="21"/>
          <w:highlight w:val="none"/>
        </w:rPr>
        <w:t>四、质量与</w:t>
      </w:r>
      <w:bookmarkEnd w:id="1535"/>
      <w:bookmarkEnd w:id="1536"/>
      <w:bookmarkEnd w:id="1537"/>
      <w:bookmarkEnd w:id="1538"/>
      <w:bookmarkEnd w:id="1539"/>
      <w:bookmarkEnd w:id="1540"/>
      <w:bookmarkEnd w:id="1541"/>
      <w:bookmarkEnd w:id="1542"/>
      <w:bookmarkEnd w:id="1543"/>
      <w:bookmarkEnd w:id="1544"/>
      <w:r>
        <w:rPr>
          <w:rFonts w:hint="eastAsia" w:ascii="方正黑体_GBK" w:hAnsi="宋体" w:eastAsia="方正黑体_GBK" w:cs="宋体"/>
          <w:b/>
          <w:bCs/>
          <w:color w:val="auto"/>
          <w:szCs w:val="21"/>
          <w:highlight w:val="none"/>
        </w:rPr>
        <w:t>检验</w:t>
      </w:r>
    </w:p>
    <w:p>
      <w:pPr>
        <w:adjustRightInd w:val="0"/>
        <w:snapToGrid w:val="0"/>
        <w:spacing w:line="360" w:lineRule="auto"/>
        <w:ind w:firstLine="421" w:firstLineChars="200"/>
        <w:rPr>
          <w:rFonts w:ascii="宋体" w:hAnsi="宋体" w:cs="宋体"/>
          <w:b/>
          <w:color w:val="auto"/>
          <w:szCs w:val="21"/>
          <w:highlight w:val="none"/>
        </w:rPr>
      </w:pPr>
      <w:bookmarkStart w:id="1545" w:name="_Toc193188693"/>
      <w:bookmarkStart w:id="1546" w:name="_Toc231612781"/>
      <w:bookmarkStart w:id="1547" w:name="_Toc123715525"/>
      <w:bookmarkStart w:id="1548" w:name="_Toc101156025"/>
      <w:bookmarkStart w:id="1549" w:name="_Toc100123547"/>
      <w:bookmarkStart w:id="1550" w:name="_Toc98238979"/>
      <w:bookmarkStart w:id="1551" w:name="_Toc115511340"/>
      <w:bookmarkStart w:id="1552" w:name="_Toc98239443"/>
      <w:bookmarkStart w:id="1553" w:name="_Toc101155822"/>
      <w:bookmarkStart w:id="1554" w:name="_Toc99792337"/>
      <w:r>
        <w:rPr>
          <w:rFonts w:hint="eastAsia" w:ascii="宋体" w:hAnsi="宋体" w:cs="宋体"/>
          <w:b/>
          <w:color w:val="auto"/>
          <w:szCs w:val="21"/>
          <w:highlight w:val="none"/>
        </w:rPr>
        <w:t>15、工程质量</w:t>
      </w:r>
      <w:bookmarkEnd w:id="1545"/>
      <w:bookmarkEnd w:id="1546"/>
      <w:bookmarkEnd w:id="1547"/>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另在本条内补充下款：</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 xml:space="preserve">15.3 </w:t>
      </w:r>
      <w:r>
        <w:rPr>
          <w:rFonts w:hint="eastAsia" w:ascii="宋体" w:hAnsi="宋体" w:cs="宋体"/>
          <w:color w:val="auto"/>
          <w:szCs w:val="21"/>
          <w:highlight w:val="none"/>
        </w:rPr>
        <w:t>不仅限于合同文件中“标准、规范及有关技术文件”部分构成合同的任何合同文件中的相关约定或描述，只要适用均应理解为是对工程质量标准的定义。承包人应按照合同中约定的标准和方法进行工程的实施、竣工和修补缺陷。</w:t>
      </w:r>
    </w:p>
    <w:p>
      <w:pPr>
        <w:adjustRightInd w:val="0"/>
        <w:snapToGrid w:val="0"/>
        <w:spacing w:line="360" w:lineRule="auto"/>
        <w:ind w:firstLine="421" w:firstLineChars="200"/>
        <w:rPr>
          <w:rFonts w:ascii="宋体" w:hAnsi="宋体" w:cs="宋体"/>
          <w:b/>
          <w:color w:val="auto"/>
          <w:szCs w:val="21"/>
          <w:highlight w:val="none"/>
        </w:rPr>
      </w:pPr>
      <w:bookmarkStart w:id="1555" w:name="_Toc123715526"/>
      <w:bookmarkStart w:id="1556" w:name="_Toc193188694"/>
      <w:bookmarkStart w:id="1557" w:name="_Toc231612782"/>
      <w:r>
        <w:rPr>
          <w:rFonts w:hint="eastAsia" w:ascii="宋体" w:hAnsi="宋体" w:cs="宋体"/>
          <w:b/>
          <w:color w:val="auto"/>
          <w:szCs w:val="21"/>
          <w:highlight w:val="none"/>
        </w:rPr>
        <w:t>17、隐蔽工程和中间验收</w:t>
      </w:r>
      <w:bookmarkEnd w:id="1548"/>
      <w:bookmarkEnd w:id="1549"/>
      <w:bookmarkEnd w:id="1550"/>
      <w:bookmarkEnd w:id="1551"/>
      <w:bookmarkEnd w:id="1552"/>
      <w:bookmarkEnd w:id="1553"/>
      <w:bookmarkEnd w:id="1554"/>
      <w:bookmarkEnd w:id="1555"/>
      <w:bookmarkEnd w:id="1556"/>
      <w:bookmarkEnd w:id="1557"/>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17.1 双方约定中间验收部位： </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所有隐蔽工程必须经过检查和验收，但此类检查和验收合格不能免除整体工程不合格的责任。</w:t>
      </w:r>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另在本条内补充下款：</w:t>
      </w:r>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17.4</w:t>
      </w:r>
      <w:r>
        <w:rPr>
          <w:rFonts w:hint="eastAsia" w:ascii="宋体" w:hAnsi="宋体" w:cs="宋体"/>
          <w:color w:val="auto"/>
          <w:szCs w:val="21"/>
          <w:highlight w:val="none"/>
        </w:rPr>
        <w:t>工程师按时到达隐蔽工程和中间验收现场，而承包人在工程师到达现场之前已将隐蔽工程分项施工完毕，工程师无法确认被隐蔽的分项工程质量，则工程师有权要求承包人进行剥离或开孔检验，检验结果无论合格与否，承包人均须承担与上述工作相关的全部费用，且工期不得顺延。</w:t>
      </w:r>
    </w:p>
    <w:p>
      <w:pPr>
        <w:adjustRightInd w:val="0"/>
        <w:snapToGrid w:val="0"/>
        <w:spacing w:line="360" w:lineRule="auto"/>
        <w:ind w:firstLine="421" w:firstLineChars="200"/>
        <w:rPr>
          <w:rFonts w:ascii="宋体" w:hAnsi="宋体" w:cs="宋体"/>
          <w:b/>
          <w:color w:val="auto"/>
          <w:szCs w:val="21"/>
          <w:highlight w:val="none"/>
        </w:rPr>
      </w:pPr>
      <w:bookmarkStart w:id="1558" w:name="_Toc101156026"/>
      <w:bookmarkStart w:id="1559" w:name="_Toc231612783"/>
      <w:bookmarkStart w:id="1560" w:name="_Toc100123548"/>
      <w:bookmarkStart w:id="1561" w:name="_Toc193188695"/>
      <w:bookmarkStart w:id="1562" w:name="_Toc99792338"/>
      <w:bookmarkStart w:id="1563" w:name="_Toc123715527"/>
      <w:bookmarkStart w:id="1564" w:name="_Toc98238980"/>
      <w:bookmarkStart w:id="1565" w:name="_Toc101155823"/>
      <w:bookmarkStart w:id="1566" w:name="_Toc98239444"/>
      <w:bookmarkStart w:id="1567" w:name="_Toc115511341"/>
      <w:r>
        <w:rPr>
          <w:rFonts w:hint="eastAsia" w:ascii="宋体" w:hAnsi="宋体" w:cs="宋体"/>
          <w:b/>
          <w:color w:val="auto"/>
          <w:szCs w:val="21"/>
          <w:highlight w:val="none"/>
        </w:rPr>
        <w:t>19、工程试车</w:t>
      </w:r>
      <w:bookmarkEnd w:id="1558"/>
      <w:bookmarkEnd w:id="1559"/>
      <w:bookmarkEnd w:id="1560"/>
      <w:bookmarkEnd w:id="1561"/>
      <w:bookmarkEnd w:id="1562"/>
      <w:bookmarkEnd w:id="1563"/>
      <w:bookmarkEnd w:id="1564"/>
      <w:bookmarkEnd w:id="1565"/>
      <w:bookmarkEnd w:id="1566"/>
      <w:bookmarkEnd w:id="1567"/>
    </w:p>
    <w:p>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19.1 试车费用的承担：</w:t>
      </w:r>
      <w:r>
        <w:rPr>
          <w:rFonts w:hint="eastAsia" w:ascii="宋体" w:hAnsi="宋体" w:cs="宋体"/>
          <w:color w:val="auto"/>
          <w:szCs w:val="21"/>
          <w:highlight w:val="none"/>
          <w:u w:val="single"/>
        </w:rPr>
        <w:t xml:space="preserve">       </w:t>
      </w:r>
    </w:p>
    <w:p>
      <w:pPr>
        <w:adjustRightInd w:val="0"/>
        <w:snapToGrid w:val="0"/>
        <w:spacing w:line="360" w:lineRule="auto"/>
        <w:rPr>
          <w:rFonts w:ascii="方正黑体_GBK" w:hAnsi="宋体" w:eastAsia="方正黑体_GBK" w:cs="宋体"/>
          <w:b/>
          <w:bCs/>
          <w:color w:val="auto"/>
          <w:szCs w:val="21"/>
          <w:highlight w:val="none"/>
        </w:rPr>
      </w:pPr>
      <w:bookmarkStart w:id="1568" w:name="_Toc98239445"/>
      <w:bookmarkStart w:id="1569" w:name="_Toc101155824"/>
      <w:bookmarkStart w:id="1570" w:name="_Toc98238981"/>
      <w:bookmarkStart w:id="1571" w:name="_Toc115511342"/>
      <w:bookmarkStart w:id="1572" w:name="_Toc231612784"/>
      <w:bookmarkStart w:id="1573" w:name="_Toc99792339"/>
      <w:bookmarkStart w:id="1574" w:name="_Toc231612965"/>
      <w:bookmarkStart w:id="1575" w:name="_Toc231613112"/>
      <w:bookmarkStart w:id="1576" w:name="_Toc101156027"/>
      <w:bookmarkStart w:id="1577" w:name="_Toc193188696"/>
      <w:bookmarkStart w:id="1578" w:name="_Toc100123549"/>
      <w:bookmarkStart w:id="1579" w:name="_Toc123715528"/>
      <w:r>
        <w:rPr>
          <w:rFonts w:hint="eastAsia" w:ascii="方正黑体_GBK" w:hAnsi="宋体" w:eastAsia="方正黑体_GBK" w:cs="宋体"/>
          <w:b/>
          <w:bCs/>
          <w:color w:val="auto"/>
          <w:szCs w:val="21"/>
          <w:highlight w:val="none"/>
        </w:rPr>
        <w:t>五、安全施工</w:t>
      </w:r>
      <w:bookmarkEnd w:id="1568"/>
      <w:bookmarkEnd w:id="1569"/>
      <w:bookmarkEnd w:id="1570"/>
      <w:bookmarkEnd w:id="1571"/>
      <w:bookmarkEnd w:id="1572"/>
      <w:bookmarkEnd w:id="1573"/>
      <w:bookmarkEnd w:id="1574"/>
      <w:bookmarkEnd w:id="1575"/>
      <w:bookmarkEnd w:id="1576"/>
      <w:bookmarkEnd w:id="1577"/>
      <w:bookmarkEnd w:id="1578"/>
      <w:bookmarkEnd w:id="1579"/>
    </w:p>
    <w:p>
      <w:pPr>
        <w:adjustRightInd w:val="0"/>
        <w:snapToGrid w:val="0"/>
        <w:spacing w:line="360" w:lineRule="auto"/>
        <w:ind w:firstLine="421" w:firstLineChars="200"/>
        <w:rPr>
          <w:rFonts w:ascii="宋体" w:hAnsi="宋体" w:cs="宋体"/>
          <w:b/>
          <w:color w:val="auto"/>
          <w:szCs w:val="21"/>
          <w:highlight w:val="none"/>
        </w:rPr>
      </w:pPr>
      <w:bookmarkStart w:id="1580" w:name="_Toc231612785"/>
      <w:bookmarkStart w:id="1581" w:name="_Toc123715529"/>
      <w:bookmarkStart w:id="1582" w:name="_Toc193188697"/>
      <w:r>
        <w:rPr>
          <w:rFonts w:hint="eastAsia" w:ascii="宋体" w:hAnsi="宋体" w:cs="宋体"/>
          <w:b/>
          <w:color w:val="auto"/>
          <w:szCs w:val="21"/>
          <w:highlight w:val="none"/>
        </w:rPr>
        <w:t>20、安全施工与检查</w:t>
      </w:r>
      <w:bookmarkEnd w:id="1580"/>
      <w:bookmarkEnd w:id="1581"/>
      <w:bookmarkEnd w:id="1582"/>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另在本条内补充下款：</w:t>
      </w:r>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20.3</w:t>
      </w:r>
      <w:r>
        <w:rPr>
          <w:rFonts w:hint="eastAsia" w:ascii="宋体" w:hAnsi="宋体" w:cs="宋体"/>
          <w:color w:val="auto"/>
          <w:szCs w:val="21"/>
          <w:highlight w:val="none"/>
        </w:rPr>
        <w:t>在开始施工前，承包人应将细化的安全保证措施方案以书面形式报工程师审查，并须提交书面承诺，保证其提交且经工程师审定的安全保证措施方案将完整、有效的实施。</w:t>
      </w:r>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将通用条款21.1款修改如下：</w:t>
      </w:r>
      <w:r>
        <w:rPr>
          <w:rFonts w:hint="eastAsia" w:ascii="宋体" w:hAnsi="宋体" w:cs="宋体"/>
          <w:color w:val="auto"/>
          <w:szCs w:val="21"/>
          <w:highlight w:val="none"/>
        </w:rPr>
        <w:t>承包人在动力设备、输电线路、地下管道、密封防震车间、易燃易爆地段以及临街交通要道附近施工时，施工开始前应向工程师提出安全防护措施，经工程师认可后实施。</w:t>
      </w:r>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将通用条款21.2款修改如下：</w:t>
      </w:r>
      <w:bookmarkStart w:id="1583" w:name="_Toc101156028"/>
      <w:bookmarkStart w:id="1584" w:name="_Toc100123550"/>
      <w:bookmarkStart w:id="1585" w:name="_Toc98238982"/>
      <w:bookmarkStart w:id="1586" w:name="_Toc98239446"/>
      <w:bookmarkStart w:id="1587" w:name="_Toc231612966"/>
      <w:bookmarkStart w:id="1588" w:name="_Toc231613113"/>
      <w:bookmarkStart w:id="1589" w:name="_Toc101155825"/>
      <w:bookmarkStart w:id="1590" w:name="_Toc231612786"/>
      <w:bookmarkStart w:id="1591" w:name="_Toc99792340"/>
      <w:bookmarkStart w:id="1592" w:name="_Toc123715530"/>
      <w:bookmarkStart w:id="1593" w:name="_Toc193188698"/>
      <w:bookmarkStart w:id="1594" w:name="_Toc115511343"/>
      <w:r>
        <w:rPr>
          <w:rFonts w:hint="eastAsia" w:ascii="宋体" w:hAnsi="宋体" w:cs="宋体"/>
          <w:color w:val="auto"/>
          <w:szCs w:val="21"/>
          <w:highlight w:val="none"/>
        </w:rPr>
        <w:t>实施爆破作业，在放射、毒害性环境中施工（含储存、运输、使用）及使用毒害性、腐蚀性物品施工时，承包人应在施工前14天以书面形式通知工程师，并提出相应的安全防护措施，经工程师认可后实施，费用已包含在合同内。</w:t>
      </w:r>
    </w:p>
    <w:p>
      <w:pPr>
        <w:adjustRightInd w:val="0"/>
        <w:snapToGrid w:val="0"/>
        <w:spacing w:line="360" w:lineRule="auto"/>
        <w:ind w:firstLine="420" w:firstLineChars="200"/>
        <w:rPr>
          <w:rFonts w:ascii="方正黑体_GBK" w:hAnsi="宋体" w:eastAsia="方正黑体_GBK" w:cs="宋体"/>
          <w:color w:val="auto"/>
          <w:szCs w:val="21"/>
          <w:highlight w:val="none"/>
        </w:rPr>
      </w:pPr>
      <w:r>
        <w:rPr>
          <w:rFonts w:hint="eastAsia" w:ascii="方正黑体_GBK" w:hAnsi="宋体" w:eastAsia="方正黑体_GBK" w:cs="宋体"/>
          <w:color w:val="auto"/>
          <w:szCs w:val="21"/>
          <w:highlight w:val="none"/>
        </w:rPr>
        <w:t>六、合同价款与支付</w:t>
      </w:r>
      <w:bookmarkEnd w:id="1583"/>
      <w:bookmarkEnd w:id="1584"/>
      <w:bookmarkEnd w:id="1585"/>
      <w:bookmarkEnd w:id="1586"/>
      <w:bookmarkEnd w:id="1587"/>
      <w:bookmarkEnd w:id="1588"/>
      <w:bookmarkEnd w:id="1589"/>
      <w:bookmarkEnd w:id="1590"/>
      <w:bookmarkEnd w:id="1591"/>
      <w:bookmarkEnd w:id="1592"/>
      <w:bookmarkEnd w:id="1593"/>
      <w:bookmarkEnd w:id="1594"/>
    </w:p>
    <w:p>
      <w:pPr>
        <w:adjustRightInd w:val="0"/>
        <w:snapToGrid w:val="0"/>
        <w:spacing w:line="360" w:lineRule="auto"/>
        <w:ind w:firstLine="421" w:firstLineChars="200"/>
        <w:rPr>
          <w:rFonts w:ascii="宋体" w:hAnsi="宋体" w:cs="宋体"/>
          <w:b/>
          <w:color w:val="auto"/>
          <w:szCs w:val="21"/>
          <w:highlight w:val="none"/>
        </w:rPr>
      </w:pPr>
      <w:bookmarkStart w:id="1595" w:name="_Toc115511344"/>
      <w:bookmarkStart w:id="1596" w:name="_Toc231612787"/>
      <w:bookmarkStart w:id="1597" w:name="_Toc101156029"/>
      <w:bookmarkStart w:id="1598" w:name="_Toc101155826"/>
      <w:bookmarkStart w:id="1599" w:name="_Toc99792341"/>
      <w:bookmarkStart w:id="1600" w:name="_Toc193188699"/>
      <w:bookmarkStart w:id="1601" w:name="_Toc100123551"/>
      <w:bookmarkStart w:id="1602" w:name="_Toc98239447"/>
      <w:bookmarkStart w:id="1603" w:name="_Toc98238983"/>
      <w:bookmarkStart w:id="1604" w:name="_Toc123715531"/>
      <w:r>
        <w:rPr>
          <w:rFonts w:hint="eastAsia" w:ascii="宋体" w:hAnsi="宋体" w:cs="宋体"/>
          <w:b/>
          <w:color w:val="auto"/>
          <w:szCs w:val="21"/>
          <w:highlight w:val="none"/>
        </w:rPr>
        <w:t>23、合同价款及调整</w:t>
      </w:r>
      <w:bookmarkEnd w:id="1595"/>
      <w:bookmarkEnd w:id="1596"/>
      <w:bookmarkEnd w:id="1597"/>
      <w:bookmarkEnd w:id="1598"/>
      <w:bookmarkEnd w:id="1599"/>
      <w:bookmarkEnd w:id="1600"/>
      <w:bookmarkEnd w:id="1601"/>
      <w:bookmarkEnd w:id="1602"/>
      <w:bookmarkEnd w:id="1603"/>
      <w:bookmarkEnd w:id="1604"/>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23.2  本合同价款采用</w:t>
      </w:r>
      <w:r>
        <w:rPr>
          <w:rFonts w:hint="default" w:ascii="宋体" w:hAnsi="宋体" w:cs="宋体"/>
          <w:color w:val="auto"/>
          <w:szCs w:val="21"/>
          <w:highlight w:val="none"/>
          <w:u w:val="single"/>
          <w:lang w:val="en-US" w:eastAsia="zh-CN"/>
        </w:rPr>
        <w:t>固定合同单价</w:t>
      </w:r>
      <w:r>
        <w:rPr>
          <w:rFonts w:hint="eastAsia" w:ascii="宋体" w:hAnsi="宋体" w:cs="宋体"/>
          <w:color w:val="auto"/>
          <w:szCs w:val="21"/>
          <w:highlight w:val="none"/>
        </w:rPr>
        <w:t>方式确定。</w:t>
      </w:r>
    </w:p>
    <w:p>
      <w:pPr>
        <w:snapToGrid w:val="0"/>
        <w:spacing w:line="360" w:lineRule="auto"/>
        <w:ind w:firstLine="420" w:firstLineChars="200"/>
        <w:rPr>
          <w:rFonts w:hint="default" w:ascii="宋体" w:hAnsi="宋体" w:eastAsia="宋体" w:cs="宋体"/>
          <w:color w:val="auto"/>
          <w:szCs w:val="21"/>
          <w:highlight w:val="none"/>
          <w:u w:val="single"/>
          <w:lang w:val="en-US" w:eastAsia="zh-CN"/>
        </w:rPr>
      </w:pPr>
      <w:r>
        <w:rPr>
          <w:rFonts w:hint="eastAsia" w:ascii="宋体" w:hAnsi="宋体" w:cs="宋体"/>
          <w:color w:val="auto"/>
          <w:szCs w:val="21"/>
          <w:highlight w:val="none"/>
        </w:rPr>
        <w:t>物价波动引起的价格调整方法</w:t>
      </w:r>
      <w:r>
        <w:rPr>
          <w:rFonts w:hint="eastAsia" w:ascii="宋体" w:hAnsi="宋体" w:cs="宋体"/>
          <w:color w:val="auto"/>
          <w:szCs w:val="21"/>
          <w:highlight w:val="none"/>
          <w:u w:val="none"/>
        </w:rPr>
        <w:t>：</w:t>
      </w:r>
      <w:r>
        <w:rPr>
          <w:rFonts w:hint="eastAsia" w:ascii="宋体" w:hAnsi="宋体"/>
          <w:color w:val="auto"/>
          <w:szCs w:val="21"/>
          <w:highlight w:val="none"/>
          <w:u w:val="single"/>
        </w:rPr>
        <w:t>合同工期一年以</w:t>
      </w:r>
      <w:r>
        <w:rPr>
          <w:rFonts w:hint="eastAsia" w:ascii="宋体" w:hAnsi="宋体"/>
          <w:color w:val="auto"/>
          <w:szCs w:val="21"/>
          <w:highlight w:val="none"/>
          <w:u w:val="single"/>
          <w:lang w:val="en-US" w:eastAsia="zh-CN"/>
        </w:rPr>
        <w:t>内</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不</w:t>
      </w:r>
      <w:r>
        <w:rPr>
          <w:rFonts w:hint="eastAsia" w:ascii="宋体" w:hAnsi="宋体"/>
          <w:color w:val="auto"/>
          <w:szCs w:val="21"/>
          <w:highlight w:val="none"/>
          <w:u w:val="single"/>
        </w:rPr>
        <w:t>含一年）</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不调整。</w:t>
      </w:r>
    </w:p>
    <w:p>
      <w:pPr>
        <w:snapToGrid w:val="0"/>
        <w:spacing w:line="360" w:lineRule="auto"/>
        <w:ind w:firstLine="420" w:firstLineChars="200"/>
        <w:rPr>
          <w:rFonts w:hint="eastAsia"/>
          <w:color w:val="auto"/>
          <w:highlight w:val="none"/>
        </w:rPr>
      </w:pPr>
      <w:r>
        <w:rPr>
          <w:rFonts w:hint="eastAsia" w:ascii="宋体" w:hAnsi="宋体"/>
          <w:color w:val="auto"/>
          <w:szCs w:val="21"/>
          <w:highlight w:val="none"/>
          <w:u w:val="single"/>
        </w:rPr>
        <w:t>合同工期一年以上（含一年），且市场价格波动幅度符合第</w:t>
      </w:r>
      <w:r>
        <w:rPr>
          <w:rFonts w:hint="eastAsia" w:ascii="宋体" w:hAnsi="宋体"/>
          <w:color w:val="auto"/>
          <w:szCs w:val="21"/>
          <w:highlight w:val="none"/>
          <w:u w:val="single"/>
          <w:lang w:val="en-US" w:eastAsia="zh-CN"/>
        </w:rPr>
        <w:t>23</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.1项〔人工费价差调整办法〕和（或）第</w:t>
      </w:r>
      <w:r>
        <w:rPr>
          <w:rFonts w:hint="eastAsia" w:ascii="宋体" w:hAnsi="宋体"/>
          <w:color w:val="auto"/>
          <w:szCs w:val="21"/>
          <w:highlight w:val="none"/>
          <w:u w:val="single"/>
          <w:lang w:val="en-US" w:eastAsia="zh-CN"/>
        </w:rPr>
        <w:t>23</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.2项〔材料费价差调整办法〕约定的，按第</w:t>
      </w:r>
      <w:r>
        <w:rPr>
          <w:rFonts w:hint="eastAsia" w:ascii="宋体" w:hAnsi="宋体"/>
          <w:color w:val="auto"/>
          <w:szCs w:val="21"/>
          <w:highlight w:val="none"/>
          <w:u w:val="single"/>
          <w:lang w:val="en-US" w:eastAsia="zh-CN"/>
        </w:rPr>
        <w:t>23</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.1项〔人工费价差调整办法〕和（或）第</w:t>
      </w:r>
      <w:r>
        <w:rPr>
          <w:rFonts w:hint="eastAsia" w:ascii="宋体" w:hAnsi="宋体"/>
          <w:color w:val="auto"/>
          <w:szCs w:val="21"/>
          <w:highlight w:val="none"/>
          <w:u w:val="single"/>
          <w:lang w:val="en-US" w:eastAsia="zh-CN"/>
        </w:rPr>
        <w:t>23</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.2项〔材料费价差调整办法〕约定调整合同价格；第</w:t>
      </w:r>
      <w:r>
        <w:rPr>
          <w:rFonts w:hint="eastAsia" w:ascii="宋体" w:hAnsi="宋体"/>
          <w:color w:val="auto"/>
          <w:szCs w:val="21"/>
          <w:highlight w:val="none"/>
          <w:u w:val="single"/>
          <w:lang w:val="en-US" w:eastAsia="zh-CN"/>
        </w:rPr>
        <w:t>23</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.1项〔人工费价差调整办法〕和（或）第</w:t>
      </w:r>
      <w:r>
        <w:rPr>
          <w:rFonts w:hint="eastAsia" w:ascii="宋体" w:hAnsi="宋体"/>
          <w:color w:val="auto"/>
          <w:szCs w:val="21"/>
          <w:highlight w:val="none"/>
          <w:u w:val="single"/>
          <w:lang w:val="en-US" w:eastAsia="zh-CN"/>
        </w:rPr>
        <w:t>23</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.2项〔材料费价差调整办法〕约定的调差条件之外的市场价格波动风险不调整合同价格，风险费用由承包人自行考虑后纳入签约合同价格中，包干使用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因市场价格波动调整合同价格，采用以下</w:t>
      </w:r>
      <w:r>
        <w:rPr>
          <w:rFonts w:hint="eastAsia" w:ascii="宋体" w:hAnsi="宋体"/>
          <w:color w:val="auto"/>
          <w:szCs w:val="21"/>
          <w:highlight w:val="none"/>
          <w:u w:val="single"/>
        </w:rPr>
        <w:t>第2种</w:t>
      </w:r>
      <w:r>
        <w:rPr>
          <w:rFonts w:hint="eastAsia" w:ascii="宋体" w:hAnsi="宋体"/>
          <w:color w:val="auto"/>
          <w:szCs w:val="21"/>
          <w:highlight w:val="none"/>
        </w:rPr>
        <w:t>方式对合同价格进行调整：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第1种方式：采用价格指数进行价格调整。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关于各可调因子、定值和变值权重，以及基本价格指数及其来源的约定：</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第2种方式：采用造价信息进行价格调整，调整方法如下：</w:t>
      </w:r>
    </w:p>
    <w:p>
      <w:pPr>
        <w:spacing w:line="360" w:lineRule="auto"/>
        <w:ind w:firstLine="420" w:firstLineChars="200"/>
        <w:jc w:val="left"/>
        <w:rPr>
          <w:rFonts w:ascii="宋体" w:hAnsi="宋体"/>
          <w:color w:val="auto"/>
          <w:szCs w:val="21"/>
          <w:highlight w:val="none"/>
          <w:u w:val="single"/>
        </w:rPr>
      </w:pPr>
      <w:bookmarkStart w:id="1605" w:name="_Hlk524296901"/>
      <w:r>
        <w:rPr>
          <w:rFonts w:hint="eastAsia" w:ascii="宋体" w:hAnsi="宋体"/>
          <w:color w:val="auto"/>
          <w:szCs w:val="21"/>
          <w:highlight w:val="none"/>
          <w:u w:val="single"/>
          <w:lang w:val="en-US" w:eastAsia="zh-CN"/>
        </w:rPr>
        <w:t>23</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.1人工费价差调整办法</w:t>
      </w:r>
    </w:p>
    <w:p>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bookmarkStart w:id="1606" w:name="_Toc466913966"/>
      <w:bookmarkStart w:id="1607" w:name="_Toc466911548"/>
      <w:bookmarkStart w:id="1608" w:name="_Toc466913516"/>
      <w:bookmarkStart w:id="1609" w:name="_Toc467689644"/>
      <w:r>
        <w:rPr>
          <w:rFonts w:hint="eastAsia" w:ascii="宋体" w:hAnsi="宋体"/>
          <w:color w:val="auto"/>
          <w:szCs w:val="21"/>
          <w:highlight w:val="none"/>
          <w:u w:val="single"/>
        </w:rPr>
        <w:t>（1）自实际开工时间起至合同约定的工期结束时间止，期间《重庆工程造价信息》发布人工单价的算术平均值较开标当期《重庆工程造价信息》发布的人工单价变化超过±5%时，按以下约定调整：</w:t>
      </w:r>
    </w:p>
    <w:p>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①已标价工程量清单中载明人工单价不高于开标当期《重庆工程造价信息》发布的人工单价的：按期间《重庆工程造价信息》发布人工单价的算术平均值减去开标当期《重庆工程造价信息》发布的人工单价乘以（1±5%）调差。</w:t>
      </w:r>
    </w:p>
    <w:p>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②已标价工程量清单中载明人工单价高于开标当期《重庆工程造价信息》发布的人工单价的，按期间《重庆工程造价信息》发布人工单价的算术平均值减去已标价工程量清单中载明人工单价乘以（1±5%）调差。</w:t>
      </w:r>
    </w:p>
    <w:p>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（2）单位工程的人工消耗量按承包人投标报价的消耗量执行（承包人投标报价的单位工程人工消耗量高于定额单位工程人工消耗量的，按定额单位工程的人工消耗量执行）。</w:t>
      </w:r>
    </w:p>
    <w:p>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（3）        。</w:t>
      </w:r>
    </w:p>
    <w:bookmarkEnd w:id="1605"/>
    <w:p>
      <w:pPr>
        <w:spacing w:line="360" w:lineRule="auto"/>
        <w:ind w:firstLine="420" w:firstLineChars="200"/>
        <w:jc w:val="left"/>
        <w:rPr>
          <w:rFonts w:ascii="宋体" w:hAnsi="宋体"/>
          <w:color w:val="auto"/>
          <w:szCs w:val="21"/>
          <w:highlight w:val="none"/>
          <w:u w:val="single"/>
        </w:rPr>
      </w:pPr>
      <w:bookmarkStart w:id="1610" w:name="_Hlk524297138"/>
      <w:r>
        <w:rPr>
          <w:rFonts w:hint="eastAsia" w:ascii="宋体" w:hAnsi="宋体"/>
          <w:color w:val="auto"/>
          <w:szCs w:val="21"/>
          <w:highlight w:val="none"/>
          <w:u w:val="single"/>
          <w:lang w:val="en-US" w:eastAsia="zh-CN"/>
        </w:rPr>
        <w:t>23</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.2 材料费价差调整</w:t>
      </w:r>
      <w:bookmarkEnd w:id="1606"/>
      <w:bookmarkEnd w:id="1607"/>
      <w:bookmarkEnd w:id="1608"/>
      <w:bookmarkEnd w:id="1609"/>
      <w:r>
        <w:rPr>
          <w:rFonts w:hint="eastAsia" w:ascii="宋体" w:hAnsi="宋体"/>
          <w:color w:val="auto"/>
          <w:szCs w:val="21"/>
          <w:highlight w:val="none"/>
          <w:u w:val="single"/>
        </w:rPr>
        <w:t>办法</w:t>
      </w:r>
    </w:p>
    <w:p>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可调价差材料：水泥、商品砼、碎石、砂、钢筋、型钢、条石、片石、预应力钢绞线、沥青混凝土、水泥稳定碎石拌和料、预拌商品砂浆、砌筑材料等主要材料（可按工程使用的具体材料确定）。</w:t>
      </w:r>
    </w:p>
    <w:p>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可调价差材料的价差调整办法如下：</w:t>
      </w:r>
    </w:p>
    <w:p>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（1）自实际开工时间起至合同约定的工期结束时间止，期间《重庆工程造价信息》发布的信息价的算术平均值较开标当期《重庆工程造价信息》发布的信息价变化超过±5%时，按以下约定调整：</w:t>
      </w:r>
    </w:p>
    <w:p>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①已标价工程量清单中载明材料单价不高于开标当期《重庆工程造价信息》发布的信息价的按期间《重庆工程造价信息》发布信息价的算术平均值减去开标当期《重庆工程造价信息》发布的信息价乘以（1±5%）调差。</w:t>
      </w:r>
    </w:p>
    <w:p>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②已标价工程量清单中载明材料单价高于开标当期《重庆工程造价信息》发布的信息价的，按期间《重庆工程造价信息》发布信息价的算术平均值减去已标价工程量清单中载明材料单价乘以（1±5%）调差。</w:t>
      </w:r>
    </w:p>
    <w:p>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（2）单位工程的材料消耗量按承包人投标报价的消耗量执行（承包人投标报价的单位工程材料消耗量高于定额单位工程材料消耗量的，按定额单位工程的材料消耗量执行）。</w:t>
      </w:r>
    </w:p>
    <w:p>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（3）        。</w:t>
      </w:r>
    </w:p>
    <w:bookmarkEnd w:id="1610"/>
    <w:p>
      <w:pPr>
        <w:spacing w:line="360" w:lineRule="auto"/>
        <w:ind w:firstLine="420" w:firstLineChars="200"/>
        <w:jc w:val="left"/>
        <w:rPr>
          <w:color w:val="auto"/>
          <w:highlight w:val="none"/>
          <w:u w:val="single"/>
        </w:rPr>
      </w:pPr>
      <w:r>
        <w:rPr>
          <w:rFonts w:hint="eastAsia" w:ascii="宋体" w:hAnsi="宋体"/>
          <w:color w:val="auto"/>
          <w:szCs w:val="21"/>
          <w:highlight w:val="none"/>
          <w:u w:val="single"/>
        </w:rPr>
        <w:t>第3种方式：其他价格调整方式：        。</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（1）合同价格形式：</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1）单价合同</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综合单价包含的风险范围：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风险范围以外合同价格的调整方法：</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2）总价合同</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总价包含的风险范围：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风险范围以外合同价格的调整方法：</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3）其他价格方式：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eq \o\ac(</w:instrText>
      </w:r>
      <w:r>
        <w:rPr>
          <w:rFonts w:hint="eastAsia" w:ascii="宋体" w:hAnsi="宋体" w:cs="宋体"/>
          <w:color w:val="auto"/>
          <w:position w:val="-4"/>
          <w:szCs w:val="21"/>
          <w:highlight w:val="none"/>
        </w:rPr>
        <w:instrText xml:space="preserve">○</w:instrText>
      </w:r>
      <w:r>
        <w:rPr>
          <w:rFonts w:hint="eastAsia" w:ascii="宋体" w:hAnsi="宋体" w:cs="宋体"/>
          <w:color w:val="auto"/>
          <w:szCs w:val="21"/>
          <w:highlight w:val="none"/>
        </w:rPr>
        <w:instrText xml:space="preserve">,1)</w:instrText>
      </w:r>
      <w:r>
        <w:rPr>
          <w:rFonts w:hint="eastAsia" w:ascii="宋体" w:hAnsi="宋体" w:cs="宋体"/>
          <w:color w:val="auto"/>
          <w:szCs w:val="21"/>
          <w:highlight w:val="none"/>
        </w:rPr>
        <w:fldChar w:fldCharType="end"/>
      </w:r>
      <w:r>
        <w:rPr>
          <w:rFonts w:hint="eastAsia" w:ascii="宋体" w:hAnsi="宋体" w:cs="宋体"/>
          <w:color w:val="auto"/>
          <w:szCs w:val="21"/>
          <w:highlight w:val="none"/>
        </w:rPr>
        <w:t>本合同签订后，合同总价对应的工程量清单中的所有单价包死，任何情况下不得调整。发包人不接受承包人基于任何清单项目单价在投标时的组价不当（包括但不限于项目名称对应的工作内容理解的偏差、工料耗量水平的确定、生产要素市场价格的判断、取费、材料涨价等）或任何其他差错而主张的任何损失或索赔。</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eq \o\ac(</w:instrText>
      </w:r>
      <w:r>
        <w:rPr>
          <w:rFonts w:hint="eastAsia" w:ascii="宋体" w:hAnsi="宋体" w:cs="宋体"/>
          <w:color w:val="auto"/>
          <w:position w:val="-4"/>
          <w:szCs w:val="21"/>
          <w:highlight w:val="none"/>
        </w:rPr>
        <w:instrText xml:space="preserve">○</w:instrText>
      </w:r>
      <w:r>
        <w:rPr>
          <w:rFonts w:hint="eastAsia" w:ascii="宋体" w:hAnsi="宋体" w:cs="宋体"/>
          <w:color w:val="auto"/>
          <w:szCs w:val="21"/>
          <w:highlight w:val="none"/>
        </w:rPr>
        <w:instrText xml:space="preserve">,2)</w:instrText>
      </w:r>
      <w:r>
        <w:rPr>
          <w:rFonts w:hint="eastAsia" w:ascii="宋体" w:hAnsi="宋体" w:cs="宋体"/>
          <w:color w:val="auto"/>
          <w:szCs w:val="21"/>
          <w:highlight w:val="none"/>
        </w:rPr>
        <w:fldChar w:fldCharType="end"/>
      </w:r>
      <w:r>
        <w:rPr>
          <w:rFonts w:hint="eastAsia" w:ascii="宋体" w:hAnsi="宋体" w:cs="宋体"/>
          <w:color w:val="auto"/>
          <w:szCs w:val="21"/>
          <w:highlight w:val="none"/>
        </w:rPr>
        <w:t>本合同签订后，合同总价对应的工程量清单中各分部分项工程的工程量本身不具备合同约束力。尽管这些工程量最初可能是由发包人随招标文件提供的，但承包人已经根据工程规范和技术要求、图纸及其他合同文件的要求对工程量清单进行了检查和校核并在此基础上已经进行了充分的修正。任何情况下，发包人不接受承包人基于在投标阶段对工程量计算或复核存在任何差错或疏忽而主张的任何损失或索赔。</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eq \o\ac(</w:instrText>
      </w:r>
      <w:r>
        <w:rPr>
          <w:rFonts w:hint="eastAsia" w:ascii="宋体" w:hAnsi="宋体" w:cs="宋体"/>
          <w:color w:val="auto"/>
          <w:position w:val="-4"/>
          <w:szCs w:val="21"/>
          <w:highlight w:val="none"/>
        </w:rPr>
        <w:instrText xml:space="preserve">○</w:instrText>
      </w:r>
      <w:r>
        <w:rPr>
          <w:rFonts w:hint="eastAsia" w:ascii="宋体" w:hAnsi="宋体" w:cs="宋体"/>
          <w:color w:val="auto"/>
          <w:szCs w:val="21"/>
          <w:highlight w:val="none"/>
        </w:rPr>
        <w:instrText xml:space="preserve">,3)</w:instrText>
      </w:r>
      <w:r>
        <w:rPr>
          <w:rFonts w:hint="eastAsia" w:ascii="宋体" w:hAnsi="宋体" w:cs="宋体"/>
          <w:color w:val="auto"/>
          <w:szCs w:val="21"/>
          <w:highlight w:val="none"/>
        </w:rPr>
        <w:fldChar w:fldCharType="end"/>
      </w:r>
      <w:r>
        <w:rPr>
          <w:rFonts w:hint="eastAsia" w:ascii="宋体" w:hAnsi="宋体" w:cs="宋体"/>
          <w:color w:val="auto"/>
          <w:szCs w:val="21"/>
          <w:highlight w:val="none"/>
        </w:rPr>
        <w:t>本合同签订以后，工程量清单中施工临时工程费固定包死。承包人已经在投标阶段充分理解了发包人在招标文件中为其设定的所有义务、责任和条件，并在其投标价格中已做考虑。除非发包人发布的变更导致相应的施工方案或施工组织设计发生实质性的变化，否则任何变更对合同内工作内容或工程量造成任何形式或程度的改变，都不构成承包人修改其措施项目和其他项目价格（费率）或提出任何索赔的理由。</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eq \o\ac(</w:instrText>
      </w:r>
      <w:r>
        <w:rPr>
          <w:rFonts w:hint="eastAsia" w:ascii="宋体" w:hAnsi="宋体" w:cs="宋体"/>
          <w:color w:val="auto"/>
          <w:position w:val="-4"/>
          <w:szCs w:val="21"/>
          <w:highlight w:val="none"/>
        </w:rPr>
        <w:instrText xml:space="preserve">○</w:instrText>
      </w:r>
      <w:r>
        <w:rPr>
          <w:rFonts w:hint="eastAsia" w:ascii="宋体" w:hAnsi="宋体" w:cs="宋体"/>
          <w:color w:val="auto"/>
          <w:szCs w:val="21"/>
          <w:highlight w:val="none"/>
        </w:rPr>
        <w:instrText xml:space="preserve">,4)</w:instrText>
      </w:r>
      <w:r>
        <w:rPr>
          <w:rFonts w:hint="eastAsia" w:ascii="宋体" w:hAnsi="宋体" w:cs="宋体"/>
          <w:color w:val="auto"/>
          <w:szCs w:val="21"/>
          <w:highlight w:val="none"/>
        </w:rPr>
        <w:fldChar w:fldCharType="end"/>
      </w:r>
      <w:r>
        <w:rPr>
          <w:rFonts w:hint="eastAsia" w:ascii="宋体" w:hAnsi="宋体" w:cs="宋体"/>
          <w:color w:val="auto"/>
          <w:szCs w:val="21"/>
          <w:highlight w:val="none"/>
        </w:rPr>
        <w:t>本合同签订后，合同单价中的各项取费，包括但不限于其管理费、利润、税金的取费水平（无论是费率还是绝对金额）固定包死，任何情况下均不得调整。</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承包人进一步确认并同意：除本合同另有约定外，合同价格中已经包括完成招标文件及图纸范围内全部工作内容所需的费用以及：</w:t>
      </w: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eq \o\ac(</w:instrText>
      </w:r>
      <w:r>
        <w:rPr>
          <w:rFonts w:hint="eastAsia" w:ascii="宋体" w:hAnsi="宋体" w:cs="宋体"/>
          <w:color w:val="auto"/>
          <w:position w:val="-4"/>
          <w:szCs w:val="21"/>
          <w:highlight w:val="none"/>
        </w:rPr>
        <w:instrText xml:space="preserve">○</w:instrText>
      </w:r>
      <w:r>
        <w:rPr>
          <w:rFonts w:hint="eastAsia" w:ascii="宋体" w:hAnsi="宋体" w:cs="宋体"/>
          <w:color w:val="auto"/>
          <w:szCs w:val="21"/>
          <w:highlight w:val="none"/>
        </w:rPr>
        <w:instrText xml:space="preserve">,1)</w:instrText>
      </w:r>
      <w:r>
        <w:rPr>
          <w:rFonts w:hint="eastAsia" w:ascii="宋体" w:hAnsi="宋体" w:cs="宋体"/>
          <w:color w:val="auto"/>
          <w:szCs w:val="21"/>
          <w:highlight w:val="none"/>
        </w:rPr>
        <w:fldChar w:fldCharType="end"/>
      </w:r>
      <w:r>
        <w:rPr>
          <w:rFonts w:hint="eastAsia" w:ascii="宋体" w:hAnsi="宋体" w:cs="宋体"/>
          <w:color w:val="auto"/>
          <w:szCs w:val="21"/>
          <w:highlight w:val="none"/>
        </w:rPr>
        <w:t>所有的分部分项工程成本和措施项目成本；</w:t>
      </w: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eq \o\ac(</w:instrText>
      </w:r>
      <w:r>
        <w:rPr>
          <w:rFonts w:hint="eastAsia" w:ascii="宋体" w:hAnsi="宋体" w:cs="宋体"/>
          <w:color w:val="auto"/>
          <w:position w:val="-4"/>
          <w:szCs w:val="21"/>
          <w:highlight w:val="none"/>
        </w:rPr>
        <w:instrText xml:space="preserve">○</w:instrText>
      </w:r>
      <w:r>
        <w:rPr>
          <w:rFonts w:hint="eastAsia" w:ascii="宋体" w:hAnsi="宋体" w:cs="宋体"/>
          <w:color w:val="auto"/>
          <w:szCs w:val="21"/>
          <w:highlight w:val="none"/>
        </w:rPr>
        <w:instrText xml:space="preserve">,2)</w:instrText>
      </w:r>
      <w:r>
        <w:rPr>
          <w:rFonts w:hint="eastAsia" w:ascii="宋体" w:hAnsi="宋体" w:cs="宋体"/>
          <w:color w:val="auto"/>
          <w:szCs w:val="21"/>
          <w:highlight w:val="none"/>
        </w:rPr>
        <w:fldChar w:fldCharType="end"/>
      </w:r>
      <w:r>
        <w:rPr>
          <w:rFonts w:hint="eastAsia" w:ascii="宋体" w:hAnsi="宋体" w:cs="宋体"/>
          <w:color w:val="auto"/>
          <w:szCs w:val="21"/>
          <w:highlight w:val="none"/>
        </w:rPr>
        <w:t>承包人由承担此工程所需的管理费、利润、风险、税费；</w:t>
      </w: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eq \o\ac(</w:instrText>
      </w:r>
      <w:r>
        <w:rPr>
          <w:rFonts w:hint="eastAsia" w:ascii="宋体" w:hAnsi="宋体" w:cs="宋体"/>
          <w:color w:val="auto"/>
          <w:position w:val="-4"/>
          <w:szCs w:val="21"/>
          <w:highlight w:val="none"/>
        </w:rPr>
        <w:instrText xml:space="preserve">○</w:instrText>
      </w:r>
      <w:r>
        <w:rPr>
          <w:rFonts w:hint="eastAsia" w:ascii="宋体" w:hAnsi="宋体" w:cs="宋体"/>
          <w:color w:val="auto"/>
          <w:szCs w:val="21"/>
          <w:highlight w:val="none"/>
        </w:rPr>
        <w:instrText xml:space="preserve">,3)</w:instrText>
      </w:r>
      <w:r>
        <w:rPr>
          <w:rFonts w:hint="eastAsia" w:ascii="宋体" w:hAnsi="宋体" w:cs="宋体"/>
          <w:color w:val="auto"/>
          <w:szCs w:val="21"/>
          <w:highlight w:val="none"/>
        </w:rPr>
        <w:fldChar w:fldCharType="end"/>
      </w:r>
      <w:r>
        <w:rPr>
          <w:rFonts w:hint="eastAsia" w:ascii="宋体" w:hAnsi="宋体" w:cs="宋体"/>
          <w:color w:val="auto"/>
          <w:szCs w:val="21"/>
          <w:highlight w:val="none"/>
        </w:rPr>
        <w:t>缺陷修复和保修费用；</w:t>
      </w: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eq \o\ac(</w:instrText>
      </w:r>
      <w:r>
        <w:rPr>
          <w:rFonts w:hint="eastAsia" w:ascii="宋体" w:hAnsi="宋体" w:cs="宋体"/>
          <w:color w:val="auto"/>
          <w:position w:val="-4"/>
          <w:szCs w:val="21"/>
          <w:highlight w:val="none"/>
        </w:rPr>
        <w:instrText xml:space="preserve">○</w:instrText>
      </w:r>
      <w:r>
        <w:rPr>
          <w:rFonts w:hint="eastAsia" w:ascii="宋体" w:hAnsi="宋体" w:cs="宋体"/>
          <w:color w:val="auto"/>
          <w:szCs w:val="21"/>
          <w:highlight w:val="none"/>
        </w:rPr>
        <w:instrText xml:space="preserve">,4)</w:instrText>
      </w:r>
      <w:r>
        <w:rPr>
          <w:rFonts w:hint="eastAsia" w:ascii="宋体" w:hAnsi="宋体" w:cs="宋体"/>
          <w:color w:val="auto"/>
          <w:szCs w:val="21"/>
          <w:highlight w:val="none"/>
        </w:rPr>
        <w:fldChar w:fldCharType="end"/>
      </w:r>
      <w:r>
        <w:rPr>
          <w:rFonts w:hint="eastAsia" w:ascii="宋体" w:hAnsi="宋体" w:cs="宋体"/>
          <w:color w:val="auto"/>
          <w:szCs w:val="21"/>
          <w:highlight w:val="none"/>
        </w:rPr>
        <w:t>合同期内市场价格、政府收费等因素造成的价格变动；</w:t>
      </w: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eq \o\ac(</w:instrText>
      </w:r>
      <w:r>
        <w:rPr>
          <w:rFonts w:hint="eastAsia" w:ascii="宋体" w:hAnsi="宋体" w:cs="宋体"/>
          <w:color w:val="auto"/>
          <w:position w:val="-4"/>
          <w:szCs w:val="21"/>
          <w:highlight w:val="none"/>
        </w:rPr>
        <w:instrText xml:space="preserve">○</w:instrText>
      </w:r>
      <w:r>
        <w:rPr>
          <w:rFonts w:hint="eastAsia" w:ascii="宋体" w:hAnsi="宋体" w:cs="宋体"/>
          <w:color w:val="auto"/>
          <w:szCs w:val="21"/>
          <w:highlight w:val="none"/>
        </w:rPr>
        <w:instrText xml:space="preserve">,5)</w:instrText>
      </w:r>
      <w:r>
        <w:rPr>
          <w:rFonts w:hint="eastAsia" w:ascii="宋体" w:hAnsi="宋体" w:cs="宋体"/>
          <w:color w:val="auto"/>
          <w:szCs w:val="21"/>
          <w:highlight w:val="none"/>
        </w:rPr>
        <w:fldChar w:fldCharType="end"/>
      </w:r>
      <w:r>
        <w:rPr>
          <w:rFonts w:hint="eastAsia" w:ascii="宋体" w:hAnsi="宋体" w:cs="宋体"/>
          <w:color w:val="auto"/>
          <w:szCs w:val="21"/>
          <w:highlight w:val="none"/>
        </w:rPr>
        <w:t>为符合或满足发包人在本合同中为承包人设定的全部责任和义务所需要发生的所有费用。包括多次验收检查等。</w:t>
      </w:r>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风险范围以外合同价款调整方法：</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除本合同另有约定或发生设计变更（受本合同23.3款的约束）以外，合同价格一律不予调整：</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以上所述对合同价格的调整仅限于对上述因素影响所涉及的工作子目或项目的价格进行调整。任何根据本款调整后的合同价格适用于本合同下任何性质的计价、结算和支付。</w:t>
      </w:r>
    </w:p>
    <w:p>
      <w:pPr>
        <w:snapToGrid w:val="0"/>
        <w:spacing w:line="360" w:lineRule="auto"/>
        <w:ind w:firstLine="420" w:firstLineChars="200"/>
        <w:rPr>
          <w:rFonts w:ascii="宋体" w:hAnsi="宋体" w:cs="宋体"/>
          <w:color w:val="auto"/>
          <w:szCs w:val="21"/>
          <w:highlight w:val="none"/>
          <w:u w:val="single"/>
        </w:rPr>
      </w:pPr>
      <w:bookmarkStart w:id="1611" w:name="_Toc123715532"/>
      <w:bookmarkStart w:id="1612" w:name="_Toc231612967"/>
      <w:bookmarkStart w:id="1613" w:name="_Toc231612788"/>
      <w:bookmarkStart w:id="1614" w:name="_Toc231613114"/>
      <w:r>
        <w:rPr>
          <w:rFonts w:hint="eastAsia" w:ascii="宋体" w:hAnsi="宋体" w:cs="宋体"/>
          <w:color w:val="auto"/>
          <w:szCs w:val="21"/>
          <w:highlight w:val="none"/>
          <w:u w:val="single"/>
        </w:rPr>
        <w:t>(2) 采用可调价格合同，合同价款调整方法：不适用</w:t>
      </w:r>
      <w:bookmarkEnd w:id="1611"/>
      <w:bookmarkEnd w:id="1612"/>
      <w:bookmarkEnd w:id="1613"/>
      <w:bookmarkEnd w:id="1614"/>
      <w:r>
        <w:rPr>
          <w:rFonts w:hint="eastAsia" w:ascii="宋体" w:hAnsi="宋体" w:cs="宋体"/>
          <w:color w:val="auto"/>
          <w:szCs w:val="21"/>
          <w:highlight w:val="none"/>
          <w:u w:val="single"/>
        </w:rPr>
        <w:t xml:space="preserve"> </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 xml:space="preserve">(3) 采用成本加酬金合同，有关成本和酬金的约定：不适用 </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23.3 双方约定合同价款的其他调整因素：</w:t>
      </w:r>
      <w:r>
        <w:rPr>
          <w:rFonts w:hint="eastAsia" w:ascii="宋体" w:hAnsi="宋体"/>
          <w:color w:val="auto"/>
          <w:szCs w:val="21"/>
          <w:highlight w:val="none"/>
          <w:u w:val="single"/>
        </w:rPr>
        <w:t>合同工期一年以上（含一年）</w:t>
      </w:r>
      <w:r>
        <w:rPr>
          <w:rFonts w:hint="eastAsia" w:ascii="宋体" w:hAnsi="宋体"/>
          <w:color w:val="auto"/>
          <w:szCs w:val="21"/>
          <w:highlight w:val="none"/>
          <w:u w:val="single"/>
          <w:lang w:val="en-US" w:eastAsia="zh-CN"/>
        </w:rPr>
        <w:t>且</w:t>
      </w:r>
      <w:r>
        <w:rPr>
          <w:rFonts w:hint="eastAsia" w:ascii="宋体" w:hAnsi="宋体"/>
          <w:color w:val="auto"/>
          <w:szCs w:val="21"/>
          <w:highlight w:val="none"/>
          <w:u w:val="single"/>
        </w:rPr>
        <w:t>市场价格波动幅度符合第</w:t>
      </w:r>
      <w:r>
        <w:rPr>
          <w:rFonts w:hint="eastAsia" w:ascii="宋体" w:hAnsi="宋体"/>
          <w:color w:val="auto"/>
          <w:szCs w:val="21"/>
          <w:highlight w:val="none"/>
          <w:u w:val="single"/>
          <w:lang w:val="en-US" w:eastAsia="zh-CN"/>
        </w:rPr>
        <w:t>23</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.1项</w:t>
      </w:r>
      <w:r>
        <w:rPr>
          <w:rFonts w:hint="eastAsia" w:ascii="宋体" w:hAnsi="宋体"/>
          <w:color w:val="auto"/>
          <w:szCs w:val="21"/>
          <w:highlight w:val="none"/>
          <w:u w:val="single"/>
          <w:lang w:val="en-US" w:eastAsia="zh-CN"/>
        </w:rPr>
        <w:t>和（或）23.2.2项和</w:t>
      </w:r>
      <w:r>
        <w:rPr>
          <w:rFonts w:hint="eastAsia" w:ascii="宋体" w:hAnsi="宋体" w:cs="宋体"/>
          <w:color w:val="auto"/>
          <w:szCs w:val="21"/>
          <w:highlight w:val="none"/>
          <w:u w:val="single"/>
        </w:rPr>
        <w:t>经批准的设计变更外</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rPr>
        <w:t>无其他调整因素。</w:t>
      </w:r>
    </w:p>
    <w:p>
      <w:pPr>
        <w:adjustRightInd w:val="0"/>
        <w:snapToGrid w:val="0"/>
        <w:spacing w:line="360" w:lineRule="auto"/>
        <w:ind w:firstLine="421" w:firstLineChars="200"/>
        <w:rPr>
          <w:rFonts w:ascii="宋体" w:hAnsi="宋体" w:cs="宋体"/>
          <w:b/>
          <w:color w:val="auto"/>
          <w:szCs w:val="21"/>
          <w:highlight w:val="none"/>
        </w:rPr>
      </w:pPr>
      <w:bookmarkStart w:id="1615" w:name="_Toc123715533"/>
      <w:bookmarkStart w:id="1616" w:name="_Toc98238984"/>
      <w:bookmarkStart w:id="1617" w:name="_Toc193188700"/>
      <w:bookmarkStart w:id="1618" w:name="_Toc98239448"/>
      <w:bookmarkStart w:id="1619" w:name="_Toc101155827"/>
      <w:bookmarkStart w:id="1620" w:name="_Toc115511345"/>
      <w:bookmarkStart w:id="1621" w:name="_Toc231612789"/>
      <w:bookmarkStart w:id="1622" w:name="_Toc101156030"/>
      <w:bookmarkStart w:id="1623" w:name="_Toc100123552"/>
      <w:bookmarkStart w:id="1624" w:name="_Toc99792342"/>
      <w:r>
        <w:rPr>
          <w:rFonts w:hint="eastAsia" w:ascii="宋体" w:hAnsi="宋体" w:cs="宋体"/>
          <w:b/>
          <w:color w:val="auto"/>
          <w:szCs w:val="21"/>
          <w:highlight w:val="none"/>
        </w:rPr>
        <w:t>24、工程预付款</w:t>
      </w:r>
      <w:bookmarkEnd w:id="1615"/>
      <w:bookmarkEnd w:id="1616"/>
      <w:bookmarkEnd w:id="1617"/>
      <w:bookmarkEnd w:id="1618"/>
      <w:bookmarkEnd w:id="1619"/>
      <w:bookmarkEnd w:id="1620"/>
      <w:bookmarkEnd w:id="1621"/>
      <w:bookmarkEnd w:id="1622"/>
      <w:bookmarkEnd w:id="1623"/>
      <w:bookmarkEnd w:id="1624"/>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24.1本款补充如下内容：</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除合同中另有约定，承包人应于收到中标通知书之日后28天内向工程师提交一份体现整个合同期内资金流量的计划，资金流量计划的格式应经过工程师批准。此资金流量计划编制的具体要求为：</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发包人向承包人预付工程款的前提条件是承包人已向发包人提交了符合合同约定的履约保证金。发包人按合同约定支付给承包人的预付款应是无息的。</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如果承包人在颁发工程竣工移交证书之前或按本合同第44条解除合同前尚未按照本款偿清预付款，承包人应将当时未偿还部分的全部余额支付给发包人，否则发包人有权从任何应该支付或将要支付给承包人的金额中扣除该部分未偿还金额。</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发包人向承包人预付工程款的时间和金额或占合同价款总额的比例：</w:t>
      </w:r>
      <w:r>
        <w:rPr>
          <w:rFonts w:hint="eastAsia" w:ascii="宋体" w:hAnsi="宋体" w:cs="宋体"/>
          <w:color w:val="auto"/>
          <w:szCs w:val="21"/>
          <w:highlight w:val="none"/>
          <w:u w:val="single"/>
        </w:rPr>
        <w:t>预付款为合同价款总额的</w:t>
      </w:r>
      <w:r>
        <w:rPr>
          <w:rFonts w:hint="eastAsia" w:ascii="宋体" w:hAnsi="宋体" w:cs="宋体"/>
          <w:color w:val="auto"/>
          <w:szCs w:val="21"/>
          <w:highlight w:val="none"/>
          <w:u w:val="single"/>
          <w:lang w:val="en-US" w:eastAsia="zh-CN"/>
        </w:rPr>
        <w:t>3</w:t>
      </w:r>
      <w:r>
        <w:rPr>
          <w:rFonts w:hint="eastAsia" w:ascii="宋体" w:hAnsi="宋体" w:cs="宋体"/>
          <w:color w:val="auto"/>
          <w:szCs w:val="21"/>
          <w:highlight w:val="none"/>
          <w:u w:val="single"/>
        </w:rPr>
        <w:t>0%，在承包人向发包人提交了符合合同约定的履约保证金及风险保证金（如有）并签订合同后，按施工现场材料或机械购进情况以及支付事项经现场监理，业主审核后再支付承包人。</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扣回预付款的时间、比例：</w:t>
      </w:r>
      <w:r>
        <w:rPr>
          <w:rFonts w:hint="eastAsia" w:ascii="宋体" w:hAnsi="宋体" w:cs="宋体"/>
          <w:color w:val="auto"/>
          <w:szCs w:val="21"/>
          <w:highlight w:val="none"/>
          <w:u w:val="single"/>
        </w:rPr>
        <w:t>付款额达到50%合同价款时，开始逐月扣回预付款，并在付款额达到80%的合同价时全额扣完。</w:t>
      </w:r>
    </w:p>
    <w:p>
      <w:pPr>
        <w:adjustRightInd w:val="0"/>
        <w:snapToGrid w:val="0"/>
        <w:spacing w:line="360" w:lineRule="auto"/>
        <w:ind w:firstLine="421" w:firstLineChars="200"/>
        <w:rPr>
          <w:rFonts w:ascii="宋体" w:hAnsi="宋体" w:cs="宋体"/>
          <w:b/>
          <w:color w:val="auto"/>
          <w:szCs w:val="21"/>
          <w:highlight w:val="none"/>
        </w:rPr>
      </w:pPr>
      <w:bookmarkStart w:id="1625" w:name="_Toc123715534"/>
      <w:bookmarkStart w:id="1626" w:name="_Toc98238985"/>
      <w:bookmarkStart w:id="1627" w:name="_Toc101156031"/>
      <w:bookmarkStart w:id="1628" w:name="_Toc100123553"/>
      <w:bookmarkStart w:id="1629" w:name="_Toc101155828"/>
      <w:bookmarkStart w:id="1630" w:name="_Toc231612790"/>
      <w:bookmarkStart w:id="1631" w:name="_Toc99792343"/>
      <w:bookmarkStart w:id="1632" w:name="_Toc193188701"/>
      <w:bookmarkStart w:id="1633" w:name="_Toc115511346"/>
      <w:bookmarkStart w:id="1634" w:name="_Toc98239449"/>
      <w:r>
        <w:rPr>
          <w:rFonts w:hint="eastAsia" w:ascii="宋体" w:hAnsi="宋体" w:cs="宋体"/>
          <w:b/>
          <w:color w:val="auto"/>
          <w:szCs w:val="21"/>
          <w:highlight w:val="none"/>
        </w:rPr>
        <w:t>25、工程量的确认</w:t>
      </w:r>
      <w:bookmarkEnd w:id="1625"/>
      <w:bookmarkEnd w:id="1626"/>
      <w:bookmarkEnd w:id="1627"/>
      <w:bookmarkEnd w:id="1628"/>
      <w:bookmarkEnd w:id="1629"/>
      <w:bookmarkEnd w:id="1630"/>
      <w:bookmarkEnd w:id="1631"/>
      <w:bookmarkEnd w:id="1632"/>
      <w:bookmarkEnd w:id="1633"/>
      <w:bookmarkEnd w:id="1634"/>
    </w:p>
    <w:p>
      <w:pPr>
        <w:adjustRightInd w:val="0"/>
        <w:snapToGrid w:val="0"/>
        <w:spacing w:line="360" w:lineRule="auto"/>
        <w:ind w:firstLine="420" w:firstLineChars="200"/>
        <w:rPr>
          <w:rFonts w:ascii="宋体" w:hAnsi="宋体" w:cs="宋体"/>
          <w:color w:val="auto"/>
          <w:szCs w:val="21"/>
          <w:highlight w:val="none"/>
        </w:rPr>
      </w:pPr>
      <w:bookmarkStart w:id="1635" w:name="_Toc123715535"/>
      <w:r>
        <w:rPr>
          <w:rFonts w:hint="eastAsia" w:ascii="宋体" w:hAnsi="宋体" w:cs="宋体"/>
          <w:color w:val="auto"/>
          <w:szCs w:val="21"/>
          <w:highlight w:val="none"/>
        </w:rPr>
        <w:t>25.1 承包人向工程师提交已完工程量报告的时间：</w:t>
      </w:r>
      <w:bookmarkEnd w:id="1635"/>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承包人应于每月25日向监理人报送上月20日至当月19日已完成的工程量报告，并附具进度付款申请单、已完成工程量报表和有关资料。</w:t>
      </w:r>
      <w:bookmarkStart w:id="1636" w:name="_Toc101155829"/>
      <w:bookmarkStart w:id="1637" w:name="_Toc193188702"/>
      <w:bookmarkStart w:id="1638" w:name="_Toc123715536"/>
      <w:bookmarkStart w:id="1639" w:name="_Toc98239450"/>
      <w:bookmarkStart w:id="1640" w:name="_Toc101156032"/>
      <w:bookmarkStart w:id="1641" w:name="_Toc115511347"/>
      <w:bookmarkStart w:id="1642" w:name="_Toc99792344"/>
      <w:bookmarkStart w:id="1643" w:name="_Toc98238986"/>
      <w:bookmarkStart w:id="1644" w:name="_Toc100123554"/>
      <w:bookmarkStart w:id="1645" w:name="_Toc231612791"/>
    </w:p>
    <w:p>
      <w:pPr>
        <w:adjustRightInd w:val="0"/>
        <w:snapToGrid w:val="0"/>
        <w:spacing w:line="360" w:lineRule="auto"/>
        <w:ind w:firstLine="421" w:firstLineChars="200"/>
        <w:rPr>
          <w:rFonts w:ascii="宋体" w:hAnsi="宋体" w:cs="宋体"/>
          <w:b/>
          <w:color w:val="auto"/>
          <w:szCs w:val="21"/>
          <w:highlight w:val="none"/>
        </w:rPr>
      </w:pPr>
      <w:r>
        <w:rPr>
          <w:rFonts w:hint="eastAsia" w:ascii="宋体" w:hAnsi="宋体" w:cs="宋体"/>
          <w:b/>
          <w:color w:val="auto"/>
          <w:szCs w:val="21"/>
          <w:highlight w:val="none"/>
        </w:rPr>
        <w:t>26、工程款（进度款）支付</w:t>
      </w:r>
      <w:bookmarkEnd w:id="1636"/>
      <w:bookmarkEnd w:id="1637"/>
      <w:bookmarkEnd w:id="1638"/>
      <w:bookmarkEnd w:id="1639"/>
      <w:bookmarkEnd w:id="1640"/>
      <w:bookmarkEnd w:id="1641"/>
      <w:bookmarkEnd w:id="1642"/>
      <w:bookmarkEnd w:id="1643"/>
      <w:bookmarkEnd w:id="1644"/>
      <w:bookmarkEnd w:id="1645"/>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双方约定的工程款（进度款）支付的方式和时间：</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（1）除本合同中另有约定外，本工程的进度款支付将采用按月支付的方式。</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（2）在收到承包人提交的已完工程量报告和进度款请款单</w:t>
      </w:r>
      <w:r>
        <w:rPr>
          <w:rFonts w:hint="eastAsia" w:ascii="宋体" w:hAnsi="宋体" w:cs="宋体"/>
          <w:color w:val="auto"/>
          <w:szCs w:val="21"/>
          <w:highlight w:val="none"/>
          <w:u w:val="single"/>
          <w:lang w:val="en-US" w:eastAsia="zh-CN"/>
        </w:rPr>
        <w:t>及经审核的农民工工资发放的情况说明及有关资料</w:t>
      </w:r>
      <w:r>
        <w:rPr>
          <w:rFonts w:hint="eastAsia" w:ascii="宋体" w:hAnsi="宋体" w:cs="宋体"/>
          <w:color w:val="auto"/>
          <w:szCs w:val="21"/>
          <w:highlight w:val="none"/>
          <w:u w:val="single"/>
        </w:rPr>
        <w:t>后的7天内，工程师应向发包人发送一份进度款付款单，列出工程师认为该月应向承包人支付的工程进度款金额，同时将一份副本开具给承包人。如果对承包人提交的进度款请款单的某部分有争议，工程师就无争议的部分开具进度款付款单。</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（3）发包人应在工程师向发包人发送进度款付款单之日后14天内完成对工程师开具的进度款付款单中所列的款额的审核和批复，并应在完成审核和批复之后14天内按照审核的款项的80%向承包人支付款项。</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（4）如果上月或当月有不合格的分部、分项工程且未按工程师的要求整改，按当月进度款的1%-10%扣罚，且本月进度款暂不予支付，直到整改合格后支付（不含利息）。</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（5）当工程进度款支付到合同金额的80%时，发包人不再向承包人支付工程款，待财政部门出具工程决算批复报告后，再依此付至合同金额的97%，剩余的3%工程款作为本工程的工程保修金。</w:t>
      </w:r>
    </w:p>
    <w:p>
      <w:pPr>
        <w:snapToGrid w:val="0"/>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（6）项目最终验收后28天内，发包人向承包人支付工程保修金。</w:t>
      </w:r>
    </w:p>
    <w:p>
      <w:pPr>
        <w:pStyle w:val="2"/>
        <w:ind w:firstLine="420" w:firstLineChars="200"/>
        <w:rPr>
          <w:rFonts w:hint="default" w:eastAsia="宋体"/>
          <w:color w:val="auto"/>
          <w:highlight w:val="none"/>
          <w:u w:val="single"/>
          <w:lang w:val="en-US" w:eastAsia="zh-CN"/>
        </w:rPr>
      </w:pP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7）</w:t>
      </w:r>
      <w:r>
        <w:rPr>
          <w:rFonts w:hint="eastAsia" w:ascii="宋体" w:hAnsi="宋体"/>
          <w:color w:val="auto"/>
          <w:szCs w:val="21"/>
          <w:highlight w:val="none"/>
          <w:u w:val="single"/>
          <w:lang w:val="en-US" w:eastAsia="zh-CN"/>
        </w:rPr>
        <w:t>承包人应严格按照</w:t>
      </w:r>
      <w:r>
        <w:rPr>
          <w:rFonts w:hint="eastAsia" w:ascii="宋体" w:hAnsi="宋体" w:eastAsia="宋体" w:cs="Times New Roman"/>
          <w:i w:val="0"/>
          <w:iCs w:val="0"/>
          <w:caps w:val="0"/>
          <w:color w:val="auto"/>
          <w:spacing w:val="0"/>
          <w:sz w:val="21"/>
          <w:szCs w:val="21"/>
          <w:highlight w:val="none"/>
          <w:u w:val="single"/>
          <w:shd w:val="clear" w:fill="auto"/>
        </w:rPr>
        <w:t>《重庆市工程建设领域农民工工资专用账户管理实施细则》</w:t>
      </w:r>
      <w:r>
        <w:rPr>
          <w:rFonts w:hint="eastAsia" w:ascii="宋体" w:hAnsi="宋体"/>
          <w:color w:val="auto"/>
          <w:szCs w:val="21"/>
          <w:highlight w:val="none"/>
          <w:u w:val="single"/>
          <w:lang w:val="en-US" w:eastAsia="zh-CN"/>
        </w:rPr>
        <w:t>(渝人社发[2022]45号)文件要求执行,</w:t>
      </w:r>
      <w:r>
        <w:rPr>
          <w:rFonts w:hint="eastAsia" w:ascii="宋体" w:hAnsi="宋体" w:cs="宋体"/>
          <w:color w:val="auto"/>
          <w:szCs w:val="21"/>
          <w:highlight w:val="none"/>
          <w:u w:val="single"/>
          <w:lang w:val="en-US" w:eastAsia="zh-CN"/>
        </w:rPr>
        <w:t>发包人按每月已完工程量的   %作为当月人工费(工资款)拨付至承包人农民工工资专用账户,用于支付民工工资</w:t>
      </w:r>
      <w:r>
        <w:rPr>
          <w:rFonts w:hint="eastAsia" w:ascii="宋体" w:hAnsi="宋体"/>
          <w:color w:val="auto"/>
          <w:szCs w:val="21"/>
          <w:highlight w:val="none"/>
          <w:u w:val="single"/>
        </w:rPr>
        <w:t>。</w:t>
      </w:r>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另本条中补充以下各款：</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26.5</w:t>
      </w:r>
      <w:r>
        <w:rPr>
          <w:rFonts w:hint="eastAsia" w:ascii="宋体" w:hAnsi="宋体" w:cs="宋体"/>
          <w:color w:val="auto"/>
          <w:szCs w:val="21"/>
          <w:highlight w:val="none"/>
        </w:rPr>
        <w:t>承包人应编制已完工程量报告，并作为第26.6款所述的月度进度款请款单的附件或证明文件提交给工程师。第一份已完工程量报告应在开工日期所在月份的最后一天之后的14天内提交，所包含的期间应从开工日期起至开工日期所在月历的最后一天止；此后的每份已完工程量报告均应在当月最后一天之后的14天内提交，所包含的期间应从当月的第一天起至当月的最后一天止，直至工程竣工并移交为止。每一份已完工程量报告应包括：</w:t>
      </w:r>
    </w:p>
    <w:p>
      <w:pPr>
        <w:snapToGrid w:val="0"/>
        <w:spacing w:line="360" w:lineRule="auto"/>
        <w:ind w:firstLine="420" w:firstLineChars="200"/>
        <w:rPr>
          <w:rFonts w:ascii="宋体" w:hAnsi="宋体" w:cs="宋体"/>
          <w:color w:val="auto"/>
          <w:szCs w:val="21"/>
          <w:highlight w:val="none"/>
        </w:rPr>
      </w:pPr>
      <w:bookmarkStart w:id="1646" w:name="_Toc231613115"/>
      <w:bookmarkStart w:id="1647" w:name="_Toc231612792"/>
      <w:bookmarkStart w:id="1648" w:name="_Toc231612968"/>
      <w:r>
        <w:rPr>
          <w:rFonts w:hint="eastAsia" w:ascii="宋体" w:hAnsi="宋体" w:cs="宋体"/>
          <w:color w:val="auto"/>
          <w:szCs w:val="21"/>
          <w:highlight w:val="none"/>
        </w:rPr>
        <w:t>（1）已完工程量和本月完成工程量；</w:t>
      </w:r>
      <w:bookmarkEnd w:id="1646"/>
      <w:bookmarkEnd w:id="1647"/>
      <w:bookmarkEnd w:id="1648"/>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（2）反映工程进展情况的详细说明和任何必要的图表；</w:t>
      </w:r>
    </w:p>
    <w:p>
      <w:pPr>
        <w:snapToGrid w:val="0"/>
        <w:spacing w:line="360" w:lineRule="auto"/>
        <w:ind w:firstLine="420" w:firstLineChars="200"/>
        <w:rPr>
          <w:rFonts w:ascii="宋体" w:hAnsi="宋体" w:cs="宋体"/>
          <w:color w:val="auto"/>
          <w:szCs w:val="21"/>
          <w:highlight w:val="none"/>
        </w:rPr>
      </w:pPr>
      <w:bookmarkStart w:id="1649" w:name="_Toc231613116"/>
      <w:bookmarkStart w:id="1650" w:name="_Toc231612969"/>
      <w:bookmarkStart w:id="1651" w:name="_Toc231612793"/>
      <w:r>
        <w:rPr>
          <w:rFonts w:hint="eastAsia" w:ascii="宋体" w:hAnsi="宋体" w:cs="宋体"/>
          <w:color w:val="auto"/>
          <w:szCs w:val="21"/>
          <w:highlight w:val="none"/>
        </w:rPr>
        <w:t>（3）承包人在现场的人员及施工机械的记录；</w:t>
      </w:r>
      <w:bookmarkEnd w:id="1649"/>
      <w:bookmarkEnd w:id="1650"/>
      <w:bookmarkEnd w:id="1651"/>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（4）必要的质量证明文件、材料的检验结果及证书；</w:t>
      </w:r>
    </w:p>
    <w:p>
      <w:pPr>
        <w:snapToGrid w:val="0"/>
        <w:spacing w:line="360" w:lineRule="auto"/>
        <w:ind w:firstLine="420" w:firstLineChars="200"/>
        <w:rPr>
          <w:rFonts w:ascii="宋体" w:hAnsi="宋体" w:cs="宋体"/>
          <w:color w:val="auto"/>
          <w:szCs w:val="21"/>
          <w:highlight w:val="none"/>
        </w:rPr>
      </w:pPr>
      <w:bookmarkStart w:id="1652" w:name="_Toc231613117"/>
      <w:bookmarkStart w:id="1653" w:name="_Toc231612970"/>
      <w:bookmarkStart w:id="1654" w:name="_Toc231612794"/>
      <w:r>
        <w:rPr>
          <w:rFonts w:hint="eastAsia" w:ascii="宋体" w:hAnsi="宋体" w:cs="宋体"/>
          <w:color w:val="auto"/>
          <w:szCs w:val="21"/>
          <w:highlight w:val="none"/>
        </w:rPr>
        <w:t>（5）安全状况；</w:t>
      </w:r>
      <w:bookmarkEnd w:id="1652"/>
      <w:bookmarkEnd w:id="1653"/>
      <w:bookmarkEnd w:id="1654"/>
    </w:p>
    <w:p>
      <w:pPr>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（6）实际进度与计划进度的对比，包括可能影响工程按照进度计划进行的任何因素，以及为消除这些因素正在采取（或准备采取）的措施。</w:t>
      </w:r>
    </w:p>
    <w:p>
      <w:pPr>
        <w:pStyle w:val="2"/>
        <w:ind w:firstLine="420" w:firstLineChars="200"/>
        <w:rPr>
          <w:rFonts w:hint="default" w:eastAsia="宋体"/>
          <w:color w:val="auto"/>
          <w:highlight w:val="none"/>
          <w:lang w:val="en-US" w:eastAsia="zh-CN"/>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7)经审核的农民工工资发放的情况说明及有关资料。</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26.6</w:t>
      </w:r>
      <w:r>
        <w:rPr>
          <w:rFonts w:hint="eastAsia" w:ascii="宋体" w:hAnsi="宋体" w:cs="宋体"/>
          <w:color w:val="auto"/>
          <w:szCs w:val="21"/>
          <w:highlight w:val="none"/>
        </w:rPr>
        <w:t>承包人应按工程师同意的格式，并按照第26.5款中相同的时间要求，每月向工程师提交一式三份的月度进度款请款单，说明承包人认为自己在该月度有权得到的款额，同时提交包括第 26.5 款中已完工程量报告在内的任何必要的计算书、清单或其他证明文件。</w:t>
      </w:r>
    </w:p>
    <w:p>
      <w:pPr>
        <w:adjustRightInd w:val="0"/>
        <w:snapToGrid w:val="0"/>
        <w:spacing w:line="360" w:lineRule="auto"/>
        <w:rPr>
          <w:rFonts w:ascii="方正黑体_GBK" w:hAnsi="宋体" w:eastAsia="方正黑体_GBK" w:cs="宋体"/>
          <w:b/>
          <w:bCs/>
          <w:color w:val="auto"/>
          <w:szCs w:val="21"/>
          <w:highlight w:val="none"/>
        </w:rPr>
      </w:pPr>
      <w:bookmarkStart w:id="1655" w:name="_Toc231612971"/>
      <w:bookmarkStart w:id="1656" w:name="_Toc101156033"/>
      <w:bookmarkStart w:id="1657" w:name="_Toc231613118"/>
      <w:bookmarkStart w:id="1658" w:name="_Toc101155830"/>
      <w:bookmarkStart w:id="1659" w:name="_Toc99792345"/>
      <w:bookmarkStart w:id="1660" w:name="_Toc98239451"/>
      <w:bookmarkStart w:id="1661" w:name="_Toc123715537"/>
      <w:bookmarkStart w:id="1662" w:name="_Toc115511348"/>
      <w:bookmarkStart w:id="1663" w:name="_Toc100123555"/>
      <w:bookmarkStart w:id="1664" w:name="_Toc231612795"/>
      <w:bookmarkStart w:id="1665" w:name="_Toc98238987"/>
      <w:bookmarkStart w:id="1666" w:name="_Toc193188703"/>
      <w:r>
        <w:rPr>
          <w:rFonts w:hint="eastAsia" w:ascii="方正黑体_GBK" w:hAnsi="宋体" w:eastAsia="方正黑体_GBK" w:cs="宋体"/>
          <w:b/>
          <w:bCs/>
          <w:color w:val="auto"/>
          <w:szCs w:val="21"/>
          <w:highlight w:val="none"/>
        </w:rPr>
        <w:t>七、材料设备供应</w:t>
      </w:r>
      <w:bookmarkEnd w:id="1655"/>
      <w:bookmarkEnd w:id="1656"/>
      <w:bookmarkEnd w:id="1657"/>
      <w:bookmarkEnd w:id="1658"/>
      <w:bookmarkEnd w:id="1659"/>
      <w:bookmarkEnd w:id="1660"/>
      <w:bookmarkEnd w:id="1661"/>
      <w:bookmarkEnd w:id="1662"/>
      <w:bookmarkEnd w:id="1663"/>
      <w:bookmarkEnd w:id="1664"/>
      <w:bookmarkEnd w:id="1665"/>
      <w:bookmarkEnd w:id="1666"/>
    </w:p>
    <w:p>
      <w:pPr>
        <w:adjustRightInd w:val="0"/>
        <w:snapToGrid w:val="0"/>
        <w:spacing w:line="360" w:lineRule="auto"/>
        <w:ind w:firstLine="421" w:firstLineChars="200"/>
        <w:rPr>
          <w:rFonts w:ascii="宋体" w:hAnsi="宋体" w:cs="宋体"/>
          <w:b/>
          <w:color w:val="auto"/>
          <w:szCs w:val="21"/>
          <w:highlight w:val="none"/>
        </w:rPr>
      </w:pPr>
      <w:bookmarkStart w:id="1667" w:name="_Toc193188704"/>
      <w:bookmarkStart w:id="1668" w:name="_Toc99792346"/>
      <w:bookmarkStart w:id="1669" w:name="_Toc100123556"/>
      <w:bookmarkStart w:id="1670" w:name="_Toc98238988"/>
      <w:bookmarkStart w:id="1671" w:name="_Toc101156034"/>
      <w:bookmarkStart w:id="1672" w:name="_Toc101155831"/>
      <w:bookmarkStart w:id="1673" w:name="_Toc115511349"/>
      <w:bookmarkStart w:id="1674" w:name="_Toc231612796"/>
      <w:bookmarkStart w:id="1675" w:name="_Toc98239452"/>
      <w:bookmarkStart w:id="1676" w:name="_Toc123715538"/>
      <w:r>
        <w:rPr>
          <w:rFonts w:hint="eastAsia" w:ascii="宋体" w:hAnsi="宋体" w:cs="宋体"/>
          <w:b/>
          <w:color w:val="auto"/>
          <w:szCs w:val="21"/>
          <w:highlight w:val="none"/>
        </w:rPr>
        <w:t>27、发包人供应材料设备</w:t>
      </w:r>
      <w:bookmarkEnd w:id="1667"/>
      <w:bookmarkEnd w:id="1668"/>
      <w:bookmarkEnd w:id="1669"/>
      <w:bookmarkEnd w:id="1670"/>
      <w:bookmarkEnd w:id="1671"/>
      <w:bookmarkEnd w:id="1672"/>
      <w:bookmarkEnd w:id="1673"/>
      <w:bookmarkEnd w:id="1674"/>
      <w:bookmarkEnd w:id="1675"/>
      <w:bookmarkEnd w:id="1676"/>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发包人供应材料设备</w:t>
      </w:r>
      <w:r>
        <w:rPr>
          <w:rFonts w:hint="eastAsia" w:ascii="宋体" w:hAnsi="宋体" w:cs="宋体"/>
          <w:color w:val="auto"/>
          <w:szCs w:val="21"/>
          <w:highlight w:val="none"/>
          <w:u w:val="single"/>
        </w:rPr>
        <w:t xml:space="preserve">   /  。    </w:t>
      </w:r>
    </w:p>
    <w:p>
      <w:pPr>
        <w:adjustRightInd w:val="0"/>
        <w:snapToGrid w:val="0"/>
        <w:spacing w:line="360" w:lineRule="auto"/>
        <w:ind w:firstLine="421" w:firstLineChars="200"/>
        <w:rPr>
          <w:rFonts w:ascii="宋体" w:hAnsi="宋体" w:cs="宋体"/>
          <w:b/>
          <w:color w:val="auto"/>
          <w:szCs w:val="21"/>
          <w:highlight w:val="none"/>
        </w:rPr>
      </w:pPr>
      <w:bookmarkStart w:id="1677" w:name="_Toc231613119"/>
      <w:bookmarkStart w:id="1678" w:name="_Toc100123557"/>
      <w:bookmarkStart w:id="1679" w:name="_Toc101155832"/>
      <w:bookmarkStart w:id="1680" w:name="_Toc98239453"/>
      <w:bookmarkStart w:id="1681" w:name="_Toc123715539"/>
      <w:bookmarkStart w:id="1682" w:name="_Toc193188705"/>
      <w:bookmarkStart w:id="1683" w:name="_Toc231612972"/>
      <w:bookmarkStart w:id="1684" w:name="_Toc98238989"/>
      <w:bookmarkStart w:id="1685" w:name="_Toc101156035"/>
      <w:bookmarkStart w:id="1686" w:name="_Toc231612797"/>
      <w:bookmarkStart w:id="1687" w:name="_Toc115511350"/>
      <w:bookmarkStart w:id="1688" w:name="_Toc99792347"/>
      <w:r>
        <w:rPr>
          <w:rFonts w:hint="eastAsia" w:ascii="宋体" w:hAnsi="宋体" w:cs="宋体"/>
          <w:b/>
          <w:color w:val="auto"/>
          <w:szCs w:val="21"/>
          <w:highlight w:val="none"/>
        </w:rPr>
        <w:t>28、承包人采购材料设备</w:t>
      </w:r>
      <w:bookmarkEnd w:id="1677"/>
      <w:bookmarkEnd w:id="1678"/>
      <w:bookmarkEnd w:id="1679"/>
      <w:bookmarkEnd w:id="1680"/>
      <w:bookmarkEnd w:id="1681"/>
      <w:bookmarkEnd w:id="1682"/>
      <w:bookmarkEnd w:id="1683"/>
      <w:bookmarkEnd w:id="1684"/>
      <w:bookmarkEnd w:id="1685"/>
      <w:bookmarkEnd w:id="1686"/>
      <w:bookmarkEnd w:id="1687"/>
      <w:bookmarkEnd w:id="1688"/>
    </w:p>
    <w:p>
      <w:pPr>
        <w:adjustRightInd w:val="0"/>
        <w:snapToGrid w:val="0"/>
        <w:spacing w:line="360" w:lineRule="auto"/>
        <w:ind w:firstLine="420" w:firstLineChars="200"/>
        <w:rPr>
          <w:rFonts w:ascii="宋体" w:hAnsi="宋体" w:cs="宋体"/>
          <w:color w:val="auto"/>
          <w:szCs w:val="21"/>
          <w:highlight w:val="none"/>
        </w:rPr>
      </w:pPr>
      <w:bookmarkStart w:id="1689" w:name="_Toc123715540"/>
      <w:bookmarkStart w:id="1690" w:name="_Toc231612798"/>
      <w:bookmarkStart w:id="1691" w:name="_Toc231612973"/>
      <w:bookmarkStart w:id="1692" w:name="_Toc231613120"/>
      <w:r>
        <w:rPr>
          <w:rFonts w:hint="eastAsia" w:ascii="宋体" w:hAnsi="宋体" w:cs="宋体"/>
          <w:color w:val="auto"/>
          <w:szCs w:val="21"/>
          <w:highlight w:val="none"/>
        </w:rPr>
        <w:t>28.1承包人采购材料设备的约定：必须符合合同的约定，并且必须经过发包人和监理工程师验收或批准后方可使用。</w:t>
      </w:r>
      <w:bookmarkEnd w:id="1689"/>
      <w:bookmarkEnd w:id="1690"/>
      <w:bookmarkEnd w:id="1691"/>
      <w:bookmarkEnd w:id="1692"/>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将通用条款28.3款修改如下：</w:t>
      </w:r>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 xml:space="preserve">28.3 </w:t>
      </w:r>
      <w:r>
        <w:rPr>
          <w:rFonts w:hint="eastAsia" w:ascii="宋体" w:hAnsi="宋体" w:cs="宋体"/>
          <w:color w:val="auto"/>
          <w:szCs w:val="21"/>
          <w:highlight w:val="none"/>
        </w:rPr>
        <w:t>承包人采购的材料设备在使用前，承包人应按工程师的要求进行检验或试验，不合格的不得使用，并在工程师要求的时间内将不合格材料、设备清退出场，检验或试验费用由承包人承担。</w:t>
      </w:r>
    </w:p>
    <w:p>
      <w:pPr>
        <w:adjustRightInd w:val="0"/>
        <w:snapToGrid w:val="0"/>
        <w:spacing w:line="360" w:lineRule="auto"/>
        <w:ind w:firstLine="421" w:firstLineChars="200"/>
        <w:rPr>
          <w:rFonts w:ascii="宋体" w:hAnsi="宋体" w:cs="宋体"/>
          <w:b/>
          <w:bCs/>
          <w:color w:val="auto"/>
          <w:szCs w:val="21"/>
          <w:highlight w:val="none"/>
        </w:rPr>
      </w:pPr>
      <w:bookmarkStart w:id="1693" w:name="_Toc123715541"/>
      <w:r>
        <w:rPr>
          <w:rFonts w:hint="eastAsia" w:ascii="宋体" w:hAnsi="宋体" w:cs="宋体"/>
          <w:b/>
          <w:bCs/>
          <w:color w:val="auto"/>
          <w:szCs w:val="21"/>
          <w:highlight w:val="none"/>
        </w:rPr>
        <w:t>将通用条款28.5款修改如下：</w:t>
      </w:r>
      <w:bookmarkEnd w:id="1693"/>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28.5</w:t>
      </w:r>
      <w:r>
        <w:rPr>
          <w:rFonts w:hint="eastAsia" w:ascii="宋体" w:hAnsi="宋体" w:cs="宋体"/>
          <w:color w:val="auto"/>
          <w:szCs w:val="21"/>
          <w:highlight w:val="none"/>
        </w:rPr>
        <w:t>承包人需要使用代用材料时，应经工程师和发包人、设计单位代表共同认可后才能使用，合同价款调整必须按有关规定处理并以书面形式确定。</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本款所提及的承包人需要使用代用材料，仅限于出现下列情况时：</w:t>
      </w:r>
    </w:p>
    <w:p>
      <w:pPr>
        <w:snapToGrid w:val="0"/>
        <w:spacing w:line="360" w:lineRule="auto"/>
        <w:ind w:firstLine="420" w:firstLineChars="200"/>
        <w:rPr>
          <w:rFonts w:ascii="宋体" w:hAnsi="宋体" w:cs="宋体"/>
          <w:color w:val="auto"/>
          <w:szCs w:val="21"/>
          <w:highlight w:val="none"/>
        </w:rPr>
      </w:pPr>
      <w:bookmarkStart w:id="1694" w:name="_Toc231612974"/>
      <w:bookmarkStart w:id="1695" w:name="_Toc231613121"/>
      <w:bookmarkStart w:id="1696" w:name="_Toc231612799"/>
      <w:r>
        <w:rPr>
          <w:rFonts w:hint="eastAsia" w:ascii="宋体" w:hAnsi="宋体" w:cs="宋体"/>
          <w:color w:val="auto"/>
          <w:szCs w:val="21"/>
          <w:highlight w:val="none"/>
        </w:rPr>
        <w:t>（1）市场上无供应或在一定时间内突然供应短缺；</w:t>
      </w:r>
      <w:bookmarkEnd w:id="1694"/>
      <w:bookmarkEnd w:id="1695"/>
      <w:bookmarkEnd w:id="1696"/>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（2）政府或有关管理机构在合同签订后出台的规章、规定禁止使用；</w:t>
      </w:r>
    </w:p>
    <w:p>
      <w:pPr>
        <w:snapToGrid w:val="0"/>
        <w:spacing w:line="360" w:lineRule="auto"/>
        <w:ind w:firstLine="420" w:firstLineChars="200"/>
        <w:rPr>
          <w:rFonts w:ascii="宋体" w:hAnsi="宋体" w:cs="宋体"/>
          <w:color w:val="auto"/>
          <w:szCs w:val="21"/>
          <w:highlight w:val="none"/>
        </w:rPr>
      </w:pPr>
      <w:bookmarkStart w:id="1697" w:name="_Toc231612975"/>
      <w:bookmarkStart w:id="1698" w:name="_Toc231612800"/>
      <w:bookmarkStart w:id="1699" w:name="_Toc231613122"/>
      <w:r>
        <w:rPr>
          <w:rFonts w:hint="eastAsia" w:ascii="宋体" w:hAnsi="宋体" w:cs="宋体"/>
          <w:color w:val="auto"/>
          <w:szCs w:val="21"/>
          <w:highlight w:val="none"/>
        </w:rPr>
        <w:t>（3）发包人或工程师要求使用其他替代品；</w:t>
      </w:r>
      <w:bookmarkEnd w:id="1697"/>
      <w:bookmarkEnd w:id="1698"/>
      <w:bookmarkEnd w:id="1699"/>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（4）任何其他可能的原因使得使用其他替代品成为必要。</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如果使用替代品，承包人应至少在被代换品按批准的进度计划将被用于工程前14天以书面形式通知工程师并随此通知提交下列文件：</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（1）拟被替代的合同中约定的材料和工程设备的名称、数量、规格、型号、品牌、性能、价格及其他任何详细资料；</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（2）拟采用的替代品的名称、数量、规格、型号、品牌、性能、价格及其他必要的详细资料；</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（3）替代品使用的工程部位；</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（4）采用替代品的理由和原因申述；</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（5）替代品与合同中约定的产品之间的差异以及使用替代品后可能对工程产生的任何方面的影响；</w:t>
      </w:r>
    </w:p>
    <w:p>
      <w:pPr>
        <w:snapToGrid w:val="0"/>
        <w:spacing w:line="360" w:lineRule="auto"/>
        <w:ind w:firstLine="420" w:firstLineChars="200"/>
        <w:rPr>
          <w:rFonts w:ascii="宋体" w:hAnsi="宋体" w:cs="宋体"/>
          <w:color w:val="auto"/>
          <w:szCs w:val="21"/>
          <w:highlight w:val="none"/>
        </w:rPr>
      </w:pPr>
      <w:bookmarkStart w:id="1700" w:name="_Toc231612976"/>
      <w:bookmarkStart w:id="1701" w:name="_Toc231612801"/>
      <w:bookmarkStart w:id="1702" w:name="_Toc231613123"/>
      <w:r>
        <w:rPr>
          <w:rFonts w:hint="eastAsia" w:ascii="宋体" w:hAnsi="宋体" w:cs="宋体"/>
          <w:color w:val="auto"/>
          <w:szCs w:val="21"/>
          <w:highlight w:val="none"/>
        </w:rPr>
        <w:t>（6）价格差异；</w:t>
      </w:r>
      <w:bookmarkEnd w:id="1700"/>
      <w:bookmarkEnd w:id="1701"/>
      <w:bookmarkEnd w:id="1702"/>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（7）工程师为做出适当的决定而随时要求承包人提供的任何其他文件。</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工程师在收到此类通知及上述文件后，应在14天内向承包人给出书面指示。如果14天内工程师未给出书面指示，应视为工程师已经批准使用上述替代品，承包人可以据此使用替代品。工程师对使用替代品的批准以及承包人据此使用替代品不应解除承包人合同约定的任何职责和义务。</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任何情况下，使用替代品都应遵守本合同中其他对材料和工程设备的任何约定。</w:t>
      </w:r>
    </w:p>
    <w:p>
      <w:pPr>
        <w:adjustRightInd w:val="0"/>
        <w:snapToGrid w:val="0"/>
        <w:spacing w:line="360" w:lineRule="auto"/>
        <w:rPr>
          <w:rFonts w:ascii="方正黑体_GBK" w:hAnsi="宋体" w:eastAsia="方正黑体_GBK" w:cs="宋体"/>
          <w:b/>
          <w:bCs/>
          <w:color w:val="auto"/>
          <w:szCs w:val="21"/>
          <w:highlight w:val="none"/>
        </w:rPr>
      </w:pPr>
      <w:bookmarkStart w:id="1703" w:name="_Toc101155833"/>
      <w:bookmarkStart w:id="1704" w:name="_Toc123715542"/>
      <w:bookmarkStart w:id="1705" w:name="_Toc193188706"/>
      <w:bookmarkStart w:id="1706" w:name="_Toc98238990"/>
      <w:bookmarkStart w:id="1707" w:name="_Toc99792348"/>
      <w:bookmarkStart w:id="1708" w:name="_Toc100123558"/>
      <w:bookmarkStart w:id="1709" w:name="_Toc101156036"/>
      <w:bookmarkStart w:id="1710" w:name="_Toc231612802"/>
      <w:bookmarkStart w:id="1711" w:name="_Toc98239454"/>
      <w:bookmarkStart w:id="1712" w:name="_Toc115511351"/>
      <w:r>
        <w:rPr>
          <w:rFonts w:hint="eastAsia" w:ascii="方正黑体_GBK" w:hAnsi="宋体" w:eastAsia="方正黑体_GBK" w:cs="宋体"/>
          <w:b/>
          <w:bCs/>
          <w:color w:val="auto"/>
          <w:szCs w:val="21"/>
          <w:highlight w:val="none"/>
        </w:rPr>
        <w:t>八、工程变更</w:t>
      </w:r>
      <w:bookmarkEnd w:id="1703"/>
      <w:bookmarkEnd w:id="1704"/>
      <w:bookmarkEnd w:id="1705"/>
      <w:bookmarkEnd w:id="1706"/>
      <w:bookmarkEnd w:id="1707"/>
      <w:bookmarkEnd w:id="1708"/>
      <w:bookmarkEnd w:id="1709"/>
      <w:bookmarkEnd w:id="1710"/>
      <w:bookmarkEnd w:id="1711"/>
      <w:bookmarkEnd w:id="1712"/>
    </w:p>
    <w:p>
      <w:pPr>
        <w:adjustRightInd w:val="0"/>
        <w:snapToGrid w:val="0"/>
        <w:spacing w:line="360" w:lineRule="auto"/>
        <w:ind w:firstLine="421" w:firstLineChars="200"/>
        <w:rPr>
          <w:rFonts w:ascii="宋体" w:hAnsi="宋体" w:cs="宋体"/>
          <w:b/>
          <w:color w:val="auto"/>
          <w:szCs w:val="21"/>
          <w:highlight w:val="none"/>
        </w:rPr>
      </w:pPr>
      <w:bookmarkStart w:id="1713" w:name="_Toc123715543"/>
      <w:bookmarkStart w:id="1714" w:name="_Toc231612803"/>
      <w:bookmarkStart w:id="1715" w:name="_Toc193188707"/>
      <w:bookmarkStart w:id="1716" w:name="_Toc231612977"/>
      <w:bookmarkStart w:id="1717" w:name="_Toc231613124"/>
      <w:r>
        <w:rPr>
          <w:rFonts w:hint="eastAsia" w:ascii="宋体" w:hAnsi="宋体" w:cs="宋体"/>
          <w:b/>
          <w:color w:val="auto"/>
          <w:szCs w:val="21"/>
          <w:highlight w:val="none"/>
        </w:rPr>
        <w:t>29. 工程设计变更</w:t>
      </w:r>
      <w:bookmarkEnd w:id="1713"/>
      <w:bookmarkEnd w:id="1714"/>
      <w:bookmarkEnd w:id="1715"/>
      <w:bookmarkEnd w:id="1716"/>
      <w:bookmarkEnd w:id="1717"/>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将通用条款29.1款修改如下：</w:t>
      </w:r>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29.1</w:t>
      </w:r>
      <w:r>
        <w:rPr>
          <w:rFonts w:hint="eastAsia" w:ascii="宋体" w:hAnsi="宋体" w:cs="宋体"/>
          <w:color w:val="auto"/>
          <w:szCs w:val="21"/>
          <w:highlight w:val="none"/>
        </w:rPr>
        <w:t xml:space="preserve"> 施工中发包人需对原工程设计进行变更，应在14天以内书以书面形式通过工程师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 更改工程有关部分的标高、基线、位置和尺寸；</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 增减合同中约定的工程量；</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 改变有关工程的施工时间和顺序；</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 其他有关工程变更需要的附加工作。</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因变更导致合同价款的增减及造成的承包人损失，由发包人承担，延误的工期相应顺延。</w:t>
      </w:r>
    </w:p>
    <w:p>
      <w:pPr>
        <w:adjustRightInd w:val="0"/>
        <w:snapToGrid w:val="0"/>
        <w:spacing w:line="360" w:lineRule="auto"/>
        <w:ind w:firstLine="421" w:firstLineChars="200"/>
        <w:rPr>
          <w:rFonts w:ascii="宋体" w:hAnsi="宋体" w:cs="宋体"/>
          <w:b/>
          <w:color w:val="auto"/>
          <w:szCs w:val="21"/>
          <w:highlight w:val="none"/>
        </w:rPr>
      </w:pPr>
      <w:bookmarkStart w:id="1718" w:name="_Toc193188708"/>
      <w:bookmarkStart w:id="1719" w:name="_Toc231612978"/>
      <w:bookmarkStart w:id="1720" w:name="_Toc123715544"/>
      <w:bookmarkStart w:id="1721" w:name="_Toc231612804"/>
      <w:bookmarkStart w:id="1722" w:name="_Toc231613125"/>
      <w:r>
        <w:rPr>
          <w:rFonts w:hint="eastAsia" w:ascii="宋体" w:hAnsi="宋体" w:cs="宋体"/>
          <w:b/>
          <w:color w:val="auto"/>
          <w:szCs w:val="21"/>
          <w:highlight w:val="none"/>
        </w:rPr>
        <w:t>30、其他变更</w:t>
      </w:r>
      <w:bookmarkEnd w:id="1718"/>
      <w:bookmarkEnd w:id="1719"/>
      <w:bookmarkEnd w:id="1720"/>
      <w:bookmarkEnd w:id="1721"/>
      <w:bookmarkEnd w:id="1722"/>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将通用条款30.1款修改如下：</w:t>
      </w:r>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30.1</w:t>
      </w:r>
      <w:r>
        <w:rPr>
          <w:rFonts w:hint="eastAsia" w:ascii="宋体" w:hAnsi="宋体" w:cs="宋体"/>
          <w:color w:val="auto"/>
          <w:szCs w:val="21"/>
          <w:highlight w:val="none"/>
        </w:rPr>
        <w:t>合同履行中发包人要求变更工程质量标准及发生其他实质性变更，由双方协商解决，但均须按规定程序进行审批。</w:t>
      </w:r>
    </w:p>
    <w:p>
      <w:pPr>
        <w:adjustRightInd w:val="0"/>
        <w:snapToGrid w:val="0"/>
        <w:spacing w:line="360" w:lineRule="auto"/>
        <w:ind w:firstLine="421" w:firstLineChars="200"/>
        <w:rPr>
          <w:rFonts w:ascii="宋体" w:hAnsi="宋体" w:cs="宋体"/>
          <w:b/>
          <w:color w:val="auto"/>
          <w:szCs w:val="21"/>
          <w:highlight w:val="none"/>
        </w:rPr>
      </w:pPr>
      <w:bookmarkStart w:id="1723" w:name="_Toc123715545"/>
      <w:bookmarkStart w:id="1724" w:name="_Toc193188709"/>
      <w:bookmarkStart w:id="1725" w:name="_Toc231612805"/>
      <w:r>
        <w:rPr>
          <w:rFonts w:hint="eastAsia" w:ascii="宋体" w:hAnsi="宋体" w:cs="宋体"/>
          <w:b/>
          <w:color w:val="auto"/>
          <w:szCs w:val="21"/>
          <w:highlight w:val="none"/>
        </w:rPr>
        <w:t>31. 确定变更价款</w:t>
      </w:r>
      <w:bookmarkEnd w:id="1723"/>
      <w:bookmarkEnd w:id="1724"/>
      <w:bookmarkEnd w:id="1725"/>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将通用条款31.1款更改如下：</w:t>
      </w:r>
    </w:p>
    <w:p>
      <w:pPr>
        <w:adjustRightInd w:val="0"/>
        <w:snapToGrid w:val="0"/>
        <w:spacing w:line="360" w:lineRule="auto"/>
        <w:ind w:firstLine="420" w:firstLineChars="200"/>
        <w:rPr>
          <w:rFonts w:ascii="宋体" w:hAnsi="宋体" w:cs="宋体"/>
          <w:color w:val="auto"/>
          <w:szCs w:val="21"/>
          <w:highlight w:val="none"/>
        </w:rPr>
      </w:pPr>
      <w:bookmarkStart w:id="1726" w:name="_Toc231612979"/>
      <w:bookmarkStart w:id="1727" w:name="_Toc231613126"/>
      <w:bookmarkStart w:id="1728" w:name="_Toc231612806"/>
      <w:r>
        <w:rPr>
          <w:rFonts w:hint="eastAsia" w:ascii="宋体" w:hAnsi="宋体" w:cs="宋体"/>
          <w:color w:val="auto"/>
          <w:szCs w:val="21"/>
          <w:highlight w:val="none"/>
        </w:rPr>
        <w:t>（1）调增建设内容引起合同价调整的，价格调整如下</w:t>
      </w:r>
      <w:bookmarkEnd w:id="1726"/>
      <w:bookmarkEnd w:id="1727"/>
      <w:bookmarkEnd w:id="1728"/>
      <w:r>
        <w:rPr>
          <w:rFonts w:hint="eastAsia" w:ascii="宋体" w:hAnsi="宋体" w:cs="宋体"/>
          <w:color w:val="auto"/>
          <w:szCs w:val="21"/>
          <w:highlight w:val="none"/>
        </w:rPr>
        <w:t>：</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eq \o\ac(</w:instrText>
      </w:r>
      <w:r>
        <w:rPr>
          <w:rFonts w:hint="eastAsia" w:ascii="宋体" w:hAnsi="宋体" w:cs="宋体"/>
          <w:color w:val="auto"/>
          <w:position w:val="-4"/>
          <w:szCs w:val="21"/>
          <w:highlight w:val="none"/>
        </w:rPr>
        <w:instrText xml:space="preserve">○</w:instrText>
      </w:r>
      <w:r>
        <w:rPr>
          <w:rFonts w:hint="eastAsia" w:ascii="宋体" w:hAnsi="宋体" w:cs="宋体"/>
          <w:color w:val="auto"/>
          <w:szCs w:val="21"/>
          <w:highlight w:val="none"/>
        </w:rPr>
        <w:instrText xml:space="preserve">,1)</w:instrText>
      </w:r>
      <w:r>
        <w:rPr>
          <w:rFonts w:hint="eastAsia" w:ascii="宋体" w:hAnsi="宋体" w:cs="宋体"/>
          <w:color w:val="auto"/>
          <w:szCs w:val="21"/>
          <w:highlight w:val="none"/>
        </w:rPr>
        <w:fldChar w:fldCharType="end"/>
      </w:r>
      <w:r>
        <w:rPr>
          <w:rFonts w:hint="eastAsia" w:ascii="宋体" w:hAnsi="宋体" w:cs="宋体"/>
          <w:color w:val="auto"/>
          <w:szCs w:val="21"/>
          <w:highlight w:val="none"/>
        </w:rPr>
        <w:t>合同中已有适用于变更工程的价格，按合同已有的价格变更合同价款；</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eq \o\ac(</w:instrText>
      </w:r>
      <w:r>
        <w:rPr>
          <w:rFonts w:hint="eastAsia" w:ascii="宋体" w:hAnsi="宋体" w:cs="宋体"/>
          <w:color w:val="auto"/>
          <w:position w:val="-4"/>
          <w:szCs w:val="21"/>
          <w:highlight w:val="none"/>
        </w:rPr>
        <w:instrText xml:space="preserve">○</w:instrText>
      </w:r>
      <w:r>
        <w:rPr>
          <w:rFonts w:hint="eastAsia" w:ascii="宋体" w:hAnsi="宋体" w:cs="宋体"/>
          <w:color w:val="auto"/>
          <w:szCs w:val="21"/>
          <w:highlight w:val="none"/>
        </w:rPr>
        <w:instrText xml:space="preserve">,2)</w:instrText>
      </w:r>
      <w:r>
        <w:rPr>
          <w:rFonts w:hint="eastAsia" w:ascii="宋体" w:hAnsi="宋体" w:cs="宋体"/>
          <w:color w:val="auto"/>
          <w:szCs w:val="21"/>
          <w:highlight w:val="none"/>
        </w:rPr>
        <w:fldChar w:fldCharType="end"/>
      </w:r>
      <w:r>
        <w:rPr>
          <w:rFonts w:hint="eastAsia" w:ascii="宋体" w:hAnsi="宋体" w:cs="宋体"/>
          <w:color w:val="auto"/>
          <w:szCs w:val="21"/>
          <w:highlight w:val="none"/>
        </w:rPr>
        <w:t>合同中只有类似于变更工程的价格，可以参照类似价格变更合同价款；</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eq \o\ac(</w:instrText>
      </w:r>
      <w:r>
        <w:rPr>
          <w:rFonts w:hint="eastAsia" w:ascii="宋体" w:hAnsi="宋体" w:cs="宋体"/>
          <w:color w:val="auto"/>
          <w:position w:val="-4"/>
          <w:szCs w:val="21"/>
          <w:highlight w:val="none"/>
        </w:rPr>
        <w:instrText xml:space="preserve">○</w:instrText>
      </w:r>
      <w:r>
        <w:rPr>
          <w:rFonts w:hint="eastAsia" w:ascii="宋体" w:hAnsi="宋体" w:cs="宋体"/>
          <w:color w:val="auto"/>
          <w:szCs w:val="21"/>
          <w:highlight w:val="none"/>
        </w:rPr>
        <w:instrText xml:space="preserve">,3)</w:instrText>
      </w:r>
      <w:r>
        <w:rPr>
          <w:rFonts w:hint="eastAsia" w:ascii="宋体" w:hAnsi="宋体" w:cs="宋体"/>
          <w:color w:val="auto"/>
          <w:szCs w:val="21"/>
          <w:highlight w:val="none"/>
        </w:rPr>
        <w:fldChar w:fldCharType="end"/>
      </w:r>
      <w:r>
        <w:rPr>
          <w:rFonts w:hint="eastAsia" w:ascii="宋体" w:hAnsi="宋体" w:cs="宋体"/>
          <w:color w:val="auto"/>
          <w:szCs w:val="21"/>
          <w:highlight w:val="none"/>
        </w:rPr>
        <w:t>本合同中没有适用或类似于变更工程价格的，由承包人</w:t>
      </w:r>
      <w:r>
        <w:rPr>
          <w:rFonts w:hint="eastAsia" w:ascii="宋体" w:hAnsi="宋体" w:cs="宋体"/>
          <w:color w:val="auto"/>
          <w:szCs w:val="21"/>
          <w:highlight w:val="none"/>
          <w:u w:val="single"/>
        </w:rPr>
        <w:t xml:space="preserve">    （根据本项目预算编制依据确定）    </w:t>
      </w:r>
      <w:r>
        <w:rPr>
          <w:rFonts w:hint="eastAsia" w:ascii="宋体" w:hAnsi="宋体" w:cs="宋体"/>
          <w:color w:val="auto"/>
          <w:szCs w:val="21"/>
          <w:highlight w:val="none"/>
        </w:rPr>
        <w:t>、国家及我市的相关规范、标准和投标当月当地材料价格信息组价的90%计价，并经工程师确认后变更合同价款。</w:t>
      </w:r>
    </w:p>
    <w:p>
      <w:pPr>
        <w:snapToGrid w:val="0"/>
        <w:spacing w:line="360" w:lineRule="auto"/>
        <w:ind w:firstLine="420" w:firstLineChars="200"/>
        <w:rPr>
          <w:rFonts w:ascii="宋体" w:hAnsi="宋体" w:cs="宋体"/>
          <w:color w:val="auto"/>
          <w:szCs w:val="21"/>
          <w:highlight w:val="none"/>
        </w:rPr>
      </w:pPr>
      <w:bookmarkStart w:id="1729" w:name="_Hlt124152897"/>
      <w:bookmarkEnd w:id="1729"/>
      <w:bookmarkStart w:id="1730" w:name="_Hlt124153086"/>
      <w:r>
        <w:rPr>
          <w:rFonts w:hint="eastAsia" w:ascii="宋体" w:hAnsi="宋体" w:cs="宋体"/>
          <w:color w:val="auto"/>
          <w:szCs w:val="21"/>
          <w:highlight w:val="none"/>
        </w:rPr>
        <w:t>（2）调减建设内容</w:t>
      </w:r>
      <w:bookmarkEnd w:id="1730"/>
      <w:r>
        <w:rPr>
          <w:rFonts w:hint="eastAsia" w:ascii="宋体" w:hAnsi="宋体" w:cs="宋体"/>
          <w:color w:val="auto"/>
          <w:szCs w:val="21"/>
          <w:highlight w:val="none"/>
        </w:rPr>
        <w:t>引起合同价调整的，按照投标文件中工程综合单价报价相应调整。</w:t>
      </w:r>
      <w:bookmarkStart w:id="1731" w:name="_Hlt124153198"/>
      <w:bookmarkEnd w:id="1731"/>
      <w:r>
        <w:rPr>
          <w:rFonts w:hint="eastAsia" w:ascii="宋体" w:hAnsi="宋体" w:cs="宋体"/>
          <w:color w:val="auto"/>
          <w:szCs w:val="21"/>
          <w:highlight w:val="none"/>
        </w:rPr>
        <w:t>除本合同另有约定外，任何发包人和承包人之间未能最终达成一致的变更费用都不应包含在进度款付款单中。</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将通用条款31.3款修改如下：</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31.3 工程师和发包人应在收到变更工程价款报告之日起14天内予以确认，工程师和发包人无正当理由不确认时，自变更工程价款报告送达之日起14天后视为变更工程价款报告已被确认。</w:t>
      </w:r>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将通用条款31.4款修改如下：</w:t>
      </w:r>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 xml:space="preserve">31.4 </w:t>
      </w:r>
      <w:r>
        <w:rPr>
          <w:rFonts w:hint="eastAsia" w:ascii="宋体" w:hAnsi="宋体" w:cs="宋体"/>
          <w:color w:val="auto"/>
          <w:szCs w:val="21"/>
          <w:highlight w:val="none"/>
        </w:rPr>
        <w:t>工程师和发包人不同意承包人提出的变更价款，按本通用条款第37条关于争议的约定处理。</w:t>
      </w:r>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将通用条款31.5款修改如下：</w:t>
      </w:r>
    </w:p>
    <w:p>
      <w:pPr>
        <w:adjustRightInd w:val="0"/>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 xml:space="preserve">31.5 </w:t>
      </w:r>
      <w:r>
        <w:rPr>
          <w:rFonts w:hint="eastAsia" w:ascii="宋体" w:hAnsi="宋体" w:cs="宋体"/>
          <w:color w:val="auto"/>
          <w:szCs w:val="21"/>
          <w:highlight w:val="none"/>
        </w:rPr>
        <w:t>工程师和发包人确认增加的工程变更价款作为追加合同价款，与工程款同期支付。</w:t>
      </w:r>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另在本条内补充下款：</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31.7</w:t>
      </w:r>
      <w:r>
        <w:rPr>
          <w:rFonts w:hint="eastAsia" w:ascii="宋体" w:hAnsi="宋体" w:cs="宋体"/>
          <w:color w:val="auto"/>
          <w:szCs w:val="21"/>
          <w:highlight w:val="none"/>
        </w:rPr>
        <w:t>双方进一步约定，只有经过计量和计价的单次变更项下的“单个工作子目”的变化金额超过人民币</w:t>
      </w:r>
      <w:r>
        <w:rPr>
          <w:rFonts w:hint="eastAsia" w:ascii="宋体" w:hAnsi="宋体" w:cs="宋体"/>
          <w:color w:val="auto"/>
          <w:szCs w:val="21"/>
          <w:highlight w:val="none"/>
          <w:u w:val="single"/>
        </w:rPr>
        <w:t>3000元</w:t>
      </w:r>
      <w:r>
        <w:rPr>
          <w:rFonts w:hint="eastAsia" w:ascii="宋体" w:hAnsi="宋体" w:cs="宋体"/>
          <w:color w:val="auto"/>
          <w:szCs w:val="21"/>
          <w:highlight w:val="none"/>
        </w:rPr>
        <w:t>（不含）的，方可进行合同价格的相应变更。本款所谓的“单个工作子目”是指工程量清单中所列出的单个工作子目，如果本合同中的工程量清单中没有适用子目，则用于变更计价的单个子目即为本款中的 “单个工作子目”。</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上述变更支付最低金额适用于本工程实施过程中所发生的所有的洽商、变更、图差以及合同外工作内容的追加。</w:t>
      </w:r>
    </w:p>
    <w:p>
      <w:pPr>
        <w:adjustRightInd w:val="0"/>
        <w:snapToGrid w:val="0"/>
        <w:spacing w:line="360" w:lineRule="auto"/>
        <w:rPr>
          <w:rFonts w:ascii="方正黑体_GBK" w:hAnsi="宋体" w:eastAsia="方正黑体_GBK" w:cs="宋体"/>
          <w:b/>
          <w:bCs/>
          <w:color w:val="auto"/>
          <w:szCs w:val="21"/>
          <w:highlight w:val="none"/>
        </w:rPr>
      </w:pPr>
      <w:bookmarkStart w:id="1732" w:name="_Toc99792349"/>
      <w:bookmarkStart w:id="1733" w:name="_Toc115511352"/>
      <w:bookmarkStart w:id="1734" w:name="_Toc231613127"/>
      <w:bookmarkStart w:id="1735" w:name="_Toc231612980"/>
      <w:bookmarkStart w:id="1736" w:name="_Toc100123559"/>
      <w:bookmarkStart w:id="1737" w:name="_Toc101156037"/>
      <w:bookmarkStart w:id="1738" w:name="_Toc231612807"/>
      <w:bookmarkStart w:id="1739" w:name="_Toc98239455"/>
      <w:bookmarkStart w:id="1740" w:name="_Toc123715546"/>
      <w:bookmarkStart w:id="1741" w:name="_Toc193188710"/>
      <w:bookmarkStart w:id="1742" w:name="_Toc98238991"/>
      <w:bookmarkStart w:id="1743" w:name="_Toc101155834"/>
      <w:r>
        <w:rPr>
          <w:rFonts w:hint="eastAsia" w:ascii="方正黑体_GBK" w:hAnsi="宋体" w:eastAsia="方正黑体_GBK" w:cs="宋体"/>
          <w:b/>
          <w:bCs/>
          <w:color w:val="auto"/>
          <w:szCs w:val="21"/>
          <w:highlight w:val="none"/>
        </w:rPr>
        <w:t>九、竣工验收与结算</w:t>
      </w:r>
      <w:bookmarkEnd w:id="1732"/>
      <w:bookmarkEnd w:id="1733"/>
      <w:bookmarkEnd w:id="1734"/>
      <w:bookmarkEnd w:id="1735"/>
      <w:bookmarkEnd w:id="1736"/>
      <w:bookmarkEnd w:id="1737"/>
      <w:bookmarkEnd w:id="1738"/>
      <w:bookmarkEnd w:id="1739"/>
      <w:bookmarkEnd w:id="1740"/>
      <w:bookmarkEnd w:id="1741"/>
      <w:bookmarkEnd w:id="1742"/>
      <w:bookmarkEnd w:id="1743"/>
    </w:p>
    <w:p>
      <w:pPr>
        <w:adjustRightInd w:val="0"/>
        <w:snapToGrid w:val="0"/>
        <w:spacing w:line="360" w:lineRule="auto"/>
        <w:ind w:firstLine="421" w:firstLineChars="200"/>
        <w:rPr>
          <w:rFonts w:ascii="宋体" w:hAnsi="宋体" w:cs="宋体"/>
          <w:b/>
          <w:color w:val="auto"/>
          <w:szCs w:val="21"/>
          <w:highlight w:val="none"/>
        </w:rPr>
      </w:pPr>
      <w:bookmarkStart w:id="1744" w:name="_Toc193188711"/>
      <w:bookmarkStart w:id="1745" w:name="_Toc99792350"/>
      <w:bookmarkStart w:id="1746" w:name="_Toc115511353"/>
      <w:bookmarkStart w:id="1747" w:name="_Toc231612808"/>
      <w:bookmarkStart w:id="1748" w:name="_Toc101156038"/>
      <w:bookmarkStart w:id="1749" w:name="_Toc100123560"/>
      <w:bookmarkStart w:id="1750" w:name="_Toc98239456"/>
      <w:bookmarkStart w:id="1751" w:name="_Toc123715547"/>
      <w:bookmarkStart w:id="1752" w:name="_Toc98238992"/>
      <w:bookmarkStart w:id="1753" w:name="_Toc101155835"/>
      <w:r>
        <w:rPr>
          <w:rFonts w:hint="eastAsia" w:ascii="宋体" w:hAnsi="宋体" w:cs="宋体"/>
          <w:b/>
          <w:color w:val="auto"/>
          <w:szCs w:val="21"/>
          <w:highlight w:val="none"/>
        </w:rPr>
        <w:t>32、竣工验收</w:t>
      </w:r>
      <w:bookmarkEnd w:id="1744"/>
      <w:bookmarkEnd w:id="1745"/>
      <w:bookmarkEnd w:id="1746"/>
      <w:bookmarkEnd w:id="1747"/>
      <w:bookmarkEnd w:id="1748"/>
      <w:bookmarkEnd w:id="1749"/>
      <w:bookmarkEnd w:id="1750"/>
      <w:bookmarkEnd w:id="1751"/>
      <w:bookmarkEnd w:id="1752"/>
      <w:bookmarkEnd w:id="1753"/>
    </w:p>
    <w:p>
      <w:pPr>
        <w:snapToGrid w:val="0"/>
        <w:spacing w:line="360" w:lineRule="auto"/>
        <w:ind w:firstLine="420" w:firstLineChars="200"/>
        <w:rPr>
          <w:rFonts w:ascii="宋体" w:hAnsi="宋体" w:cs="宋体"/>
          <w:color w:val="auto"/>
          <w:szCs w:val="21"/>
          <w:highlight w:val="none"/>
        </w:rPr>
      </w:pPr>
      <w:bookmarkStart w:id="1754" w:name="_Toc123715548"/>
      <w:bookmarkStart w:id="1755" w:name="_Toc231612809"/>
      <w:bookmarkStart w:id="1756" w:name="_Toc231613128"/>
      <w:bookmarkStart w:id="1757" w:name="_Toc231612981"/>
      <w:r>
        <w:rPr>
          <w:rFonts w:hint="eastAsia" w:ascii="宋体" w:hAnsi="宋体" w:cs="宋体"/>
          <w:color w:val="auto"/>
          <w:szCs w:val="21"/>
          <w:highlight w:val="none"/>
        </w:rPr>
        <w:t>32.1 承包人提供竣工图的约定： 工程竣工并移交后56天内承包人按规定向发包人提供八套竣工图和全部竣工资料(包括按文件规定提交电子档案)。</w:t>
      </w:r>
      <w:bookmarkEnd w:id="1754"/>
      <w:bookmarkEnd w:id="1755"/>
      <w:bookmarkEnd w:id="1756"/>
      <w:bookmarkEnd w:id="1757"/>
      <w:r>
        <w:rPr>
          <w:rFonts w:hint="eastAsia" w:ascii="宋体" w:hAnsi="宋体" w:cs="宋体"/>
          <w:color w:val="auto"/>
          <w:szCs w:val="21"/>
          <w:highlight w:val="none"/>
        </w:rPr>
        <w:t>否则将视为违约。</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32.5 中间交工工程的范围和竣工时间：</w:t>
      </w:r>
      <w:r>
        <w:rPr>
          <w:rFonts w:hint="eastAsia" w:ascii="宋体" w:hAnsi="宋体" w:cs="宋体"/>
          <w:color w:val="auto"/>
          <w:szCs w:val="21"/>
          <w:highlight w:val="none"/>
          <w:u w:val="single"/>
        </w:rPr>
        <w:t>发包人另行约定。</w:t>
      </w:r>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另在本条内补充下款：</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23.5.1</w:t>
      </w:r>
      <w:r>
        <w:rPr>
          <w:rFonts w:hint="eastAsia" w:ascii="宋体" w:hAnsi="宋体" w:cs="宋体"/>
          <w:color w:val="auto"/>
          <w:szCs w:val="21"/>
          <w:highlight w:val="none"/>
        </w:rPr>
        <w:t>工程竣工验收后，由中标单位负责业主的前期资料的装订，并负责所产生的一切费用。</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32.5.2</w:t>
      </w:r>
      <w:r>
        <w:rPr>
          <w:rFonts w:hint="eastAsia" w:ascii="宋体" w:hAnsi="宋体" w:cs="宋体"/>
          <w:color w:val="auto"/>
          <w:szCs w:val="21"/>
          <w:highlight w:val="none"/>
        </w:rPr>
        <w:t>项目竣工的各级验收所发生的一切费用，由中标单位承担。</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32.9</w:t>
      </w:r>
      <w:r>
        <w:rPr>
          <w:rFonts w:hint="eastAsia" w:ascii="宋体" w:hAnsi="宋体" w:cs="宋体"/>
          <w:color w:val="auto"/>
          <w:szCs w:val="21"/>
          <w:highlight w:val="none"/>
        </w:rPr>
        <w:t>如果工程通过了竣工验收或经修改后的重新验收，则工程师应在上述验收通过之日后</w:t>
      </w:r>
      <w:r>
        <w:rPr>
          <w:rFonts w:hint="eastAsia" w:ascii="宋体" w:hAnsi="宋体" w:cs="宋体"/>
          <w:color w:val="auto"/>
          <w:szCs w:val="21"/>
          <w:highlight w:val="none"/>
          <w:u w:val="single"/>
        </w:rPr>
        <w:t>28</w:t>
      </w:r>
      <w:r>
        <w:rPr>
          <w:rFonts w:hint="eastAsia" w:ascii="宋体" w:hAnsi="宋体" w:cs="宋体"/>
          <w:color w:val="auto"/>
          <w:szCs w:val="21"/>
          <w:highlight w:val="none"/>
        </w:rPr>
        <w:t>天内向承包人颁发由发包人、工程师、承包人和设计单位四方共同签署的竣工验收证书。</w:t>
      </w:r>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32.10 按照国家有关地灾项目的竣工验收实施办法执行，根据已有的验收规定：工程完工后，进行竣工初步验收，经过一个水文年的运行检验后，进行最终验收。因此，32.1中所指的工程竣工应为“竣工初步验收”。</w:t>
      </w:r>
      <w:bookmarkStart w:id="1758" w:name="_Hlt124085086"/>
      <w:bookmarkEnd w:id="1758"/>
    </w:p>
    <w:p>
      <w:pPr>
        <w:adjustRightInd w:val="0"/>
        <w:snapToGrid w:val="0"/>
        <w:spacing w:line="360" w:lineRule="auto"/>
        <w:ind w:firstLine="421" w:firstLineChars="200"/>
        <w:rPr>
          <w:rFonts w:ascii="宋体" w:hAnsi="宋体" w:cs="宋体"/>
          <w:b/>
          <w:color w:val="auto"/>
          <w:szCs w:val="21"/>
          <w:highlight w:val="none"/>
        </w:rPr>
      </w:pPr>
      <w:bookmarkStart w:id="1759" w:name="_Toc123715549"/>
      <w:bookmarkStart w:id="1760" w:name="_Toc115511354"/>
      <w:bookmarkStart w:id="1761" w:name="_Toc101155836"/>
      <w:bookmarkStart w:id="1762" w:name="_Toc99792351"/>
      <w:bookmarkStart w:id="1763" w:name="_Toc100123561"/>
      <w:bookmarkStart w:id="1764" w:name="_Toc101156039"/>
      <w:bookmarkStart w:id="1765" w:name="_Toc231612810"/>
      <w:bookmarkStart w:id="1766" w:name="_Toc193188712"/>
      <w:r>
        <w:rPr>
          <w:rFonts w:hint="eastAsia" w:ascii="宋体" w:hAnsi="宋体" w:cs="宋体"/>
          <w:b/>
          <w:color w:val="auto"/>
          <w:szCs w:val="21"/>
          <w:highlight w:val="none"/>
        </w:rPr>
        <w:t>33、竣工结算</w:t>
      </w:r>
      <w:bookmarkEnd w:id="1759"/>
      <w:bookmarkEnd w:id="1760"/>
      <w:bookmarkEnd w:id="1761"/>
      <w:bookmarkEnd w:id="1762"/>
      <w:bookmarkEnd w:id="1763"/>
      <w:bookmarkEnd w:id="1764"/>
      <w:bookmarkEnd w:id="1765"/>
      <w:bookmarkEnd w:id="1766"/>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33.1发包人考虑到本工程的实施特点，审核结算时间应相应延长，具体时间双方另议，本款其他内容执行“通用条款”。</w:t>
      </w:r>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另在本条内补充下款：</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33.5</w:t>
      </w:r>
      <w:r>
        <w:rPr>
          <w:rFonts w:hint="eastAsia" w:ascii="宋体" w:hAnsi="宋体" w:cs="宋体"/>
          <w:color w:val="auto"/>
          <w:szCs w:val="21"/>
          <w:highlight w:val="none"/>
        </w:rPr>
        <w:t xml:space="preserve"> 根据国家有关地灾项目验收办法规定，本条款所指的工程竣工是“项目业主组织的工程竣工初步验收”。因此，竣工结算应在项目业主按照法定程序，组织有关部门、单位进行的工程竣工初步验收合格后的规定时间内进行。具体的时间和程序按照重庆市有关部门的文件和规定执行。</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33.6</w:t>
      </w:r>
      <w:r>
        <w:rPr>
          <w:rFonts w:hint="eastAsia" w:ascii="宋体" w:hAnsi="宋体" w:cs="宋体"/>
          <w:color w:val="auto"/>
          <w:szCs w:val="21"/>
          <w:highlight w:val="none"/>
        </w:rPr>
        <w:t xml:space="preserve"> 承包人无条件接受国家审计，自行承担审计中承包人的相关责任，并对审计中提出的问题负责整改。</w:t>
      </w:r>
    </w:p>
    <w:p>
      <w:pPr>
        <w:adjustRightInd w:val="0"/>
        <w:snapToGrid w:val="0"/>
        <w:spacing w:line="360" w:lineRule="auto"/>
        <w:rPr>
          <w:rFonts w:ascii="方正黑体_GBK" w:hAnsi="宋体" w:eastAsia="方正黑体_GBK" w:cs="宋体"/>
          <w:b/>
          <w:bCs/>
          <w:color w:val="auto"/>
          <w:szCs w:val="21"/>
          <w:highlight w:val="none"/>
        </w:rPr>
      </w:pPr>
      <w:bookmarkStart w:id="1767" w:name="_Toc99792352"/>
      <w:bookmarkStart w:id="1768" w:name="_Toc98239457"/>
      <w:bookmarkStart w:id="1769" w:name="_Toc100123562"/>
      <w:bookmarkStart w:id="1770" w:name="_Toc98238993"/>
      <w:bookmarkStart w:id="1771" w:name="_Toc231613129"/>
      <w:bookmarkStart w:id="1772" w:name="_Toc231612982"/>
      <w:bookmarkStart w:id="1773" w:name="_Toc123715550"/>
      <w:bookmarkStart w:id="1774" w:name="_Toc115511355"/>
      <w:bookmarkStart w:id="1775" w:name="_Toc193188713"/>
      <w:bookmarkStart w:id="1776" w:name="_Toc101155837"/>
      <w:bookmarkStart w:id="1777" w:name="_Toc101156040"/>
      <w:bookmarkStart w:id="1778" w:name="_Toc231612811"/>
      <w:r>
        <w:rPr>
          <w:rFonts w:hint="eastAsia" w:ascii="方正黑体_GBK" w:hAnsi="宋体" w:eastAsia="方正黑体_GBK" w:cs="宋体"/>
          <w:b/>
          <w:bCs/>
          <w:color w:val="auto"/>
          <w:szCs w:val="21"/>
          <w:highlight w:val="none"/>
        </w:rPr>
        <w:t>十、违约、索赔和争议</w:t>
      </w:r>
      <w:bookmarkEnd w:id="1767"/>
      <w:bookmarkEnd w:id="1768"/>
      <w:bookmarkEnd w:id="1769"/>
      <w:bookmarkEnd w:id="1770"/>
      <w:bookmarkEnd w:id="1771"/>
      <w:bookmarkEnd w:id="1772"/>
      <w:bookmarkEnd w:id="1773"/>
      <w:bookmarkEnd w:id="1774"/>
      <w:bookmarkEnd w:id="1775"/>
      <w:bookmarkEnd w:id="1776"/>
      <w:bookmarkEnd w:id="1777"/>
      <w:bookmarkEnd w:id="1778"/>
    </w:p>
    <w:p>
      <w:pPr>
        <w:adjustRightInd w:val="0"/>
        <w:snapToGrid w:val="0"/>
        <w:spacing w:line="360" w:lineRule="auto"/>
        <w:ind w:firstLine="421" w:firstLineChars="200"/>
        <w:rPr>
          <w:rFonts w:ascii="宋体" w:hAnsi="宋体" w:cs="宋体"/>
          <w:b/>
          <w:color w:val="auto"/>
          <w:szCs w:val="21"/>
          <w:highlight w:val="none"/>
        </w:rPr>
      </w:pPr>
      <w:bookmarkStart w:id="1779" w:name="_Toc115511356"/>
      <w:bookmarkStart w:id="1780" w:name="_Toc231612812"/>
      <w:bookmarkStart w:id="1781" w:name="_Toc123715551"/>
      <w:bookmarkStart w:id="1782" w:name="_Toc193188714"/>
      <w:bookmarkStart w:id="1783" w:name="_Toc101156041"/>
      <w:bookmarkStart w:id="1784" w:name="_Toc100123563"/>
      <w:bookmarkStart w:id="1785" w:name="_Toc98238994"/>
      <w:bookmarkStart w:id="1786" w:name="_Toc101155838"/>
      <w:bookmarkStart w:id="1787" w:name="_Toc99792353"/>
      <w:bookmarkStart w:id="1788" w:name="_Toc98239458"/>
      <w:r>
        <w:rPr>
          <w:rFonts w:hint="eastAsia" w:ascii="宋体" w:hAnsi="宋体" w:cs="宋体"/>
          <w:b/>
          <w:color w:val="auto"/>
          <w:szCs w:val="21"/>
          <w:highlight w:val="none"/>
        </w:rPr>
        <w:t>35、违约</w:t>
      </w:r>
      <w:bookmarkEnd w:id="1779"/>
      <w:bookmarkEnd w:id="1780"/>
      <w:bookmarkEnd w:id="1781"/>
      <w:bookmarkEnd w:id="1782"/>
      <w:bookmarkEnd w:id="1783"/>
      <w:bookmarkEnd w:id="1784"/>
      <w:bookmarkEnd w:id="1785"/>
      <w:bookmarkEnd w:id="1786"/>
      <w:bookmarkEnd w:id="1787"/>
      <w:bookmarkEnd w:id="1788"/>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35.1 本合同中关于发包人违约的具体责任如下：</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本合同通用条款第24条约定发包人违约应承担的违约责任：</w:t>
      </w:r>
      <w:r>
        <w:rPr>
          <w:rFonts w:hint="eastAsia" w:ascii="宋体" w:hAnsi="宋体" w:cs="宋体"/>
          <w:color w:val="auto"/>
          <w:szCs w:val="21"/>
          <w:highlight w:val="none"/>
          <w:u w:val="single"/>
        </w:rPr>
        <w:t>执行通用条款。</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本合同通用条款第26.4款约定发包人违约应承担的违约责任：</w:t>
      </w:r>
      <w:r>
        <w:rPr>
          <w:rFonts w:hint="eastAsia" w:ascii="宋体" w:hAnsi="宋体" w:cs="宋体"/>
          <w:color w:val="auto"/>
          <w:szCs w:val="21"/>
          <w:highlight w:val="none"/>
          <w:u w:val="single"/>
        </w:rPr>
        <w:t>执行通用条款。</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本合同通用条款第33.3款约定发包人违约应承担的违约责任：</w:t>
      </w:r>
      <w:r>
        <w:rPr>
          <w:rFonts w:hint="eastAsia" w:ascii="宋体" w:hAnsi="宋体" w:cs="宋体"/>
          <w:color w:val="auto"/>
          <w:szCs w:val="21"/>
          <w:highlight w:val="none"/>
          <w:u w:val="single"/>
        </w:rPr>
        <w:t>执行通用条款。</w:t>
      </w:r>
    </w:p>
    <w:p>
      <w:pPr>
        <w:snapToGrid w:val="0"/>
        <w:spacing w:line="360" w:lineRule="auto"/>
        <w:ind w:firstLine="420" w:firstLineChars="200"/>
        <w:rPr>
          <w:rFonts w:ascii="宋体" w:hAnsi="宋体" w:cs="宋体"/>
          <w:color w:val="auto"/>
          <w:szCs w:val="21"/>
          <w:highlight w:val="none"/>
        </w:rPr>
      </w:pPr>
      <w:bookmarkStart w:id="1789" w:name="_Toc123715552"/>
      <w:bookmarkStart w:id="1790" w:name="_Toc231612813"/>
      <w:bookmarkStart w:id="1791" w:name="_Toc231613130"/>
      <w:bookmarkStart w:id="1792" w:name="_Toc231612983"/>
      <w:r>
        <w:rPr>
          <w:rFonts w:hint="eastAsia" w:ascii="宋体" w:hAnsi="宋体" w:cs="宋体"/>
          <w:color w:val="auto"/>
          <w:szCs w:val="21"/>
          <w:highlight w:val="none"/>
        </w:rPr>
        <w:t>35.2 本合同中关于承包人违约的具体责任如下：</w:t>
      </w:r>
      <w:bookmarkEnd w:id="1789"/>
      <w:bookmarkEnd w:id="1790"/>
      <w:bookmarkEnd w:id="1791"/>
      <w:bookmarkEnd w:id="1792"/>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补充条款</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（4）本项目的项目经理、技术负责人和主要施工管理人员在合同实施期内不得擅自变更，人员变更必须经业主同意并报当地</w:t>
      </w:r>
      <w:r>
        <w:rPr>
          <w:rFonts w:hint="eastAsia" w:ascii="宋体" w:hAnsi="宋体" w:cs="宋体"/>
          <w:color w:val="auto"/>
          <w:szCs w:val="21"/>
          <w:highlight w:val="none"/>
          <w:lang w:val="en-US" w:eastAsia="zh-CN"/>
        </w:rPr>
        <w:t>规划和自然资源局</w:t>
      </w:r>
      <w:r>
        <w:rPr>
          <w:rFonts w:hint="eastAsia" w:ascii="宋体" w:hAnsi="宋体" w:cs="宋体"/>
          <w:color w:val="auto"/>
          <w:szCs w:val="21"/>
          <w:highlight w:val="none"/>
        </w:rPr>
        <w:t>备案；且驻工地时间一个月不得少于</w:t>
      </w:r>
      <w:r>
        <w:rPr>
          <w:rFonts w:hint="eastAsia" w:ascii="宋体" w:hAnsi="宋体" w:cs="宋体"/>
          <w:color w:val="auto"/>
          <w:szCs w:val="21"/>
          <w:highlight w:val="none"/>
          <w:lang w:val="en-US" w:eastAsia="zh-CN"/>
        </w:rPr>
        <w:t>22</w:t>
      </w:r>
      <w:r>
        <w:rPr>
          <w:rFonts w:hint="eastAsia" w:ascii="宋体" w:hAnsi="宋体" w:cs="宋体"/>
          <w:color w:val="auto"/>
          <w:szCs w:val="21"/>
          <w:highlight w:val="none"/>
        </w:rPr>
        <w:t>天；否则将被视为违约。</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双方约定的投标人其他违约责任：</w:t>
      </w:r>
      <w:r>
        <w:rPr>
          <w:rFonts w:hint="eastAsia" w:ascii="宋体" w:hAnsi="宋体" w:cs="宋体"/>
          <w:color w:val="auto"/>
          <w:szCs w:val="21"/>
          <w:highlight w:val="none"/>
          <w:u w:val="single"/>
        </w:rPr>
        <w:t>项目经理和技术负责人、主要施工管理人员每月驻场时间不少于2</w:t>
      </w:r>
      <w:r>
        <w:rPr>
          <w:rFonts w:hint="eastAsia" w:ascii="宋体" w:hAnsi="宋体" w:cs="宋体"/>
          <w:color w:val="auto"/>
          <w:szCs w:val="21"/>
          <w:highlight w:val="none"/>
          <w:u w:val="single"/>
          <w:lang w:val="en-US" w:eastAsia="zh-CN"/>
        </w:rPr>
        <w:t>2</w:t>
      </w:r>
      <w:r>
        <w:rPr>
          <w:rFonts w:hint="eastAsia" w:ascii="宋体" w:hAnsi="宋体" w:cs="宋体"/>
          <w:color w:val="auto"/>
          <w:szCs w:val="21"/>
          <w:highlight w:val="none"/>
          <w:u w:val="single"/>
        </w:rPr>
        <w:t>天，第一次违约，不足天数每人每天按5000元人民币处违约金，在当月工程进度款中扣除。第二次违约，发包人按承包人投标承诺函中的承诺，终止合同并没收履约保证金，并报请相关主管部门纳入诚信记录。</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本合同通用条款第14.2款约定承包人违约应承担的违约责任：按合同金额的 0.01%/日违约金。</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本合同通用条款第15.1款约定承包人违约应承担的违约责任：</w:t>
      </w:r>
      <w:r>
        <w:rPr>
          <w:rFonts w:hint="eastAsia" w:ascii="宋体" w:hAnsi="宋体" w:cs="宋体"/>
          <w:color w:val="auto"/>
          <w:szCs w:val="21"/>
          <w:highlight w:val="none"/>
          <w:u w:val="single"/>
        </w:rPr>
        <w:t>承包人无条件返工，实现质量目标要求，并向发包人赔付金额为合同总价的3%款项作为质量违约金。</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双方约定的承包人其他违约责任：</w:t>
      </w:r>
      <w:r>
        <w:rPr>
          <w:rFonts w:hint="eastAsia" w:ascii="宋体" w:hAnsi="宋体" w:cs="宋体"/>
          <w:color w:val="auto"/>
          <w:szCs w:val="21"/>
          <w:highlight w:val="none"/>
          <w:u w:val="single"/>
        </w:rPr>
        <w:t xml:space="preserve"> 超合同工期，由中标单位负责所产生费用(监理服务费、业主单位管理费、现场管理人员工资以及其它费用)。</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本合同专用条款第32.1款约定承包人违约应承担的违约责任：按合同金额的 0.001%/日违约金。</w:t>
      </w:r>
    </w:p>
    <w:p>
      <w:pPr>
        <w:adjustRightInd w:val="0"/>
        <w:snapToGrid w:val="0"/>
        <w:spacing w:line="360" w:lineRule="auto"/>
        <w:ind w:firstLine="421" w:firstLineChars="200"/>
        <w:rPr>
          <w:rFonts w:ascii="宋体" w:hAnsi="宋体" w:cs="宋体"/>
          <w:b/>
          <w:color w:val="auto"/>
          <w:szCs w:val="21"/>
          <w:highlight w:val="none"/>
        </w:rPr>
      </w:pPr>
      <w:bookmarkStart w:id="1793" w:name="_Toc100123564"/>
      <w:bookmarkStart w:id="1794" w:name="_Toc98239459"/>
      <w:bookmarkStart w:id="1795" w:name="_Toc193188715"/>
      <w:bookmarkStart w:id="1796" w:name="_Toc98238995"/>
      <w:bookmarkStart w:id="1797" w:name="_Toc123715553"/>
      <w:bookmarkStart w:id="1798" w:name="_Toc101155839"/>
      <w:bookmarkStart w:id="1799" w:name="_Toc231612814"/>
      <w:bookmarkStart w:id="1800" w:name="_Toc101156042"/>
      <w:bookmarkStart w:id="1801" w:name="_Toc99792354"/>
      <w:bookmarkStart w:id="1802" w:name="_Toc115511357"/>
      <w:r>
        <w:rPr>
          <w:rFonts w:hint="eastAsia" w:ascii="宋体" w:hAnsi="宋体" w:cs="宋体"/>
          <w:b/>
          <w:color w:val="auto"/>
          <w:szCs w:val="21"/>
          <w:highlight w:val="none"/>
        </w:rPr>
        <w:t>37、争议</w:t>
      </w:r>
      <w:bookmarkEnd w:id="1793"/>
      <w:bookmarkEnd w:id="1794"/>
      <w:bookmarkEnd w:id="1795"/>
      <w:bookmarkEnd w:id="1796"/>
      <w:bookmarkEnd w:id="1797"/>
      <w:bookmarkEnd w:id="1798"/>
      <w:bookmarkEnd w:id="1799"/>
      <w:bookmarkEnd w:id="1800"/>
      <w:bookmarkEnd w:id="1801"/>
      <w:bookmarkEnd w:id="1802"/>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37.1 双方约定，在履行合同过程中产生争议时，</w:t>
      </w:r>
      <w:r>
        <w:rPr>
          <w:rFonts w:hint="eastAsia" w:ascii="宋体" w:hAnsi="宋体" w:cs="宋体"/>
          <w:color w:val="auto"/>
          <w:szCs w:val="21"/>
          <w:highlight w:val="none"/>
          <w:u w:val="single"/>
        </w:rPr>
        <w:t>请重庆仲裁委员会调解解决</w:t>
      </w:r>
      <w:r>
        <w:rPr>
          <w:rFonts w:hint="eastAsia" w:ascii="宋体" w:hAnsi="宋体" w:cs="宋体"/>
          <w:color w:val="auto"/>
          <w:szCs w:val="21"/>
          <w:highlight w:val="none"/>
        </w:rPr>
        <w:t>。</w:t>
      </w:r>
    </w:p>
    <w:p>
      <w:pPr>
        <w:adjustRightInd w:val="0"/>
        <w:snapToGrid w:val="0"/>
        <w:spacing w:line="360" w:lineRule="auto"/>
        <w:rPr>
          <w:rFonts w:ascii="方正黑体_GBK" w:hAnsi="宋体" w:eastAsia="方正黑体_GBK" w:cs="宋体"/>
          <w:b/>
          <w:bCs/>
          <w:color w:val="auto"/>
          <w:szCs w:val="21"/>
          <w:highlight w:val="none"/>
        </w:rPr>
      </w:pPr>
      <w:bookmarkStart w:id="1803" w:name="_Toc231612815"/>
      <w:bookmarkStart w:id="1804" w:name="_Toc98239460"/>
      <w:bookmarkStart w:id="1805" w:name="_Toc115511358"/>
      <w:bookmarkStart w:id="1806" w:name="_Toc101156043"/>
      <w:bookmarkStart w:id="1807" w:name="_Toc100123565"/>
      <w:bookmarkStart w:id="1808" w:name="_Toc99792355"/>
      <w:bookmarkStart w:id="1809" w:name="_Toc101155840"/>
      <w:bookmarkStart w:id="1810" w:name="_Toc123715555"/>
      <w:bookmarkStart w:id="1811" w:name="_Toc98238996"/>
      <w:bookmarkStart w:id="1812" w:name="_Toc193188716"/>
      <w:r>
        <w:rPr>
          <w:rFonts w:hint="eastAsia" w:ascii="方正黑体_GBK" w:hAnsi="宋体" w:eastAsia="方正黑体_GBK" w:cs="宋体"/>
          <w:b/>
          <w:bCs/>
          <w:color w:val="auto"/>
          <w:szCs w:val="21"/>
          <w:highlight w:val="none"/>
        </w:rPr>
        <w:t>十一、其他</w:t>
      </w:r>
      <w:bookmarkEnd w:id="1803"/>
      <w:bookmarkEnd w:id="1804"/>
      <w:bookmarkEnd w:id="1805"/>
      <w:bookmarkEnd w:id="1806"/>
      <w:bookmarkEnd w:id="1807"/>
      <w:bookmarkEnd w:id="1808"/>
      <w:bookmarkEnd w:id="1809"/>
      <w:bookmarkEnd w:id="1810"/>
      <w:bookmarkEnd w:id="1811"/>
      <w:bookmarkEnd w:id="1812"/>
    </w:p>
    <w:p>
      <w:pPr>
        <w:adjustRightInd w:val="0"/>
        <w:snapToGrid w:val="0"/>
        <w:spacing w:line="360" w:lineRule="auto"/>
        <w:ind w:firstLine="421" w:firstLineChars="200"/>
        <w:rPr>
          <w:rFonts w:ascii="宋体" w:hAnsi="宋体" w:cs="宋体"/>
          <w:b/>
          <w:color w:val="auto"/>
          <w:szCs w:val="21"/>
          <w:highlight w:val="none"/>
        </w:rPr>
      </w:pPr>
      <w:bookmarkStart w:id="1813" w:name="_Toc101156044"/>
      <w:bookmarkStart w:id="1814" w:name="_Toc193188717"/>
      <w:bookmarkStart w:id="1815" w:name="_Toc123715556"/>
      <w:bookmarkStart w:id="1816" w:name="_Toc100123566"/>
      <w:bookmarkStart w:id="1817" w:name="_Toc101155841"/>
      <w:bookmarkStart w:id="1818" w:name="_Toc115511359"/>
      <w:bookmarkStart w:id="1819" w:name="_Toc99792356"/>
      <w:bookmarkStart w:id="1820" w:name="_Toc231612816"/>
      <w:bookmarkStart w:id="1821" w:name="_Toc98238997"/>
      <w:bookmarkStart w:id="1822" w:name="_Toc98239461"/>
      <w:r>
        <w:rPr>
          <w:rFonts w:hint="eastAsia" w:ascii="宋体" w:hAnsi="宋体" w:cs="宋体"/>
          <w:b/>
          <w:color w:val="auto"/>
          <w:szCs w:val="21"/>
          <w:highlight w:val="none"/>
        </w:rPr>
        <w:t>38、工程分包</w:t>
      </w:r>
      <w:bookmarkEnd w:id="1813"/>
      <w:bookmarkEnd w:id="1814"/>
      <w:bookmarkEnd w:id="1815"/>
      <w:bookmarkEnd w:id="1816"/>
      <w:bookmarkEnd w:id="1817"/>
      <w:bookmarkEnd w:id="1818"/>
      <w:bookmarkEnd w:id="1819"/>
      <w:bookmarkEnd w:id="1820"/>
      <w:bookmarkEnd w:id="1821"/>
      <w:bookmarkEnd w:id="1822"/>
    </w:p>
    <w:p>
      <w:pPr>
        <w:adjustRightInd w:val="0"/>
        <w:snapToGrid w:val="0"/>
        <w:spacing w:line="360" w:lineRule="auto"/>
        <w:ind w:firstLine="420" w:firstLineChars="200"/>
        <w:rPr>
          <w:rFonts w:ascii="宋体" w:hAnsi="宋体" w:cs="宋体"/>
          <w:color w:val="auto"/>
          <w:szCs w:val="21"/>
          <w:highlight w:val="none"/>
        </w:rPr>
      </w:pPr>
      <w:bookmarkStart w:id="1823" w:name="_Toc231612984"/>
      <w:bookmarkStart w:id="1824" w:name="_Toc231612817"/>
      <w:bookmarkStart w:id="1825" w:name="_Toc231613131"/>
      <w:r>
        <w:rPr>
          <w:rFonts w:hint="eastAsia" w:ascii="宋体" w:hAnsi="宋体" w:cs="宋体"/>
          <w:color w:val="auto"/>
          <w:szCs w:val="21"/>
          <w:highlight w:val="none"/>
        </w:rPr>
        <w:t>38.1 本工程发包人同意承包人分包的工程：</w:t>
      </w:r>
      <w:r>
        <w:rPr>
          <w:rFonts w:hint="eastAsia" w:ascii="宋体" w:hAnsi="宋体" w:cs="宋体"/>
          <w:color w:val="auto"/>
          <w:szCs w:val="21"/>
          <w:highlight w:val="none"/>
          <w:u w:val="single"/>
        </w:rPr>
        <w:t>无。</w:t>
      </w:r>
      <w:bookmarkEnd w:id="1823"/>
      <w:bookmarkEnd w:id="1824"/>
      <w:bookmarkEnd w:id="1825"/>
    </w:p>
    <w:p>
      <w:pPr>
        <w:adjustRightInd w:val="0"/>
        <w:snapToGrid w:val="0"/>
        <w:spacing w:line="360" w:lineRule="auto"/>
        <w:ind w:firstLine="421" w:firstLineChars="200"/>
        <w:rPr>
          <w:rFonts w:ascii="宋体" w:hAnsi="宋体" w:cs="宋体"/>
          <w:b/>
          <w:color w:val="auto"/>
          <w:szCs w:val="21"/>
          <w:highlight w:val="none"/>
        </w:rPr>
      </w:pPr>
      <w:bookmarkStart w:id="1826" w:name="_Toc100123567"/>
      <w:bookmarkStart w:id="1827" w:name="_Toc231612818"/>
      <w:bookmarkStart w:id="1828" w:name="_Toc115511360"/>
      <w:bookmarkStart w:id="1829" w:name="_Toc98239462"/>
      <w:bookmarkStart w:id="1830" w:name="_Toc193188718"/>
      <w:bookmarkStart w:id="1831" w:name="_Toc99792357"/>
      <w:bookmarkStart w:id="1832" w:name="_Toc101155842"/>
      <w:bookmarkStart w:id="1833" w:name="_Toc98238998"/>
      <w:bookmarkStart w:id="1834" w:name="_Toc123715557"/>
      <w:bookmarkStart w:id="1835" w:name="_Toc101156045"/>
      <w:r>
        <w:rPr>
          <w:rFonts w:hint="eastAsia" w:ascii="宋体" w:hAnsi="宋体" w:cs="宋体"/>
          <w:b/>
          <w:color w:val="auto"/>
          <w:szCs w:val="21"/>
          <w:highlight w:val="none"/>
        </w:rPr>
        <w:t>39、不可抗力</w:t>
      </w:r>
      <w:bookmarkEnd w:id="1826"/>
      <w:bookmarkEnd w:id="1827"/>
      <w:bookmarkEnd w:id="1828"/>
      <w:bookmarkEnd w:id="1829"/>
      <w:bookmarkEnd w:id="1830"/>
      <w:bookmarkEnd w:id="1831"/>
      <w:bookmarkEnd w:id="1832"/>
      <w:bookmarkEnd w:id="1833"/>
      <w:bookmarkEnd w:id="1834"/>
      <w:bookmarkEnd w:id="1835"/>
    </w:p>
    <w:p>
      <w:pPr>
        <w:adjustRightInd w:val="0"/>
        <w:snapToGrid w:val="0"/>
        <w:spacing w:line="360" w:lineRule="auto"/>
        <w:ind w:firstLine="420" w:firstLineChars="200"/>
        <w:rPr>
          <w:rFonts w:ascii="宋体" w:hAnsi="宋体" w:cs="宋体"/>
          <w:color w:val="auto"/>
          <w:szCs w:val="21"/>
          <w:highlight w:val="none"/>
        </w:rPr>
      </w:pPr>
      <w:bookmarkStart w:id="1836" w:name="_Toc123715558"/>
      <w:bookmarkStart w:id="1837" w:name="_Toc231612985"/>
      <w:bookmarkStart w:id="1838" w:name="_Toc231612819"/>
      <w:bookmarkStart w:id="1839" w:name="_Toc231613132"/>
      <w:r>
        <w:rPr>
          <w:rFonts w:hint="eastAsia" w:ascii="宋体" w:hAnsi="宋体" w:cs="宋体"/>
          <w:color w:val="auto"/>
          <w:szCs w:val="21"/>
          <w:highlight w:val="none"/>
        </w:rPr>
        <w:t>39.1 双方关于不可抗力的约定：执行通用条款。</w:t>
      </w:r>
      <w:bookmarkEnd w:id="1836"/>
      <w:bookmarkEnd w:id="1837"/>
      <w:bookmarkEnd w:id="1838"/>
      <w:bookmarkEnd w:id="1839"/>
      <w:r>
        <w:rPr>
          <w:rFonts w:hint="eastAsia" w:ascii="宋体" w:hAnsi="宋体" w:cs="宋体"/>
          <w:color w:val="auto"/>
          <w:szCs w:val="21"/>
          <w:highlight w:val="none"/>
        </w:rPr>
        <w:t xml:space="preserve"> </w:t>
      </w:r>
    </w:p>
    <w:p>
      <w:pPr>
        <w:adjustRightInd w:val="0"/>
        <w:snapToGrid w:val="0"/>
        <w:spacing w:line="360" w:lineRule="auto"/>
        <w:ind w:firstLine="421" w:firstLineChars="200"/>
        <w:rPr>
          <w:rFonts w:ascii="宋体" w:hAnsi="宋体" w:cs="宋体"/>
          <w:b/>
          <w:color w:val="auto"/>
          <w:szCs w:val="21"/>
          <w:highlight w:val="none"/>
        </w:rPr>
      </w:pPr>
      <w:bookmarkStart w:id="1840" w:name="_Toc123715559"/>
      <w:bookmarkStart w:id="1841" w:name="_Toc231612820"/>
      <w:bookmarkStart w:id="1842" w:name="_Toc115511361"/>
      <w:bookmarkStart w:id="1843" w:name="_Toc101155843"/>
      <w:bookmarkStart w:id="1844" w:name="_Toc193188719"/>
      <w:bookmarkStart w:id="1845" w:name="_Toc98238999"/>
      <w:bookmarkStart w:id="1846" w:name="_Toc99792358"/>
      <w:bookmarkStart w:id="1847" w:name="_Toc98239463"/>
      <w:bookmarkStart w:id="1848" w:name="_Toc101156046"/>
      <w:bookmarkStart w:id="1849" w:name="_Toc100123568"/>
      <w:r>
        <w:rPr>
          <w:rFonts w:hint="eastAsia" w:ascii="宋体" w:hAnsi="宋体" w:cs="宋体"/>
          <w:b/>
          <w:color w:val="auto"/>
          <w:szCs w:val="21"/>
          <w:highlight w:val="none"/>
        </w:rPr>
        <w:t>40、保险</w:t>
      </w:r>
      <w:bookmarkEnd w:id="1840"/>
      <w:bookmarkEnd w:id="1841"/>
      <w:bookmarkEnd w:id="1842"/>
      <w:bookmarkEnd w:id="1843"/>
      <w:bookmarkEnd w:id="1844"/>
      <w:bookmarkEnd w:id="1845"/>
      <w:bookmarkEnd w:id="1846"/>
      <w:bookmarkEnd w:id="1847"/>
      <w:bookmarkEnd w:id="1848"/>
      <w:bookmarkEnd w:id="1849"/>
    </w:p>
    <w:p>
      <w:pPr>
        <w:adjustRightInd w:val="0"/>
        <w:snapToGrid w:val="0"/>
        <w:spacing w:line="360" w:lineRule="auto"/>
        <w:ind w:firstLine="420" w:firstLineChars="200"/>
        <w:rPr>
          <w:rFonts w:ascii="宋体" w:hAnsi="宋体" w:cs="宋体"/>
          <w:color w:val="auto"/>
          <w:szCs w:val="21"/>
          <w:highlight w:val="none"/>
        </w:rPr>
      </w:pPr>
      <w:bookmarkStart w:id="1850" w:name="_Toc231612986"/>
      <w:bookmarkStart w:id="1851" w:name="_Toc231613133"/>
      <w:bookmarkStart w:id="1852" w:name="_Toc231612821"/>
      <w:r>
        <w:rPr>
          <w:rFonts w:hint="eastAsia" w:ascii="宋体" w:hAnsi="宋体" w:cs="宋体"/>
          <w:color w:val="auto"/>
          <w:szCs w:val="21"/>
          <w:highlight w:val="none"/>
        </w:rPr>
        <w:t>40.1 本工程双方约定投保内容如下：</w:t>
      </w:r>
      <w:bookmarkEnd w:id="1850"/>
      <w:bookmarkEnd w:id="1851"/>
      <w:bookmarkEnd w:id="1852"/>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（1）发包人投保内容：</w:t>
      </w:r>
      <w:r>
        <w:rPr>
          <w:rFonts w:hint="eastAsia" w:ascii="宋体" w:hAnsi="宋体" w:cs="宋体"/>
          <w:color w:val="auto"/>
          <w:szCs w:val="21"/>
          <w:highlight w:val="none"/>
          <w:u w:val="single"/>
        </w:rPr>
        <w:t xml:space="preserve">由发包人自行解决。 </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发包人委托承包人办理的保险事项：</w:t>
      </w:r>
      <w:r>
        <w:rPr>
          <w:rFonts w:hint="eastAsia" w:ascii="宋体" w:hAnsi="宋体" w:cs="宋体"/>
          <w:color w:val="auto"/>
          <w:szCs w:val="21"/>
          <w:highlight w:val="none"/>
          <w:u w:val="single"/>
        </w:rPr>
        <w:t>另行约定。</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（2）承包人投保内容：</w:t>
      </w:r>
      <w:r>
        <w:rPr>
          <w:rFonts w:hint="eastAsia" w:ascii="宋体" w:hAnsi="宋体" w:cs="宋体"/>
          <w:color w:val="auto"/>
          <w:szCs w:val="21"/>
          <w:highlight w:val="none"/>
          <w:u w:val="single"/>
        </w:rPr>
        <w:t xml:space="preserve"> 地方相关部门要求的保险（包括施工人员意外险）。</w:t>
      </w:r>
    </w:p>
    <w:p>
      <w:pPr>
        <w:adjustRightInd w:val="0"/>
        <w:snapToGrid w:val="0"/>
        <w:spacing w:line="360" w:lineRule="auto"/>
        <w:ind w:firstLine="421" w:firstLineChars="200"/>
        <w:rPr>
          <w:rFonts w:ascii="宋体" w:hAnsi="宋体" w:cs="宋体"/>
          <w:b/>
          <w:color w:val="auto"/>
          <w:szCs w:val="21"/>
          <w:highlight w:val="none"/>
        </w:rPr>
      </w:pPr>
      <w:bookmarkStart w:id="1853" w:name="_Toc99792359"/>
      <w:bookmarkStart w:id="1854" w:name="_Toc100123569"/>
      <w:bookmarkStart w:id="1855" w:name="_Toc101155844"/>
      <w:bookmarkStart w:id="1856" w:name="_Toc193188720"/>
      <w:bookmarkStart w:id="1857" w:name="_Toc123715560"/>
      <w:bookmarkStart w:id="1858" w:name="_Toc101156047"/>
      <w:bookmarkStart w:id="1859" w:name="_Toc98239464"/>
      <w:bookmarkStart w:id="1860" w:name="_Toc98239000"/>
      <w:bookmarkStart w:id="1861" w:name="_Toc115511362"/>
      <w:bookmarkStart w:id="1862" w:name="_Toc231612822"/>
      <w:r>
        <w:rPr>
          <w:rFonts w:hint="eastAsia" w:ascii="宋体" w:hAnsi="宋体" w:cs="宋体"/>
          <w:b/>
          <w:color w:val="auto"/>
          <w:szCs w:val="21"/>
          <w:highlight w:val="none"/>
        </w:rPr>
        <w:t>41、担保</w:t>
      </w:r>
      <w:bookmarkEnd w:id="1853"/>
      <w:bookmarkEnd w:id="1854"/>
      <w:bookmarkEnd w:id="1855"/>
      <w:bookmarkEnd w:id="1856"/>
      <w:bookmarkEnd w:id="1857"/>
      <w:bookmarkEnd w:id="1858"/>
      <w:bookmarkEnd w:id="1859"/>
      <w:bookmarkEnd w:id="1860"/>
      <w:bookmarkEnd w:id="1861"/>
      <w:bookmarkEnd w:id="1862"/>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41.3.1 履约担保</w:t>
      </w:r>
    </w:p>
    <w:p>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41.3.1.1承包人是否提供履约担保：</w:t>
      </w:r>
      <w:r>
        <w:rPr>
          <w:rFonts w:hint="eastAsia" w:ascii="宋体" w:hAnsi="宋体"/>
          <w:color w:val="auto"/>
          <w:szCs w:val="21"/>
          <w:highlight w:val="none"/>
          <w:u w:val="single"/>
        </w:rPr>
        <w:t>提供</w:t>
      </w:r>
      <w:r>
        <w:rPr>
          <w:rFonts w:hint="eastAsia" w:ascii="宋体" w:hAnsi="宋体"/>
          <w:color w:val="auto"/>
          <w:szCs w:val="21"/>
          <w:highlight w:val="none"/>
        </w:rPr>
        <w:t>。</w:t>
      </w:r>
    </w:p>
    <w:p>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41.3.1.2承包人提供履约担保的形式、金额及期限：</w:t>
      </w:r>
    </w:p>
    <w:p>
      <w:pPr>
        <w:numPr>
          <w:ilvl w:val="0"/>
          <w:numId w:val="3"/>
        </w:num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履约担保的形式：现金或履约保函或现金+履约保函的组合，履约保函包括银行保函、保证保险和担保保函，其示范文本详见合同附件。承包人提交的履约保函应严格执行其示范文本，不得对示范文本中的实质性内容进行修改。承包人若采用现金提交履约担保的，允许使用符合《关于在全市工程建设领域全面推行工程保函工作的通知》（渝公管发〔2022〕25号）、《关于进一步规范工程建设领域工程保函示范文本的通知》（渝公管发〔2022〕26号）要求的履约保函置换。</w:t>
      </w:r>
    </w:p>
    <w:p>
      <w:pPr>
        <w:adjustRightInd w:val="0"/>
        <w:snapToGrid w:val="0"/>
        <w:spacing w:line="360" w:lineRule="auto"/>
        <w:ind w:left="420" w:leftChars="200"/>
        <w:rPr>
          <w:rFonts w:ascii="宋体" w:hAnsi="宋体"/>
          <w:color w:val="auto"/>
          <w:szCs w:val="21"/>
          <w:highlight w:val="none"/>
        </w:rPr>
      </w:pPr>
      <w:r>
        <w:rPr>
          <w:rFonts w:hint="eastAsia" w:ascii="宋体" w:hAnsi="宋体"/>
          <w:color w:val="auto"/>
          <w:szCs w:val="21"/>
          <w:highlight w:val="none"/>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承包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承包人对所提交的履约保函的真实性、合法性、有效性负责。</w:t>
      </w:r>
    </w:p>
    <w:p>
      <w:pPr>
        <w:adjustRightInd w:val="0"/>
        <w:snapToGrid w:val="0"/>
        <w:spacing w:line="360" w:lineRule="auto"/>
        <w:ind w:left="420" w:leftChars="200"/>
        <w:rPr>
          <w:rFonts w:ascii="宋体" w:hAnsi="宋体"/>
          <w:color w:val="auto"/>
          <w:szCs w:val="21"/>
          <w:highlight w:val="none"/>
        </w:rPr>
      </w:pPr>
      <w:r>
        <w:rPr>
          <w:rFonts w:hint="eastAsia" w:ascii="宋体" w:hAnsi="宋体"/>
          <w:color w:val="auto"/>
          <w:szCs w:val="21"/>
          <w:highlight w:val="none"/>
        </w:rPr>
        <w:t>（3）履约担保的金额：</w:t>
      </w:r>
      <w:r>
        <w:rPr>
          <w:rFonts w:hint="eastAsia" w:ascii="仿宋_GB2312" w:hAnsi="宋体" w:eastAsia="仿宋_GB2312" w:cs="宋体"/>
          <w:color w:val="auto"/>
          <w:kern w:val="0"/>
          <w:szCs w:val="21"/>
          <w:highlight w:val="none"/>
          <w:u w:val="single"/>
        </w:rPr>
        <w:t xml:space="preserve">            </w:t>
      </w:r>
      <w:r>
        <w:rPr>
          <w:rFonts w:hint="eastAsia" w:ascii="宋体" w:hAnsi="宋体"/>
          <w:color w:val="auto"/>
          <w:szCs w:val="21"/>
          <w:highlight w:val="none"/>
        </w:rPr>
        <w:t>；</w:t>
      </w:r>
    </w:p>
    <w:p>
      <w:pPr>
        <w:adjustRightInd w:val="0"/>
        <w:snapToGrid w:val="0"/>
        <w:spacing w:line="360" w:lineRule="auto"/>
        <w:ind w:left="420" w:leftChars="200"/>
        <w:rPr>
          <w:rFonts w:ascii="宋体" w:hAnsi="宋体"/>
          <w:color w:val="auto"/>
          <w:szCs w:val="21"/>
          <w:highlight w:val="none"/>
        </w:rPr>
      </w:pPr>
      <w:r>
        <w:rPr>
          <w:rFonts w:hint="eastAsia" w:ascii="宋体" w:hAnsi="宋体"/>
          <w:color w:val="auto"/>
          <w:szCs w:val="21"/>
          <w:highlight w:val="none"/>
        </w:rPr>
        <w:t>（4）履约担保的提交时间：</w:t>
      </w:r>
      <w:r>
        <w:rPr>
          <w:rFonts w:hint="eastAsia" w:ascii="宋体" w:hAnsi="宋体"/>
          <w:color w:val="auto"/>
          <w:szCs w:val="21"/>
          <w:highlight w:val="none"/>
          <w:u w:val="single"/>
        </w:rPr>
        <w:t>在合同签订前，承包人按担保金额向发包人提交履约担保</w:t>
      </w:r>
      <w:r>
        <w:rPr>
          <w:rFonts w:hint="eastAsia" w:ascii="宋体" w:hAnsi="宋体"/>
          <w:color w:val="auto"/>
          <w:szCs w:val="21"/>
          <w:highlight w:val="none"/>
        </w:rPr>
        <w:t>。</w:t>
      </w:r>
    </w:p>
    <w:p>
      <w:pPr>
        <w:adjustRightInd w:val="0"/>
        <w:snapToGrid w:val="0"/>
        <w:spacing w:line="360" w:lineRule="auto"/>
        <w:ind w:left="420" w:leftChars="200"/>
        <w:rPr>
          <w:rFonts w:ascii="宋体" w:hAnsi="宋体"/>
          <w:color w:val="auto"/>
          <w:szCs w:val="21"/>
          <w:highlight w:val="none"/>
        </w:rPr>
      </w:pPr>
      <w:r>
        <w:rPr>
          <w:rFonts w:hint="eastAsia" w:ascii="宋体" w:hAnsi="宋体"/>
          <w:color w:val="auto"/>
          <w:szCs w:val="21"/>
          <w:highlight w:val="none"/>
        </w:rPr>
        <w:t>（5）履约担保的期限：</w:t>
      </w:r>
      <w:r>
        <w:rPr>
          <w:rFonts w:hint="eastAsia" w:ascii="宋体" w:hAnsi="宋体"/>
          <w:color w:val="auto"/>
          <w:szCs w:val="21"/>
          <w:highlight w:val="none"/>
          <w:u w:val="single"/>
        </w:rPr>
        <w:t>自施工合同签订之日起至项目完成竣工质</w:t>
      </w:r>
      <w:r>
        <w:rPr>
          <w:rFonts w:hint="eastAsia" w:ascii="宋体" w:hAnsi="宋体"/>
          <w:color w:val="auto"/>
          <w:szCs w:val="21"/>
          <w:highlight w:val="none"/>
          <w:u w:val="single"/>
          <w:lang w:val="en-US" w:eastAsia="zh-CN"/>
        </w:rPr>
        <w:t>量</w:t>
      </w:r>
      <w:r>
        <w:rPr>
          <w:rFonts w:hint="eastAsia" w:ascii="宋体" w:hAnsi="宋体"/>
          <w:color w:val="auto"/>
          <w:szCs w:val="21"/>
          <w:highlight w:val="none"/>
          <w:u w:val="single"/>
        </w:rPr>
        <w:t>初步验收之日止</w:t>
      </w:r>
      <w:r>
        <w:rPr>
          <w:rFonts w:hint="eastAsia" w:ascii="宋体" w:hAnsi="宋体"/>
          <w:color w:val="auto"/>
          <w:szCs w:val="21"/>
          <w:highlight w:val="none"/>
        </w:rPr>
        <w:t>。</w:t>
      </w:r>
    </w:p>
    <w:p>
      <w:pPr>
        <w:adjustRightInd w:val="0"/>
        <w:snapToGrid w:val="0"/>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（6）履约担保的退还时间：</w:t>
      </w:r>
      <w:r>
        <w:rPr>
          <w:rFonts w:hint="eastAsia" w:ascii="宋体" w:hAnsi="宋体"/>
          <w:color w:val="auto"/>
          <w:szCs w:val="21"/>
          <w:highlight w:val="none"/>
          <w:u w:val="single"/>
        </w:rPr>
        <w:t>采用现金担保的，工程竣工验收合格后14天内退还；采用履约保函的，工程竣工验收合格后14天内退还，或按工程实际情况约定分阶段退还，阶段划分按以下标准执行：</w:t>
      </w:r>
      <w:bookmarkStart w:id="1863" w:name="_Toc123715561"/>
      <w:bookmarkStart w:id="1864" w:name="_Toc193188721"/>
      <w:bookmarkStart w:id="1865" w:name="_Toc231612823"/>
    </w:p>
    <w:p>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41.3.</w:t>
      </w:r>
      <w:r>
        <w:rPr>
          <w:rFonts w:hint="eastAsia" w:ascii="宋体" w:hAnsi="宋体"/>
          <w:color w:val="auto"/>
          <w:szCs w:val="21"/>
          <w:highlight w:val="none"/>
          <w:lang w:val="en-US" w:eastAsia="zh-CN"/>
        </w:rPr>
        <w:t>2</w:t>
      </w:r>
      <w:r>
        <w:rPr>
          <w:rFonts w:hint="eastAsia" w:ascii="宋体" w:hAnsi="宋体"/>
          <w:color w:val="auto"/>
          <w:szCs w:val="21"/>
          <w:highlight w:val="none"/>
        </w:rPr>
        <w:t>支付担保</w:t>
      </w:r>
    </w:p>
    <w:p>
      <w:pPr>
        <w:numPr>
          <w:ilvl w:val="0"/>
          <w:numId w:val="4"/>
        </w:num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发包人是否提供支付担保：</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numPr>
          <w:ilvl w:val="0"/>
          <w:numId w:val="4"/>
        </w:num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支付担保的形式：</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numPr>
          <w:ilvl w:val="0"/>
          <w:numId w:val="4"/>
        </w:num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支付担保的金额：</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numPr>
          <w:ilvl w:val="0"/>
          <w:numId w:val="4"/>
        </w:num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支付担保的时间：</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numPr>
          <w:ilvl w:val="0"/>
          <w:numId w:val="4"/>
        </w:numPr>
        <w:adjustRightInd w:val="0"/>
        <w:snapToGrid w:val="0"/>
        <w:spacing w:line="360" w:lineRule="auto"/>
        <w:ind w:firstLine="420" w:firstLineChars="200"/>
        <w:rPr>
          <w:color w:val="auto"/>
          <w:highlight w:val="none"/>
        </w:rPr>
      </w:pPr>
      <w:r>
        <w:rPr>
          <w:rFonts w:hint="eastAsia" w:ascii="宋体" w:hAnsi="宋体"/>
          <w:color w:val="auto"/>
          <w:szCs w:val="21"/>
          <w:highlight w:val="none"/>
        </w:rPr>
        <w:t>支付担保的期限：</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numPr>
          <w:ilvl w:val="0"/>
          <w:numId w:val="4"/>
        </w:numPr>
        <w:adjustRightInd w:val="0"/>
        <w:snapToGrid w:val="0"/>
        <w:spacing w:line="360" w:lineRule="auto"/>
        <w:ind w:firstLine="420" w:firstLineChars="200"/>
        <w:rPr>
          <w:color w:val="auto"/>
          <w:highlight w:val="none"/>
        </w:rPr>
      </w:pPr>
      <w:r>
        <w:rPr>
          <w:rFonts w:hint="eastAsia" w:ascii="宋体" w:hAnsi="宋体"/>
          <w:color w:val="auto"/>
          <w:szCs w:val="21"/>
          <w:highlight w:val="none"/>
        </w:rPr>
        <w:t>支付担保的退还时间：</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adjustRightInd w:val="0"/>
        <w:snapToGrid w:val="0"/>
        <w:spacing w:line="360" w:lineRule="auto"/>
        <w:ind w:firstLine="421" w:firstLineChars="200"/>
        <w:rPr>
          <w:rFonts w:ascii="宋体" w:hAnsi="宋体" w:cs="宋体"/>
          <w:b/>
          <w:color w:val="auto"/>
          <w:szCs w:val="21"/>
          <w:highlight w:val="none"/>
        </w:rPr>
      </w:pPr>
      <w:r>
        <w:rPr>
          <w:rFonts w:hint="eastAsia" w:ascii="宋体" w:hAnsi="宋体" w:cs="宋体"/>
          <w:b/>
          <w:color w:val="auto"/>
          <w:szCs w:val="21"/>
          <w:highlight w:val="none"/>
        </w:rPr>
        <w:t>44、合同解除</w:t>
      </w:r>
      <w:bookmarkEnd w:id="1863"/>
      <w:bookmarkEnd w:id="1864"/>
      <w:bookmarkEnd w:id="1865"/>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44.2在本款中做如下补充约定：</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除通用条款本款约定的情况外，</w:t>
      </w:r>
      <w:r>
        <w:rPr>
          <w:rFonts w:hint="eastAsia" w:ascii="宋体" w:hAnsi="宋体" w:cs="宋体"/>
          <w:color w:val="auto"/>
          <w:szCs w:val="21"/>
          <w:highlight w:val="none"/>
        </w:rPr>
        <w:t>发生下述情况时承包人同样有权解除合同：</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（1）发包人破产或宣告停业清理，且此清理不是出于重组、重建或合并之目的；</w:t>
      </w:r>
    </w:p>
    <w:p>
      <w:pPr>
        <w:snapToGrid w:val="0"/>
        <w:spacing w:line="360" w:lineRule="auto"/>
        <w:ind w:firstLine="420" w:firstLineChars="200"/>
        <w:rPr>
          <w:rFonts w:ascii="宋体" w:hAnsi="宋体" w:cs="宋体"/>
          <w:color w:val="auto"/>
          <w:szCs w:val="21"/>
          <w:highlight w:val="none"/>
        </w:rPr>
      </w:pPr>
      <w:bookmarkStart w:id="1866" w:name="_Toc231613134"/>
      <w:bookmarkStart w:id="1867" w:name="_Toc231612987"/>
      <w:bookmarkStart w:id="1868" w:name="_Toc231612824"/>
      <w:r>
        <w:rPr>
          <w:rFonts w:hint="eastAsia" w:ascii="宋体" w:hAnsi="宋体" w:cs="宋体"/>
          <w:color w:val="auto"/>
          <w:szCs w:val="21"/>
          <w:highlight w:val="none"/>
        </w:rPr>
        <w:t>（2）未经承包人同意转让合同；</w:t>
      </w:r>
      <w:bookmarkEnd w:id="1866"/>
      <w:bookmarkEnd w:id="1867"/>
      <w:bookmarkEnd w:id="1868"/>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（3）出现12.3款提及的违约行为且承包人做出解除合同的选择。</w:t>
      </w:r>
    </w:p>
    <w:p>
      <w:pPr>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44.3在本款中做如下补充约定：</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除通用条款本款约定的情况外，</w:t>
      </w:r>
      <w:r>
        <w:rPr>
          <w:rFonts w:hint="eastAsia" w:ascii="宋体" w:hAnsi="宋体" w:cs="宋体"/>
          <w:color w:val="auto"/>
          <w:szCs w:val="21"/>
          <w:highlight w:val="none"/>
        </w:rPr>
        <w:t>发生下述情况时发包人同样有权解除合同，并没收承包人的履约保证金，另行选择施工单位完成本工程；</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（1）承包人破产或宣告停业清理，且此清理不是出于重组、重建或合并之目的；</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（2）放弃或否认合同；</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（3）无正当理由而未能按第11条的约定开工；</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（4）承包人的实际进度与经工程师确认的进度计划不符时，未按第10.3款约定执行工程师发出的指示而采取必要措施加快进度；</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（5）未遵守投标函的承诺，未能自行完成本工程的施工，未按规定分包或转让本工程；</w:t>
      </w:r>
    </w:p>
    <w:p>
      <w:pPr>
        <w:snapToGrid w:val="0"/>
        <w:spacing w:line="360" w:lineRule="auto"/>
        <w:ind w:firstLine="420" w:firstLineChars="200"/>
        <w:rPr>
          <w:rFonts w:ascii="宋体" w:hAnsi="宋体" w:cs="宋体"/>
          <w:color w:val="auto"/>
          <w:szCs w:val="21"/>
          <w:highlight w:val="none"/>
        </w:rPr>
      </w:pPr>
      <w:bookmarkStart w:id="1869" w:name="_Toc231613135"/>
      <w:bookmarkStart w:id="1870" w:name="_Toc231612825"/>
      <w:bookmarkStart w:id="1871" w:name="_Toc231612988"/>
      <w:r>
        <w:rPr>
          <w:rFonts w:hint="eastAsia" w:ascii="宋体" w:hAnsi="宋体" w:cs="宋体"/>
          <w:color w:val="auto"/>
          <w:szCs w:val="21"/>
          <w:highlight w:val="none"/>
        </w:rPr>
        <w:t>（6）未按招标人要求变更项目经理或技术负责人或主要施工管理人员；</w:t>
      </w:r>
      <w:bookmarkEnd w:id="1869"/>
      <w:bookmarkEnd w:id="1870"/>
      <w:bookmarkEnd w:id="1871"/>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（7）未经招标人同意，擅自变更项目经理或技术负责人或主要施工管理人员；或项目经理或技术负责人或主要施工管理人员驻工地时间平均一个月少于</w:t>
      </w:r>
      <w:r>
        <w:rPr>
          <w:rFonts w:hint="eastAsia" w:ascii="宋体" w:hAnsi="宋体" w:cs="宋体"/>
          <w:color w:val="auto"/>
          <w:szCs w:val="21"/>
          <w:highlight w:val="none"/>
          <w:lang w:val="en-US" w:eastAsia="zh-CN"/>
        </w:rPr>
        <w:t>22</w:t>
      </w:r>
      <w:r>
        <w:rPr>
          <w:rFonts w:hint="eastAsia" w:ascii="宋体" w:hAnsi="宋体" w:cs="宋体"/>
          <w:color w:val="auto"/>
          <w:szCs w:val="21"/>
          <w:highlight w:val="none"/>
        </w:rPr>
        <w:t>天。</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另本条内补充以下各款：</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44.8</w:t>
      </w:r>
      <w:r>
        <w:rPr>
          <w:rFonts w:hint="eastAsia" w:ascii="宋体" w:hAnsi="宋体" w:cs="宋体"/>
          <w:color w:val="auto"/>
          <w:szCs w:val="21"/>
          <w:highlight w:val="none"/>
        </w:rPr>
        <w:t>根据第44.1款、第44.2款和第44.4款中第（1）项约定而解除合同后，发包人应当退还履约保证金。</w:t>
      </w:r>
    </w:p>
    <w:p>
      <w:pPr>
        <w:snapToGrid w:val="0"/>
        <w:spacing w:line="360" w:lineRule="auto"/>
        <w:ind w:firstLine="421" w:firstLineChars="200"/>
        <w:rPr>
          <w:rFonts w:ascii="宋体" w:hAnsi="宋体" w:cs="宋体"/>
          <w:color w:val="auto"/>
          <w:szCs w:val="21"/>
          <w:highlight w:val="none"/>
        </w:rPr>
      </w:pPr>
      <w:r>
        <w:rPr>
          <w:rFonts w:hint="eastAsia" w:ascii="宋体" w:hAnsi="宋体" w:cs="宋体"/>
          <w:b/>
          <w:bCs/>
          <w:color w:val="auto"/>
          <w:szCs w:val="21"/>
          <w:highlight w:val="none"/>
        </w:rPr>
        <w:t xml:space="preserve">44.9 </w:t>
      </w:r>
      <w:r>
        <w:rPr>
          <w:rFonts w:hint="eastAsia" w:ascii="宋体" w:hAnsi="宋体" w:cs="宋体"/>
          <w:color w:val="auto"/>
          <w:szCs w:val="21"/>
          <w:highlight w:val="none"/>
        </w:rPr>
        <w:t>根据第44.3款约定发包人与承包人解除合同后，发包人或发包人依法确定的完成该工程的其他承包人可以随时进驻现场。</w:t>
      </w:r>
    </w:p>
    <w:p>
      <w:pPr>
        <w:snapToGrid w:val="0"/>
        <w:spacing w:line="360" w:lineRule="auto"/>
        <w:ind w:firstLine="421" w:firstLineChars="200"/>
        <w:rPr>
          <w:rFonts w:ascii="宋体" w:hAnsi="宋体" w:cs="宋体"/>
          <w:color w:val="auto"/>
          <w:szCs w:val="21"/>
          <w:highlight w:val="none"/>
          <w:u w:val="single"/>
        </w:rPr>
      </w:pPr>
      <w:r>
        <w:rPr>
          <w:rFonts w:hint="eastAsia" w:ascii="宋体" w:hAnsi="宋体" w:cs="宋体"/>
          <w:b/>
          <w:bCs/>
          <w:color w:val="auto"/>
          <w:szCs w:val="21"/>
          <w:highlight w:val="none"/>
        </w:rPr>
        <w:t>44.10</w:t>
      </w:r>
      <w:r>
        <w:rPr>
          <w:rFonts w:hint="eastAsia" w:ascii="宋体" w:hAnsi="宋体" w:cs="宋体"/>
          <w:color w:val="auto"/>
          <w:szCs w:val="21"/>
          <w:highlight w:val="none"/>
          <w:u w:val="single"/>
        </w:rPr>
        <w:t xml:space="preserve">承包人按照合同约定完成合同全部内容，并经当地行政部门组织的项目竣工初步验收合格，向发包人按规定提交工程竣工档案后30日内，无息退还履约保证金。 </w:t>
      </w:r>
    </w:p>
    <w:p>
      <w:pPr>
        <w:adjustRightInd w:val="0"/>
        <w:snapToGrid w:val="0"/>
        <w:spacing w:line="360" w:lineRule="auto"/>
        <w:ind w:firstLine="421" w:firstLineChars="200"/>
        <w:rPr>
          <w:rFonts w:ascii="宋体" w:hAnsi="宋体" w:cs="宋体"/>
          <w:b/>
          <w:color w:val="auto"/>
          <w:szCs w:val="21"/>
          <w:highlight w:val="none"/>
        </w:rPr>
      </w:pPr>
      <w:bookmarkStart w:id="1872" w:name="_Toc99792360"/>
      <w:bookmarkStart w:id="1873" w:name="_Toc100123570"/>
      <w:bookmarkStart w:id="1874" w:name="_Toc98239001"/>
      <w:bookmarkStart w:id="1875" w:name="_Toc193188722"/>
      <w:bookmarkStart w:id="1876" w:name="_Toc231612826"/>
      <w:bookmarkStart w:id="1877" w:name="_Toc98239465"/>
      <w:bookmarkStart w:id="1878" w:name="_Toc101156048"/>
      <w:bookmarkStart w:id="1879" w:name="_Toc101155845"/>
      <w:bookmarkStart w:id="1880" w:name="_Toc115511363"/>
      <w:bookmarkStart w:id="1881" w:name="_Toc123715562"/>
      <w:r>
        <w:rPr>
          <w:rFonts w:hint="eastAsia" w:ascii="宋体" w:hAnsi="宋体" w:cs="宋体"/>
          <w:b/>
          <w:color w:val="auto"/>
          <w:szCs w:val="21"/>
          <w:highlight w:val="none"/>
        </w:rPr>
        <w:t>46、合同份数</w:t>
      </w:r>
      <w:bookmarkEnd w:id="1872"/>
      <w:bookmarkEnd w:id="1873"/>
      <w:bookmarkEnd w:id="1874"/>
      <w:bookmarkEnd w:id="1875"/>
      <w:bookmarkEnd w:id="1876"/>
      <w:bookmarkEnd w:id="1877"/>
      <w:bookmarkEnd w:id="1878"/>
      <w:bookmarkEnd w:id="1879"/>
      <w:bookmarkEnd w:id="1880"/>
      <w:bookmarkEnd w:id="1881"/>
    </w:p>
    <w:p>
      <w:pPr>
        <w:adjustRightInd w:val="0"/>
        <w:snapToGrid w:val="0"/>
        <w:spacing w:line="360" w:lineRule="auto"/>
        <w:ind w:firstLine="420" w:firstLineChars="200"/>
        <w:rPr>
          <w:rFonts w:ascii="宋体" w:hAnsi="宋体" w:cs="宋体"/>
          <w:color w:val="auto"/>
          <w:szCs w:val="21"/>
          <w:highlight w:val="none"/>
        </w:rPr>
      </w:pPr>
      <w:bookmarkStart w:id="1882" w:name="_Toc123715563"/>
      <w:bookmarkStart w:id="1883" w:name="_Toc231613136"/>
      <w:bookmarkStart w:id="1884" w:name="_Toc231612989"/>
      <w:bookmarkStart w:id="1885" w:name="_Toc231612827"/>
      <w:r>
        <w:rPr>
          <w:rFonts w:hint="eastAsia" w:ascii="宋体" w:hAnsi="宋体" w:cs="宋体"/>
          <w:color w:val="auto"/>
          <w:szCs w:val="21"/>
          <w:highlight w:val="none"/>
        </w:rPr>
        <w:t>46.1 双方约定合同副本份数：副本拾份；甲方柒份，乙方叁份。</w:t>
      </w:r>
      <w:bookmarkEnd w:id="1882"/>
      <w:bookmarkEnd w:id="1883"/>
      <w:bookmarkEnd w:id="1884"/>
      <w:bookmarkEnd w:id="1885"/>
    </w:p>
    <w:p>
      <w:pPr>
        <w:adjustRightInd w:val="0"/>
        <w:snapToGrid w:val="0"/>
        <w:spacing w:line="360" w:lineRule="auto"/>
        <w:rPr>
          <w:rFonts w:ascii="方正黑体_GBK" w:hAnsi="宋体" w:eastAsia="方正黑体_GBK" w:cs="宋体"/>
          <w:b/>
          <w:bCs/>
          <w:color w:val="auto"/>
          <w:szCs w:val="21"/>
          <w:highlight w:val="none"/>
        </w:rPr>
      </w:pPr>
      <w:bookmarkStart w:id="1886" w:name="_Toc123715564"/>
      <w:bookmarkStart w:id="1887" w:name="_Toc193188723"/>
      <w:bookmarkStart w:id="1888" w:name="_Toc231612828"/>
      <w:r>
        <w:rPr>
          <w:rFonts w:hint="eastAsia" w:ascii="方正黑体_GBK" w:hAnsi="宋体" w:eastAsia="方正黑体_GBK" w:cs="宋体"/>
          <w:b/>
          <w:bCs/>
          <w:color w:val="auto"/>
          <w:szCs w:val="21"/>
          <w:highlight w:val="none"/>
        </w:rPr>
        <w:t>十二、补充条款</w:t>
      </w:r>
      <w:bookmarkEnd w:id="1886"/>
      <w:bookmarkEnd w:id="1887"/>
      <w:bookmarkEnd w:id="1888"/>
    </w:p>
    <w:p>
      <w:pPr>
        <w:adjustRightInd w:val="0"/>
        <w:snapToGrid w:val="0"/>
        <w:spacing w:line="360" w:lineRule="auto"/>
        <w:ind w:firstLine="421" w:firstLineChars="200"/>
        <w:rPr>
          <w:rFonts w:ascii="宋体" w:hAnsi="宋体" w:cs="宋体"/>
          <w:b/>
          <w:bCs/>
          <w:color w:val="auto"/>
          <w:szCs w:val="21"/>
          <w:highlight w:val="none"/>
        </w:rPr>
      </w:pPr>
      <w:r>
        <w:rPr>
          <w:rFonts w:hint="eastAsia" w:ascii="宋体" w:hAnsi="宋体" w:cs="宋体"/>
          <w:b/>
          <w:bCs/>
          <w:color w:val="auto"/>
          <w:szCs w:val="21"/>
          <w:highlight w:val="none"/>
        </w:rPr>
        <w:t>本部分补充以下条款：</w:t>
      </w:r>
    </w:p>
    <w:p>
      <w:pPr>
        <w:adjustRightInd w:val="0"/>
        <w:snapToGrid w:val="0"/>
        <w:spacing w:line="360" w:lineRule="auto"/>
        <w:ind w:firstLine="421" w:firstLineChars="200"/>
        <w:rPr>
          <w:rFonts w:ascii="宋体" w:hAnsi="宋体" w:cs="宋体"/>
          <w:b/>
          <w:color w:val="auto"/>
          <w:szCs w:val="21"/>
          <w:highlight w:val="none"/>
        </w:rPr>
      </w:pPr>
      <w:bookmarkStart w:id="1889" w:name="_Toc231612990"/>
      <w:bookmarkStart w:id="1890" w:name="_Toc123715565"/>
      <w:bookmarkStart w:id="1891" w:name="_Toc231613137"/>
      <w:bookmarkStart w:id="1892" w:name="_Toc231612829"/>
      <w:bookmarkStart w:id="1893" w:name="_Toc193188724"/>
      <w:r>
        <w:rPr>
          <w:rFonts w:hint="eastAsia" w:ascii="宋体" w:hAnsi="宋体" w:cs="宋体"/>
          <w:b/>
          <w:color w:val="auto"/>
          <w:szCs w:val="21"/>
          <w:highlight w:val="none"/>
        </w:rPr>
        <w:t>47、投标文件的充分性</w:t>
      </w:r>
      <w:bookmarkEnd w:id="1889"/>
      <w:bookmarkEnd w:id="1890"/>
      <w:bookmarkEnd w:id="1891"/>
      <w:bookmarkEnd w:id="1892"/>
      <w:bookmarkEnd w:id="1893"/>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47.1应当认为在正式提交投标文件以前，承包人已经认真研究发包人提供的合同文件，对任何可能存在的疑问都已经得到发包人的澄清和解答，并对由合同文件所定义的承包人合同工作内容达到透彻和充分的理解，并将这种理解全部反映到他的投标文件中。</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47.2 应当认为，承包人已经确认其提交的投标文件以及投标报价书中开列的各项费率和价格的正确性和充分性。除非合同中另有约定，承包人提交的投标文件以及投标报价书中开列的各项费率和价格已经全面、充分地体现和覆盖了：</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（1）承包人根据合同应承担的全部义务 ;</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（2）为该工程的正确实施、竣工和修补由于承包人的原因造成的缺陷所必须发生的一切开支。</w:t>
      </w:r>
    </w:p>
    <w:p>
      <w:pPr>
        <w:adjustRightInd w:val="0"/>
        <w:snapToGrid w:val="0"/>
        <w:spacing w:line="360" w:lineRule="auto"/>
        <w:ind w:firstLine="421" w:firstLineChars="200"/>
        <w:rPr>
          <w:rFonts w:ascii="宋体" w:hAnsi="宋体" w:cs="宋体"/>
          <w:b/>
          <w:color w:val="auto"/>
          <w:szCs w:val="21"/>
          <w:highlight w:val="none"/>
        </w:rPr>
      </w:pPr>
      <w:bookmarkStart w:id="1894" w:name="_Toc231612991"/>
      <w:bookmarkStart w:id="1895" w:name="_Toc193188725"/>
      <w:bookmarkStart w:id="1896" w:name="_Toc231612830"/>
      <w:bookmarkStart w:id="1897" w:name="_Toc231613138"/>
      <w:bookmarkStart w:id="1898" w:name="_Toc123715566"/>
      <w:r>
        <w:rPr>
          <w:rFonts w:hint="eastAsia" w:ascii="宋体" w:hAnsi="宋体" w:cs="宋体"/>
          <w:b/>
          <w:color w:val="auto"/>
          <w:szCs w:val="21"/>
          <w:highlight w:val="none"/>
        </w:rPr>
        <w:t>48、文件版权及保密义务</w:t>
      </w:r>
      <w:bookmarkEnd w:id="1894"/>
      <w:bookmarkEnd w:id="1895"/>
      <w:bookmarkEnd w:id="1896"/>
      <w:bookmarkEnd w:id="1897"/>
      <w:bookmarkEnd w:id="1898"/>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48.1发包人发给承包人的关于发包人的要求和其他文件的版权应属于发包人的财产。承包人可为了履行合同的目的复制、使用此类文件。在征得发包人同意之前，承包人不得为了其他目的复制、使用发包人的文件或将其提供给第三方。</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48.2发承包双方都应履行对合同的保密义务，除为了履行合同的目的需要之外，没有对方事先的书面同意，另一方不得在任何贸易中、技术文献或其他地方发表或披露该合同其任何细节。如因为履行合同的目的对于发表或披露的必要性引起争议时，应按照第37.1款解决。</w:t>
      </w:r>
    </w:p>
    <w:p>
      <w:pPr>
        <w:adjustRightInd w:val="0"/>
        <w:snapToGrid w:val="0"/>
        <w:spacing w:line="360" w:lineRule="auto"/>
        <w:ind w:firstLine="421" w:firstLineChars="200"/>
        <w:rPr>
          <w:rFonts w:ascii="宋体" w:hAnsi="宋体" w:cs="宋体"/>
          <w:b/>
          <w:color w:val="auto"/>
          <w:szCs w:val="21"/>
          <w:highlight w:val="none"/>
        </w:rPr>
      </w:pPr>
      <w:bookmarkStart w:id="1899" w:name="_Toc123715567"/>
      <w:bookmarkStart w:id="1900" w:name="_Toc231612831"/>
      <w:bookmarkStart w:id="1901" w:name="_Toc193188726"/>
      <w:r>
        <w:rPr>
          <w:rFonts w:hint="eastAsia" w:ascii="宋体" w:hAnsi="宋体" w:cs="宋体"/>
          <w:b/>
          <w:color w:val="auto"/>
          <w:szCs w:val="21"/>
          <w:highlight w:val="none"/>
        </w:rPr>
        <w:t>49、设计单位</w:t>
      </w:r>
      <w:bookmarkEnd w:id="1899"/>
      <w:bookmarkEnd w:id="1900"/>
      <w:bookmarkEnd w:id="1901"/>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49.1本工程勘查设计单位名称：</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由于勘查设计单位受雇于发包人，设计单位的任何性质的失误、差错或过失，对于本合同而言，均应视为发包人的失误、差错或过失。</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49.2勘查单位驻工地代表姓名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职务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设计单位驻工地代表姓名：</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职务：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numPr>
          <w:ilvl w:val="0"/>
          <w:numId w:val="5"/>
        </w:numPr>
        <w:adjustRightInd w:val="0"/>
        <w:snapToGrid w:val="0"/>
        <w:spacing w:line="360" w:lineRule="auto"/>
        <w:ind w:firstLine="421" w:firstLineChars="200"/>
        <w:rPr>
          <w:rFonts w:hint="default"/>
          <w:color w:val="auto"/>
          <w:highlight w:val="none"/>
          <w:lang w:val="en-US" w:eastAsia="zh-CN"/>
        </w:rPr>
      </w:pPr>
      <w:bookmarkStart w:id="1902" w:name="_Toc231612992"/>
      <w:bookmarkStart w:id="1903" w:name="_Toc193188727"/>
      <w:bookmarkStart w:id="1904" w:name="_Toc231613139"/>
      <w:bookmarkStart w:id="1905" w:name="_Toc231612832"/>
      <w:r>
        <w:rPr>
          <w:rFonts w:hint="eastAsia" w:ascii="宋体" w:hAnsi="宋体" w:cs="宋体"/>
          <w:b/>
          <w:color w:val="auto"/>
          <w:szCs w:val="21"/>
          <w:highlight w:val="none"/>
        </w:rPr>
        <w:t>农民工工资</w:t>
      </w:r>
      <w:bookmarkEnd w:id="1902"/>
      <w:bookmarkEnd w:id="1903"/>
      <w:bookmarkEnd w:id="1904"/>
      <w:bookmarkEnd w:id="1905"/>
      <w:r>
        <w:rPr>
          <w:rFonts w:hint="eastAsia" w:ascii="宋体" w:hAnsi="宋体" w:cs="宋体"/>
          <w:b/>
          <w:color w:val="auto"/>
          <w:szCs w:val="21"/>
          <w:highlight w:val="none"/>
          <w:lang w:val="en-US" w:eastAsia="zh-CN"/>
        </w:rPr>
        <w:t>保证金</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u w:val="single"/>
          <w:lang w:bidi="ar"/>
        </w:rPr>
        <w:t>（1）为确保施工过程中农民工工资实时、足额发放到位，</w:t>
      </w:r>
      <w:r>
        <w:rPr>
          <w:rFonts w:hint="eastAsia"/>
          <w:color w:val="auto"/>
          <w:highlight w:val="none"/>
          <w:u w:val="single"/>
        </w:rPr>
        <w:t>按</w:t>
      </w:r>
      <w:r>
        <w:rPr>
          <w:rFonts w:hint="eastAsia"/>
          <w:color w:val="auto"/>
          <w:highlight w:val="none"/>
          <w:u w:val="single"/>
          <w:lang w:val="en-US" w:eastAsia="zh-CN"/>
        </w:rPr>
        <w:t>照</w:t>
      </w:r>
      <w:r>
        <w:rPr>
          <w:rFonts w:hint="eastAsia" w:ascii="宋体" w:hAnsi="宋体"/>
          <w:snapToGrid w:val="0"/>
          <w:color w:val="auto"/>
          <w:kern w:val="32"/>
          <w:highlight w:val="none"/>
          <w:u w:val="single"/>
        </w:rPr>
        <w:t>《重庆市工程建设领域农民工工资保证金实施办法》（渝人社发〔20</w:t>
      </w:r>
      <w:r>
        <w:rPr>
          <w:rFonts w:hint="eastAsia" w:ascii="宋体" w:hAnsi="宋体"/>
          <w:snapToGrid w:val="0"/>
          <w:color w:val="auto"/>
          <w:kern w:val="32"/>
          <w:highlight w:val="none"/>
          <w:u w:val="single"/>
          <w:lang w:val="en-US" w:eastAsia="zh-CN"/>
        </w:rPr>
        <w:t>22</w:t>
      </w:r>
      <w:r>
        <w:rPr>
          <w:rFonts w:hint="eastAsia" w:ascii="宋体" w:hAnsi="宋体"/>
          <w:snapToGrid w:val="0"/>
          <w:color w:val="auto"/>
          <w:kern w:val="32"/>
          <w:highlight w:val="none"/>
          <w:u w:val="single"/>
        </w:rPr>
        <w:t>〕5号）</w:t>
      </w:r>
      <w:r>
        <w:rPr>
          <w:rFonts w:hint="eastAsia" w:ascii="宋体" w:hAnsi="宋体"/>
          <w:snapToGrid w:val="0"/>
          <w:color w:val="auto"/>
          <w:kern w:val="32"/>
          <w:highlight w:val="none"/>
          <w:u w:val="single"/>
          <w:lang w:val="en-US" w:eastAsia="zh-CN"/>
        </w:rPr>
        <w:t>规定</w:t>
      </w:r>
      <w:r>
        <w:rPr>
          <w:rFonts w:hint="eastAsia" w:ascii="宋体" w:hAnsi="宋体"/>
          <w:snapToGrid w:val="0"/>
          <w:color w:val="auto"/>
          <w:kern w:val="32"/>
          <w:highlight w:val="none"/>
          <w:u w:val="single"/>
          <w:lang w:eastAsia="zh-CN"/>
        </w:rPr>
        <w:t>，</w:t>
      </w:r>
      <w:r>
        <w:rPr>
          <w:rFonts w:hint="eastAsia" w:ascii="宋体" w:hAnsi="宋体"/>
          <w:snapToGrid w:val="0"/>
          <w:color w:val="auto"/>
          <w:kern w:val="32"/>
          <w:highlight w:val="none"/>
          <w:u w:val="single"/>
          <w:lang w:val="en-US" w:eastAsia="zh-CN"/>
        </w:rPr>
        <w:t>按照</w:t>
      </w:r>
      <w:r>
        <w:rPr>
          <w:rFonts w:hint="eastAsia" w:ascii="宋体" w:hAnsi="宋体" w:cs="宋体"/>
          <w:color w:val="auto"/>
          <w:kern w:val="0"/>
          <w:szCs w:val="21"/>
          <w:highlight w:val="none"/>
          <w:u w:val="single"/>
          <w:lang w:val="en-US" w:eastAsia="zh-CN" w:bidi="ar"/>
        </w:rPr>
        <w:t>下列</w:t>
      </w:r>
      <w:r>
        <w:rPr>
          <w:rFonts w:hint="eastAsia" w:ascii="宋体" w:hAnsi="宋体" w:cs="宋体"/>
          <w:color w:val="auto"/>
          <w:kern w:val="0"/>
          <w:szCs w:val="21"/>
          <w:highlight w:val="none"/>
          <w:u w:val="single"/>
          <w:lang w:bidi="ar"/>
        </w:rPr>
        <w:t>条款约定的时间和金额</w:t>
      </w:r>
      <w:r>
        <w:rPr>
          <w:rFonts w:hint="eastAsia" w:ascii="宋体" w:hAnsi="宋体" w:cs="宋体"/>
          <w:color w:val="auto"/>
          <w:kern w:val="0"/>
          <w:szCs w:val="21"/>
          <w:highlight w:val="none"/>
          <w:u w:val="single"/>
          <w:lang w:val="en-US" w:eastAsia="zh-CN" w:bidi="ar"/>
        </w:rPr>
        <w:t>在项目经办银行</w:t>
      </w:r>
      <w:r>
        <w:rPr>
          <w:rFonts w:hint="eastAsia" w:ascii="宋体" w:hAnsi="宋体" w:cs="宋体"/>
          <w:color w:val="auto"/>
          <w:kern w:val="0"/>
          <w:szCs w:val="21"/>
          <w:highlight w:val="none"/>
          <w:u w:val="single"/>
          <w:lang w:bidi="ar"/>
        </w:rPr>
        <w:t>缴存农民工工资保证金。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农民工工资保证金的缴存时间：</w:t>
      </w:r>
      <w:r>
        <w:rPr>
          <w:rFonts w:hint="eastAsia" w:ascii="宋体" w:hAnsi="宋体" w:eastAsia="宋体" w:cs="宋体"/>
          <w:color w:val="auto"/>
          <w:kern w:val="0"/>
          <w:szCs w:val="21"/>
          <w:highlight w:val="none"/>
          <w:u w:val="single"/>
          <w:lang w:bidi="ar"/>
        </w:rPr>
        <w:t xml:space="preserve">        </w:t>
      </w:r>
    </w:p>
    <w:p>
      <w:pPr>
        <w:widowControl/>
        <w:spacing w:line="360" w:lineRule="auto"/>
        <w:ind w:firstLine="420" w:firstLineChars="200"/>
        <w:jc w:val="left"/>
        <w:rPr>
          <w:rFonts w:hint="eastAsia" w:ascii="仿宋_GB2312" w:hAnsi="仿宋_GB2312" w:eastAsia="仿宋_GB2312" w:cs="仿宋_GB2312"/>
          <w:color w:val="auto"/>
          <w:kern w:val="0"/>
          <w:szCs w:val="21"/>
          <w:highlight w:val="none"/>
          <w:lang w:bidi="ar"/>
        </w:rPr>
      </w:pPr>
      <w:r>
        <w:rPr>
          <w:rFonts w:hint="eastAsia" w:ascii="宋体" w:hAnsi="宋体" w:eastAsia="宋体" w:cs="宋体"/>
          <w:color w:val="auto"/>
          <w:kern w:val="0"/>
          <w:szCs w:val="21"/>
          <w:highlight w:val="none"/>
          <w:lang w:bidi="ar"/>
        </w:rPr>
        <w:t>农民工工资保证金的缴存金额：</w:t>
      </w:r>
      <w:r>
        <w:rPr>
          <w:rFonts w:hint="eastAsia" w:ascii="宋体" w:hAnsi="宋体" w:eastAsia="宋体" w:cs="宋体"/>
          <w:color w:val="auto"/>
          <w:kern w:val="0"/>
          <w:szCs w:val="21"/>
          <w:highlight w:val="none"/>
          <w:u w:val="single"/>
          <w:lang w:bidi="ar"/>
        </w:rPr>
        <w:t xml:space="preserve">        </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（2）农民工工资保证金可采用银行保函或现金、支票形式。采用银行保函时，出具保函的银行须具有相应担保能力，且按照发包人批准的格式出具，所需费用由承包人承担。</w:t>
      </w:r>
    </w:p>
    <w:p>
      <w:pPr>
        <w:widowControl/>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（3）农民工工资保证金的扣留条件、返还时间按照</w:t>
      </w:r>
      <w:r>
        <w:rPr>
          <w:rFonts w:hint="eastAsia" w:ascii="宋体" w:hAnsi="宋体" w:cs="宋体"/>
          <w:color w:val="auto"/>
          <w:kern w:val="0"/>
          <w:szCs w:val="21"/>
          <w:highlight w:val="none"/>
          <w:lang w:val="en-US" w:eastAsia="zh-CN" w:bidi="ar"/>
        </w:rPr>
        <w:t>下列</w:t>
      </w:r>
      <w:r>
        <w:rPr>
          <w:rFonts w:hint="eastAsia" w:ascii="宋体" w:hAnsi="宋体" w:cs="宋体"/>
          <w:color w:val="auto"/>
          <w:kern w:val="0"/>
          <w:szCs w:val="21"/>
          <w:highlight w:val="none"/>
          <w:lang w:bidi="ar"/>
        </w:rPr>
        <w:t>条款的约定执行。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农民工工资保证金的扣留条件：</w:t>
      </w:r>
      <w:r>
        <w:rPr>
          <w:rFonts w:hint="eastAsia" w:ascii="宋体" w:hAnsi="宋体" w:eastAsia="宋体" w:cs="宋体"/>
          <w:color w:val="auto"/>
          <w:kern w:val="0"/>
          <w:szCs w:val="21"/>
          <w:highlight w:val="none"/>
          <w:u w:val="single"/>
          <w:lang w:bidi="ar"/>
        </w:rPr>
        <w:t xml:space="preserve">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农民工工资保证金的返还时间：</w:t>
      </w:r>
      <w:r>
        <w:rPr>
          <w:rFonts w:hint="eastAsia" w:ascii="宋体" w:hAnsi="宋体" w:eastAsia="宋体" w:cs="宋体"/>
          <w:color w:val="auto"/>
          <w:kern w:val="0"/>
          <w:szCs w:val="21"/>
          <w:highlight w:val="none"/>
          <w:u w:val="single"/>
          <w:lang w:bidi="ar"/>
        </w:rPr>
        <w:t xml:space="preserve">        </w:t>
      </w:r>
    </w:p>
    <w:p>
      <w:pPr>
        <w:pStyle w:val="2"/>
        <w:ind w:firstLine="420" w:firstLineChars="200"/>
        <w:rPr>
          <w:color w:val="auto"/>
          <w:highlight w:val="none"/>
        </w:rPr>
      </w:pPr>
      <w:r>
        <w:rPr>
          <w:rFonts w:hint="eastAsia" w:ascii="宋体" w:hAnsi="宋体"/>
          <w:color w:val="auto"/>
          <w:kern w:val="0"/>
          <w:szCs w:val="21"/>
          <w:highlight w:val="none"/>
        </w:rPr>
        <w:t>发包人应</w:t>
      </w:r>
      <w:r>
        <w:rPr>
          <w:rFonts w:hint="eastAsia" w:ascii="宋体" w:hAnsi="宋体"/>
          <w:color w:val="auto"/>
          <w:kern w:val="0"/>
          <w:szCs w:val="21"/>
          <w:highlight w:val="none"/>
          <w:lang w:val="en-US" w:eastAsia="zh-CN"/>
        </w:rPr>
        <w:t>按行业主管部门的相关规定</w:t>
      </w:r>
      <w:r>
        <w:rPr>
          <w:rFonts w:hint="eastAsia" w:ascii="宋体" w:hAnsi="宋体"/>
          <w:color w:val="auto"/>
          <w:kern w:val="0"/>
          <w:szCs w:val="21"/>
          <w:highlight w:val="none"/>
        </w:rPr>
        <w:t>将人工费（工资款）支付至承包人指定的农民工工资专用账户。</w:t>
      </w:r>
    </w:p>
    <w:p>
      <w:pPr>
        <w:pStyle w:val="7"/>
        <w:spacing w:before="0" w:beforeAutospacing="0" w:after="0" w:afterAutospacing="0"/>
        <w:ind w:firstLine="421" w:firstLineChars="200"/>
        <w:rPr>
          <w:color w:val="auto"/>
          <w:highlight w:val="none"/>
        </w:rPr>
      </w:pPr>
      <w:r>
        <w:rPr>
          <w:rFonts w:hint="eastAsia"/>
          <w:color w:val="auto"/>
          <w:sz w:val="21"/>
          <w:szCs w:val="21"/>
          <w:highlight w:val="none"/>
        </w:rPr>
        <w:t>51、关于不平衡报价的约定：</w:t>
      </w:r>
      <w:r>
        <w:rPr>
          <w:rFonts w:hint="eastAsia"/>
          <w:color w:val="auto"/>
          <w:sz w:val="21"/>
          <w:szCs w:val="21"/>
          <w:highlight w:val="none"/>
          <w:u w:val="single"/>
        </w:rPr>
        <w:t xml:space="preserve">       </w:t>
      </w:r>
    </w:p>
    <w:p>
      <w:pPr>
        <w:pStyle w:val="6"/>
        <w:keepNext/>
        <w:keepLines/>
        <w:spacing w:before="289" w:beforeLines="50" w:beforeAutospacing="0" w:after="289" w:afterLines="50" w:afterAutospacing="0"/>
        <w:ind w:firstLine="421" w:firstLineChars="200"/>
        <w:jc w:val="both"/>
        <w:rPr>
          <w:bCs w:val="0"/>
          <w:color w:val="auto"/>
          <w:kern w:val="2"/>
          <w:sz w:val="21"/>
          <w:szCs w:val="21"/>
          <w:highlight w:val="none"/>
        </w:rPr>
      </w:pPr>
      <w:r>
        <w:rPr>
          <w:rFonts w:hint="eastAsia"/>
          <w:color w:val="auto"/>
          <w:kern w:val="2"/>
          <w:sz w:val="21"/>
          <w:szCs w:val="21"/>
          <w:highlight w:val="none"/>
        </w:rPr>
        <w:t>52. 合同附件</w:t>
      </w:r>
      <w:bookmarkEnd w:id="1400"/>
      <w:bookmarkEnd w:id="1401"/>
    </w:p>
    <w:p>
      <w:pPr>
        <w:spacing w:line="360" w:lineRule="auto"/>
        <w:ind w:right="105" w:rightChars="50" w:firstLine="420" w:firstLineChars="200"/>
        <w:jc w:val="left"/>
        <w:rPr>
          <w:rFonts w:ascii="宋体" w:hAnsi="宋体"/>
          <w:color w:val="auto"/>
          <w:highlight w:val="none"/>
        </w:rPr>
      </w:pPr>
      <w:r>
        <w:rPr>
          <w:rFonts w:hint="eastAsia" w:ascii="宋体" w:hAnsi="宋体"/>
          <w:color w:val="auto"/>
          <w:highlight w:val="none"/>
        </w:rPr>
        <w:t>以下十一个附件是本合同的有效组成部分：</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附件1：工程质量保修书</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附件2：主要建设工程文件目录</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附件3：承包人项目管理机构组成表</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附件4：履约</w:t>
      </w:r>
      <w:r>
        <w:rPr>
          <w:rFonts w:ascii="宋体" w:hAnsi="宋体"/>
          <w:color w:val="auto"/>
          <w:szCs w:val="21"/>
          <w:highlight w:val="none"/>
        </w:rPr>
        <w:t>担保</w:t>
      </w:r>
      <w:r>
        <w:rPr>
          <w:rFonts w:hint="eastAsia" w:ascii="宋体" w:hAnsi="宋体"/>
          <w:color w:val="auto"/>
          <w:szCs w:val="21"/>
          <w:highlight w:val="none"/>
        </w:rPr>
        <w:t>（如有）</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5</w:t>
      </w:r>
      <w:r>
        <w:rPr>
          <w:rFonts w:hint="eastAsia" w:ascii="宋体" w:hAnsi="宋体"/>
          <w:color w:val="auto"/>
          <w:szCs w:val="21"/>
          <w:highlight w:val="none"/>
        </w:rPr>
        <w:t>：预付款担保（如有）</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6</w:t>
      </w:r>
      <w:r>
        <w:rPr>
          <w:rFonts w:hint="eastAsia" w:ascii="宋体" w:hAnsi="宋体"/>
          <w:color w:val="auto"/>
          <w:szCs w:val="21"/>
          <w:highlight w:val="none"/>
        </w:rPr>
        <w:t>：支付担保（如有）</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7</w:t>
      </w:r>
      <w:r>
        <w:rPr>
          <w:rFonts w:hint="eastAsia" w:ascii="宋体" w:hAnsi="宋体"/>
          <w:color w:val="auto"/>
          <w:szCs w:val="21"/>
          <w:highlight w:val="none"/>
        </w:rPr>
        <w:t>：专业工程暂估价表</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8</w:t>
      </w:r>
      <w:r>
        <w:rPr>
          <w:rFonts w:hint="eastAsia" w:ascii="宋体" w:hAnsi="宋体"/>
          <w:color w:val="auto"/>
          <w:szCs w:val="21"/>
          <w:highlight w:val="none"/>
        </w:rPr>
        <w:t>：廉洁从业协议</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9</w:t>
      </w:r>
      <w:r>
        <w:rPr>
          <w:rFonts w:hint="eastAsia" w:ascii="宋体" w:hAnsi="宋体"/>
          <w:color w:val="auto"/>
          <w:szCs w:val="21"/>
          <w:highlight w:val="none"/>
        </w:rPr>
        <w:t>：安全管理协议</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10</w:t>
      </w:r>
      <w:r>
        <w:rPr>
          <w:rFonts w:hint="eastAsia" w:ascii="宋体" w:hAnsi="宋体"/>
          <w:color w:val="auto"/>
          <w:szCs w:val="21"/>
          <w:highlight w:val="none"/>
        </w:rPr>
        <w:t>：保障农民工工资支付协议</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hint="eastAsia" w:ascii="宋体" w:hAnsi="宋体"/>
          <w:color w:val="auto"/>
          <w:szCs w:val="21"/>
          <w:highlight w:val="none"/>
          <w:lang w:val="en-US" w:eastAsia="zh-CN"/>
        </w:rPr>
        <w:t>11</w:t>
      </w:r>
      <w:r>
        <w:rPr>
          <w:rFonts w:hint="eastAsia" w:ascii="宋体" w:hAnsi="宋体"/>
          <w:color w:val="auto"/>
          <w:szCs w:val="21"/>
          <w:highlight w:val="none"/>
        </w:rPr>
        <w:t>：质量保证金保函（如果有）</w:t>
      </w:r>
    </w:p>
    <w:bookmarkEnd w:id="1402"/>
    <w:p>
      <w:pPr>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附件1：</w:t>
      </w:r>
    </w:p>
    <w:p>
      <w:pPr>
        <w:spacing w:before="120" w:beforeLines="50" w:after="120" w:afterLines="50"/>
        <w:jc w:val="center"/>
        <w:rPr>
          <w:rFonts w:ascii="宋体" w:hAnsi="宋体"/>
          <w:color w:val="auto"/>
          <w:szCs w:val="21"/>
          <w:highlight w:val="none"/>
        </w:rPr>
      </w:pPr>
      <w:r>
        <w:rPr>
          <w:rFonts w:hint="eastAsia" w:ascii="宋体" w:hAnsi="宋体"/>
          <w:color w:val="auto"/>
          <w:szCs w:val="21"/>
          <w:highlight w:val="none"/>
        </w:rPr>
        <w:t>工程质量保修书</w:t>
      </w:r>
    </w:p>
    <w:p>
      <w:pPr>
        <w:snapToGrid w:val="0"/>
        <w:spacing w:line="360" w:lineRule="auto"/>
        <w:ind w:firstLine="421"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pPr>
        <w:snapToGrid w:val="0"/>
        <w:spacing w:line="360" w:lineRule="auto"/>
        <w:ind w:firstLine="421"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发包人和承包人根据《中华人民共和国建筑法》</w:t>
      </w:r>
      <w:r>
        <w:rPr>
          <w:rFonts w:hint="eastAsia" w:ascii="宋体" w:hAnsi="宋体"/>
          <w:color w:val="auto"/>
          <w:szCs w:val="21"/>
          <w:highlight w:val="none"/>
          <w:lang w:eastAsia="zh-CN"/>
        </w:rPr>
        <w:t>、</w:t>
      </w:r>
      <w:r>
        <w:rPr>
          <w:rFonts w:hint="eastAsia" w:ascii="宋体" w:hAnsi="宋体" w:eastAsia="宋体" w:cs="Times New Roman"/>
          <w:i w:val="0"/>
          <w:iCs w:val="0"/>
          <w:caps w:val="0"/>
          <w:color w:val="auto"/>
          <w:spacing w:val="0"/>
          <w:sz w:val="21"/>
          <w:szCs w:val="21"/>
          <w:highlight w:val="none"/>
          <w:shd w:val="clear"/>
        </w:rPr>
        <w:t>《地质灾害防治条例》</w:t>
      </w:r>
      <w:r>
        <w:rPr>
          <w:rFonts w:hint="eastAsia" w:ascii="宋体" w:hAnsi="宋体"/>
          <w:color w:val="auto"/>
          <w:szCs w:val="21"/>
          <w:highlight w:val="none"/>
        </w:rPr>
        <w:t>和《建设工程质量管理条例》，经协商一致就</w:t>
      </w:r>
      <w:r>
        <w:rPr>
          <w:rFonts w:hint="eastAsia" w:ascii="宋体" w:hAnsi="宋体"/>
          <w:color w:val="auto"/>
          <w:szCs w:val="21"/>
          <w:highlight w:val="none"/>
          <w:u w:val="single"/>
        </w:rPr>
        <w:t xml:space="preserve">        </w:t>
      </w:r>
      <w:r>
        <w:rPr>
          <w:rFonts w:hint="eastAsia" w:ascii="宋体" w:hAnsi="宋体"/>
          <w:color w:val="auto"/>
          <w:szCs w:val="21"/>
          <w:highlight w:val="none"/>
        </w:rPr>
        <w:t>（工程全称）签订工程质量保修书。</w:t>
      </w:r>
    </w:p>
    <w:p>
      <w:pPr>
        <w:numPr>
          <w:ilvl w:val="0"/>
          <w:numId w:val="6"/>
        </w:num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工程质量保修范围和内容</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承包人在质量保修期内，按照有关法律规定和合同约定，承担工程质量保修责任。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质量保修范围包括</w:t>
      </w:r>
      <w:r>
        <w:rPr>
          <w:rFonts w:hint="eastAsia" w:ascii="宋体" w:hAnsi="宋体"/>
          <w:color w:val="auto"/>
          <w:szCs w:val="21"/>
          <w:highlight w:val="none"/>
          <w:lang w:val="en-US" w:eastAsia="zh-CN"/>
        </w:rPr>
        <w:t>合同项下承包人完成的所有工程。</w:t>
      </w:r>
      <w:r>
        <w:rPr>
          <w:rFonts w:hint="eastAsia" w:ascii="宋体" w:hAnsi="宋体" w:eastAsia="宋体" w:cs="Times New Roman"/>
          <w:color w:val="auto"/>
          <w:sz w:val="21"/>
          <w:szCs w:val="21"/>
          <w:highlight w:val="none"/>
        </w:rPr>
        <w:t>但因管理不当或者第三方造成的质量缺陷以及因不可抗力造成的质量缺陷不属于保修范围。</w:t>
      </w:r>
      <w:r>
        <w:rPr>
          <w:rFonts w:hint="eastAsia" w:ascii="宋体" w:hAnsi="宋体"/>
          <w:color w:val="auto"/>
          <w:szCs w:val="21"/>
          <w:highlight w:val="none"/>
        </w:rPr>
        <w:t>具体保修的内容，双方约定如下：</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承包人承包范围内容均属质量保修范围内容</w:t>
      </w:r>
      <w:r>
        <w:rPr>
          <w:rFonts w:hint="eastAsia" w:ascii="宋体" w:hAnsi="宋体"/>
          <w:color w:val="auto"/>
          <w:szCs w:val="21"/>
          <w:highlight w:val="none"/>
          <w:u w:val="single"/>
          <w:lang w:eastAsia="zh-CN"/>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二、质量保修期</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根据《建设工程质量管理条例》及有关规定，本工程质量保修期约定如下：</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1.主体工程为设计文件规定的该工程的合理使用年限；</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2</w:t>
      </w:r>
      <w:r>
        <w:rPr>
          <w:rFonts w:hint="eastAsia" w:ascii="宋体" w:hAnsi="宋体"/>
          <w:color w:val="auto"/>
          <w:szCs w:val="21"/>
          <w:highlight w:val="none"/>
        </w:rPr>
        <w:t>.其他项目保修期限：</w:t>
      </w:r>
    </w:p>
    <w:p>
      <w:pPr>
        <w:spacing w:line="360" w:lineRule="auto"/>
        <w:ind w:firstLine="420" w:firstLineChars="200"/>
        <w:rPr>
          <w:rFonts w:hint="eastAsia" w:ascii="宋体" w:hAnsi="宋体" w:eastAsia="宋体"/>
          <w:color w:val="auto"/>
          <w:szCs w:val="21"/>
          <w:highlight w:val="none"/>
          <w:u w:val="single"/>
          <w:lang w:eastAsia="zh-CN"/>
        </w:rPr>
      </w:pPr>
      <w:r>
        <w:rPr>
          <w:rFonts w:hint="eastAsia" w:ascii="宋体" w:hAnsi="宋体"/>
          <w:color w:val="auto"/>
          <w:szCs w:val="21"/>
          <w:highlight w:val="none"/>
          <w:u w:val="single"/>
          <w:lang w:val="en-US" w:eastAsia="zh-CN"/>
        </w:rPr>
        <w:t>按国家或行业或</w:t>
      </w:r>
      <w:r>
        <w:rPr>
          <w:rFonts w:hint="eastAsia" w:ascii="宋体" w:hAnsi="宋体"/>
          <w:color w:val="auto"/>
          <w:szCs w:val="21"/>
          <w:highlight w:val="none"/>
          <w:u w:val="single"/>
        </w:rPr>
        <w:t>市</w:t>
      </w:r>
      <w:r>
        <w:rPr>
          <w:rFonts w:hint="eastAsia" w:ascii="宋体" w:hAnsi="宋体"/>
          <w:color w:val="auto"/>
          <w:szCs w:val="21"/>
          <w:highlight w:val="none"/>
          <w:u w:val="single"/>
          <w:lang w:val="en-US" w:eastAsia="zh-CN"/>
        </w:rPr>
        <w:t>有关规定执行</w:t>
      </w:r>
      <w:r>
        <w:rPr>
          <w:rFonts w:hint="eastAsia" w:ascii="宋体" w:hAnsi="宋体"/>
          <w:color w:val="auto"/>
          <w:szCs w:val="21"/>
          <w:highlight w:val="none"/>
          <w:u w:val="single"/>
          <w:lang w:eastAsia="zh-CN"/>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lang w:val="en-US" w:eastAsia="zh-CN"/>
        </w:rPr>
        <w:t>以上保修期限</w:t>
      </w:r>
      <w:r>
        <w:rPr>
          <w:rFonts w:hint="eastAsia" w:ascii="宋体" w:hAnsi="宋体"/>
          <w:color w:val="auto"/>
          <w:szCs w:val="21"/>
          <w:highlight w:val="none"/>
        </w:rPr>
        <w:t>自工程竣工验收合格之日起计算。</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三、质量保修责任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1.属于保修范围、内容的项目，承包人应当在接到保修通知之日起7天内派人保修。承包人不在约定期限内派人保修的，发包人可以委托他人修理。</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2.发生紧急事故需抢修的，承包人在接到事故通知后，应当立即到达事故现场抢修。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.质量保修完成后，由发包人组织验收。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四、保修费用</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保修费用由质量缺陷的责任方承担。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五、双方约定的其他工程质量保修事项</w:t>
      </w:r>
    </w:p>
    <w:p>
      <w:pPr>
        <w:spacing w:line="360" w:lineRule="auto"/>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u w:val="single"/>
          <w:lang w:val="en-US" w:eastAsia="zh-CN"/>
        </w:rPr>
        <w:t>按国家或行业或</w:t>
      </w:r>
      <w:r>
        <w:rPr>
          <w:rFonts w:hint="eastAsia" w:ascii="宋体" w:hAnsi="宋体"/>
          <w:color w:val="auto"/>
          <w:szCs w:val="21"/>
          <w:highlight w:val="none"/>
          <w:u w:val="single"/>
        </w:rPr>
        <w:t>市</w:t>
      </w:r>
      <w:r>
        <w:rPr>
          <w:rFonts w:hint="eastAsia" w:ascii="宋体" w:hAnsi="宋体"/>
          <w:color w:val="auto"/>
          <w:szCs w:val="21"/>
          <w:highlight w:val="none"/>
          <w:u w:val="single"/>
          <w:lang w:val="en-US" w:eastAsia="zh-CN"/>
        </w:rPr>
        <w:t>有关规定执行</w:t>
      </w:r>
      <w:r>
        <w:rPr>
          <w:rFonts w:hint="eastAsia" w:ascii="宋体" w:hAnsi="宋体"/>
          <w:color w:val="auto"/>
          <w:szCs w:val="21"/>
          <w:highlight w:val="none"/>
          <w:u w:val="single"/>
          <w:lang w:eastAsia="zh-CN"/>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本工程质量保修书由发包人、承包人在工程竣工验收前共同签署，作为施工合同附件，其有效期限至保修期满。</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六</w:t>
      </w:r>
      <w:r>
        <w:rPr>
          <w:rFonts w:hint="eastAsia" w:ascii="宋体" w:hAnsi="宋体"/>
          <w:color w:val="auto"/>
          <w:szCs w:val="21"/>
          <w:highlight w:val="none"/>
        </w:rPr>
        <w:t>、</w:t>
      </w:r>
      <w:r>
        <w:rPr>
          <w:rFonts w:ascii="宋体" w:hAnsi="宋体"/>
          <w:color w:val="auto"/>
          <w:szCs w:val="21"/>
          <w:highlight w:val="none"/>
        </w:rPr>
        <w:t>本文件生效</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本工程质量保修书经发包人与承包人盖章后生效。</w:t>
      </w: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发包人：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（盖单位公章）</w:t>
      </w: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法定代表人或其委托代理人：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（签名）</w:t>
      </w:r>
    </w:p>
    <w:p>
      <w:pPr>
        <w:spacing w:line="360" w:lineRule="auto"/>
        <w:ind w:firstLine="420" w:firstLineChars="200"/>
        <w:rPr>
          <w:rFonts w:ascii="宋体" w:hAnsi="宋体"/>
          <w:color w:val="auto"/>
          <w:szCs w:val="21"/>
          <w:highlight w:val="none"/>
        </w:rPr>
      </w:pPr>
      <w:r>
        <w:rPr>
          <w:rFonts w:hint="eastAsia" w:ascii="宋体" w:hAnsi="宋体"/>
          <w:snapToGrid w:val="0"/>
          <w:color w:val="auto"/>
          <w:kern w:val="0"/>
          <w:szCs w:val="21"/>
          <w:highlight w:val="none"/>
        </w:rPr>
        <w:t>承包人：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（盖单位公章）</w:t>
      </w:r>
    </w:p>
    <w:p>
      <w:pPr>
        <w:spacing w:line="360" w:lineRule="auto"/>
        <w:ind w:firstLine="420" w:firstLineChars="200"/>
        <w:rPr>
          <w:rFonts w:ascii="宋体" w:hAnsi="宋体"/>
          <w:bCs/>
          <w:color w:val="auto"/>
          <w:kern w:val="0"/>
          <w:szCs w:val="21"/>
          <w:highlight w:val="none"/>
        </w:rPr>
      </w:pPr>
      <w:r>
        <w:rPr>
          <w:rFonts w:hint="eastAsia" w:ascii="宋体" w:hAnsi="宋体"/>
          <w:snapToGrid w:val="0"/>
          <w:color w:val="auto"/>
          <w:kern w:val="0"/>
          <w:szCs w:val="21"/>
          <w:highlight w:val="none"/>
        </w:rPr>
        <w:t>法定代表人或其委托代理人：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（签名）</w:t>
      </w:r>
    </w:p>
    <w:p>
      <w:pPr>
        <w:spacing w:line="360" w:lineRule="auto"/>
        <w:ind w:firstLine="420" w:firstLineChars="200"/>
        <w:jc w:val="right"/>
        <w:rPr>
          <w:rFonts w:ascii="宋体" w:hAnsi="宋体"/>
          <w:snapToGrid w:val="0"/>
          <w:color w:val="auto"/>
          <w:kern w:val="0"/>
          <w:szCs w:val="21"/>
          <w:highlight w:val="none"/>
        </w:rPr>
      </w:pPr>
      <w:r>
        <w:rPr>
          <w:rFonts w:hint="eastAsia" w:ascii="宋体" w:hAnsi="宋体"/>
          <w:snapToGrid w:val="0"/>
          <w:color w:val="auto"/>
          <w:kern w:val="0"/>
          <w:szCs w:val="21"/>
          <w:highlight w:val="none"/>
        </w:rPr>
        <w:t>签约时间：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日</w:t>
      </w:r>
    </w:p>
    <w:p>
      <w:pPr>
        <w:spacing w:line="360" w:lineRule="auto"/>
        <w:ind w:firstLine="420" w:firstLineChars="200"/>
        <w:rPr>
          <w:rFonts w:ascii="宋体" w:hAnsi="宋体"/>
          <w:snapToGrid w:val="0"/>
          <w:color w:val="auto"/>
          <w:kern w:val="0"/>
          <w:szCs w:val="21"/>
          <w:highlight w:val="none"/>
        </w:rPr>
      </w:pPr>
      <w:r>
        <w:rPr>
          <w:rFonts w:hint="eastAsia" w:ascii="宋体" w:hAnsi="宋体"/>
          <w:color w:val="auto"/>
          <w:szCs w:val="21"/>
          <w:highlight w:val="none"/>
        </w:rPr>
        <w:br w:type="page"/>
      </w:r>
    </w:p>
    <w:p>
      <w:pPr>
        <w:spacing w:line="360" w:lineRule="auto"/>
        <w:rPr>
          <w:rFonts w:ascii="宋体" w:hAnsi="宋体"/>
          <w:color w:val="auto"/>
          <w:szCs w:val="21"/>
          <w:highlight w:val="none"/>
        </w:rPr>
      </w:pPr>
      <w:r>
        <w:rPr>
          <w:rFonts w:hint="eastAsia" w:ascii="宋体" w:hAnsi="宋体"/>
          <w:color w:val="auto"/>
          <w:szCs w:val="21"/>
          <w:highlight w:val="none"/>
        </w:rPr>
        <w:t>附件2：</w:t>
      </w:r>
    </w:p>
    <w:p>
      <w:pPr>
        <w:spacing w:before="289" w:beforeLines="50" w:after="289" w:afterLines="50" w:line="480" w:lineRule="auto"/>
        <w:jc w:val="center"/>
        <w:rPr>
          <w:rFonts w:ascii="宋体" w:hAnsi="宋体"/>
          <w:color w:val="auto"/>
          <w:szCs w:val="21"/>
          <w:highlight w:val="none"/>
        </w:rPr>
      </w:pPr>
      <w:r>
        <w:rPr>
          <w:rFonts w:hint="eastAsia" w:ascii="宋体" w:hAnsi="宋体"/>
          <w:color w:val="auto"/>
          <w:szCs w:val="21"/>
          <w:highlight w:val="none"/>
        </w:rPr>
        <w:t>主要建设工程文件目录</w:t>
      </w:r>
    </w:p>
    <w:tbl>
      <w:tblPr>
        <w:tblStyle w:val="4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文件名称</w:t>
            </w:r>
          </w:p>
        </w:tc>
        <w:tc>
          <w:tcPr>
            <w:tcW w:w="1418"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套数</w:t>
            </w:r>
          </w:p>
        </w:tc>
        <w:tc>
          <w:tcPr>
            <w:tcW w:w="1418"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移交时间</w:t>
            </w:r>
          </w:p>
        </w:tc>
        <w:tc>
          <w:tcPr>
            <w:tcW w:w="2917"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bl>
    <w:p>
      <w:pPr>
        <w:spacing w:line="360" w:lineRule="auto"/>
        <w:rPr>
          <w:rFonts w:hint="eastAsia" w:ascii="宋体" w:hAnsi="宋体"/>
          <w:color w:val="auto"/>
          <w:szCs w:val="21"/>
          <w:highlight w:val="none"/>
        </w:rPr>
      </w:pPr>
    </w:p>
    <w:p>
      <w:pPr>
        <w:spacing w:line="360" w:lineRule="auto"/>
        <w:rPr>
          <w:rFonts w:hint="eastAsia" w:ascii="宋体" w:hAnsi="宋体"/>
          <w:color w:val="auto"/>
          <w:szCs w:val="21"/>
          <w:highlight w:val="none"/>
        </w:rPr>
      </w:pPr>
    </w:p>
    <w:p>
      <w:pPr>
        <w:spacing w:line="360" w:lineRule="auto"/>
        <w:rPr>
          <w:rFonts w:hint="eastAsia" w:ascii="宋体" w:hAnsi="宋体"/>
          <w:color w:val="auto"/>
          <w:szCs w:val="21"/>
          <w:highlight w:val="none"/>
        </w:rPr>
      </w:pPr>
    </w:p>
    <w:p>
      <w:pPr>
        <w:spacing w:line="360" w:lineRule="auto"/>
        <w:rPr>
          <w:rFonts w:hint="eastAsia" w:ascii="宋体" w:hAnsi="宋体"/>
          <w:color w:val="auto"/>
          <w:szCs w:val="21"/>
          <w:highlight w:val="none"/>
        </w:rPr>
      </w:pPr>
    </w:p>
    <w:p>
      <w:pPr>
        <w:spacing w:line="360" w:lineRule="auto"/>
        <w:rPr>
          <w:rFonts w:hint="eastAsia" w:ascii="宋体" w:hAnsi="宋体"/>
          <w:color w:val="auto"/>
          <w:szCs w:val="21"/>
          <w:highlight w:val="none"/>
        </w:rPr>
      </w:pPr>
    </w:p>
    <w:p>
      <w:pPr>
        <w:spacing w:line="360" w:lineRule="auto"/>
        <w:rPr>
          <w:rFonts w:hint="eastAsia" w:ascii="宋体" w:hAnsi="宋体"/>
          <w:color w:val="auto"/>
          <w:szCs w:val="21"/>
          <w:highlight w:val="none"/>
        </w:rPr>
      </w:pPr>
    </w:p>
    <w:p>
      <w:pPr>
        <w:spacing w:line="360" w:lineRule="auto"/>
        <w:rPr>
          <w:rFonts w:ascii="宋体" w:hAnsi="宋体"/>
          <w:color w:val="auto"/>
          <w:szCs w:val="21"/>
          <w:highlight w:val="none"/>
        </w:rPr>
      </w:pPr>
      <w:r>
        <w:rPr>
          <w:rFonts w:hint="eastAsia" w:ascii="宋体" w:hAnsi="宋体"/>
          <w:color w:val="auto"/>
          <w:szCs w:val="21"/>
          <w:highlight w:val="none"/>
        </w:rPr>
        <w:t>附</w:t>
      </w:r>
      <w:bookmarkStart w:id="1906" w:name="_Toc296346729"/>
      <w:bookmarkStart w:id="1907" w:name="_Toc267261699"/>
      <w:bookmarkStart w:id="1908" w:name="_Toc296944567"/>
      <w:bookmarkStart w:id="1909" w:name="_Toc296503228"/>
      <w:bookmarkStart w:id="1910" w:name="_Toc296347227"/>
      <w:bookmarkStart w:id="1911" w:name="_Toc296891268"/>
      <w:bookmarkStart w:id="1912" w:name="_Toc296891056"/>
      <w:r>
        <w:rPr>
          <w:rFonts w:hint="eastAsia" w:ascii="宋体" w:hAnsi="宋体"/>
          <w:color w:val="auto"/>
          <w:szCs w:val="21"/>
          <w:highlight w:val="none"/>
        </w:rPr>
        <w:t>件3：</w:t>
      </w:r>
    </w:p>
    <w:bookmarkEnd w:id="1906"/>
    <w:bookmarkEnd w:id="1907"/>
    <w:bookmarkEnd w:id="1908"/>
    <w:bookmarkEnd w:id="1909"/>
    <w:bookmarkEnd w:id="1910"/>
    <w:bookmarkEnd w:id="1911"/>
    <w:bookmarkEnd w:id="1912"/>
    <w:p>
      <w:pPr>
        <w:spacing w:before="289" w:beforeLines="50" w:after="289" w:afterLines="50" w:line="360" w:lineRule="auto"/>
        <w:jc w:val="center"/>
        <w:rPr>
          <w:rFonts w:ascii="宋体" w:hAnsi="宋体"/>
          <w:color w:val="auto"/>
          <w:szCs w:val="21"/>
          <w:highlight w:val="none"/>
        </w:rPr>
      </w:pPr>
      <w:r>
        <w:rPr>
          <w:rFonts w:hint="eastAsia" w:ascii="宋体" w:hAnsi="宋体"/>
          <w:color w:val="auto"/>
          <w:szCs w:val="21"/>
          <w:highlight w:val="none"/>
        </w:rPr>
        <w:t>承包人项目管理机构组成表</w:t>
      </w:r>
    </w:p>
    <w:tbl>
      <w:tblPr>
        <w:tblStyle w:val="4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名    称</w:t>
            </w:r>
          </w:p>
        </w:tc>
        <w:tc>
          <w:tcPr>
            <w:tcW w:w="1418"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姓名</w:t>
            </w:r>
          </w:p>
        </w:tc>
        <w:tc>
          <w:tcPr>
            <w:tcW w:w="1134"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职务</w:t>
            </w:r>
          </w:p>
        </w:tc>
        <w:tc>
          <w:tcPr>
            <w:tcW w:w="1134"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职称</w:t>
            </w:r>
          </w:p>
        </w:tc>
        <w:tc>
          <w:tcPr>
            <w:tcW w:w="4252"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pPr>
              <w:spacing w:line="400" w:lineRule="exact"/>
              <w:rPr>
                <w:rFonts w:ascii="宋体" w:hAnsi="宋体"/>
                <w:color w:val="auto"/>
                <w:szCs w:val="21"/>
                <w:highlight w:val="none"/>
              </w:rPr>
            </w:pPr>
            <w:r>
              <w:rPr>
                <w:rFonts w:hint="eastAsia" w:ascii="宋体" w:hAnsi="宋体"/>
                <w:color w:val="auto"/>
                <w:szCs w:val="21"/>
                <w:highlight w:val="none"/>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项目主管</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其他人员</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spacing w:line="400" w:lineRule="exact"/>
              <w:rPr>
                <w:rFonts w:ascii="宋体" w:hAnsi="宋体"/>
                <w:color w:val="auto"/>
                <w:szCs w:val="21"/>
                <w:highlight w:val="none"/>
              </w:rPr>
            </w:pPr>
            <w:r>
              <w:rPr>
                <w:rFonts w:hint="eastAsia" w:ascii="宋体" w:hAnsi="宋体"/>
                <w:color w:val="auto"/>
                <w:szCs w:val="21"/>
                <w:highlight w:val="none"/>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项目经理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项目副经理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技术负责人</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造价管理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质量管理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材料管理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计划管理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安全管理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其他人员</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bl>
    <w:p>
      <w:pPr>
        <w:spacing w:line="480" w:lineRule="auto"/>
        <w:rPr>
          <w:rFonts w:ascii="宋体" w:hAnsi="宋体"/>
          <w:color w:val="auto"/>
          <w:szCs w:val="21"/>
          <w:highlight w:val="none"/>
        </w:rPr>
      </w:pPr>
      <w:r>
        <w:rPr>
          <w:rFonts w:hint="eastAsia" w:ascii="宋体" w:hAnsi="宋体"/>
          <w:color w:val="auto"/>
          <w:szCs w:val="21"/>
          <w:highlight w:val="none"/>
        </w:rPr>
        <w:br w:type="page"/>
      </w:r>
      <w:bookmarkStart w:id="1913" w:name="_Toc267261701"/>
      <w:r>
        <w:rPr>
          <w:rFonts w:hint="eastAsia" w:ascii="宋体" w:hAnsi="宋体"/>
          <w:color w:val="auto"/>
          <w:szCs w:val="21"/>
          <w:highlight w:val="none"/>
        </w:rPr>
        <w:t>附</w:t>
      </w:r>
      <w:bookmarkStart w:id="1914" w:name="_Toc296891059"/>
      <w:bookmarkStart w:id="1915" w:name="_Toc296503231"/>
      <w:bookmarkStart w:id="1916" w:name="_Toc296891271"/>
      <w:bookmarkStart w:id="1917" w:name="_Toc296944570"/>
      <w:bookmarkStart w:id="1918" w:name="_Toc296346732"/>
      <w:bookmarkStart w:id="1919" w:name="_Toc296347230"/>
      <w:r>
        <w:rPr>
          <w:rFonts w:hint="eastAsia" w:ascii="宋体" w:hAnsi="宋体"/>
          <w:color w:val="auto"/>
          <w:szCs w:val="21"/>
          <w:highlight w:val="none"/>
        </w:rPr>
        <w:t>件4：履约担保（如有）</w:t>
      </w:r>
    </w:p>
    <w:bookmarkEnd w:id="1913"/>
    <w:bookmarkEnd w:id="1914"/>
    <w:bookmarkEnd w:id="1915"/>
    <w:bookmarkEnd w:id="1916"/>
    <w:bookmarkEnd w:id="1917"/>
    <w:bookmarkEnd w:id="1918"/>
    <w:bookmarkEnd w:id="1919"/>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履约保函示范文本</w:t>
      </w:r>
    </w:p>
    <w:p>
      <w:pPr>
        <w:spacing w:line="360" w:lineRule="auto"/>
        <w:rPr>
          <w:rFonts w:ascii="宋体" w:hAnsi="宋体" w:cs="宋体"/>
          <w:color w:val="auto"/>
          <w:szCs w:val="21"/>
          <w:highlight w:val="none"/>
        </w:rPr>
      </w:pPr>
    </w:p>
    <w:p>
      <w:pPr>
        <w:overflowPunct w:val="0"/>
        <w:spacing w:line="580" w:lineRule="exact"/>
        <w:jc w:val="center"/>
        <w:rPr>
          <w:rFonts w:hint="eastAsia" w:ascii="宋体" w:hAnsi="宋体" w:cs="宋体"/>
          <w:i/>
          <w:iCs/>
          <w:color w:val="auto"/>
          <w:szCs w:val="21"/>
          <w:highlight w:val="none"/>
        </w:rPr>
      </w:pPr>
      <w:r>
        <w:rPr>
          <w:rFonts w:hint="eastAsia" w:ascii="宋体" w:hAnsi="宋体" w:cs="宋体"/>
          <w:i/>
          <w:iCs/>
          <w:color w:val="auto"/>
          <w:szCs w:val="21"/>
          <w:highlight w:val="none"/>
        </w:rPr>
        <w:t>[提示：参照《关于进一步规范工程建设领域工程保函示范文本的通知》（渝公管发〔2022〕26号）进行编制。]</w:t>
      </w: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center"/>
        <w:rPr>
          <w:rFonts w:hint="eastAsia" w:ascii="宋体" w:hAnsi="宋体" w:cs="宋体"/>
          <w:i/>
          <w:iCs/>
          <w:color w:val="auto"/>
          <w:szCs w:val="21"/>
          <w:highlight w:val="none"/>
        </w:rPr>
      </w:pPr>
    </w:p>
    <w:p>
      <w:pPr>
        <w:overflowPunct w:val="0"/>
        <w:spacing w:line="580" w:lineRule="exact"/>
        <w:jc w:val="both"/>
        <w:rPr>
          <w:rFonts w:hint="eastAsia" w:ascii="宋体" w:hAnsi="宋体" w:cs="宋体"/>
          <w:i/>
          <w:iCs/>
          <w:color w:val="auto"/>
          <w:szCs w:val="21"/>
          <w:highlight w:val="none"/>
        </w:rPr>
      </w:pPr>
    </w:p>
    <w:p>
      <w:pPr>
        <w:overflowPunct w:val="0"/>
        <w:spacing w:line="580" w:lineRule="exact"/>
        <w:jc w:val="both"/>
        <w:rPr>
          <w:rFonts w:hint="eastAsia" w:ascii="宋体" w:hAnsi="宋体" w:cs="宋体"/>
          <w:i/>
          <w:iCs/>
          <w:color w:val="auto"/>
          <w:szCs w:val="21"/>
          <w:highlight w:val="none"/>
        </w:rPr>
      </w:pPr>
    </w:p>
    <w:p>
      <w:pPr>
        <w:spacing w:line="360" w:lineRule="auto"/>
        <w:rPr>
          <w:rFonts w:ascii="宋体" w:hAnsi="宋体"/>
          <w:color w:val="auto"/>
          <w:szCs w:val="21"/>
          <w:highlight w:val="none"/>
        </w:rPr>
      </w:pPr>
      <w:r>
        <w:rPr>
          <w:rFonts w:hint="eastAsia" w:ascii="宋体" w:hAnsi="宋体"/>
          <w:color w:val="auto"/>
          <w:szCs w:val="21"/>
          <w:highlight w:val="none"/>
        </w:rPr>
        <w:t>附</w:t>
      </w:r>
      <w:bookmarkStart w:id="1920" w:name="_Toc296891060"/>
      <w:bookmarkStart w:id="1921" w:name="_Toc296891272"/>
      <w:bookmarkStart w:id="1922" w:name="_Toc296503232"/>
      <w:bookmarkStart w:id="1923" w:name="_Toc296347231"/>
      <w:bookmarkStart w:id="1924" w:name="_Toc296944571"/>
      <w:bookmarkStart w:id="1925" w:name="_Toc267261702"/>
      <w:bookmarkStart w:id="1926" w:name="_Toc296346733"/>
      <w:r>
        <w:rPr>
          <w:rFonts w:hint="eastAsia" w:ascii="宋体" w:hAnsi="宋体"/>
          <w:color w:val="auto"/>
          <w:szCs w:val="21"/>
          <w:highlight w:val="none"/>
        </w:rPr>
        <w:t>件</w:t>
      </w:r>
      <w:r>
        <w:rPr>
          <w:rFonts w:ascii="宋体" w:hAnsi="宋体"/>
          <w:color w:val="auto"/>
          <w:szCs w:val="21"/>
          <w:highlight w:val="none"/>
        </w:rPr>
        <w:t>5</w:t>
      </w:r>
      <w:r>
        <w:rPr>
          <w:rFonts w:hint="eastAsia" w:ascii="宋体" w:hAnsi="宋体"/>
          <w:color w:val="auto"/>
          <w:szCs w:val="21"/>
          <w:highlight w:val="none"/>
        </w:rPr>
        <w:t>：</w:t>
      </w:r>
    </w:p>
    <w:bookmarkEnd w:id="1920"/>
    <w:bookmarkEnd w:id="1921"/>
    <w:bookmarkEnd w:id="1922"/>
    <w:bookmarkEnd w:id="1923"/>
    <w:bookmarkEnd w:id="1924"/>
    <w:bookmarkEnd w:id="1925"/>
    <w:bookmarkEnd w:id="1926"/>
    <w:p>
      <w:pPr>
        <w:spacing w:before="289" w:beforeLines="50" w:after="289" w:afterLines="50" w:line="360" w:lineRule="auto"/>
        <w:jc w:val="center"/>
        <w:rPr>
          <w:rFonts w:ascii="宋体" w:hAnsi="宋体"/>
          <w:color w:val="auto"/>
          <w:szCs w:val="21"/>
          <w:highlight w:val="none"/>
        </w:rPr>
      </w:pPr>
      <w:r>
        <w:rPr>
          <w:rFonts w:hint="eastAsia" w:ascii="宋体" w:hAnsi="宋体"/>
          <w:color w:val="auto"/>
          <w:szCs w:val="21"/>
          <w:highlight w:val="none"/>
        </w:rPr>
        <w:t>预付款担保（如有）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（发包人名称）：</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根据</w:t>
      </w:r>
      <w:r>
        <w:rPr>
          <w:rFonts w:hint="eastAsia" w:ascii="宋体" w:hAnsi="宋体"/>
          <w:color w:val="auto"/>
          <w:szCs w:val="21"/>
          <w:highlight w:val="none"/>
          <w:u w:val="single"/>
        </w:rPr>
        <w:t xml:space="preserve">       </w:t>
      </w:r>
      <w:r>
        <w:rPr>
          <w:rFonts w:hint="eastAsia" w:ascii="宋体" w:hAnsi="宋体"/>
          <w:color w:val="auto"/>
          <w:szCs w:val="21"/>
          <w:highlight w:val="none"/>
        </w:rPr>
        <w:t>（承包人名称）（以下称“承包人”）与</w:t>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（发包人名称）（以下简称“发包人”）于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日签订的</w:t>
      </w:r>
      <w:r>
        <w:rPr>
          <w:rFonts w:hint="eastAsia" w:ascii="宋体" w:hAnsi="宋体"/>
          <w:color w:val="auto"/>
          <w:szCs w:val="21"/>
          <w:highlight w:val="none"/>
          <w:u w:val="single"/>
        </w:rPr>
        <w:t xml:space="preserve">            </w:t>
      </w:r>
      <w:r>
        <w:rPr>
          <w:rFonts w:hint="eastAsia" w:ascii="宋体" w:hAnsi="宋体"/>
          <w:color w:val="auto"/>
          <w:szCs w:val="21"/>
          <w:highlight w:val="none"/>
        </w:rPr>
        <w:t>（工程名称）《建设工程施工合同》，承包人按约定的金额向你方提交一份预付款担保，即有权得到你方支付相等金额的预付款。我方愿意就你方提供给承包人的预付款为承包人提供连带责任担保。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担保金额人民币（大写）</w:t>
      </w:r>
      <w:r>
        <w:rPr>
          <w:rFonts w:hint="eastAsia" w:ascii="宋体" w:hAnsi="宋体"/>
          <w:color w:val="auto"/>
          <w:szCs w:val="21"/>
          <w:highlight w:val="none"/>
          <w:u w:val="single"/>
        </w:rPr>
        <w:t xml:space="preserve">        </w:t>
      </w:r>
      <w:r>
        <w:rPr>
          <w:rFonts w:hint="eastAsia" w:ascii="宋体" w:hAnsi="宋体"/>
          <w:color w:val="auto"/>
          <w:szCs w:val="21"/>
          <w:highlight w:val="none"/>
        </w:rPr>
        <w:t>元（¥</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担保有效期自预付款支付给承包人起生效，至你方签发的进度款支付证书说明已完全扣清止。</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你方和承包人按合同约定变更合同时，我方承担本保函规定的义务不变。</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 因本保函发生的纠纷，可由双方协商解决，协商不成的，按下列第</w:t>
      </w:r>
      <w:r>
        <w:rPr>
          <w:rFonts w:hint="eastAsia" w:ascii="宋体" w:hAnsi="宋体"/>
          <w:color w:val="auto"/>
          <w:szCs w:val="21"/>
          <w:highlight w:val="none"/>
          <w:u w:val="single"/>
        </w:rPr>
        <w:t xml:space="preserve">    </w:t>
      </w:r>
      <w:r>
        <w:rPr>
          <w:rFonts w:hint="eastAsia" w:ascii="宋体" w:hAnsi="宋体"/>
          <w:color w:val="auto"/>
          <w:szCs w:val="21"/>
          <w:highlight w:val="none"/>
        </w:rPr>
        <w:t>种方式解决：</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（1）向</w:t>
      </w:r>
      <w:r>
        <w:rPr>
          <w:rFonts w:hint="eastAsia" w:ascii="宋体" w:hAnsi="宋体"/>
          <w:color w:val="auto"/>
          <w:szCs w:val="21"/>
          <w:highlight w:val="none"/>
          <w:u w:val="single"/>
        </w:rPr>
        <w:t xml:space="preserve">                     </w:t>
      </w:r>
      <w:r>
        <w:rPr>
          <w:rFonts w:hint="eastAsia" w:ascii="宋体" w:hAnsi="宋体"/>
          <w:color w:val="auto"/>
          <w:szCs w:val="21"/>
          <w:highlight w:val="none"/>
        </w:rPr>
        <w:t>仲裁委员会申请仲裁；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（2）向</w:t>
      </w:r>
      <w:r>
        <w:rPr>
          <w:rFonts w:hint="eastAsia" w:ascii="宋体" w:hAnsi="宋体"/>
          <w:color w:val="auto"/>
          <w:szCs w:val="21"/>
          <w:highlight w:val="none"/>
          <w:u w:val="single"/>
        </w:rPr>
        <w:t xml:space="preserve">                     </w:t>
      </w:r>
      <w:r>
        <w:rPr>
          <w:rFonts w:hint="eastAsia" w:ascii="宋体" w:hAnsi="宋体"/>
          <w:color w:val="auto"/>
          <w:szCs w:val="21"/>
          <w:highlight w:val="none"/>
        </w:rPr>
        <w:t>人民法院起诉。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 本保函自我方法定代表人（或其委托代理人）签名并加盖单位公章之日起生效。</w:t>
      </w:r>
    </w:p>
    <w:p>
      <w:pPr>
        <w:pStyle w:val="2"/>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担保人：</w:t>
      </w:r>
      <w:r>
        <w:rPr>
          <w:rFonts w:hint="eastAsia" w:ascii="宋体" w:hAnsi="宋体"/>
          <w:color w:val="auto"/>
          <w:szCs w:val="21"/>
          <w:highlight w:val="none"/>
          <w:u w:val="single"/>
        </w:rPr>
        <w:t xml:space="preserve">                           </w:t>
      </w:r>
      <w:r>
        <w:rPr>
          <w:rFonts w:hint="eastAsia" w:ascii="宋体" w:hAnsi="宋体"/>
          <w:color w:val="auto"/>
          <w:szCs w:val="21"/>
          <w:highlight w:val="none"/>
        </w:rPr>
        <w:t>（盖单位公章）</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法定代表人或其委托代理人：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邮政编码：</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电    话：</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传    真：</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p>
    <w:p>
      <w:pPr>
        <w:spacing w:line="360" w:lineRule="auto"/>
        <w:ind w:firstLine="420" w:firstLineChars="200"/>
        <w:jc w:val="both"/>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spacing w:line="480" w:lineRule="auto"/>
        <w:rPr>
          <w:rFonts w:ascii="宋体" w:hAnsi="宋体"/>
          <w:color w:val="auto"/>
          <w:szCs w:val="21"/>
          <w:highlight w:val="none"/>
        </w:rPr>
      </w:pPr>
      <w:r>
        <w:rPr>
          <w:rFonts w:hint="eastAsia" w:ascii="宋体" w:hAnsi="宋体"/>
          <w:i/>
          <w:iCs/>
          <w:sz w:val="21"/>
          <w:szCs w:val="21"/>
        </w:rPr>
        <w:t>[提示：招标人可以根据项目实际情况，增加本保函在重庆本地的核验要求。]</w:t>
      </w:r>
      <w:r>
        <w:rPr>
          <w:rFonts w:hint="eastAsia" w:ascii="宋体" w:hAnsi="宋体"/>
          <w:color w:val="auto"/>
          <w:szCs w:val="21"/>
          <w:highlight w:val="none"/>
        </w:rPr>
        <w:br w:type="page"/>
      </w:r>
      <w:r>
        <w:rPr>
          <w:rFonts w:hint="eastAsia" w:ascii="宋体" w:hAnsi="宋体"/>
          <w:color w:val="auto"/>
          <w:szCs w:val="21"/>
          <w:highlight w:val="none"/>
        </w:rPr>
        <w:t>附</w:t>
      </w:r>
      <w:bookmarkStart w:id="1927" w:name="_Toc296891061"/>
      <w:bookmarkStart w:id="1928" w:name="_Toc296503233"/>
      <w:bookmarkStart w:id="1929" w:name="_Toc296944572"/>
      <w:bookmarkStart w:id="1930" w:name="_Toc296346734"/>
      <w:bookmarkStart w:id="1931" w:name="_Toc296347232"/>
      <w:bookmarkStart w:id="1932" w:name="_Toc296891273"/>
      <w:r>
        <w:rPr>
          <w:rFonts w:hint="eastAsia" w:ascii="宋体" w:hAnsi="宋体"/>
          <w:color w:val="auto"/>
          <w:szCs w:val="21"/>
          <w:highlight w:val="none"/>
        </w:rPr>
        <w:t>件</w:t>
      </w:r>
      <w:r>
        <w:rPr>
          <w:rFonts w:ascii="宋体" w:hAnsi="宋体"/>
          <w:color w:val="auto"/>
          <w:szCs w:val="21"/>
          <w:highlight w:val="none"/>
        </w:rPr>
        <w:t>6</w:t>
      </w:r>
      <w:r>
        <w:rPr>
          <w:rFonts w:hint="eastAsia" w:ascii="宋体" w:hAnsi="宋体"/>
          <w:color w:val="auto"/>
          <w:szCs w:val="21"/>
          <w:highlight w:val="none"/>
        </w:rPr>
        <w:t>：</w:t>
      </w:r>
    </w:p>
    <w:bookmarkEnd w:id="1927"/>
    <w:bookmarkEnd w:id="1928"/>
    <w:bookmarkEnd w:id="1929"/>
    <w:bookmarkEnd w:id="1930"/>
    <w:bookmarkEnd w:id="1931"/>
    <w:bookmarkEnd w:id="1932"/>
    <w:p>
      <w:pPr>
        <w:spacing w:line="360" w:lineRule="auto"/>
        <w:ind w:firstLine="420" w:firstLineChars="200"/>
        <w:jc w:val="center"/>
        <w:rPr>
          <w:rFonts w:ascii="宋体" w:hAnsi="宋体"/>
          <w:color w:val="auto"/>
          <w:szCs w:val="21"/>
          <w:highlight w:val="none"/>
        </w:rPr>
      </w:pPr>
      <w:r>
        <w:rPr>
          <w:rFonts w:hint="eastAsia" w:ascii="宋体" w:hAnsi="宋体"/>
          <w:color w:val="auto"/>
          <w:szCs w:val="21"/>
          <w:highlight w:val="none"/>
        </w:rPr>
        <w:t>支付担保（如有）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（承包人）：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鉴于你方作为承包人已经与 </w:t>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（发包人名称）（以下称“发包人”）于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日签订了</w:t>
      </w:r>
      <w:r>
        <w:rPr>
          <w:rFonts w:hint="eastAsia" w:ascii="宋体" w:hAnsi="宋体"/>
          <w:color w:val="auto"/>
          <w:szCs w:val="21"/>
          <w:highlight w:val="none"/>
          <w:u w:val="single"/>
        </w:rPr>
        <w:t xml:space="preserve">             </w:t>
      </w:r>
      <w:r>
        <w:rPr>
          <w:rFonts w:hint="eastAsia" w:ascii="宋体" w:hAnsi="宋体"/>
          <w:color w:val="auto"/>
          <w:szCs w:val="21"/>
          <w:highlight w:val="none"/>
        </w:rPr>
        <w:t>（工程名称）《建设工程施工合同》（以下称“主合同”），应发包人的申请，我方愿就发包人履行主合同约定的工程款支付义务以保证的方式向你方提供如下担保：</w:t>
      </w:r>
    </w:p>
    <w:p>
      <w:pPr>
        <w:spacing w:line="360" w:lineRule="auto"/>
        <w:ind w:firstLine="420" w:firstLineChars="200"/>
        <w:rPr>
          <w:rFonts w:ascii="宋体" w:hAnsi="宋体"/>
          <w:color w:val="auto"/>
          <w:szCs w:val="21"/>
          <w:highlight w:val="none"/>
        </w:rPr>
      </w:pPr>
      <w:bookmarkStart w:id="1933" w:name="_Toc532375692"/>
      <w:r>
        <w:rPr>
          <w:rFonts w:hint="eastAsia" w:ascii="宋体" w:hAnsi="宋体"/>
          <w:color w:val="auto"/>
          <w:szCs w:val="21"/>
          <w:highlight w:val="none"/>
        </w:rPr>
        <w:t>一、保证的范围及保证金额</w:t>
      </w:r>
      <w:bookmarkEnd w:id="1933"/>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我方的保证范围是主合同约定的工程款。</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本保函所称主合同约定的工程款是指主合同约定的除工程质量保证金以外的合同价款。</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我方保证的金额是主合同约定的工程款的</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%，数额最高不超过人民币元（大写：</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bookmarkStart w:id="1934" w:name="_Toc532375693"/>
      <w:r>
        <w:rPr>
          <w:rFonts w:hint="eastAsia" w:ascii="宋体" w:hAnsi="宋体"/>
          <w:color w:val="auto"/>
          <w:szCs w:val="21"/>
          <w:highlight w:val="none"/>
        </w:rPr>
        <w:t>二、保证的方式及保证期间</w:t>
      </w:r>
      <w:bookmarkEnd w:id="1934"/>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我方保证的方式为：连带责任保证。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我方保证的期间为：自合同生效之日起至主合同约定的工程款支付完毕之日后</w:t>
      </w:r>
      <w:r>
        <w:rPr>
          <w:rFonts w:hint="eastAsia" w:ascii="宋体" w:hAnsi="宋体"/>
          <w:color w:val="auto"/>
          <w:szCs w:val="21"/>
          <w:highlight w:val="none"/>
          <w:u w:val="single"/>
        </w:rPr>
        <w:t xml:space="preserve">    </w:t>
      </w:r>
      <w:r>
        <w:rPr>
          <w:rFonts w:hint="eastAsia" w:ascii="宋体" w:hAnsi="宋体"/>
          <w:color w:val="auto"/>
          <w:szCs w:val="21"/>
          <w:highlight w:val="none"/>
        </w:rPr>
        <w:t>日内。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你方与发包人协议变更工程款支付日期的，经我方书面同意后，保证期间按照变更后的支付日期做相应调整。</w:t>
      </w:r>
    </w:p>
    <w:p>
      <w:pPr>
        <w:spacing w:line="360" w:lineRule="auto"/>
        <w:ind w:firstLine="420" w:firstLineChars="200"/>
        <w:rPr>
          <w:rFonts w:ascii="宋体" w:hAnsi="宋体"/>
          <w:color w:val="auto"/>
          <w:szCs w:val="21"/>
          <w:highlight w:val="none"/>
        </w:rPr>
      </w:pPr>
      <w:bookmarkStart w:id="1935" w:name="_Toc532375694"/>
      <w:r>
        <w:rPr>
          <w:rFonts w:hint="eastAsia" w:ascii="宋体" w:hAnsi="宋体"/>
          <w:color w:val="auto"/>
          <w:szCs w:val="21"/>
          <w:highlight w:val="none"/>
        </w:rPr>
        <w:t>三、承担保证责任的形式</w:t>
      </w:r>
      <w:bookmarkEnd w:id="1935"/>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我方承担保证责任的形式是代为支付。发包人未按主合同约定向你方支付工程款的，由我方在保证金额内代为支付。</w:t>
      </w:r>
    </w:p>
    <w:p>
      <w:pPr>
        <w:spacing w:line="360" w:lineRule="auto"/>
        <w:ind w:firstLine="420" w:firstLineChars="200"/>
        <w:rPr>
          <w:rFonts w:ascii="宋体" w:hAnsi="宋体"/>
          <w:color w:val="auto"/>
          <w:szCs w:val="21"/>
          <w:highlight w:val="none"/>
        </w:rPr>
      </w:pPr>
      <w:bookmarkStart w:id="1936" w:name="_Toc532375695"/>
      <w:r>
        <w:rPr>
          <w:rFonts w:hint="eastAsia" w:ascii="宋体" w:hAnsi="宋体"/>
          <w:color w:val="auto"/>
          <w:szCs w:val="21"/>
          <w:highlight w:val="none"/>
        </w:rPr>
        <w:t>四、代偿的安排</w:t>
      </w:r>
      <w:bookmarkEnd w:id="1936"/>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你方要求我方承担保证责任的，应向我方发出书面索赔通知及发包人未支付主合同约定工程款的证明材料。索赔通知应写明要求索赔的金额，支付款项应到达的账号。</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我方收到你方的书面索赔通知及相应的证明材料后７天内无条件支付。</w:t>
      </w:r>
    </w:p>
    <w:p>
      <w:pPr>
        <w:spacing w:line="360" w:lineRule="auto"/>
        <w:ind w:firstLine="420" w:firstLineChars="200"/>
        <w:rPr>
          <w:rFonts w:ascii="宋体" w:hAnsi="宋体"/>
          <w:color w:val="auto"/>
          <w:szCs w:val="21"/>
          <w:highlight w:val="none"/>
        </w:rPr>
      </w:pPr>
      <w:bookmarkStart w:id="1937" w:name="_Toc532375696"/>
      <w:r>
        <w:rPr>
          <w:rFonts w:hint="eastAsia" w:ascii="宋体" w:hAnsi="宋体"/>
          <w:color w:val="auto"/>
          <w:szCs w:val="21"/>
          <w:highlight w:val="none"/>
        </w:rPr>
        <w:t>五、保证责任的解除</w:t>
      </w:r>
      <w:bookmarkEnd w:id="1937"/>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在本保函承诺的保证期间内，你方未书面向我方主张保证责任的，自保证期间届满次日起，我方保证责任解除。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发包人按主合同约定履行了工程款的全部支付义务的，自本保函承诺的保证期间届满次日起，我方保证责任解除。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我方按照本保函向你方履行保证责任所支付金额达到本保函保证金额时，自我方向你方支付（支付款项从我方账户划出）之日起，保证责任即解除。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按照法律法规的规定或出现应解除我方保证责任的其他情形的，我方在本保函项下的保证责任亦解除。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 我方解除保证责任后，你方应自我方保证责任解除之日起  个工作日内，将本保函原件返还我方。</w:t>
      </w:r>
    </w:p>
    <w:p>
      <w:pPr>
        <w:spacing w:line="360" w:lineRule="auto"/>
        <w:ind w:firstLine="420" w:firstLineChars="200"/>
        <w:rPr>
          <w:rFonts w:ascii="宋体" w:hAnsi="宋体"/>
          <w:color w:val="auto"/>
          <w:szCs w:val="21"/>
          <w:highlight w:val="none"/>
        </w:rPr>
      </w:pPr>
      <w:bookmarkStart w:id="1938" w:name="_Toc532375697"/>
      <w:r>
        <w:rPr>
          <w:rFonts w:hint="eastAsia" w:ascii="宋体" w:hAnsi="宋体"/>
          <w:color w:val="auto"/>
          <w:szCs w:val="21"/>
          <w:highlight w:val="none"/>
        </w:rPr>
        <w:t>六、免责条款</w:t>
      </w:r>
      <w:bookmarkEnd w:id="1938"/>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因你方违约致使发包人不能履行义务的，我方不承担保证责任。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依照法律法规的规定或你方与发包人的另行约定，免除发包人部分或全部义务的，我方亦免除其相应的保证责任。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因不可抗力造成发包人不能履行义务的，我方不承担保证责任。</w:t>
      </w:r>
    </w:p>
    <w:p>
      <w:pPr>
        <w:spacing w:line="360" w:lineRule="auto"/>
        <w:ind w:firstLine="420" w:firstLineChars="200"/>
        <w:rPr>
          <w:rFonts w:ascii="宋体" w:hAnsi="宋体"/>
          <w:color w:val="auto"/>
          <w:szCs w:val="21"/>
          <w:highlight w:val="none"/>
        </w:rPr>
      </w:pPr>
      <w:bookmarkStart w:id="1939" w:name="_Toc532375698"/>
      <w:r>
        <w:rPr>
          <w:rFonts w:hint="eastAsia" w:ascii="宋体" w:hAnsi="宋体"/>
          <w:color w:val="auto"/>
          <w:szCs w:val="21"/>
          <w:highlight w:val="none"/>
        </w:rPr>
        <w:t>七、争议解决</w:t>
      </w:r>
      <w:bookmarkEnd w:id="1939"/>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因本保函或本保函相关事项发生的纠纷，可由双方协商解决，协商不成的，按下列第</w:t>
      </w:r>
      <w:r>
        <w:rPr>
          <w:rFonts w:hint="eastAsia" w:ascii="宋体" w:hAnsi="宋体"/>
          <w:color w:val="auto"/>
          <w:szCs w:val="21"/>
          <w:highlight w:val="none"/>
          <w:u w:val="single"/>
        </w:rPr>
        <w:t xml:space="preserve">    </w:t>
      </w:r>
      <w:r>
        <w:rPr>
          <w:rFonts w:hint="eastAsia" w:ascii="宋体" w:hAnsi="宋体"/>
          <w:color w:val="auto"/>
          <w:szCs w:val="21"/>
          <w:highlight w:val="none"/>
        </w:rPr>
        <w:t>种方式解决：</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（1）向</w:t>
      </w:r>
      <w:r>
        <w:rPr>
          <w:rFonts w:hint="eastAsia" w:ascii="宋体" w:hAnsi="宋体"/>
          <w:color w:val="auto"/>
          <w:szCs w:val="21"/>
          <w:highlight w:val="none"/>
          <w:u w:val="single"/>
        </w:rPr>
        <w:t xml:space="preserve">                     </w:t>
      </w:r>
      <w:r>
        <w:rPr>
          <w:rFonts w:hint="eastAsia" w:ascii="宋体" w:hAnsi="宋体"/>
          <w:color w:val="auto"/>
          <w:szCs w:val="21"/>
          <w:highlight w:val="none"/>
        </w:rPr>
        <w:t>仲裁委员会申请仲裁；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（2）向</w:t>
      </w:r>
      <w:r>
        <w:rPr>
          <w:rFonts w:hint="eastAsia" w:ascii="宋体" w:hAnsi="宋体"/>
          <w:color w:val="auto"/>
          <w:szCs w:val="21"/>
          <w:highlight w:val="none"/>
          <w:u w:val="single"/>
        </w:rPr>
        <w:t xml:space="preserve">                     </w:t>
      </w:r>
      <w:r>
        <w:rPr>
          <w:rFonts w:hint="eastAsia" w:ascii="宋体" w:hAnsi="宋体"/>
          <w:color w:val="auto"/>
          <w:szCs w:val="21"/>
          <w:highlight w:val="none"/>
        </w:rPr>
        <w:t>人民法院起诉。</w:t>
      </w:r>
    </w:p>
    <w:p>
      <w:pPr>
        <w:spacing w:line="360" w:lineRule="auto"/>
        <w:ind w:firstLine="420" w:firstLineChars="200"/>
        <w:rPr>
          <w:rFonts w:ascii="宋体" w:hAnsi="宋体"/>
          <w:color w:val="auto"/>
          <w:szCs w:val="21"/>
          <w:highlight w:val="none"/>
        </w:rPr>
      </w:pPr>
      <w:bookmarkStart w:id="1940" w:name="_Toc532375699"/>
      <w:r>
        <w:rPr>
          <w:rFonts w:hint="eastAsia" w:ascii="宋体" w:hAnsi="宋体"/>
          <w:color w:val="auto"/>
          <w:szCs w:val="21"/>
          <w:highlight w:val="none"/>
        </w:rPr>
        <w:t>八、保函的生效</w:t>
      </w:r>
      <w:bookmarkEnd w:id="1940"/>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本保函自我方法定代表人（或其委托代理人）签名并加盖单位公章之日起生效。</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担保人：</w:t>
      </w:r>
      <w:r>
        <w:rPr>
          <w:rFonts w:hint="eastAsia" w:ascii="宋体" w:hAnsi="宋体"/>
          <w:color w:val="auto"/>
          <w:szCs w:val="21"/>
          <w:highlight w:val="none"/>
          <w:u w:val="single"/>
        </w:rPr>
        <w:t xml:space="preserve">                                   </w:t>
      </w:r>
      <w:r>
        <w:rPr>
          <w:rFonts w:hint="eastAsia" w:ascii="宋体" w:hAnsi="宋体"/>
          <w:color w:val="auto"/>
          <w:szCs w:val="21"/>
          <w:highlight w:val="none"/>
        </w:rPr>
        <w:t>（盖单位公章）</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邮政编码：</w:t>
      </w:r>
      <w:r>
        <w:rPr>
          <w:rFonts w:hint="eastAsia" w:ascii="宋体" w:hAnsi="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传    真：</w:t>
      </w:r>
      <w:r>
        <w:rPr>
          <w:rFonts w:hint="eastAsia" w:ascii="宋体" w:hAnsi="宋体"/>
          <w:color w:val="auto"/>
          <w:szCs w:val="21"/>
          <w:highlight w:val="none"/>
          <w:u w:val="single"/>
        </w:rPr>
        <w:t xml:space="preserve">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w:t>
      </w:r>
    </w:p>
    <w:p>
      <w:pPr>
        <w:spacing w:line="360" w:lineRule="auto"/>
        <w:ind w:firstLine="840" w:firstLineChars="400"/>
        <w:jc w:val="right"/>
        <w:rPr>
          <w:rFonts w:hint="eastAsia" w:ascii="宋体" w:hAnsi="宋体"/>
          <w:color w:val="auto"/>
          <w:szCs w:val="21"/>
          <w:highlight w:val="none"/>
        </w:rPr>
      </w:pPr>
      <w:r>
        <w:rPr>
          <w:rFonts w:hint="eastAsia" w:ascii="宋体" w:hAnsi="宋体"/>
          <w:color w:val="auto"/>
          <w:szCs w:val="21"/>
          <w:highlight w:val="non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spacing w:line="360" w:lineRule="auto"/>
        <w:ind w:firstLine="420" w:firstLineChars="200"/>
        <w:jc w:val="both"/>
        <w:rPr>
          <w:rFonts w:ascii="宋体" w:hAnsi="宋体"/>
          <w:color w:val="auto"/>
          <w:szCs w:val="21"/>
          <w:highlight w:val="none"/>
        </w:rPr>
      </w:pPr>
      <w:r>
        <w:rPr>
          <w:rFonts w:hint="eastAsia" w:ascii="宋体" w:hAnsi="宋体"/>
          <w:i/>
          <w:iCs/>
          <w:sz w:val="21"/>
          <w:szCs w:val="21"/>
        </w:rPr>
        <w:t>[提示：招标人可以根据项目实际情况，增加本保函在重庆本地的核验要求。]</w:t>
      </w:r>
      <w:r>
        <w:rPr>
          <w:rFonts w:hint="eastAsia" w:ascii="宋体" w:hAnsi="宋体"/>
          <w:color w:val="auto"/>
          <w:szCs w:val="21"/>
          <w:highlight w:val="none"/>
        </w:rPr>
        <w:br w:type="page"/>
      </w:r>
    </w:p>
    <w:p>
      <w:pPr>
        <w:spacing w:line="480" w:lineRule="auto"/>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7</w:t>
      </w:r>
      <w:r>
        <w:rPr>
          <w:rFonts w:hint="eastAsia" w:ascii="宋体" w:hAnsi="宋体"/>
          <w:color w:val="auto"/>
          <w:szCs w:val="21"/>
          <w:highlight w:val="none"/>
        </w:rPr>
        <w:t>：</w:t>
      </w:r>
    </w:p>
    <w:p>
      <w:pPr>
        <w:spacing w:before="289" w:beforeLines="50" w:after="289" w:afterLines="50" w:line="480" w:lineRule="auto"/>
        <w:jc w:val="center"/>
        <w:rPr>
          <w:rFonts w:ascii="宋体" w:hAnsi="宋体"/>
          <w:color w:val="auto"/>
          <w:szCs w:val="21"/>
          <w:highlight w:val="none"/>
        </w:rPr>
      </w:pPr>
      <w:r>
        <w:rPr>
          <w:rFonts w:hint="eastAsia" w:ascii="宋体" w:hAnsi="宋体"/>
          <w:color w:val="auto"/>
          <w:szCs w:val="21"/>
          <w:highlight w:val="none"/>
        </w:rPr>
        <w:t>专业工程暂估价表</w:t>
      </w:r>
    </w:p>
    <w:tbl>
      <w:tblPr>
        <w:tblStyle w:val="45"/>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序号</w:t>
            </w:r>
          </w:p>
        </w:tc>
        <w:tc>
          <w:tcPr>
            <w:tcW w:w="1984"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专业工程名称</w:t>
            </w:r>
          </w:p>
        </w:tc>
        <w:tc>
          <w:tcPr>
            <w:tcW w:w="5103"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工程内容</w:t>
            </w:r>
          </w:p>
        </w:tc>
        <w:tc>
          <w:tcPr>
            <w:tcW w:w="1560"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26" w:type="dxa"/>
            <w:gridSpan w:val="4"/>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小计：</w:t>
            </w:r>
          </w:p>
        </w:tc>
      </w:tr>
    </w:tbl>
    <w:p>
      <w:pPr>
        <w:spacing w:line="480" w:lineRule="auto"/>
        <w:ind w:firstLine="420" w:firstLineChars="200"/>
        <w:rPr>
          <w:rFonts w:ascii="宋体" w:hAnsi="宋体"/>
          <w:color w:val="auto"/>
          <w:szCs w:val="21"/>
          <w:highlight w:val="none"/>
        </w:rPr>
      </w:pPr>
      <w:r>
        <w:rPr>
          <w:rFonts w:ascii="宋体" w:hAnsi="宋体"/>
          <w:color w:val="auto"/>
          <w:szCs w:val="21"/>
          <w:highlight w:val="none"/>
        </w:rPr>
        <w:br w:type="page"/>
      </w:r>
    </w:p>
    <w:p>
      <w:pPr>
        <w:spacing w:line="480" w:lineRule="auto"/>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8</w:t>
      </w:r>
      <w:r>
        <w:rPr>
          <w:rFonts w:hint="eastAsia" w:ascii="宋体" w:hAnsi="宋体"/>
          <w:color w:val="auto"/>
          <w:szCs w:val="21"/>
          <w:highlight w:val="none"/>
        </w:rPr>
        <w:t>：</w:t>
      </w:r>
    </w:p>
    <w:p>
      <w:pPr>
        <w:spacing w:before="289" w:beforeLines="50" w:after="289" w:afterLines="50" w:line="480" w:lineRule="auto"/>
        <w:jc w:val="center"/>
        <w:rPr>
          <w:rFonts w:ascii="宋体" w:hAnsi="宋体"/>
          <w:color w:val="auto"/>
          <w:szCs w:val="21"/>
          <w:highlight w:val="none"/>
        </w:rPr>
      </w:pPr>
      <w:r>
        <w:rPr>
          <w:rFonts w:hint="eastAsia" w:ascii="宋体" w:hAnsi="宋体"/>
          <w:color w:val="auto"/>
          <w:szCs w:val="21"/>
          <w:highlight w:val="none"/>
        </w:rPr>
        <w:t>廉洁从业协议</w:t>
      </w:r>
    </w:p>
    <w:p>
      <w:pPr>
        <w:snapToGrid w:val="0"/>
        <w:spacing w:line="360" w:lineRule="auto"/>
        <w:ind w:firstLine="421"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pPr>
        <w:snapToGrid w:val="0"/>
        <w:spacing w:line="360" w:lineRule="auto"/>
        <w:ind w:firstLine="421"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1. 发包人承包人的权利和义务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（1）严格遵守党的政策规定和国家有关法律法规及相关部门的有关规定。</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（2）严格执行 工程的合同文件，自觉按合同办事。</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（4）建立健全廉政制度，开展廉政教育，设立廉政告示牌，公布举报电话，监督并认真查处违法违纪行为。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（5）发现对方在业务活动中有违反廉政规定的行为，有及时提醒对方纠正的权利和义务。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（6）发现对方严重违反协议义务条款的行为，有向其上级有关部门举报、建议给予处理并要求告知处理结果的权利。</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发包人的义务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（1）发包人及其工作人员不得索要或接受承包人的礼金、有价证券和贵重物品，不得在承包人报销任何应由发包人或发包人工作人员个人支付的费用等。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（2）发包人工作人员不得参加承包人安排的超标准宴请和娱乐活动；不得接受承包人提供的通讯工具、交通工具和高档办公用品等。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（3）发包人及其工作人员不得要求或者接受承包人为其住房装修、婚丧嫁娶活动、配偶子女的工作安排以及出国出境、旅游等提供方便等。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（4）发包人工作人员及其配偶、子女不得从事与发包人工程有关的材料设备供应、工程分包、劳务等经济活动等。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（5）发包人及其工作人员不得以任何理由向承包人推荐分包单位或推销材料，不得要求承包人购买合同规定外的材料和设备。</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（6）发包人工作人员要秉公办事，不准营私舞弊，不准利用职权从事各种个人有偿中介活动和安排个人施工队伍。</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承包人义务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（1）承包人不得以任何理由向发包人及其工作人员行贿或馈赠礼金、有价证券、贵重礼品。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（2）承包人不得以任何名义为发包人及其工作人员报销应由发包人单位或个人支付的任何费用。</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（3）承包人不得以任何理由安排发包人工作人员参加超标准宴请及娱乐活动。</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（4）承包人不得为发包人单位和个人购置或提供通讯工具、交通工具和高档办公用品等。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违约责任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（1）发包人及其工作人员违反合同第1、2条，按管理权限，依据有关规定给予党纪、政纪或组织处理；涉嫌犯罪的，移交司法机关追究刑事责任；给承包人单位造成经济损失的，应予以赔偿。</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（2）承包人及其工作人员违反合同第1、3条，按管理权限，依据有关规定给予党纪、政纪或组织处理；给发包人单位造成经济损失的，应予以赔偿。</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 协议有效期为甲乙双方签署之日起至该工程项目竣工验收后止。</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7.协议作为 工程施工合同的附件，与工程施工合同具有同等的法律效力，经合同双方签署立即生效。</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（以下无正文）</w:t>
      </w:r>
    </w:p>
    <w:p>
      <w:pPr>
        <w:spacing w:line="360" w:lineRule="auto"/>
        <w:rPr>
          <w:rFonts w:ascii="宋体" w:hAnsi="宋体"/>
          <w:color w:val="auto"/>
          <w:szCs w:val="21"/>
          <w:highlight w:val="none"/>
        </w:rPr>
      </w:pPr>
      <w:r>
        <w:rPr>
          <w:rFonts w:hint="eastAsia" w:ascii="宋体" w:hAnsi="宋体"/>
          <w:color w:val="auto"/>
          <w:szCs w:val="21"/>
          <w:highlight w:val="none"/>
        </w:rPr>
        <w:t>甲     方：                         乙     方：</w:t>
      </w:r>
    </w:p>
    <w:p>
      <w:pPr>
        <w:spacing w:line="360" w:lineRule="auto"/>
        <w:rPr>
          <w:rFonts w:ascii="宋体" w:hAnsi="宋体"/>
          <w:color w:val="auto"/>
          <w:szCs w:val="21"/>
          <w:highlight w:val="none"/>
        </w:rPr>
      </w:pPr>
      <w:r>
        <w:rPr>
          <w:rFonts w:hint="eastAsia" w:ascii="宋体" w:hAnsi="宋体"/>
          <w:color w:val="auto"/>
          <w:szCs w:val="21"/>
          <w:highlight w:val="none"/>
        </w:rPr>
        <w:t xml:space="preserve">法定代表人                          法定代表人                      </w:t>
      </w:r>
    </w:p>
    <w:p>
      <w:pPr>
        <w:spacing w:line="360" w:lineRule="auto"/>
        <w:rPr>
          <w:rFonts w:ascii="宋体" w:hAnsi="宋体"/>
          <w:color w:val="auto"/>
          <w:szCs w:val="21"/>
          <w:highlight w:val="none"/>
        </w:rPr>
      </w:pPr>
      <w:r>
        <w:rPr>
          <w:rFonts w:hint="eastAsia" w:ascii="宋体" w:hAnsi="宋体"/>
          <w:color w:val="auto"/>
          <w:szCs w:val="21"/>
          <w:highlight w:val="none"/>
        </w:rPr>
        <w:t>或其授权的代理人：                  或授权的代理人：</w:t>
      </w:r>
      <w:r>
        <w:rPr>
          <w:rFonts w:hint="eastAsia" w:ascii="宋体" w:hAnsi="宋体"/>
          <w:color w:val="auto"/>
          <w:szCs w:val="21"/>
          <w:highlight w:val="none"/>
        </w:rPr>
        <w:br w:type="page"/>
      </w:r>
      <w:r>
        <w:rPr>
          <w:rFonts w:hint="eastAsia" w:ascii="宋体" w:hAnsi="宋体"/>
          <w:color w:val="auto"/>
          <w:szCs w:val="21"/>
          <w:highlight w:val="none"/>
        </w:rPr>
        <w:t>附件</w:t>
      </w:r>
      <w:r>
        <w:rPr>
          <w:rFonts w:ascii="宋体" w:hAnsi="宋体"/>
          <w:color w:val="auto"/>
          <w:szCs w:val="21"/>
          <w:highlight w:val="none"/>
        </w:rPr>
        <w:t>9</w:t>
      </w:r>
      <w:r>
        <w:rPr>
          <w:rFonts w:hint="eastAsia" w:ascii="宋体" w:hAnsi="宋体"/>
          <w:color w:val="auto"/>
          <w:szCs w:val="21"/>
          <w:highlight w:val="none"/>
        </w:rPr>
        <w:t>：</w:t>
      </w:r>
    </w:p>
    <w:p>
      <w:pPr>
        <w:spacing w:before="289" w:beforeLines="50" w:after="289" w:afterLines="50" w:line="480" w:lineRule="auto"/>
        <w:jc w:val="center"/>
        <w:rPr>
          <w:rFonts w:ascii="宋体" w:hAnsi="宋体"/>
          <w:color w:val="auto"/>
          <w:szCs w:val="21"/>
          <w:highlight w:val="none"/>
        </w:rPr>
      </w:pPr>
      <w:bookmarkStart w:id="1941" w:name="_Toc435690184"/>
      <w:bookmarkStart w:id="1942" w:name="_Toc435689499"/>
      <w:bookmarkStart w:id="1943" w:name="_Toc448406299"/>
      <w:bookmarkStart w:id="1944" w:name="_Toc239510288"/>
      <w:bookmarkStart w:id="1945" w:name="_Toc336680145"/>
      <w:bookmarkStart w:id="1946" w:name="_Toc247431422"/>
      <w:r>
        <w:rPr>
          <w:rFonts w:hint="eastAsia" w:ascii="宋体" w:hAnsi="宋体"/>
          <w:color w:val="auto"/>
          <w:szCs w:val="21"/>
          <w:highlight w:val="none"/>
        </w:rPr>
        <w:t>安全管理协议</w:t>
      </w:r>
      <w:bookmarkEnd w:id="1941"/>
      <w:bookmarkEnd w:id="1942"/>
      <w:bookmarkEnd w:id="1943"/>
      <w:bookmarkEnd w:id="1944"/>
      <w:bookmarkEnd w:id="1945"/>
      <w:bookmarkEnd w:id="1946"/>
    </w:p>
    <w:p>
      <w:pPr>
        <w:snapToGrid w:val="0"/>
        <w:spacing w:line="360" w:lineRule="auto"/>
        <w:ind w:firstLine="421"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pPr>
        <w:snapToGrid w:val="0"/>
        <w:spacing w:line="360" w:lineRule="auto"/>
        <w:ind w:firstLine="421"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为了确保实现</w:t>
      </w:r>
      <w:r>
        <w:rPr>
          <w:rFonts w:hint="eastAsia" w:ascii="宋体" w:hAnsi="宋体"/>
          <w:color w:val="auto"/>
          <w:szCs w:val="21"/>
          <w:highlight w:val="none"/>
          <w:u w:val="single"/>
        </w:rPr>
        <w:t xml:space="preserve">        </w:t>
      </w:r>
      <w:r>
        <w:rPr>
          <w:rFonts w:hint="eastAsia" w:ascii="宋体" w:hAnsi="宋体"/>
          <w:color w:val="auto"/>
          <w:szCs w:val="21"/>
          <w:highlight w:val="none"/>
        </w:rPr>
        <w:t>安全生产目标，进一步明确双方的安全管理责任，加强安全生产管理工作的协调、管理力度，</w:t>
      </w:r>
      <w:r>
        <w:rPr>
          <w:rFonts w:hint="eastAsia" w:ascii="宋体" w:hAnsi="宋体"/>
          <w:color w:val="auto"/>
          <w:szCs w:val="21"/>
          <w:highlight w:val="none"/>
          <w:u w:val="single"/>
        </w:rPr>
        <w:t xml:space="preserve">        </w:t>
      </w:r>
      <w:r>
        <w:rPr>
          <w:rFonts w:hint="eastAsia" w:ascii="宋体" w:hAnsi="宋体"/>
          <w:color w:val="auto"/>
          <w:szCs w:val="21"/>
          <w:highlight w:val="none"/>
        </w:rPr>
        <w:t>（以下简称“发包人”）与</w:t>
      </w:r>
      <w:r>
        <w:rPr>
          <w:rFonts w:hint="eastAsia" w:ascii="宋体" w:hAnsi="宋体"/>
          <w:color w:val="auto"/>
          <w:szCs w:val="21"/>
          <w:highlight w:val="none"/>
          <w:u w:val="single"/>
        </w:rPr>
        <w:t xml:space="preserve">        </w:t>
      </w:r>
      <w:r>
        <w:rPr>
          <w:rFonts w:hint="eastAsia" w:ascii="宋体" w:hAnsi="宋体"/>
          <w:color w:val="auto"/>
          <w:szCs w:val="21"/>
          <w:highlight w:val="none"/>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pPr>
        <w:spacing w:line="360" w:lineRule="auto"/>
        <w:ind w:firstLine="420" w:firstLineChars="200"/>
        <w:rPr>
          <w:rFonts w:ascii="宋体" w:hAnsi="宋体"/>
          <w:color w:val="auto"/>
          <w:szCs w:val="21"/>
          <w:highlight w:val="none"/>
        </w:rPr>
      </w:pPr>
      <w:bookmarkStart w:id="1947" w:name="_Toc247418263"/>
      <w:bookmarkStart w:id="1948" w:name="_Toc239510289"/>
      <w:bookmarkStart w:id="1949" w:name="_Toc532375700"/>
      <w:bookmarkStart w:id="1950" w:name="_Toc247431423"/>
      <w:r>
        <w:rPr>
          <w:rFonts w:hint="eastAsia" w:ascii="宋体" w:hAnsi="宋体"/>
          <w:color w:val="auto"/>
          <w:szCs w:val="21"/>
          <w:highlight w:val="none"/>
        </w:rPr>
        <w:t>一、协议有效期限</w:t>
      </w:r>
      <w:bookmarkEnd w:id="1947"/>
      <w:bookmarkEnd w:id="1948"/>
      <w:bookmarkEnd w:id="1949"/>
      <w:bookmarkEnd w:id="1950"/>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本协议中所涉及的安全管理责任自合同签订之日起开始生效，至合同工程全部完工验收且经发包人与承包人签订移交协议生效后之日终止。</w:t>
      </w:r>
    </w:p>
    <w:p>
      <w:pPr>
        <w:spacing w:line="360" w:lineRule="auto"/>
        <w:ind w:firstLine="420" w:firstLineChars="200"/>
        <w:rPr>
          <w:rFonts w:ascii="宋体" w:hAnsi="宋体"/>
          <w:color w:val="auto"/>
          <w:szCs w:val="21"/>
          <w:highlight w:val="none"/>
        </w:rPr>
      </w:pPr>
      <w:bookmarkStart w:id="1951" w:name="_Toc247418264"/>
      <w:bookmarkStart w:id="1952" w:name="_Toc532375701"/>
      <w:bookmarkStart w:id="1953" w:name="_Toc247431424"/>
      <w:bookmarkStart w:id="1954" w:name="_Toc239510290"/>
      <w:r>
        <w:rPr>
          <w:rFonts w:hint="eastAsia" w:ascii="宋体" w:hAnsi="宋体"/>
          <w:color w:val="auto"/>
          <w:szCs w:val="21"/>
          <w:highlight w:val="none"/>
        </w:rPr>
        <w:t>二、责任目标</w:t>
      </w:r>
      <w:bookmarkEnd w:id="1951"/>
      <w:bookmarkEnd w:id="1952"/>
      <w:bookmarkEnd w:id="1953"/>
      <w:bookmarkEnd w:id="1954"/>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（一）承包人承诺承担和履行合同和发包人所规定的安全责任，且满足要求。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（二）承包人的安全控制目标是确保本工程在实施过程中：</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1．不发生人身重伤事故；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2．不发生火灾事故；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3．不发生负有同等及以上事故责任的造成人身重伤的一般交通事故；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4．不发生集体食物中毒事件（同时5人及以上的食物中毒）；</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5．不发生流行性传染病 （无甲型传染病、其他常见传染病未形成多人同时患病）；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6．不发生重大环境污染事件（生活、工业垃圾及其他污染物造成环境污染和大面积水土流失）；</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7．不发生对施工区附近生产、生活造成重大影响的事件（如造成重大设备损坏、重大财产损失、人员伤害等）；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8．不发生治安保卫事件（构成刑事拘留及以上的事件、盗窃直接损失超过1万元人民币的事件）。</w:t>
      </w:r>
    </w:p>
    <w:p>
      <w:pPr>
        <w:spacing w:line="360" w:lineRule="auto"/>
        <w:ind w:firstLine="420" w:firstLineChars="200"/>
        <w:jc w:val="left"/>
        <w:rPr>
          <w:rFonts w:ascii="宋体" w:hAnsi="宋体"/>
          <w:color w:val="auto"/>
          <w:szCs w:val="21"/>
          <w:highlight w:val="none"/>
        </w:rPr>
      </w:pPr>
      <w:bookmarkStart w:id="1955" w:name="_Toc239510291"/>
      <w:bookmarkStart w:id="1956" w:name="_Toc247418265"/>
      <w:bookmarkStart w:id="1957" w:name="_Toc247431425"/>
      <w:r>
        <w:rPr>
          <w:rFonts w:hint="eastAsia" w:ascii="宋体" w:hAnsi="宋体"/>
          <w:color w:val="auto"/>
          <w:szCs w:val="21"/>
          <w:highlight w:val="none"/>
        </w:rPr>
        <w:t>（三）承包人承诺在施工中控制以下安全事故的发生：</w:t>
      </w:r>
      <w:bookmarkEnd w:id="1955"/>
      <w:bookmarkEnd w:id="1956"/>
      <w:bookmarkEnd w:id="1957"/>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1．人员轻伤事故。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2．负有同等及以上事故责任的人身轻伤交通事故。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3．其他安全未遂事故和异常事件。</w:t>
      </w:r>
    </w:p>
    <w:p>
      <w:pPr>
        <w:spacing w:line="360" w:lineRule="auto"/>
        <w:ind w:firstLine="420" w:firstLineChars="200"/>
        <w:rPr>
          <w:rFonts w:ascii="宋体" w:hAnsi="宋体"/>
          <w:color w:val="auto"/>
          <w:szCs w:val="21"/>
          <w:highlight w:val="none"/>
        </w:rPr>
      </w:pPr>
      <w:bookmarkStart w:id="1958" w:name="_Toc532375702"/>
      <w:bookmarkStart w:id="1959" w:name="_Toc247418266"/>
      <w:bookmarkStart w:id="1960" w:name="_Toc239510292"/>
      <w:bookmarkStart w:id="1961" w:name="_Toc247431426"/>
      <w:r>
        <w:rPr>
          <w:rFonts w:hint="eastAsia" w:ascii="宋体" w:hAnsi="宋体"/>
          <w:color w:val="auto"/>
          <w:szCs w:val="21"/>
          <w:highlight w:val="none"/>
        </w:rPr>
        <w:t>三、安全责任</w:t>
      </w:r>
      <w:bookmarkEnd w:id="1958"/>
      <w:bookmarkEnd w:id="1959"/>
      <w:bookmarkEnd w:id="1960"/>
      <w:bookmarkEnd w:id="1961"/>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1．承包人负有安全生产的管理责任和直接责任。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2．承包人的法人或签署合同的公司总经理或受委托的代理人对合同安全负有全面的领导责任。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3．承包人项目经理对施工现场的安全工作负有全面的直接领导责任。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4．承包人保证执行“谁施工、谁负责”的施工安全原则。</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5．承包人保证服从发包人对安全工作的统一协调和管理。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6．承包人保证对本工程项目安全生产条件及其管理资源自行投入，保证安全资金的专款专用。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7．承包人保证建立本工程项目的安全管理体系及安全保证体系（注：项目安全管理大纲/手册、管理性的程序文件等）。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8．承包人保证现场的安全管理专职人员必须持有建设主管部门安全生产培训考核合格证书。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9．承包人保证为现场所有工作人员（含分包商员工及劳务人员）配备符合国家标准的有承包人和/或其下属分包商标志的个人基本劳动保护用品。</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10．承包人保证按照国家法律规定为现场所有工作人员（含分包商员工及劳务人员）购买意外伤害保险。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11．承包人保证施工生活营地（包括自建的和租用的营地）满足消防、安全用电、卫生防疫、防暴雨、防雷击等方面的安全要求。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12．承包人保证对带入现场的设备、工具、材料按照国家法规和标准进行检测、试验，并持有法定部门出具的检验证书。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13．承包人保证制订施工现场的文明施工措施，保护环境、树木和植被，保持施工现场的良好秩序和整洁的作业环境。</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14．承包人负责在施工过程中与当地政府、周边群众及其他承包商保持良好的沟通和交流。承包人遇到与周边群众发生纠纷时，应负责协调工作，确保工程能够顺利进行。</w:t>
      </w:r>
    </w:p>
    <w:p>
      <w:pPr>
        <w:spacing w:line="360" w:lineRule="auto"/>
        <w:ind w:firstLine="420" w:firstLineChars="200"/>
        <w:rPr>
          <w:rFonts w:ascii="宋体" w:hAnsi="宋体"/>
          <w:color w:val="auto"/>
          <w:szCs w:val="21"/>
          <w:highlight w:val="none"/>
        </w:rPr>
      </w:pPr>
      <w:bookmarkStart w:id="1962" w:name="_Toc247418267"/>
      <w:bookmarkStart w:id="1963" w:name="_Toc239510293"/>
      <w:bookmarkStart w:id="1964" w:name="_Toc532375703"/>
      <w:bookmarkStart w:id="1965" w:name="_Toc247431427"/>
      <w:r>
        <w:rPr>
          <w:rFonts w:hint="eastAsia" w:ascii="宋体" w:hAnsi="宋体"/>
          <w:color w:val="auto"/>
          <w:szCs w:val="21"/>
          <w:highlight w:val="none"/>
        </w:rPr>
        <w:t>四、接口及协调</w:t>
      </w:r>
      <w:bookmarkEnd w:id="1962"/>
      <w:bookmarkEnd w:id="1963"/>
      <w:bookmarkEnd w:id="1964"/>
      <w:bookmarkEnd w:id="1965"/>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1．发包人委托监理公司对该工程实施监理，监理公司在安全管理方面代表发包人行使监督检查职能，承包人必须给予配合和支持。</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2．承包人人员、车辆的出入，带入现场的设备、机具、材料，在现场使用的或直接管理的办公、生活、生产性设施的安全管理须满足发包人现场管理的基本要求。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3．承包人应指定专职安全管理人员与发包人委托的监理公司接口，参与安全协调和管理。安全协调和管理的内容包括职业健康、工业安全、消防安全、卫生防疫、交通安全、环境保护、治安保卫等各方面。</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5．承包人指定的专职安全管理人员应与发包人委托的监理公司建立联系，在业务上接受发包人委托的监理公司的协调和指导。</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6．开工后承包人的专职安全管理人员应按照发包人委托的监理公司的规定，定期报送安全月度快报、季报、年报和各种专项事故报告等。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7．在工程实体未全部正式移交发包人施工管理部门之前，承包人依旧对施工范围内的安全管理负责。</w:t>
      </w:r>
    </w:p>
    <w:p>
      <w:pPr>
        <w:spacing w:line="360" w:lineRule="auto"/>
        <w:ind w:firstLine="420" w:firstLineChars="200"/>
        <w:rPr>
          <w:rFonts w:ascii="宋体" w:hAnsi="宋体"/>
          <w:color w:val="auto"/>
          <w:szCs w:val="21"/>
          <w:highlight w:val="none"/>
        </w:rPr>
      </w:pPr>
      <w:bookmarkStart w:id="1966" w:name="_Toc239510294"/>
      <w:bookmarkStart w:id="1967" w:name="_Toc247418268"/>
      <w:bookmarkStart w:id="1968" w:name="_Toc532375704"/>
      <w:bookmarkStart w:id="1969" w:name="_Toc247431428"/>
      <w:r>
        <w:rPr>
          <w:rFonts w:hint="eastAsia" w:ascii="宋体" w:hAnsi="宋体"/>
          <w:color w:val="auto"/>
          <w:szCs w:val="21"/>
          <w:highlight w:val="none"/>
        </w:rPr>
        <w:t>五、安全资质审查</w:t>
      </w:r>
      <w:bookmarkEnd w:id="1966"/>
      <w:bookmarkEnd w:id="1967"/>
      <w:bookmarkEnd w:id="1968"/>
      <w:bookmarkEnd w:id="1969"/>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承包人在项目开工前5个工作天内向发包人委托的监理公司提供以下安全资质供审查和存档：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1．企业安全生产许可证书复印件。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2．企业近三年的施工简历及安全施工业绩证明文件。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3．企业主要安全管理人员（包括项目经理、专职安全管理人员）经建设主管部门安全生产知识考核合格证书。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4．特种作业人员资格证书。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5．项目安全管理机构及其人员配备（承包人必须配有专职的安全员）。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6．适用于项目的安全管理体系及保证体系文件（安全管理大纲及管理程序文件）。</w:t>
      </w:r>
    </w:p>
    <w:p>
      <w:pPr>
        <w:spacing w:line="360" w:lineRule="auto"/>
        <w:ind w:firstLine="420" w:firstLineChars="200"/>
        <w:rPr>
          <w:rFonts w:ascii="宋体" w:hAnsi="宋体"/>
          <w:color w:val="auto"/>
          <w:szCs w:val="21"/>
          <w:highlight w:val="none"/>
        </w:rPr>
      </w:pPr>
      <w:bookmarkStart w:id="1970" w:name="_Toc247418269"/>
      <w:bookmarkStart w:id="1971" w:name="_Toc239510295"/>
      <w:bookmarkStart w:id="1972" w:name="_Toc247431429"/>
      <w:bookmarkStart w:id="1973" w:name="_Toc532375705"/>
      <w:r>
        <w:rPr>
          <w:rFonts w:hint="eastAsia" w:ascii="宋体" w:hAnsi="宋体"/>
          <w:color w:val="auto"/>
          <w:szCs w:val="21"/>
          <w:highlight w:val="none"/>
        </w:rPr>
        <w:t>六、人员基本素质</w:t>
      </w:r>
      <w:bookmarkEnd w:id="1970"/>
      <w:bookmarkEnd w:id="1971"/>
      <w:bookmarkEnd w:id="1972"/>
      <w:bookmarkEnd w:id="1973"/>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承包人提供的人员必须满足下列要求：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1．身体健康，无影响工作的精神疾病、无传染病和其他重大疾病；承包人需对其雇用的施工人员签发健康声明并保证其健康。其中体检证明材料（县级以上医院）和健康声明作为人员办理入场证件的必备材料。</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2．无刑事案件牵连。</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3．无吸毒、酗酒、赌博、嫖娼等恶习及违法行为。</w:t>
      </w:r>
    </w:p>
    <w:p>
      <w:pPr>
        <w:spacing w:line="360" w:lineRule="auto"/>
        <w:ind w:firstLine="420" w:firstLineChars="200"/>
        <w:rPr>
          <w:rFonts w:ascii="宋体" w:hAnsi="宋体"/>
          <w:color w:val="auto"/>
          <w:szCs w:val="21"/>
          <w:highlight w:val="none"/>
        </w:rPr>
      </w:pPr>
      <w:bookmarkStart w:id="1974" w:name="_Toc247418270"/>
      <w:bookmarkStart w:id="1975" w:name="_Toc247431430"/>
      <w:bookmarkStart w:id="1976" w:name="_Toc239510296"/>
      <w:bookmarkStart w:id="1977" w:name="_Toc532375706"/>
      <w:r>
        <w:rPr>
          <w:rFonts w:hint="eastAsia" w:ascii="宋体" w:hAnsi="宋体"/>
          <w:color w:val="auto"/>
          <w:szCs w:val="21"/>
          <w:highlight w:val="none"/>
        </w:rPr>
        <w:t>七、劳动保护</w:t>
      </w:r>
      <w:bookmarkEnd w:id="1974"/>
      <w:bookmarkEnd w:id="1975"/>
      <w:bookmarkEnd w:id="1976"/>
      <w:bookmarkEnd w:id="1977"/>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1．承包人负责为本单位任何用工形式的员工提供个人劳动保护用品（包括工作服、安全帽、安全鞋等）。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2．承包人负责向特殊工种的员工提供特殊劳动保护，否则不得从事特殊工种作业。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3．发包人委托的监理公司有权检查承包人的个人劳动保护用品是否符合国家的相应标准。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 承包人在特殊风险场所作业而需要特殊防护用品或安全仪表时，必须在上述防护用品全部到位后才能开工。</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5．承包人应配备临时安全围栏、警示带、警告标志、防火布等集体防护用品。</w:t>
      </w:r>
    </w:p>
    <w:p>
      <w:pPr>
        <w:spacing w:line="360" w:lineRule="auto"/>
        <w:ind w:firstLine="420" w:firstLineChars="200"/>
        <w:rPr>
          <w:rFonts w:ascii="宋体" w:hAnsi="宋体"/>
          <w:color w:val="auto"/>
          <w:szCs w:val="21"/>
          <w:highlight w:val="none"/>
        </w:rPr>
      </w:pPr>
      <w:bookmarkStart w:id="1978" w:name="_Toc247418271"/>
      <w:bookmarkStart w:id="1979" w:name="_Toc247431431"/>
      <w:bookmarkStart w:id="1980" w:name="_Toc239510297"/>
      <w:bookmarkStart w:id="1981" w:name="_Toc532375707"/>
      <w:r>
        <w:rPr>
          <w:rFonts w:hint="eastAsia" w:ascii="宋体" w:hAnsi="宋体"/>
          <w:color w:val="auto"/>
          <w:szCs w:val="21"/>
          <w:highlight w:val="none"/>
        </w:rPr>
        <w:t>八、施工机具与材料</w:t>
      </w:r>
      <w:bookmarkEnd w:id="1978"/>
      <w:bookmarkEnd w:id="1979"/>
      <w:bookmarkEnd w:id="1980"/>
      <w:bookmarkEnd w:id="1981"/>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1．承包人对带入现场的施工机械和工器具的安全负责。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2．对于承包人带入现场的特殊工器具，如起重设备、索具、机动车辆、压缩气瓶等，承包人必须按国家法规和标准进行检测、试验，并持有法定部门出具的检验证书。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3．对于不属于法定检测的工器具，承包人也必须建立相应的管理、检测制度，这些工器具包括登高工具、脚手架材料、电动工具、安全防护设备及用具等。</w:t>
      </w:r>
    </w:p>
    <w:p>
      <w:pPr>
        <w:spacing w:line="360" w:lineRule="auto"/>
        <w:ind w:firstLine="420" w:firstLineChars="200"/>
        <w:rPr>
          <w:rFonts w:ascii="宋体" w:hAnsi="宋体"/>
          <w:color w:val="auto"/>
          <w:szCs w:val="21"/>
          <w:highlight w:val="none"/>
        </w:rPr>
      </w:pPr>
      <w:bookmarkStart w:id="1982" w:name="_Toc532375708"/>
      <w:bookmarkStart w:id="1983" w:name="_Toc239510298"/>
      <w:bookmarkStart w:id="1984" w:name="_Toc247431432"/>
      <w:bookmarkStart w:id="1985" w:name="_Toc247418272"/>
      <w:r>
        <w:rPr>
          <w:rFonts w:hint="eastAsia" w:ascii="宋体" w:hAnsi="宋体"/>
          <w:color w:val="auto"/>
          <w:szCs w:val="21"/>
          <w:highlight w:val="none"/>
        </w:rPr>
        <w:t>九、开工前安全条件检查</w:t>
      </w:r>
      <w:bookmarkEnd w:id="1982"/>
      <w:bookmarkEnd w:id="1983"/>
      <w:bookmarkEnd w:id="1984"/>
      <w:bookmarkEnd w:id="1985"/>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3．发包人委托的监理公司检查发现的缺陷，承包人应在规定期限内完成整改。对于重大缺陷，发包人委托的监理公司有权要求承包人推迟开工，由此对工期产生的影响或经济损失，由承包人承担。</w:t>
      </w:r>
    </w:p>
    <w:p>
      <w:pPr>
        <w:spacing w:line="360" w:lineRule="auto"/>
        <w:ind w:firstLine="420" w:firstLineChars="200"/>
        <w:rPr>
          <w:rFonts w:ascii="宋体" w:hAnsi="宋体"/>
          <w:color w:val="auto"/>
          <w:szCs w:val="21"/>
          <w:highlight w:val="none"/>
        </w:rPr>
      </w:pPr>
      <w:bookmarkStart w:id="1986" w:name="_Toc239510299"/>
      <w:bookmarkStart w:id="1987" w:name="_Toc247431433"/>
      <w:bookmarkStart w:id="1988" w:name="_Toc247418273"/>
      <w:bookmarkStart w:id="1989" w:name="_Toc532375709"/>
      <w:r>
        <w:rPr>
          <w:rFonts w:hint="eastAsia" w:ascii="宋体" w:hAnsi="宋体"/>
          <w:color w:val="auto"/>
          <w:szCs w:val="21"/>
          <w:highlight w:val="none"/>
        </w:rPr>
        <w:t>十、安全监督</w:t>
      </w:r>
      <w:bookmarkEnd w:id="1986"/>
      <w:bookmarkEnd w:id="1987"/>
      <w:bookmarkEnd w:id="1988"/>
      <w:bookmarkEnd w:id="1989"/>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1．承包人应配备有满足项目安全管理需要的专职安全管理人员。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2．承包人的专职安全管理人员必须持建设主管部门颁发的安全生产知识考核合格证书。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3．承包人的专职安全管理人员在业务上接受发包人委托的监理公司和发包人安全管理部门的协调和指导。</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4．承包人应建立班前安全交底制度；施工期间坚持开展安全检查和日常安全监督并形成相应的记录。</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5．承包人应在每个作业区任命兼职安全员，赋予兼职安全员相应的授权和义务，并对兼职安全员进行定期考核。</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6．承包人应接受和配合发包人专业部门及委托的监理公司的监督与安全评价。</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7．发包人和委托的监理公司有权对承包人履行安全管理协议的情况进行监督，并有权对违章行为实行停工和处罚，处罚情况将通知承包人。涉及经济处罚时将直接通知合同管理部门从合同结算中扣除。</w:t>
      </w:r>
    </w:p>
    <w:p>
      <w:pPr>
        <w:spacing w:line="360" w:lineRule="auto"/>
        <w:ind w:firstLine="420" w:firstLineChars="200"/>
        <w:rPr>
          <w:rFonts w:ascii="宋体" w:hAnsi="宋体"/>
          <w:color w:val="auto"/>
          <w:szCs w:val="21"/>
          <w:highlight w:val="none"/>
        </w:rPr>
      </w:pPr>
      <w:bookmarkStart w:id="1990" w:name="_Toc239510300"/>
      <w:bookmarkStart w:id="1991" w:name="_Toc247418274"/>
      <w:bookmarkStart w:id="1992" w:name="_Toc247431434"/>
      <w:bookmarkStart w:id="1993" w:name="_Toc532375710"/>
      <w:r>
        <w:rPr>
          <w:rFonts w:hint="eastAsia" w:ascii="宋体" w:hAnsi="宋体"/>
          <w:color w:val="auto"/>
          <w:szCs w:val="21"/>
          <w:highlight w:val="none"/>
        </w:rPr>
        <w:t>十一、安全培训与授权</w:t>
      </w:r>
      <w:bookmarkEnd w:id="1990"/>
      <w:bookmarkEnd w:id="1991"/>
      <w:bookmarkEnd w:id="1992"/>
      <w:bookmarkEnd w:id="1993"/>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1．承包人所有特殊工种人员必须持证上岗，发包人和发包人委托的监理公司有权对其进行抽查。承包人要建立特殊工种定期培训和检查计划，这些工种包括但不限于：机动车驾驶员、焊工、起重工、电工等。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2．承包人应在特殊工种之外的其他工种中，筛选出高风险工种，并对其开展针对性的专题安全培训。</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3．承包人应组织 “入场培训”和考核。发包人委托的监理公司有权监督培训、考核情况或组织抽查考核。</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4．承包人应建立安全培训和考核机制，编制培训教材和培训滚动计划。承包人应组织安全考试/考核，建立培训考核记录，发包人委托的监理公司有权查看这些记录。</w:t>
      </w:r>
    </w:p>
    <w:p>
      <w:pPr>
        <w:spacing w:line="360" w:lineRule="auto"/>
        <w:ind w:firstLine="420" w:firstLineChars="200"/>
        <w:rPr>
          <w:rFonts w:ascii="宋体" w:hAnsi="宋体"/>
          <w:color w:val="auto"/>
          <w:szCs w:val="21"/>
          <w:highlight w:val="none"/>
        </w:rPr>
      </w:pPr>
      <w:bookmarkStart w:id="1994" w:name="_Toc247418275"/>
      <w:bookmarkStart w:id="1995" w:name="_Toc532375711"/>
      <w:bookmarkStart w:id="1996" w:name="_Toc239510301"/>
      <w:bookmarkStart w:id="1997" w:name="_Toc247431435"/>
      <w:r>
        <w:rPr>
          <w:rFonts w:hint="eastAsia" w:ascii="宋体" w:hAnsi="宋体"/>
          <w:color w:val="auto"/>
          <w:szCs w:val="21"/>
          <w:highlight w:val="none"/>
        </w:rPr>
        <w:t>十二、职业健康与卫生防疫</w:t>
      </w:r>
      <w:bookmarkEnd w:id="1994"/>
      <w:bookmarkEnd w:id="1995"/>
      <w:bookmarkEnd w:id="1996"/>
      <w:bookmarkEnd w:id="1997"/>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1．承包人应有特殊健康检查制度，预防有禁忌症患者从事有关职业，如恐高症患者不得从事高空作业，患有心血管疾病的人员不得从事繁重的体力劳动，特殊工种人员的体检应符合国家的规定。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2．承包人应保证卫生防疫基本设施的投入，以满足医疗、急救的要求，建立外部医疗支持渠道。</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pPr>
        <w:spacing w:line="360" w:lineRule="auto"/>
        <w:ind w:firstLine="420" w:firstLineChars="200"/>
        <w:rPr>
          <w:rFonts w:ascii="宋体" w:hAnsi="宋体"/>
          <w:color w:val="auto"/>
          <w:szCs w:val="21"/>
          <w:highlight w:val="none"/>
        </w:rPr>
      </w:pPr>
      <w:bookmarkStart w:id="1998" w:name="_Toc532375712"/>
      <w:bookmarkStart w:id="1999" w:name="_Toc247418276"/>
      <w:bookmarkStart w:id="2000" w:name="_Toc239510302"/>
      <w:bookmarkStart w:id="2001" w:name="_Toc247431436"/>
      <w:r>
        <w:rPr>
          <w:rFonts w:hint="eastAsia" w:ascii="宋体" w:hAnsi="宋体"/>
          <w:color w:val="auto"/>
          <w:szCs w:val="21"/>
          <w:highlight w:val="none"/>
        </w:rPr>
        <w:t>十三、文明施工与环保要求</w:t>
      </w:r>
      <w:bookmarkEnd w:id="1998"/>
      <w:bookmarkEnd w:id="1999"/>
      <w:bookmarkEnd w:id="2000"/>
      <w:bookmarkEnd w:id="2001"/>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1．承包人需制订施工现场的文明施工措施，保持良好的施工现场秩序。施工现场的物料堆放要摆放整齐，安全标志和宣传标志要清楚醒目，废料、废物要分类收集，安全通道要畅通。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2．承包人作业时应避免建筑材料抛洒、飞扬、流淌；应尽可能降低噪音、震动。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3．承包人应根据实际需要，在施工现场布置临时卫生设施（洗手间、卫生间等），施工作业不破坏环境卫生，不污染现场环境。</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4．承包人在施工中应充分重视对环境的保护，保护绿色植被，保护古树。施工如需伤害古树，必须报告发包人委托的监理公司，在未得到指令前，禁止擅自伤害古树。</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6．承包人在施工中应禁止向环境，排放工业污水、生活污水、废油或其他有害物质。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pPr>
        <w:spacing w:line="360" w:lineRule="auto"/>
        <w:ind w:firstLine="420" w:firstLineChars="200"/>
        <w:rPr>
          <w:rFonts w:ascii="宋体" w:hAnsi="宋体"/>
          <w:color w:val="auto"/>
          <w:szCs w:val="21"/>
          <w:highlight w:val="none"/>
        </w:rPr>
      </w:pPr>
      <w:bookmarkStart w:id="2002" w:name="_Toc247418277"/>
      <w:bookmarkStart w:id="2003" w:name="_Toc239510303"/>
      <w:bookmarkStart w:id="2004" w:name="_Toc532375713"/>
      <w:bookmarkStart w:id="2005" w:name="_Toc247431437"/>
      <w:r>
        <w:rPr>
          <w:rFonts w:hint="eastAsia" w:ascii="宋体" w:hAnsi="宋体"/>
          <w:color w:val="auto"/>
          <w:szCs w:val="21"/>
          <w:highlight w:val="none"/>
        </w:rPr>
        <w:t>十四、工程风险管理与事故预防</w:t>
      </w:r>
      <w:bookmarkEnd w:id="2002"/>
      <w:bookmarkEnd w:id="2003"/>
      <w:bookmarkEnd w:id="2004"/>
      <w:bookmarkEnd w:id="2005"/>
    </w:p>
    <w:p>
      <w:pPr>
        <w:spacing w:line="360" w:lineRule="auto"/>
        <w:ind w:firstLine="420" w:firstLineChars="200"/>
        <w:jc w:val="left"/>
        <w:rPr>
          <w:rFonts w:ascii="宋体" w:hAnsi="宋体"/>
          <w:color w:val="auto"/>
          <w:szCs w:val="21"/>
          <w:highlight w:val="none"/>
        </w:rPr>
      </w:pPr>
      <w:bookmarkStart w:id="2006" w:name="_Toc247431438"/>
      <w:bookmarkStart w:id="2007" w:name="_Toc247418278"/>
      <w:bookmarkStart w:id="2008" w:name="_Toc239510304"/>
      <w:r>
        <w:rPr>
          <w:rFonts w:hint="eastAsia" w:ascii="宋体" w:hAnsi="宋体"/>
          <w:color w:val="auto"/>
          <w:szCs w:val="21"/>
          <w:highlight w:val="none"/>
        </w:rPr>
        <w:t>（一）基本要求</w:t>
      </w:r>
      <w:bookmarkEnd w:id="2006"/>
      <w:bookmarkEnd w:id="2007"/>
      <w:bookmarkEnd w:id="2008"/>
    </w:p>
    <w:p>
      <w:pPr>
        <w:spacing w:line="360" w:lineRule="auto"/>
        <w:ind w:firstLine="420" w:firstLineChars="200"/>
        <w:jc w:val="left"/>
        <w:rPr>
          <w:rFonts w:ascii="宋体" w:hAnsi="宋体"/>
          <w:color w:val="auto"/>
          <w:szCs w:val="21"/>
          <w:highlight w:val="none"/>
        </w:rPr>
      </w:pPr>
      <w:bookmarkStart w:id="2009" w:name="_Toc532375714"/>
      <w:r>
        <w:rPr>
          <w:rFonts w:hint="eastAsia" w:ascii="宋体" w:hAnsi="宋体"/>
          <w:color w:val="auto"/>
          <w:szCs w:val="21"/>
          <w:highlight w:val="none"/>
        </w:rPr>
        <w:t>1．承包人应对施工过程进行全面、深入的危险源识别和风险分析。在施工安全组织设计中提供危险源及重要危险源清单、作业风险分析报告，该报告应包括（但不限于）如下信息：</w:t>
      </w:r>
      <w:bookmarkEnd w:id="2009"/>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（1）高风险作业和工种清单：作业名称、类别和数量、主要事故风险。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（2）施工能源和机械的种类、数量和主要事故风险。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（3）施工作业条件的类型和主要事故风险。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（4）主要工艺过程（或施工活动）的类别及其相关的事故风险。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（5）主要火灾危险（可燃物、点火源）。</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（6）主要自然灾害（洪水、大风、雷暴、暴雨、地质灾害等）。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（7）主要环境保护事件（有害垃圾、机械的跑冒滴漏、原材料流失、水土流失等）。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（8）其他。</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2．承包人应针对识别出的危险源制定有针对性的事故预防措施并确保在施工中得到有效落实。</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3．承包人应建立日常施工活动的动态作业风险分析和安全交底制度。该制度应明确规定风险分析的方法、责任和交底的内容、时间及记录。</w:t>
      </w:r>
    </w:p>
    <w:p>
      <w:pPr>
        <w:spacing w:line="360" w:lineRule="auto"/>
        <w:ind w:firstLine="420" w:firstLineChars="200"/>
        <w:jc w:val="left"/>
        <w:rPr>
          <w:rFonts w:ascii="宋体" w:hAnsi="宋体"/>
          <w:color w:val="auto"/>
          <w:szCs w:val="21"/>
          <w:highlight w:val="none"/>
        </w:rPr>
      </w:pPr>
      <w:bookmarkStart w:id="2010" w:name="_Toc247431439"/>
      <w:bookmarkStart w:id="2011" w:name="_Toc247418279"/>
      <w:bookmarkStart w:id="2012" w:name="_Toc239510305"/>
      <w:r>
        <w:rPr>
          <w:rFonts w:hint="eastAsia" w:ascii="宋体" w:hAnsi="宋体"/>
          <w:color w:val="auto"/>
          <w:szCs w:val="21"/>
          <w:highlight w:val="none"/>
        </w:rPr>
        <w:t>（二）现场作业基本安全条件</w:t>
      </w:r>
      <w:bookmarkEnd w:id="2010"/>
      <w:bookmarkEnd w:id="2011"/>
      <w:bookmarkEnd w:id="2012"/>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pPr>
        <w:spacing w:line="360" w:lineRule="auto"/>
        <w:ind w:firstLine="420" w:firstLineChars="200"/>
        <w:rPr>
          <w:rFonts w:ascii="宋体" w:hAnsi="宋体"/>
          <w:color w:val="auto"/>
          <w:szCs w:val="21"/>
          <w:highlight w:val="none"/>
        </w:rPr>
      </w:pPr>
      <w:bookmarkStart w:id="2013" w:name="_Toc247418280"/>
      <w:bookmarkStart w:id="2014" w:name="_Toc239510306"/>
      <w:bookmarkStart w:id="2015" w:name="_Toc532375715"/>
      <w:bookmarkStart w:id="2016" w:name="_Toc247431440"/>
      <w:r>
        <w:rPr>
          <w:rFonts w:hint="eastAsia" w:ascii="宋体" w:hAnsi="宋体"/>
          <w:color w:val="auto"/>
          <w:szCs w:val="21"/>
          <w:highlight w:val="none"/>
        </w:rPr>
        <w:t>十五、事故报告与应急救援</w:t>
      </w:r>
      <w:bookmarkEnd w:id="2013"/>
      <w:bookmarkEnd w:id="2014"/>
      <w:bookmarkEnd w:id="2015"/>
      <w:bookmarkEnd w:id="2016"/>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1．承包人应制定对于未遂事故及以上级别的安全事件和事故，定期报送安全月度快报、季报、年报和各种专项事故报告等。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2．承包人应建立安全事故统计记录、未遂事故统计记录、违章统计记录，并根据统计情况进行分析，并就分析结果制定相应的预防措施。</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3．承包人应建立事故应急救援机制，明确事故处置的基本原则，即现场发生事故时，首先抢救生命，向救援组织报警，并采取措施限制事故扩大。</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4．承包人应建立相应的应急响应组织，以便能迅速处理突发意外。</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5．承包人应建立专项应急响应预案，包括重大人身伤亡事故的救护预案、火灾响应预案、“四防”预案（防风、防冻、防雷、防暴雨）、重大疫病防护预案、环境污染防护预案、地质灾害防护预案等。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6．承包人应对应急预案进行适当演练，保证应急预案的可操作性。</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7．在工地的其他施工单位发生重大事故时，承包人应无条件立即配合、支持事故抢险。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8．承包人必须为事故处置支付各项费用，包括受伤者的抚恤、补偿等费用，并按合同要求赔偿对发包人造成的损失。</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9．由于发包人原因而造成的事故，发包人应负责按事故的具体损失情况给予承包人经济赔偿。</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10．涉及承包人员工的伤害事故，承包人除要报告发包人委托的监理公司外，还应负责按照国家、行业和本单位上级公司的要求，上报事故。</w:t>
      </w:r>
    </w:p>
    <w:p>
      <w:pPr>
        <w:spacing w:line="360" w:lineRule="auto"/>
        <w:ind w:firstLine="420" w:firstLineChars="200"/>
        <w:rPr>
          <w:rFonts w:ascii="宋体" w:hAnsi="宋体"/>
          <w:color w:val="auto"/>
          <w:szCs w:val="21"/>
          <w:highlight w:val="none"/>
        </w:rPr>
      </w:pPr>
      <w:bookmarkStart w:id="2017" w:name="_Toc532375716"/>
      <w:bookmarkStart w:id="2018" w:name="_Toc247418281"/>
      <w:bookmarkStart w:id="2019" w:name="_Toc247431441"/>
      <w:bookmarkStart w:id="2020" w:name="_Toc239510307"/>
      <w:r>
        <w:rPr>
          <w:rFonts w:hint="eastAsia" w:ascii="宋体" w:hAnsi="宋体"/>
          <w:color w:val="auto"/>
          <w:szCs w:val="21"/>
          <w:highlight w:val="none"/>
        </w:rPr>
        <w:t>十六、安全业绩考核</w:t>
      </w:r>
      <w:bookmarkEnd w:id="2017"/>
      <w:bookmarkEnd w:id="2018"/>
      <w:bookmarkEnd w:id="2019"/>
      <w:bookmarkEnd w:id="2020"/>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为了落实安全管理的责任，承包人在施工过程中发生安全事故时，承包人除应按国家有关规定承担责任和处罚外，发包人还将按照以下标准进行考核：</w:t>
      </w:r>
    </w:p>
    <w:tbl>
      <w:tblPr>
        <w:tblStyle w:val="45"/>
        <w:tblW w:w="7005" w:type="dxa"/>
        <w:jc w:val="center"/>
        <w:tblLayout w:type="fixed"/>
        <w:tblCellMar>
          <w:top w:w="0" w:type="dxa"/>
          <w:left w:w="0" w:type="dxa"/>
          <w:bottom w:w="0" w:type="dxa"/>
          <w:right w:w="0" w:type="dxa"/>
        </w:tblCellMar>
      </w:tblPr>
      <w:tblGrid>
        <w:gridCol w:w="3240"/>
        <w:gridCol w:w="3765"/>
      </w:tblGrid>
      <w:tr>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违约金额</w:t>
            </w:r>
          </w:p>
        </w:tc>
      </w:tr>
      <w:tr>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较大事故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签约合同价</w:t>
            </w:r>
            <w:r>
              <w:rPr>
                <w:rFonts w:hint="eastAsia" w:ascii="宋体" w:hAnsi="宋体"/>
                <w:color w:val="auto"/>
                <w:szCs w:val="21"/>
                <w:highlight w:val="none"/>
              </w:rPr>
              <w:t>的0.5‰</w:t>
            </w:r>
          </w:p>
        </w:tc>
      </w:tr>
      <w:tr>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签约合同价的2‰</w:t>
            </w:r>
          </w:p>
        </w:tc>
      </w:tr>
      <w:tr>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特别重大事故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签约合同价的4‰</w:t>
            </w:r>
          </w:p>
        </w:tc>
      </w:tr>
    </w:tbl>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（1）较大事故，是指造成3人以上10人以下死亡，或者10人以上50人以下重伤，或者1000万元以上5000万元以下直接经济损失的事故；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（2）重大事故，是指造成10人以上30人以下死亡，或者50人以上100人以下重伤，或者5000万元以上1亿元以下直接经济损失的事故；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（3）特别重大事故，是指造成30人以上死亡，或者100人以上重伤（包括急性工业中毒，下同），或者1亿元以上直接经济损失的事故；</w:t>
      </w:r>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（4）所称的“以上”包括本数，所称的“以下”不包括本数。</w:t>
      </w:r>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pPr>
        <w:spacing w:line="276" w:lineRule="auto"/>
        <w:ind w:firstLine="420" w:firstLineChars="200"/>
        <w:rPr>
          <w:rFonts w:ascii="宋体" w:hAnsi="宋体"/>
          <w:color w:val="auto"/>
          <w:szCs w:val="21"/>
          <w:highlight w:val="none"/>
        </w:rPr>
      </w:pPr>
      <w:bookmarkStart w:id="2021" w:name="_Toc239510308"/>
      <w:bookmarkStart w:id="2022" w:name="_Toc532375717"/>
      <w:bookmarkStart w:id="2023" w:name="_Toc247431442"/>
      <w:bookmarkStart w:id="2024" w:name="_Toc247418282"/>
      <w:r>
        <w:rPr>
          <w:rFonts w:hint="eastAsia" w:ascii="宋体" w:hAnsi="宋体"/>
          <w:color w:val="auto"/>
          <w:szCs w:val="21"/>
          <w:highlight w:val="none"/>
        </w:rPr>
        <w:t>十七、协议条款的修订</w:t>
      </w:r>
      <w:bookmarkEnd w:id="2021"/>
      <w:bookmarkEnd w:id="2022"/>
      <w:bookmarkEnd w:id="2023"/>
      <w:bookmarkEnd w:id="2024"/>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在项目实施过程中，经双方友好协商，本协议的有关条款也可做出相应的修改。</w:t>
      </w:r>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本工程安全管理协议，由发包人、承包人双方在施工承包合同签订后7天内共同签署，作为施工合同附件。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  包  人（单位公章）：</w:t>
      </w:r>
      <w:r>
        <w:rPr>
          <w:rFonts w:hint="eastAsia" w:ascii="宋体" w:hAnsi="宋体" w:cs="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法定代表人（签名）：</w:t>
      </w:r>
      <w:r>
        <w:rPr>
          <w:rFonts w:hint="eastAsia" w:ascii="宋体" w:hAnsi="宋体" w:cs="宋体"/>
          <w:color w:val="auto"/>
          <w:szCs w:val="21"/>
          <w:highlight w:val="none"/>
          <w:u w:val="single"/>
        </w:rPr>
        <w:t xml:space="preserve">                       </w:t>
      </w:r>
      <w:r>
        <w:rPr>
          <w:rFonts w:hint="eastAsia" w:ascii="宋体" w:hAnsi="宋体"/>
          <w:color w:val="auto"/>
          <w:szCs w:val="21"/>
          <w:highlight w:val="non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或其委托代理人（签名）：</w:t>
      </w:r>
      <w:r>
        <w:rPr>
          <w:rFonts w:hint="eastAsia" w:ascii="宋体" w:hAnsi="宋体" w:cs="宋体"/>
          <w:color w:val="auto"/>
          <w:szCs w:val="21"/>
          <w:highlight w:val="none"/>
          <w:u w:val="single"/>
        </w:rPr>
        <w:t xml:space="preserve">                   </w:t>
      </w:r>
      <w:r>
        <w:rPr>
          <w:rFonts w:hint="eastAsia" w:ascii="宋体" w:hAnsi="宋体"/>
          <w:color w:val="auto"/>
          <w:szCs w:val="21"/>
          <w:highlight w:val="none"/>
        </w:rPr>
        <w:t xml:space="preserve">  </w:t>
      </w:r>
    </w:p>
    <w:p>
      <w:pPr>
        <w:spacing w:line="360" w:lineRule="auto"/>
        <w:ind w:firstLine="420" w:firstLineChars="200"/>
        <w:jc w:val="left"/>
        <w:rPr>
          <w:rFonts w:ascii="宋体" w:hAnsi="宋体"/>
          <w:color w:val="auto"/>
          <w:szCs w:val="21"/>
          <w:highlight w:val="none"/>
        </w:rPr>
      </w:pPr>
    </w:p>
    <w:p>
      <w:pPr>
        <w:spacing w:line="360" w:lineRule="auto"/>
        <w:ind w:firstLine="420" w:firstLineChars="200"/>
        <w:jc w:val="left"/>
        <w:rPr>
          <w:rFonts w:ascii="宋体" w:hAnsi="宋体"/>
          <w:color w:val="auto"/>
          <w:kern w:val="0"/>
          <w:szCs w:val="21"/>
          <w:highlight w:val="none"/>
        </w:rPr>
      </w:pPr>
      <w:r>
        <w:rPr>
          <w:rFonts w:hint="eastAsia" w:ascii="宋体" w:hAnsi="宋体"/>
          <w:color w:val="auto"/>
          <w:szCs w:val="21"/>
          <w:highlight w:val="none"/>
        </w:rPr>
        <w:t>承  包  人（单位公章）：</w:t>
      </w:r>
      <w:r>
        <w:rPr>
          <w:rFonts w:hint="eastAsia" w:ascii="宋体" w:hAnsi="宋体" w:cs="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法定代表人（签名）：</w:t>
      </w:r>
      <w:r>
        <w:rPr>
          <w:rFonts w:hint="eastAsia" w:ascii="宋体" w:hAnsi="宋体" w:cs="宋体"/>
          <w:color w:val="auto"/>
          <w:szCs w:val="21"/>
          <w:highlight w:val="none"/>
          <w:u w:val="single"/>
        </w:rPr>
        <w:t xml:space="preserve">                       </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szCs w:val="21"/>
          <w:highlight w:val="none"/>
        </w:rPr>
        <w:t>或其委托代理人（签名）：</w:t>
      </w:r>
      <w:r>
        <w:rPr>
          <w:rFonts w:hint="eastAsia" w:ascii="宋体" w:hAnsi="宋体" w:cs="宋体"/>
          <w:color w:val="auto"/>
          <w:szCs w:val="21"/>
          <w:highlight w:val="none"/>
          <w:u w:val="single"/>
        </w:rPr>
        <w:t xml:space="preserve">                   </w:t>
      </w:r>
    </w:p>
    <w:p>
      <w:pPr>
        <w:snapToGrid w:val="0"/>
        <w:spacing w:line="360" w:lineRule="auto"/>
        <w:jc w:val="left"/>
        <w:rPr>
          <w:rFonts w:ascii="宋体" w:hAnsi="宋体"/>
          <w:color w:val="auto"/>
          <w:kern w:val="0"/>
          <w:szCs w:val="21"/>
          <w:highlight w:val="none"/>
        </w:rPr>
      </w:pPr>
      <w:r>
        <w:rPr>
          <w:rFonts w:hint="eastAsia" w:ascii="宋体" w:hAnsi="宋体"/>
          <w:color w:val="auto"/>
          <w:szCs w:val="21"/>
          <w:highlight w:val="none"/>
        </w:rPr>
        <w:br w:type="page"/>
      </w:r>
    </w:p>
    <w:p>
      <w:pPr>
        <w:spacing w:line="480" w:lineRule="auto"/>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10</w:t>
      </w:r>
      <w:r>
        <w:rPr>
          <w:rFonts w:hint="eastAsia" w:ascii="宋体" w:hAnsi="宋体"/>
          <w:color w:val="auto"/>
          <w:szCs w:val="21"/>
          <w:highlight w:val="none"/>
        </w:rPr>
        <w:t>：</w:t>
      </w:r>
    </w:p>
    <w:p>
      <w:pPr>
        <w:spacing w:before="289" w:beforeLines="50" w:after="289" w:afterLines="50" w:line="480" w:lineRule="auto"/>
        <w:jc w:val="center"/>
        <w:rPr>
          <w:rFonts w:ascii="宋体" w:hAnsi="宋体"/>
          <w:color w:val="auto"/>
          <w:szCs w:val="21"/>
          <w:highlight w:val="none"/>
        </w:rPr>
      </w:pPr>
      <w:r>
        <w:rPr>
          <w:rFonts w:hint="eastAsia" w:ascii="宋体" w:hAnsi="宋体"/>
          <w:color w:val="auto"/>
          <w:szCs w:val="21"/>
          <w:highlight w:val="none"/>
        </w:rPr>
        <w:t>保障农民工工资支付协议</w:t>
      </w:r>
    </w:p>
    <w:p>
      <w:pPr>
        <w:snapToGrid w:val="0"/>
        <w:spacing w:line="480" w:lineRule="auto"/>
        <w:rPr>
          <w:rFonts w:ascii="宋体" w:hAnsi="宋体"/>
          <w:color w:val="auto"/>
          <w:szCs w:val="21"/>
          <w:highlight w:val="none"/>
        </w:rPr>
      </w:pPr>
      <w:r>
        <w:rPr>
          <w:rFonts w:hint="eastAsia" w:ascii="宋体" w:hAnsi="宋体"/>
          <w:color w:val="auto"/>
          <w:szCs w:val="21"/>
          <w:highlight w:val="none"/>
        </w:rPr>
        <w:t xml:space="preserve"> 发包人：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（发包人）</w:t>
      </w:r>
    </w:p>
    <w:p>
      <w:pPr>
        <w:snapToGrid w:val="0"/>
        <w:spacing w:line="360" w:lineRule="auto"/>
        <w:rPr>
          <w:rFonts w:ascii="宋体" w:hAnsi="宋体"/>
          <w:color w:val="auto"/>
          <w:szCs w:val="21"/>
          <w:highlight w:val="none"/>
        </w:rPr>
      </w:pPr>
      <w:r>
        <w:rPr>
          <w:rFonts w:hint="eastAsia" w:ascii="宋体" w:hAnsi="宋体"/>
          <w:color w:val="auto"/>
          <w:szCs w:val="21"/>
          <w:highlight w:val="none"/>
        </w:rPr>
        <w:t xml:space="preserve"> 承包人：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（承包人）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一、承包人申报工程进度款时，应对上月已支付工程款用于农民工工资发放的情况进行说明，并附农民工代表按时足额收取了工资的签名确认书。监理单位应对相关情况说明和签名确认书（详附件）进行审查签名后，与工程进度款申报资料一并提交给发包人。发包人审核合格后，才进行当期工程进度款的支付。</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四、若发现承包人有下列事项的，发包人在支付当期进度款时暂扣当期应支付进度款5%比例的款项。</w:t>
      </w:r>
      <w:r>
        <w:rPr>
          <w:rFonts w:hint="eastAsia" w:ascii="宋体" w:hAnsi="宋体"/>
          <w:color w:val="auto"/>
          <w:szCs w:val="21"/>
          <w:highlight w:val="none"/>
        </w:rPr>
        <w:br w:type="textWrapping"/>
      </w:r>
      <w:r>
        <w:rPr>
          <w:rFonts w:hint="eastAsia" w:ascii="宋体" w:hAnsi="宋体"/>
          <w:color w:val="auto"/>
          <w:szCs w:val="21"/>
          <w:highlight w:val="none"/>
        </w:rPr>
        <w:t xml:space="preserve">    （一）现场检查发现项目存在拖欠农民工工资情况并经核查属实的；</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（二）相关行政管理部门检查发现存在拖欠农民工工资情况并经核查属实的；</w:t>
      </w:r>
      <w:r>
        <w:rPr>
          <w:rFonts w:hint="eastAsia" w:ascii="宋体" w:hAnsi="宋体"/>
          <w:color w:val="auto"/>
          <w:szCs w:val="21"/>
          <w:highlight w:val="none"/>
        </w:rPr>
        <w:br w:type="textWrapping"/>
      </w:r>
      <w:r>
        <w:rPr>
          <w:rFonts w:hint="eastAsia" w:ascii="宋体" w:hAnsi="宋体"/>
          <w:color w:val="auto"/>
          <w:szCs w:val="21"/>
          <w:highlight w:val="none"/>
        </w:rPr>
        <w:t xml:space="preserve">    （三）有拖欠农民工工资投诉事项并经核查属实的。</w:t>
      </w:r>
      <w:r>
        <w:rPr>
          <w:rFonts w:hint="eastAsia" w:ascii="宋体" w:hAnsi="宋体"/>
          <w:color w:val="auto"/>
          <w:szCs w:val="21"/>
          <w:highlight w:val="none"/>
        </w:rPr>
        <w:br w:type="textWrapping"/>
      </w:r>
      <w:r>
        <w:rPr>
          <w:rFonts w:hint="eastAsia" w:ascii="宋体" w:hAnsi="宋体"/>
          <w:color w:val="auto"/>
          <w:szCs w:val="21"/>
          <w:highlight w:val="none"/>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pPr>
        <w:tabs>
          <w:tab w:val="left" w:pos="1080"/>
          <w:tab w:val="left" w:pos="1260"/>
          <w:tab w:val="left" w:pos="1440"/>
        </w:tabs>
        <w:spacing w:line="360" w:lineRule="auto"/>
        <w:ind w:firstLine="420" w:firstLineChars="200"/>
        <w:rPr>
          <w:rFonts w:ascii="宋体" w:hAnsi="宋体"/>
          <w:snapToGrid w:val="0"/>
          <w:color w:val="auto"/>
          <w:spacing w:val="-4"/>
          <w:kern w:val="0"/>
          <w:szCs w:val="21"/>
          <w:highlight w:val="none"/>
        </w:rPr>
      </w:pPr>
      <w:r>
        <w:rPr>
          <w:rFonts w:hint="eastAsia" w:ascii="宋体" w:hAnsi="宋体"/>
          <w:color w:val="auto"/>
          <w:szCs w:val="21"/>
          <w:highlight w:val="none"/>
        </w:rPr>
        <w:t>六、本协议经双方法定代表人或委托代理人签名并加盖单位公章后生效，履行完毕后自然失效。</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附件：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1、关于农民工工资发放情况的说明表</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（以下无正文）</w:t>
      </w:r>
    </w:p>
    <w:p>
      <w:pPr>
        <w:spacing w:line="360" w:lineRule="auto"/>
        <w:rPr>
          <w:rFonts w:ascii="宋体" w:hAnsi="宋体"/>
          <w:color w:val="auto"/>
          <w:szCs w:val="21"/>
          <w:highlight w:val="none"/>
        </w:rPr>
      </w:pPr>
      <w:r>
        <w:rPr>
          <w:rFonts w:hint="eastAsia" w:ascii="宋体" w:hAnsi="宋体"/>
          <w:color w:val="auto"/>
          <w:szCs w:val="21"/>
          <w:highlight w:val="none"/>
        </w:rPr>
        <w:t>发包人：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（发包人）</w:t>
      </w:r>
    </w:p>
    <w:p>
      <w:pPr>
        <w:spacing w:line="360" w:lineRule="auto"/>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或委托代理人：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联系人：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承包人：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（承包人）</w:t>
      </w:r>
    </w:p>
    <w:p>
      <w:pPr>
        <w:spacing w:line="360" w:lineRule="auto"/>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或委托代理人：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联系人：</w:t>
      </w:r>
      <w:r>
        <w:rPr>
          <w:rFonts w:hint="eastAsia" w:ascii="宋体" w:hAnsi="宋体" w:cs="宋体"/>
          <w:color w:val="auto"/>
          <w:szCs w:val="21"/>
          <w:highlight w:val="none"/>
          <w:u w:val="single"/>
        </w:rPr>
        <w:t xml:space="preserve">       </w:t>
      </w:r>
    </w:p>
    <w:p>
      <w:pPr>
        <w:snapToGrid w:val="0"/>
        <w:spacing w:line="360" w:lineRule="auto"/>
        <w:ind w:firstLine="560"/>
        <w:rPr>
          <w:rFonts w:ascii="宋体" w:hAnsi="宋体"/>
          <w:color w:val="auto"/>
          <w:szCs w:val="21"/>
          <w:highlight w:val="none"/>
        </w:rPr>
      </w:pPr>
    </w:p>
    <w:p>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保障农民工工资支付协议附件1：</w:t>
      </w:r>
    </w:p>
    <w:p>
      <w:pPr>
        <w:widowControl/>
        <w:snapToGrid w:val="0"/>
        <w:spacing w:after="100" w:afterAutospacing="1" w:line="480" w:lineRule="auto"/>
        <w:jc w:val="center"/>
        <w:rPr>
          <w:rFonts w:ascii="宋体" w:hAnsi="宋体"/>
          <w:color w:val="auto"/>
          <w:szCs w:val="21"/>
          <w:highlight w:val="none"/>
        </w:rPr>
      </w:pPr>
      <w:r>
        <w:rPr>
          <w:rFonts w:hint="eastAsia" w:ascii="宋体" w:hAnsi="宋体"/>
          <w:color w:val="auto"/>
          <w:szCs w:val="21"/>
          <w:highlight w:val="none"/>
        </w:rPr>
        <w:t>关于农民工工资发放情况的说明表</w:t>
      </w:r>
    </w:p>
    <w:tbl>
      <w:tblPr>
        <w:tblStyle w:val="4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pPr>
              <w:widowControl/>
              <w:snapToGrid w:val="0"/>
              <w:spacing w:after="100" w:afterAutospacing="1" w:line="400" w:lineRule="exact"/>
              <w:jc w:val="left"/>
              <w:rPr>
                <w:rFonts w:ascii="宋体" w:hAnsi="宋体"/>
                <w:color w:val="auto"/>
                <w:kern w:val="0"/>
                <w:szCs w:val="21"/>
                <w:highlight w:val="none"/>
              </w:rPr>
            </w:pPr>
            <w:r>
              <w:rPr>
                <w:rFonts w:hint="eastAsia" w:ascii="宋体" w:hAnsi="宋体"/>
                <w:color w:val="auto"/>
                <w:kern w:val="0"/>
                <w:szCs w:val="21"/>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pPr>
              <w:widowControl/>
              <w:snapToGrid w:val="0"/>
              <w:spacing w:after="100" w:afterAutospacing="1" w:line="400" w:lineRule="exact"/>
              <w:rPr>
                <w:rFonts w:ascii="宋体" w:hAnsi="宋体"/>
                <w:color w:val="auto"/>
                <w:kern w:val="0"/>
                <w:szCs w:val="21"/>
                <w:highlight w:val="none"/>
              </w:rPr>
            </w:pPr>
            <w:r>
              <w:rPr>
                <w:rFonts w:hint="eastAsia" w:ascii="宋体" w:hAnsi="宋体"/>
                <w:color w:val="auto"/>
                <w:kern w:val="0"/>
                <w:szCs w:val="21"/>
                <w:highlight w:val="none"/>
              </w:rPr>
              <w:t>施工单位：</w:t>
            </w:r>
          </w:p>
        </w:tc>
        <w:tc>
          <w:tcPr>
            <w:tcW w:w="6201" w:type="dxa"/>
          </w:tcPr>
          <w:p>
            <w:pPr>
              <w:widowControl/>
              <w:snapToGrid w:val="0"/>
              <w:spacing w:after="100" w:afterAutospacing="1" w:line="400" w:lineRule="exact"/>
              <w:rPr>
                <w:rFonts w:ascii="宋体" w:hAnsi="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pPr>
              <w:widowControl/>
              <w:snapToGrid w:val="0"/>
              <w:spacing w:after="100" w:afterAutospacing="1" w:line="400" w:lineRule="exact"/>
              <w:rPr>
                <w:rFonts w:ascii="宋体" w:hAnsi="宋体"/>
                <w:color w:val="auto"/>
                <w:kern w:val="0"/>
                <w:szCs w:val="21"/>
                <w:highlight w:val="none"/>
              </w:rPr>
            </w:pPr>
            <w:r>
              <w:rPr>
                <w:rFonts w:hint="eastAsia" w:ascii="宋体" w:hAnsi="宋体"/>
                <w:color w:val="auto"/>
                <w:kern w:val="0"/>
                <w:szCs w:val="21"/>
                <w:highlight w:val="none"/>
              </w:rPr>
              <w:t>监理单位：</w:t>
            </w:r>
          </w:p>
        </w:tc>
        <w:tc>
          <w:tcPr>
            <w:tcW w:w="6201" w:type="dxa"/>
          </w:tcPr>
          <w:p>
            <w:pPr>
              <w:widowControl/>
              <w:snapToGrid w:val="0"/>
              <w:spacing w:after="100" w:afterAutospacing="1" w:line="400" w:lineRule="exact"/>
              <w:rPr>
                <w:rFonts w:ascii="宋体" w:hAnsi="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pPr>
              <w:widowControl/>
              <w:snapToGrid w:val="0"/>
              <w:spacing w:after="100" w:afterAutospacing="1" w:line="400" w:lineRule="exact"/>
              <w:rPr>
                <w:rFonts w:ascii="宋体" w:hAnsi="宋体"/>
                <w:color w:val="auto"/>
                <w:kern w:val="0"/>
                <w:szCs w:val="21"/>
                <w:highlight w:val="none"/>
                <w:u w:val="single"/>
              </w:rPr>
            </w:pPr>
          </w:p>
          <w:p>
            <w:pPr>
              <w:widowControl/>
              <w:snapToGrid w:val="0"/>
              <w:spacing w:after="100" w:afterAutospacing="1" w:line="400" w:lineRule="exact"/>
              <w:rPr>
                <w:rFonts w:ascii="宋体" w:hAnsi="宋体"/>
                <w:color w:val="auto"/>
                <w:kern w:val="0"/>
                <w:szCs w:val="21"/>
                <w:highlight w:val="none"/>
              </w:rPr>
            </w:pPr>
            <w:r>
              <w:rPr>
                <w:rFonts w:hint="eastAsia" w:ascii="宋体" w:hAnsi="宋体"/>
                <w:color w:val="auto"/>
                <w:kern w:val="0"/>
                <w:szCs w:val="21"/>
                <w:highlight w:val="none"/>
              </w:rPr>
              <w:t>（项目业主单位名称）：</w:t>
            </w:r>
            <w:r>
              <w:rPr>
                <w:rFonts w:hint="eastAsia" w:ascii="宋体" w:hAnsi="宋体"/>
                <w:color w:val="auto"/>
                <w:kern w:val="0"/>
                <w:szCs w:val="21"/>
                <w:highlight w:val="none"/>
                <w:u w:val="single"/>
              </w:rPr>
              <w:br w:type="textWrapping"/>
            </w:r>
            <w:r>
              <w:rPr>
                <w:rFonts w:hint="eastAsia" w:ascii="宋体" w:hAnsi="宋体"/>
                <w:color w:val="auto"/>
                <w:kern w:val="0"/>
                <w:szCs w:val="21"/>
                <w:highlight w:val="none"/>
              </w:rPr>
              <w:t xml:space="preserve">    我单位负责承建的（工程名称）无拖欠农民工资的情况，贵单位先期支付我单位的工程款已优先用于支付了农民工工资，农民工工资全部按时足额进行了发放，请贵单位予以审核。</w:t>
            </w:r>
            <w:r>
              <w:rPr>
                <w:rFonts w:hint="eastAsia" w:ascii="宋体" w:hAnsi="宋体"/>
                <w:color w:val="auto"/>
                <w:kern w:val="0"/>
                <w:szCs w:val="21"/>
                <w:highlight w:val="none"/>
              </w:rPr>
              <w:br w:type="textWrapping"/>
            </w:r>
          </w:p>
          <w:p>
            <w:pPr>
              <w:widowControl/>
              <w:snapToGrid w:val="0"/>
              <w:spacing w:after="100" w:afterAutospacing="1" w:line="400" w:lineRule="exact"/>
              <w:ind w:firstLine="1260" w:firstLineChars="600"/>
              <w:rPr>
                <w:rFonts w:ascii="宋体" w:hAnsi="宋体"/>
                <w:color w:val="auto"/>
                <w:kern w:val="0"/>
                <w:szCs w:val="21"/>
                <w:highlight w:val="none"/>
                <w:u w:val="single"/>
              </w:rPr>
            </w:pPr>
            <w:r>
              <w:rPr>
                <w:rFonts w:hint="eastAsia" w:ascii="宋体" w:hAnsi="宋体"/>
                <w:color w:val="auto"/>
                <w:kern w:val="0"/>
                <w:szCs w:val="21"/>
                <w:highlight w:val="none"/>
              </w:rPr>
              <w:t>施工单位项目负责人签名（加盖项目章）：</w:t>
            </w:r>
            <w:r>
              <w:rPr>
                <w:rFonts w:hint="eastAsia" w:ascii="宋体" w:hAnsi="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pPr>
              <w:widowControl/>
              <w:snapToGrid w:val="0"/>
              <w:spacing w:after="100" w:afterAutospacing="1"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监理单位意见：</w:t>
            </w:r>
          </w:p>
        </w:tc>
        <w:tc>
          <w:tcPr>
            <w:tcW w:w="6201" w:type="dxa"/>
          </w:tcPr>
          <w:p>
            <w:pPr>
              <w:widowControl/>
              <w:snapToGrid w:val="0"/>
              <w:spacing w:after="100" w:afterAutospacing="1" w:line="400" w:lineRule="exact"/>
              <w:rPr>
                <w:rFonts w:ascii="宋体" w:hAnsi="宋体"/>
                <w:color w:val="auto"/>
                <w:kern w:val="0"/>
                <w:szCs w:val="21"/>
                <w:highlight w:val="none"/>
                <w:u w:val="single"/>
              </w:rPr>
            </w:pPr>
          </w:p>
          <w:p>
            <w:pPr>
              <w:widowControl/>
              <w:snapToGrid w:val="0"/>
              <w:spacing w:after="100" w:afterAutospacing="1" w:line="400" w:lineRule="exact"/>
              <w:rPr>
                <w:rFonts w:ascii="宋体" w:hAnsi="宋体"/>
                <w:color w:val="auto"/>
                <w:kern w:val="0"/>
                <w:szCs w:val="21"/>
                <w:highlight w:val="none"/>
                <w:u w:val="single"/>
              </w:rPr>
            </w:pPr>
            <w:r>
              <w:rPr>
                <w:rFonts w:hint="eastAsia" w:ascii="宋体" w:hAnsi="宋体"/>
                <w:color w:val="auto"/>
                <w:kern w:val="0"/>
                <w:szCs w:val="21"/>
                <w:highlight w:val="none"/>
              </w:rPr>
              <w:t xml:space="preserve">             总监签名并加盖项目章：</w:t>
            </w:r>
            <w:r>
              <w:rPr>
                <w:rFonts w:hint="eastAsia" w:ascii="宋体" w:hAnsi="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pPr>
              <w:widowControl/>
              <w:snapToGrid w:val="0"/>
              <w:spacing w:after="100" w:afterAutospacing="1" w:line="400" w:lineRule="exact"/>
              <w:jc w:val="center"/>
              <w:rPr>
                <w:rFonts w:ascii="宋体" w:hAnsi="宋体"/>
                <w:color w:val="auto"/>
                <w:kern w:val="0"/>
                <w:szCs w:val="21"/>
                <w:highlight w:val="none"/>
              </w:rPr>
            </w:pPr>
            <w:r>
              <w:rPr>
                <w:rFonts w:hint="eastAsia" w:ascii="宋体" w:hAnsi="宋体"/>
                <w:color w:val="auto"/>
                <w:kern w:val="0"/>
                <w:szCs w:val="21"/>
                <w:highlight w:val="none"/>
              </w:rPr>
              <w:t>工程部项目负责人意见：</w:t>
            </w:r>
          </w:p>
        </w:tc>
        <w:tc>
          <w:tcPr>
            <w:tcW w:w="6201" w:type="dxa"/>
          </w:tcPr>
          <w:p>
            <w:pPr>
              <w:widowControl/>
              <w:snapToGrid w:val="0"/>
              <w:spacing w:after="100" w:afterAutospacing="1" w:line="400" w:lineRule="exact"/>
              <w:rPr>
                <w:rFonts w:ascii="宋体" w:hAnsi="宋体"/>
                <w:color w:val="auto"/>
                <w:kern w:val="0"/>
                <w:szCs w:val="21"/>
                <w:highlight w:val="none"/>
                <w:u w:val="single"/>
              </w:rPr>
            </w:pPr>
          </w:p>
          <w:p>
            <w:pPr>
              <w:widowControl/>
              <w:snapToGrid w:val="0"/>
              <w:spacing w:after="100" w:afterAutospacing="1" w:line="400" w:lineRule="exact"/>
              <w:rPr>
                <w:rFonts w:ascii="宋体" w:hAnsi="宋体"/>
                <w:color w:val="auto"/>
                <w:kern w:val="0"/>
                <w:szCs w:val="21"/>
                <w:highlight w:val="none"/>
                <w:u w:val="single"/>
              </w:rPr>
            </w:pPr>
            <w:r>
              <w:rPr>
                <w:rFonts w:hint="eastAsia" w:ascii="宋体" w:hAnsi="宋体"/>
                <w:color w:val="auto"/>
                <w:kern w:val="0"/>
                <w:szCs w:val="21"/>
                <w:highlight w:val="none"/>
              </w:rPr>
              <w:t xml:space="preserve">                   项目负责人签名：</w:t>
            </w:r>
            <w:r>
              <w:rPr>
                <w:rFonts w:hint="eastAsia" w:ascii="宋体" w:hAnsi="宋体"/>
                <w:color w:val="auto"/>
                <w:kern w:val="0"/>
                <w:szCs w:val="21"/>
                <w:highlight w:val="none"/>
                <w:u w:val="single"/>
              </w:rPr>
              <w:t xml:space="preserve">        </w:t>
            </w:r>
          </w:p>
        </w:tc>
      </w:tr>
    </w:tbl>
    <w:p>
      <w:pPr>
        <w:rPr>
          <w:rFonts w:ascii="宋体" w:hAnsi="宋体"/>
          <w:color w:val="auto"/>
          <w:sz w:val="24"/>
          <w:highlight w:val="none"/>
        </w:rPr>
      </w:pPr>
      <w:r>
        <w:rPr>
          <w:rFonts w:ascii="宋体" w:hAnsi="宋体"/>
          <w:color w:val="auto"/>
          <w:sz w:val="24"/>
          <w:highlight w:val="none"/>
        </w:rPr>
        <w:br w:type="page"/>
      </w:r>
    </w:p>
    <w:p>
      <w:pPr>
        <w:spacing w:line="360" w:lineRule="auto"/>
        <w:rPr>
          <w:rFonts w:ascii="宋体" w:hAnsi="宋体"/>
          <w:color w:val="auto"/>
          <w:szCs w:val="21"/>
          <w:highlight w:val="none"/>
        </w:rPr>
      </w:pPr>
      <w:r>
        <w:rPr>
          <w:rFonts w:hint="eastAsia" w:ascii="宋体" w:hAnsi="宋体"/>
          <w:color w:val="auto"/>
          <w:szCs w:val="21"/>
          <w:highlight w:val="none"/>
        </w:rPr>
        <w:t>附件</w:t>
      </w:r>
      <w:r>
        <w:rPr>
          <w:rFonts w:hint="eastAsia" w:ascii="宋体" w:hAnsi="宋体"/>
          <w:color w:val="auto"/>
          <w:szCs w:val="21"/>
          <w:highlight w:val="none"/>
          <w:lang w:val="en-US" w:eastAsia="zh-CN"/>
        </w:rPr>
        <w:t>11</w:t>
      </w:r>
      <w:r>
        <w:rPr>
          <w:rFonts w:hint="eastAsia" w:ascii="宋体" w:hAnsi="宋体"/>
          <w:color w:val="auto"/>
          <w:szCs w:val="21"/>
          <w:highlight w:val="none"/>
        </w:rPr>
        <w:t>：质量保证金保函（如有）</w:t>
      </w:r>
    </w:p>
    <w:p>
      <w:pPr>
        <w:spacing w:line="580" w:lineRule="exact"/>
        <w:jc w:val="center"/>
        <w:rPr>
          <w:rFonts w:hint="eastAsia" w:ascii="宋体" w:hAnsi="宋体" w:cs="宋体"/>
          <w:i/>
          <w:iCs/>
          <w:color w:val="auto"/>
          <w:szCs w:val="21"/>
          <w:highlight w:val="none"/>
        </w:rPr>
      </w:pPr>
      <w:r>
        <w:rPr>
          <w:rFonts w:hint="eastAsia" w:ascii="宋体" w:hAnsi="宋体" w:cs="宋体"/>
          <w:color w:val="auto"/>
          <w:szCs w:val="21"/>
          <w:highlight w:val="none"/>
        </w:rPr>
        <w:t>工程质量保函示范文本</w:t>
      </w:r>
    </w:p>
    <w:p>
      <w:pPr>
        <w:pStyle w:val="2"/>
        <w:rPr>
          <w:color w:val="auto"/>
          <w:highlight w:val="none"/>
        </w:rPr>
      </w:pPr>
      <w:r>
        <w:rPr>
          <w:rFonts w:hint="eastAsia" w:ascii="宋体" w:hAnsi="宋体" w:cs="宋体"/>
          <w:i/>
          <w:iCs/>
          <w:color w:val="auto"/>
          <w:szCs w:val="21"/>
          <w:highlight w:val="none"/>
        </w:rPr>
        <w:t>[提示：参照《关于进一步规范工程建设领域工程保函示范文本的通知》（渝公管发〔2022〕26号）进行编制。]</w:t>
      </w:r>
    </w:p>
    <w:p>
      <w:pPr>
        <w:pStyle w:val="2"/>
        <w:rPr>
          <w:rFonts w:ascii="宋体" w:hAnsi="宋体"/>
          <w:color w:val="auto"/>
          <w:sz w:val="24"/>
          <w:highlight w:val="none"/>
        </w:rPr>
      </w:pPr>
    </w:p>
    <w:p>
      <w:pPr>
        <w:spacing w:line="360" w:lineRule="auto"/>
        <w:jc w:val="left"/>
        <w:rPr>
          <w:rFonts w:ascii="宋体" w:hAnsi="宋体"/>
          <w:color w:val="auto"/>
          <w:sz w:val="24"/>
          <w:highlight w:val="none"/>
        </w:rPr>
      </w:pPr>
    </w:p>
    <w:bookmarkEnd w:id="793"/>
    <w:p>
      <w:pPr>
        <w:spacing w:line="360" w:lineRule="auto"/>
        <w:rPr>
          <w:rFonts w:ascii="宋体" w:hAnsi="宋体"/>
          <w:color w:val="auto"/>
          <w:szCs w:val="20"/>
          <w:highlight w:val="none"/>
        </w:rPr>
      </w:pPr>
    </w:p>
    <w:p>
      <w:pPr>
        <w:spacing w:line="240" w:lineRule="exact"/>
        <w:rPr>
          <w:rFonts w:ascii="宋体" w:hAnsi="宋体"/>
          <w:color w:val="auto"/>
          <w:szCs w:val="20"/>
          <w:highlight w:val="none"/>
        </w:rPr>
      </w:pPr>
      <w:bookmarkStart w:id="2025" w:name="招标文件05章工程量清单"/>
      <w:bookmarkEnd w:id="2025"/>
    </w:p>
    <w:p>
      <w:pPr>
        <w:pStyle w:val="3"/>
        <w:spacing w:before="0" w:after="0" w:line="360" w:lineRule="auto"/>
        <w:jc w:val="center"/>
        <w:rPr>
          <w:rFonts w:hint="eastAsia" w:ascii="宋体" w:hAnsi="宋体"/>
          <w:color w:val="auto"/>
          <w:highlight w:val="none"/>
        </w:rPr>
      </w:pPr>
      <w:bookmarkStart w:id="2026" w:name="_Toc509218843"/>
      <w:bookmarkStart w:id="2027" w:name="_Toc28425"/>
      <w:bookmarkStart w:id="2028" w:name="_Toc534185822"/>
      <w:bookmarkStart w:id="2029" w:name="_Toc287620797"/>
      <w:bookmarkStart w:id="2030" w:name="_Toc430530513"/>
      <w:bookmarkStart w:id="2031" w:name="_Toc287607855"/>
    </w:p>
    <w:p>
      <w:pPr>
        <w:rPr>
          <w:rFonts w:hint="eastAsia"/>
          <w:color w:val="auto"/>
          <w:highlight w:val="none"/>
        </w:rPr>
      </w:pPr>
    </w:p>
    <w:p>
      <w:pPr>
        <w:pStyle w:val="3"/>
        <w:spacing w:before="0" w:after="0" w:line="360" w:lineRule="auto"/>
        <w:jc w:val="center"/>
        <w:rPr>
          <w:rFonts w:hint="eastAsia" w:ascii="宋体" w:hAnsi="宋体"/>
          <w:color w:val="auto"/>
          <w:highlight w:val="none"/>
        </w:rPr>
      </w:pPr>
    </w:p>
    <w:p>
      <w:pPr>
        <w:snapToGrid w:val="0"/>
        <w:spacing w:line="360" w:lineRule="auto"/>
        <w:jc w:val="center"/>
        <w:rPr>
          <w:rFonts w:ascii="宋体" w:hAnsi="宋体"/>
          <w:color w:val="auto"/>
          <w:sz w:val="24"/>
          <w:highlight w:val="none"/>
        </w:rPr>
      </w:pPr>
    </w:p>
    <w:p>
      <w:pPr>
        <w:pStyle w:val="3"/>
        <w:spacing w:before="0" w:after="0" w:line="360" w:lineRule="auto"/>
        <w:jc w:val="center"/>
        <w:rPr>
          <w:rFonts w:hint="eastAsia" w:ascii="宋体" w:hAnsi="宋体"/>
          <w:color w:val="auto"/>
          <w:szCs w:val="20"/>
          <w:highlight w:val="none"/>
        </w:rPr>
      </w:pPr>
    </w:p>
    <w:p>
      <w:pPr>
        <w:pStyle w:val="3"/>
        <w:spacing w:line="360" w:lineRule="auto"/>
        <w:jc w:val="center"/>
        <w:rPr>
          <w:rFonts w:hint="eastAsia" w:ascii="宋体" w:hAnsi="宋体"/>
          <w:color w:val="auto"/>
          <w:highlight w:val="none"/>
        </w:rPr>
      </w:pPr>
      <w:bookmarkStart w:id="2032" w:name="_Toc52"/>
      <w:bookmarkStart w:id="2033" w:name="_Toc5844"/>
      <w:r>
        <w:rPr>
          <w:rFonts w:hint="eastAsia" w:ascii="宋体" w:hAnsi="宋体"/>
          <w:color w:val="auto"/>
          <w:highlight w:val="none"/>
        </w:rPr>
        <w:t>第五章  工程量清单</w:t>
      </w:r>
      <w:bookmarkEnd w:id="2032"/>
      <w:bookmarkEnd w:id="2033"/>
      <w:bookmarkStart w:id="2034" w:name="招标文件05章工程量清单01"/>
      <w:bookmarkEnd w:id="2034"/>
      <w:bookmarkStart w:id="2035" w:name="_Toc430530514"/>
      <w:bookmarkStart w:id="2036" w:name="_Toc287607856"/>
      <w:bookmarkStart w:id="2037" w:name="_Toc287620798"/>
      <w:bookmarkStart w:id="2038" w:name="_Toc277082638"/>
      <w:bookmarkStart w:id="2039" w:name="_Toc224103477"/>
    </w:p>
    <w:bookmarkEnd w:id="2035"/>
    <w:bookmarkEnd w:id="2036"/>
    <w:bookmarkEnd w:id="2037"/>
    <w:bookmarkEnd w:id="2038"/>
    <w:bookmarkEnd w:id="2039"/>
    <w:p>
      <w:pPr>
        <w:pStyle w:val="3"/>
        <w:spacing w:line="360" w:lineRule="auto"/>
        <w:jc w:val="center"/>
        <w:rPr>
          <w:rFonts w:hint="eastAsia" w:ascii="宋体" w:hAnsi="宋体"/>
          <w:b w:val="0"/>
          <w:bCs w:val="0"/>
          <w:color w:val="auto"/>
          <w:sz w:val="21"/>
          <w:szCs w:val="21"/>
          <w:highlight w:val="none"/>
          <w:u w:val="single"/>
        </w:rPr>
      </w:pPr>
      <w:bookmarkStart w:id="2040" w:name="_Toc15927"/>
      <w:bookmarkStart w:id="2041" w:name="_Toc6742"/>
      <w:bookmarkStart w:id="2042" w:name="_Toc10404"/>
      <w:bookmarkStart w:id="2043" w:name="_Toc28233"/>
      <w:bookmarkStart w:id="2044" w:name="_Toc16317"/>
      <w:r>
        <w:rPr>
          <w:rFonts w:hint="eastAsia" w:ascii="宋体" w:hAnsi="宋体"/>
          <w:b w:val="0"/>
          <w:bCs w:val="0"/>
          <w:color w:val="auto"/>
          <w:sz w:val="21"/>
          <w:szCs w:val="21"/>
          <w:highlight w:val="none"/>
          <w:u w:val="single"/>
        </w:rPr>
        <w:t>在重庆市公共资源交易网下载</w:t>
      </w:r>
      <w:bookmarkEnd w:id="2040"/>
      <w:bookmarkEnd w:id="2041"/>
      <w:bookmarkEnd w:id="2042"/>
      <w:bookmarkEnd w:id="2043"/>
      <w:bookmarkEnd w:id="2044"/>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snapToGrid w:val="0"/>
        <w:spacing w:line="360" w:lineRule="auto"/>
        <w:jc w:val="center"/>
        <w:rPr>
          <w:rFonts w:ascii="宋体" w:hAnsi="宋体"/>
          <w:color w:val="auto"/>
          <w:szCs w:val="21"/>
          <w:highlight w:val="none"/>
        </w:rPr>
      </w:pPr>
      <w:r>
        <w:rPr>
          <w:rFonts w:hint="eastAsia" w:ascii="宋体" w:hAnsi="宋体"/>
          <w:color w:val="auto"/>
          <w:szCs w:val="20"/>
          <w:highlight w:val="none"/>
        </w:rPr>
        <w:t>。</w:t>
      </w:r>
    </w:p>
    <w:p>
      <w:pPr>
        <w:ind w:right="561"/>
        <w:rPr>
          <w:rFonts w:ascii="宋体" w:hAnsi="宋体"/>
          <w:color w:val="auto"/>
          <w:szCs w:val="21"/>
          <w:highlight w:val="none"/>
        </w:rPr>
      </w:pPr>
      <w:r>
        <w:rPr>
          <w:rFonts w:ascii="宋体" w:hAnsi="宋体"/>
          <w:color w:val="auto"/>
          <w:sz w:val="24"/>
          <w:highlight w:val="none"/>
        </w:rPr>
        <w:br w:type="page"/>
      </w:r>
    </w:p>
    <w:p>
      <w:pPr>
        <w:pStyle w:val="3"/>
        <w:spacing w:before="0" w:after="0" w:line="360" w:lineRule="auto"/>
        <w:jc w:val="center"/>
        <w:outlineLvl w:val="9"/>
        <w:rPr>
          <w:rFonts w:hint="eastAsia" w:ascii="宋体" w:hAnsi="宋体"/>
          <w:color w:val="auto"/>
          <w:highlight w:val="none"/>
        </w:rPr>
      </w:pPr>
    </w:p>
    <w:bookmarkEnd w:id="2026"/>
    <w:bookmarkEnd w:id="2027"/>
    <w:bookmarkEnd w:id="2028"/>
    <w:bookmarkEnd w:id="2029"/>
    <w:bookmarkEnd w:id="2030"/>
    <w:bookmarkEnd w:id="2031"/>
    <w:p>
      <w:pPr>
        <w:pStyle w:val="3"/>
        <w:spacing w:before="0" w:after="0" w:line="360" w:lineRule="auto"/>
        <w:jc w:val="center"/>
        <w:rPr>
          <w:rFonts w:ascii="宋体" w:hAnsi="宋体"/>
          <w:color w:val="auto"/>
          <w:sz w:val="52"/>
          <w:szCs w:val="52"/>
          <w:highlight w:val="none"/>
        </w:rPr>
      </w:pPr>
      <w:bookmarkStart w:id="2045" w:name="_Toc534185823"/>
      <w:bookmarkStart w:id="2046" w:name="_Toc509218844"/>
      <w:bookmarkStart w:id="2047" w:name="_Toc5678"/>
      <w:bookmarkStart w:id="2048" w:name="_Toc26440"/>
    </w:p>
    <w:p>
      <w:pPr>
        <w:pStyle w:val="3"/>
        <w:spacing w:before="0" w:after="0" w:line="360" w:lineRule="auto"/>
        <w:jc w:val="center"/>
        <w:rPr>
          <w:rFonts w:ascii="宋体" w:hAnsi="宋体"/>
          <w:color w:val="auto"/>
          <w:sz w:val="52"/>
          <w:szCs w:val="52"/>
          <w:highlight w:val="none"/>
        </w:rPr>
      </w:pPr>
      <w:bookmarkStart w:id="2049" w:name="_Toc30555"/>
      <w:bookmarkStart w:id="2050" w:name="_Toc7683"/>
      <w:r>
        <w:rPr>
          <w:rFonts w:ascii="宋体" w:hAnsi="宋体"/>
          <w:color w:val="auto"/>
          <w:sz w:val="52"/>
          <w:szCs w:val="52"/>
          <w:highlight w:val="none"/>
        </w:rPr>
        <w:t>第 二 卷</w:t>
      </w:r>
      <w:bookmarkEnd w:id="2045"/>
      <w:bookmarkEnd w:id="2046"/>
      <w:bookmarkEnd w:id="2047"/>
      <w:bookmarkEnd w:id="2048"/>
      <w:bookmarkEnd w:id="2049"/>
      <w:bookmarkEnd w:id="2050"/>
    </w:p>
    <w:p>
      <w:pPr>
        <w:spacing w:line="360" w:lineRule="auto"/>
        <w:rPr>
          <w:rFonts w:ascii="宋体" w:hAnsi="宋体"/>
          <w:color w:val="auto"/>
          <w:szCs w:val="20"/>
          <w:highlight w:val="none"/>
        </w:rPr>
      </w:pPr>
      <w:r>
        <w:rPr>
          <w:rFonts w:ascii="宋体" w:hAnsi="宋体"/>
          <w:color w:val="auto"/>
          <w:szCs w:val="20"/>
          <w:highlight w:val="none"/>
        </w:rPr>
        <w:br w:type="page"/>
      </w:r>
    </w:p>
    <w:p>
      <w:pPr>
        <w:pStyle w:val="3"/>
        <w:spacing w:line="360" w:lineRule="auto"/>
        <w:jc w:val="center"/>
        <w:rPr>
          <w:rFonts w:ascii="宋体" w:hAnsi="宋体"/>
          <w:color w:val="auto"/>
          <w:highlight w:val="none"/>
        </w:rPr>
      </w:pPr>
      <w:bookmarkStart w:id="2051" w:name="招标文件06章图纸"/>
      <w:bookmarkEnd w:id="2051"/>
      <w:bookmarkStart w:id="2052" w:name="_Toc509218846"/>
      <w:bookmarkStart w:id="2053" w:name="_Toc14048"/>
      <w:bookmarkStart w:id="2054" w:name="_Toc287607861"/>
      <w:bookmarkStart w:id="2055" w:name="_Toc18732"/>
      <w:bookmarkStart w:id="2056" w:name="_Toc430530519"/>
      <w:bookmarkStart w:id="2057" w:name="_Toc534185825"/>
      <w:bookmarkStart w:id="2058" w:name="_Toc25937"/>
      <w:bookmarkStart w:id="2059" w:name="_Toc28084"/>
      <w:bookmarkStart w:id="2060" w:name="_Toc287620803"/>
      <w:r>
        <w:rPr>
          <w:rFonts w:hint="eastAsia" w:ascii="宋体" w:hAnsi="宋体"/>
          <w:color w:val="auto"/>
          <w:highlight w:val="none"/>
        </w:rPr>
        <w:t>第六章  图纸</w:t>
      </w:r>
      <w:bookmarkEnd w:id="2052"/>
      <w:bookmarkEnd w:id="2053"/>
      <w:bookmarkEnd w:id="2054"/>
      <w:bookmarkEnd w:id="2055"/>
      <w:bookmarkEnd w:id="2056"/>
      <w:bookmarkEnd w:id="2057"/>
      <w:bookmarkEnd w:id="2058"/>
      <w:bookmarkEnd w:id="2059"/>
      <w:bookmarkEnd w:id="2060"/>
    </w:p>
    <w:p>
      <w:pPr>
        <w:spacing w:line="360" w:lineRule="auto"/>
        <w:jc w:val="center"/>
        <w:rPr>
          <w:rFonts w:ascii="宋体" w:hAnsi="宋体"/>
          <w:color w:val="auto"/>
          <w:szCs w:val="20"/>
          <w:highlight w:val="none"/>
        </w:rPr>
      </w:pPr>
      <w:r>
        <w:rPr>
          <w:rFonts w:hint="eastAsia" w:ascii="宋体" w:hAnsi="宋体"/>
          <w:color w:val="auto"/>
          <w:szCs w:val="20"/>
          <w:highlight w:val="none"/>
        </w:rPr>
        <w:t>在</w:t>
      </w:r>
      <w:r>
        <w:rPr>
          <w:rFonts w:hint="eastAsia" w:ascii="宋体" w:hAnsi="宋体"/>
          <w:color w:val="auto"/>
          <w:szCs w:val="20"/>
          <w:highlight w:val="none"/>
          <w:u w:val="single"/>
        </w:rPr>
        <w:t>重庆市公共资源交易网</w:t>
      </w:r>
      <w:r>
        <w:rPr>
          <w:rFonts w:hint="eastAsia" w:ascii="宋体" w:hAnsi="宋体"/>
          <w:color w:val="auto"/>
          <w:szCs w:val="20"/>
          <w:highlight w:val="none"/>
        </w:rPr>
        <w:t>下载。</w:t>
      </w:r>
    </w:p>
    <w:p>
      <w:pPr>
        <w:spacing w:line="360" w:lineRule="auto"/>
        <w:rPr>
          <w:rFonts w:ascii="宋体" w:hAnsi="宋体"/>
          <w:color w:val="auto"/>
          <w:szCs w:val="20"/>
          <w:highlight w:val="none"/>
        </w:rPr>
      </w:pPr>
      <w:bookmarkStart w:id="2061" w:name="招标文件06章图纸01"/>
      <w:bookmarkEnd w:id="2061"/>
      <w:bookmarkStart w:id="2062" w:name="_Toc430530520"/>
      <w:bookmarkStart w:id="2063" w:name="_Toc287620804"/>
    </w:p>
    <w:bookmarkEnd w:id="2062"/>
    <w:bookmarkEnd w:id="2063"/>
    <w:p>
      <w:pPr>
        <w:spacing w:line="360" w:lineRule="auto"/>
        <w:rPr>
          <w:rFonts w:ascii="宋体" w:hAnsi="宋体"/>
          <w:color w:val="auto"/>
          <w:highlight w:val="none"/>
        </w:rPr>
      </w:pPr>
      <w:r>
        <w:rPr>
          <w:rFonts w:ascii="宋体" w:hAnsi="宋体"/>
          <w:color w:val="auto"/>
          <w:szCs w:val="20"/>
          <w:highlight w:val="none"/>
        </w:rPr>
        <w:br w:type="page"/>
      </w:r>
    </w:p>
    <w:p>
      <w:pPr>
        <w:pStyle w:val="3"/>
        <w:spacing w:before="0" w:after="0" w:line="360" w:lineRule="auto"/>
        <w:jc w:val="center"/>
        <w:rPr>
          <w:rFonts w:ascii="宋体" w:hAnsi="宋体"/>
          <w:color w:val="auto"/>
          <w:sz w:val="52"/>
          <w:szCs w:val="52"/>
          <w:highlight w:val="none"/>
        </w:rPr>
      </w:pPr>
      <w:bookmarkStart w:id="2064" w:name="_Toc24257"/>
      <w:bookmarkStart w:id="2065" w:name="_Toc14665"/>
      <w:bookmarkStart w:id="2066" w:name="_Toc13964"/>
      <w:bookmarkStart w:id="2067" w:name="_Toc21800"/>
      <w:r>
        <w:rPr>
          <w:rFonts w:hint="eastAsia" w:ascii="宋体" w:hAnsi="宋体"/>
          <w:color w:val="auto"/>
          <w:sz w:val="52"/>
          <w:szCs w:val="52"/>
          <w:highlight w:val="none"/>
        </w:rPr>
        <w:t>第 三 卷</w:t>
      </w:r>
      <w:bookmarkEnd w:id="2064"/>
      <w:bookmarkEnd w:id="2065"/>
      <w:bookmarkEnd w:id="2066"/>
      <w:bookmarkEnd w:id="2067"/>
      <w:bookmarkStart w:id="2068" w:name="_Toc509218847"/>
      <w:bookmarkStart w:id="2069" w:name="_Toc13211206"/>
      <w:bookmarkStart w:id="2070" w:name="_Toc536796850"/>
      <w:bookmarkStart w:id="2071" w:name="_Toc536620100"/>
      <w:bookmarkStart w:id="2072" w:name="_Toc13210772"/>
      <w:bookmarkStart w:id="2073" w:name="_Toc13211764"/>
      <w:bookmarkStart w:id="2074" w:name="_Toc536628344"/>
      <w:bookmarkStart w:id="2075" w:name="_Toc536621880"/>
      <w:bookmarkStart w:id="2076" w:name="_Toc536796986"/>
      <w:bookmarkStart w:id="2077" w:name="_Toc536797390"/>
      <w:bookmarkStart w:id="2078" w:name="_Toc536797121"/>
      <w:bookmarkStart w:id="2079" w:name="_Toc536619968"/>
      <w:bookmarkStart w:id="2080" w:name="_Toc536797255"/>
      <w:bookmarkStart w:id="2081" w:name="_Toc534185826"/>
    </w:p>
    <w:bookmarkEnd w:id="2068"/>
    <w:p>
      <w:pPr>
        <w:rPr>
          <w:color w:val="auto"/>
          <w:highlight w:val="none"/>
        </w:rPr>
      </w:pPr>
      <w:r>
        <w:rPr>
          <w:color w:val="auto"/>
          <w:highlight w:val="none"/>
        </w:rPr>
        <w:br w:type="page"/>
      </w:r>
      <w:bookmarkEnd w:id="2069"/>
      <w:bookmarkEnd w:id="2070"/>
      <w:bookmarkEnd w:id="2071"/>
      <w:bookmarkEnd w:id="2072"/>
      <w:bookmarkEnd w:id="2073"/>
      <w:bookmarkEnd w:id="2074"/>
      <w:bookmarkEnd w:id="2075"/>
      <w:bookmarkEnd w:id="2076"/>
      <w:bookmarkEnd w:id="2077"/>
      <w:bookmarkEnd w:id="2078"/>
      <w:bookmarkEnd w:id="2079"/>
      <w:bookmarkEnd w:id="2080"/>
      <w:bookmarkEnd w:id="2081"/>
    </w:p>
    <w:p>
      <w:pPr>
        <w:pStyle w:val="3"/>
        <w:spacing w:line="360" w:lineRule="auto"/>
        <w:jc w:val="center"/>
        <w:rPr>
          <w:rFonts w:ascii="宋体" w:hAnsi="宋体"/>
          <w:color w:val="auto"/>
          <w:highlight w:val="none"/>
        </w:rPr>
      </w:pPr>
      <w:bookmarkStart w:id="2082" w:name="招标文件07章技术标准和要求"/>
      <w:bookmarkEnd w:id="2082"/>
      <w:bookmarkStart w:id="2083" w:name="_Toc13619"/>
      <w:bookmarkStart w:id="2084" w:name="_Toc1665"/>
      <w:bookmarkStart w:id="2085" w:name="_Toc29667"/>
      <w:bookmarkStart w:id="2086" w:name="_Toc26795"/>
      <w:r>
        <w:rPr>
          <w:rFonts w:ascii="宋体" w:hAnsi="宋体"/>
          <w:color w:val="auto"/>
          <w:highlight w:val="none"/>
        </w:rPr>
        <w:t>第七章</w:t>
      </w:r>
      <w:r>
        <w:rPr>
          <w:rFonts w:hint="eastAsia" w:ascii="宋体" w:hAnsi="宋体"/>
          <w:color w:val="auto"/>
          <w:highlight w:val="none"/>
        </w:rPr>
        <w:t xml:space="preserve">  </w:t>
      </w:r>
      <w:r>
        <w:rPr>
          <w:rFonts w:ascii="宋体" w:hAnsi="宋体"/>
          <w:color w:val="auto"/>
          <w:highlight w:val="none"/>
        </w:rPr>
        <w:t>技术标准和要求</w:t>
      </w:r>
      <w:bookmarkEnd w:id="2083"/>
      <w:bookmarkEnd w:id="2084"/>
      <w:bookmarkEnd w:id="2085"/>
      <w:bookmarkEnd w:id="2086"/>
      <w:bookmarkStart w:id="2087" w:name="招标文件07章技术标准和要求01"/>
      <w:bookmarkEnd w:id="2087"/>
      <w:bookmarkStart w:id="2088" w:name="_Toc287620808"/>
      <w:bookmarkStart w:id="2089" w:name="_Toc430530524"/>
    </w:p>
    <w:bookmarkEnd w:id="2088"/>
    <w:bookmarkEnd w:id="2089"/>
    <w:p>
      <w:pPr>
        <w:spacing w:line="360" w:lineRule="auto"/>
        <w:jc w:val="center"/>
        <w:rPr>
          <w:rStyle w:val="54"/>
          <w:color w:val="auto"/>
          <w:highlight w:val="none"/>
        </w:rPr>
      </w:pPr>
      <w:r>
        <w:rPr>
          <w:rFonts w:ascii="宋体" w:hAnsi="宋体"/>
          <w:color w:val="auto"/>
          <w:szCs w:val="21"/>
          <w:highlight w:val="none"/>
        </w:rPr>
        <w:t>由招标人根据招标项目的实际情况编写</w:t>
      </w:r>
      <w:r>
        <w:rPr>
          <w:rFonts w:hint="eastAsia" w:ascii="宋体" w:hAnsi="宋体"/>
          <w:color w:val="auto"/>
          <w:szCs w:val="21"/>
          <w:highlight w:val="none"/>
        </w:rPr>
        <w:t>（如有）。</w:t>
      </w:r>
    </w:p>
    <w:p>
      <w:pPr>
        <w:spacing w:line="360" w:lineRule="auto"/>
        <w:rPr>
          <w:rFonts w:ascii="宋体" w:hAnsi="宋体"/>
          <w:color w:val="auto"/>
          <w:highlight w:val="none"/>
        </w:rPr>
      </w:pPr>
      <w:r>
        <w:rPr>
          <w:rFonts w:ascii="宋体" w:hAnsi="宋体"/>
          <w:color w:val="auto"/>
          <w:highlight w:val="none"/>
        </w:rPr>
        <w:br w:type="page"/>
      </w:r>
    </w:p>
    <w:p>
      <w:pPr>
        <w:pStyle w:val="3"/>
        <w:spacing w:before="0" w:after="0" w:line="360" w:lineRule="auto"/>
        <w:jc w:val="center"/>
        <w:rPr>
          <w:rFonts w:ascii="宋体" w:hAnsi="宋体"/>
          <w:color w:val="auto"/>
          <w:sz w:val="52"/>
          <w:szCs w:val="52"/>
          <w:highlight w:val="none"/>
        </w:rPr>
      </w:pPr>
      <w:bookmarkStart w:id="2090" w:name="_Toc22310"/>
      <w:bookmarkStart w:id="2091" w:name="_Toc10223"/>
      <w:bookmarkStart w:id="2092" w:name="_Toc509218849"/>
      <w:bookmarkStart w:id="2093" w:name="_Toc20075"/>
      <w:bookmarkStart w:id="2094" w:name="_Toc26973"/>
      <w:bookmarkStart w:id="2095" w:name="_Toc534185827"/>
      <w:r>
        <w:rPr>
          <w:rFonts w:ascii="宋体" w:hAnsi="宋体"/>
          <w:color w:val="auto"/>
          <w:sz w:val="52"/>
          <w:szCs w:val="52"/>
          <w:highlight w:val="none"/>
        </w:rPr>
        <w:t>第 四 卷</w:t>
      </w:r>
      <w:bookmarkEnd w:id="2090"/>
      <w:bookmarkEnd w:id="2091"/>
      <w:bookmarkEnd w:id="2092"/>
      <w:bookmarkEnd w:id="2093"/>
      <w:bookmarkEnd w:id="2094"/>
      <w:bookmarkEnd w:id="2095"/>
      <w:bookmarkStart w:id="2096" w:name="_Toc536620102"/>
      <w:bookmarkStart w:id="2097" w:name="_Toc536797258"/>
      <w:bookmarkStart w:id="2098" w:name="_Toc536628347"/>
      <w:bookmarkStart w:id="2099" w:name="_Toc536796853"/>
      <w:bookmarkStart w:id="2100" w:name="_Toc536619970"/>
      <w:bookmarkStart w:id="2101" w:name="_Toc534185828"/>
      <w:bookmarkStart w:id="2102" w:name="_Toc13211209"/>
      <w:bookmarkStart w:id="2103" w:name="_Toc536796989"/>
      <w:bookmarkStart w:id="2104" w:name="_Toc13210775"/>
      <w:bookmarkStart w:id="2105" w:name="_Toc536797393"/>
      <w:bookmarkStart w:id="2106" w:name="_Toc536797124"/>
      <w:bookmarkStart w:id="2107" w:name="_Toc509218850"/>
      <w:bookmarkStart w:id="2108" w:name="_Toc13211767"/>
      <w:bookmarkStart w:id="2109" w:name="_Toc536621883"/>
    </w:p>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p>
      <w:pPr>
        <w:rPr>
          <w:color w:val="auto"/>
          <w:highlight w:val="none"/>
        </w:rPr>
      </w:pPr>
      <w:r>
        <w:rPr>
          <w:color w:val="auto"/>
          <w:highlight w:val="none"/>
        </w:rPr>
        <w:br w:type="page"/>
      </w:r>
      <w:bookmarkStart w:id="2110" w:name="招标文件08章投标文件格式"/>
      <w:bookmarkEnd w:id="2110"/>
      <w:bookmarkStart w:id="2111" w:name="_Toc287620812"/>
      <w:bookmarkStart w:id="2112" w:name="_Toc287607865"/>
    </w:p>
    <w:p>
      <w:pPr>
        <w:pStyle w:val="3"/>
        <w:spacing w:line="360" w:lineRule="auto"/>
        <w:jc w:val="center"/>
        <w:rPr>
          <w:rFonts w:ascii="宋体" w:hAnsi="宋体"/>
          <w:color w:val="auto"/>
          <w:highlight w:val="none"/>
        </w:rPr>
      </w:pPr>
      <w:bookmarkStart w:id="2113" w:name="_Toc430530528"/>
      <w:bookmarkStart w:id="2114" w:name="_Toc28758"/>
      <w:bookmarkStart w:id="2115" w:name="_Toc14257"/>
      <w:bookmarkStart w:id="2116" w:name="_Toc534185829"/>
      <w:bookmarkStart w:id="2117" w:name="_Toc30920"/>
      <w:bookmarkStart w:id="2118" w:name="_Toc509218852"/>
      <w:bookmarkStart w:id="2119" w:name="_Toc13963"/>
      <w:r>
        <w:rPr>
          <w:rFonts w:hint="eastAsia" w:ascii="宋体" w:hAnsi="宋体"/>
          <w:color w:val="auto"/>
          <w:highlight w:val="none"/>
        </w:rPr>
        <w:t>第八章  投标文件格式</w:t>
      </w:r>
      <w:bookmarkEnd w:id="2111"/>
      <w:bookmarkEnd w:id="2112"/>
      <w:bookmarkEnd w:id="2113"/>
      <w:bookmarkEnd w:id="2114"/>
      <w:bookmarkEnd w:id="2115"/>
      <w:bookmarkEnd w:id="2116"/>
      <w:bookmarkEnd w:id="2117"/>
      <w:bookmarkEnd w:id="2118"/>
      <w:bookmarkEnd w:id="2119"/>
    </w:p>
    <w:p>
      <w:pPr>
        <w:spacing w:line="360" w:lineRule="auto"/>
        <w:rPr>
          <w:rFonts w:ascii="宋体" w:hAnsi="宋体"/>
          <w:color w:val="auto"/>
          <w:sz w:val="32"/>
          <w:szCs w:val="32"/>
          <w:highlight w:val="none"/>
        </w:rPr>
      </w:pPr>
    </w:p>
    <w:p>
      <w:pPr>
        <w:spacing w:line="360" w:lineRule="auto"/>
        <w:jc w:val="center"/>
        <w:outlineLvl w:val="0"/>
        <w:rPr>
          <w:rFonts w:ascii="宋体" w:hAnsi="宋体"/>
          <w:color w:val="auto"/>
          <w:sz w:val="36"/>
          <w:szCs w:val="36"/>
          <w:highlight w:val="none"/>
        </w:rPr>
      </w:pPr>
      <w:r>
        <w:rPr>
          <w:rFonts w:ascii="宋体" w:hAnsi="宋体"/>
          <w:color w:val="auto"/>
          <w:szCs w:val="20"/>
          <w:highlight w:val="none"/>
        </w:rPr>
        <w:br w:type="page"/>
      </w:r>
      <w:bookmarkStart w:id="2120" w:name="_Toc6622"/>
      <w:bookmarkStart w:id="2121" w:name="_Toc224103493"/>
      <w:bookmarkStart w:id="2122" w:name="_Toc13566"/>
      <w:bookmarkStart w:id="2123" w:name="_Toc10813"/>
      <w:bookmarkStart w:id="2124" w:name="_Toc15148"/>
      <w:bookmarkStart w:id="2125" w:name="_Toc10612"/>
      <w:r>
        <w:rPr>
          <w:rFonts w:hint="eastAsia" w:ascii="宋体" w:hAnsi="宋体"/>
          <w:color w:val="auto"/>
          <w:sz w:val="36"/>
          <w:szCs w:val="36"/>
          <w:highlight w:val="none"/>
        </w:rPr>
        <w:t>目  录</w:t>
      </w:r>
      <w:bookmarkEnd w:id="2120"/>
      <w:bookmarkEnd w:id="2121"/>
      <w:bookmarkEnd w:id="2122"/>
      <w:bookmarkEnd w:id="2123"/>
      <w:bookmarkEnd w:id="2124"/>
      <w:bookmarkEnd w:id="2125"/>
    </w:p>
    <w:p>
      <w:pPr>
        <w:spacing w:line="360" w:lineRule="auto"/>
        <w:jc w:val="center"/>
        <w:rPr>
          <w:rFonts w:ascii="宋体" w:hAnsi="宋体"/>
          <w:color w:val="auto"/>
          <w:szCs w:val="20"/>
          <w:highlight w:val="none"/>
        </w:rPr>
      </w:pPr>
    </w:p>
    <w:p>
      <w:pPr>
        <w:spacing w:line="360" w:lineRule="auto"/>
        <w:outlineLvl w:val="0"/>
        <w:rPr>
          <w:rFonts w:ascii="宋体" w:hAnsi="宋体"/>
          <w:b/>
          <w:color w:val="auto"/>
          <w:highlight w:val="none"/>
        </w:rPr>
      </w:pPr>
      <w:bookmarkStart w:id="2126" w:name="_Toc3931"/>
      <w:bookmarkStart w:id="2127" w:name="_Toc18734"/>
      <w:bookmarkStart w:id="2128" w:name="_Toc27393"/>
      <w:bookmarkStart w:id="2129" w:name="_Toc25399"/>
      <w:bookmarkStart w:id="2130" w:name="_Toc6879"/>
      <w:r>
        <w:rPr>
          <w:rFonts w:hint="eastAsia" w:ascii="宋体" w:hAnsi="宋体"/>
          <w:b/>
          <w:color w:val="auto"/>
          <w:highlight w:val="none"/>
        </w:rPr>
        <w:t>一</w:t>
      </w:r>
      <w:r>
        <w:rPr>
          <w:rFonts w:ascii="宋体" w:hAnsi="宋体"/>
          <w:b/>
          <w:color w:val="auto"/>
          <w:highlight w:val="none"/>
        </w:rPr>
        <w:t>、投标函部分</w:t>
      </w:r>
      <w:bookmarkEnd w:id="2126"/>
      <w:bookmarkEnd w:id="2127"/>
      <w:bookmarkEnd w:id="2128"/>
      <w:bookmarkEnd w:id="2129"/>
      <w:bookmarkEnd w:id="2130"/>
    </w:p>
    <w:p>
      <w:pPr>
        <w:spacing w:line="360" w:lineRule="auto"/>
        <w:ind w:firstLine="420" w:firstLineChars="200"/>
        <w:rPr>
          <w:rFonts w:ascii="宋体" w:hAnsi="宋体"/>
          <w:color w:val="auto"/>
          <w:highlight w:val="none"/>
        </w:rPr>
      </w:pPr>
      <w:r>
        <w:rPr>
          <w:rFonts w:ascii="宋体" w:hAnsi="宋体"/>
          <w:color w:val="auto"/>
          <w:highlight w:val="none"/>
        </w:rPr>
        <w:t>（一）投标函</w:t>
      </w:r>
    </w:p>
    <w:p>
      <w:pPr>
        <w:spacing w:line="360" w:lineRule="auto"/>
        <w:ind w:firstLine="420" w:firstLineChars="200"/>
        <w:rPr>
          <w:rFonts w:ascii="宋体" w:hAnsi="宋体"/>
          <w:color w:val="auto"/>
          <w:highlight w:val="none"/>
        </w:rPr>
      </w:pPr>
      <w:r>
        <w:rPr>
          <w:rFonts w:ascii="宋体" w:hAnsi="宋体"/>
          <w:color w:val="auto"/>
          <w:highlight w:val="none"/>
        </w:rPr>
        <w:t>（二）投标函附录</w:t>
      </w:r>
    </w:p>
    <w:p>
      <w:pPr>
        <w:spacing w:line="360" w:lineRule="auto"/>
        <w:ind w:firstLine="420" w:firstLineChars="200"/>
        <w:rPr>
          <w:rFonts w:ascii="宋体" w:hAnsi="宋体"/>
          <w:color w:val="auto"/>
          <w:highlight w:val="none"/>
        </w:rPr>
      </w:pPr>
      <w:r>
        <w:rPr>
          <w:rFonts w:ascii="宋体" w:hAnsi="宋体"/>
          <w:color w:val="auto"/>
          <w:highlight w:val="none"/>
        </w:rPr>
        <w:t>（三）</w:t>
      </w:r>
      <w:r>
        <w:rPr>
          <w:rFonts w:hint="eastAsia" w:ascii="宋体" w:hAnsi="宋体"/>
          <w:color w:val="auto"/>
          <w:highlight w:val="none"/>
        </w:rPr>
        <w:t>法定代表人身份证明或授权委托书</w:t>
      </w:r>
    </w:p>
    <w:p>
      <w:pPr>
        <w:spacing w:line="360" w:lineRule="auto"/>
        <w:ind w:firstLine="420" w:firstLineChars="200"/>
        <w:rPr>
          <w:rFonts w:ascii="宋体" w:hAnsi="宋体"/>
          <w:color w:val="auto"/>
          <w:highlight w:val="none"/>
        </w:rPr>
      </w:pPr>
      <w:r>
        <w:rPr>
          <w:rFonts w:ascii="宋体" w:hAnsi="宋体"/>
          <w:color w:val="auto"/>
          <w:highlight w:val="none"/>
        </w:rPr>
        <w:t>（四）</w:t>
      </w:r>
      <w:r>
        <w:rPr>
          <w:rFonts w:hint="eastAsia" w:ascii="宋体" w:hAnsi="宋体"/>
          <w:lang w:val="en-US" w:eastAsia="zh-CN"/>
        </w:rPr>
        <w:t>投标报价合理性说明</w:t>
      </w:r>
      <w:r>
        <w:rPr>
          <w:rFonts w:hint="eastAsia" w:ascii="宋体" w:hAnsi="宋体"/>
          <w:color w:val="auto"/>
          <w:highlight w:val="none"/>
        </w:rPr>
        <w:t>（如有）</w:t>
      </w:r>
    </w:p>
    <w:p>
      <w:pPr>
        <w:spacing w:line="360" w:lineRule="auto"/>
        <w:outlineLvl w:val="0"/>
        <w:rPr>
          <w:rFonts w:ascii="宋体" w:hAnsi="宋体"/>
          <w:b/>
          <w:color w:val="auto"/>
          <w:highlight w:val="none"/>
        </w:rPr>
      </w:pPr>
      <w:bookmarkStart w:id="2131" w:name="_Toc17553"/>
      <w:bookmarkStart w:id="2132" w:name="_Toc30258"/>
      <w:bookmarkStart w:id="2133" w:name="_Toc9368"/>
      <w:bookmarkStart w:id="2134" w:name="_Toc29557"/>
      <w:bookmarkStart w:id="2135" w:name="_Toc29834"/>
      <w:r>
        <w:rPr>
          <w:rFonts w:hint="eastAsia" w:ascii="宋体" w:hAnsi="宋体"/>
          <w:b/>
          <w:color w:val="auto"/>
          <w:highlight w:val="none"/>
        </w:rPr>
        <w:t>二</w:t>
      </w:r>
      <w:r>
        <w:rPr>
          <w:rFonts w:ascii="宋体" w:hAnsi="宋体"/>
          <w:b/>
          <w:color w:val="auto"/>
          <w:highlight w:val="none"/>
        </w:rPr>
        <w:t>、</w:t>
      </w:r>
      <w:r>
        <w:rPr>
          <w:rFonts w:hint="eastAsia" w:ascii="宋体" w:hAnsi="宋体"/>
          <w:b/>
          <w:color w:val="auto"/>
          <w:highlight w:val="none"/>
          <w:lang w:val="en-US" w:eastAsia="zh-CN"/>
        </w:rPr>
        <w:t>报价</w:t>
      </w:r>
      <w:r>
        <w:rPr>
          <w:rFonts w:ascii="宋体" w:hAnsi="宋体"/>
          <w:b/>
          <w:color w:val="auto"/>
          <w:highlight w:val="none"/>
        </w:rPr>
        <w:t>部分</w:t>
      </w:r>
      <w:bookmarkEnd w:id="2131"/>
      <w:bookmarkEnd w:id="2132"/>
      <w:bookmarkEnd w:id="2133"/>
      <w:bookmarkEnd w:id="2134"/>
      <w:bookmarkEnd w:id="2135"/>
    </w:p>
    <w:p>
      <w:pPr>
        <w:spacing w:line="360" w:lineRule="auto"/>
        <w:ind w:firstLine="420" w:firstLineChars="200"/>
        <w:rPr>
          <w:rFonts w:ascii="宋体" w:hAnsi="宋体"/>
          <w:color w:val="auto"/>
          <w:highlight w:val="none"/>
        </w:rPr>
      </w:pPr>
      <w:r>
        <w:rPr>
          <w:rFonts w:ascii="宋体" w:hAnsi="宋体"/>
          <w:color w:val="auto"/>
          <w:highlight w:val="none"/>
        </w:rPr>
        <w:t>已标价工程量清单</w:t>
      </w:r>
    </w:p>
    <w:p>
      <w:pPr>
        <w:spacing w:line="360" w:lineRule="auto"/>
        <w:outlineLvl w:val="0"/>
        <w:rPr>
          <w:color w:val="auto"/>
          <w:highlight w:val="none"/>
        </w:rPr>
      </w:pPr>
      <w:bookmarkStart w:id="2136" w:name="_Toc30540"/>
      <w:bookmarkStart w:id="2137" w:name="_Toc17401"/>
      <w:bookmarkStart w:id="2138" w:name="_Toc20720"/>
      <w:bookmarkStart w:id="2139" w:name="_Toc30570"/>
      <w:r>
        <w:rPr>
          <w:rFonts w:hint="eastAsia" w:ascii="宋体" w:hAnsi="宋体"/>
          <w:b/>
          <w:color w:val="auto"/>
          <w:highlight w:val="none"/>
        </w:rPr>
        <w:t>三</w:t>
      </w:r>
      <w:r>
        <w:rPr>
          <w:rFonts w:ascii="宋体" w:hAnsi="宋体"/>
          <w:b/>
          <w:color w:val="auto"/>
          <w:highlight w:val="none"/>
        </w:rPr>
        <w:t>、</w:t>
      </w:r>
      <w:r>
        <w:rPr>
          <w:rFonts w:hint="eastAsia" w:ascii="宋体" w:hAnsi="宋体"/>
          <w:b/>
          <w:color w:val="auto"/>
          <w:highlight w:val="none"/>
        </w:rPr>
        <w:t>商务</w:t>
      </w:r>
      <w:r>
        <w:rPr>
          <w:rFonts w:ascii="宋体" w:hAnsi="宋体"/>
          <w:b/>
          <w:color w:val="auto"/>
          <w:highlight w:val="none"/>
        </w:rPr>
        <w:t>部分（</w:t>
      </w:r>
      <w:r>
        <w:rPr>
          <w:rFonts w:hint="eastAsia" w:ascii="宋体" w:hAnsi="宋体"/>
          <w:b/>
          <w:color w:val="auto"/>
          <w:highlight w:val="none"/>
          <w:lang w:val="en-US" w:eastAsia="zh-CN"/>
        </w:rPr>
        <w:t>如有</w:t>
      </w:r>
      <w:r>
        <w:rPr>
          <w:rFonts w:ascii="宋体" w:hAnsi="宋体"/>
          <w:b/>
          <w:color w:val="auto"/>
          <w:highlight w:val="none"/>
        </w:rPr>
        <w:t>）</w:t>
      </w:r>
      <w:bookmarkEnd w:id="2136"/>
      <w:bookmarkEnd w:id="2137"/>
      <w:bookmarkEnd w:id="2138"/>
      <w:bookmarkEnd w:id="2139"/>
    </w:p>
    <w:p>
      <w:pPr>
        <w:spacing w:line="360" w:lineRule="auto"/>
        <w:outlineLvl w:val="0"/>
        <w:rPr>
          <w:rFonts w:ascii="宋体" w:hAnsi="宋体"/>
          <w:b/>
          <w:color w:val="auto"/>
          <w:highlight w:val="none"/>
        </w:rPr>
      </w:pPr>
      <w:bookmarkStart w:id="2140" w:name="_Toc23211"/>
      <w:bookmarkStart w:id="2141" w:name="_Toc18427"/>
      <w:bookmarkStart w:id="2142" w:name="_Toc32291"/>
      <w:bookmarkStart w:id="2143" w:name="_Toc12846"/>
      <w:bookmarkStart w:id="2144" w:name="_Toc27495"/>
      <w:r>
        <w:rPr>
          <w:rFonts w:hint="eastAsia" w:ascii="宋体" w:hAnsi="宋体"/>
          <w:b/>
          <w:color w:val="auto"/>
          <w:highlight w:val="none"/>
          <w:lang w:val="en-US" w:eastAsia="zh-CN"/>
        </w:rPr>
        <w:t>四</w:t>
      </w:r>
      <w:r>
        <w:rPr>
          <w:rFonts w:ascii="宋体" w:hAnsi="宋体"/>
          <w:b/>
          <w:color w:val="auto"/>
          <w:highlight w:val="none"/>
        </w:rPr>
        <w:t>、技术部分（</w:t>
      </w:r>
      <w:r>
        <w:rPr>
          <w:rFonts w:hint="eastAsia" w:ascii="宋体" w:hAnsi="宋体"/>
          <w:b/>
          <w:color w:val="auto"/>
          <w:highlight w:val="none"/>
          <w:lang w:val="en-US" w:eastAsia="zh-CN"/>
        </w:rPr>
        <w:t>如有</w:t>
      </w:r>
      <w:r>
        <w:rPr>
          <w:rFonts w:ascii="宋体" w:hAnsi="宋体"/>
          <w:b/>
          <w:color w:val="auto"/>
          <w:highlight w:val="none"/>
        </w:rPr>
        <w:t>）</w:t>
      </w:r>
      <w:bookmarkEnd w:id="2140"/>
      <w:bookmarkEnd w:id="2141"/>
      <w:bookmarkEnd w:id="2142"/>
      <w:bookmarkEnd w:id="2143"/>
      <w:bookmarkEnd w:id="2144"/>
    </w:p>
    <w:p>
      <w:pPr>
        <w:spacing w:line="360" w:lineRule="auto"/>
        <w:outlineLvl w:val="0"/>
        <w:rPr>
          <w:rFonts w:ascii="宋体" w:hAnsi="宋体"/>
          <w:b/>
          <w:color w:val="auto"/>
          <w:highlight w:val="none"/>
        </w:rPr>
      </w:pPr>
      <w:bookmarkStart w:id="2145" w:name="_Toc16357"/>
      <w:bookmarkStart w:id="2146" w:name="_Toc21225"/>
      <w:bookmarkStart w:id="2147" w:name="_Toc29089"/>
      <w:bookmarkStart w:id="2148" w:name="_Toc22328"/>
      <w:bookmarkStart w:id="2149" w:name="_Toc13500"/>
      <w:r>
        <w:rPr>
          <w:rFonts w:hint="eastAsia" w:ascii="宋体" w:hAnsi="宋体"/>
          <w:b/>
          <w:color w:val="auto"/>
          <w:highlight w:val="none"/>
          <w:lang w:val="en-US" w:eastAsia="zh-CN"/>
        </w:rPr>
        <w:t>五</w:t>
      </w:r>
      <w:r>
        <w:rPr>
          <w:rFonts w:ascii="宋体" w:hAnsi="宋体"/>
          <w:b/>
          <w:color w:val="auto"/>
          <w:highlight w:val="none"/>
        </w:rPr>
        <w:t>、</w:t>
      </w:r>
      <w:r>
        <w:rPr>
          <w:rFonts w:hint="eastAsia" w:ascii="宋体" w:hAnsi="宋体"/>
          <w:b/>
          <w:color w:val="auto"/>
          <w:highlight w:val="none"/>
        </w:rPr>
        <w:t>资格审查部分</w:t>
      </w:r>
      <w:bookmarkEnd w:id="2145"/>
      <w:bookmarkEnd w:id="2146"/>
      <w:bookmarkEnd w:id="2147"/>
      <w:bookmarkEnd w:id="2148"/>
      <w:bookmarkEnd w:id="2149"/>
    </w:p>
    <w:p>
      <w:pPr>
        <w:spacing w:line="360" w:lineRule="auto"/>
        <w:ind w:firstLine="420" w:firstLineChars="200"/>
        <w:rPr>
          <w:rFonts w:ascii="宋体" w:hAnsi="宋体"/>
          <w:color w:val="auto"/>
          <w:highlight w:val="none"/>
        </w:rPr>
      </w:pPr>
      <w:r>
        <w:rPr>
          <w:rFonts w:ascii="宋体" w:hAnsi="宋体"/>
          <w:color w:val="auto"/>
          <w:highlight w:val="none"/>
        </w:rPr>
        <w:t>（一）</w:t>
      </w:r>
      <w:r>
        <w:rPr>
          <w:rFonts w:hint="eastAsia" w:ascii="宋体" w:hAnsi="宋体"/>
          <w:color w:val="auto"/>
          <w:highlight w:val="none"/>
        </w:rPr>
        <w:t>法定代表人身份证明或授权委托书</w:t>
      </w:r>
    </w:p>
    <w:p>
      <w:pPr>
        <w:spacing w:line="360" w:lineRule="auto"/>
        <w:ind w:firstLine="420" w:firstLineChars="200"/>
        <w:rPr>
          <w:rFonts w:ascii="宋体" w:hAnsi="宋体"/>
          <w:color w:val="auto"/>
          <w:highlight w:val="none"/>
        </w:rPr>
      </w:pPr>
      <w:r>
        <w:rPr>
          <w:rFonts w:ascii="宋体" w:hAnsi="宋体"/>
          <w:color w:val="auto"/>
          <w:highlight w:val="none"/>
        </w:rPr>
        <w:t>（二）</w:t>
      </w:r>
      <w:r>
        <w:rPr>
          <w:rFonts w:hint="eastAsia" w:ascii="宋体" w:hAnsi="宋体"/>
          <w:color w:val="auto"/>
          <w:highlight w:val="none"/>
          <w:lang w:eastAsia="zh-CN"/>
        </w:rPr>
        <w:t>共同投标协议</w:t>
      </w:r>
      <w:r>
        <w:rPr>
          <w:rFonts w:hint="eastAsia" w:ascii="宋体" w:hAnsi="宋体"/>
          <w:color w:val="auto"/>
          <w:highlight w:val="none"/>
        </w:rPr>
        <w:t>（如有）</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w:t>
      </w:r>
      <w:r>
        <w:rPr>
          <w:rFonts w:hint="eastAsia" w:ascii="宋体" w:hAnsi="宋体"/>
          <w:color w:val="auto"/>
          <w:highlight w:val="none"/>
        </w:rPr>
        <w:t>承诺</w:t>
      </w:r>
    </w:p>
    <w:p>
      <w:pPr>
        <w:spacing w:line="360" w:lineRule="auto"/>
        <w:ind w:firstLine="420" w:firstLineChars="200"/>
        <w:rPr>
          <w:rFonts w:hint="eastAsia" w:ascii="宋体" w:hAnsi="宋体"/>
        </w:rPr>
      </w:pPr>
      <w:r>
        <w:rPr>
          <w:rFonts w:ascii="宋体" w:hAnsi="宋体"/>
          <w:color w:val="auto"/>
          <w:highlight w:val="none"/>
        </w:rPr>
        <w:t>（</w:t>
      </w:r>
      <w:r>
        <w:rPr>
          <w:rFonts w:hint="eastAsia" w:ascii="宋体" w:hAnsi="宋体"/>
          <w:color w:val="auto"/>
          <w:highlight w:val="none"/>
          <w:lang w:val="en-US" w:eastAsia="zh-CN"/>
        </w:rPr>
        <w:t>四</w:t>
      </w:r>
      <w:r>
        <w:rPr>
          <w:rFonts w:ascii="宋体" w:hAnsi="宋体"/>
          <w:color w:val="auto"/>
          <w:highlight w:val="none"/>
        </w:rPr>
        <w:t>）其他资料</w:t>
      </w:r>
    </w:p>
    <w:p>
      <w:pPr>
        <w:autoSpaceDE w:val="0"/>
        <w:autoSpaceDN w:val="0"/>
        <w:adjustRightInd w:val="0"/>
        <w:spacing w:line="276" w:lineRule="auto"/>
        <w:ind w:right="-23"/>
        <w:jc w:val="left"/>
        <w:rPr>
          <w:rFonts w:ascii="宋体" w:hAnsi="宋体"/>
          <w:color w:val="auto"/>
          <w:kern w:val="0"/>
          <w:szCs w:val="21"/>
          <w:highlight w:val="none"/>
          <w:u w:val="single"/>
        </w:rPr>
      </w:pPr>
      <w:r>
        <w:rPr>
          <w:rFonts w:ascii="宋体" w:hAnsi="宋体"/>
          <w:b/>
          <w:color w:val="auto"/>
          <w:kern w:val="0"/>
          <w:sz w:val="24"/>
          <w:highlight w:val="none"/>
        </w:rPr>
        <w:br w:type="page"/>
      </w:r>
      <w:bookmarkStart w:id="2150" w:name="_Toc287620813"/>
      <w:bookmarkStart w:id="2151" w:name="_Toc287607866"/>
      <w:bookmarkStart w:id="2152" w:name="_Toc224103494"/>
      <w:bookmarkStart w:id="2153" w:name="_Toc277082642"/>
      <w:bookmarkStart w:id="2154" w:name="_Toc430530529"/>
    </w:p>
    <w:p>
      <w:pPr>
        <w:pStyle w:val="4"/>
        <w:spacing w:line="360" w:lineRule="auto"/>
        <w:jc w:val="center"/>
        <w:outlineLvl w:val="0"/>
        <w:rPr>
          <w:rFonts w:ascii="宋体" w:hAnsi="宋体"/>
          <w:b w:val="0"/>
          <w:bCs w:val="0"/>
          <w:color w:val="auto"/>
          <w:sz w:val="44"/>
          <w:szCs w:val="44"/>
          <w:highlight w:val="none"/>
        </w:rPr>
      </w:pPr>
      <w:bookmarkStart w:id="2155" w:name="_Toc22442"/>
      <w:bookmarkStart w:id="2156" w:name="_Toc9391"/>
      <w:bookmarkStart w:id="2157" w:name="_Toc28912"/>
      <w:bookmarkStart w:id="2158" w:name="_Toc21162"/>
      <w:r>
        <w:rPr>
          <w:rFonts w:hint="eastAsia" w:ascii="宋体" w:hAnsi="宋体"/>
          <w:b w:val="0"/>
          <w:bCs w:val="0"/>
          <w:color w:val="auto"/>
          <w:sz w:val="44"/>
          <w:szCs w:val="44"/>
          <w:highlight w:val="none"/>
        </w:rPr>
        <w:t>一、投标函部分</w:t>
      </w:r>
      <w:bookmarkEnd w:id="2150"/>
      <w:bookmarkEnd w:id="2151"/>
      <w:bookmarkEnd w:id="2152"/>
      <w:bookmarkEnd w:id="2153"/>
      <w:bookmarkEnd w:id="2154"/>
      <w:bookmarkEnd w:id="2155"/>
      <w:bookmarkEnd w:id="2156"/>
      <w:bookmarkEnd w:id="2157"/>
      <w:bookmarkEnd w:id="2158"/>
    </w:p>
    <w:p>
      <w:pPr>
        <w:tabs>
          <w:tab w:val="left" w:pos="2580"/>
          <w:tab w:val="left" w:pos="5940"/>
        </w:tabs>
        <w:autoSpaceDE w:val="0"/>
        <w:autoSpaceDN w:val="0"/>
        <w:adjustRightInd w:val="0"/>
        <w:snapToGrid w:val="0"/>
        <w:spacing w:line="360" w:lineRule="auto"/>
        <w:jc w:val="left"/>
        <w:rPr>
          <w:rFonts w:ascii="宋体" w:hAnsi="宋体"/>
          <w:color w:val="auto"/>
          <w:kern w:val="0"/>
          <w:sz w:val="28"/>
          <w:szCs w:val="28"/>
          <w:highlight w:val="none"/>
          <w:u w:val="single"/>
        </w:rPr>
      </w:pPr>
      <w:r>
        <w:rPr>
          <w:rFonts w:ascii="宋体" w:hAnsi="宋体"/>
          <w:color w:val="auto"/>
          <w:kern w:val="0"/>
          <w:sz w:val="28"/>
          <w:szCs w:val="28"/>
          <w:highlight w:val="none"/>
          <w:u w:val="singl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outlineLvl w:val="0"/>
        <w:rPr>
          <w:rFonts w:ascii="宋体" w:hAnsi="宋体"/>
          <w:color w:val="auto"/>
          <w:kern w:val="0"/>
          <w:sz w:val="36"/>
          <w:szCs w:val="36"/>
          <w:highlight w:val="none"/>
        </w:rPr>
      </w:pPr>
      <w:bookmarkStart w:id="2159" w:name="_Toc28209"/>
      <w:bookmarkStart w:id="2160" w:name="_Toc23080"/>
      <w:bookmarkStart w:id="2161" w:name="_Toc23402"/>
      <w:bookmarkStart w:id="2162" w:name="_Toc13317"/>
      <w:bookmarkStart w:id="2163" w:name="_Toc14558"/>
      <w:r>
        <w:rPr>
          <w:rFonts w:hint="eastAsia" w:ascii="宋体" w:hAnsi="宋体"/>
          <w:color w:val="auto"/>
          <w:kern w:val="0"/>
          <w:sz w:val="36"/>
          <w:szCs w:val="36"/>
          <w:highlight w:val="none"/>
        </w:rPr>
        <w:t>投标函部分</w:t>
      </w:r>
      <w:bookmarkEnd w:id="2159"/>
      <w:bookmarkEnd w:id="2160"/>
      <w:bookmarkEnd w:id="2161"/>
      <w:bookmarkEnd w:id="2162"/>
      <w:bookmarkEnd w:id="2163"/>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autoSpaceDE w:val="0"/>
        <w:autoSpaceDN w:val="0"/>
        <w:adjustRightInd w:val="0"/>
        <w:snapToGrid w:val="0"/>
        <w:spacing w:line="360" w:lineRule="auto"/>
        <w:jc w:val="center"/>
        <w:rPr>
          <w:rFonts w:ascii="宋体" w:hAnsi="宋体"/>
          <w:color w:val="auto"/>
          <w:kern w:val="0"/>
          <w:sz w:val="24"/>
          <w:szCs w:val="21"/>
          <w:highlight w:val="none"/>
        </w:rPr>
      </w:pP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日</w:t>
      </w:r>
      <w:r>
        <w:rPr>
          <w:rFonts w:ascii="宋体" w:hAnsi="宋体"/>
          <w:color w:val="auto"/>
          <w:kern w:val="0"/>
          <w:sz w:val="24"/>
          <w:szCs w:val="21"/>
          <w:highlight w:val="none"/>
        </w:rPr>
        <w:br w:type="page"/>
      </w:r>
    </w:p>
    <w:p>
      <w:pPr>
        <w:autoSpaceDE w:val="0"/>
        <w:autoSpaceDN w:val="0"/>
        <w:adjustRightInd w:val="0"/>
        <w:snapToGrid w:val="0"/>
        <w:spacing w:line="360" w:lineRule="auto"/>
        <w:jc w:val="center"/>
        <w:outlineLvl w:val="0"/>
        <w:rPr>
          <w:rFonts w:ascii="宋体" w:hAnsi="宋体"/>
          <w:color w:val="auto"/>
          <w:kern w:val="0"/>
          <w:sz w:val="36"/>
          <w:szCs w:val="36"/>
          <w:highlight w:val="none"/>
        </w:rPr>
      </w:pPr>
      <w:bookmarkStart w:id="2164" w:name="_Toc32413"/>
      <w:bookmarkStart w:id="2165" w:name="_Toc18366"/>
      <w:bookmarkStart w:id="2166" w:name="_Toc31030"/>
      <w:bookmarkStart w:id="2167" w:name="_Toc26446"/>
      <w:bookmarkStart w:id="2168" w:name="_Toc13403"/>
      <w:r>
        <w:rPr>
          <w:rFonts w:hint="eastAsia" w:ascii="宋体" w:hAnsi="宋体"/>
          <w:color w:val="auto"/>
          <w:kern w:val="0"/>
          <w:sz w:val="36"/>
          <w:szCs w:val="36"/>
          <w:highlight w:val="none"/>
        </w:rPr>
        <w:t>目  录</w:t>
      </w:r>
      <w:bookmarkEnd w:id="2164"/>
      <w:bookmarkEnd w:id="2165"/>
      <w:bookmarkEnd w:id="2166"/>
      <w:bookmarkEnd w:id="2167"/>
      <w:bookmarkEnd w:id="2168"/>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pacing w:line="360" w:lineRule="auto"/>
        <w:ind w:firstLine="480" w:firstLineChars="200"/>
        <w:jc w:val="left"/>
        <w:outlineLvl w:val="0"/>
        <w:rPr>
          <w:rFonts w:ascii="宋体" w:hAnsi="宋体"/>
          <w:color w:val="auto"/>
          <w:kern w:val="0"/>
          <w:sz w:val="24"/>
          <w:highlight w:val="none"/>
        </w:rPr>
      </w:pPr>
      <w:bookmarkStart w:id="2169" w:name="_Toc28939"/>
      <w:bookmarkStart w:id="2170" w:name="_Toc28737"/>
      <w:bookmarkStart w:id="2171" w:name="_Toc13288"/>
      <w:bookmarkStart w:id="2172" w:name="_Toc21295"/>
      <w:bookmarkStart w:id="2173" w:name="_Toc4117"/>
      <w:r>
        <w:rPr>
          <w:rFonts w:ascii="宋体" w:hAnsi="宋体"/>
          <w:color w:val="auto"/>
          <w:kern w:val="0"/>
          <w:sz w:val="24"/>
          <w:highlight w:val="none"/>
        </w:rPr>
        <w:t>（一）投标函</w:t>
      </w:r>
      <w:bookmarkEnd w:id="2169"/>
      <w:bookmarkEnd w:id="2170"/>
      <w:bookmarkEnd w:id="2171"/>
      <w:bookmarkEnd w:id="2172"/>
      <w:bookmarkEnd w:id="2173"/>
    </w:p>
    <w:p>
      <w:pPr>
        <w:autoSpaceDE w:val="0"/>
        <w:autoSpaceDN w:val="0"/>
        <w:adjustRightInd w:val="0"/>
        <w:spacing w:line="360" w:lineRule="auto"/>
        <w:ind w:firstLine="480" w:firstLineChars="200"/>
        <w:jc w:val="left"/>
        <w:outlineLvl w:val="0"/>
        <w:rPr>
          <w:rFonts w:ascii="宋体" w:hAnsi="宋体"/>
          <w:color w:val="auto"/>
          <w:kern w:val="0"/>
          <w:sz w:val="24"/>
          <w:highlight w:val="none"/>
        </w:rPr>
      </w:pPr>
      <w:bookmarkStart w:id="2174" w:name="_Toc2831"/>
      <w:bookmarkStart w:id="2175" w:name="_Toc26287"/>
      <w:bookmarkStart w:id="2176" w:name="_Toc13260"/>
      <w:bookmarkStart w:id="2177" w:name="_Toc18462"/>
      <w:bookmarkStart w:id="2178" w:name="_Toc22336"/>
      <w:r>
        <w:rPr>
          <w:rFonts w:ascii="宋体" w:hAnsi="宋体"/>
          <w:color w:val="auto"/>
          <w:kern w:val="0"/>
          <w:sz w:val="24"/>
          <w:highlight w:val="none"/>
        </w:rPr>
        <w:t>（二）投标函附录</w:t>
      </w:r>
      <w:bookmarkEnd w:id="2174"/>
      <w:bookmarkEnd w:id="2175"/>
      <w:bookmarkEnd w:id="2176"/>
      <w:bookmarkEnd w:id="2177"/>
      <w:bookmarkEnd w:id="2178"/>
    </w:p>
    <w:p>
      <w:pPr>
        <w:autoSpaceDE w:val="0"/>
        <w:autoSpaceDN w:val="0"/>
        <w:adjustRightInd w:val="0"/>
        <w:spacing w:line="360" w:lineRule="auto"/>
        <w:ind w:firstLine="480" w:firstLineChars="200"/>
        <w:jc w:val="left"/>
        <w:outlineLvl w:val="0"/>
        <w:rPr>
          <w:rFonts w:ascii="宋体" w:hAnsi="宋体"/>
          <w:color w:val="auto"/>
          <w:kern w:val="0"/>
          <w:sz w:val="24"/>
          <w:highlight w:val="none"/>
        </w:rPr>
      </w:pPr>
      <w:bookmarkStart w:id="2179" w:name="_Toc11116"/>
      <w:bookmarkStart w:id="2180" w:name="_Toc16534"/>
      <w:bookmarkStart w:id="2181" w:name="_Toc9135"/>
      <w:bookmarkStart w:id="2182" w:name="_Toc31919"/>
      <w:bookmarkStart w:id="2183" w:name="_Toc18963"/>
      <w:r>
        <w:rPr>
          <w:rFonts w:ascii="宋体" w:hAnsi="宋体"/>
          <w:color w:val="auto"/>
          <w:kern w:val="0"/>
          <w:sz w:val="24"/>
          <w:highlight w:val="none"/>
        </w:rPr>
        <w:t>（三）</w:t>
      </w:r>
      <w:r>
        <w:rPr>
          <w:rFonts w:hint="eastAsia" w:ascii="宋体" w:hAnsi="宋体"/>
          <w:color w:val="auto"/>
          <w:kern w:val="0"/>
          <w:sz w:val="24"/>
          <w:highlight w:val="none"/>
        </w:rPr>
        <w:t>法定代表人身份证明或授权委托书</w:t>
      </w:r>
      <w:bookmarkEnd w:id="2179"/>
      <w:bookmarkEnd w:id="2180"/>
      <w:bookmarkEnd w:id="2181"/>
      <w:bookmarkEnd w:id="2182"/>
      <w:bookmarkEnd w:id="2183"/>
    </w:p>
    <w:p>
      <w:pPr>
        <w:autoSpaceDE w:val="0"/>
        <w:autoSpaceDN w:val="0"/>
        <w:adjustRightInd w:val="0"/>
        <w:spacing w:line="360" w:lineRule="auto"/>
        <w:ind w:firstLine="480" w:firstLineChars="200"/>
        <w:jc w:val="left"/>
        <w:outlineLvl w:val="0"/>
        <w:rPr>
          <w:rFonts w:ascii="宋体" w:hAnsi="宋体"/>
          <w:color w:val="auto"/>
          <w:kern w:val="0"/>
          <w:sz w:val="24"/>
          <w:highlight w:val="none"/>
        </w:rPr>
      </w:pPr>
      <w:bookmarkStart w:id="2184" w:name="_Toc23178"/>
      <w:bookmarkStart w:id="2185" w:name="_Toc7011"/>
      <w:bookmarkStart w:id="2186" w:name="_Toc15617"/>
      <w:bookmarkStart w:id="2187" w:name="_Toc31996"/>
      <w:bookmarkStart w:id="2188" w:name="_Toc22561"/>
      <w:r>
        <w:rPr>
          <w:rFonts w:ascii="宋体" w:hAnsi="宋体"/>
          <w:color w:val="auto"/>
          <w:kern w:val="0"/>
          <w:sz w:val="24"/>
          <w:highlight w:val="none"/>
        </w:rPr>
        <w:t>（四）</w:t>
      </w:r>
      <w:r>
        <w:rPr>
          <w:rFonts w:hint="eastAsia" w:ascii="宋体" w:hAnsi="宋体"/>
          <w:kern w:val="0"/>
          <w:sz w:val="24"/>
        </w:rPr>
        <w:t>投标报价合理性说明</w:t>
      </w:r>
      <w:r>
        <w:rPr>
          <w:rFonts w:hint="eastAsia" w:ascii="宋体" w:hAnsi="宋体"/>
          <w:color w:val="auto"/>
          <w:kern w:val="0"/>
          <w:sz w:val="24"/>
          <w:highlight w:val="none"/>
        </w:rPr>
        <w:t>（如有）</w:t>
      </w:r>
      <w:bookmarkEnd w:id="2184"/>
      <w:bookmarkEnd w:id="2185"/>
      <w:bookmarkEnd w:id="2186"/>
      <w:bookmarkEnd w:id="2187"/>
      <w:bookmarkEnd w:id="2188"/>
    </w:p>
    <w:p>
      <w:pPr>
        <w:pStyle w:val="5"/>
        <w:spacing w:before="0" w:after="0" w:line="240" w:lineRule="auto"/>
        <w:jc w:val="center"/>
        <w:outlineLvl w:val="0"/>
        <w:rPr>
          <w:rFonts w:ascii="宋体" w:hAnsi="宋体"/>
          <w:b w:val="0"/>
          <w:color w:val="auto"/>
          <w:highlight w:val="none"/>
        </w:rPr>
      </w:pPr>
      <w:bookmarkStart w:id="2189" w:name="_Toc224103495"/>
      <w:bookmarkStart w:id="2190" w:name="_Toc287607867"/>
      <w:bookmarkStart w:id="2191" w:name="_Toc430530530"/>
      <w:bookmarkStart w:id="2192" w:name="_Toc287620814"/>
      <w:bookmarkStart w:id="2193" w:name="_Toc509218854"/>
      <w:bookmarkStart w:id="2194" w:name="_Toc534185831"/>
      <w:bookmarkStart w:id="2195" w:name="_Toc277082643"/>
      <w:r>
        <w:rPr>
          <w:rFonts w:ascii="宋体" w:hAnsi="宋体"/>
          <w:color w:val="auto"/>
          <w:highlight w:val="none"/>
        </w:rPr>
        <w:br w:type="page"/>
      </w:r>
      <w:bookmarkStart w:id="2196" w:name="_Toc7415"/>
      <w:bookmarkStart w:id="2197" w:name="_Toc24503"/>
      <w:bookmarkStart w:id="2198" w:name="_Toc16435"/>
      <w:bookmarkStart w:id="2199" w:name="_Toc21216"/>
      <w:bookmarkStart w:id="2200" w:name="_Toc23963"/>
      <w:bookmarkStart w:id="2201" w:name="_Toc18159"/>
      <w:r>
        <w:rPr>
          <w:rFonts w:hint="eastAsia" w:ascii="宋体" w:hAnsi="宋体"/>
          <w:b w:val="0"/>
          <w:bCs w:val="0"/>
          <w:color w:val="auto"/>
          <w:highlight w:val="none"/>
        </w:rPr>
        <w:t>（一）投标函</w:t>
      </w:r>
      <w:bookmarkEnd w:id="2189"/>
      <w:bookmarkEnd w:id="2190"/>
      <w:bookmarkEnd w:id="2191"/>
      <w:bookmarkEnd w:id="2192"/>
      <w:bookmarkEnd w:id="2193"/>
      <w:bookmarkEnd w:id="2194"/>
      <w:bookmarkEnd w:id="2195"/>
      <w:bookmarkEnd w:id="2196"/>
      <w:bookmarkEnd w:id="2197"/>
      <w:bookmarkEnd w:id="2198"/>
      <w:bookmarkEnd w:id="2199"/>
      <w:bookmarkEnd w:id="2200"/>
      <w:bookmarkEnd w:id="2201"/>
    </w:p>
    <w:p>
      <w:pPr>
        <w:tabs>
          <w:tab w:val="left" w:pos="2640"/>
        </w:tabs>
        <w:autoSpaceDE w:val="0"/>
        <w:autoSpaceDN w:val="0"/>
        <w:adjustRightInd w:val="0"/>
        <w:spacing w:line="400" w:lineRule="exact"/>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（招标人名称）</w:t>
      </w:r>
      <w:r>
        <w:rPr>
          <w:rFonts w:ascii="宋体" w:hAnsi="宋体"/>
          <w:snapToGrid w:val="0"/>
          <w:color w:val="auto"/>
          <w:kern w:val="0"/>
          <w:szCs w:val="21"/>
          <w:highlight w:val="none"/>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我方已仔细研究了</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招标文件的全部内容，愿意以人民币（大写）</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）的投标总报价进行报价，其</w:t>
      </w:r>
      <w:r>
        <w:rPr>
          <w:rFonts w:ascii="宋体" w:hAnsi="宋体"/>
          <w:snapToGrid w:val="0"/>
          <w:color w:val="auto"/>
          <w:kern w:val="0"/>
          <w:szCs w:val="21"/>
          <w:highlight w:val="none"/>
          <w:u w:val="none"/>
        </w:rPr>
        <w:t>中</w:t>
      </w:r>
      <w:r>
        <w:rPr>
          <w:rFonts w:ascii="宋体" w:hAnsi="宋体"/>
          <w:snapToGrid w:val="0"/>
          <w:color w:val="auto"/>
          <w:kern w:val="0"/>
          <w:highlight w:val="none"/>
          <w:u w:val="none"/>
        </w:rPr>
        <w:t>安全</w:t>
      </w:r>
      <w:r>
        <w:rPr>
          <w:rFonts w:hint="eastAsia" w:ascii="宋体" w:hAnsi="宋体"/>
          <w:snapToGrid w:val="0"/>
          <w:color w:val="auto"/>
          <w:kern w:val="0"/>
          <w:highlight w:val="none"/>
          <w:u w:val="none"/>
        </w:rPr>
        <w:t>生产费</w:t>
      </w:r>
      <w:r>
        <w:rPr>
          <w:rFonts w:ascii="宋体" w:hAnsi="宋体"/>
          <w:snapToGrid w:val="0"/>
          <w:color w:val="auto"/>
          <w:kern w:val="0"/>
          <w:highlight w:val="none"/>
        </w:rPr>
        <w:t>金额为人民币</w:t>
      </w:r>
      <w:r>
        <w:rPr>
          <w:rFonts w:ascii="宋体" w:hAnsi="宋体"/>
          <w:snapToGrid w:val="0"/>
          <w:color w:val="auto"/>
          <w:kern w:val="0"/>
          <w:szCs w:val="21"/>
          <w:highlight w:val="none"/>
        </w:rPr>
        <w:t>（大写）</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），该工程</w:t>
      </w:r>
      <w:r>
        <w:rPr>
          <w:rFonts w:ascii="宋体" w:hAnsi="宋体"/>
          <w:snapToGrid w:val="0"/>
          <w:color w:val="auto"/>
          <w:kern w:val="0"/>
          <w:highlight w:val="none"/>
        </w:rPr>
        <w:t>项目经理为</w:t>
      </w:r>
      <w:r>
        <w:rPr>
          <w:rFonts w:hint="eastAsia" w:ascii="宋体" w:hAnsi="宋体"/>
          <w:snapToGrid w:val="0"/>
          <w:color w:val="auto"/>
          <w:kern w:val="0"/>
          <w:highlight w:val="none"/>
          <w:u w:val="single"/>
        </w:rPr>
        <w:t xml:space="preserve">        </w:t>
      </w:r>
      <w:r>
        <w:rPr>
          <w:rFonts w:hint="eastAsia" w:ascii="宋体" w:hAnsi="宋体"/>
          <w:snapToGrid w:val="0"/>
          <w:color w:val="auto"/>
          <w:kern w:val="0"/>
          <w:szCs w:val="21"/>
          <w:highlight w:val="none"/>
        </w:rPr>
        <w:t>，身份证号码为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，身份证号码为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。工期</w:t>
      </w:r>
      <w:r>
        <w:rPr>
          <w:rFonts w:hint="eastAsia" w:ascii="宋体" w:hAnsi="宋体"/>
          <w:snapToGrid w:val="0"/>
          <w:color w:val="auto"/>
          <w:kern w:val="0"/>
          <w:szCs w:val="21"/>
          <w:highlight w:val="none"/>
          <w:u w:val="single"/>
        </w:rPr>
        <w:t>达到招标文件的要求</w:t>
      </w:r>
      <w:r>
        <w:rPr>
          <w:rFonts w:ascii="宋体" w:hAnsi="宋体"/>
          <w:snapToGrid w:val="0"/>
          <w:color w:val="auto"/>
          <w:kern w:val="0"/>
          <w:szCs w:val="21"/>
          <w:highlight w:val="none"/>
        </w:rPr>
        <w:t>，</w:t>
      </w:r>
      <w:r>
        <w:rPr>
          <w:rFonts w:hint="eastAsia" w:ascii="宋体" w:hAnsi="宋体"/>
          <w:snapToGrid w:val="0"/>
          <w:color w:val="auto"/>
          <w:kern w:val="0"/>
          <w:szCs w:val="21"/>
          <w:highlight w:val="none"/>
          <w:u w:val="none"/>
        </w:rPr>
        <w:t>缺陷责任期</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 xml:space="preserve"> 按合同约定实施和完成承包工程，修补工程中的任何缺陷，工程质量</w:t>
      </w:r>
      <w:r>
        <w:rPr>
          <w:rFonts w:hint="eastAsia" w:ascii="宋体" w:hAnsi="宋体"/>
          <w:snapToGrid w:val="0"/>
          <w:color w:val="auto"/>
          <w:kern w:val="0"/>
          <w:szCs w:val="21"/>
          <w:highlight w:val="none"/>
          <w:u w:val="single"/>
        </w:rPr>
        <w:t>达到招标文件的要求</w:t>
      </w:r>
      <w:r>
        <w:rPr>
          <w:rFonts w:ascii="宋体" w:hAnsi="宋体"/>
          <w:snapToGrid w:val="0"/>
          <w:color w:val="auto"/>
          <w:kern w:val="0"/>
          <w:szCs w:val="21"/>
          <w:highlight w:val="none"/>
        </w:rPr>
        <w:t>。</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我方承诺</w:t>
      </w:r>
      <w:r>
        <w:rPr>
          <w:rFonts w:hint="eastAsia" w:ascii="宋体" w:hAnsi="宋体"/>
          <w:snapToGrid w:val="0"/>
          <w:color w:val="auto"/>
          <w:kern w:val="0"/>
          <w:szCs w:val="21"/>
          <w:highlight w:val="none"/>
        </w:rPr>
        <w:t>响应招标文件规定的投标有效期，</w:t>
      </w:r>
      <w:r>
        <w:rPr>
          <w:rFonts w:ascii="宋体" w:hAnsi="宋体"/>
          <w:snapToGrid w:val="0"/>
          <w:color w:val="auto"/>
          <w:kern w:val="0"/>
          <w:szCs w:val="21"/>
          <w:highlight w:val="none"/>
        </w:rPr>
        <w:t>在投标有效期内不修改、撤销投标文件。</w:t>
      </w:r>
    </w:p>
    <w:p>
      <w:pPr>
        <w:tabs>
          <w:tab w:val="left" w:pos="2730"/>
          <w:tab w:val="left" w:pos="7980"/>
        </w:tabs>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随同本投标函提交投标保证金一份，金额为人民币（大写）</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投标保证金有效期</w:t>
      </w:r>
      <w:r>
        <w:rPr>
          <w:rFonts w:ascii="宋体" w:hAnsi="宋体"/>
          <w:snapToGrid w:val="0"/>
          <w:color w:val="auto"/>
          <w:kern w:val="0"/>
          <w:szCs w:val="21"/>
          <w:highlight w:val="none"/>
        </w:rPr>
        <w:t>与</w:t>
      </w:r>
      <w:r>
        <w:rPr>
          <w:rFonts w:hint="eastAsia" w:ascii="宋体" w:hAnsi="宋体"/>
          <w:snapToGrid w:val="0"/>
          <w:color w:val="auto"/>
          <w:kern w:val="0"/>
          <w:szCs w:val="21"/>
          <w:highlight w:val="none"/>
        </w:rPr>
        <w:t>投标有效期</w:t>
      </w:r>
      <w:r>
        <w:rPr>
          <w:rFonts w:ascii="宋体" w:hAnsi="宋体"/>
          <w:snapToGrid w:val="0"/>
          <w:color w:val="auto"/>
          <w:kern w:val="0"/>
          <w:szCs w:val="21"/>
          <w:highlight w:val="none"/>
        </w:rPr>
        <w:t>一致，在此期间，若我方违反招投标有关法律、法规及本招标文件的相关规定，投标保证金的受益人为招标人。</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如我方中标：</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（1）我方承诺在收到中标通知书后，在中标通知书规定的期限内与你方签订合同。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（2）随同本投标函递交的投标函附录属于合同文件的组成部分。</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（3）我方承诺按照招标文件规定向你方递交履约担保。</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（4）我方承诺在合同约定的期限内完成并移交全部合同工程。</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rPr>
        <w:t>（5）我方承诺以不低于招标文件第七章 技术标准和要求中所列的技术指标和参数要求完成全部合同工程。</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w:t>
      </w:r>
      <w:r>
        <w:rPr>
          <w:rFonts w:ascii="宋体" w:hAnsi="宋体"/>
          <w:snapToGrid w:val="0"/>
          <w:color w:val="auto"/>
          <w:spacing w:val="-2"/>
          <w:kern w:val="0"/>
          <w:szCs w:val="21"/>
          <w:highlight w:val="none"/>
        </w:rPr>
        <w:t>在此声明，所递交的投标文件及有关资料内容完整、真实和准确，且不存在第二章“投标人</w:t>
      </w:r>
      <w:r>
        <w:rPr>
          <w:rFonts w:ascii="宋体" w:hAnsi="宋体"/>
          <w:snapToGrid w:val="0"/>
          <w:color w:val="auto"/>
          <w:kern w:val="0"/>
          <w:szCs w:val="21"/>
          <w:highlight w:val="none"/>
        </w:rPr>
        <w:t>须知”第 1.4.3 项</w:t>
      </w:r>
      <w:r>
        <w:rPr>
          <w:rFonts w:hint="eastAsia" w:ascii="宋体" w:hAnsi="宋体"/>
          <w:snapToGrid w:val="0"/>
          <w:color w:val="auto"/>
          <w:kern w:val="0"/>
          <w:szCs w:val="21"/>
          <w:highlight w:val="none"/>
          <w:lang w:val="en-US" w:eastAsia="zh-CN"/>
        </w:rPr>
        <w:t>和第9.2款</w:t>
      </w:r>
      <w:r>
        <w:rPr>
          <w:rFonts w:ascii="宋体" w:hAnsi="宋体"/>
          <w:snapToGrid w:val="0"/>
          <w:color w:val="auto"/>
          <w:kern w:val="0"/>
          <w:szCs w:val="21"/>
          <w:highlight w:val="none"/>
        </w:rPr>
        <w:t>规定的任何一种情形。同时我方承诺接受招标文件及附件、</w:t>
      </w:r>
      <w:r>
        <w:rPr>
          <w:rFonts w:hint="eastAsia" w:ascii="宋体" w:hAnsi="宋体"/>
          <w:snapToGrid w:val="0"/>
          <w:color w:val="auto"/>
          <w:kern w:val="0"/>
          <w:szCs w:val="21"/>
          <w:highlight w:val="none"/>
        </w:rPr>
        <w:t>澄清</w:t>
      </w:r>
      <w:r>
        <w:rPr>
          <w:rFonts w:ascii="宋体" w:hAnsi="宋体"/>
          <w:snapToGrid w:val="0"/>
          <w:color w:val="auto"/>
          <w:kern w:val="0"/>
          <w:szCs w:val="21"/>
          <w:highlight w:val="none"/>
        </w:rPr>
        <w:t>及</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通知中所有的内容。</w:t>
      </w:r>
    </w:p>
    <w:p>
      <w:pPr>
        <w:tabs>
          <w:tab w:val="left" w:pos="5985"/>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6</w:t>
      </w:r>
      <w:r>
        <w:rPr>
          <w:rFonts w:hint="eastAsia" w:ascii="宋体" w:hAnsi="宋体"/>
          <w:snapToGrid w:val="0"/>
          <w:color w:val="auto"/>
          <w:kern w:val="0"/>
          <w:szCs w:val="21"/>
          <w:highlight w:val="none"/>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（其他补充说明）</w:t>
      </w:r>
      <w:r>
        <w:rPr>
          <w:rFonts w:ascii="宋体" w:hAnsi="宋体"/>
          <w:snapToGrid w:val="0"/>
          <w:color w:val="auto"/>
          <w:kern w:val="0"/>
          <w:szCs w:val="21"/>
          <w:highlight w:val="none"/>
        </w:rPr>
        <w:t>。</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u w:val="singl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color w:val="auto"/>
          <w:kern w:val="0"/>
          <w:sz w:val="20"/>
          <w:szCs w:val="20"/>
          <w:highlight w:val="none"/>
        </w:rPr>
      </w:pPr>
    </w:p>
    <w:p>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p>
    <w:p>
      <w:pPr>
        <w:pStyle w:val="5"/>
        <w:spacing w:before="0" w:after="0" w:line="240" w:lineRule="auto"/>
        <w:jc w:val="center"/>
        <w:outlineLvl w:val="0"/>
        <w:rPr>
          <w:rFonts w:ascii="宋体" w:hAnsi="宋体"/>
          <w:snapToGrid w:val="0"/>
          <w:color w:val="auto"/>
          <w:kern w:val="0"/>
          <w:szCs w:val="21"/>
          <w:highlight w:val="none"/>
        </w:rPr>
      </w:pPr>
      <w:bookmarkStart w:id="2202" w:name="_Toc287620815"/>
      <w:bookmarkStart w:id="2203" w:name="_Toc224103496"/>
      <w:bookmarkStart w:id="2204" w:name="_Toc430530531"/>
      <w:bookmarkStart w:id="2205" w:name="_Toc277082644"/>
      <w:bookmarkStart w:id="2206" w:name="_Toc287607868"/>
      <w:r>
        <w:rPr>
          <w:rFonts w:ascii="宋体" w:hAnsi="宋体"/>
          <w:color w:val="auto"/>
          <w:sz w:val="28"/>
          <w:highlight w:val="none"/>
        </w:rPr>
        <w:br w:type="page"/>
      </w:r>
      <w:bookmarkStart w:id="2207" w:name="_Toc19142"/>
      <w:bookmarkStart w:id="2208" w:name="_Toc5247"/>
      <w:bookmarkStart w:id="2209" w:name="_Toc509218855"/>
      <w:bookmarkStart w:id="2210" w:name="_Toc26883"/>
      <w:bookmarkStart w:id="2211" w:name="_Toc534185832"/>
      <w:bookmarkStart w:id="2212" w:name="_Toc25364"/>
      <w:bookmarkStart w:id="2213" w:name="_Toc12935"/>
      <w:bookmarkStart w:id="2214" w:name="_Toc15378"/>
      <w:r>
        <w:rPr>
          <w:rFonts w:ascii="宋体" w:hAnsi="宋体"/>
          <w:b w:val="0"/>
          <w:bCs w:val="0"/>
          <w:color w:val="auto"/>
          <w:highlight w:val="none"/>
        </w:rPr>
        <w:t>（二）投标函附录</w:t>
      </w:r>
      <w:bookmarkEnd w:id="2202"/>
      <w:bookmarkEnd w:id="2203"/>
      <w:bookmarkEnd w:id="2204"/>
      <w:bookmarkEnd w:id="2205"/>
      <w:bookmarkEnd w:id="2206"/>
      <w:bookmarkEnd w:id="2207"/>
      <w:bookmarkEnd w:id="2208"/>
      <w:bookmarkEnd w:id="2209"/>
      <w:bookmarkEnd w:id="2210"/>
      <w:bookmarkEnd w:id="2211"/>
      <w:bookmarkEnd w:id="2212"/>
      <w:bookmarkEnd w:id="2213"/>
      <w:bookmarkEnd w:id="2214"/>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条款名称</w:t>
            </w:r>
          </w:p>
        </w:tc>
        <w:tc>
          <w:tcPr>
            <w:tcW w:w="2388"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合同条款号</w:t>
            </w:r>
          </w:p>
        </w:tc>
        <w:tc>
          <w:tcPr>
            <w:tcW w:w="2987"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约定内容</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1</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工期</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合同协议书第三条</w:t>
            </w:r>
          </w:p>
        </w:tc>
        <w:tc>
          <w:tcPr>
            <w:tcW w:w="2987" w:type="dxa"/>
            <w:vAlign w:val="center"/>
          </w:tcPr>
          <w:p>
            <w:pPr>
              <w:tabs>
                <w:tab w:val="left" w:pos="1560"/>
              </w:tabs>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工期：</w:t>
            </w:r>
            <w:r>
              <w:rPr>
                <w:rFonts w:hint="eastAsia" w:ascii="宋体" w:hAnsi="宋体"/>
                <w:snapToGrid w:val="0"/>
                <w:color w:val="auto"/>
                <w:kern w:val="0"/>
                <w:szCs w:val="21"/>
                <w:highlight w:val="none"/>
                <w:u w:val="single"/>
              </w:rPr>
              <w:t xml:space="preserve">     </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2</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工程质量</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合同协议书第四条</w:t>
            </w:r>
          </w:p>
        </w:tc>
        <w:tc>
          <w:tcPr>
            <w:tcW w:w="2987" w:type="dxa"/>
            <w:vAlign w:val="center"/>
          </w:tcPr>
          <w:p>
            <w:pPr>
              <w:autoSpaceDE w:val="0"/>
              <w:autoSpaceDN w:val="0"/>
              <w:adjustRightInd w:val="0"/>
              <w:jc w:val="center"/>
              <w:rPr>
                <w:rFonts w:ascii="宋体" w:hAnsi="宋体"/>
                <w:snapToGrid w:val="0"/>
                <w:color w:val="auto"/>
                <w:kern w:val="0"/>
                <w:szCs w:val="21"/>
                <w:highlight w:val="none"/>
                <w:u w:val="single"/>
              </w:rPr>
            </w:pPr>
            <w:r>
              <w:rPr>
                <w:rFonts w:hint="eastAsia" w:ascii="宋体" w:hAnsi="宋体"/>
                <w:snapToGrid w:val="0"/>
                <w:color w:val="auto"/>
                <w:kern w:val="0"/>
                <w:szCs w:val="21"/>
                <w:highlight w:val="none"/>
                <w:u w:val="single"/>
              </w:rPr>
              <w:t xml:space="preserve">       </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3</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987"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bl>
    <w:p>
      <w:pPr>
        <w:spacing w:line="360" w:lineRule="auto"/>
        <w:rPr>
          <w:rFonts w:ascii="宋体" w:hAnsi="宋体"/>
          <w:snapToGrid w:val="0"/>
          <w:color w:val="auto"/>
          <w:w w:val="99"/>
          <w:highlight w:val="none"/>
        </w:rPr>
      </w:pPr>
    </w:p>
    <w:p>
      <w:pPr>
        <w:spacing w:line="360" w:lineRule="auto"/>
        <w:rPr>
          <w:rFonts w:ascii="宋体" w:hAnsi="宋体"/>
          <w:snapToGrid w:val="0"/>
          <w:color w:val="auto"/>
          <w:kern w:val="0"/>
          <w:sz w:val="32"/>
          <w:szCs w:val="32"/>
          <w:highlight w:val="none"/>
        </w:rPr>
      </w:pPr>
    </w:p>
    <w:p>
      <w:pPr>
        <w:spacing w:line="360" w:lineRule="auto"/>
        <w:rPr>
          <w:rFonts w:ascii="宋体" w:hAnsi="宋体"/>
          <w:snapToGrid w:val="0"/>
          <w:color w:val="auto"/>
          <w:highlight w:val="none"/>
        </w:rPr>
      </w:pPr>
    </w:p>
    <w:p>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   </w:t>
      </w:r>
    </w:p>
    <w:p>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 xml:space="preserve">或盖章） </w:t>
      </w:r>
    </w:p>
    <w:p>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color w:val="auto"/>
          <w:kern w:val="0"/>
          <w:szCs w:val="21"/>
          <w:highlight w:val="none"/>
        </w:rPr>
      </w:pPr>
    </w:p>
    <w:p>
      <w:pPr>
        <w:pStyle w:val="5"/>
        <w:spacing w:before="0" w:after="0" w:line="240" w:lineRule="auto"/>
        <w:jc w:val="center"/>
        <w:outlineLvl w:val="0"/>
        <w:rPr>
          <w:rFonts w:ascii="宋体" w:hAnsi="宋体"/>
          <w:snapToGrid w:val="0"/>
          <w:color w:val="auto"/>
          <w:kern w:val="0"/>
          <w:szCs w:val="21"/>
          <w:highlight w:val="none"/>
        </w:rPr>
      </w:pPr>
      <w:r>
        <w:rPr>
          <w:rFonts w:ascii="宋体" w:hAnsi="宋体"/>
          <w:snapToGrid w:val="0"/>
          <w:color w:val="auto"/>
          <w:highlight w:val="none"/>
        </w:rPr>
        <w:br w:type="page"/>
      </w:r>
      <w:bookmarkStart w:id="2215" w:name="_Toc23542"/>
      <w:bookmarkStart w:id="2216" w:name="_Toc19165"/>
      <w:bookmarkStart w:id="2217" w:name="_Toc277082645"/>
      <w:bookmarkStart w:id="2218" w:name="_Toc287620816"/>
      <w:bookmarkStart w:id="2219" w:name="_Toc287607869"/>
      <w:bookmarkStart w:id="2220" w:name="_Toc28164"/>
      <w:bookmarkStart w:id="2221" w:name="_Toc430530532"/>
      <w:bookmarkStart w:id="2222" w:name="_Toc24298"/>
      <w:bookmarkStart w:id="2223" w:name="_Toc32362"/>
      <w:bookmarkStart w:id="2224" w:name="_Toc3731"/>
      <w:bookmarkStart w:id="2225" w:name="_Toc224103497"/>
      <w:r>
        <w:rPr>
          <w:rFonts w:ascii="宋体" w:hAnsi="宋体"/>
          <w:b w:val="0"/>
          <w:bCs w:val="0"/>
          <w:color w:val="auto"/>
          <w:highlight w:val="none"/>
        </w:rPr>
        <w:t>（三）</w:t>
      </w:r>
      <w:r>
        <w:rPr>
          <w:rFonts w:hint="eastAsia" w:ascii="宋体" w:hAnsi="宋体"/>
          <w:b w:val="0"/>
          <w:bCs w:val="0"/>
          <w:color w:val="auto"/>
          <w:highlight w:val="none"/>
        </w:rPr>
        <w:t>法定代表人身份证明或授权委托书</w:t>
      </w:r>
      <w:bookmarkEnd w:id="2215"/>
      <w:bookmarkEnd w:id="2216"/>
      <w:bookmarkEnd w:id="2217"/>
      <w:bookmarkEnd w:id="2218"/>
      <w:bookmarkEnd w:id="2219"/>
      <w:bookmarkEnd w:id="2220"/>
      <w:bookmarkEnd w:id="2221"/>
      <w:bookmarkEnd w:id="2222"/>
      <w:bookmarkEnd w:id="2223"/>
      <w:bookmarkEnd w:id="2224"/>
      <w:bookmarkEnd w:id="2225"/>
    </w:p>
    <w:p>
      <w:pPr>
        <w:spacing w:line="480" w:lineRule="auto"/>
        <w:jc w:val="center"/>
        <w:outlineLvl w:val="1"/>
        <w:rPr>
          <w:rFonts w:ascii="宋体" w:hAnsi="宋体"/>
          <w:color w:val="auto"/>
          <w:sz w:val="28"/>
          <w:highlight w:val="none"/>
        </w:rPr>
      </w:pPr>
      <w:bookmarkStart w:id="2226" w:name="_Toc23257"/>
      <w:bookmarkStart w:id="2227" w:name="_Toc30206"/>
      <w:bookmarkStart w:id="2228" w:name="_Toc8875"/>
      <w:bookmarkStart w:id="2229" w:name="_Toc1802"/>
      <w:bookmarkStart w:id="2230" w:name="_Toc31730"/>
      <w:r>
        <w:rPr>
          <w:rFonts w:hint="eastAsia" w:ascii="宋体" w:hAnsi="宋体"/>
          <w:color w:val="auto"/>
          <w:sz w:val="28"/>
          <w:highlight w:val="none"/>
        </w:rPr>
        <w:t>法定代表人身份证明</w:t>
      </w:r>
      <w:bookmarkEnd w:id="2226"/>
      <w:bookmarkEnd w:id="2227"/>
      <w:bookmarkEnd w:id="2228"/>
      <w:bookmarkEnd w:id="2229"/>
      <w:bookmarkEnd w:id="2230"/>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w:t>
      </w:r>
      <w:r>
        <w:rPr>
          <w:rFonts w:hint="eastAsia" w:ascii="宋体" w:hAnsi="宋体"/>
          <w:color w:val="auto"/>
          <w:kern w:val="0"/>
          <w:szCs w:val="21"/>
          <w:highlight w:val="none"/>
          <w:lang w:val="en-US" w:eastAsia="zh-CN"/>
        </w:rPr>
        <w:t>明</w:t>
      </w:r>
      <w:r>
        <w:rPr>
          <w:rFonts w:hint="eastAsia" w:ascii="宋体" w:hAnsi="宋体"/>
          <w:color w:val="auto"/>
          <w:kern w:val="0"/>
          <w:szCs w:val="21"/>
          <w:highlight w:val="none"/>
        </w:rPr>
        <w:t>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5475"/>
        </w:tabs>
        <w:autoSpaceDE w:val="0"/>
        <w:autoSpaceDN w:val="0"/>
        <w:adjustRightInd w:val="0"/>
        <w:snapToGrid w:val="0"/>
        <w:spacing w:line="480" w:lineRule="auto"/>
        <w:ind w:firstLine="372" w:firstLineChars="186"/>
        <w:jc w:val="left"/>
        <w:rPr>
          <w:rFonts w:ascii="宋体" w:hAnsi="宋体"/>
          <w:color w:val="auto"/>
          <w:kern w:val="0"/>
          <w:sz w:val="20"/>
          <w:szCs w:val="20"/>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pPr>
        <w:spacing w:line="360" w:lineRule="auto"/>
        <w:ind w:firstLine="420" w:firstLineChars="200"/>
        <w:rPr>
          <w:rFonts w:ascii="宋体" w:hAnsi="宋体"/>
          <w:color w:val="auto"/>
          <w:highlight w:val="none"/>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ascii="宋体" w:hAnsi="宋体"/>
          <w:color w:val="auto"/>
          <w:kern w:val="0"/>
          <w:sz w:val="28"/>
          <w:szCs w:val="28"/>
          <w:highlight w:val="none"/>
        </w:rPr>
      </w:pPr>
      <w:r>
        <w:rPr>
          <w:rFonts w:ascii="宋体" w:hAnsi="宋体"/>
          <w:color w:val="auto"/>
          <w:kern w:val="0"/>
          <w:highlight w:val="none"/>
        </w:rPr>
        <w:br w:type="page"/>
      </w:r>
      <w:bookmarkStart w:id="2231" w:name="_Toc7194"/>
      <w:bookmarkStart w:id="2232" w:name="_Toc1244"/>
      <w:bookmarkStart w:id="2233" w:name="_Toc11911"/>
      <w:bookmarkStart w:id="2234" w:name="_Toc22887"/>
      <w:bookmarkStart w:id="2235" w:name="_Toc18824"/>
      <w:r>
        <w:rPr>
          <w:rFonts w:ascii="宋体" w:hAnsi="宋体"/>
          <w:snapToGrid w:val="0"/>
          <w:color w:val="auto"/>
          <w:kern w:val="0"/>
          <w:sz w:val="32"/>
          <w:szCs w:val="32"/>
          <w:highlight w:val="none"/>
        </w:rPr>
        <w:t>授权委托书</w:t>
      </w:r>
      <w:bookmarkEnd w:id="2231"/>
      <w:bookmarkEnd w:id="2232"/>
      <w:bookmarkEnd w:id="2233"/>
      <w:bookmarkEnd w:id="2234"/>
      <w:bookmarkEnd w:id="2235"/>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w:t>
      </w:r>
      <w:r>
        <w:rPr>
          <w:rFonts w:hint="eastAsia" w:ascii="宋体" w:hAnsi="宋体"/>
          <w:color w:val="auto"/>
          <w:kern w:val="0"/>
          <w:szCs w:val="21"/>
          <w:highlight w:val="none"/>
          <w:lang w:val="en-US" w:eastAsia="zh-CN"/>
        </w:rPr>
        <w:t>代表我方</w:t>
      </w:r>
      <w:r>
        <w:rPr>
          <w:rFonts w:ascii="宋体" w:hAnsi="宋体"/>
          <w:color w:val="auto"/>
          <w:kern w:val="0"/>
          <w:szCs w:val="21"/>
          <w:highlight w:val="none"/>
        </w:rPr>
        <w:t>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w:t>
      </w:r>
      <w:r>
        <w:rPr>
          <w:rFonts w:hint="eastAsia" w:ascii="宋体" w:hAnsi="宋体"/>
          <w:color w:val="auto"/>
          <w:kern w:val="0"/>
          <w:szCs w:val="21"/>
          <w:highlight w:val="none"/>
          <w:lang w:val="en-US" w:eastAsia="zh-CN"/>
        </w:rPr>
        <w:t>明</w:t>
      </w:r>
      <w:r>
        <w:rPr>
          <w:rFonts w:hint="eastAsia" w:ascii="宋体" w:hAnsi="宋体"/>
          <w:color w:val="auto"/>
          <w:kern w:val="0"/>
          <w:szCs w:val="21"/>
          <w:highlight w:val="none"/>
        </w:rPr>
        <w:t>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spacing w:line="360" w:lineRule="auto"/>
        <w:ind w:firstLine="420" w:firstLineChars="200"/>
        <w:rPr>
          <w:rFonts w:ascii="宋体" w:hAnsi="宋体"/>
          <w:color w:val="auto"/>
          <w:highlight w:val="none"/>
        </w:rPr>
      </w:pPr>
      <w:r>
        <w:rPr>
          <w:rFonts w:ascii="宋体" w:hAnsi="宋体"/>
          <w:color w:val="auto"/>
          <w:highlight w:val="none"/>
        </w:rPr>
        <w:br w:type="page"/>
      </w:r>
    </w:p>
    <w:p>
      <w:pPr>
        <w:pStyle w:val="5"/>
        <w:spacing w:before="0" w:after="0" w:line="240" w:lineRule="auto"/>
        <w:jc w:val="center"/>
        <w:rPr>
          <w:rFonts w:ascii="宋体" w:hAnsi="宋体"/>
          <w:b w:val="0"/>
          <w:bCs w:val="0"/>
        </w:rPr>
      </w:pPr>
      <w:bookmarkStart w:id="2236" w:name="_Toc277082646"/>
      <w:bookmarkStart w:id="2237" w:name="_Toc287607870"/>
      <w:bookmarkStart w:id="2238" w:name="_Toc224103498"/>
      <w:bookmarkStart w:id="2239" w:name="_Toc287620817"/>
      <w:bookmarkStart w:id="2240" w:name="_Toc15896"/>
      <w:bookmarkStart w:id="2241" w:name="_Toc32097"/>
      <w:bookmarkStart w:id="2242" w:name="_Toc26933"/>
      <w:bookmarkStart w:id="2243" w:name="_Toc26608"/>
      <w:bookmarkStart w:id="2244" w:name="_Toc430530533"/>
      <w:r>
        <w:rPr>
          <w:rFonts w:ascii="宋体" w:hAnsi="宋体"/>
          <w:b w:val="0"/>
          <w:bCs w:val="0"/>
          <w:color w:val="auto"/>
          <w:highlight w:val="none"/>
        </w:rPr>
        <w:t>（四）</w:t>
      </w:r>
      <w:bookmarkEnd w:id="2236"/>
      <w:bookmarkEnd w:id="2237"/>
      <w:bookmarkEnd w:id="2238"/>
      <w:bookmarkEnd w:id="2239"/>
      <w:bookmarkStart w:id="2245" w:name="_Toc224103499"/>
      <w:bookmarkStart w:id="2246" w:name="_Toc277082647"/>
      <w:bookmarkStart w:id="2247" w:name="_Toc287620818"/>
      <w:bookmarkStart w:id="2248" w:name="_Toc287607871"/>
      <w:r>
        <w:rPr>
          <w:rFonts w:hint="eastAsia" w:ascii="宋体" w:hAnsi="宋体"/>
          <w:b w:val="0"/>
          <w:bCs w:val="0"/>
        </w:rPr>
        <w:t>投标报价合理性说明</w:t>
      </w:r>
      <w:r>
        <w:rPr>
          <w:rFonts w:hint="eastAsia" w:ascii="宋体" w:hAnsi="宋体"/>
          <w:b w:val="0"/>
          <w:bCs w:val="0"/>
          <w:lang w:eastAsia="zh-CN"/>
        </w:rPr>
        <w:t>（</w:t>
      </w:r>
      <w:r>
        <w:rPr>
          <w:rFonts w:hint="eastAsia" w:ascii="宋体" w:hAnsi="宋体"/>
          <w:b w:val="0"/>
          <w:bCs w:val="0"/>
          <w:lang w:val="en-US" w:eastAsia="zh-CN"/>
        </w:rPr>
        <w:t>如有</w:t>
      </w:r>
      <w:r>
        <w:rPr>
          <w:rFonts w:hint="eastAsia" w:ascii="宋体" w:hAnsi="宋体"/>
          <w:b w:val="0"/>
          <w:bCs w:val="0"/>
          <w:lang w:eastAsia="zh-CN"/>
        </w:rPr>
        <w:t>）</w:t>
      </w:r>
    </w:p>
    <w:p>
      <w:pPr>
        <w:autoSpaceDE w:val="0"/>
        <w:autoSpaceDN w:val="0"/>
        <w:adjustRightInd w:val="0"/>
        <w:snapToGrid w:val="0"/>
        <w:spacing w:line="360" w:lineRule="auto"/>
        <w:jc w:val="center"/>
        <w:rPr>
          <w:rFonts w:ascii="宋体" w:hAnsi="宋体"/>
          <w:snapToGrid w:val="0"/>
          <w:kern w:val="0"/>
          <w:sz w:val="32"/>
          <w:szCs w:val="32"/>
        </w:rPr>
      </w:pPr>
    </w:p>
    <w:p>
      <w:pPr>
        <w:pStyle w:val="2"/>
        <w:spacing w:line="360" w:lineRule="auto"/>
        <w:ind w:firstLine="420" w:firstLineChars="200"/>
        <w:rPr>
          <w:rFonts w:hint="eastAsia" w:asciiTheme="majorEastAsia" w:hAnsiTheme="majorEastAsia" w:eastAsiaTheme="majorEastAsia" w:cstheme="majorEastAsia"/>
          <w:i/>
          <w:iCs/>
          <w:color w:val="auto"/>
          <w:highlight w:val="none"/>
        </w:rPr>
      </w:pPr>
      <w:bookmarkStart w:id="2249" w:name="_Toc19894"/>
      <w:r>
        <w:rPr>
          <w:rFonts w:hint="eastAsia" w:ascii="宋体" w:hAnsi="宋体"/>
          <w:b w:val="0"/>
          <w:bCs w:val="0"/>
          <w:i w:val="0"/>
          <w:iCs w:val="0"/>
          <w:snapToGrid w:val="0"/>
          <w:kern w:val="0"/>
          <w:sz w:val="21"/>
          <w:szCs w:val="21"/>
          <w:lang w:val="en-US" w:eastAsia="zh-CN"/>
        </w:rPr>
        <w:t>（注：投标报价</w:t>
      </w:r>
      <w:r>
        <w:rPr>
          <w:rFonts w:hint="eastAsia" w:ascii="宋体" w:hAnsi="宋体"/>
          <w:b w:val="0"/>
          <w:bCs w:val="0"/>
          <w:sz w:val="21"/>
          <w:szCs w:val="21"/>
          <w:lang w:val="en-US" w:eastAsia="zh-CN"/>
        </w:rPr>
        <w:t>低于异常低价警戒线</w:t>
      </w:r>
      <w:r>
        <w:rPr>
          <w:rFonts w:hint="eastAsia" w:ascii="宋体" w:hAnsi="宋体"/>
          <w:b w:val="0"/>
          <w:bCs w:val="0"/>
          <w:i w:val="0"/>
          <w:iCs w:val="0"/>
          <w:snapToGrid w:val="0"/>
          <w:kern w:val="0"/>
          <w:sz w:val="21"/>
          <w:szCs w:val="21"/>
          <w:lang w:val="en-US" w:eastAsia="zh-CN"/>
        </w:rPr>
        <w:t>时提供，格式自拟，并提供必要的佐证材料。</w:t>
      </w:r>
      <w:r>
        <w:rPr>
          <w:rFonts w:hint="eastAsia" w:ascii="宋体" w:hAnsi="宋体"/>
          <w:b w:val="0"/>
          <w:bCs w:val="0"/>
          <w:snapToGrid w:val="0"/>
          <w:kern w:val="0"/>
          <w:sz w:val="21"/>
          <w:szCs w:val="21"/>
        </w:rPr>
        <w:t>投标人提供的说明不得降低或者改变原设计方案、技术工艺、施工标准，不得影响项目的质量、安全、工期、结算等正常履约。</w:t>
      </w:r>
      <w:r>
        <w:rPr>
          <w:rFonts w:hint="eastAsia" w:ascii="宋体" w:hAnsi="宋体"/>
          <w:b w:val="0"/>
          <w:bCs w:val="0"/>
          <w:i w:val="0"/>
          <w:iCs w:val="0"/>
          <w:snapToGrid w:val="0"/>
          <w:kern w:val="0"/>
          <w:sz w:val="21"/>
          <w:szCs w:val="21"/>
          <w:lang w:val="en-US" w:eastAsia="zh-CN"/>
        </w:rPr>
        <w:t>）</w:t>
      </w:r>
      <w:bookmarkEnd w:id="2240"/>
      <w:bookmarkEnd w:id="2241"/>
      <w:bookmarkEnd w:id="2242"/>
      <w:bookmarkEnd w:id="2243"/>
      <w:bookmarkEnd w:id="2249"/>
    </w:p>
    <w:p>
      <w:pPr>
        <w:autoSpaceDE w:val="0"/>
        <w:autoSpaceDN w:val="0"/>
        <w:adjustRightInd w:val="0"/>
        <w:snapToGrid w:val="0"/>
        <w:spacing w:line="360" w:lineRule="auto"/>
        <w:jc w:val="center"/>
        <w:rPr>
          <w:rFonts w:ascii="宋体" w:hAnsi="宋体"/>
          <w:snapToGrid w:val="0"/>
          <w:color w:val="auto"/>
          <w:kern w:val="0"/>
          <w:sz w:val="32"/>
          <w:szCs w:val="32"/>
          <w:highlight w:val="none"/>
        </w:rPr>
      </w:pPr>
    </w:p>
    <w:p>
      <w:pPr>
        <w:pStyle w:val="2"/>
        <w:rPr>
          <w:rFonts w:ascii="宋体" w:hAnsi="宋体"/>
          <w:snapToGrid w:val="0"/>
          <w:color w:val="auto"/>
          <w:kern w:val="0"/>
          <w:sz w:val="32"/>
          <w:szCs w:val="32"/>
          <w:highlight w:val="none"/>
        </w:rPr>
      </w:pPr>
      <w:r>
        <w:rPr>
          <w:rFonts w:ascii="宋体" w:hAnsi="宋体"/>
          <w:snapToGrid w:val="0"/>
          <w:color w:val="auto"/>
          <w:kern w:val="0"/>
          <w:sz w:val="32"/>
          <w:szCs w:val="32"/>
          <w:highlight w:val="none"/>
        </w:rPr>
        <w:br w:type="page"/>
      </w:r>
    </w:p>
    <w:bookmarkEnd w:id="2244"/>
    <w:bookmarkEnd w:id="2245"/>
    <w:bookmarkEnd w:id="2246"/>
    <w:bookmarkEnd w:id="2247"/>
    <w:bookmarkEnd w:id="2248"/>
    <w:p>
      <w:pPr>
        <w:pStyle w:val="4"/>
        <w:spacing w:line="360" w:lineRule="auto"/>
        <w:jc w:val="center"/>
        <w:outlineLvl w:val="0"/>
        <w:rPr>
          <w:rFonts w:ascii="宋体" w:hAnsi="宋体"/>
          <w:b w:val="0"/>
          <w:bCs w:val="0"/>
          <w:color w:val="auto"/>
          <w:sz w:val="44"/>
          <w:szCs w:val="44"/>
          <w:highlight w:val="none"/>
        </w:rPr>
      </w:pPr>
      <w:bookmarkStart w:id="2250" w:name="_Toc18314"/>
      <w:bookmarkStart w:id="2251" w:name="_Toc20956"/>
      <w:bookmarkStart w:id="2252" w:name="_Toc224103500"/>
      <w:bookmarkStart w:id="2253" w:name="_Toc287620819"/>
      <w:bookmarkStart w:id="2254" w:name="_Toc430530534"/>
      <w:bookmarkStart w:id="2255" w:name="_Toc21174"/>
      <w:bookmarkStart w:id="2256" w:name="_Toc287607872"/>
      <w:bookmarkStart w:id="2257" w:name="_Toc4731"/>
      <w:r>
        <w:rPr>
          <w:rFonts w:hint="eastAsia" w:ascii="宋体" w:hAnsi="宋体"/>
          <w:b w:val="0"/>
          <w:bCs w:val="0"/>
          <w:color w:val="auto"/>
          <w:sz w:val="44"/>
          <w:szCs w:val="44"/>
          <w:highlight w:val="none"/>
        </w:rPr>
        <w:t>二、</w:t>
      </w:r>
      <w:r>
        <w:rPr>
          <w:rFonts w:hint="eastAsia" w:ascii="宋体" w:hAnsi="宋体"/>
          <w:b w:val="0"/>
          <w:bCs w:val="0"/>
          <w:color w:val="auto"/>
          <w:sz w:val="44"/>
          <w:szCs w:val="44"/>
          <w:highlight w:val="none"/>
          <w:lang w:val="en-US" w:eastAsia="zh-CN"/>
        </w:rPr>
        <w:t>报价</w:t>
      </w:r>
      <w:r>
        <w:rPr>
          <w:rFonts w:hint="eastAsia" w:ascii="宋体" w:hAnsi="宋体"/>
          <w:b w:val="0"/>
          <w:bCs w:val="0"/>
          <w:color w:val="auto"/>
          <w:sz w:val="44"/>
          <w:szCs w:val="44"/>
          <w:highlight w:val="none"/>
        </w:rPr>
        <w:t>部分</w:t>
      </w:r>
      <w:bookmarkEnd w:id="2250"/>
      <w:bookmarkEnd w:id="2251"/>
      <w:bookmarkEnd w:id="2252"/>
      <w:bookmarkEnd w:id="2253"/>
      <w:bookmarkEnd w:id="2254"/>
      <w:bookmarkEnd w:id="2255"/>
      <w:bookmarkEnd w:id="2256"/>
      <w:bookmarkEnd w:id="2257"/>
    </w:p>
    <w:p>
      <w:pPr>
        <w:spacing w:line="360" w:lineRule="auto"/>
        <w:jc w:val="center"/>
        <w:rPr>
          <w:rFonts w:ascii="宋体" w:hAnsi="宋体"/>
          <w:color w:val="auto"/>
          <w:kern w:val="0"/>
          <w:sz w:val="32"/>
          <w:szCs w:val="32"/>
          <w:highlight w:val="none"/>
        </w:rPr>
      </w:pPr>
      <w:r>
        <w:rPr>
          <w:rFonts w:ascii="宋体" w:hAnsi="宋体"/>
          <w:color w:val="auto"/>
          <w:kern w:val="0"/>
          <w:sz w:val="28"/>
          <w:szCs w:val="28"/>
          <w:highlight w:val="none"/>
        </w:rPr>
        <w:br w:type="page"/>
      </w: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outlineLvl w:val="0"/>
        <w:rPr>
          <w:rFonts w:ascii="宋体" w:hAnsi="宋体"/>
          <w:color w:val="auto"/>
          <w:kern w:val="0"/>
          <w:sz w:val="36"/>
          <w:szCs w:val="36"/>
          <w:highlight w:val="none"/>
        </w:rPr>
      </w:pPr>
      <w:bookmarkStart w:id="2258" w:name="_Toc4002"/>
      <w:bookmarkStart w:id="2259" w:name="_Toc377"/>
      <w:bookmarkStart w:id="2260" w:name="_Toc23551"/>
      <w:bookmarkStart w:id="2261" w:name="_Toc14839"/>
      <w:bookmarkStart w:id="2262" w:name="_Toc5761"/>
      <w:r>
        <w:rPr>
          <w:rFonts w:hint="eastAsia" w:ascii="宋体" w:hAnsi="宋体"/>
          <w:color w:val="auto"/>
          <w:kern w:val="0"/>
          <w:sz w:val="36"/>
          <w:szCs w:val="36"/>
          <w:highlight w:val="none"/>
          <w:lang w:val="en-US" w:eastAsia="zh-CN"/>
        </w:rPr>
        <w:t>报价</w:t>
      </w:r>
      <w:r>
        <w:rPr>
          <w:rFonts w:hint="eastAsia" w:ascii="宋体" w:hAnsi="宋体"/>
          <w:color w:val="auto"/>
          <w:kern w:val="0"/>
          <w:sz w:val="36"/>
          <w:szCs w:val="36"/>
          <w:highlight w:val="none"/>
        </w:rPr>
        <w:t>部分</w:t>
      </w:r>
      <w:bookmarkEnd w:id="2258"/>
      <w:bookmarkEnd w:id="2259"/>
      <w:bookmarkEnd w:id="2260"/>
      <w:bookmarkEnd w:id="2261"/>
      <w:bookmarkEnd w:id="2262"/>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autoSpaceDE w:val="0"/>
        <w:autoSpaceDN w:val="0"/>
        <w:adjustRightInd w:val="0"/>
        <w:snapToGrid w:val="0"/>
        <w:spacing w:line="360" w:lineRule="auto"/>
        <w:jc w:val="center"/>
        <w:outlineLvl w:val="0"/>
        <w:rPr>
          <w:rFonts w:ascii="宋体" w:hAnsi="宋体"/>
          <w:color w:val="auto"/>
          <w:kern w:val="0"/>
          <w:szCs w:val="21"/>
          <w:highlight w:val="none"/>
        </w:rPr>
      </w:pPr>
      <w:bookmarkStart w:id="2263" w:name="_Toc26262"/>
      <w:bookmarkStart w:id="2264" w:name="_Toc17972"/>
      <w:bookmarkStart w:id="2265" w:name="_Toc5355"/>
      <w:bookmarkStart w:id="2266" w:name="_Toc17330"/>
      <w:bookmarkStart w:id="2267" w:name="_Toc26475"/>
      <w:r>
        <w:rPr>
          <w:rFonts w:hint="eastAsia" w:ascii="宋体" w:hAnsi="宋体"/>
          <w:color w:val="auto"/>
          <w:kern w:val="0"/>
          <w:sz w:val="36"/>
          <w:szCs w:val="36"/>
          <w:highlight w:val="none"/>
        </w:rPr>
        <w:t>目  录</w:t>
      </w:r>
      <w:bookmarkEnd w:id="2263"/>
      <w:bookmarkEnd w:id="2264"/>
      <w:bookmarkEnd w:id="2265"/>
      <w:bookmarkEnd w:id="2266"/>
      <w:bookmarkEnd w:id="2267"/>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hint="eastAsia" w:ascii="宋体" w:hAnsi="宋体" w:eastAsia="宋体"/>
          <w:i/>
          <w:iCs/>
          <w:color w:val="auto"/>
          <w:kern w:val="0"/>
          <w:szCs w:val="21"/>
          <w:highlight w:val="none"/>
          <w:lang w:eastAsia="zh-CN"/>
        </w:rPr>
      </w:pPr>
      <w:r>
        <w:rPr>
          <w:rFonts w:hint="eastAsia" w:ascii="宋体" w:hAnsi="宋体"/>
          <w:i w:val="0"/>
          <w:iCs w:val="0"/>
          <w:color w:val="auto"/>
          <w:kern w:val="0"/>
          <w:szCs w:val="21"/>
          <w:highlight w:val="none"/>
          <w:lang w:eastAsia="zh-CN"/>
        </w:rPr>
        <w:t>（</w:t>
      </w:r>
      <w:r>
        <w:rPr>
          <w:rFonts w:hint="eastAsia" w:ascii="宋体" w:hAnsi="宋体"/>
          <w:i w:val="0"/>
          <w:iCs w:val="0"/>
          <w:color w:val="auto"/>
          <w:kern w:val="0"/>
          <w:szCs w:val="21"/>
          <w:highlight w:val="none"/>
          <w:lang w:val="en-US" w:eastAsia="zh-CN"/>
        </w:rPr>
        <w:t>注</w:t>
      </w:r>
      <w:r>
        <w:rPr>
          <w:rFonts w:hint="eastAsia" w:ascii="宋体" w:hAnsi="宋体"/>
          <w:i w:val="0"/>
          <w:iCs w:val="0"/>
          <w:color w:val="auto"/>
          <w:kern w:val="0"/>
          <w:szCs w:val="21"/>
          <w:highlight w:val="none"/>
        </w:rPr>
        <w:t>：</w:t>
      </w:r>
      <w:r>
        <w:rPr>
          <w:rFonts w:ascii="宋体" w:hAnsi="宋体"/>
          <w:i w:val="0"/>
          <w:iCs w:val="0"/>
          <w:color w:val="auto"/>
          <w:kern w:val="0"/>
          <w:szCs w:val="21"/>
          <w:highlight w:val="none"/>
        </w:rPr>
        <w:t>目录由投标人自行编制</w:t>
      </w:r>
      <w:r>
        <w:rPr>
          <w:rFonts w:hint="eastAsia" w:ascii="宋体" w:hAnsi="宋体"/>
          <w:i w:val="0"/>
          <w:iCs w:val="0"/>
          <w:color w:val="auto"/>
          <w:kern w:val="0"/>
          <w:szCs w:val="21"/>
          <w:highlight w:val="none"/>
          <w:lang w:eastAsia="zh-CN"/>
        </w:rPr>
        <w:t>）</w:t>
      </w:r>
    </w:p>
    <w:p>
      <w:pPr>
        <w:pStyle w:val="5"/>
        <w:spacing w:before="0" w:after="0" w:line="240" w:lineRule="auto"/>
        <w:jc w:val="center"/>
        <w:outlineLvl w:val="0"/>
        <w:rPr>
          <w:rFonts w:ascii="宋体" w:hAnsi="宋体"/>
          <w:b w:val="0"/>
          <w:bCs w:val="0"/>
          <w:color w:val="auto"/>
          <w:highlight w:val="none"/>
        </w:rPr>
      </w:pPr>
      <w:bookmarkStart w:id="2268" w:name="_Toc287607873"/>
      <w:bookmarkStart w:id="2269" w:name="_Toc287620820"/>
      <w:bookmarkStart w:id="2270" w:name="_Toc430530535"/>
      <w:bookmarkStart w:id="2271" w:name="_Toc277082648"/>
      <w:bookmarkStart w:id="2272" w:name="_Toc224103501"/>
      <w:r>
        <w:rPr>
          <w:rFonts w:ascii="宋体" w:hAnsi="宋体"/>
          <w:b w:val="0"/>
          <w:bCs w:val="0"/>
          <w:color w:val="auto"/>
          <w:kern w:val="0"/>
          <w:sz w:val="21"/>
          <w:szCs w:val="21"/>
          <w:highlight w:val="none"/>
        </w:rPr>
        <w:br w:type="page"/>
      </w:r>
      <w:bookmarkStart w:id="2273" w:name="_Toc13772"/>
      <w:bookmarkStart w:id="2274" w:name="_Toc1488"/>
      <w:bookmarkStart w:id="2275" w:name="_Toc10753"/>
      <w:bookmarkStart w:id="2276" w:name="_Toc12047"/>
      <w:bookmarkStart w:id="2277" w:name="_Toc30676"/>
      <w:bookmarkStart w:id="2278" w:name="_Toc16419"/>
      <w:r>
        <w:rPr>
          <w:rFonts w:hint="eastAsia" w:ascii="宋体" w:hAnsi="宋体"/>
          <w:b w:val="0"/>
          <w:bCs w:val="0"/>
          <w:color w:val="auto"/>
          <w:highlight w:val="none"/>
        </w:rPr>
        <w:t>（一）已标价工程量清单</w:t>
      </w:r>
      <w:bookmarkEnd w:id="2268"/>
      <w:bookmarkEnd w:id="2269"/>
      <w:bookmarkEnd w:id="2270"/>
      <w:bookmarkEnd w:id="2271"/>
      <w:bookmarkEnd w:id="2272"/>
      <w:bookmarkEnd w:id="2273"/>
      <w:bookmarkEnd w:id="2274"/>
      <w:bookmarkEnd w:id="2275"/>
      <w:bookmarkEnd w:id="2276"/>
      <w:bookmarkEnd w:id="2277"/>
      <w:bookmarkEnd w:id="2278"/>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pStyle w:val="4"/>
        <w:spacing w:line="360" w:lineRule="auto"/>
        <w:outlineLvl w:val="9"/>
        <w:rPr>
          <w:rFonts w:ascii="宋体" w:hAnsi="宋体"/>
          <w:color w:val="auto"/>
          <w:kern w:val="0"/>
          <w:sz w:val="24"/>
          <w:szCs w:val="21"/>
          <w:highlight w:val="none"/>
        </w:rPr>
      </w:pPr>
      <w:bookmarkStart w:id="2279" w:name="_Toc224103502"/>
      <w:bookmarkStart w:id="2280" w:name="_Toc430530536"/>
      <w:bookmarkStart w:id="2281" w:name="_Toc287620821"/>
      <w:bookmarkStart w:id="2282" w:name="_Toc287607874"/>
      <w:r>
        <w:rPr>
          <w:rFonts w:ascii="宋体" w:hAnsi="宋体"/>
          <w:color w:val="auto"/>
          <w:highlight w:val="none"/>
        </w:rPr>
        <w:br w:type="page"/>
      </w:r>
    </w:p>
    <w:p>
      <w:pPr>
        <w:pStyle w:val="4"/>
        <w:spacing w:line="360" w:lineRule="auto"/>
        <w:jc w:val="center"/>
        <w:outlineLvl w:val="0"/>
        <w:rPr>
          <w:rFonts w:ascii="宋体" w:hAnsi="宋体"/>
          <w:b w:val="0"/>
          <w:bCs w:val="0"/>
          <w:color w:val="auto"/>
          <w:sz w:val="44"/>
          <w:szCs w:val="44"/>
          <w:highlight w:val="none"/>
        </w:rPr>
      </w:pPr>
      <w:bookmarkStart w:id="2283" w:name="_Toc57796015"/>
      <w:bookmarkStart w:id="2284" w:name="_Toc29357"/>
      <w:bookmarkStart w:id="2285" w:name="_Toc28981"/>
      <w:bookmarkStart w:id="2286" w:name="_Toc31681"/>
      <w:bookmarkStart w:id="2287" w:name="_Toc25469"/>
      <w:r>
        <w:rPr>
          <w:rFonts w:hint="eastAsia" w:ascii="宋体" w:hAnsi="宋体"/>
          <w:b w:val="0"/>
          <w:bCs w:val="0"/>
          <w:color w:val="auto"/>
          <w:sz w:val="44"/>
          <w:szCs w:val="44"/>
          <w:highlight w:val="none"/>
        </w:rPr>
        <w:t>三、商务部分</w:t>
      </w:r>
      <w:bookmarkEnd w:id="2283"/>
      <w:bookmarkEnd w:id="2284"/>
      <w:bookmarkEnd w:id="2285"/>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提示：不设置商务评审的不设此部分</w:t>
      </w:r>
      <w:r>
        <w:rPr>
          <w:rFonts w:ascii="宋体" w:hAnsi="宋体"/>
          <w:i/>
          <w:iCs/>
          <w:color w:val="auto"/>
          <w:kern w:val="0"/>
          <w:szCs w:val="21"/>
          <w:highlight w:val="none"/>
        </w:rPr>
        <w:t>]</w:t>
      </w:r>
    </w:p>
    <w:p>
      <w:pPr>
        <w:pStyle w:val="4"/>
        <w:spacing w:line="360" w:lineRule="auto"/>
        <w:jc w:val="center"/>
        <w:outlineLvl w:val="0"/>
        <w:rPr>
          <w:rFonts w:hint="eastAsia" w:ascii="宋体" w:hAnsi="宋体"/>
          <w:b w:val="0"/>
          <w:bCs w:val="0"/>
          <w:color w:val="auto"/>
          <w:sz w:val="44"/>
          <w:szCs w:val="44"/>
          <w:highlight w:val="none"/>
        </w:rPr>
      </w:pPr>
    </w:p>
    <w:p>
      <w:pPr>
        <w:pStyle w:val="4"/>
        <w:spacing w:line="360" w:lineRule="auto"/>
        <w:jc w:val="center"/>
        <w:outlineLvl w:val="0"/>
        <w:rPr>
          <w:rFonts w:hint="eastAsia" w:ascii="宋体" w:hAnsi="宋体"/>
          <w:b w:val="0"/>
          <w:bCs w:val="0"/>
          <w:color w:val="auto"/>
          <w:sz w:val="44"/>
          <w:szCs w:val="44"/>
          <w:highlight w:val="none"/>
        </w:rPr>
      </w:pPr>
    </w:p>
    <w:p>
      <w:pPr>
        <w:pStyle w:val="4"/>
        <w:spacing w:line="360" w:lineRule="auto"/>
        <w:jc w:val="center"/>
        <w:outlineLvl w:val="0"/>
        <w:rPr>
          <w:rFonts w:hint="eastAsia" w:ascii="宋体" w:hAnsi="宋体"/>
          <w:b w:val="0"/>
          <w:bCs w:val="0"/>
          <w:color w:val="auto"/>
          <w:sz w:val="44"/>
          <w:szCs w:val="44"/>
          <w:highlight w:val="none"/>
        </w:rPr>
      </w:pPr>
    </w:p>
    <w:p>
      <w:pPr>
        <w:pStyle w:val="4"/>
        <w:spacing w:line="360" w:lineRule="auto"/>
        <w:jc w:val="center"/>
        <w:outlineLvl w:val="0"/>
        <w:rPr>
          <w:rFonts w:hint="eastAsia" w:ascii="宋体" w:hAnsi="宋体"/>
          <w:b w:val="0"/>
          <w:bCs w:val="0"/>
          <w:color w:val="auto"/>
          <w:sz w:val="44"/>
          <w:szCs w:val="44"/>
          <w:highlight w:val="none"/>
        </w:rPr>
      </w:pPr>
    </w:p>
    <w:p>
      <w:pPr>
        <w:rPr>
          <w:rFonts w:hint="eastAsia" w:ascii="宋体" w:hAnsi="宋体"/>
          <w:b w:val="0"/>
          <w:bCs w:val="0"/>
          <w:color w:val="auto"/>
          <w:sz w:val="44"/>
          <w:szCs w:val="44"/>
          <w:highlight w:val="none"/>
        </w:rPr>
      </w:pPr>
    </w:p>
    <w:p>
      <w:pPr>
        <w:pStyle w:val="2"/>
        <w:rPr>
          <w:rFonts w:hint="eastAsia" w:ascii="宋体" w:hAnsi="宋体"/>
          <w:b w:val="0"/>
          <w:bCs w:val="0"/>
          <w:color w:val="auto"/>
          <w:sz w:val="44"/>
          <w:szCs w:val="44"/>
          <w:highlight w:val="none"/>
        </w:rPr>
      </w:pPr>
    </w:p>
    <w:p>
      <w:pPr>
        <w:rPr>
          <w:rFonts w:hint="eastAsia" w:ascii="宋体" w:hAnsi="宋体"/>
          <w:b w:val="0"/>
          <w:bCs w:val="0"/>
          <w:color w:val="auto"/>
          <w:sz w:val="44"/>
          <w:szCs w:val="44"/>
          <w:highlight w:val="none"/>
        </w:rPr>
      </w:pPr>
    </w:p>
    <w:p>
      <w:pPr>
        <w:pStyle w:val="2"/>
        <w:rPr>
          <w:rFonts w:hint="eastAsia" w:ascii="宋体" w:hAnsi="宋体"/>
          <w:b w:val="0"/>
          <w:bCs w:val="0"/>
          <w:color w:val="auto"/>
          <w:sz w:val="44"/>
          <w:szCs w:val="44"/>
          <w:highlight w:val="none"/>
        </w:rPr>
      </w:pPr>
    </w:p>
    <w:p>
      <w:pPr>
        <w:rPr>
          <w:rFonts w:hint="eastAsia" w:ascii="宋体" w:hAnsi="宋体"/>
          <w:b w:val="0"/>
          <w:bCs w:val="0"/>
          <w:color w:val="auto"/>
          <w:sz w:val="44"/>
          <w:szCs w:val="44"/>
          <w:highlight w:val="none"/>
        </w:rPr>
      </w:pPr>
    </w:p>
    <w:p>
      <w:pPr>
        <w:pStyle w:val="2"/>
        <w:rPr>
          <w:rFonts w:hint="eastAsia" w:ascii="宋体" w:hAnsi="宋体"/>
          <w:b w:val="0"/>
          <w:bCs w:val="0"/>
          <w:color w:val="auto"/>
          <w:sz w:val="44"/>
          <w:szCs w:val="44"/>
          <w:highlight w:val="none"/>
        </w:rPr>
      </w:pPr>
    </w:p>
    <w:p>
      <w:pPr>
        <w:rPr>
          <w:rFonts w:hint="eastAsia" w:ascii="宋体" w:hAnsi="宋体"/>
          <w:b w:val="0"/>
          <w:bCs w:val="0"/>
          <w:color w:val="auto"/>
          <w:sz w:val="44"/>
          <w:szCs w:val="44"/>
          <w:highlight w:val="none"/>
        </w:rPr>
      </w:pPr>
    </w:p>
    <w:p>
      <w:pPr>
        <w:pStyle w:val="2"/>
        <w:rPr>
          <w:rFonts w:hint="eastAsia" w:ascii="宋体" w:hAnsi="宋体"/>
          <w:b w:val="0"/>
          <w:bCs w:val="0"/>
          <w:color w:val="auto"/>
          <w:sz w:val="44"/>
          <w:szCs w:val="44"/>
          <w:highlight w:val="none"/>
        </w:rPr>
      </w:pPr>
    </w:p>
    <w:p>
      <w:pPr>
        <w:rPr>
          <w:rFonts w:hint="eastAsia" w:ascii="宋体" w:hAnsi="宋体"/>
          <w:b w:val="0"/>
          <w:bCs w:val="0"/>
          <w:color w:val="auto"/>
          <w:sz w:val="44"/>
          <w:szCs w:val="44"/>
          <w:highlight w:val="none"/>
        </w:rPr>
      </w:pPr>
    </w:p>
    <w:p>
      <w:pPr>
        <w:pStyle w:val="2"/>
        <w:rPr>
          <w:rFonts w:hint="eastAsia" w:ascii="宋体" w:hAnsi="宋体"/>
          <w:b w:val="0"/>
          <w:bCs w:val="0"/>
          <w:color w:val="auto"/>
          <w:sz w:val="44"/>
          <w:szCs w:val="44"/>
          <w:highlight w:val="none"/>
        </w:rPr>
      </w:pPr>
    </w:p>
    <w:p>
      <w:pPr>
        <w:rPr>
          <w:rFonts w:hint="eastAsia" w:ascii="宋体" w:hAnsi="宋体"/>
          <w:b w:val="0"/>
          <w:bCs w:val="0"/>
          <w:color w:val="auto"/>
          <w:sz w:val="44"/>
          <w:szCs w:val="44"/>
          <w:highlight w:val="none"/>
        </w:rPr>
      </w:pPr>
    </w:p>
    <w:p>
      <w:pPr>
        <w:pStyle w:val="2"/>
        <w:rPr>
          <w:rFonts w:hint="eastAsia"/>
          <w:color w:val="auto"/>
          <w:highlight w:val="none"/>
        </w:rPr>
      </w:pPr>
    </w:p>
    <w:p>
      <w:pPr>
        <w:spacing w:line="360" w:lineRule="auto"/>
        <w:jc w:val="center"/>
        <w:outlineLvl w:val="0"/>
        <w:rPr>
          <w:rFonts w:hint="eastAsia" w:ascii="宋体" w:hAnsi="宋体"/>
          <w:b w:val="0"/>
          <w:bCs w:val="0"/>
          <w:color w:val="auto"/>
          <w:sz w:val="44"/>
          <w:szCs w:val="44"/>
          <w:highlight w:val="none"/>
          <w:lang w:val="en-US" w:eastAsia="zh-CN"/>
        </w:rPr>
      </w:pPr>
      <w:r>
        <w:rPr>
          <w:rFonts w:hint="eastAsia" w:ascii="宋体" w:hAnsi="宋体"/>
          <w:b w:val="0"/>
          <w:bCs w:val="0"/>
          <w:color w:val="auto"/>
          <w:sz w:val="44"/>
          <w:szCs w:val="44"/>
          <w:highlight w:val="none"/>
          <w:lang w:val="en-US" w:eastAsia="zh-CN"/>
        </w:rPr>
        <w:br w:type="page"/>
      </w:r>
    </w:p>
    <w:p>
      <w:pPr>
        <w:spacing w:line="360" w:lineRule="auto"/>
        <w:jc w:val="center"/>
        <w:outlineLvl w:val="1"/>
        <w:rPr>
          <w:rFonts w:hint="eastAsia" w:ascii="宋体" w:hAnsi="宋体"/>
          <w:color w:val="auto"/>
          <w:kern w:val="0"/>
          <w:sz w:val="32"/>
          <w:szCs w:val="32"/>
          <w:highlight w:val="none"/>
        </w:rPr>
      </w:pPr>
      <w:r>
        <w:rPr>
          <w:rFonts w:hint="eastAsia" w:ascii="宋体" w:hAnsi="宋体"/>
          <w:color w:val="auto"/>
          <w:kern w:val="0"/>
          <w:sz w:val="32"/>
          <w:szCs w:val="32"/>
          <w:highlight w:val="none"/>
          <w:u w:val="single"/>
        </w:rPr>
        <w:t xml:space="preserve">                   </w:t>
      </w:r>
      <w:bookmarkStart w:id="2288" w:name="_Toc26976"/>
      <w:bookmarkStart w:id="2289" w:name="_Toc27319"/>
      <w:bookmarkStart w:id="2290" w:name="_Toc24145"/>
      <w:bookmarkStart w:id="2291" w:name="_Toc4376"/>
      <w:bookmarkStart w:id="2292" w:name="_Toc27956"/>
      <w:r>
        <w:rPr>
          <w:rFonts w:hint="eastAsia" w:ascii="宋体" w:hAnsi="宋体"/>
          <w:color w:val="auto"/>
          <w:kern w:val="0"/>
          <w:sz w:val="32"/>
          <w:szCs w:val="32"/>
          <w:highlight w:val="none"/>
          <w:u w:val="single"/>
        </w:rPr>
        <w:t>（项目名称）</w:t>
      </w:r>
      <w:bookmarkEnd w:id="2288"/>
      <w:bookmarkEnd w:id="2289"/>
      <w:bookmarkEnd w:id="2290"/>
      <w:bookmarkEnd w:id="2291"/>
      <w:bookmarkEnd w:id="2292"/>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商务部分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bookmarkStart w:id="2293" w:name="_Toc29538"/>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outlineLvl w:val="1"/>
        <w:rPr>
          <w:rFonts w:ascii="宋体" w:hAnsi="宋体"/>
          <w:color w:val="auto"/>
          <w:w w:val="99"/>
          <w:kern w:val="0"/>
          <w:sz w:val="28"/>
          <w:szCs w:val="28"/>
          <w:highlight w:val="none"/>
        </w:rPr>
      </w:pPr>
      <w:bookmarkStart w:id="2294" w:name="_Toc29315"/>
      <w:bookmarkStart w:id="2295" w:name="_Toc11184"/>
      <w:bookmarkStart w:id="2296" w:name="_Toc25502"/>
      <w:bookmarkStart w:id="2297" w:name="_Toc3866"/>
      <w:bookmarkStart w:id="2298" w:name="_Toc6221"/>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bookmarkEnd w:id="2294"/>
      <w:bookmarkEnd w:id="2295"/>
      <w:bookmarkEnd w:id="2296"/>
      <w:bookmarkEnd w:id="2297"/>
      <w:bookmarkEnd w:id="2298"/>
    </w:p>
    <w:p>
      <w:pPr>
        <w:tabs>
          <w:tab w:val="left" w:pos="6080"/>
          <w:tab w:val="left" w:pos="6640"/>
        </w:tabs>
        <w:autoSpaceDE w:val="0"/>
        <w:autoSpaceDN w:val="0"/>
        <w:adjustRightInd w:val="0"/>
        <w:snapToGrid w:val="0"/>
        <w:spacing w:after="156" w:afterLines="50" w:line="360" w:lineRule="auto"/>
        <w:jc w:val="center"/>
        <w:outlineLvl w:val="1"/>
        <w:rPr>
          <w:rFonts w:ascii="宋体" w:hAnsi="宋体"/>
          <w:b/>
          <w:color w:val="auto"/>
          <w:kern w:val="0"/>
          <w:sz w:val="28"/>
          <w:szCs w:val="28"/>
          <w:highlight w:val="none"/>
        </w:rPr>
      </w:pPr>
      <w:bookmarkStart w:id="2299" w:name="_Toc5011"/>
      <w:bookmarkStart w:id="2300" w:name="_Toc28584"/>
      <w:bookmarkStart w:id="2301" w:name="_Toc10205"/>
      <w:bookmarkStart w:id="2302" w:name="_Toc6569"/>
      <w:bookmarkStart w:id="2303" w:name="_Toc6337"/>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bookmarkEnd w:id="2299"/>
      <w:bookmarkEnd w:id="2300"/>
      <w:bookmarkEnd w:id="2301"/>
      <w:bookmarkEnd w:id="2302"/>
      <w:bookmarkEnd w:id="2303"/>
    </w:p>
    <w:p>
      <w:pPr>
        <w:tabs>
          <w:tab w:val="left" w:pos="3280"/>
          <w:tab w:val="left" w:pos="4680"/>
          <w:tab w:val="left" w:pos="6080"/>
        </w:tabs>
        <w:autoSpaceDE w:val="0"/>
        <w:autoSpaceDN w:val="0"/>
        <w:adjustRightInd w:val="0"/>
        <w:snapToGrid w:val="0"/>
        <w:spacing w:after="156" w:afterLines="50" w:line="360" w:lineRule="auto"/>
        <w:jc w:val="center"/>
        <w:outlineLvl w:val="1"/>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bookmarkStart w:id="2304" w:name="_Toc2176"/>
      <w:bookmarkStart w:id="2305" w:name="_Toc22120"/>
      <w:bookmarkStart w:id="2306" w:name="_Toc354"/>
      <w:bookmarkStart w:id="2307" w:name="_Toc11225"/>
      <w:bookmarkStart w:id="2308" w:name="_Toc11757"/>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bookmarkEnd w:id="2304"/>
      <w:bookmarkEnd w:id="2305"/>
      <w:bookmarkEnd w:id="2306"/>
      <w:bookmarkEnd w:id="2307"/>
      <w:bookmarkEnd w:id="2308"/>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hint="eastAsia" w:ascii="宋体" w:hAnsi="宋体"/>
          <w:i w:val="0"/>
          <w:iCs w:val="0"/>
          <w:color w:val="auto"/>
          <w:kern w:val="0"/>
          <w:szCs w:val="21"/>
          <w:highlight w:val="none"/>
          <w:lang w:eastAsia="zh-CN"/>
        </w:rPr>
        <w:t>（</w:t>
      </w:r>
      <w:r>
        <w:rPr>
          <w:rFonts w:hint="eastAsia" w:ascii="宋体" w:hAnsi="宋体"/>
          <w:i w:val="0"/>
          <w:iCs w:val="0"/>
          <w:color w:val="auto"/>
          <w:kern w:val="0"/>
          <w:szCs w:val="21"/>
          <w:highlight w:val="none"/>
          <w:lang w:val="en-US" w:eastAsia="zh-CN"/>
        </w:rPr>
        <w:t>注</w:t>
      </w:r>
      <w:r>
        <w:rPr>
          <w:rFonts w:hint="eastAsia" w:ascii="宋体" w:hAnsi="宋体"/>
          <w:i w:val="0"/>
          <w:iCs w:val="0"/>
          <w:color w:val="auto"/>
          <w:kern w:val="0"/>
          <w:szCs w:val="21"/>
          <w:highlight w:val="none"/>
        </w:rPr>
        <w:t>：</w:t>
      </w:r>
      <w:r>
        <w:rPr>
          <w:rFonts w:ascii="宋体" w:hAnsi="宋体"/>
          <w:i w:val="0"/>
          <w:iCs w:val="0"/>
          <w:color w:val="auto"/>
          <w:kern w:val="0"/>
          <w:szCs w:val="21"/>
          <w:highlight w:val="none"/>
        </w:rPr>
        <w:t>目录由投标人自行编制</w:t>
      </w:r>
      <w:r>
        <w:rPr>
          <w:rFonts w:hint="eastAsia" w:ascii="宋体" w:hAnsi="宋体"/>
          <w:i w:val="0"/>
          <w:iCs w:val="0"/>
          <w:color w:val="auto"/>
          <w:kern w:val="0"/>
          <w:szCs w:val="21"/>
          <w:highlight w:val="none"/>
          <w:lang w:eastAsia="zh-CN"/>
        </w:rPr>
        <w:t>）</w:t>
      </w:r>
    </w:p>
    <w:p>
      <w:pPr>
        <w:autoSpaceDE/>
        <w:autoSpaceDN/>
        <w:adjustRightInd/>
        <w:snapToGrid/>
        <w:spacing w:line="240" w:lineRule="auto"/>
        <w:jc w:val="left"/>
        <w:rPr>
          <w:rFonts w:ascii="宋体" w:hAnsi="宋体"/>
          <w:i/>
          <w:iCs/>
          <w:color w:val="auto"/>
          <w:kern w:val="0"/>
          <w:szCs w:val="21"/>
          <w:highlight w:val="none"/>
        </w:rPr>
      </w:pPr>
      <w:r>
        <w:rPr>
          <w:rFonts w:ascii="宋体" w:hAnsi="宋体"/>
          <w:i/>
          <w:iCs/>
          <w:color w:val="auto"/>
          <w:kern w:val="0"/>
          <w:szCs w:val="21"/>
          <w:highlight w:val="none"/>
        </w:rPr>
        <w:br w:type="page"/>
      </w:r>
    </w:p>
    <w:p>
      <w:pPr>
        <w:ind w:firstLine="420" w:firstLineChars="200"/>
        <w:rPr>
          <w:rFonts w:hint="eastAsia" w:ascii="宋体" w:hAnsi="宋体"/>
          <w:b w:val="0"/>
          <w:bCs w:val="0"/>
          <w:color w:val="auto"/>
          <w:sz w:val="44"/>
          <w:szCs w:val="44"/>
          <w:highlight w:val="none"/>
          <w:lang w:val="en-US" w:eastAsia="zh-CN"/>
        </w:rPr>
      </w:pPr>
      <w:r>
        <w:rPr>
          <w:rFonts w:hint="eastAsia" w:ascii="宋体" w:hAnsi="宋体"/>
          <w:b w:val="0"/>
          <w:bCs w:val="0"/>
          <w:color w:val="auto"/>
          <w:sz w:val="21"/>
          <w:szCs w:val="21"/>
          <w:highlight w:val="none"/>
          <w:lang w:val="en-US" w:eastAsia="zh-CN"/>
        </w:rPr>
        <w:t>注：提供第三章评标办法前附表商务部分要求提供的证明材料。</w:t>
      </w:r>
      <w:r>
        <w:rPr>
          <w:rFonts w:hint="eastAsia" w:ascii="宋体" w:hAnsi="宋体"/>
          <w:b w:val="0"/>
          <w:bCs w:val="0"/>
          <w:color w:val="auto"/>
          <w:sz w:val="44"/>
          <w:szCs w:val="44"/>
          <w:highlight w:val="none"/>
          <w:lang w:val="en-US" w:eastAsia="zh-CN"/>
        </w:rPr>
        <w:br w:type="page"/>
      </w:r>
    </w:p>
    <w:p>
      <w:pPr>
        <w:pStyle w:val="4"/>
        <w:spacing w:line="360" w:lineRule="auto"/>
        <w:jc w:val="center"/>
        <w:outlineLvl w:val="0"/>
        <w:rPr>
          <w:rFonts w:ascii="宋体" w:hAnsi="宋体"/>
          <w:b w:val="0"/>
          <w:bCs w:val="0"/>
          <w:color w:val="auto"/>
          <w:sz w:val="44"/>
          <w:szCs w:val="44"/>
          <w:highlight w:val="none"/>
        </w:rPr>
      </w:pPr>
      <w:bookmarkStart w:id="2309" w:name="_Toc17421"/>
      <w:r>
        <w:rPr>
          <w:rFonts w:hint="eastAsia" w:ascii="宋体" w:hAnsi="宋体"/>
          <w:b w:val="0"/>
          <w:bCs w:val="0"/>
          <w:color w:val="auto"/>
          <w:sz w:val="44"/>
          <w:szCs w:val="44"/>
          <w:highlight w:val="none"/>
          <w:lang w:val="en-US" w:eastAsia="zh-CN"/>
        </w:rPr>
        <w:t>四</w:t>
      </w:r>
      <w:r>
        <w:rPr>
          <w:rFonts w:hint="eastAsia" w:ascii="宋体" w:hAnsi="宋体"/>
          <w:b w:val="0"/>
          <w:bCs w:val="0"/>
          <w:color w:val="auto"/>
          <w:sz w:val="44"/>
          <w:szCs w:val="44"/>
          <w:highlight w:val="none"/>
        </w:rPr>
        <w:t>、技术部分</w:t>
      </w:r>
      <w:bookmarkEnd w:id="2279"/>
      <w:bookmarkEnd w:id="2280"/>
      <w:bookmarkEnd w:id="2286"/>
      <w:bookmarkEnd w:id="2287"/>
      <w:bookmarkEnd w:id="2293"/>
      <w:bookmarkEnd w:id="2309"/>
    </w:p>
    <w:p>
      <w:pPr>
        <w:jc w:val="center"/>
        <w:rPr>
          <w:rFonts w:ascii="宋体" w:hAnsi="宋体"/>
          <w:i/>
          <w:iCs/>
          <w:color w:val="auto"/>
          <w:kern w:val="0"/>
          <w:szCs w:val="21"/>
          <w:highlight w:val="none"/>
        </w:rPr>
      </w:pPr>
      <w:bookmarkStart w:id="2310" w:name="_Toc430530537"/>
      <w:bookmarkStart w:id="2311" w:name="_Toc534185833"/>
      <w:bookmarkStart w:id="2312" w:name="_Toc536628352"/>
      <w:bookmarkStart w:id="2313" w:name="_Toc509218856"/>
      <w:r>
        <w:rPr>
          <w:rFonts w:ascii="宋体" w:hAnsi="宋体"/>
          <w:i/>
          <w:iCs/>
          <w:color w:val="auto"/>
          <w:kern w:val="0"/>
          <w:szCs w:val="21"/>
          <w:highlight w:val="none"/>
        </w:rPr>
        <w:t>[</w:t>
      </w:r>
      <w:r>
        <w:rPr>
          <w:rFonts w:hint="eastAsia"/>
          <w:i/>
          <w:iCs/>
          <w:color w:val="auto"/>
          <w:highlight w:val="none"/>
        </w:rPr>
        <w:t>提示：</w:t>
      </w:r>
      <w:r>
        <w:rPr>
          <w:i/>
          <w:iCs/>
          <w:color w:val="auto"/>
          <w:highlight w:val="none"/>
        </w:rPr>
        <w:t>不设置技术评审的不设此部分</w:t>
      </w:r>
      <w:bookmarkEnd w:id="2281"/>
      <w:bookmarkEnd w:id="2282"/>
      <w:bookmarkEnd w:id="2310"/>
      <w:bookmarkEnd w:id="2311"/>
      <w:bookmarkEnd w:id="2312"/>
      <w:bookmarkEnd w:id="2313"/>
      <w:r>
        <w:rPr>
          <w:rFonts w:ascii="宋体" w:hAnsi="宋体"/>
          <w:i/>
          <w:iCs/>
          <w:color w:val="auto"/>
          <w:kern w:val="0"/>
          <w:szCs w:val="21"/>
          <w:highlight w:val="none"/>
        </w:rPr>
        <w:t>]</w:t>
      </w:r>
    </w:p>
    <w:p>
      <w:pPr>
        <w:jc w:val="center"/>
        <w:rPr>
          <w:color w:val="auto"/>
          <w:highlight w:val="none"/>
        </w:rPr>
      </w:pPr>
      <w:r>
        <w:rPr>
          <w:rFonts w:hint="eastAsia" w:ascii="宋体" w:hAnsi="宋体"/>
          <w:color w:val="auto"/>
          <w:kern w:val="0"/>
          <w:szCs w:val="21"/>
          <w:highlight w:val="none"/>
        </w:rPr>
        <w:t>（注：</w:t>
      </w:r>
      <w:r>
        <w:rPr>
          <w:rFonts w:hint="eastAsia" w:ascii="宋体" w:hAnsi="宋体"/>
          <w:color w:val="auto"/>
          <w:szCs w:val="21"/>
          <w:highlight w:val="none"/>
        </w:rPr>
        <w:t>电子投标文件技术明、暗标均不设封面</w:t>
      </w:r>
      <w:r>
        <w:rPr>
          <w:rFonts w:hint="eastAsia" w:ascii="宋体" w:hAnsi="宋体"/>
          <w:i w:val="0"/>
          <w:iCs w:val="0"/>
          <w:szCs w:val="21"/>
          <w:lang w:eastAsia="zh-CN"/>
        </w:rPr>
        <w:t>。</w:t>
      </w:r>
      <w:r>
        <w:rPr>
          <w:rFonts w:hint="eastAsia" w:ascii="宋体" w:hAnsi="宋体"/>
          <w:i w:val="0"/>
          <w:iCs w:val="0"/>
          <w:szCs w:val="21"/>
        </w:rPr>
        <w:t>投标人应根据招标文件的要求编制技术方案</w:t>
      </w:r>
      <w:r>
        <w:rPr>
          <w:rFonts w:hint="eastAsia" w:ascii="宋体" w:hAnsi="宋体"/>
          <w:i w:val="0"/>
          <w:iCs w:val="0"/>
          <w:szCs w:val="21"/>
          <w:lang w:eastAsia="zh-CN"/>
        </w:rPr>
        <w:t>。</w:t>
      </w:r>
      <w:r>
        <w:rPr>
          <w:rFonts w:hint="eastAsia" w:ascii="宋体" w:hAnsi="宋体"/>
          <w:color w:val="auto"/>
          <w:kern w:val="0"/>
          <w:szCs w:val="21"/>
          <w:highlight w:val="none"/>
        </w:rPr>
        <w:t>）</w:t>
      </w:r>
    </w:p>
    <w:p>
      <w:pPr>
        <w:autoSpaceDE w:val="0"/>
        <w:autoSpaceDN w:val="0"/>
        <w:adjustRightInd w:val="0"/>
        <w:snapToGrid w:val="0"/>
        <w:spacing w:line="360" w:lineRule="auto"/>
        <w:ind w:firstLine="472" w:firstLineChars="196"/>
        <w:rPr>
          <w:rFonts w:ascii="宋体" w:hAnsi="宋体"/>
          <w:b/>
          <w:snapToGrid w:val="0"/>
          <w:color w:val="auto"/>
          <w:kern w:val="0"/>
          <w:sz w:val="24"/>
          <w:highlight w:val="none"/>
        </w:rPr>
      </w:pPr>
    </w:p>
    <w:p>
      <w:pPr>
        <w:autoSpaceDE w:val="0"/>
        <w:autoSpaceDN w:val="0"/>
        <w:adjustRightInd w:val="0"/>
        <w:snapToGrid w:val="0"/>
        <w:spacing w:line="360" w:lineRule="auto"/>
        <w:jc w:val="center"/>
        <w:rPr>
          <w:rFonts w:ascii="宋体" w:hAnsi="宋体"/>
          <w:color w:val="auto"/>
          <w:kern w:val="0"/>
          <w:sz w:val="24"/>
          <w:highlight w:val="none"/>
        </w:rPr>
      </w:pPr>
      <w:r>
        <w:rPr>
          <w:rFonts w:ascii="宋体" w:hAnsi="宋体"/>
          <w:color w:val="auto"/>
          <w:kern w:val="0"/>
          <w:sz w:val="24"/>
          <w:highlight w:val="none"/>
        </w:rPr>
        <w:br w:type="page"/>
      </w:r>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napToGrid w:val="0"/>
        <w:spacing w:line="360" w:lineRule="auto"/>
        <w:jc w:val="center"/>
        <w:outlineLvl w:val="0"/>
        <w:rPr>
          <w:rFonts w:ascii="宋体" w:hAnsi="宋体"/>
          <w:color w:val="auto"/>
          <w:kern w:val="0"/>
          <w:sz w:val="32"/>
          <w:szCs w:val="32"/>
          <w:highlight w:val="none"/>
        </w:rPr>
      </w:pPr>
      <w:bookmarkStart w:id="2314" w:name="_Toc18984"/>
      <w:bookmarkStart w:id="2315" w:name="_Toc29973"/>
      <w:bookmarkStart w:id="2316" w:name="_Toc2275"/>
      <w:bookmarkStart w:id="2317" w:name="_Toc10086"/>
      <w:bookmarkStart w:id="2318" w:name="_Toc16438"/>
      <w:r>
        <w:rPr>
          <w:rFonts w:hint="eastAsia" w:ascii="宋体" w:hAnsi="宋体"/>
          <w:color w:val="auto"/>
          <w:kern w:val="0"/>
          <w:sz w:val="36"/>
          <w:szCs w:val="36"/>
          <w:highlight w:val="none"/>
        </w:rPr>
        <w:t>目  录</w:t>
      </w:r>
      <w:bookmarkEnd w:id="2314"/>
      <w:bookmarkEnd w:id="2315"/>
      <w:bookmarkEnd w:id="2316"/>
      <w:bookmarkEnd w:id="2317"/>
      <w:bookmarkEnd w:id="2318"/>
    </w:p>
    <w:p>
      <w:pPr>
        <w:autoSpaceDE w:val="0"/>
        <w:autoSpaceDN w:val="0"/>
        <w:adjustRightInd w:val="0"/>
        <w:snapToGrid w:val="0"/>
        <w:spacing w:line="360" w:lineRule="auto"/>
        <w:jc w:val="left"/>
        <w:rPr>
          <w:rFonts w:ascii="宋体" w:hAnsi="宋体"/>
          <w:color w:val="auto"/>
          <w:kern w:val="0"/>
          <w:sz w:val="32"/>
          <w:szCs w:val="32"/>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hint="eastAsia" w:ascii="宋体" w:hAnsi="宋体"/>
          <w:i w:val="0"/>
          <w:iCs w:val="0"/>
          <w:color w:val="auto"/>
          <w:kern w:val="0"/>
          <w:szCs w:val="21"/>
          <w:highlight w:val="none"/>
          <w:lang w:eastAsia="zh-CN"/>
        </w:rPr>
        <w:t>（</w:t>
      </w:r>
      <w:r>
        <w:rPr>
          <w:rFonts w:hint="eastAsia" w:ascii="宋体" w:hAnsi="宋体"/>
          <w:i w:val="0"/>
          <w:iCs w:val="0"/>
          <w:color w:val="auto"/>
          <w:kern w:val="0"/>
          <w:szCs w:val="21"/>
          <w:highlight w:val="none"/>
          <w:lang w:val="en-US" w:eastAsia="zh-CN"/>
        </w:rPr>
        <w:t>注</w:t>
      </w:r>
      <w:r>
        <w:rPr>
          <w:rFonts w:hint="eastAsia" w:ascii="宋体" w:hAnsi="宋体"/>
          <w:i w:val="0"/>
          <w:iCs w:val="0"/>
          <w:color w:val="auto"/>
          <w:kern w:val="0"/>
          <w:szCs w:val="21"/>
          <w:highlight w:val="none"/>
        </w:rPr>
        <w:t>：</w:t>
      </w:r>
      <w:r>
        <w:rPr>
          <w:rFonts w:ascii="宋体" w:hAnsi="宋体"/>
          <w:i w:val="0"/>
          <w:iCs w:val="0"/>
          <w:color w:val="auto"/>
          <w:kern w:val="0"/>
          <w:szCs w:val="21"/>
          <w:highlight w:val="none"/>
        </w:rPr>
        <w:t>目录由投标人自行编制</w:t>
      </w:r>
      <w:r>
        <w:rPr>
          <w:rFonts w:hint="eastAsia" w:ascii="宋体" w:hAnsi="宋体"/>
          <w:i w:val="0"/>
          <w:iCs w:val="0"/>
          <w:color w:val="auto"/>
          <w:kern w:val="0"/>
          <w:szCs w:val="21"/>
          <w:highlight w:val="none"/>
          <w:lang w:eastAsia="zh-CN"/>
        </w:rPr>
        <w:t>）</w:t>
      </w:r>
    </w:p>
    <w:p>
      <w:pPr>
        <w:autoSpaceDE w:val="0"/>
        <w:autoSpaceDN w:val="0"/>
        <w:adjustRightInd w:val="0"/>
        <w:snapToGrid w:val="0"/>
        <w:spacing w:line="360" w:lineRule="auto"/>
        <w:jc w:val="center"/>
        <w:rPr>
          <w:rFonts w:ascii="宋体" w:hAnsi="宋体"/>
          <w:color w:val="auto"/>
          <w:sz w:val="36"/>
          <w:szCs w:val="36"/>
          <w:highlight w:val="none"/>
        </w:rPr>
      </w:pPr>
      <w:r>
        <w:rPr>
          <w:rFonts w:ascii="宋体" w:hAnsi="宋体"/>
          <w:color w:val="auto"/>
          <w:highlight w:val="none"/>
        </w:rPr>
        <w:br w:type="page"/>
      </w:r>
    </w:p>
    <w:p>
      <w:pPr>
        <w:pStyle w:val="4"/>
        <w:spacing w:line="360" w:lineRule="auto"/>
        <w:jc w:val="center"/>
        <w:outlineLvl w:val="0"/>
        <w:rPr>
          <w:rFonts w:ascii="宋体" w:hAnsi="宋体"/>
          <w:b w:val="0"/>
          <w:bCs w:val="0"/>
          <w:color w:val="auto"/>
          <w:sz w:val="44"/>
          <w:szCs w:val="44"/>
          <w:highlight w:val="none"/>
        </w:rPr>
      </w:pPr>
      <w:bookmarkStart w:id="2319" w:name="_Toc224103510"/>
      <w:bookmarkStart w:id="2320" w:name="_Toc430530545"/>
      <w:bookmarkStart w:id="2321" w:name="_Toc277082656"/>
      <w:bookmarkStart w:id="2322" w:name="_Toc287607882"/>
      <w:bookmarkStart w:id="2323" w:name="_Toc287620829"/>
      <w:bookmarkStart w:id="2324" w:name="_Toc20681"/>
      <w:bookmarkStart w:id="2325" w:name="_Toc821"/>
      <w:bookmarkStart w:id="2326" w:name="_Toc4869"/>
      <w:bookmarkStart w:id="2327" w:name="_Toc11139"/>
      <w:r>
        <w:rPr>
          <w:rFonts w:hint="eastAsia" w:ascii="宋体" w:hAnsi="宋体"/>
          <w:b w:val="0"/>
          <w:bCs w:val="0"/>
          <w:color w:val="auto"/>
          <w:sz w:val="44"/>
          <w:szCs w:val="44"/>
          <w:highlight w:val="none"/>
          <w:lang w:val="en-US" w:eastAsia="zh-CN"/>
        </w:rPr>
        <w:t>五</w:t>
      </w:r>
      <w:r>
        <w:rPr>
          <w:rFonts w:hint="eastAsia" w:ascii="宋体" w:hAnsi="宋体"/>
          <w:b w:val="0"/>
          <w:bCs w:val="0"/>
          <w:color w:val="auto"/>
          <w:sz w:val="44"/>
          <w:szCs w:val="44"/>
          <w:highlight w:val="none"/>
        </w:rPr>
        <w:t>、</w:t>
      </w:r>
      <w:bookmarkEnd w:id="2319"/>
      <w:bookmarkEnd w:id="2320"/>
      <w:bookmarkEnd w:id="2321"/>
      <w:bookmarkEnd w:id="2322"/>
      <w:bookmarkEnd w:id="2323"/>
      <w:r>
        <w:rPr>
          <w:rFonts w:hint="eastAsia" w:ascii="宋体" w:hAnsi="宋体"/>
          <w:b w:val="0"/>
          <w:bCs w:val="0"/>
          <w:color w:val="auto"/>
          <w:sz w:val="44"/>
          <w:szCs w:val="44"/>
          <w:highlight w:val="none"/>
        </w:rPr>
        <w:t>资格审查部分</w:t>
      </w:r>
      <w:bookmarkEnd w:id="2324"/>
      <w:bookmarkEnd w:id="2325"/>
      <w:bookmarkEnd w:id="2326"/>
      <w:bookmarkEnd w:id="2327"/>
    </w:p>
    <w:p>
      <w:pPr>
        <w:spacing w:line="360" w:lineRule="auto"/>
        <w:jc w:val="center"/>
        <w:rPr>
          <w:rFonts w:ascii="宋体" w:hAnsi="宋体"/>
          <w:color w:val="auto"/>
          <w:kern w:val="0"/>
          <w:sz w:val="32"/>
          <w:szCs w:val="32"/>
          <w:highlight w:val="none"/>
        </w:rPr>
      </w:pPr>
      <w:r>
        <w:rPr>
          <w:rFonts w:ascii="宋体" w:hAnsi="宋体"/>
          <w:color w:val="auto"/>
          <w:sz w:val="32"/>
          <w:szCs w:val="32"/>
          <w:highlight w:val="none"/>
        </w:rPr>
        <w:br w:type="page"/>
      </w: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outlineLvl w:val="0"/>
        <w:rPr>
          <w:rFonts w:ascii="宋体" w:hAnsi="宋体"/>
          <w:color w:val="auto"/>
          <w:kern w:val="0"/>
          <w:sz w:val="36"/>
          <w:szCs w:val="36"/>
          <w:highlight w:val="none"/>
        </w:rPr>
      </w:pPr>
      <w:bookmarkStart w:id="2328" w:name="_Toc23718"/>
      <w:bookmarkStart w:id="2329" w:name="_Toc6268"/>
      <w:bookmarkStart w:id="2330" w:name="_Toc17117"/>
      <w:bookmarkStart w:id="2331" w:name="_Toc10765"/>
      <w:bookmarkStart w:id="2332" w:name="_Toc27066"/>
      <w:r>
        <w:rPr>
          <w:rFonts w:hint="eastAsia" w:ascii="宋体" w:hAnsi="宋体"/>
          <w:color w:val="auto"/>
          <w:kern w:val="0"/>
          <w:sz w:val="36"/>
          <w:szCs w:val="36"/>
          <w:highlight w:val="none"/>
        </w:rPr>
        <w:t>资格审查部分</w:t>
      </w:r>
      <w:bookmarkEnd w:id="2328"/>
      <w:bookmarkEnd w:id="2329"/>
      <w:bookmarkEnd w:id="2330"/>
      <w:bookmarkEnd w:id="2331"/>
      <w:bookmarkEnd w:id="2332"/>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djustRightInd w:val="0"/>
        <w:snapToGrid w:val="0"/>
        <w:spacing w:line="264" w:lineRule="auto"/>
        <w:rPr>
          <w:rFonts w:ascii="宋体" w:hAnsi="宋体"/>
          <w:color w:val="auto"/>
          <w:szCs w:val="21"/>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tabs>
          <w:tab w:val="left" w:pos="6080"/>
          <w:tab w:val="left" w:pos="664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tabs>
          <w:tab w:val="left" w:pos="3280"/>
          <w:tab w:val="left" w:pos="4680"/>
          <w:tab w:val="left" w:pos="6080"/>
        </w:tabs>
        <w:autoSpaceDE w:val="0"/>
        <w:autoSpaceDN w:val="0"/>
        <w:adjustRightInd w:val="0"/>
        <w:snapToGrid w:val="0"/>
        <w:spacing w:line="480" w:lineRule="auto"/>
        <w:jc w:val="center"/>
        <w:rPr>
          <w:rFonts w:ascii="宋体" w:hAnsi="宋体"/>
          <w:b/>
          <w:color w:val="auto"/>
          <w:kern w:val="0"/>
          <w:sz w:val="28"/>
          <w:szCs w:val="28"/>
          <w:highlight w:val="none"/>
        </w:rPr>
      </w:pPr>
      <w:r>
        <w:rPr>
          <w:rFonts w:ascii="宋体" w:hAnsi="宋体"/>
          <w:color w:val="auto"/>
          <w:w w:val="99"/>
          <w:kern w:val="0"/>
          <w:sz w:val="28"/>
          <w:szCs w:val="28"/>
          <w:highlight w:val="none"/>
        </w:rPr>
        <w:br w:type="page"/>
      </w:r>
    </w:p>
    <w:p>
      <w:pPr>
        <w:autoSpaceDE w:val="0"/>
        <w:autoSpaceDN w:val="0"/>
        <w:adjustRightInd w:val="0"/>
        <w:snapToGrid w:val="0"/>
        <w:jc w:val="center"/>
        <w:outlineLvl w:val="0"/>
        <w:rPr>
          <w:rFonts w:ascii="宋体" w:hAnsi="宋体"/>
          <w:color w:val="auto"/>
          <w:kern w:val="0"/>
          <w:sz w:val="36"/>
          <w:szCs w:val="36"/>
          <w:highlight w:val="none"/>
        </w:rPr>
      </w:pPr>
      <w:bookmarkStart w:id="2333" w:name="_Toc30008"/>
      <w:bookmarkStart w:id="2334" w:name="_Toc7421"/>
      <w:bookmarkStart w:id="2335" w:name="_Toc31941"/>
      <w:bookmarkStart w:id="2336" w:name="_Toc16102"/>
      <w:bookmarkStart w:id="2337" w:name="_Toc7356"/>
      <w:r>
        <w:rPr>
          <w:rFonts w:hint="eastAsia" w:ascii="宋体" w:hAnsi="宋体"/>
          <w:color w:val="auto"/>
          <w:kern w:val="0"/>
          <w:sz w:val="36"/>
          <w:szCs w:val="36"/>
          <w:highlight w:val="none"/>
        </w:rPr>
        <w:t>目  录</w:t>
      </w:r>
      <w:bookmarkEnd w:id="2333"/>
      <w:bookmarkEnd w:id="2334"/>
      <w:bookmarkEnd w:id="2335"/>
      <w:bookmarkEnd w:id="2336"/>
      <w:bookmarkEnd w:id="2337"/>
    </w:p>
    <w:p>
      <w:pPr>
        <w:spacing w:line="360" w:lineRule="auto"/>
        <w:jc w:val="center"/>
        <w:rPr>
          <w:rFonts w:ascii="宋体" w:hAnsi="宋体"/>
          <w:b/>
          <w:color w:val="auto"/>
          <w:kern w:val="0"/>
          <w:sz w:val="32"/>
          <w:szCs w:val="32"/>
          <w:highlight w:val="none"/>
        </w:rPr>
      </w:pP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（一）</w:t>
      </w:r>
      <w:r>
        <w:rPr>
          <w:rFonts w:hint="eastAsia" w:ascii="宋体" w:hAnsi="宋体"/>
          <w:color w:val="auto"/>
          <w:szCs w:val="21"/>
          <w:highlight w:val="none"/>
        </w:rPr>
        <w:t>法定代表人身份证明或授权委托书</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（二）</w:t>
      </w:r>
      <w:r>
        <w:rPr>
          <w:rFonts w:hint="eastAsia" w:ascii="宋体" w:hAnsi="宋体"/>
          <w:color w:val="auto"/>
          <w:szCs w:val="21"/>
          <w:highlight w:val="none"/>
          <w:lang w:eastAsia="zh-CN"/>
        </w:rPr>
        <w:t>共同投标协议</w:t>
      </w:r>
      <w:r>
        <w:rPr>
          <w:rFonts w:hint="eastAsia" w:ascii="宋体" w:hAnsi="宋体"/>
          <w:color w:val="auto"/>
          <w:szCs w:val="21"/>
          <w:highlight w:val="none"/>
        </w:rPr>
        <w:t>（如有）</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三</w:t>
      </w:r>
      <w:r>
        <w:rPr>
          <w:rFonts w:ascii="宋体" w:hAnsi="宋体"/>
          <w:color w:val="auto"/>
          <w:szCs w:val="21"/>
          <w:highlight w:val="none"/>
        </w:rPr>
        <w:t>）</w:t>
      </w:r>
      <w:r>
        <w:rPr>
          <w:rFonts w:hint="eastAsia" w:ascii="宋体" w:hAnsi="宋体"/>
          <w:color w:val="auto"/>
          <w:szCs w:val="21"/>
          <w:highlight w:val="none"/>
        </w:rPr>
        <w:t>承诺</w:t>
      </w:r>
    </w:p>
    <w:p>
      <w:pPr>
        <w:spacing w:line="360" w:lineRule="auto"/>
        <w:ind w:firstLine="420" w:firstLineChars="200"/>
        <w:rPr>
          <w:rFonts w:hint="eastAsia" w:ascii="宋体" w:hAnsi="宋体"/>
          <w:szCs w:val="21"/>
        </w:rPr>
      </w:pPr>
      <w:r>
        <w:rPr>
          <w:rFonts w:ascii="宋体" w:hAnsi="宋体"/>
          <w:color w:val="auto"/>
          <w:szCs w:val="21"/>
          <w:highlight w:val="none"/>
        </w:rPr>
        <w:t>（</w:t>
      </w:r>
      <w:r>
        <w:rPr>
          <w:rFonts w:hint="eastAsia" w:ascii="宋体" w:hAnsi="宋体"/>
          <w:color w:val="auto"/>
          <w:szCs w:val="21"/>
          <w:highlight w:val="none"/>
          <w:lang w:val="en-US" w:eastAsia="zh-CN"/>
        </w:rPr>
        <w:t>四</w:t>
      </w:r>
      <w:r>
        <w:rPr>
          <w:rFonts w:ascii="宋体" w:hAnsi="宋体"/>
          <w:color w:val="auto"/>
          <w:szCs w:val="21"/>
          <w:highlight w:val="none"/>
        </w:rPr>
        <w:t>）其他资料</w:t>
      </w:r>
    </w:p>
    <w:p>
      <w:pPr>
        <w:spacing w:line="360" w:lineRule="auto"/>
        <w:jc w:val="center"/>
        <w:rPr>
          <w:rFonts w:ascii="宋体" w:hAnsi="宋体"/>
          <w:b/>
          <w:color w:val="auto"/>
          <w:kern w:val="0"/>
          <w:sz w:val="32"/>
          <w:szCs w:val="32"/>
          <w:highlight w:val="none"/>
        </w:rPr>
      </w:pPr>
    </w:p>
    <w:p>
      <w:pPr>
        <w:spacing w:line="360" w:lineRule="auto"/>
        <w:jc w:val="center"/>
        <w:rPr>
          <w:rFonts w:ascii="宋体" w:hAnsi="宋体"/>
          <w:b/>
          <w:color w:val="auto"/>
          <w:kern w:val="0"/>
          <w:sz w:val="32"/>
          <w:szCs w:val="32"/>
          <w:highlight w:val="none"/>
        </w:rPr>
      </w:pPr>
    </w:p>
    <w:p>
      <w:pPr>
        <w:pStyle w:val="5"/>
        <w:spacing w:before="0" w:after="0" w:line="240" w:lineRule="auto"/>
        <w:jc w:val="center"/>
        <w:outlineLvl w:val="0"/>
        <w:rPr>
          <w:rFonts w:ascii="宋体" w:hAnsi="宋体"/>
          <w:color w:val="auto"/>
          <w:sz w:val="36"/>
          <w:szCs w:val="36"/>
          <w:highlight w:val="none"/>
        </w:rPr>
      </w:pPr>
      <w:r>
        <w:rPr>
          <w:rFonts w:ascii="宋体" w:hAnsi="宋体"/>
          <w:color w:val="auto"/>
          <w:highlight w:val="none"/>
        </w:rPr>
        <w:br w:type="page"/>
      </w:r>
      <w:bookmarkStart w:id="2338" w:name="_Toc430530546"/>
      <w:bookmarkStart w:id="2339" w:name="_Toc29838"/>
      <w:bookmarkStart w:id="2340" w:name="_Toc287607883"/>
      <w:bookmarkStart w:id="2341" w:name="_Toc25583"/>
      <w:bookmarkStart w:id="2342" w:name="_Toc5781"/>
      <w:bookmarkStart w:id="2343" w:name="_Toc10547"/>
      <w:bookmarkStart w:id="2344" w:name="_Toc32719"/>
      <w:bookmarkStart w:id="2345" w:name="_Toc9022"/>
      <w:bookmarkStart w:id="2346" w:name="_Toc287620830"/>
      <w:bookmarkStart w:id="2347" w:name="_Toc224103511"/>
      <w:bookmarkStart w:id="2348" w:name="_Toc277082657"/>
      <w:r>
        <w:rPr>
          <w:rFonts w:hint="eastAsia" w:ascii="宋体" w:hAnsi="宋体"/>
          <w:b w:val="0"/>
          <w:bCs w:val="0"/>
          <w:color w:val="auto"/>
          <w:highlight w:val="none"/>
        </w:rPr>
        <w:t>（一）法定代表人身份证明或授权委托书</w:t>
      </w:r>
      <w:bookmarkEnd w:id="2338"/>
      <w:bookmarkEnd w:id="2339"/>
      <w:bookmarkEnd w:id="2340"/>
      <w:bookmarkEnd w:id="2341"/>
      <w:bookmarkEnd w:id="2342"/>
      <w:bookmarkEnd w:id="2343"/>
      <w:bookmarkEnd w:id="2344"/>
      <w:bookmarkEnd w:id="2345"/>
      <w:bookmarkEnd w:id="2346"/>
      <w:bookmarkEnd w:id="2347"/>
      <w:bookmarkEnd w:id="2348"/>
    </w:p>
    <w:p>
      <w:pPr>
        <w:spacing w:line="480" w:lineRule="auto"/>
        <w:jc w:val="center"/>
        <w:outlineLvl w:val="1"/>
        <w:rPr>
          <w:rFonts w:ascii="宋体" w:hAnsi="宋体"/>
          <w:color w:val="auto"/>
          <w:sz w:val="28"/>
          <w:highlight w:val="none"/>
        </w:rPr>
      </w:pPr>
      <w:bookmarkStart w:id="2349" w:name="_Toc11679"/>
      <w:bookmarkStart w:id="2350" w:name="_Toc747"/>
      <w:bookmarkStart w:id="2351" w:name="_Toc14122"/>
      <w:bookmarkStart w:id="2352" w:name="_Toc4852"/>
      <w:bookmarkStart w:id="2353" w:name="_Toc3028"/>
      <w:r>
        <w:rPr>
          <w:rFonts w:hint="eastAsia" w:ascii="宋体" w:hAnsi="宋体"/>
          <w:color w:val="auto"/>
          <w:sz w:val="28"/>
          <w:highlight w:val="none"/>
        </w:rPr>
        <w:t>法定代表人身份证明</w:t>
      </w:r>
      <w:bookmarkEnd w:id="2349"/>
      <w:bookmarkEnd w:id="2350"/>
      <w:bookmarkEnd w:id="2351"/>
      <w:bookmarkEnd w:id="2352"/>
      <w:bookmarkEnd w:id="2353"/>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r>
        <w:rPr>
          <w:rFonts w:ascii="宋体" w:hAnsi="宋体"/>
          <w:color w:val="auto"/>
          <w:highlight w:val="none"/>
        </w:rPr>
        <w:t>注：法定代表人身份证明需按上述格式填写完整，不可缺少内容。在此基础上增加内容的不影响其有效性</w:t>
      </w:r>
      <w:r>
        <w:rPr>
          <w:rFonts w:hint="eastAsia" w:ascii="宋体" w:hAnsi="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ascii="宋体" w:hAnsi="宋体"/>
          <w:color w:val="auto"/>
          <w:kern w:val="0"/>
          <w:sz w:val="28"/>
          <w:szCs w:val="28"/>
          <w:highlight w:val="none"/>
        </w:rPr>
      </w:pPr>
      <w:r>
        <w:rPr>
          <w:rFonts w:ascii="宋体" w:hAnsi="宋体"/>
          <w:b/>
          <w:color w:val="auto"/>
          <w:kern w:val="0"/>
          <w:sz w:val="28"/>
          <w:szCs w:val="28"/>
          <w:highlight w:val="none"/>
        </w:rPr>
        <w:br w:type="page"/>
      </w:r>
      <w:bookmarkStart w:id="2354" w:name="_Toc8538"/>
      <w:bookmarkStart w:id="2355" w:name="_Toc387"/>
      <w:bookmarkStart w:id="2356" w:name="_Toc16713"/>
      <w:bookmarkStart w:id="2357" w:name="_Toc29418"/>
      <w:bookmarkStart w:id="2358" w:name="_Toc14620"/>
      <w:r>
        <w:rPr>
          <w:rFonts w:ascii="宋体" w:hAnsi="宋体"/>
          <w:snapToGrid w:val="0"/>
          <w:color w:val="auto"/>
          <w:kern w:val="0"/>
          <w:sz w:val="32"/>
          <w:szCs w:val="32"/>
          <w:highlight w:val="none"/>
        </w:rPr>
        <w:t>授权委托书</w:t>
      </w:r>
      <w:bookmarkEnd w:id="2354"/>
      <w:bookmarkEnd w:id="2355"/>
      <w:bookmarkEnd w:id="2356"/>
      <w:bookmarkEnd w:id="2357"/>
      <w:bookmarkEnd w:id="2358"/>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w:t>
      </w:r>
      <w:r>
        <w:rPr>
          <w:rFonts w:hint="eastAsia" w:ascii="宋体" w:hAnsi="宋体"/>
          <w:color w:val="auto"/>
          <w:kern w:val="0"/>
          <w:szCs w:val="21"/>
          <w:highlight w:val="none"/>
          <w:lang w:val="en-US" w:eastAsia="zh-CN"/>
        </w:rPr>
        <w:t>代表我方</w:t>
      </w:r>
      <w:r>
        <w:rPr>
          <w:rFonts w:ascii="宋体" w:hAnsi="宋体"/>
          <w:color w:val="auto"/>
          <w:kern w:val="0"/>
          <w:szCs w:val="21"/>
          <w:highlight w:val="none"/>
        </w:rPr>
        <w:t>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hint="eastAsia" w:ascii="宋体" w:hAnsi="宋体"/>
          <w:color w:val="auto"/>
          <w:spacing w:val="-1"/>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w:t>
      </w:r>
      <w:r>
        <w:rPr>
          <w:rFonts w:hint="eastAsia" w:ascii="宋体" w:hAnsi="宋体"/>
          <w:color w:val="auto"/>
          <w:kern w:val="0"/>
          <w:szCs w:val="21"/>
          <w:highlight w:val="none"/>
          <w:lang w:val="en-US" w:eastAsia="zh-CN"/>
        </w:rPr>
        <w:t>身份证明</w:t>
      </w:r>
      <w:r>
        <w:rPr>
          <w:rFonts w:hint="eastAsia" w:ascii="宋体" w:hAnsi="宋体"/>
          <w:color w:val="auto"/>
          <w:kern w:val="0"/>
          <w:szCs w:val="21"/>
          <w:highlight w:val="none"/>
        </w:rPr>
        <w:t>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autoSpaceDE w:val="0"/>
        <w:autoSpaceDN w:val="0"/>
        <w:adjustRightInd w:val="0"/>
        <w:snapToGrid w:val="0"/>
        <w:jc w:val="center"/>
        <w:rPr>
          <w:rFonts w:ascii="宋体" w:hAnsi="宋体"/>
          <w:color w:val="auto"/>
          <w:highlight w:val="none"/>
        </w:rPr>
      </w:pPr>
      <w:r>
        <w:rPr>
          <w:rFonts w:ascii="宋体" w:hAnsi="宋体"/>
          <w:color w:val="auto"/>
          <w:highlight w:val="none"/>
        </w:rPr>
        <w:br w:type="page"/>
      </w:r>
    </w:p>
    <w:p>
      <w:pPr>
        <w:pStyle w:val="5"/>
        <w:spacing w:before="0" w:after="0" w:line="240" w:lineRule="auto"/>
        <w:jc w:val="center"/>
        <w:outlineLvl w:val="0"/>
        <w:rPr>
          <w:rFonts w:ascii="宋体" w:hAnsi="宋体"/>
          <w:b w:val="0"/>
          <w:bCs w:val="0"/>
          <w:color w:val="auto"/>
          <w:highlight w:val="none"/>
        </w:rPr>
      </w:pPr>
      <w:bookmarkStart w:id="2359" w:name="_Toc430530547"/>
      <w:bookmarkStart w:id="2360" w:name="_Toc10272"/>
      <w:bookmarkStart w:id="2361" w:name="_Toc782"/>
      <w:bookmarkStart w:id="2362" w:name="_Toc12579"/>
      <w:bookmarkStart w:id="2363" w:name="_Toc10700"/>
      <w:bookmarkStart w:id="2364" w:name="_Toc31423"/>
      <w:bookmarkStart w:id="2365" w:name="_Toc551"/>
      <w:bookmarkStart w:id="2366" w:name="_Toc287620831"/>
      <w:bookmarkStart w:id="2367" w:name="_Toc224103512"/>
      <w:bookmarkStart w:id="2368" w:name="_Toc277082658"/>
      <w:bookmarkStart w:id="2369" w:name="_Toc287607884"/>
      <w:r>
        <w:rPr>
          <w:rFonts w:hint="eastAsia" w:ascii="宋体" w:hAnsi="宋体"/>
          <w:b w:val="0"/>
          <w:bCs w:val="0"/>
          <w:color w:val="auto"/>
          <w:highlight w:val="none"/>
        </w:rPr>
        <w:t>（二）</w:t>
      </w:r>
      <w:bookmarkEnd w:id="2359"/>
      <w:r>
        <w:rPr>
          <w:rFonts w:hint="eastAsia" w:ascii="宋体" w:hAnsi="宋体"/>
          <w:b w:val="0"/>
          <w:bCs w:val="0"/>
          <w:color w:val="auto"/>
          <w:highlight w:val="none"/>
          <w:lang w:eastAsia="zh-CN"/>
        </w:rPr>
        <w:t>共同投标协议</w:t>
      </w:r>
      <w:r>
        <w:rPr>
          <w:rFonts w:hint="eastAsia" w:ascii="宋体" w:hAnsi="宋体"/>
          <w:b w:val="0"/>
          <w:bCs w:val="0"/>
          <w:color w:val="auto"/>
          <w:highlight w:val="none"/>
        </w:rPr>
        <w:t>（如有）</w:t>
      </w:r>
      <w:bookmarkEnd w:id="2360"/>
      <w:bookmarkEnd w:id="2361"/>
      <w:bookmarkEnd w:id="2362"/>
      <w:bookmarkEnd w:id="2363"/>
      <w:bookmarkEnd w:id="2364"/>
      <w:bookmarkEnd w:id="2365"/>
    </w:p>
    <w:bookmarkEnd w:id="2366"/>
    <w:bookmarkEnd w:id="2367"/>
    <w:bookmarkEnd w:id="2368"/>
    <w:bookmarkEnd w:id="2369"/>
    <w:p>
      <w:pPr>
        <w:autoSpaceDE w:val="0"/>
        <w:autoSpaceDN w:val="0"/>
        <w:adjustRightInd w:val="0"/>
        <w:snapToGrid w:val="0"/>
        <w:spacing w:line="500" w:lineRule="exact"/>
        <w:ind w:firstLine="420" w:firstLineChars="200"/>
        <w:rPr>
          <w:rFonts w:ascii="宋体" w:hAnsi="宋体"/>
          <w:snapToGrid w:val="0"/>
          <w:color w:val="auto"/>
          <w:kern w:val="0"/>
          <w:szCs w:val="21"/>
          <w:highlight w:val="none"/>
        </w:rPr>
      </w:pPr>
      <w:bookmarkStart w:id="2370" w:name="_Toc277082659"/>
      <w:bookmarkStart w:id="2371" w:name="_Toc287607887"/>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（所有成员单位名称）</w:t>
      </w:r>
      <w:r>
        <w:rPr>
          <w:rFonts w:ascii="宋体" w:hAnsi="宋体"/>
          <w:snapToGrid w:val="0"/>
          <w:color w:val="auto"/>
          <w:kern w:val="0"/>
          <w:szCs w:val="21"/>
          <w:highlight w:val="none"/>
        </w:rPr>
        <w:t>自愿组成联合体，共同参加</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投标。现就联合体投标事宜订立如下协议。</w:t>
      </w:r>
    </w:p>
    <w:p>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（某成员单位名称）</w:t>
      </w:r>
      <w:r>
        <w:rPr>
          <w:rFonts w:hint="eastAsia" w:ascii="宋体" w:hAnsi="宋体"/>
          <w:snapToGrid w:val="0"/>
          <w:color w:val="auto"/>
          <w:kern w:val="0"/>
          <w:szCs w:val="21"/>
          <w:highlight w:val="none"/>
        </w:rPr>
        <w:t>为</w:t>
      </w:r>
      <w:r>
        <w:rPr>
          <w:rFonts w:hint="eastAsia"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（项目名称）</w:t>
      </w:r>
      <w:r>
        <w:rPr>
          <w:rFonts w:ascii="宋体" w:hAnsi="宋体"/>
          <w:snapToGrid w:val="0"/>
          <w:color w:val="auto"/>
          <w:kern w:val="0"/>
          <w:szCs w:val="21"/>
          <w:highlight w:val="none"/>
        </w:rPr>
        <w:t>联合体牵头人。由联合体牵头人单位递交投标保证金。</w:t>
      </w:r>
    </w:p>
    <w:p>
      <w:pPr>
        <w:autoSpaceDE w:val="0"/>
        <w:autoSpaceDN w:val="0"/>
        <w:adjustRightInd w:val="0"/>
        <w:snapToGrid w:val="0"/>
        <w:spacing w:line="500" w:lineRule="exact"/>
        <w:ind w:firstLine="420"/>
        <w:rPr>
          <w:rFonts w:ascii="宋体" w:hAnsi="宋体"/>
          <w:snapToGrid w:val="0"/>
          <w:color w:val="auto"/>
          <w:kern w:val="0"/>
          <w:szCs w:val="21"/>
          <w:highlight w:val="none"/>
        </w:rPr>
      </w:pPr>
      <w:r>
        <w:rPr>
          <w:rFonts w:ascii="宋体" w:hAnsi="宋体"/>
          <w:snapToGrid w:val="0"/>
          <w:color w:val="auto"/>
          <w:kern w:val="0"/>
          <w:szCs w:val="21"/>
          <w:highlight w:val="none"/>
        </w:rPr>
        <w:t>2.联合体牵头人合法代表联合体各成员负责本招标项目投标文件编制和合同谈判活动，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3.联合体将严格按照招标文件的各项要求，递交投标文件，履行合同，并对外承担连带责任。</w:t>
      </w:r>
    </w:p>
    <w:p>
      <w:pPr>
        <w:autoSpaceDE w:val="0"/>
        <w:autoSpaceDN w:val="0"/>
        <w:adjustRightInd w:val="0"/>
        <w:spacing w:line="5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4.联合体牵头人代表联合体签署投标文件</w:t>
      </w:r>
      <w:r>
        <w:rPr>
          <w:rFonts w:ascii="宋体" w:hAnsi="宋体"/>
          <w:color w:val="auto"/>
          <w:spacing w:val="-19"/>
          <w:kern w:val="0"/>
          <w:szCs w:val="21"/>
          <w:highlight w:val="none"/>
        </w:rPr>
        <w:t>，</w:t>
      </w:r>
      <w:r>
        <w:rPr>
          <w:rFonts w:ascii="宋体" w:hAnsi="宋体"/>
          <w:color w:val="auto"/>
          <w:kern w:val="0"/>
          <w:szCs w:val="21"/>
          <w:highlight w:val="none"/>
        </w:rPr>
        <w:t>联合体牵头人的所有承诺均认为代表了联合体各成员。</w:t>
      </w:r>
    </w:p>
    <w:p>
      <w:pPr>
        <w:autoSpaceDE w:val="0"/>
        <w:autoSpaceDN w:val="0"/>
        <w:adjustRightInd w:val="0"/>
        <w:spacing w:line="500" w:lineRule="exact"/>
        <w:ind w:firstLine="420" w:firstLineChars="200"/>
        <w:jc w:val="left"/>
        <w:rPr>
          <w:rFonts w:ascii="宋体" w:hAnsi="宋体"/>
          <w:color w:val="auto"/>
          <w:kern w:val="0"/>
          <w:szCs w:val="21"/>
          <w:highlight w:val="none"/>
        </w:rPr>
      </w:pPr>
      <w:r>
        <w:rPr>
          <w:rFonts w:ascii="宋体" w:hAnsi="宋体"/>
          <w:snapToGrid w:val="0"/>
          <w:color w:val="auto"/>
          <w:kern w:val="0"/>
          <w:szCs w:val="21"/>
          <w:highlight w:val="none"/>
        </w:rPr>
        <w:t>5.</w:t>
      </w:r>
      <w:r>
        <w:rPr>
          <w:rFonts w:ascii="宋体" w:hAnsi="宋体"/>
          <w:color w:val="auto"/>
          <w:kern w:val="0"/>
          <w:szCs w:val="21"/>
          <w:highlight w:val="none"/>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联合体成员</w:t>
            </w:r>
            <w:r>
              <w:rPr>
                <w:rFonts w:ascii="宋体" w:hAnsi="宋体"/>
                <w:snapToGrid w:val="0"/>
                <w:color w:val="auto"/>
                <w:kern w:val="0"/>
                <w:szCs w:val="21"/>
                <w:highlight w:val="none"/>
              </w:rPr>
              <w:t>名称</w:t>
            </w:r>
          </w:p>
        </w:tc>
        <w:tc>
          <w:tcPr>
            <w:tcW w:w="2410"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社会信用代码</w:t>
            </w:r>
          </w:p>
        </w:tc>
        <w:tc>
          <w:tcPr>
            <w:tcW w:w="2885" w:type="dxa"/>
          </w:tcPr>
          <w:p>
            <w:pPr>
              <w:autoSpaceDE w:val="0"/>
              <w:autoSpaceDN w:val="0"/>
              <w:adjustRightInd w:val="0"/>
              <w:snapToGrid w:val="0"/>
              <w:spacing w:line="500" w:lineRule="exact"/>
              <w:jc w:val="center"/>
              <w:rPr>
                <w:rFonts w:ascii="宋体" w:hAnsi="宋体"/>
                <w:snapToGrid w:val="0"/>
                <w:color w:val="auto"/>
                <w:kern w:val="0"/>
                <w:szCs w:val="21"/>
                <w:highlight w:val="none"/>
              </w:rPr>
            </w:pPr>
            <w:r>
              <w:rPr>
                <w:rFonts w:ascii="宋体" w:hAnsi="宋体"/>
                <w:snapToGrid w:val="0"/>
                <w:color w:val="auto"/>
                <w:kern w:val="0"/>
                <w:szCs w:val="21"/>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联合体牵头人名称</w:t>
            </w:r>
          </w:p>
        </w:tc>
        <w:tc>
          <w:tcPr>
            <w:tcW w:w="2410"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联合体其他成员单位一名称</w:t>
            </w:r>
          </w:p>
        </w:tc>
        <w:tc>
          <w:tcPr>
            <w:tcW w:w="2410"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联合体其他成员单位二名称</w:t>
            </w:r>
          </w:p>
        </w:tc>
        <w:tc>
          <w:tcPr>
            <w:tcW w:w="2410"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社会信用代码</w:t>
            </w:r>
          </w:p>
        </w:tc>
        <w:tc>
          <w:tcPr>
            <w:tcW w:w="2885"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410"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p>
        </w:tc>
        <w:tc>
          <w:tcPr>
            <w:tcW w:w="2885" w:type="dxa"/>
          </w:tcPr>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p>
        </w:tc>
      </w:tr>
    </w:tbl>
    <w:p>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color w:val="auto"/>
          <w:spacing w:val="7"/>
          <w:kern w:val="0"/>
          <w:szCs w:val="21"/>
          <w:highlight w:val="none"/>
        </w:rPr>
      </w:pPr>
      <w:r>
        <w:rPr>
          <w:rFonts w:ascii="宋体" w:hAnsi="宋体"/>
          <w:color w:val="auto"/>
          <w:kern w:val="0"/>
          <w:szCs w:val="21"/>
          <w:highlight w:val="none"/>
        </w:rPr>
        <w:t>6</w:t>
      </w:r>
      <w:r>
        <w:rPr>
          <w:rFonts w:ascii="宋体" w:hAnsi="宋体"/>
          <w:color w:val="auto"/>
          <w:spacing w:val="7"/>
          <w:kern w:val="0"/>
          <w:szCs w:val="21"/>
          <w:highlight w:val="none"/>
        </w:rPr>
        <w:t>.</w:t>
      </w:r>
      <w:r>
        <w:rPr>
          <w:rFonts w:hint="eastAsia" w:ascii="宋体" w:hAnsi="宋体"/>
          <w:color w:val="auto"/>
          <w:spacing w:val="7"/>
          <w:kern w:val="0"/>
          <w:szCs w:val="21"/>
          <w:highlight w:val="none"/>
        </w:rPr>
        <w:t>由联合体牵头人委派</w:t>
      </w:r>
      <w:r>
        <w:rPr>
          <w:rFonts w:hint="eastAsia" w:ascii="宋体" w:hAnsi="宋体"/>
          <w:spacing w:val="7"/>
          <w:kern w:val="0"/>
          <w:szCs w:val="21"/>
          <w:lang w:val="en-US" w:eastAsia="zh-CN"/>
        </w:rPr>
        <w:t>本单位人员作为</w:t>
      </w:r>
      <w:r>
        <w:rPr>
          <w:rFonts w:hint="eastAsia" w:ascii="宋体" w:hAnsi="宋体"/>
          <w:color w:val="auto"/>
          <w:spacing w:val="7"/>
          <w:kern w:val="0"/>
          <w:szCs w:val="21"/>
          <w:highlight w:val="none"/>
        </w:rPr>
        <w:t>委托代理人。</w:t>
      </w:r>
    </w:p>
    <w:p>
      <w:pPr>
        <w:autoSpaceDE w:val="0"/>
        <w:autoSpaceDN w:val="0"/>
        <w:adjustRightInd w:val="0"/>
        <w:spacing w:line="500" w:lineRule="exact"/>
        <w:ind w:firstLine="448" w:firstLineChars="200"/>
        <w:jc w:val="left"/>
        <w:rPr>
          <w:rFonts w:ascii="宋体" w:hAnsi="宋体"/>
          <w:color w:val="auto"/>
          <w:kern w:val="0"/>
          <w:szCs w:val="21"/>
          <w:highlight w:val="none"/>
        </w:rPr>
      </w:pPr>
      <w:r>
        <w:rPr>
          <w:rFonts w:hint="eastAsia" w:ascii="宋体" w:hAnsi="宋体"/>
          <w:color w:val="auto"/>
          <w:spacing w:val="7"/>
          <w:kern w:val="0"/>
          <w:szCs w:val="21"/>
          <w:highlight w:val="none"/>
        </w:rPr>
        <w:t>7.</w:t>
      </w:r>
      <w:r>
        <w:rPr>
          <w:rFonts w:ascii="宋体" w:hAnsi="宋体"/>
          <w:color w:val="auto"/>
          <w:spacing w:val="7"/>
          <w:kern w:val="0"/>
          <w:szCs w:val="21"/>
          <w:highlight w:val="none"/>
        </w:rPr>
        <w:t>投标工作和联合体</w:t>
      </w:r>
      <w:r>
        <w:rPr>
          <w:rFonts w:ascii="宋体" w:hAnsi="宋体"/>
          <w:color w:val="auto"/>
          <w:spacing w:val="5"/>
          <w:kern w:val="0"/>
          <w:szCs w:val="21"/>
          <w:highlight w:val="none"/>
        </w:rPr>
        <w:t>在</w:t>
      </w:r>
      <w:r>
        <w:rPr>
          <w:rFonts w:ascii="宋体" w:hAnsi="宋体"/>
          <w:color w:val="auto"/>
          <w:spacing w:val="7"/>
          <w:kern w:val="0"/>
          <w:szCs w:val="21"/>
          <w:highlight w:val="none"/>
        </w:rPr>
        <w:t>中标后工程实施过</w:t>
      </w:r>
      <w:r>
        <w:rPr>
          <w:rFonts w:ascii="宋体" w:hAnsi="宋体"/>
          <w:color w:val="auto"/>
          <w:spacing w:val="5"/>
          <w:kern w:val="0"/>
          <w:szCs w:val="21"/>
          <w:highlight w:val="none"/>
        </w:rPr>
        <w:t>程</w:t>
      </w:r>
      <w:r>
        <w:rPr>
          <w:rFonts w:ascii="宋体" w:hAnsi="宋体"/>
          <w:color w:val="auto"/>
          <w:spacing w:val="7"/>
          <w:kern w:val="0"/>
          <w:szCs w:val="21"/>
          <w:highlight w:val="none"/>
        </w:rPr>
        <w:t>中的有关费用按各</w:t>
      </w:r>
      <w:r>
        <w:rPr>
          <w:rFonts w:ascii="宋体" w:hAnsi="宋体"/>
          <w:color w:val="auto"/>
          <w:spacing w:val="5"/>
          <w:kern w:val="0"/>
          <w:szCs w:val="21"/>
          <w:highlight w:val="none"/>
        </w:rPr>
        <w:t>自</w:t>
      </w:r>
      <w:r>
        <w:rPr>
          <w:rFonts w:ascii="宋体" w:hAnsi="宋体"/>
          <w:color w:val="auto"/>
          <w:spacing w:val="7"/>
          <w:kern w:val="0"/>
          <w:szCs w:val="21"/>
          <w:highlight w:val="none"/>
        </w:rPr>
        <w:t>承担的工作</w:t>
      </w:r>
      <w:r>
        <w:rPr>
          <w:rFonts w:ascii="宋体" w:hAnsi="宋体"/>
          <w:color w:val="auto"/>
          <w:kern w:val="0"/>
          <w:szCs w:val="21"/>
          <w:highlight w:val="none"/>
        </w:rPr>
        <w:t>量分摊。</w:t>
      </w:r>
    </w:p>
    <w:p>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8</w:t>
      </w:r>
      <w:r>
        <w:rPr>
          <w:rFonts w:ascii="宋体" w:hAnsi="宋体"/>
          <w:snapToGrid w:val="0"/>
          <w:color w:val="auto"/>
          <w:kern w:val="0"/>
          <w:szCs w:val="21"/>
          <w:highlight w:val="none"/>
        </w:rPr>
        <w:t>.本协议书自签署之日起生效，合同履行完毕后自动失效。</w:t>
      </w:r>
    </w:p>
    <w:p>
      <w:pPr>
        <w:autoSpaceDE w:val="0"/>
        <w:autoSpaceDN w:val="0"/>
        <w:adjustRightInd w:val="0"/>
        <w:snapToGrid w:val="0"/>
        <w:spacing w:line="500" w:lineRule="exact"/>
        <w:ind w:firstLine="390" w:firstLineChars="186"/>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9</w:t>
      </w:r>
      <w:r>
        <w:rPr>
          <w:rFonts w:ascii="宋体" w:hAnsi="宋体"/>
          <w:snapToGrid w:val="0"/>
          <w:color w:val="auto"/>
          <w:kern w:val="0"/>
          <w:szCs w:val="21"/>
          <w:highlight w:val="none"/>
        </w:rPr>
        <w:t>.本协议书一式</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份，联合体成员和招标人各执</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份。</w:t>
      </w:r>
    </w:p>
    <w:p>
      <w:pPr>
        <w:autoSpaceDE w:val="0"/>
        <w:autoSpaceDN w:val="0"/>
        <w:adjustRightInd w:val="0"/>
        <w:snapToGrid w:val="0"/>
        <w:spacing w:line="500" w:lineRule="exact"/>
        <w:ind w:firstLine="390" w:firstLineChars="186"/>
        <w:jc w:val="left"/>
        <w:rPr>
          <w:rFonts w:ascii="宋体" w:hAnsi="宋体"/>
          <w:snapToGrid w:val="0"/>
          <w:color w:val="auto"/>
          <w:kern w:val="0"/>
          <w:szCs w:val="21"/>
          <w:highlight w:val="none"/>
        </w:rPr>
      </w:pPr>
    </w:p>
    <w:p>
      <w:pPr>
        <w:tabs>
          <w:tab w:val="left" w:pos="4840"/>
        </w:tabs>
        <w:autoSpaceDE w:val="0"/>
        <w:autoSpaceDN w:val="0"/>
        <w:adjustRightInd w:val="0"/>
        <w:snapToGrid w:val="0"/>
        <w:spacing w:line="5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牵头人名称：</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（盖单位法人章）</w:t>
      </w:r>
    </w:p>
    <w:p>
      <w:pPr>
        <w:tabs>
          <w:tab w:val="left" w:pos="5260"/>
        </w:tabs>
        <w:autoSpaceDE w:val="0"/>
        <w:autoSpaceDN w:val="0"/>
        <w:adjustRightInd w:val="0"/>
        <w:snapToGrid w:val="0"/>
        <w:spacing w:line="5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position w:val="-2"/>
          <w:szCs w:val="21"/>
          <w:highlight w:val="none"/>
        </w:rPr>
        <w:t>法定代表人或其委托代理人：</w:t>
      </w:r>
      <w:r>
        <w:rPr>
          <w:rFonts w:hint="eastAsia" w:ascii="宋体" w:hAnsi="宋体"/>
          <w:snapToGrid w:val="0"/>
          <w:color w:val="auto"/>
          <w:kern w:val="0"/>
          <w:position w:val="-2"/>
          <w:szCs w:val="21"/>
          <w:highlight w:val="none"/>
          <w:u w:val="single"/>
        </w:rPr>
        <w:t xml:space="preserve">                                    </w:t>
      </w:r>
      <w:r>
        <w:rPr>
          <w:rFonts w:ascii="宋体" w:hAnsi="宋体"/>
          <w:snapToGrid w:val="0"/>
          <w:color w:val="auto"/>
          <w:kern w:val="0"/>
          <w:position w:val="-2"/>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r>
        <w:rPr>
          <w:rFonts w:ascii="宋体" w:hAnsi="宋体"/>
          <w:snapToGrid w:val="0"/>
          <w:color w:val="auto"/>
          <w:kern w:val="0"/>
          <w:position w:val="-2"/>
          <w:szCs w:val="21"/>
          <w:highlight w:val="none"/>
        </w:rPr>
        <w:t>）</w:t>
      </w:r>
    </w:p>
    <w:p>
      <w:pPr>
        <w:tabs>
          <w:tab w:val="left" w:pos="7890"/>
        </w:tabs>
        <w:autoSpaceDE w:val="0"/>
        <w:autoSpaceDN w:val="0"/>
        <w:adjustRightInd w:val="0"/>
        <w:spacing w:line="5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联合体其他成员单位</w:t>
      </w:r>
      <w:r>
        <w:rPr>
          <w:rFonts w:ascii="宋体" w:hAnsi="宋体"/>
          <w:color w:val="auto"/>
          <w:kern w:val="0"/>
          <w:szCs w:val="21"/>
          <w:highlight w:val="none"/>
        </w:rPr>
        <w:t>一名称：</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ascii="宋体" w:hAnsi="宋体"/>
          <w:color w:val="auto"/>
          <w:kern w:val="0"/>
          <w:szCs w:val="21"/>
          <w:highlight w:val="none"/>
        </w:rPr>
        <w:t>盖单位法人章）</w:t>
      </w:r>
    </w:p>
    <w:p>
      <w:pPr>
        <w:tabs>
          <w:tab w:val="left" w:pos="7740"/>
        </w:tabs>
        <w:autoSpaceDE w:val="0"/>
        <w:autoSpaceDN w:val="0"/>
        <w:adjustRightInd w:val="0"/>
        <w:spacing w:line="5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法定代表人或其委托代理人</w:t>
      </w:r>
      <w:r>
        <w:rPr>
          <w:rFonts w:hint="eastAsia" w:ascii="宋体" w:hAnsi="宋体"/>
          <w:color w:val="auto"/>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spacing w:val="-1"/>
          <w:kern w:val="0"/>
          <w:szCs w:val="21"/>
          <w:highlight w:val="none"/>
        </w:rPr>
        <w:t>（</w:t>
      </w:r>
      <w:r>
        <w:rPr>
          <w:rFonts w:hint="eastAsia" w:ascii="宋体" w:hAnsi="宋体"/>
          <w:color w:val="auto"/>
          <w:kern w:val="0"/>
          <w:szCs w:val="21"/>
          <w:highlight w:val="none"/>
        </w:rPr>
        <w:t>签名</w:t>
      </w:r>
      <w:r>
        <w:rPr>
          <w:rFonts w:ascii="宋体" w:hAnsi="宋体"/>
          <w:snapToGrid w:val="0"/>
          <w:color w:val="auto"/>
          <w:kern w:val="0"/>
          <w:szCs w:val="21"/>
          <w:highlight w:val="none"/>
        </w:rPr>
        <w:t>或盖章</w:t>
      </w:r>
      <w:r>
        <w:rPr>
          <w:rFonts w:ascii="宋体" w:hAnsi="宋体"/>
          <w:color w:val="auto"/>
          <w:kern w:val="0"/>
          <w:szCs w:val="21"/>
          <w:highlight w:val="none"/>
        </w:rPr>
        <w:t>）</w:t>
      </w:r>
    </w:p>
    <w:p>
      <w:pPr>
        <w:tabs>
          <w:tab w:val="left" w:pos="7890"/>
        </w:tabs>
        <w:autoSpaceDE w:val="0"/>
        <w:autoSpaceDN w:val="0"/>
        <w:adjustRightInd w:val="0"/>
        <w:spacing w:line="5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联合体其他成员单位二</w:t>
      </w:r>
      <w:r>
        <w:rPr>
          <w:rFonts w:ascii="宋体" w:hAnsi="宋体"/>
          <w:color w:val="auto"/>
          <w:kern w:val="0"/>
          <w:szCs w:val="21"/>
          <w:highlight w:val="none"/>
        </w:rPr>
        <w:t>名称：</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ascii="宋体" w:hAnsi="宋体"/>
          <w:color w:val="auto"/>
          <w:kern w:val="0"/>
          <w:szCs w:val="21"/>
          <w:highlight w:val="none"/>
        </w:rPr>
        <w:t>盖单位法人章）</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法定代表人或其委托代理人</w:t>
      </w:r>
      <w:r>
        <w:rPr>
          <w:rFonts w:hint="eastAsia" w:ascii="宋体" w:hAnsi="宋体"/>
          <w:color w:val="auto"/>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spacing w:val="-1"/>
          <w:kern w:val="0"/>
          <w:szCs w:val="21"/>
          <w:highlight w:val="none"/>
        </w:rPr>
        <w:t>（</w:t>
      </w:r>
      <w:r>
        <w:rPr>
          <w:rFonts w:hint="eastAsia" w:ascii="宋体" w:hAnsi="宋体"/>
          <w:color w:val="auto"/>
          <w:kern w:val="0"/>
          <w:szCs w:val="21"/>
          <w:highlight w:val="none"/>
        </w:rPr>
        <w:t>签名</w:t>
      </w:r>
      <w:r>
        <w:rPr>
          <w:rFonts w:ascii="宋体" w:hAnsi="宋体"/>
          <w:snapToGrid w:val="0"/>
          <w:color w:val="auto"/>
          <w:kern w:val="0"/>
          <w:szCs w:val="21"/>
          <w:highlight w:val="none"/>
        </w:rPr>
        <w:t>或盖章</w:t>
      </w:r>
      <w:r>
        <w:rPr>
          <w:rFonts w:ascii="宋体" w:hAnsi="宋体"/>
          <w:color w:val="auto"/>
          <w:kern w:val="0"/>
          <w:szCs w:val="21"/>
          <w:highlight w:val="none"/>
        </w:rPr>
        <w:t>）</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w:t>
      </w:r>
    </w:p>
    <w:p>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spacing w:line="360" w:lineRule="auto"/>
        <w:jc w:val="center"/>
        <w:rPr>
          <w:rFonts w:ascii="宋体" w:hAnsi="宋体"/>
          <w:snapToGrid w:val="0"/>
          <w:color w:val="auto"/>
          <w:szCs w:val="21"/>
          <w:highlight w:val="none"/>
        </w:rPr>
      </w:pPr>
    </w:p>
    <w:p>
      <w:pPr>
        <w:spacing w:line="500" w:lineRule="exact"/>
        <w:ind w:firstLine="420" w:firstLineChars="200"/>
        <w:jc w:val="left"/>
        <w:rPr>
          <w:rFonts w:ascii="宋体" w:hAnsi="宋体"/>
          <w:snapToGrid w:val="0"/>
          <w:color w:val="auto"/>
          <w:szCs w:val="21"/>
          <w:highlight w:val="none"/>
        </w:rPr>
      </w:pPr>
      <w:r>
        <w:rPr>
          <w:rFonts w:ascii="宋体" w:hAnsi="宋体"/>
          <w:snapToGrid w:val="0"/>
          <w:color w:val="auto"/>
          <w:szCs w:val="21"/>
          <w:highlight w:val="none"/>
        </w:rPr>
        <w:t>注：</w:t>
      </w:r>
      <w:r>
        <w:rPr>
          <w:rFonts w:hint="eastAsia" w:ascii="宋体" w:hAnsi="宋体"/>
          <w:snapToGrid w:val="0"/>
          <w:color w:val="auto"/>
          <w:szCs w:val="21"/>
          <w:highlight w:val="none"/>
        </w:rPr>
        <w:t>1.在</w:t>
      </w:r>
      <w:r>
        <w:rPr>
          <w:rFonts w:hint="eastAsia" w:ascii="宋体" w:hAnsi="宋体"/>
          <w:snapToGrid w:val="0"/>
          <w:color w:val="auto"/>
          <w:szCs w:val="21"/>
          <w:highlight w:val="none"/>
          <w:lang w:eastAsia="zh-CN"/>
        </w:rPr>
        <w:t>共同投标协议</w:t>
      </w:r>
      <w:r>
        <w:rPr>
          <w:rFonts w:hint="eastAsia" w:ascii="宋体" w:hAnsi="宋体"/>
          <w:snapToGrid w:val="0"/>
          <w:color w:val="auto"/>
          <w:szCs w:val="21"/>
          <w:highlight w:val="none"/>
        </w:rPr>
        <w:t>第5条联合体各成员单位内部的职责分工中填写的联合体所有成员单位名称应与其营业执照、资质证书、安全生产许可证一致，否则由评标委员会作否决投标处理。</w:t>
      </w:r>
    </w:p>
    <w:p>
      <w:pPr>
        <w:spacing w:line="500" w:lineRule="exact"/>
        <w:ind w:firstLine="420" w:firstLineChars="200"/>
        <w:jc w:val="left"/>
        <w:rPr>
          <w:rFonts w:ascii="宋体" w:hAnsi="宋体"/>
          <w:color w:val="auto"/>
          <w:szCs w:val="21"/>
          <w:highlight w:val="none"/>
        </w:rPr>
      </w:pPr>
      <w:r>
        <w:rPr>
          <w:rFonts w:hint="eastAsia" w:ascii="宋体" w:hAnsi="宋体"/>
          <w:snapToGrid w:val="0"/>
          <w:color w:val="auto"/>
          <w:szCs w:val="21"/>
          <w:highlight w:val="none"/>
        </w:rPr>
        <w:t>2.</w:t>
      </w:r>
      <w:r>
        <w:rPr>
          <w:rFonts w:ascii="宋体" w:hAnsi="宋体"/>
          <w:snapToGrid w:val="0"/>
          <w:color w:val="auto"/>
          <w:szCs w:val="21"/>
          <w:highlight w:val="none"/>
        </w:rPr>
        <w:t>本协议书由委托代理人</w:t>
      </w:r>
      <w:r>
        <w:rPr>
          <w:rFonts w:hint="eastAsia" w:ascii="宋体" w:hAnsi="宋体"/>
          <w:snapToGrid w:val="0"/>
          <w:color w:val="auto"/>
          <w:szCs w:val="21"/>
          <w:highlight w:val="none"/>
        </w:rPr>
        <w:t>签名</w:t>
      </w:r>
      <w:r>
        <w:rPr>
          <w:rFonts w:ascii="宋体" w:hAnsi="宋体"/>
          <w:snapToGrid w:val="0"/>
          <w:color w:val="auto"/>
          <w:szCs w:val="21"/>
          <w:highlight w:val="none"/>
        </w:rPr>
        <w:t>或盖章的，应附法定代表人</w:t>
      </w:r>
      <w:r>
        <w:rPr>
          <w:rFonts w:hint="eastAsia" w:ascii="宋体" w:hAnsi="宋体"/>
          <w:snapToGrid w:val="0"/>
          <w:color w:val="auto"/>
          <w:szCs w:val="21"/>
          <w:highlight w:val="none"/>
        </w:rPr>
        <w:t>签名</w:t>
      </w:r>
      <w:r>
        <w:rPr>
          <w:rFonts w:ascii="宋体" w:hAnsi="宋体"/>
          <w:snapToGrid w:val="0"/>
          <w:color w:val="auto"/>
          <w:szCs w:val="21"/>
          <w:highlight w:val="none"/>
        </w:rPr>
        <w:t>或盖章的授权委托书。</w:t>
      </w:r>
    </w:p>
    <w:p>
      <w:pPr>
        <w:spacing w:line="20" w:lineRule="exact"/>
        <w:jc w:val="center"/>
        <w:rPr>
          <w:rFonts w:ascii="宋体" w:hAnsi="宋体"/>
          <w:color w:val="auto"/>
          <w:szCs w:val="21"/>
          <w:highlight w:val="none"/>
        </w:rPr>
      </w:pPr>
    </w:p>
    <w:p>
      <w:pPr>
        <w:pStyle w:val="5"/>
        <w:spacing w:before="0" w:line="360" w:lineRule="auto"/>
        <w:jc w:val="center"/>
        <w:outlineLvl w:val="0"/>
        <w:rPr>
          <w:rFonts w:ascii="宋体" w:hAnsi="宋体"/>
          <w:b w:val="0"/>
          <w:color w:val="auto"/>
          <w:highlight w:val="none"/>
        </w:rPr>
      </w:pPr>
      <w:r>
        <w:rPr>
          <w:rFonts w:ascii="宋体" w:hAnsi="宋体"/>
          <w:color w:val="auto"/>
          <w:szCs w:val="21"/>
          <w:highlight w:val="none"/>
        </w:rPr>
        <w:br w:type="page"/>
      </w:r>
      <w:bookmarkEnd w:id="2370"/>
      <w:bookmarkEnd w:id="2371"/>
      <w:bookmarkStart w:id="2372" w:name="_Toc31408"/>
      <w:bookmarkStart w:id="2373" w:name="_Toc22514"/>
      <w:bookmarkStart w:id="2374" w:name="_Toc4134"/>
      <w:bookmarkStart w:id="2375" w:name="_Toc9354"/>
      <w:bookmarkStart w:id="2376" w:name="_Toc26737"/>
      <w:bookmarkStart w:id="2377" w:name="_Toc5677"/>
      <w:r>
        <w:rPr>
          <w:rFonts w:hint="eastAsia" w:ascii="宋体" w:hAnsi="宋体"/>
          <w:b w:val="0"/>
          <w:lang w:eastAsia="zh-CN"/>
        </w:rPr>
        <w:t>（</w:t>
      </w:r>
      <w:r>
        <w:rPr>
          <w:rFonts w:hint="eastAsia" w:ascii="宋体" w:hAnsi="宋体"/>
          <w:b w:val="0"/>
          <w:lang w:val="en-US" w:eastAsia="zh-CN"/>
        </w:rPr>
        <w:t>三</w:t>
      </w:r>
      <w:r>
        <w:rPr>
          <w:rFonts w:hint="eastAsia" w:ascii="宋体" w:hAnsi="宋体"/>
          <w:b w:val="0"/>
          <w:lang w:eastAsia="zh-CN"/>
        </w:rPr>
        <w:t>）</w:t>
      </w:r>
      <w:r>
        <w:rPr>
          <w:rFonts w:hint="eastAsia" w:ascii="宋体" w:hAnsi="宋体"/>
          <w:b w:val="0"/>
          <w:color w:val="auto"/>
          <w:highlight w:val="none"/>
        </w:rPr>
        <w:t>承诺</w:t>
      </w:r>
      <w:bookmarkEnd w:id="2372"/>
      <w:bookmarkEnd w:id="2373"/>
      <w:bookmarkEnd w:id="2374"/>
      <w:bookmarkEnd w:id="2375"/>
      <w:bookmarkEnd w:id="2376"/>
      <w:bookmarkEnd w:id="2377"/>
    </w:p>
    <w:p>
      <w:pPr>
        <w:snapToGrid w:val="0"/>
        <w:spacing w:line="380" w:lineRule="exact"/>
        <w:rPr>
          <w:rFonts w:ascii="宋体" w:hAnsi="宋体"/>
          <w:color w:val="auto"/>
          <w:szCs w:val="21"/>
          <w:highlight w:val="none"/>
          <w:u w:val="single"/>
        </w:rPr>
      </w:pPr>
      <w:r>
        <w:rPr>
          <w:rFonts w:hint="eastAsia" w:ascii="宋体" w:hAnsi="宋体"/>
          <w:color w:val="auto"/>
          <w:szCs w:val="21"/>
          <w:highlight w:val="none"/>
          <w:u w:val="single"/>
        </w:rPr>
        <w:t xml:space="preserve">        （招标人名称</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有两个及以上招标人的，请填写所有招标人</w:t>
      </w:r>
      <w:r>
        <w:rPr>
          <w:rFonts w:hint="eastAsia" w:ascii="宋体" w:hAnsi="宋体"/>
          <w:color w:val="auto"/>
          <w:szCs w:val="21"/>
          <w:highlight w:val="none"/>
          <w:u w:val="single"/>
          <w:lang w:eastAsia="zh-CN"/>
        </w:rPr>
        <w:t>名称</w:t>
      </w:r>
      <w:r>
        <w:rPr>
          <w:rFonts w:hint="eastAsia" w:ascii="宋体" w:hAnsi="宋体"/>
          <w:color w:val="auto"/>
          <w:szCs w:val="21"/>
          <w:highlight w:val="none"/>
          <w:u w:val="single"/>
        </w:rPr>
        <w:t>）</w:t>
      </w:r>
      <w:r>
        <w:rPr>
          <w:rFonts w:hint="eastAsia" w:ascii="宋体" w:hAnsi="宋体"/>
          <w:color w:val="auto"/>
          <w:szCs w:val="21"/>
          <w:highlight w:val="none"/>
        </w:rPr>
        <w:t>：</w:t>
      </w: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（投标人名称）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的投标，自愿作出以下承诺：</w:t>
      </w: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1、投标截止日投标资格情况不存在下列情形之一：</w:t>
      </w: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jc w:val="left"/>
        <w:textAlignment w:val="auto"/>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（3）被列入《重庆市工程建设领域招标投标信用管理暂行办法》规定的黑名单且在记分有效期内；</w:t>
      </w:r>
    </w:p>
    <w:p>
      <w:pPr>
        <w:keepNext w:val="0"/>
        <w:keepLines w:val="0"/>
        <w:pageBreakBefore w:val="0"/>
        <w:widowControl w:val="0"/>
        <w:kinsoku/>
        <w:wordWrap/>
        <w:overflowPunct/>
        <w:topLinePunct w:val="0"/>
        <w:autoSpaceDE/>
        <w:autoSpaceDN/>
        <w:bidi w:val="0"/>
        <w:adjustRightInd/>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w:t>
      </w:r>
      <w:r>
        <w:rPr>
          <w:rFonts w:hint="eastAsia" w:ascii="宋体" w:hAnsi="宋体" w:eastAsia="宋体" w:cs="Times New Roman"/>
          <w:color w:val="auto"/>
          <w:sz w:val="21"/>
          <w:szCs w:val="21"/>
          <w:highlight w:val="none"/>
          <w:lang w:val="en-US" w:eastAsia="zh-CN"/>
        </w:rPr>
        <w:t>或暂停在渝承揽新业务，且在暂停期限内</w:t>
      </w:r>
      <w:r>
        <w:rPr>
          <w:rFonts w:hint="eastAsia" w:ascii="宋体" w:hAnsi="宋体"/>
          <w:color w:val="auto"/>
          <w:szCs w:val="21"/>
          <w:highlight w:val="none"/>
        </w:rPr>
        <w:t>。</w:t>
      </w: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2、我公司拟派的项目经理按注册建造师的相关规定到岗履职和未被禁止参与投标。</w:t>
      </w: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2.1拟派的项目经理中标后在本项目任职，签订合同时拟派的项目经理必须与投标文件中的项目经理一致，并满足办理施工许可手续的相关要求。</w:t>
      </w:r>
      <w:r>
        <w:rPr>
          <w:rFonts w:hint="eastAsia" w:ascii="宋体" w:hAnsi="宋体"/>
          <w:szCs w:val="21"/>
        </w:rPr>
        <w:t>不能按承诺到岗</w:t>
      </w:r>
      <w:r>
        <w:rPr>
          <w:rFonts w:hint="eastAsia" w:ascii="宋体" w:hAnsi="宋体"/>
          <w:szCs w:val="21"/>
          <w:lang w:val="en-US" w:eastAsia="zh-CN"/>
        </w:rPr>
        <w:t>履职</w:t>
      </w:r>
      <w:r>
        <w:rPr>
          <w:rFonts w:hint="eastAsia" w:ascii="宋体" w:hAnsi="宋体"/>
          <w:szCs w:val="21"/>
        </w:rPr>
        <w:t>的，</w:t>
      </w:r>
      <w:r>
        <w:rPr>
          <w:rFonts w:hint="eastAsia" w:ascii="宋体" w:hAnsi="宋体"/>
          <w:szCs w:val="21"/>
          <w:lang w:val="en-US" w:eastAsia="zh-CN"/>
        </w:rPr>
        <w:t>贵单位</w:t>
      </w:r>
      <w:r>
        <w:rPr>
          <w:rFonts w:hint="eastAsia" w:ascii="宋体" w:hAnsi="宋体"/>
          <w:szCs w:val="21"/>
        </w:rPr>
        <w:t>按合同相关条款</w:t>
      </w:r>
      <w:r>
        <w:rPr>
          <w:rFonts w:hint="eastAsia" w:ascii="宋体" w:hAnsi="宋体"/>
          <w:szCs w:val="21"/>
          <w:lang w:val="en-US" w:eastAsia="zh-CN"/>
        </w:rPr>
        <w:t>要求我公司承担责任</w:t>
      </w:r>
      <w:r>
        <w:rPr>
          <w:rFonts w:hint="eastAsia" w:ascii="宋体" w:hAnsi="宋体"/>
          <w:szCs w:val="21"/>
        </w:rPr>
        <w:t>并上报行政主管部门，给贵单位造成损失的，我公司依法承担赔偿责任</w:t>
      </w:r>
      <w:r>
        <w:rPr>
          <w:rFonts w:hint="eastAsia" w:ascii="宋体" w:hAnsi="宋体"/>
          <w:szCs w:val="21"/>
          <w:lang w:val="en-US" w:eastAsia="zh-CN"/>
        </w:rPr>
        <w:t>或违约责任</w:t>
      </w:r>
      <w:r>
        <w:rPr>
          <w:rFonts w:hint="eastAsia" w:ascii="宋体" w:hAnsi="宋体"/>
          <w:color w:val="auto"/>
          <w:szCs w:val="21"/>
          <w:highlight w:val="none"/>
        </w:rPr>
        <w:t>。拟派的项目经理中标后不得随意更换。</w:t>
      </w: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2.2拟派的项目经理未被</w:t>
      </w:r>
      <w:r>
        <w:rPr>
          <w:rFonts w:hint="eastAsia" w:ascii="宋体" w:hAnsi="宋体"/>
          <w:color w:val="auto"/>
          <w:szCs w:val="21"/>
          <w:highlight w:val="none"/>
          <w:lang w:val="en-US" w:eastAsia="zh-CN"/>
        </w:rPr>
        <w:t>有关</w:t>
      </w:r>
      <w:r>
        <w:rPr>
          <w:rFonts w:hint="eastAsia" w:ascii="宋体" w:hAnsi="宋体"/>
          <w:color w:val="auto"/>
          <w:szCs w:val="21"/>
          <w:highlight w:val="none"/>
        </w:rPr>
        <w:t>部门暂停</w:t>
      </w:r>
      <w:r>
        <w:rPr>
          <w:rFonts w:hint="eastAsia" w:ascii="宋体" w:hAnsi="宋体"/>
          <w:color w:val="auto"/>
          <w:szCs w:val="21"/>
          <w:highlight w:val="none"/>
          <w:lang w:val="en-US" w:eastAsia="zh-CN"/>
        </w:rPr>
        <w:t>其</w:t>
      </w:r>
      <w:r>
        <w:rPr>
          <w:rFonts w:hint="eastAsia" w:ascii="宋体" w:hAnsi="宋体"/>
          <w:color w:val="auto"/>
          <w:szCs w:val="21"/>
          <w:highlight w:val="none"/>
        </w:rPr>
        <w:t>在渝承揽</w:t>
      </w:r>
      <w:r>
        <w:rPr>
          <w:rFonts w:hint="eastAsia" w:ascii="宋体" w:hAnsi="宋体"/>
          <w:color w:val="auto"/>
          <w:szCs w:val="21"/>
          <w:highlight w:val="none"/>
          <w:lang w:val="en-US" w:eastAsia="zh-CN"/>
        </w:rPr>
        <w:t>的</w:t>
      </w:r>
      <w:r>
        <w:rPr>
          <w:rFonts w:hint="eastAsia" w:ascii="宋体" w:hAnsi="宋体"/>
          <w:color w:val="auto"/>
          <w:szCs w:val="21"/>
          <w:highlight w:val="none"/>
        </w:rPr>
        <w:t>新业务</w:t>
      </w:r>
      <w:r>
        <w:rPr>
          <w:rFonts w:hint="eastAsia" w:ascii="宋体" w:hAnsi="宋体"/>
          <w:color w:val="auto"/>
          <w:szCs w:val="21"/>
          <w:highlight w:val="none"/>
          <w:lang w:val="en-US" w:eastAsia="zh-CN"/>
        </w:rPr>
        <w:t>中任职</w:t>
      </w:r>
      <w:r>
        <w:rPr>
          <w:rFonts w:hint="eastAsia" w:ascii="宋体" w:hAnsi="宋体"/>
          <w:color w:val="auto"/>
          <w:szCs w:val="21"/>
          <w:highlight w:val="none"/>
        </w:rPr>
        <w:t>，若</w:t>
      </w:r>
      <w:r>
        <w:rPr>
          <w:rFonts w:hint="eastAsia" w:ascii="宋体" w:hAnsi="宋体"/>
          <w:color w:val="auto"/>
          <w:szCs w:val="21"/>
          <w:highlight w:val="none"/>
          <w:lang w:val="en-US" w:eastAsia="zh-CN"/>
        </w:rPr>
        <w:t>其</w:t>
      </w:r>
      <w:r>
        <w:rPr>
          <w:rFonts w:hint="eastAsia" w:ascii="宋体" w:hAnsi="宋体"/>
          <w:color w:val="auto"/>
          <w:szCs w:val="21"/>
          <w:highlight w:val="none"/>
        </w:rPr>
        <w:t>被暂停</w:t>
      </w:r>
      <w:r>
        <w:rPr>
          <w:rFonts w:hint="eastAsia" w:ascii="宋体" w:hAnsi="宋体"/>
          <w:color w:val="auto"/>
          <w:szCs w:val="21"/>
          <w:highlight w:val="none"/>
          <w:lang w:val="en-US" w:eastAsia="zh-CN"/>
        </w:rPr>
        <w:t>在渝承揽的新业务中任职但</w:t>
      </w:r>
      <w:r>
        <w:rPr>
          <w:rFonts w:hint="eastAsia" w:ascii="宋体" w:hAnsi="宋体"/>
          <w:color w:val="auto"/>
          <w:szCs w:val="21"/>
          <w:highlight w:val="none"/>
        </w:rPr>
        <w:t>仍参加投标，将被否决投标；已取得中标候选人资格或中标资格的，贵单位有权取消我公司中标候选人资格或中标资格；给贵单位造成损失的，</w:t>
      </w:r>
      <w:r>
        <w:rPr>
          <w:rFonts w:hint="eastAsia" w:ascii="宋体" w:hAnsi="宋体"/>
          <w:szCs w:val="21"/>
        </w:rPr>
        <w:t>我公司依法承担赔偿责任</w:t>
      </w:r>
      <w:r>
        <w:rPr>
          <w:rFonts w:hint="eastAsia" w:ascii="宋体" w:hAnsi="宋体"/>
          <w:szCs w:val="21"/>
          <w:lang w:val="en-US" w:eastAsia="zh-CN"/>
        </w:rPr>
        <w:t>或违约责任</w:t>
      </w:r>
      <w:r>
        <w:rPr>
          <w:rFonts w:hint="eastAsia" w:ascii="宋体" w:hAnsi="宋体"/>
          <w:color w:val="auto"/>
          <w:szCs w:val="21"/>
          <w:highlight w:val="none"/>
        </w:rPr>
        <w:t>。</w:t>
      </w: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2.3为保证我公司拟派的项目经理到本项目到岗履职，我公司还承诺：</w:t>
      </w: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若我公司拟派本项目的项目经理有在其他项目任职的情形的（或有在其他项目中标或拟中标的情形的），应在收到中标通知书后</w:t>
      </w:r>
      <w:r>
        <w:rPr>
          <w:rFonts w:hint="eastAsia" w:ascii="宋体" w:hAnsi="宋体"/>
          <w:color w:val="auto"/>
          <w:szCs w:val="21"/>
          <w:highlight w:val="none"/>
          <w:u w:val="single"/>
        </w:rPr>
        <w:t xml:space="preserve"> 14 </w:t>
      </w:r>
      <w:r>
        <w:rPr>
          <w:rFonts w:hint="eastAsia" w:ascii="宋体" w:hAnsi="宋体"/>
          <w:color w:val="auto"/>
          <w:szCs w:val="21"/>
          <w:highlight w:val="none"/>
        </w:rPr>
        <w:t>日</w:t>
      </w:r>
      <w:r>
        <w:rPr>
          <w:rFonts w:hint="eastAsia" w:ascii="宋体" w:hAnsi="宋体"/>
          <w:i/>
          <w:iCs/>
          <w:color w:val="auto"/>
          <w:szCs w:val="21"/>
          <w:highlight w:val="none"/>
          <w:lang w:val="en-US" w:eastAsia="zh-CN"/>
        </w:rPr>
        <w:t>[提示：</w:t>
      </w:r>
      <w:r>
        <w:rPr>
          <w:rFonts w:hint="eastAsia" w:ascii="宋体" w:hAnsi="宋体"/>
          <w:i/>
          <w:iCs/>
          <w:color w:val="auto"/>
          <w:szCs w:val="21"/>
          <w:highlight w:val="none"/>
        </w:rPr>
        <w:t>7～30日</w:t>
      </w:r>
      <w:r>
        <w:rPr>
          <w:rFonts w:hint="eastAsia" w:ascii="宋体" w:hAnsi="宋体"/>
          <w:i/>
          <w:iCs/>
          <w:color w:val="auto"/>
          <w:szCs w:val="21"/>
          <w:highlight w:val="none"/>
          <w:lang w:val="en-US" w:eastAsia="zh-CN"/>
        </w:rPr>
        <w:t>]</w:t>
      </w:r>
      <w:r>
        <w:rPr>
          <w:rFonts w:hint="eastAsia" w:ascii="宋体" w:hAnsi="宋体"/>
          <w:color w:val="auto"/>
          <w:szCs w:val="21"/>
          <w:highlight w:val="none"/>
        </w:rPr>
        <w:t>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若我公司拟派项目经理放弃在其他项目任职的将提供：①经业主或建设单位同意任职变更的文件；②负责项目监管的行业行政主管部门出具同意任职变更的证明材料。</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若我公司拟派项目经理放弃在其他项目中标或拟中标的将提供：①经中标或拟中标的其他项目建设单位同意的放弃中标函。</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3、我公司若中标，在签订合同之前，将按照建设行政主管部门的要求组建施工项目部，配置项目管理班子，出具任命文件。任命文件应当明确施工项目部的职责、岗位设置、人员配备，并书面通知</w:t>
      </w:r>
      <w:r>
        <w:rPr>
          <w:rFonts w:hint="eastAsia" w:ascii="宋体" w:hAnsi="宋体"/>
          <w:color w:val="auto"/>
          <w:szCs w:val="21"/>
          <w:highlight w:val="none"/>
          <w:lang w:eastAsia="zh-CN"/>
        </w:rPr>
        <w:t>贵单位</w:t>
      </w:r>
      <w:r>
        <w:rPr>
          <w:rFonts w:hint="eastAsia" w:ascii="宋体" w:hAnsi="宋体"/>
          <w:color w:val="auto"/>
          <w:szCs w:val="21"/>
          <w:highlight w:val="none"/>
        </w:rPr>
        <w:t>。相关岗位管理人员应持有建设行政主管部门要求的岗位证书，并提供我公司为其缴纳的养老保险证明材料。</w:t>
      </w:r>
      <w:r>
        <w:rPr>
          <w:rFonts w:hint="eastAsia" w:ascii="宋体" w:hAnsi="宋体"/>
          <w:szCs w:val="21"/>
        </w:rPr>
        <w:t>中标后不能满足该要求的，</w:t>
      </w:r>
      <w:r>
        <w:rPr>
          <w:rFonts w:hint="eastAsia" w:ascii="宋体" w:hAnsi="宋体"/>
          <w:szCs w:val="21"/>
          <w:lang w:val="en-US" w:eastAsia="zh-CN"/>
        </w:rPr>
        <w:t>贵单位可</w:t>
      </w:r>
      <w:r>
        <w:rPr>
          <w:rFonts w:hint="eastAsia" w:ascii="宋体" w:hAnsi="宋体"/>
          <w:szCs w:val="21"/>
        </w:rPr>
        <w:t>取消我公司中标资格</w:t>
      </w:r>
      <w:r>
        <w:rPr>
          <w:rFonts w:hint="eastAsia" w:asciiTheme="minorEastAsia" w:hAnsiTheme="minorEastAsia" w:eastAsiaTheme="minorEastAsia" w:cstheme="minorEastAsia"/>
          <w:color w:val="auto"/>
          <w:szCs w:val="21"/>
          <w:highlight w:val="none"/>
        </w:rPr>
        <w:t>；签订合同后不满足该要求的，</w:t>
      </w:r>
      <w:r>
        <w:rPr>
          <w:rFonts w:hint="eastAsia" w:asciiTheme="minorEastAsia" w:hAnsiTheme="minorEastAsia" w:eastAsiaTheme="minorEastAsia" w:cstheme="minorEastAsia"/>
          <w:color w:val="auto"/>
          <w:szCs w:val="21"/>
          <w:highlight w:val="none"/>
          <w:lang w:val="en-US" w:eastAsia="zh-CN"/>
        </w:rPr>
        <w:t>贵单位</w:t>
      </w:r>
      <w:r>
        <w:rPr>
          <w:rFonts w:hint="eastAsia" w:asciiTheme="minorEastAsia" w:hAnsiTheme="minorEastAsia" w:eastAsiaTheme="minorEastAsia" w:cstheme="minorEastAsia"/>
          <w:color w:val="auto"/>
          <w:szCs w:val="21"/>
          <w:highlight w:val="none"/>
        </w:rPr>
        <w:t>按合同相关条款</w:t>
      </w:r>
      <w:r>
        <w:rPr>
          <w:rFonts w:hint="eastAsia" w:asciiTheme="minorEastAsia" w:hAnsiTheme="minorEastAsia" w:eastAsiaTheme="minorEastAsia" w:cstheme="minorEastAsia"/>
          <w:color w:val="auto"/>
          <w:szCs w:val="21"/>
          <w:highlight w:val="none"/>
          <w:lang w:val="en-US" w:eastAsia="zh-CN"/>
        </w:rPr>
        <w:t>要求我公司承担责任</w:t>
      </w:r>
      <w:r>
        <w:rPr>
          <w:rFonts w:hint="eastAsia" w:asciiTheme="minorEastAsia" w:hAnsiTheme="minorEastAsia" w:eastAsiaTheme="minorEastAsia" w:cstheme="minorEastAsia"/>
          <w:color w:val="auto"/>
          <w:szCs w:val="21"/>
          <w:highlight w:val="none"/>
        </w:rPr>
        <w:t>并上报行政主管部门；</w:t>
      </w:r>
      <w:r>
        <w:rPr>
          <w:rFonts w:hint="eastAsia" w:ascii="宋体" w:hAnsi="宋体"/>
          <w:szCs w:val="21"/>
        </w:rPr>
        <w:t>给</w:t>
      </w:r>
      <w:r>
        <w:rPr>
          <w:rFonts w:hint="eastAsia" w:ascii="宋体" w:hAnsi="宋体"/>
          <w:szCs w:val="21"/>
          <w:lang w:eastAsia="zh-CN"/>
        </w:rPr>
        <w:t>贵单位</w:t>
      </w:r>
      <w:r>
        <w:rPr>
          <w:rFonts w:hint="eastAsia" w:ascii="宋体" w:hAnsi="宋体"/>
          <w:szCs w:val="21"/>
        </w:rPr>
        <w:t>造成损失的，我公司依法承担赔偿责任</w:t>
      </w:r>
      <w:r>
        <w:rPr>
          <w:rFonts w:hint="eastAsia" w:ascii="宋体" w:hAnsi="宋体"/>
          <w:szCs w:val="21"/>
          <w:lang w:val="en-US" w:eastAsia="zh-CN"/>
        </w:rPr>
        <w:t>或违约责任</w:t>
      </w:r>
      <w:r>
        <w:rPr>
          <w:rFonts w:hint="eastAsia" w:ascii="宋体" w:hAnsi="宋体"/>
          <w:color w:val="auto"/>
          <w:szCs w:val="21"/>
          <w:highlight w:val="none"/>
        </w:rPr>
        <w:t>。</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本投标文件</w:t>
      </w:r>
      <w:r>
        <w:rPr>
          <w:rFonts w:hint="eastAsia" w:ascii="宋体" w:hAnsi="宋体"/>
          <w:color w:val="auto"/>
          <w:szCs w:val="21"/>
          <w:highlight w:val="none"/>
        </w:rPr>
        <w:t>中的</w:t>
      </w:r>
      <w:r>
        <w:rPr>
          <w:rFonts w:hint="eastAsia" w:ascii="宋体" w:hAnsi="宋体"/>
          <w:color w:val="auto"/>
          <w:szCs w:val="21"/>
          <w:highlight w:val="none"/>
          <w:lang w:val="en-US" w:eastAsia="zh-CN"/>
        </w:rPr>
        <w:t>所有内容</w:t>
      </w:r>
      <w:r>
        <w:rPr>
          <w:rFonts w:hint="eastAsia" w:ascii="宋体" w:hAnsi="宋体"/>
          <w:color w:val="auto"/>
          <w:szCs w:val="21"/>
          <w:highlight w:val="none"/>
        </w:rPr>
        <w:t>真实有效，不存在弄虚作假情形。</w:t>
      </w:r>
      <w:r>
        <w:rPr>
          <w:rFonts w:hint="eastAsia" w:ascii="宋体" w:hAnsi="宋体"/>
          <w:color w:val="auto"/>
          <w:szCs w:val="21"/>
          <w:highlight w:val="none"/>
          <w:u w:val="none"/>
        </w:rPr>
        <w:t>贵单位有权对我公司提供的资料进行核实，若发现弄虚作假，按相关规定取消我公司中标资格，并按相关法律法规报招标投标监督部门，投标保证金</w:t>
      </w:r>
      <w:r>
        <w:rPr>
          <w:rFonts w:hint="eastAsia" w:ascii="宋体" w:hAnsi="宋体"/>
          <w:color w:val="auto"/>
          <w:szCs w:val="21"/>
          <w:highlight w:val="none"/>
          <w:u w:val="none"/>
          <w:lang w:val="en-US" w:eastAsia="zh-CN"/>
        </w:rPr>
        <w:t>以现金形式交纳的</w:t>
      </w:r>
      <w:r>
        <w:rPr>
          <w:rFonts w:hint="eastAsia" w:ascii="宋体" w:hAnsi="宋体"/>
          <w:color w:val="auto"/>
          <w:szCs w:val="21"/>
          <w:highlight w:val="none"/>
          <w:u w:val="none"/>
        </w:rPr>
        <w:t>不予退还，</w:t>
      </w:r>
      <w:r>
        <w:rPr>
          <w:rFonts w:hint="eastAsia" w:asciiTheme="minorEastAsia" w:hAnsiTheme="minorEastAsia" w:eastAsiaTheme="minorEastAsia" w:cstheme="minorEastAsia"/>
          <w:color w:val="auto"/>
          <w:szCs w:val="21"/>
          <w:highlight w:val="none"/>
          <w:u w:val="none"/>
        </w:rPr>
        <w:t>以保函形式交纳的由保函开立人支付保函担保的与投标保证金等额的款项，</w:t>
      </w:r>
      <w:r>
        <w:rPr>
          <w:rFonts w:hint="eastAsia" w:ascii="宋体" w:hAnsi="宋体"/>
          <w:color w:val="auto"/>
          <w:szCs w:val="21"/>
          <w:highlight w:val="none"/>
          <w:u w:val="none"/>
        </w:rPr>
        <w:t>我公司自愿承担因此造成的相关责任并赔偿相应损失</w:t>
      </w:r>
      <w:r>
        <w:rPr>
          <w:rFonts w:hint="eastAsia" w:ascii="宋体" w:hAnsi="宋体"/>
          <w:color w:val="auto"/>
          <w:szCs w:val="21"/>
          <w:highlight w:val="none"/>
        </w:rPr>
        <w:t>。</w:t>
      </w:r>
    </w:p>
    <w:p>
      <w:pPr>
        <w:snapToGrid w:val="0"/>
        <w:spacing w:line="400" w:lineRule="exact"/>
        <w:ind w:firstLine="420" w:firstLineChars="200"/>
        <w:rPr>
          <w:rFonts w:ascii="宋体" w:hAnsi="宋体" w:cs="宋体"/>
          <w:color w:val="auto"/>
          <w:kern w:val="0"/>
          <w:highlight w:val="none"/>
          <w:u w:val="none"/>
        </w:rPr>
      </w:pPr>
      <w:r>
        <w:rPr>
          <w:rFonts w:hint="eastAsia" w:ascii="宋体" w:hAnsi="宋体"/>
          <w:color w:val="auto"/>
          <w:szCs w:val="21"/>
          <w:highlight w:val="none"/>
        </w:rPr>
        <w:t>5、</w:t>
      </w:r>
      <w:r>
        <w:rPr>
          <w:rFonts w:hint="eastAsia" w:ascii="宋体" w:hAnsi="宋体" w:cs="宋体"/>
          <w:color w:val="auto"/>
          <w:kern w:val="0"/>
          <w:highlight w:val="none"/>
          <w:u w:val="none"/>
        </w:rPr>
        <w:t>已标价工程量清单满足第二章“投标人须知前附表”第3.2款第12条要求：</w:t>
      </w:r>
    </w:p>
    <w:p>
      <w:pPr>
        <w:snapToGrid w:val="0"/>
        <w:spacing w:line="400" w:lineRule="exact"/>
        <w:ind w:firstLine="420" w:firstLineChars="200"/>
        <w:rPr>
          <w:rFonts w:ascii="宋体" w:hAnsi="宋体" w:cs="宋体"/>
          <w:color w:val="auto"/>
          <w:kern w:val="0"/>
          <w:highlight w:val="none"/>
          <w:u w:val="none"/>
        </w:rPr>
      </w:pPr>
      <w:r>
        <w:rPr>
          <w:rFonts w:hint="eastAsia" w:ascii="宋体" w:hAnsi="宋体" w:cs="宋体"/>
          <w:color w:val="auto"/>
          <w:kern w:val="0"/>
          <w:highlight w:val="none"/>
          <w:u w:val="none"/>
        </w:rPr>
        <w:t>（1）按照招标文件第二章3.2“投标报价”、第五章“工程量清单”的规定进行报价。</w:t>
      </w:r>
    </w:p>
    <w:p>
      <w:pPr>
        <w:snapToGrid w:val="0"/>
        <w:spacing w:line="400" w:lineRule="exact"/>
        <w:ind w:firstLine="420" w:firstLineChars="200"/>
        <w:rPr>
          <w:rFonts w:ascii="宋体" w:hAnsi="宋体" w:cs="宋体"/>
          <w:color w:val="auto"/>
          <w:kern w:val="0"/>
          <w:highlight w:val="none"/>
          <w:u w:val="none"/>
        </w:rPr>
      </w:pPr>
      <w:r>
        <w:rPr>
          <w:rFonts w:hint="eastAsia" w:ascii="宋体" w:hAnsi="宋体" w:cs="宋体"/>
          <w:color w:val="auto"/>
          <w:kern w:val="0"/>
          <w:highlight w:val="none"/>
          <w:u w:val="none"/>
        </w:rPr>
        <w:t>（2）招标文件中规定工程量清单不允许修改的内容不得修改。</w:t>
      </w:r>
    </w:p>
    <w:p>
      <w:pPr>
        <w:snapToGrid w:val="0"/>
        <w:spacing w:line="400" w:lineRule="exact"/>
        <w:ind w:firstLine="420" w:firstLineChars="200"/>
        <w:rPr>
          <w:rFonts w:hint="eastAsia" w:ascii="宋体" w:hAnsi="宋体" w:cs="宋体"/>
          <w:color w:val="auto"/>
          <w:kern w:val="0"/>
          <w:highlight w:val="none"/>
          <w:u w:val="none"/>
        </w:rPr>
      </w:pPr>
      <w:r>
        <w:rPr>
          <w:rFonts w:hint="eastAsia" w:ascii="宋体" w:hAnsi="宋体" w:cs="宋体"/>
          <w:color w:val="auto"/>
          <w:kern w:val="0"/>
          <w:highlight w:val="none"/>
          <w:u w:val="none"/>
        </w:rPr>
        <w:t>（</w:t>
      </w:r>
      <w:r>
        <w:rPr>
          <w:rFonts w:hint="eastAsia" w:ascii="宋体" w:hAnsi="宋体" w:cs="宋体"/>
          <w:color w:val="auto"/>
          <w:kern w:val="0"/>
          <w:highlight w:val="none"/>
          <w:u w:val="none"/>
          <w:lang w:val="en-US" w:eastAsia="zh-CN"/>
        </w:rPr>
        <w:t>3</w:t>
      </w:r>
      <w:r>
        <w:rPr>
          <w:rFonts w:hint="eastAsia" w:ascii="宋体" w:hAnsi="宋体" w:cs="宋体"/>
          <w:color w:val="auto"/>
          <w:kern w:val="0"/>
          <w:highlight w:val="none"/>
          <w:u w:val="none"/>
        </w:rPr>
        <w:t>）若出现差错，按招标文件第二章投标人须知前附表第3.2款的第11条规定的原则进行处理（或结算）。</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6、我公司不存在第二章 投标人须知第 1.4.3 项规定的任何一种情形。</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7、我公司的投标文件符合第二章 投标人须知第 1.3.1 项的规定。</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8、我公司的投标文件符合第四章 合同条款及格式规定，投标文件中没有贵单位不能接受的条件。</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9、我公司的投标文件符合第七章 技术标准和要求（如有）。</w:t>
      </w:r>
    </w:p>
    <w:p>
      <w:pPr>
        <w:snapToGrid w:val="0"/>
        <w:spacing w:line="380" w:lineRule="exact"/>
        <w:ind w:firstLine="420" w:firstLineChars="200"/>
        <w:rPr>
          <w:color w:val="auto"/>
          <w:highlight w:val="none"/>
        </w:rPr>
      </w:pPr>
      <w:r>
        <w:rPr>
          <w:rFonts w:hint="eastAsia" w:ascii="宋体" w:hAnsi="宋体"/>
          <w:color w:val="auto"/>
          <w:szCs w:val="21"/>
          <w:highlight w:val="none"/>
        </w:rPr>
        <w:t>10、我公司接受招标文件中关于“不平衡报价”的相关约定（如有）。</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11、我公司接受招标文件中关于“不允许负数报价”的相关要求（如有）。</w:t>
      </w:r>
    </w:p>
    <w:p>
      <w:pPr>
        <w:snapToGrid w:val="0"/>
        <w:spacing w:line="380" w:lineRule="exact"/>
        <w:ind w:firstLine="420" w:firstLineChars="200"/>
        <w:rPr>
          <w:rFonts w:ascii="宋体" w:hAnsi="宋体"/>
          <w:color w:val="auto"/>
          <w:szCs w:val="21"/>
          <w:highlight w:val="none"/>
        </w:rPr>
      </w:pPr>
    </w:p>
    <w:p>
      <w:pPr>
        <w:tabs>
          <w:tab w:val="left" w:pos="4200"/>
          <w:tab w:val="left" w:pos="4620"/>
        </w:tabs>
        <w:autoSpaceDE w:val="0"/>
        <w:autoSpaceDN w:val="0"/>
        <w:adjustRightInd w:val="0"/>
        <w:snapToGrid w:val="0"/>
        <w:spacing w:line="38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38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snapToGrid w:val="0"/>
        <w:spacing w:line="380" w:lineRule="exact"/>
        <w:ind w:firstLine="420" w:firstLineChars="200"/>
        <w:jc w:val="right"/>
        <w:rPr>
          <w:rFonts w:ascii="宋体" w:hAnsi="宋体"/>
          <w:color w:val="auto"/>
          <w:kern w:val="0"/>
          <w:szCs w:val="21"/>
          <w:highlight w:val="none"/>
          <w:u w:val="single"/>
        </w:rPr>
      </w:pPr>
    </w:p>
    <w:p>
      <w:pPr>
        <w:snapToGrid w:val="0"/>
        <w:spacing w:line="380" w:lineRule="exact"/>
        <w:ind w:firstLine="420" w:firstLineChars="200"/>
        <w:jc w:val="right"/>
        <w:rPr>
          <w:rFonts w:ascii="宋体" w:hAnsi="宋体"/>
          <w:color w:val="auto"/>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rPr>
          <w:color w:val="auto"/>
          <w:highlight w:val="none"/>
        </w:rPr>
      </w:pPr>
    </w:p>
    <w:p>
      <w:pPr>
        <w:rPr>
          <w:color w:val="auto"/>
          <w:highlight w:val="none"/>
        </w:rPr>
      </w:pPr>
      <w:r>
        <w:rPr>
          <w:color w:val="auto"/>
          <w:highlight w:val="none"/>
        </w:rPr>
        <w:br w:type="page"/>
      </w:r>
    </w:p>
    <w:p>
      <w:pPr>
        <w:pStyle w:val="5"/>
        <w:spacing w:before="0" w:line="360" w:lineRule="auto"/>
        <w:jc w:val="center"/>
        <w:outlineLvl w:val="0"/>
        <w:rPr>
          <w:rFonts w:ascii="宋体" w:hAnsi="宋体"/>
          <w:color w:val="auto"/>
          <w:highlight w:val="none"/>
        </w:rPr>
      </w:pPr>
      <w:bookmarkStart w:id="2378" w:name="_Toc943"/>
      <w:bookmarkStart w:id="2379" w:name="_Toc27535"/>
      <w:bookmarkStart w:id="2380" w:name="_Toc23911"/>
      <w:bookmarkStart w:id="2381" w:name="_Toc17602"/>
      <w:bookmarkStart w:id="2382" w:name="_Toc4851"/>
      <w:bookmarkStart w:id="2383" w:name="_Toc3025"/>
      <w:r>
        <w:rPr>
          <w:rFonts w:hint="eastAsia" w:ascii="宋体" w:hAnsi="宋体"/>
          <w:b w:val="0"/>
          <w:color w:val="auto"/>
          <w:highlight w:val="none"/>
        </w:rPr>
        <w:t>（</w:t>
      </w:r>
      <w:r>
        <w:rPr>
          <w:rFonts w:hint="eastAsia" w:ascii="宋体" w:hAnsi="宋体"/>
          <w:b w:val="0"/>
          <w:color w:val="auto"/>
          <w:highlight w:val="none"/>
          <w:lang w:val="en-US" w:eastAsia="zh-CN"/>
        </w:rPr>
        <w:t>四</w:t>
      </w:r>
      <w:r>
        <w:rPr>
          <w:rFonts w:hint="eastAsia" w:ascii="宋体" w:hAnsi="宋体"/>
          <w:b w:val="0"/>
          <w:color w:val="auto"/>
          <w:highlight w:val="none"/>
        </w:rPr>
        <w:t>）其他资料</w:t>
      </w:r>
      <w:bookmarkEnd w:id="2378"/>
      <w:bookmarkEnd w:id="2379"/>
      <w:bookmarkEnd w:id="2380"/>
      <w:bookmarkEnd w:id="2381"/>
      <w:bookmarkEnd w:id="2382"/>
      <w:bookmarkEnd w:id="2383"/>
    </w:p>
    <w:bookmarkEnd w:id="786"/>
    <w:bookmarkEnd w:id="787"/>
    <w:bookmarkEnd w:id="788"/>
    <w:p>
      <w:pPr>
        <w:spacing w:line="360" w:lineRule="auto"/>
        <w:ind w:firstLine="420" w:firstLineChars="200"/>
        <w:outlineLvl w:val="1"/>
        <w:rPr>
          <w:rFonts w:ascii="宋体" w:hAnsi="宋体"/>
          <w:color w:val="auto"/>
          <w:szCs w:val="21"/>
          <w:highlight w:val="none"/>
        </w:rPr>
      </w:pPr>
      <w:bookmarkStart w:id="2384" w:name="_Toc22741"/>
      <w:bookmarkStart w:id="2385" w:name="_Toc3958"/>
      <w:bookmarkStart w:id="2386" w:name="_Toc15172"/>
      <w:bookmarkStart w:id="2387" w:name="_Toc26250"/>
      <w:bookmarkStart w:id="2388" w:name="_Toc9957"/>
      <w:r>
        <w:rPr>
          <w:rFonts w:hint="eastAsia" w:ascii="宋体" w:hAnsi="宋体"/>
          <w:color w:val="auto"/>
          <w:szCs w:val="21"/>
          <w:highlight w:val="none"/>
        </w:rPr>
        <w:t>1. 投标保证金</w:t>
      </w:r>
      <w:bookmarkEnd w:id="2384"/>
      <w:bookmarkEnd w:id="2385"/>
      <w:bookmarkEnd w:id="2386"/>
      <w:bookmarkEnd w:id="2387"/>
      <w:bookmarkEnd w:id="2388"/>
    </w:p>
    <w:p>
      <w:pPr>
        <w:spacing w:line="360" w:lineRule="auto"/>
        <w:ind w:firstLine="420" w:firstLineChars="200"/>
        <w:rPr>
          <w:rFonts w:hint="eastAsia" w:ascii="宋体" w:hAnsi="宋体"/>
          <w:i w:val="0"/>
          <w:iCs/>
          <w:color w:val="auto"/>
          <w:szCs w:val="21"/>
          <w:highlight w:val="none"/>
          <w:lang w:val="en-US" w:eastAsia="zh-CN"/>
        </w:rPr>
      </w:pPr>
      <w:r>
        <w:rPr>
          <w:rFonts w:hint="eastAsia" w:ascii="宋体" w:hAnsi="宋体"/>
          <w:i w:val="0"/>
          <w:iCs/>
          <w:color w:val="auto"/>
          <w:szCs w:val="21"/>
          <w:highlight w:val="none"/>
          <w:lang w:val="en-US" w:eastAsia="zh-CN"/>
        </w:rPr>
        <w:t>（注</w:t>
      </w:r>
      <w:r>
        <w:rPr>
          <w:rFonts w:hint="eastAsia" w:ascii="宋体" w:hAnsi="宋体"/>
          <w:i w:val="0"/>
          <w:iCs/>
          <w:color w:val="auto"/>
          <w:szCs w:val="21"/>
          <w:highlight w:val="none"/>
        </w:rPr>
        <w:t>：以转账支票或电汇形式交纳投标保证金的提供以下资料</w:t>
      </w:r>
      <w:r>
        <w:rPr>
          <w:rFonts w:hint="eastAsia" w:ascii="宋体" w:hAnsi="宋体"/>
          <w:i w:val="0"/>
          <w:iCs/>
          <w:color w:val="auto"/>
          <w:szCs w:val="21"/>
          <w:highlight w:val="none"/>
          <w:lang w:val="en-US" w:eastAsia="zh-CN"/>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（1）企业基本账户开户证明文件。</w:t>
      </w:r>
    </w:p>
    <w:p>
      <w:pPr>
        <w:rPr>
          <w:rFonts w:ascii="宋体" w:hAnsi="宋体"/>
          <w:i/>
          <w:color w:val="auto"/>
          <w:szCs w:val="21"/>
          <w:highlight w:val="none"/>
        </w:rPr>
      </w:pPr>
      <w:r>
        <w:rPr>
          <w:rFonts w:hint="eastAsia" w:ascii="宋体" w:hAnsi="宋体"/>
          <w:i/>
          <w:color w:val="auto"/>
          <w:szCs w:val="21"/>
          <w:highlight w:val="none"/>
        </w:rPr>
        <w:br w:type="page"/>
      </w:r>
    </w:p>
    <w:p>
      <w:pPr>
        <w:spacing w:line="360" w:lineRule="auto"/>
        <w:ind w:firstLine="420" w:firstLineChars="200"/>
        <w:rPr>
          <w:rFonts w:hint="eastAsia" w:ascii="宋体" w:hAnsi="宋体"/>
          <w:i w:val="0"/>
          <w:iCs/>
          <w:color w:val="auto"/>
          <w:szCs w:val="21"/>
          <w:highlight w:val="none"/>
          <w:lang w:val="en-US" w:eastAsia="zh-CN"/>
        </w:rPr>
      </w:pPr>
      <w:r>
        <w:rPr>
          <w:rFonts w:hint="eastAsia" w:ascii="宋体" w:hAnsi="宋体"/>
          <w:i w:val="0"/>
          <w:iCs/>
          <w:color w:val="auto"/>
          <w:szCs w:val="21"/>
          <w:highlight w:val="none"/>
          <w:lang w:val="en-US" w:eastAsia="zh-CN"/>
        </w:rPr>
        <w:t>（注</w:t>
      </w:r>
      <w:r>
        <w:rPr>
          <w:rFonts w:hint="eastAsia" w:ascii="宋体" w:hAnsi="宋体"/>
          <w:i w:val="0"/>
          <w:iCs/>
          <w:color w:val="auto"/>
          <w:szCs w:val="21"/>
          <w:highlight w:val="none"/>
        </w:rPr>
        <w:t>：以纸质投标保函形式交纳投标保证金的提供以下资料</w:t>
      </w:r>
      <w:r>
        <w:rPr>
          <w:rFonts w:hint="eastAsia" w:ascii="宋体" w:hAnsi="宋体"/>
          <w:i w:val="0"/>
          <w:iCs/>
          <w:color w:val="auto"/>
          <w:szCs w:val="21"/>
          <w:highlight w:val="none"/>
          <w:lang w:val="en-US" w:eastAsia="zh-CN"/>
        </w:rPr>
        <w:t>）</w:t>
      </w:r>
    </w:p>
    <w:p>
      <w:pPr>
        <w:spacing w:line="360" w:lineRule="auto"/>
        <w:ind w:firstLine="420" w:firstLineChars="200"/>
        <w:rPr>
          <w:rFonts w:ascii="宋体" w:hAnsi="宋体" w:cs="宋体"/>
          <w:color w:val="auto"/>
          <w:szCs w:val="21"/>
          <w:highlight w:val="none"/>
        </w:rPr>
      </w:pPr>
      <w:r>
        <w:rPr>
          <w:rFonts w:hint="eastAsia" w:ascii="宋体" w:hAnsi="宋体"/>
          <w:color w:val="auto"/>
          <w:szCs w:val="21"/>
          <w:highlight w:val="none"/>
        </w:rPr>
        <w:t>（1）纸质投标保函（如有）；</w:t>
      </w:r>
    </w:p>
    <w:p>
      <w:pPr>
        <w:spacing w:line="580" w:lineRule="exact"/>
        <w:jc w:val="center"/>
        <w:rPr>
          <w:rFonts w:ascii="宋体" w:hAnsi="宋体" w:cs="宋体"/>
          <w:b/>
          <w:bCs/>
          <w:color w:val="auto"/>
          <w:szCs w:val="21"/>
          <w:highlight w:val="none"/>
        </w:rPr>
      </w:pPr>
      <w:r>
        <w:rPr>
          <w:rFonts w:hint="eastAsia" w:ascii="宋体" w:hAnsi="宋体" w:cs="宋体"/>
          <w:b/>
          <w:bCs/>
          <w:color w:val="auto"/>
          <w:szCs w:val="21"/>
          <w:highlight w:val="none"/>
        </w:rPr>
        <w:t>投标保函示范文本</w:t>
      </w:r>
    </w:p>
    <w:p>
      <w:pPr>
        <w:rPr>
          <w:rFonts w:ascii="宋体" w:hAnsi="宋体" w:cs="宋体"/>
          <w:b/>
          <w:bCs/>
          <w:color w:val="auto"/>
          <w:szCs w:val="21"/>
          <w:highlight w:val="none"/>
        </w:rPr>
      </w:pP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申请人：</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地  址：</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受益人：</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地  址：</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开立人：</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地  址：</w:t>
      </w:r>
    </w:p>
    <w:p>
      <w:pPr>
        <w:overflowPunct w:val="0"/>
        <w:spacing w:line="360" w:lineRule="auto"/>
        <w:rPr>
          <w:rFonts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（受益人名称）：</w:t>
      </w:r>
    </w:p>
    <w:p>
      <w:pPr>
        <w:overflowPunct w:val="0"/>
        <w:spacing w:line="360" w:lineRule="auto"/>
        <w:ind w:firstLine="396" w:firstLineChars="200"/>
        <w:rPr>
          <w:rFonts w:ascii="宋体" w:hAnsi="宋体" w:cs="宋体"/>
          <w:color w:val="auto"/>
          <w:spacing w:val="-6"/>
          <w:kern w:val="0"/>
          <w:szCs w:val="21"/>
          <w:highlight w:val="none"/>
        </w:rPr>
      </w:pPr>
      <w:r>
        <w:rPr>
          <w:rFonts w:hint="eastAsia" w:ascii="宋体" w:hAnsi="宋体" w:cs="宋体"/>
          <w:color w:val="auto"/>
          <w:spacing w:val="-6"/>
          <w:kern w:val="0"/>
          <w:szCs w:val="21"/>
          <w:highlight w:val="none"/>
        </w:rPr>
        <w:t>我方（即“开立人”）已获得通知，本保函申请人（即“投标人”）已响应贵方于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pacing w:val="-6"/>
          <w:kern w:val="0"/>
          <w:szCs w:val="21"/>
          <w:highlight w:val="none"/>
        </w:rPr>
        <w:t>就</w:t>
      </w:r>
      <w:r>
        <w:rPr>
          <w:rFonts w:hint="eastAsia" w:ascii="宋体" w:hAnsi="宋体" w:cs="宋体"/>
          <w:color w:val="auto"/>
          <w:spacing w:val="-6"/>
          <w:kern w:val="0"/>
          <w:szCs w:val="21"/>
          <w:highlight w:val="none"/>
          <w:u w:val="single"/>
        </w:rPr>
        <w:t xml:space="preserve">                   </w:t>
      </w:r>
      <w:r>
        <w:rPr>
          <w:rFonts w:hint="eastAsia" w:ascii="宋体" w:hAnsi="宋体" w:cs="宋体"/>
          <w:color w:val="auto"/>
          <w:spacing w:val="-6"/>
          <w:kern w:val="0"/>
          <w:szCs w:val="21"/>
          <w:highlight w:val="none"/>
        </w:rPr>
        <w:t>（以下简称“本工程”）发出的招标文件以及后续发布的答疑补遗文件，并拟向招标人（即“受益人”）提交投标文件（即“基础交易”）。</w:t>
      </w:r>
    </w:p>
    <w:p>
      <w:pPr>
        <w:overflowPunct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二、我方在投标人发生以下情形时承担保证担保责任：</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（1）投标人在开标后至投标有效期满之前撤销投标的； </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（2）投标人在收到中标通知后，不能或拒绝在中标通知书规定的时间内与贵方签订合同； </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（3）投标人在与贵方签订合同前，未在规定的时间内提交符合招标文件要求的履约担保；</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（4）投标人违反招标文件规定的其他情形。</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三、本保函为不可撤销、不可转让的见索即付保函。本保函有效期自开立之日起至投标有效期届满之日后的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日止（提示：建议30日）。投标有效期延长的，本保函有效期相应顺延，最迟不超过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日（提示：建议按保函有效期不超过270日考虑）。</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四、我方承诺，在收到受益人发来的书面索赔通知后的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个工作日（提示：建议10—15个工作日）内无条件支付，前述书面索赔通知即为付款要求之单据，且应满足以下要求：</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（1）索赔通知到达的日期在本保函的有效期内；</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（2）载明要求支付的金额；</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（3）载明申请人违反招投标文件规定的义务内容和具体条款；</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（4）声明不存在招标文件规定免除申请人或我方支付责任的情形；</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（5）索赔通知应在本保函有效期内到达的地址是：</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受益人发出的书面索赔通知应由其为鉴明受益人法定代表人或授权代理人签名并加盖公章。</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五、本保函项下的权利不得转让，不得设定担保。贵方未经我方书面同意转让本保函或其项下任何权利，对我方不发生法律效力。</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六、本保函项下的基础交易不成立、不生效、无效、被撤销、被解除，不影响本保函的独立有效。 </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七、受益人应在本保函到期后的七个工作日内将本保函正本退回我方注销，但是不论受益人是否按此要求将本保函正本退回我方，我方在本保函项下的义务和责任均在保函有效期到期后自动消灭。</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八、本保函的开具是我方真实意思表示，符合法律法规规定，我方同意遵守本保函约定并无条件承担担保责任。本保函与其他规定或条款不一致时，以本保函约定为准。</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九、本保函适用的法律为中华人民共和国法律，争议裁判管辖地为中华人民共和国</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十、本保函自我方法定代表人或授权代表签字并加盖公章之日起生效。</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十一、本保函在重庆市辖区范围内的核验地点：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；核验方式：</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i/>
          <w:iCs/>
          <w:color w:val="auto"/>
          <w:kern w:val="2"/>
          <w:sz w:val="21"/>
          <w:szCs w:val="21"/>
          <w:highlight w:val="none"/>
          <w:u w:val="single"/>
        </w:rPr>
        <w:t>[提示：招标人可以根据项目实际情况，填写本保函在重庆本地的核验方式，如现场核验等]</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开 立 人：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（公章）</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法定代表人（或授权代表）：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overflowPunct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overflowPunct w:val="0"/>
        <w:spacing w:line="360" w:lineRule="auto"/>
        <w:ind w:firstLine="420" w:firstLineChars="200"/>
        <w:jc w:val="right"/>
        <w:rPr>
          <w:rFonts w:ascii="宋体" w:hAnsi="宋体" w:cs="宋体"/>
          <w:color w:val="auto"/>
          <w:szCs w:val="21"/>
          <w:highlight w:val="none"/>
        </w:rPr>
      </w:pPr>
      <w:r>
        <w:rPr>
          <w:rFonts w:hint="eastAsia" w:ascii="宋体" w:hAnsi="宋体" w:cs="宋体"/>
          <w:color w:val="auto"/>
          <w:szCs w:val="21"/>
          <w:highlight w:val="none"/>
        </w:rPr>
        <w:t>开立时间：    年    月    日</w:t>
      </w:r>
    </w:p>
    <w:p>
      <w:pPr>
        <w:rPr>
          <w:rFonts w:ascii="宋体" w:hAnsi="宋体" w:cs="宋体"/>
          <w:color w:val="auto"/>
          <w:szCs w:val="21"/>
          <w:highlight w:val="none"/>
        </w:rPr>
      </w:pPr>
    </w:p>
    <w:p>
      <w:pPr>
        <w:rPr>
          <w:rFonts w:eastAsia="方正黑体_GBK" w:cs="方正黑体_GBK"/>
          <w:color w:val="auto"/>
          <w:sz w:val="32"/>
          <w:szCs w:val="32"/>
          <w:highlight w:val="none"/>
        </w:rPr>
      </w:pP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p>
    <w:p>
      <w:pPr>
        <w:spacing w:line="360" w:lineRule="auto"/>
        <w:ind w:firstLine="420" w:firstLineChars="200"/>
        <w:outlineLvl w:val="1"/>
        <w:rPr>
          <w:rFonts w:ascii="宋体" w:hAnsi="宋体"/>
          <w:szCs w:val="21"/>
        </w:rPr>
      </w:pPr>
      <w:bookmarkStart w:id="2389" w:name="_Toc252"/>
      <w:bookmarkStart w:id="2390" w:name="_Toc27978"/>
      <w:bookmarkStart w:id="2391" w:name="_Toc6133"/>
      <w:bookmarkStart w:id="2392" w:name="_Toc22576"/>
      <w:bookmarkStart w:id="2393" w:name="_Toc31078"/>
      <w:r>
        <w:rPr>
          <w:rFonts w:hint="eastAsia" w:ascii="宋体" w:hAnsi="宋体"/>
          <w:color w:val="auto"/>
          <w:szCs w:val="21"/>
          <w:highlight w:val="none"/>
        </w:rPr>
        <w:t xml:space="preserve">2. </w:t>
      </w:r>
      <w:bookmarkEnd w:id="2389"/>
      <w:bookmarkEnd w:id="2390"/>
      <w:r>
        <w:rPr>
          <w:rFonts w:hint="eastAsia" w:ascii="宋体" w:hAnsi="宋体"/>
          <w:szCs w:val="21"/>
          <w:lang w:eastAsia="zh-CN"/>
        </w:rPr>
        <w:t>中小企业声明函</w:t>
      </w:r>
      <w:bookmarkEnd w:id="2391"/>
      <w:bookmarkEnd w:id="2392"/>
      <w:bookmarkEnd w:id="2393"/>
    </w:p>
    <w:p>
      <w:pPr>
        <w:pStyle w:val="41"/>
        <w:spacing w:before="0" w:beforeAutospacing="0" w:after="0" w:afterAutospacing="0" w:line="540" w:lineRule="exact"/>
        <w:jc w:val="center"/>
        <w:outlineLvl w:val="0"/>
        <w:rPr>
          <w:rFonts w:hint="eastAsia" w:eastAsia="宋体"/>
          <w:lang w:eastAsia="zh-CN"/>
        </w:rPr>
      </w:pPr>
      <w:bookmarkStart w:id="2394" w:name="_Toc6191"/>
      <w:bookmarkStart w:id="2395" w:name="_Toc32272"/>
      <w:bookmarkStart w:id="2396" w:name="_Toc27704"/>
      <w:r>
        <w:rPr>
          <w:rFonts w:hint="eastAsia"/>
          <w:lang w:eastAsia="zh-CN"/>
        </w:rPr>
        <w:t>中小企业声明函（</w:t>
      </w:r>
      <w:r>
        <w:rPr>
          <w:rFonts w:hint="eastAsia"/>
          <w:lang w:val="en-US" w:eastAsia="zh-CN"/>
        </w:rPr>
        <w:t>工程类</w:t>
      </w:r>
      <w:r>
        <w:rPr>
          <w:rFonts w:hint="eastAsia"/>
          <w:lang w:eastAsia="zh-CN"/>
        </w:rPr>
        <w:t>）</w:t>
      </w:r>
      <w:bookmarkEnd w:id="2394"/>
      <w:bookmarkEnd w:id="2395"/>
      <w:bookmarkEnd w:id="2396"/>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本公司（联合体）郑重声明，根据《政府采购促进中小企业发展管理办法》（财库〔2020〕46号）的规定，本公司</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联合体</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参加</w:t>
      </w:r>
      <w:r>
        <w:rPr>
          <w:rFonts w:hint="eastAsia" w:asciiTheme="minorEastAsia" w:hAnsiTheme="minorEastAsia" w:eastAsiaTheme="minorEastAsia" w:cstheme="minorEastAsia"/>
          <w:i/>
          <w:sz w:val="21"/>
          <w:szCs w:val="21"/>
          <w:u w:val="single"/>
        </w:rPr>
        <w:t>（单位名称）</w:t>
      </w:r>
      <w:r>
        <w:rPr>
          <w:rFonts w:hint="eastAsia" w:asciiTheme="minorEastAsia" w:hAnsiTheme="minorEastAsia" w:eastAsiaTheme="minorEastAsia" w:cstheme="minorEastAsia"/>
          <w:sz w:val="21"/>
          <w:szCs w:val="21"/>
        </w:rPr>
        <w:t>的</w:t>
      </w:r>
      <w:r>
        <w:rPr>
          <w:rFonts w:hint="eastAsia" w:asciiTheme="minorEastAsia" w:hAnsiTheme="minorEastAsia" w:eastAsiaTheme="minorEastAsia" w:cstheme="minorEastAsia"/>
          <w:i/>
          <w:sz w:val="21"/>
          <w:szCs w:val="21"/>
          <w:u w:val="single"/>
        </w:rPr>
        <w:t>（项目名称）</w:t>
      </w:r>
      <w:r>
        <w:rPr>
          <w:rFonts w:hint="eastAsia" w:asciiTheme="minorEastAsia" w:hAnsiTheme="minorEastAsia" w:eastAsiaTheme="minorEastAsia" w:cstheme="minorEastAsia"/>
          <w:sz w:val="21"/>
          <w:szCs w:val="21"/>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i/>
          <w:sz w:val="21"/>
          <w:szCs w:val="21"/>
          <w:u w:val="single"/>
        </w:rPr>
        <w:t>（标的名称）</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i/>
          <w:sz w:val="21"/>
          <w:szCs w:val="21"/>
          <w:u w:val="single"/>
        </w:rPr>
        <w:t>（招标文件中明确的所属行业）</w:t>
      </w:r>
      <w:r>
        <w:rPr>
          <w:rFonts w:hint="eastAsia" w:asciiTheme="minorEastAsia" w:hAnsiTheme="minorEastAsia" w:eastAsiaTheme="minorEastAsia" w:cstheme="minorEastAsia"/>
          <w:sz w:val="21"/>
          <w:szCs w:val="21"/>
        </w:rPr>
        <w:t>；承建</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承接</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企业为</w:t>
      </w:r>
      <w:r>
        <w:rPr>
          <w:rFonts w:hint="eastAsia" w:asciiTheme="minorEastAsia" w:hAnsiTheme="minorEastAsia" w:eastAsiaTheme="minorEastAsia" w:cstheme="minorEastAsia"/>
          <w:i/>
          <w:sz w:val="21"/>
          <w:szCs w:val="21"/>
          <w:u w:val="single"/>
        </w:rPr>
        <w:t>（企业名称）</w:t>
      </w:r>
      <w:r>
        <w:rPr>
          <w:rFonts w:hint="eastAsia" w:asciiTheme="minorEastAsia" w:hAnsiTheme="minorEastAsia" w:eastAsiaTheme="minorEastAsia" w:cstheme="minorEastAsia"/>
          <w:sz w:val="21"/>
          <w:szCs w:val="21"/>
        </w:rPr>
        <w:t>，从业人员</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人，营业收入为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万元，资产总额为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万元，属于</w:t>
      </w:r>
      <w:r>
        <w:rPr>
          <w:rFonts w:hint="eastAsia" w:asciiTheme="minorEastAsia" w:hAnsiTheme="minorEastAsia" w:eastAsiaTheme="minorEastAsia" w:cstheme="minorEastAsia"/>
          <w:i/>
          <w:sz w:val="21"/>
          <w:szCs w:val="21"/>
          <w:u w:val="single"/>
        </w:rPr>
        <w:t>（中型企业、小型企业、微型企业）</w:t>
      </w: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i/>
          <w:sz w:val="21"/>
          <w:szCs w:val="21"/>
          <w:u w:val="single"/>
        </w:rPr>
        <w:t>（标的名称）</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i/>
          <w:sz w:val="21"/>
          <w:szCs w:val="21"/>
          <w:u w:val="single"/>
        </w:rPr>
        <w:t>（招标文件中明确的所属行业）</w:t>
      </w:r>
      <w:r>
        <w:rPr>
          <w:rFonts w:hint="eastAsia" w:asciiTheme="minorEastAsia" w:hAnsiTheme="minorEastAsia" w:eastAsiaTheme="minorEastAsia" w:cstheme="minorEastAsia"/>
          <w:sz w:val="21"/>
          <w:szCs w:val="21"/>
        </w:rPr>
        <w:t>；承建</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承接</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企业为</w:t>
      </w:r>
      <w:r>
        <w:rPr>
          <w:rFonts w:hint="eastAsia" w:asciiTheme="minorEastAsia" w:hAnsiTheme="minorEastAsia" w:eastAsiaTheme="minorEastAsia" w:cstheme="minorEastAsia"/>
          <w:i/>
          <w:sz w:val="21"/>
          <w:szCs w:val="21"/>
          <w:u w:val="single"/>
        </w:rPr>
        <w:t>（企业名称）</w:t>
      </w:r>
      <w:r>
        <w:rPr>
          <w:rFonts w:hint="eastAsia" w:asciiTheme="minorEastAsia" w:hAnsiTheme="minorEastAsia" w:eastAsiaTheme="minorEastAsia" w:cstheme="minorEastAsia"/>
          <w:sz w:val="21"/>
          <w:szCs w:val="21"/>
        </w:rPr>
        <w:t>，从业人员</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人，营业收入为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万元，资产总额为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万元，属于</w:t>
      </w:r>
      <w:r>
        <w:rPr>
          <w:rFonts w:hint="eastAsia" w:asciiTheme="minorEastAsia" w:hAnsiTheme="minorEastAsia" w:eastAsiaTheme="minorEastAsia" w:cstheme="minorEastAsia"/>
          <w:i/>
          <w:sz w:val="21"/>
          <w:szCs w:val="21"/>
          <w:u w:val="single"/>
        </w:rPr>
        <w:t>（中型企业、小型企业、微型企业）</w:t>
      </w: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企业名称（盖章）：</w:t>
      </w:r>
      <w:r>
        <w:rPr>
          <w:rFonts w:hint="eastAsia" w:asciiTheme="minorEastAsia" w:hAnsiTheme="minorEastAsia" w:eastAsiaTheme="minorEastAsia" w:cstheme="minorEastAsia"/>
          <w:sz w:val="21"/>
          <w:szCs w:val="21"/>
          <w:u w:val="single"/>
          <w:lang w:eastAsia="zh-CN"/>
        </w:rPr>
        <w:t xml:space="preserve"> </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5355" w:firstLineChars="255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日期：</w:t>
      </w:r>
      <w:r>
        <w:rPr>
          <w:rFonts w:hint="eastAsia" w:asciiTheme="minorEastAsia" w:hAnsiTheme="minorEastAsia" w:eastAsiaTheme="minorEastAsia" w:cstheme="minorEastAsia"/>
          <w:sz w:val="21"/>
          <w:szCs w:val="21"/>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2.中小企业应当按照《中小企业划型标准规定》（工信部联企业〔2011〕300号），如实填写并提交《</w:t>
      </w:r>
      <w:r>
        <w:rPr>
          <w:rFonts w:hint="eastAsia" w:asciiTheme="minorEastAsia" w:hAnsiTheme="minorEastAsia" w:eastAsiaTheme="minorEastAsia" w:cstheme="minorEastAsia"/>
          <w:b w:val="0"/>
          <w:bCs w:val="0"/>
          <w:kern w:val="0"/>
          <w:sz w:val="21"/>
          <w:szCs w:val="21"/>
          <w:lang w:eastAsia="zh-CN"/>
        </w:rPr>
        <w:t>中小企业声明函</w:t>
      </w:r>
      <w:r>
        <w:rPr>
          <w:rFonts w:hint="eastAsia" w:asciiTheme="minorEastAsia" w:hAnsiTheme="minorEastAsia" w:eastAsiaTheme="minorEastAsia" w:cstheme="minorEastAsia"/>
          <w:b w:val="0"/>
          <w:bCs w:val="0"/>
          <w:kern w:val="0"/>
          <w:sz w:val="21"/>
          <w:szCs w:val="21"/>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val="0"/>
          <w:bCs w:val="0"/>
          <w:kern w:val="0"/>
          <w:sz w:val="21"/>
          <w:szCs w:val="21"/>
        </w:rPr>
        <w:t>4.本声明函“企业名称（盖章）”处为</w:t>
      </w:r>
      <w:r>
        <w:rPr>
          <w:rFonts w:hint="eastAsia" w:asciiTheme="minorEastAsia" w:hAnsiTheme="minorEastAsia" w:eastAsiaTheme="minorEastAsia" w:cstheme="minorEastAsia"/>
          <w:b w:val="0"/>
          <w:bCs w:val="0"/>
          <w:kern w:val="0"/>
          <w:sz w:val="21"/>
          <w:szCs w:val="21"/>
          <w:lang w:val="en-US" w:eastAsia="zh-CN"/>
        </w:rPr>
        <w:t>中小企业</w:t>
      </w:r>
      <w:r>
        <w:rPr>
          <w:rFonts w:hint="eastAsia" w:asciiTheme="minorEastAsia" w:hAnsiTheme="minorEastAsia" w:eastAsiaTheme="minorEastAsia" w:cstheme="minorEastAsia"/>
          <w:b w:val="0"/>
          <w:bCs w:val="0"/>
          <w:kern w:val="0"/>
          <w:sz w:val="21"/>
          <w:szCs w:val="21"/>
        </w:rPr>
        <w:t>盖章。</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widowControl w:val="0"/>
        <w:tabs>
          <w:tab w:val="left" w:pos="6300"/>
        </w:tabs>
        <w:snapToGrid w:val="0"/>
        <w:spacing w:line="360" w:lineRule="auto"/>
        <w:ind w:firstLine="420" w:firstLineChars="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tabs>
          <w:tab w:val="left" w:pos="6300"/>
        </w:tabs>
        <w:snapToGrid w:val="0"/>
        <w:spacing w:line="360" w:lineRule="auto"/>
        <w:ind w:firstLine="420" w:firstLineChars="200"/>
        <w:jc w:val="left"/>
        <w:rPr>
          <w:rFonts w:ascii="宋体" w:hAnsi="宋体"/>
          <w:szCs w:val="21"/>
        </w:rPr>
      </w:pPr>
      <w:r>
        <w:rPr>
          <w:rFonts w:hint="eastAsia" w:asciiTheme="minorEastAsia" w:hAnsiTheme="minorEastAsia" w:eastAsiaTheme="minorEastAsia" w:cstheme="minorEastAsia"/>
          <w:kern w:val="0"/>
          <w:szCs w:val="21"/>
        </w:rPr>
        <w:t>（十六）其他未列明行业。从业人员300人以下的为中小微型企业。其中，从业人员100人及以上的为中型企业；从业人员10人及以上的为小型企业；从业人员10人以下的为微型企业</w:t>
      </w:r>
      <w:r>
        <w:rPr>
          <w:rFonts w:hint="eastAsia" w:asciiTheme="minorEastAsia" w:hAnsiTheme="minorEastAsia" w:eastAsiaTheme="minorEastAsia" w:cstheme="minorEastAsia"/>
          <w:kern w:val="0"/>
          <w:sz w:val="21"/>
          <w:szCs w:val="21"/>
        </w:rPr>
        <w:t>。</w:t>
      </w:r>
      <w:r>
        <w:rPr>
          <w:rFonts w:hint="eastAsia" w:ascii="宋体" w:hAnsi="宋体"/>
          <w:szCs w:val="21"/>
        </w:rPr>
        <w:br w:type="page"/>
      </w:r>
    </w:p>
    <w:p>
      <w:pPr>
        <w:spacing w:line="360" w:lineRule="auto"/>
        <w:ind w:firstLine="420" w:firstLineChars="200"/>
        <w:rPr>
          <w:rFonts w:hint="eastAsia" w:ascii="宋体" w:hAnsi="宋体"/>
          <w:szCs w:val="21"/>
          <w:highlight w:val="none"/>
          <w:lang w:val="en-US" w:eastAsia="zh-CN"/>
        </w:rPr>
      </w:pPr>
      <w:r>
        <w:rPr>
          <w:rFonts w:hint="eastAsia" w:ascii="宋体" w:hAnsi="宋体"/>
          <w:szCs w:val="21"/>
          <w:highlight w:val="none"/>
          <w:lang w:val="en-US" w:eastAsia="zh-CN"/>
        </w:rPr>
        <w:t>3.</w:t>
      </w:r>
      <w:r>
        <w:rPr>
          <w:rFonts w:hint="eastAsia"/>
          <w:highlight w:val="none"/>
        </w:rPr>
        <w:t>中小企业承担合同份额</w:t>
      </w:r>
      <w:r>
        <w:rPr>
          <w:rFonts w:hint="eastAsia"/>
          <w:highlight w:val="none"/>
          <w:lang w:val="en-US" w:eastAsia="zh-CN"/>
        </w:rPr>
        <w:t>承诺函</w:t>
      </w:r>
    </w:p>
    <w:p>
      <w:pPr>
        <w:pStyle w:val="2"/>
        <w:spacing w:line="360" w:lineRule="auto"/>
        <w:jc w:val="center"/>
        <w:rPr>
          <w:rFonts w:hint="eastAsia" w:eastAsia="宋体"/>
          <w:highlight w:val="none"/>
          <w:lang w:val="en-US" w:eastAsia="zh-CN"/>
        </w:rPr>
      </w:pPr>
      <w:r>
        <w:rPr>
          <w:rFonts w:hint="eastAsia"/>
          <w:highlight w:val="none"/>
        </w:rPr>
        <w:t>中小企业承担合同份额</w:t>
      </w:r>
      <w:r>
        <w:rPr>
          <w:rFonts w:hint="eastAsia"/>
          <w:highlight w:val="none"/>
          <w:lang w:val="en-US" w:eastAsia="zh-CN"/>
        </w:rPr>
        <w:t>承诺函</w:t>
      </w:r>
    </w:p>
    <w:p>
      <w:pPr>
        <w:pStyle w:val="2"/>
        <w:spacing w:line="360" w:lineRule="auto"/>
        <w:jc w:val="center"/>
        <w:rPr>
          <w:rFonts w:hint="eastAsia" w:eastAsia="宋体"/>
          <w:highlight w:val="none"/>
          <w:lang w:val="en-US" w:eastAsia="zh-CN"/>
        </w:rPr>
      </w:pPr>
      <w:r>
        <w:rPr>
          <w:rFonts w:hint="eastAsia"/>
          <w:highlight w:val="none"/>
          <w:lang w:val="en-US" w:eastAsia="zh-CN"/>
        </w:rPr>
        <w:t>（</w:t>
      </w:r>
      <w:r>
        <w:rPr>
          <w:rFonts w:hint="eastAsia" w:ascii="宋体" w:hAnsi="宋体"/>
          <w:snapToGrid w:val="0"/>
          <w:kern w:val="0"/>
          <w:szCs w:val="21"/>
          <w:highlight w:val="none"/>
        </w:rPr>
        <w:t>以联合体形式面向中小企业</w:t>
      </w:r>
      <w:r>
        <w:rPr>
          <w:rFonts w:hint="eastAsia"/>
          <w:highlight w:val="none"/>
          <w:lang w:val="en-US" w:eastAsia="zh-CN"/>
        </w:rPr>
        <w:t>时采用</w:t>
      </w:r>
      <w:r>
        <w:rPr>
          <w:rFonts w:hint="eastAsia"/>
          <w:highlight w:val="none"/>
          <w:lang w:eastAsia="zh-CN"/>
        </w:rPr>
        <w:t>）</w:t>
      </w:r>
    </w:p>
    <w:p>
      <w:pPr>
        <w:autoSpaceDE w:val="0"/>
        <w:autoSpaceDN w:val="0"/>
        <w:adjustRightInd w:val="0"/>
        <w:snapToGrid w:val="0"/>
        <w:spacing w:line="360" w:lineRule="auto"/>
        <w:rPr>
          <w:rFonts w:ascii="宋体" w:hAnsi="宋体" w:cs="宋体"/>
          <w:snapToGrid w:val="0"/>
          <w:kern w:val="0"/>
          <w:szCs w:val="21"/>
          <w:highlight w:val="none"/>
        </w:rPr>
      </w:pPr>
      <w:r>
        <w:rPr>
          <w:rFonts w:hint="eastAsia" w:ascii="宋体" w:hAnsi="宋体" w:cs="宋体"/>
          <w:snapToGrid w:val="0"/>
          <w:kern w:val="0"/>
          <w:szCs w:val="21"/>
          <w:highlight w:val="none"/>
          <w:u w:val="single"/>
        </w:rPr>
        <w:t xml:space="preserve">        （招标人名称）</w:t>
      </w:r>
      <w:r>
        <w:rPr>
          <w:rFonts w:hint="eastAsia" w:ascii="宋体" w:hAnsi="宋体" w:cs="宋体"/>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我公司</w:t>
      </w:r>
      <w:r>
        <w:rPr>
          <w:rFonts w:hint="eastAsia" w:ascii="宋体" w:hAnsi="宋体" w:cs="宋体"/>
          <w:snapToGrid w:val="0"/>
          <w:kern w:val="0"/>
          <w:szCs w:val="21"/>
          <w:highlight w:val="none"/>
          <w:u w:val="single"/>
        </w:rPr>
        <w:t xml:space="preserve">        （所有成员单位名称）</w:t>
      </w:r>
      <w:r>
        <w:rPr>
          <w:rFonts w:hint="eastAsia" w:ascii="宋体" w:hAnsi="宋体" w:cs="宋体"/>
          <w:snapToGrid w:val="0"/>
          <w:kern w:val="0"/>
          <w:szCs w:val="21"/>
          <w:highlight w:val="none"/>
          <w:u w:val="none"/>
        </w:rPr>
        <w:t>自愿组成联合体</w:t>
      </w:r>
      <w:r>
        <w:rPr>
          <w:rFonts w:hint="eastAsia" w:ascii="宋体" w:hAnsi="宋体" w:cs="宋体"/>
          <w:snapToGrid w:val="0"/>
          <w:kern w:val="0"/>
          <w:szCs w:val="21"/>
          <w:highlight w:val="none"/>
        </w:rPr>
        <w:t>，</w:t>
      </w:r>
      <w:r>
        <w:rPr>
          <w:rFonts w:hint="eastAsia" w:ascii="宋体" w:hAnsi="宋体" w:cs="宋体"/>
          <w:snapToGrid w:val="0"/>
          <w:kern w:val="0"/>
          <w:szCs w:val="21"/>
          <w:highlight w:val="none"/>
          <w:lang w:val="en-US" w:eastAsia="zh-CN"/>
        </w:rPr>
        <w:t>承诺</w:t>
      </w:r>
      <w:r>
        <w:rPr>
          <w:rFonts w:hint="eastAsia" w:ascii="宋体" w:hAnsi="宋体" w:cs="宋体"/>
          <w:snapToGrid w:val="0"/>
          <w:kern w:val="0"/>
          <w:szCs w:val="21"/>
          <w:highlight w:val="none"/>
        </w:rPr>
        <w:t>将合同份额的</w:t>
      </w:r>
      <w:r>
        <w:rPr>
          <w:rFonts w:hint="eastAsia" w:ascii="宋体" w:hAnsi="宋体" w:cs="宋体"/>
          <w:snapToGrid w:val="0"/>
          <w:kern w:val="0"/>
          <w:szCs w:val="21"/>
          <w:highlight w:val="none"/>
          <w:u w:val="single"/>
          <w:lang w:val="en-US" w:eastAsia="zh-CN"/>
        </w:rPr>
        <w:t xml:space="preserve">    </w:t>
      </w:r>
      <w:r>
        <w:rPr>
          <w:rFonts w:hint="eastAsia" w:ascii="宋体" w:hAnsi="宋体" w:cs="宋体"/>
          <w:snapToGrid w:val="0"/>
          <w:kern w:val="0"/>
          <w:szCs w:val="21"/>
          <w:highlight w:val="none"/>
          <w:lang w:val="en-US" w:eastAsia="zh-CN"/>
        </w:rPr>
        <w:t>%</w:t>
      </w:r>
      <w:r>
        <w:rPr>
          <w:rFonts w:hint="eastAsia" w:ascii="宋体" w:hAnsi="宋体" w:cs="宋体"/>
          <w:snapToGrid w:val="0"/>
          <w:kern w:val="0"/>
          <w:szCs w:val="21"/>
          <w:highlight w:val="none"/>
        </w:rPr>
        <w:t>以</w:t>
      </w:r>
      <w:r>
        <w:rPr>
          <w:rFonts w:hint="eastAsia" w:ascii="宋体" w:hAnsi="宋体" w:cs="宋体"/>
          <w:snapToGrid w:val="0"/>
          <w:kern w:val="0"/>
          <w:szCs w:val="21"/>
          <w:highlight w:val="none"/>
          <w:lang w:val="en-US" w:eastAsia="zh-CN"/>
        </w:rPr>
        <w:t>上由联合体中的中小企业实施</w:t>
      </w:r>
      <w:r>
        <w:rPr>
          <w:rFonts w:hint="eastAsia" w:ascii="宋体" w:hAnsi="宋体" w:cs="宋体"/>
          <w:snapToGrid w:val="0"/>
          <w:kern w:val="0"/>
          <w:szCs w:val="21"/>
          <w:highlight w:val="none"/>
        </w:rPr>
        <w:t>。</w:t>
      </w:r>
      <w:r>
        <w:rPr>
          <w:rFonts w:hint="eastAsia" w:ascii="宋体" w:hAnsi="宋体" w:cs="宋体"/>
          <w:i/>
          <w:iCs/>
          <w:snapToGrid w:val="0"/>
          <w:kern w:val="0"/>
          <w:szCs w:val="21"/>
          <w:highlight w:val="none"/>
        </w:rPr>
        <w:t>[提示：2025年、2026年执行不低于40%的比例，之后年度执行不低于30%的比例</w:t>
      </w:r>
      <w:r>
        <w:rPr>
          <w:rFonts w:hint="eastAsia" w:ascii="宋体" w:hAnsi="宋体" w:cs="宋体"/>
          <w:i/>
          <w:iCs/>
          <w:snapToGrid w:val="0"/>
          <w:kern w:val="0"/>
          <w:szCs w:val="21"/>
          <w:highlight w:val="none"/>
          <w:lang w:eastAsia="zh-CN"/>
        </w:rPr>
        <w:t>。</w:t>
      </w:r>
      <w:r>
        <w:rPr>
          <w:rFonts w:hint="eastAsia" w:ascii="宋体" w:hAnsi="宋体" w:cs="宋体"/>
          <w:i/>
          <w:iCs/>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p>
    <w:p>
      <w:pPr>
        <w:autoSpaceDE w:val="0"/>
        <w:autoSpaceDN w:val="0"/>
        <w:adjustRightInd w:val="0"/>
        <w:snapToGrid w:val="0"/>
        <w:spacing w:line="360" w:lineRule="auto"/>
        <w:ind w:firstLine="420" w:firstLineChars="200"/>
        <w:rPr>
          <w:rFonts w:ascii="宋体" w:hAnsi="宋体" w:cs="宋体"/>
          <w:snapToGrid w:val="0"/>
          <w:kern w:val="0"/>
          <w:szCs w:val="21"/>
          <w:highlight w:val="none"/>
        </w:rPr>
      </w:pPr>
      <w:r>
        <w:rPr>
          <w:rFonts w:hint="eastAsia" w:ascii="宋体" w:hAnsi="宋体" w:cs="宋体"/>
          <w:snapToGrid w:val="0"/>
          <w:kern w:val="0"/>
          <w:szCs w:val="21"/>
          <w:highlight w:val="none"/>
        </w:rPr>
        <w:t>特此承诺。</w:t>
      </w: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投  标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kern w:val="0"/>
          <w:szCs w:val="21"/>
          <w:highlight w:val="none"/>
        </w:rPr>
      </w:pPr>
    </w:p>
    <w:p>
      <w:pPr>
        <w:spacing w:line="360" w:lineRule="auto"/>
        <w:ind w:firstLine="420" w:firstLineChars="200"/>
        <w:jc w:val="right"/>
        <w:rPr>
          <w:rFonts w:ascii="宋体" w:hAnsi="宋体"/>
          <w:kern w:val="0"/>
          <w:szCs w:val="21"/>
          <w:highlight w:val="none"/>
        </w:rPr>
      </w:pP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p>
    <w:p>
      <w:pPr>
        <w:spacing w:line="240" w:lineRule="auto"/>
        <w:ind w:firstLine="0" w:firstLineChars="0"/>
        <w:rPr>
          <w:rFonts w:hint="eastAsia" w:ascii="宋体" w:hAnsi="宋体"/>
          <w:szCs w:val="21"/>
          <w:highlight w:val="none"/>
          <w:lang w:val="en-US" w:eastAsia="zh-CN"/>
        </w:rPr>
      </w:pPr>
      <w:r>
        <w:rPr>
          <w:rFonts w:hint="eastAsia" w:ascii="宋体" w:hAnsi="宋体"/>
          <w:szCs w:val="21"/>
          <w:highlight w:val="none"/>
          <w:lang w:val="en-US" w:eastAsia="zh-CN"/>
        </w:rPr>
        <w:br w:type="page"/>
      </w:r>
    </w:p>
    <w:p>
      <w:pPr>
        <w:spacing w:line="360" w:lineRule="auto"/>
        <w:ind w:firstLine="420" w:firstLineChars="200"/>
        <w:rPr>
          <w:rFonts w:hint="eastAsia" w:ascii="宋体" w:hAnsi="宋体"/>
          <w:szCs w:val="21"/>
          <w:highlight w:val="none"/>
          <w:lang w:val="en-US" w:eastAsia="zh-CN"/>
        </w:rPr>
      </w:pPr>
      <w:r>
        <w:rPr>
          <w:rFonts w:hint="eastAsia" w:ascii="宋体" w:hAnsi="宋体"/>
          <w:szCs w:val="21"/>
          <w:highlight w:val="none"/>
          <w:lang w:val="en-US" w:eastAsia="zh-CN"/>
        </w:rPr>
        <w:t>4.分包承诺函</w:t>
      </w:r>
    </w:p>
    <w:p>
      <w:pPr>
        <w:pStyle w:val="2"/>
        <w:spacing w:line="360" w:lineRule="auto"/>
        <w:jc w:val="center"/>
        <w:rPr>
          <w:rFonts w:hint="eastAsia"/>
          <w:highlight w:val="none"/>
          <w:lang w:val="en-US" w:eastAsia="zh-CN"/>
        </w:rPr>
      </w:pPr>
      <w:r>
        <w:rPr>
          <w:rFonts w:hint="eastAsia"/>
          <w:highlight w:val="none"/>
          <w:lang w:val="en-US" w:eastAsia="zh-CN"/>
        </w:rPr>
        <w:t>分包承诺函</w:t>
      </w:r>
    </w:p>
    <w:p>
      <w:pPr>
        <w:pStyle w:val="2"/>
        <w:spacing w:line="360" w:lineRule="auto"/>
        <w:jc w:val="center"/>
        <w:rPr>
          <w:rFonts w:hint="eastAsia" w:eastAsia="宋体"/>
          <w:highlight w:val="none"/>
          <w:lang w:val="en-US" w:eastAsia="zh-CN"/>
        </w:rPr>
      </w:pPr>
      <w:r>
        <w:rPr>
          <w:rFonts w:hint="eastAsia"/>
          <w:highlight w:val="none"/>
          <w:lang w:val="en-US" w:eastAsia="zh-CN"/>
        </w:rPr>
        <w:t>（</w:t>
      </w:r>
      <w:r>
        <w:rPr>
          <w:rFonts w:hint="eastAsia" w:ascii="宋体" w:hAnsi="宋体"/>
          <w:snapToGrid w:val="0"/>
          <w:kern w:val="0"/>
          <w:szCs w:val="21"/>
          <w:highlight w:val="none"/>
        </w:rPr>
        <w:t>以合同分包形式面向中小企业</w:t>
      </w:r>
      <w:r>
        <w:rPr>
          <w:rFonts w:hint="eastAsia"/>
          <w:highlight w:val="none"/>
          <w:lang w:val="en-US" w:eastAsia="zh-CN"/>
        </w:rPr>
        <w:t>时采用</w:t>
      </w:r>
      <w:r>
        <w:rPr>
          <w:rFonts w:hint="eastAsia"/>
          <w:highlight w:val="none"/>
          <w:lang w:eastAsia="zh-CN"/>
        </w:rPr>
        <w:t>）</w:t>
      </w:r>
    </w:p>
    <w:p>
      <w:pPr>
        <w:autoSpaceDE w:val="0"/>
        <w:autoSpaceDN w:val="0"/>
        <w:adjustRightInd w:val="0"/>
        <w:snapToGrid w:val="0"/>
        <w:spacing w:line="360" w:lineRule="auto"/>
        <w:rPr>
          <w:rFonts w:ascii="宋体" w:hAnsi="宋体" w:cs="宋体"/>
          <w:snapToGrid w:val="0"/>
          <w:kern w:val="0"/>
          <w:szCs w:val="21"/>
          <w:highlight w:val="none"/>
        </w:rPr>
      </w:pPr>
      <w:r>
        <w:rPr>
          <w:rFonts w:hint="eastAsia" w:ascii="宋体" w:hAnsi="宋体" w:cs="宋体"/>
          <w:snapToGrid w:val="0"/>
          <w:kern w:val="0"/>
          <w:szCs w:val="21"/>
          <w:highlight w:val="none"/>
          <w:u w:val="single"/>
        </w:rPr>
        <w:t xml:space="preserve">        （招标人名称）</w:t>
      </w:r>
      <w:r>
        <w:rPr>
          <w:rFonts w:hint="eastAsia" w:ascii="宋体" w:hAnsi="宋体" w:cs="宋体"/>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r>
        <w:rPr>
          <w:rFonts w:hint="eastAsia" w:ascii="宋体" w:hAnsi="宋体" w:cs="宋体"/>
          <w:snapToGrid w:val="0"/>
          <w:kern w:val="0"/>
          <w:szCs w:val="21"/>
          <w:highlight w:val="none"/>
        </w:rPr>
        <w:t>我公司</w:t>
      </w:r>
      <w:r>
        <w:rPr>
          <w:rFonts w:hint="eastAsia" w:ascii="宋体" w:hAnsi="宋体" w:cs="宋体"/>
          <w:snapToGrid w:val="0"/>
          <w:kern w:val="0"/>
          <w:szCs w:val="21"/>
          <w:highlight w:val="none"/>
          <w:u w:val="single"/>
        </w:rPr>
        <w:t xml:space="preserve">        （投标人名称）</w:t>
      </w:r>
      <w:r>
        <w:rPr>
          <w:rFonts w:hint="eastAsia" w:ascii="宋体" w:hAnsi="宋体" w:cs="宋体"/>
          <w:snapToGrid w:val="0"/>
          <w:kern w:val="0"/>
          <w:szCs w:val="21"/>
          <w:highlight w:val="none"/>
        </w:rPr>
        <w:t>若中标，</w:t>
      </w:r>
      <w:r>
        <w:rPr>
          <w:rFonts w:hint="eastAsia" w:ascii="宋体" w:hAnsi="宋体" w:cs="宋体"/>
          <w:snapToGrid w:val="0"/>
          <w:kern w:val="0"/>
          <w:szCs w:val="21"/>
          <w:highlight w:val="none"/>
          <w:lang w:val="en-US" w:eastAsia="zh-CN"/>
        </w:rPr>
        <w:t>承诺</w:t>
      </w:r>
      <w:r>
        <w:rPr>
          <w:rFonts w:hint="eastAsia" w:ascii="宋体" w:hAnsi="宋体" w:cs="宋体"/>
          <w:snapToGrid w:val="0"/>
          <w:kern w:val="0"/>
          <w:szCs w:val="21"/>
          <w:highlight w:val="none"/>
        </w:rPr>
        <w:t>将合同份额的</w:t>
      </w:r>
      <w:r>
        <w:rPr>
          <w:rFonts w:hint="eastAsia" w:ascii="宋体" w:hAnsi="宋体" w:cs="宋体"/>
          <w:snapToGrid w:val="0"/>
          <w:kern w:val="0"/>
          <w:szCs w:val="21"/>
          <w:highlight w:val="none"/>
          <w:u w:val="single"/>
          <w:lang w:val="en-US" w:eastAsia="zh-CN"/>
        </w:rPr>
        <w:t xml:space="preserve">    </w:t>
      </w:r>
      <w:r>
        <w:rPr>
          <w:rFonts w:hint="eastAsia" w:ascii="宋体" w:hAnsi="宋体" w:cs="宋体"/>
          <w:snapToGrid w:val="0"/>
          <w:kern w:val="0"/>
          <w:szCs w:val="21"/>
          <w:highlight w:val="none"/>
          <w:lang w:val="en-US" w:eastAsia="zh-CN"/>
        </w:rPr>
        <w:t>%</w:t>
      </w:r>
      <w:r>
        <w:rPr>
          <w:rFonts w:hint="eastAsia" w:ascii="宋体" w:hAnsi="宋体" w:cs="宋体"/>
          <w:snapToGrid w:val="0"/>
          <w:kern w:val="0"/>
          <w:szCs w:val="21"/>
          <w:highlight w:val="none"/>
        </w:rPr>
        <w:t>以上分包给中小企业。</w:t>
      </w:r>
      <w:r>
        <w:rPr>
          <w:rFonts w:hint="eastAsia" w:ascii="宋体" w:hAnsi="宋体" w:cs="宋体"/>
          <w:i/>
          <w:iCs/>
          <w:snapToGrid w:val="0"/>
          <w:kern w:val="0"/>
          <w:szCs w:val="21"/>
          <w:highlight w:val="none"/>
        </w:rPr>
        <w:t>[提示：2025年、2026年执行不低于40%的比例，之后年度执行不低于30%的比例</w:t>
      </w:r>
      <w:r>
        <w:rPr>
          <w:rFonts w:hint="eastAsia" w:ascii="宋体" w:hAnsi="宋体" w:cs="宋体"/>
          <w:i/>
          <w:iCs/>
          <w:snapToGrid w:val="0"/>
          <w:kern w:val="0"/>
          <w:szCs w:val="21"/>
          <w:highlight w:val="none"/>
          <w:lang w:eastAsia="zh-CN"/>
        </w:rPr>
        <w:t>。</w:t>
      </w:r>
      <w:r>
        <w:rPr>
          <w:rFonts w:hint="eastAsia" w:ascii="宋体" w:hAnsi="宋体" w:cs="宋体"/>
          <w:i/>
          <w:iCs/>
          <w:snapToGrid w:val="0"/>
          <w:kern w:val="0"/>
          <w:szCs w:val="21"/>
          <w:highlight w:val="none"/>
        </w:rPr>
        <w:t>]</w:t>
      </w:r>
    </w:p>
    <w:p>
      <w:pPr>
        <w:autoSpaceDE w:val="0"/>
        <w:autoSpaceDN w:val="0"/>
        <w:adjustRightInd w:val="0"/>
        <w:snapToGrid w:val="0"/>
        <w:spacing w:line="360" w:lineRule="auto"/>
        <w:ind w:firstLine="420" w:firstLineChars="200"/>
        <w:rPr>
          <w:rFonts w:hint="eastAsia" w:ascii="宋体" w:hAnsi="宋体" w:cs="宋体"/>
          <w:snapToGrid w:val="0"/>
          <w:kern w:val="0"/>
          <w:szCs w:val="21"/>
          <w:highlight w:val="none"/>
        </w:rPr>
      </w:pPr>
    </w:p>
    <w:p>
      <w:pPr>
        <w:autoSpaceDE w:val="0"/>
        <w:autoSpaceDN w:val="0"/>
        <w:adjustRightInd w:val="0"/>
        <w:snapToGrid w:val="0"/>
        <w:spacing w:line="360" w:lineRule="auto"/>
        <w:ind w:firstLine="420" w:firstLineChars="200"/>
        <w:rPr>
          <w:rFonts w:ascii="宋体" w:hAnsi="宋体" w:cs="宋体"/>
          <w:snapToGrid w:val="0"/>
          <w:kern w:val="0"/>
          <w:szCs w:val="21"/>
          <w:highlight w:val="none"/>
        </w:rPr>
      </w:pPr>
      <w:r>
        <w:rPr>
          <w:rFonts w:hint="eastAsia" w:ascii="宋体" w:hAnsi="宋体" w:cs="宋体"/>
          <w:snapToGrid w:val="0"/>
          <w:kern w:val="0"/>
          <w:szCs w:val="21"/>
          <w:highlight w:val="none"/>
        </w:rPr>
        <w:t>特此承诺。</w:t>
      </w: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autoSpaceDE w:val="0"/>
        <w:autoSpaceDN w:val="0"/>
        <w:adjustRightInd w:val="0"/>
        <w:snapToGrid w:val="0"/>
        <w:spacing w:line="360" w:lineRule="auto"/>
        <w:ind w:firstLine="640"/>
        <w:rPr>
          <w:rFonts w:ascii="宋体" w:hAnsi="宋体" w:cs="宋体"/>
          <w:snapToGrid w:val="0"/>
          <w:kern w:val="0"/>
          <w:sz w:val="32"/>
          <w:szCs w:val="32"/>
          <w:highlight w:val="none"/>
        </w:rPr>
      </w:pPr>
    </w:p>
    <w:p>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投  标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360" w:lineRule="auto"/>
        <w:ind w:firstLine="420" w:firstLineChars="200"/>
        <w:jc w:val="righ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7140"/>
          <w:tab w:val="left" w:pos="7560"/>
          <w:tab w:val="left" w:pos="8300"/>
        </w:tabs>
        <w:autoSpaceDE w:val="0"/>
        <w:autoSpaceDN w:val="0"/>
        <w:adjustRightInd w:val="0"/>
        <w:spacing w:line="360" w:lineRule="auto"/>
        <w:ind w:firstLine="420" w:firstLineChars="200"/>
        <w:jc w:val="right"/>
        <w:rPr>
          <w:rFonts w:ascii="宋体" w:hAnsi="宋体"/>
          <w:snapToGrid w:val="0"/>
          <w:kern w:val="0"/>
          <w:szCs w:val="21"/>
          <w:highlight w:val="none"/>
        </w:rPr>
      </w:pPr>
    </w:p>
    <w:p>
      <w:pPr>
        <w:spacing w:line="360" w:lineRule="auto"/>
        <w:ind w:firstLine="420" w:firstLineChars="200"/>
        <w:jc w:val="right"/>
        <w:rPr>
          <w:rFonts w:hint="eastAsia" w:ascii="宋体" w:hAnsi="宋体"/>
          <w:szCs w:val="21"/>
          <w:highlight w:val="none"/>
          <w:lang w:val="en-US" w:eastAsia="zh-CN"/>
        </w:rPr>
      </w:pP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p>
    <w:p>
      <w:pPr>
        <w:spacing w:line="360" w:lineRule="auto"/>
        <w:ind w:firstLine="420" w:firstLineChars="200"/>
        <w:rPr>
          <w:rFonts w:hint="eastAsia" w:ascii="宋体" w:hAnsi="宋体"/>
          <w:szCs w:val="21"/>
        </w:rPr>
      </w:pPr>
    </w:p>
    <w:p>
      <w:pPr>
        <w:spacing w:line="240" w:lineRule="auto"/>
        <w:ind w:firstLine="0" w:firstLineChars="0"/>
        <w:rPr>
          <w:rFonts w:hint="eastAsia" w:ascii="宋体" w:hAnsi="宋体"/>
          <w:szCs w:val="21"/>
        </w:rPr>
      </w:pPr>
      <w:r>
        <w:rPr>
          <w:rFonts w:hint="eastAsia" w:ascii="宋体" w:hAnsi="宋体"/>
          <w:szCs w:val="21"/>
        </w:rPr>
        <w:br w:type="page"/>
      </w:r>
    </w:p>
    <w:p>
      <w:pPr>
        <w:spacing w:line="360" w:lineRule="auto"/>
        <w:ind w:firstLine="420" w:firstLineChars="200"/>
        <w:rPr>
          <w:rFonts w:ascii="宋体" w:hAnsi="宋体"/>
          <w:szCs w:val="21"/>
        </w:rPr>
      </w:pPr>
      <w:r>
        <w:rPr>
          <w:rFonts w:hint="eastAsia" w:ascii="宋体" w:hAnsi="宋体"/>
          <w:szCs w:val="21"/>
          <w:lang w:val="en-US" w:eastAsia="zh-CN"/>
        </w:rPr>
        <w:t>5</w:t>
      </w:r>
      <w:r>
        <w:rPr>
          <w:rFonts w:hint="eastAsia" w:ascii="宋体" w:hAnsi="宋体"/>
          <w:szCs w:val="21"/>
        </w:rPr>
        <w:t>.</w:t>
      </w:r>
      <w:r>
        <w:rPr>
          <w:rFonts w:hint="eastAsia" w:ascii="宋体" w:hAnsi="宋体"/>
          <w:b w:val="0"/>
          <w:lang w:val="en-US" w:eastAsia="zh-CN"/>
        </w:rPr>
        <w:t>按照招标文件第二章投标人须知前附表第1.4.1项、第3.4款要求提供的资料。</w:t>
      </w:r>
    </w:p>
    <w:p>
      <w:pPr>
        <w:rPr>
          <w:color w:val="auto"/>
          <w:highlight w:val="none"/>
        </w:rPr>
      </w:pPr>
      <w:r>
        <w:rPr>
          <w:rFonts w:ascii="宋体" w:hAnsi="宋体"/>
          <w:szCs w:val="21"/>
        </w:rPr>
        <w:t>……</w:t>
      </w:r>
    </w:p>
    <w:sectPr>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宋体"/>
    <w:panose1 w:val="02010609030101010101"/>
    <w:charset w:val="86"/>
    <w:family w:val="auto"/>
    <w:pitch w:val="default"/>
    <w:sig w:usb0="00000000" w:usb1="00000000" w:usb2="00000000" w:usb3="00000000" w:csb0="00040000" w:csb1="00000000"/>
  </w:font>
  <w:font w:name="方正书宋简体">
    <w:altName w:val="方正书宋_GBK"/>
    <w:panose1 w:val="00000000000000000000"/>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script"/>
    <w:pitch w:val="default"/>
    <w:sig w:usb0="A00002BF" w:usb1="184F6CFA" w:usb2="00000012" w:usb3="00000000" w:csb0="00040001" w:csb1="00000000"/>
  </w:font>
  <w:font w:name="ˎ̥">
    <w:altName w:val="Times New Roman"/>
    <w:panose1 w:val="00000000000000000000"/>
    <w:charset w:val="00"/>
    <w:family w:val="auto"/>
    <w:pitch w:val="default"/>
    <w:sig w:usb0="00000000" w:usb1="00000000" w:usb2="00000000"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仿宋">
    <w:altName w:val="宋体"/>
    <w:panose1 w:val="02010609060101010101"/>
    <w:charset w:val="86"/>
    <w:family w:val="modern"/>
    <w:pitch w:val="default"/>
    <w:sig w:usb0="00000000" w:usb1="00000000" w:usb2="00000016" w:usb3="00000000" w:csb0="00040001" w:csb1="00000000"/>
  </w:font>
  <w:font w:name="方正仿宋简体">
    <w:altName w:val="方正仿宋_GBK"/>
    <w:panose1 w:val="00000000000000000000"/>
    <w:charset w:val="86"/>
    <w:family w:val="auto"/>
    <w:pitch w:val="default"/>
    <w:sig w:usb0="00000000" w:usb1="00000000" w:usb2="00000010" w:usb3="00000000" w:csb0="00040000" w:csb1="00000000"/>
  </w:font>
  <w:font w:name="华文细黑">
    <w:altName w:val="汉仪中等线简"/>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MingLiU">
    <w:altName w:val="宋体"/>
    <w:panose1 w:val="02020509000000000000"/>
    <w:charset w:val="88"/>
    <w:family w:val="modern"/>
    <w:pitch w:val="default"/>
    <w:sig w:usb0="00000000" w:usb1="00000000" w:usb2="00000016" w:usb3="00000000" w:csb0="00100001"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1</w:t>
    </w:r>
    <w:r>
      <w:fldChar w:fldCharType="end"/>
    </w:r>
    <w:r>
      <w:t xml:space="preserve"> -</w:t>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- 2 -</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- 3 -</w:t>
    </w:r>
    <w:r>
      <w:fldChar w:fldCharType="end"/>
    </w:r>
  </w:p>
  <w:p>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216</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6F549"/>
    <w:multiLevelType w:val="singleLevel"/>
    <w:tmpl w:val="A366F549"/>
    <w:lvl w:ilvl="0" w:tentative="0">
      <w:start w:val="1"/>
      <w:numFmt w:val="decimal"/>
      <w:lvlText w:val="(%1)"/>
      <w:lvlJc w:val="left"/>
      <w:pPr>
        <w:tabs>
          <w:tab w:val="left" w:pos="312"/>
        </w:tabs>
      </w:pPr>
    </w:lvl>
  </w:abstractNum>
  <w:abstractNum w:abstractNumId="1">
    <w:nsid w:val="C3714AFB"/>
    <w:multiLevelType w:val="singleLevel"/>
    <w:tmpl w:val="C3714AFB"/>
    <w:lvl w:ilvl="0" w:tentative="0">
      <w:start w:val="2"/>
      <w:numFmt w:val="decimal"/>
      <w:suff w:val="nothing"/>
      <w:lvlText w:val="（%1）"/>
      <w:lvlJc w:val="left"/>
    </w:lvl>
  </w:abstractNum>
  <w:abstractNum w:abstractNumId="2">
    <w:nsid w:val="C8966664"/>
    <w:multiLevelType w:val="singleLevel"/>
    <w:tmpl w:val="C8966664"/>
    <w:lvl w:ilvl="0" w:tentative="0">
      <w:start w:val="1"/>
      <w:numFmt w:val="decimal"/>
      <w:lvlText w:val="(%1)"/>
      <w:lvlJc w:val="left"/>
      <w:pPr>
        <w:tabs>
          <w:tab w:val="left" w:pos="312"/>
        </w:tabs>
      </w:pPr>
    </w:lvl>
  </w:abstractNum>
  <w:abstractNum w:abstractNumId="3">
    <w:nsid w:val="3624977C"/>
    <w:multiLevelType w:val="singleLevel"/>
    <w:tmpl w:val="3624977C"/>
    <w:lvl w:ilvl="0" w:tentative="0">
      <w:start w:val="50"/>
      <w:numFmt w:val="decimal"/>
      <w:suff w:val="nothing"/>
      <w:lvlText w:val="%1、"/>
      <w:lvlJc w:val="left"/>
    </w:lvl>
  </w:abstractNum>
  <w:abstractNum w:abstractNumId="4">
    <w:nsid w:val="3AE6925B"/>
    <w:multiLevelType w:val="singleLevel"/>
    <w:tmpl w:val="3AE6925B"/>
    <w:lvl w:ilvl="0" w:tentative="0">
      <w:start w:val="1"/>
      <w:numFmt w:val="decimal"/>
      <w:suff w:val="space"/>
      <w:lvlText w:val="%1."/>
      <w:lvlJc w:val="left"/>
    </w:lvl>
  </w:abstractNum>
  <w:abstractNum w:abstractNumId="5">
    <w:nsid w:val="780807B8"/>
    <w:multiLevelType w:val="singleLevel"/>
    <w:tmpl w:val="780807B8"/>
    <w:lvl w:ilvl="0" w:tentative="0">
      <w:start w:val="1"/>
      <w:numFmt w:val="chineseCounting"/>
      <w:suff w:val="nothing"/>
      <w:lvlText w:val="%1、"/>
      <w:lvlJc w:val="left"/>
      <w:rPr>
        <w:rFonts w:hint="eastAsia"/>
      </w:r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fgw">
    <w15:presenceInfo w15:providerId="None" w15:userId="fg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false"/>
  <w:bordersDoNotSurroundFooter w:val="false"/>
  <w:hideSpellingErrors/>
  <w:revisionView w:markup="0"/>
  <w:trackRevisions w:val="tru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345"/>
    <w:rsid w:val="00001A09"/>
    <w:rsid w:val="00001B1E"/>
    <w:rsid w:val="000027C8"/>
    <w:rsid w:val="0000285A"/>
    <w:rsid w:val="00002D86"/>
    <w:rsid w:val="00003A3F"/>
    <w:rsid w:val="00005443"/>
    <w:rsid w:val="00005E79"/>
    <w:rsid w:val="000067A3"/>
    <w:rsid w:val="00014531"/>
    <w:rsid w:val="00014DF1"/>
    <w:rsid w:val="00015333"/>
    <w:rsid w:val="00015C9C"/>
    <w:rsid w:val="0001647D"/>
    <w:rsid w:val="0001650A"/>
    <w:rsid w:val="000165A8"/>
    <w:rsid w:val="0001665A"/>
    <w:rsid w:val="00017F2D"/>
    <w:rsid w:val="00020EB1"/>
    <w:rsid w:val="00021228"/>
    <w:rsid w:val="000215EB"/>
    <w:rsid w:val="00022747"/>
    <w:rsid w:val="00022F4C"/>
    <w:rsid w:val="00023AD6"/>
    <w:rsid w:val="00023B7F"/>
    <w:rsid w:val="00024492"/>
    <w:rsid w:val="00025644"/>
    <w:rsid w:val="00025750"/>
    <w:rsid w:val="0002592F"/>
    <w:rsid w:val="00025DD0"/>
    <w:rsid w:val="0002735F"/>
    <w:rsid w:val="000301A4"/>
    <w:rsid w:val="000316FE"/>
    <w:rsid w:val="00031F42"/>
    <w:rsid w:val="00032255"/>
    <w:rsid w:val="0003256A"/>
    <w:rsid w:val="00032B15"/>
    <w:rsid w:val="00033076"/>
    <w:rsid w:val="00033847"/>
    <w:rsid w:val="000347EB"/>
    <w:rsid w:val="00034B81"/>
    <w:rsid w:val="00035320"/>
    <w:rsid w:val="0003558C"/>
    <w:rsid w:val="000355D8"/>
    <w:rsid w:val="00035E2F"/>
    <w:rsid w:val="000365B0"/>
    <w:rsid w:val="0003673D"/>
    <w:rsid w:val="00037549"/>
    <w:rsid w:val="00037672"/>
    <w:rsid w:val="000407E9"/>
    <w:rsid w:val="000415C5"/>
    <w:rsid w:val="000418B4"/>
    <w:rsid w:val="000426A8"/>
    <w:rsid w:val="000426EA"/>
    <w:rsid w:val="000434B1"/>
    <w:rsid w:val="000437CD"/>
    <w:rsid w:val="00044029"/>
    <w:rsid w:val="00046EAC"/>
    <w:rsid w:val="000477EA"/>
    <w:rsid w:val="00050329"/>
    <w:rsid w:val="00050A2B"/>
    <w:rsid w:val="00050F21"/>
    <w:rsid w:val="00053B37"/>
    <w:rsid w:val="00053DC4"/>
    <w:rsid w:val="00054784"/>
    <w:rsid w:val="00054C30"/>
    <w:rsid w:val="00054D78"/>
    <w:rsid w:val="00054F64"/>
    <w:rsid w:val="0005572F"/>
    <w:rsid w:val="00057103"/>
    <w:rsid w:val="000578DC"/>
    <w:rsid w:val="00057D13"/>
    <w:rsid w:val="00061927"/>
    <w:rsid w:val="00061B42"/>
    <w:rsid w:val="0006245E"/>
    <w:rsid w:val="00062D58"/>
    <w:rsid w:val="00063C01"/>
    <w:rsid w:val="000640B5"/>
    <w:rsid w:val="000654D9"/>
    <w:rsid w:val="00065C93"/>
    <w:rsid w:val="00065F0A"/>
    <w:rsid w:val="000677BF"/>
    <w:rsid w:val="00067885"/>
    <w:rsid w:val="00067E50"/>
    <w:rsid w:val="0007009B"/>
    <w:rsid w:val="000703E1"/>
    <w:rsid w:val="00070444"/>
    <w:rsid w:val="0007082A"/>
    <w:rsid w:val="00070DB4"/>
    <w:rsid w:val="00072AEF"/>
    <w:rsid w:val="00072C40"/>
    <w:rsid w:val="0007377C"/>
    <w:rsid w:val="00073E89"/>
    <w:rsid w:val="00074445"/>
    <w:rsid w:val="00074926"/>
    <w:rsid w:val="000753AE"/>
    <w:rsid w:val="0007662F"/>
    <w:rsid w:val="00077788"/>
    <w:rsid w:val="000777DB"/>
    <w:rsid w:val="00080479"/>
    <w:rsid w:val="00080C91"/>
    <w:rsid w:val="00081E58"/>
    <w:rsid w:val="00084056"/>
    <w:rsid w:val="00084085"/>
    <w:rsid w:val="000843AE"/>
    <w:rsid w:val="00084AD3"/>
    <w:rsid w:val="00085720"/>
    <w:rsid w:val="00085DDD"/>
    <w:rsid w:val="00086F23"/>
    <w:rsid w:val="000874F6"/>
    <w:rsid w:val="00090828"/>
    <w:rsid w:val="0009083C"/>
    <w:rsid w:val="00090A07"/>
    <w:rsid w:val="00090FA6"/>
    <w:rsid w:val="00090FD7"/>
    <w:rsid w:val="000925AC"/>
    <w:rsid w:val="000927A3"/>
    <w:rsid w:val="00092F8F"/>
    <w:rsid w:val="0009358F"/>
    <w:rsid w:val="00094007"/>
    <w:rsid w:val="00095189"/>
    <w:rsid w:val="0009559A"/>
    <w:rsid w:val="00095DEF"/>
    <w:rsid w:val="000967E2"/>
    <w:rsid w:val="00096C42"/>
    <w:rsid w:val="00097C86"/>
    <w:rsid w:val="000A0398"/>
    <w:rsid w:val="000A0D3C"/>
    <w:rsid w:val="000A2AF4"/>
    <w:rsid w:val="000A2CA5"/>
    <w:rsid w:val="000A3817"/>
    <w:rsid w:val="000A41FD"/>
    <w:rsid w:val="000A4A55"/>
    <w:rsid w:val="000A569B"/>
    <w:rsid w:val="000A7403"/>
    <w:rsid w:val="000A7D07"/>
    <w:rsid w:val="000B0A2E"/>
    <w:rsid w:val="000B0F51"/>
    <w:rsid w:val="000B1596"/>
    <w:rsid w:val="000B1B81"/>
    <w:rsid w:val="000B1DE8"/>
    <w:rsid w:val="000B283B"/>
    <w:rsid w:val="000B3303"/>
    <w:rsid w:val="000B3431"/>
    <w:rsid w:val="000B489F"/>
    <w:rsid w:val="000B4C5B"/>
    <w:rsid w:val="000B5039"/>
    <w:rsid w:val="000B55BE"/>
    <w:rsid w:val="000B5C3A"/>
    <w:rsid w:val="000B5E88"/>
    <w:rsid w:val="000B6027"/>
    <w:rsid w:val="000B6648"/>
    <w:rsid w:val="000B786B"/>
    <w:rsid w:val="000C079C"/>
    <w:rsid w:val="000C0EE5"/>
    <w:rsid w:val="000C13A1"/>
    <w:rsid w:val="000C260D"/>
    <w:rsid w:val="000C30AC"/>
    <w:rsid w:val="000C4579"/>
    <w:rsid w:val="000C463E"/>
    <w:rsid w:val="000C4E06"/>
    <w:rsid w:val="000C5056"/>
    <w:rsid w:val="000C52AB"/>
    <w:rsid w:val="000C5AA2"/>
    <w:rsid w:val="000C5C93"/>
    <w:rsid w:val="000C5D12"/>
    <w:rsid w:val="000C6F15"/>
    <w:rsid w:val="000C6F2A"/>
    <w:rsid w:val="000D1F8D"/>
    <w:rsid w:val="000D21F1"/>
    <w:rsid w:val="000D252E"/>
    <w:rsid w:val="000D2ED1"/>
    <w:rsid w:val="000D3548"/>
    <w:rsid w:val="000D3551"/>
    <w:rsid w:val="000D35B5"/>
    <w:rsid w:val="000D42D0"/>
    <w:rsid w:val="000D5211"/>
    <w:rsid w:val="000D5B51"/>
    <w:rsid w:val="000D65FC"/>
    <w:rsid w:val="000D6B45"/>
    <w:rsid w:val="000D6FB3"/>
    <w:rsid w:val="000D7254"/>
    <w:rsid w:val="000D753D"/>
    <w:rsid w:val="000D76E1"/>
    <w:rsid w:val="000D7823"/>
    <w:rsid w:val="000E0DB3"/>
    <w:rsid w:val="000E10A5"/>
    <w:rsid w:val="000E1407"/>
    <w:rsid w:val="000E1A63"/>
    <w:rsid w:val="000E33CF"/>
    <w:rsid w:val="000E4C3D"/>
    <w:rsid w:val="000E6849"/>
    <w:rsid w:val="000E72B9"/>
    <w:rsid w:val="000F05AB"/>
    <w:rsid w:val="000F091D"/>
    <w:rsid w:val="000F1B68"/>
    <w:rsid w:val="000F2179"/>
    <w:rsid w:val="000F278B"/>
    <w:rsid w:val="000F2955"/>
    <w:rsid w:val="000F2C67"/>
    <w:rsid w:val="000F40C0"/>
    <w:rsid w:val="000F45C8"/>
    <w:rsid w:val="000F4BBE"/>
    <w:rsid w:val="000F50C6"/>
    <w:rsid w:val="000F51EA"/>
    <w:rsid w:val="000F5AD4"/>
    <w:rsid w:val="000F7BB7"/>
    <w:rsid w:val="000F7CF5"/>
    <w:rsid w:val="00100471"/>
    <w:rsid w:val="001019D6"/>
    <w:rsid w:val="00101E5F"/>
    <w:rsid w:val="001025D9"/>
    <w:rsid w:val="00102EBB"/>
    <w:rsid w:val="00104353"/>
    <w:rsid w:val="00105F22"/>
    <w:rsid w:val="001062D4"/>
    <w:rsid w:val="00106436"/>
    <w:rsid w:val="001066B1"/>
    <w:rsid w:val="00107DA6"/>
    <w:rsid w:val="001108D6"/>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17B2C"/>
    <w:rsid w:val="0012046B"/>
    <w:rsid w:val="001209B5"/>
    <w:rsid w:val="00120E02"/>
    <w:rsid w:val="001214C7"/>
    <w:rsid w:val="00121F6B"/>
    <w:rsid w:val="00122362"/>
    <w:rsid w:val="0012259E"/>
    <w:rsid w:val="001228C8"/>
    <w:rsid w:val="00122C0D"/>
    <w:rsid w:val="00122D4D"/>
    <w:rsid w:val="0012481C"/>
    <w:rsid w:val="001269FF"/>
    <w:rsid w:val="001303A1"/>
    <w:rsid w:val="001303B7"/>
    <w:rsid w:val="00131D1B"/>
    <w:rsid w:val="00132B99"/>
    <w:rsid w:val="00132BF1"/>
    <w:rsid w:val="001330BB"/>
    <w:rsid w:val="001339C6"/>
    <w:rsid w:val="00134327"/>
    <w:rsid w:val="001347A9"/>
    <w:rsid w:val="00135872"/>
    <w:rsid w:val="00136173"/>
    <w:rsid w:val="00136D1E"/>
    <w:rsid w:val="001377F8"/>
    <w:rsid w:val="00137F99"/>
    <w:rsid w:val="0014084B"/>
    <w:rsid w:val="001440F2"/>
    <w:rsid w:val="00145318"/>
    <w:rsid w:val="001455A1"/>
    <w:rsid w:val="00145AE6"/>
    <w:rsid w:val="00145F46"/>
    <w:rsid w:val="001460D9"/>
    <w:rsid w:val="001466BF"/>
    <w:rsid w:val="00146976"/>
    <w:rsid w:val="00146C44"/>
    <w:rsid w:val="001477E7"/>
    <w:rsid w:val="00147FD9"/>
    <w:rsid w:val="00150025"/>
    <w:rsid w:val="00150964"/>
    <w:rsid w:val="00150A27"/>
    <w:rsid w:val="00150F2A"/>
    <w:rsid w:val="00152078"/>
    <w:rsid w:val="00154963"/>
    <w:rsid w:val="0015596B"/>
    <w:rsid w:val="00155D1F"/>
    <w:rsid w:val="001561B1"/>
    <w:rsid w:val="00157A5C"/>
    <w:rsid w:val="001600A3"/>
    <w:rsid w:val="0016132F"/>
    <w:rsid w:val="0016174D"/>
    <w:rsid w:val="00162B36"/>
    <w:rsid w:val="0016317C"/>
    <w:rsid w:val="00164DCB"/>
    <w:rsid w:val="00165642"/>
    <w:rsid w:val="00165B64"/>
    <w:rsid w:val="00165D82"/>
    <w:rsid w:val="00166C40"/>
    <w:rsid w:val="00166F24"/>
    <w:rsid w:val="00167BBE"/>
    <w:rsid w:val="00171489"/>
    <w:rsid w:val="001721A5"/>
    <w:rsid w:val="0017293A"/>
    <w:rsid w:val="00172A27"/>
    <w:rsid w:val="00172DEA"/>
    <w:rsid w:val="00172F37"/>
    <w:rsid w:val="00174134"/>
    <w:rsid w:val="001745A8"/>
    <w:rsid w:val="00175461"/>
    <w:rsid w:val="00176A64"/>
    <w:rsid w:val="00176B11"/>
    <w:rsid w:val="00176C6C"/>
    <w:rsid w:val="00177E29"/>
    <w:rsid w:val="00177F0D"/>
    <w:rsid w:val="00177F8E"/>
    <w:rsid w:val="001806AD"/>
    <w:rsid w:val="00181796"/>
    <w:rsid w:val="001818BD"/>
    <w:rsid w:val="0018204B"/>
    <w:rsid w:val="00182F9F"/>
    <w:rsid w:val="00184528"/>
    <w:rsid w:val="00184AF6"/>
    <w:rsid w:val="001862DC"/>
    <w:rsid w:val="00186401"/>
    <w:rsid w:val="00186442"/>
    <w:rsid w:val="001866A1"/>
    <w:rsid w:val="001923EA"/>
    <w:rsid w:val="00192735"/>
    <w:rsid w:val="00192FBA"/>
    <w:rsid w:val="00193696"/>
    <w:rsid w:val="00193EC6"/>
    <w:rsid w:val="0019411E"/>
    <w:rsid w:val="001947FB"/>
    <w:rsid w:val="00195720"/>
    <w:rsid w:val="001958B9"/>
    <w:rsid w:val="00196CDD"/>
    <w:rsid w:val="001975C9"/>
    <w:rsid w:val="001A065E"/>
    <w:rsid w:val="001A189F"/>
    <w:rsid w:val="001A293D"/>
    <w:rsid w:val="001A2A77"/>
    <w:rsid w:val="001A3908"/>
    <w:rsid w:val="001A3A5A"/>
    <w:rsid w:val="001A4457"/>
    <w:rsid w:val="001A5133"/>
    <w:rsid w:val="001A5EA1"/>
    <w:rsid w:val="001A6DCB"/>
    <w:rsid w:val="001A773A"/>
    <w:rsid w:val="001A77C4"/>
    <w:rsid w:val="001A7BE0"/>
    <w:rsid w:val="001B15C6"/>
    <w:rsid w:val="001B17D1"/>
    <w:rsid w:val="001B229E"/>
    <w:rsid w:val="001B2B2F"/>
    <w:rsid w:val="001B2DEF"/>
    <w:rsid w:val="001B412E"/>
    <w:rsid w:val="001B4136"/>
    <w:rsid w:val="001B45EF"/>
    <w:rsid w:val="001B48E0"/>
    <w:rsid w:val="001B4D7D"/>
    <w:rsid w:val="001B5125"/>
    <w:rsid w:val="001B5B97"/>
    <w:rsid w:val="001B6AA4"/>
    <w:rsid w:val="001C023F"/>
    <w:rsid w:val="001C02D5"/>
    <w:rsid w:val="001C0500"/>
    <w:rsid w:val="001C059B"/>
    <w:rsid w:val="001C0B84"/>
    <w:rsid w:val="001C1192"/>
    <w:rsid w:val="001C1E56"/>
    <w:rsid w:val="001C28B3"/>
    <w:rsid w:val="001C2CF6"/>
    <w:rsid w:val="001C4064"/>
    <w:rsid w:val="001C49F4"/>
    <w:rsid w:val="001C71D7"/>
    <w:rsid w:val="001D0F66"/>
    <w:rsid w:val="001D125F"/>
    <w:rsid w:val="001D16DA"/>
    <w:rsid w:val="001D17FB"/>
    <w:rsid w:val="001D2271"/>
    <w:rsid w:val="001D23D8"/>
    <w:rsid w:val="001D251C"/>
    <w:rsid w:val="001D3B3D"/>
    <w:rsid w:val="001D42FF"/>
    <w:rsid w:val="001D4381"/>
    <w:rsid w:val="001D47CF"/>
    <w:rsid w:val="001D4A3E"/>
    <w:rsid w:val="001D4B38"/>
    <w:rsid w:val="001D6225"/>
    <w:rsid w:val="001D6439"/>
    <w:rsid w:val="001D6D8C"/>
    <w:rsid w:val="001D7E9C"/>
    <w:rsid w:val="001E054D"/>
    <w:rsid w:val="001E0FAD"/>
    <w:rsid w:val="001E1308"/>
    <w:rsid w:val="001E1520"/>
    <w:rsid w:val="001E19DD"/>
    <w:rsid w:val="001E19F9"/>
    <w:rsid w:val="001E2C16"/>
    <w:rsid w:val="001E394D"/>
    <w:rsid w:val="001E39AA"/>
    <w:rsid w:val="001E3AAF"/>
    <w:rsid w:val="001E3D84"/>
    <w:rsid w:val="001E4F0E"/>
    <w:rsid w:val="001E594C"/>
    <w:rsid w:val="001E6BFA"/>
    <w:rsid w:val="001E6F59"/>
    <w:rsid w:val="001F07E9"/>
    <w:rsid w:val="001F0D0C"/>
    <w:rsid w:val="001F11F5"/>
    <w:rsid w:val="001F12EE"/>
    <w:rsid w:val="001F24B9"/>
    <w:rsid w:val="001F31AC"/>
    <w:rsid w:val="001F3815"/>
    <w:rsid w:val="001F3DB0"/>
    <w:rsid w:val="001F3E77"/>
    <w:rsid w:val="001F57A7"/>
    <w:rsid w:val="001F5A67"/>
    <w:rsid w:val="001F6B1B"/>
    <w:rsid w:val="001F7FF6"/>
    <w:rsid w:val="00200EBF"/>
    <w:rsid w:val="00204651"/>
    <w:rsid w:val="00204D75"/>
    <w:rsid w:val="002050D7"/>
    <w:rsid w:val="002051B0"/>
    <w:rsid w:val="00205225"/>
    <w:rsid w:val="00205413"/>
    <w:rsid w:val="00205AEF"/>
    <w:rsid w:val="00205D72"/>
    <w:rsid w:val="0020686F"/>
    <w:rsid w:val="002076AA"/>
    <w:rsid w:val="0021027A"/>
    <w:rsid w:val="00212A14"/>
    <w:rsid w:val="00214D7A"/>
    <w:rsid w:val="00214D88"/>
    <w:rsid w:val="00215286"/>
    <w:rsid w:val="00215906"/>
    <w:rsid w:val="002159C6"/>
    <w:rsid w:val="00215A2A"/>
    <w:rsid w:val="00215CE0"/>
    <w:rsid w:val="00215DA1"/>
    <w:rsid w:val="00216156"/>
    <w:rsid w:val="0021687E"/>
    <w:rsid w:val="002168E9"/>
    <w:rsid w:val="0021733C"/>
    <w:rsid w:val="002207FA"/>
    <w:rsid w:val="00221627"/>
    <w:rsid w:val="00221E51"/>
    <w:rsid w:val="00221F8E"/>
    <w:rsid w:val="00221FE1"/>
    <w:rsid w:val="002220C5"/>
    <w:rsid w:val="00222689"/>
    <w:rsid w:val="00223852"/>
    <w:rsid w:val="00223ADA"/>
    <w:rsid w:val="002245B9"/>
    <w:rsid w:val="00224A21"/>
    <w:rsid w:val="00225099"/>
    <w:rsid w:val="002250CA"/>
    <w:rsid w:val="0022607A"/>
    <w:rsid w:val="00226152"/>
    <w:rsid w:val="00226456"/>
    <w:rsid w:val="002264D0"/>
    <w:rsid w:val="002270BE"/>
    <w:rsid w:val="00232211"/>
    <w:rsid w:val="002329B7"/>
    <w:rsid w:val="00232AD2"/>
    <w:rsid w:val="002330FC"/>
    <w:rsid w:val="002343A7"/>
    <w:rsid w:val="0023462F"/>
    <w:rsid w:val="00234BF0"/>
    <w:rsid w:val="00235CE8"/>
    <w:rsid w:val="002369E6"/>
    <w:rsid w:val="00237DCC"/>
    <w:rsid w:val="00237DD3"/>
    <w:rsid w:val="00237F17"/>
    <w:rsid w:val="0024052C"/>
    <w:rsid w:val="002410BB"/>
    <w:rsid w:val="0024122A"/>
    <w:rsid w:val="00241889"/>
    <w:rsid w:val="00243253"/>
    <w:rsid w:val="002432CD"/>
    <w:rsid w:val="002476F0"/>
    <w:rsid w:val="00247DA6"/>
    <w:rsid w:val="00251F81"/>
    <w:rsid w:val="0025253B"/>
    <w:rsid w:val="002526AC"/>
    <w:rsid w:val="00252997"/>
    <w:rsid w:val="002534E3"/>
    <w:rsid w:val="00253DE9"/>
    <w:rsid w:val="00254512"/>
    <w:rsid w:val="00254725"/>
    <w:rsid w:val="002555DD"/>
    <w:rsid w:val="002555E1"/>
    <w:rsid w:val="00255C94"/>
    <w:rsid w:val="00257031"/>
    <w:rsid w:val="00257CB4"/>
    <w:rsid w:val="002603C8"/>
    <w:rsid w:val="0026138C"/>
    <w:rsid w:val="00262012"/>
    <w:rsid w:val="00263DE8"/>
    <w:rsid w:val="0026466E"/>
    <w:rsid w:val="00264D7B"/>
    <w:rsid w:val="00264EBF"/>
    <w:rsid w:val="00265DD9"/>
    <w:rsid w:val="002667EA"/>
    <w:rsid w:val="00266C56"/>
    <w:rsid w:val="00267A99"/>
    <w:rsid w:val="002702C1"/>
    <w:rsid w:val="0027264B"/>
    <w:rsid w:val="002736CE"/>
    <w:rsid w:val="002742E2"/>
    <w:rsid w:val="00274CFD"/>
    <w:rsid w:val="00274ED6"/>
    <w:rsid w:val="002752C6"/>
    <w:rsid w:val="002755EF"/>
    <w:rsid w:val="0027586B"/>
    <w:rsid w:val="00276BC6"/>
    <w:rsid w:val="00276C59"/>
    <w:rsid w:val="0027792D"/>
    <w:rsid w:val="00281357"/>
    <w:rsid w:val="00282A25"/>
    <w:rsid w:val="00282F72"/>
    <w:rsid w:val="002830A8"/>
    <w:rsid w:val="00283515"/>
    <w:rsid w:val="00283721"/>
    <w:rsid w:val="00283BAD"/>
    <w:rsid w:val="0028466A"/>
    <w:rsid w:val="002846E8"/>
    <w:rsid w:val="002849BD"/>
    <w:rsid w:val="00284F98"/>
    <w:rsid w:val="0028561D"/>
    <w:rsid w:val="00285FF7"/>
    <w:rsid w:val="002860F1"/>
    <w:rsid w:val="002907E7"/>
    <w:rsid w:val="00291148"/>
    <w:rsid w:val="00292278"/>
    <w:rsid w:val="00295263"/>
    <w:rsid w:val="0029555F"/>
    <w:rsid w:val="00295590"/>
    <w:rsid w:val="0029631A"/>
    <w:rsid w:val="00297BEE"/>
    <w:rsid w:val="002A05DC"/>
    <w:rsid w:val="002A0F20"/>
    <w:rsid w:val="002A104F"/>
    <w:rsid w:val="002A13A2"/>
    <w:rsid w:val="002A3274"/>
    <w:rsid w:val="002A32D9"/>
    <w:rsid w:val="002A3CF1"/>
    <w:rsid w:val="002A59B9"/>
    <w:rsid w:val="002A5E8D"/>
    <w:rsid w:val="002A68CD"/>
    <w:rsid w:val="002B13CB"/>
    <w:rsid w:val="002B14EA"/>
    <w:rsid w:val="002B1854"/>
    <w:rsid w:val="002B1A51"/>
    <w:rsid w:val="002B2AE1"/>
    <w:rsid w:val="002B3159"/>
    <w:rsid w:val="002B3A8F"/>
    <w:rsid w:val="002B3E1F"/>
    <w:rsid w:val="002B4646"/>
    <w:rsid w:val="002B5324"/>
    <w:rsid w:val="002B5C76"/>
    <w:rsid w:val="002B5C91"/>
    <w:rsid w:val="002B5F4B"/>
    <w:rsid w:val="002B6603"/>
    <w:rsid w:val="002B6F5F"/>
    <w:rsid w:val="002C0828"/>
    <w:rsid w:val="002C124B"/>
    <w:rsid w:val="002C1A0B"/>
    <w:rsid w:val="002C33AF"/>
    <w:rsid w:val="002C370D"/>
    <w:rsid w:val="002C3B75"/>
    <w:rsid w:val="002C450A"/>
    <w:rsid w:val="002C47E9"/>
    <w:rsid w:val="002C4E26"/>
    <w:rsid w:val="002C4E6C"/>
    <w:rsid w:val="002C5092"/>
    <w:rsid w:val="002C54BF"/>
    <w:rsid w:val="002C5519"/>
    <w:rsid w:val="002C59CD"/>
    <w:rsid w:val="002C67E5"/>
    <w:rsid w:val="002C6D0D"/>
    <w:rsid w:val="002C6F5D"/>
    <w:rsid w:val="002D0639"/>
    <w:rsid w:val="002D08F4"/>
    <w:rsid w:val="002D097F"/>
    <w:rsid w:val="002D0D0C"/>
    <w:rsid w:val="002D1258"/>
    <w:rsid w:val="002D13E8"/>
    <w:rsid w:val="002D2807"/>
    <w:rsid w:val="002D2D97"/>
    <w:rsid w:val="002D3BDF"/>
    <w:rsid w:val="002D426C"/>
    <w:rsid w:val="002D4721"/>
    <w:rsid w:val="002D472F"/>
    <w:rsid w:val="002D4803"/>
    <w:rsid w:val="002D6CDA"/>
    <w:rsid w:val="002D6EFD"/>
    <w:rsid w:val="002E0D86"/>
    <w:rsid w:val="002E16AE"/>
    <w:rsid w:val="002E1795"/>
    <w:rsid w:val="002E1871"/>
    <w:rsid w:val="002E1A25"/>
    <w:rsid w:val="002E1C38"/>
    <w:rsid w:val="002E3521"/>
    <w:rsid w:val="002E37F4"/>
    <w:rsid w:val="002E43A5"/>
    <w:rsid w:val="002E5665"/>
    <w:rsid w:val="002E7318"/>
    <w:rsid w:val="002E7617"/>
    <w:rsid w:val="002E7C56"/>
    <w:rsid w:val="002E7D8E"/>
    <w:rsid w:val="002F0408"/>
    <w:rsid w:val="002F06FF"/>
    <w:rsid w:val="002F210E"/>
    <w:rsid w:val="002F27B6"/>
    <w:rsid w:val="002F2B50"/>
    <w:rsid w:val="002F3CDE"/>
    <w:rsid w:val="002F405F"/>
    <w:rsid w:val="002F491B"/>
    <w:rsid w:val="002F4953"/>
    <w:rsid w:val="002F4ACB"/>
    <w:rsid w:val="002F7430"/>
    <w:rsid w:val="002F777B"/>
    <w:rsid w:val="00300191"/>
    <w:rsid w:val="00300414"/>
    <w:rsid w:val="00300578"/>
    <w:rsid w:val="00300AAF"/>
    <w:rsid w:val="00300F8D"/>
    <w:rsid w:val="00304FC4"/>
    <w:rsid w:val="003059F4"/>
    <w:rsid w:val="0030689E"/>
    <w:rsid w:val="003068D7"/>
    <w:rsid w:val="003071B2"/>
    <w:rsid w:val="00307599"/>
    <w:rsid w:val="003075B8"/>
    <w:rsid w:val="00310399"/>
    <w:rsid w:val="00310D8D"/>
    <w:rsid w:val="0031445A"/>
    <w:rsid w:val="003149F6"/>
    <w:rsid w:val="00315977"/>
    <w:rsid w:val="00316368"/>
    <w:rsid w:val="003174B4"/>
    <w:rsid w:val="0032047A"/>
    <w:rsid w:val="00320939"/>
    <w:rsid w:val="00320F9D"/>
    <w:rsid w:val="00321B76"/>
    <w:rsid w:val="00321BBE"/>
    <w:rsid w:val="00323813"/>
    <w:rsid w:val="00325077"/>
    <w:rsid w:val="0032515F"/>
    <w:rsid w:val="003253BE"/>
    <w:rsid w:val="00325C89"/>
    <w:rsid w:val="0032679D"/>
    <w:rsid w:val="00326D1D"/>
    <w:rsid w:val="00327D78"/>
    <w:rsid w:val="00327D80"/>
    <w:rsid w:val="00327DF9"/>
    <w:rsid w:val="00327E48"/>
    <w:rsid w:val="003302F7"/>
    <w:rsid w:val="00332437"/>
    <w:rsid w:val="00332A1C"/>
    <w:rsid w:val="00332A90"/>
    <w:rsid w:val="00332AB7"/>
    <w:rsid w:val="00332B68"/>
    <w:rsid w:val="00333E90"/>
    <w:rsid w:val="00334C69"/>
    <w:rsid w:val="00334E81"/>
    <w:rsid w:val="00335E6A"/>
    <w:rsid w:val="00337322"/>
    <w:rsid w:val="00340CDE"/>
    <w:rsid w:val="0034133E"/>
    <w:rsid w:val="003415A1"/>
    <w:rsid w:val="00342048"/>
    <w:rsid w:val="00342994"/>
    <w:rsid w:val="00342F54"/>
    <w:rsid w:val="00343735"/>
    <w:rsid w:val="00343F87"/>
    <w:rsid w:val="00345DCC"/>
    <w:rsid w:val="00346101"/>
    <w:rsid w:val="00346CAB"/>
    <w:rsid w:val="00347C24"/>
    <w:rsid w:val="00347EB1"/>
    <w:rsid w:val="003508F6"/>
    <w:rsid w:val="00351DDB"/>
    <w:rsid w:val="00351FF3"/>
    <w:rsid w:val="00352B90"/>
    <w:rsid w:val="00353231"/>
    <w:rsid w:val="00353F39"/>
    <w:rsid w:val="00354D6E"/>
    <w:rsid w:val="0035514C"/>
    <w:rsid w:val="00356084"/>
    <w:rsid w:val="003568C0"/>
    <w:rsid w:val="00356E07"/>
    <w:rsid w:val="0036056A"/>
    <w:rsid w:val="00363664"/>
    <w:rsid w:val="003639E8"/>
    <w:rsid w:val="003642D2"/>
    <w:rsid w:val="0036450C"/>
    <w:rsid w:val="00364574"/>
    <w:rsid w:val="0036468B"/>
    <w:rsid w:val="0036546D"/>
    <w:rsid w:val="003664C3"/>
    <w:rsid w:val="003675A1"/>
    <w:rsid w:val="0036773D"/>
    <w:rsid w:val="00367FEB"/>
    <w:rsid w:val="003711C1"/>
    <w:rsid w:val="00371BC3"/>
    <w:rsid w:val="00371CBE"/>
    <w:rsid w:val="00372C24"/>
    <w:rsid w:val="00372C38"/>
    <w:rsid w:val="00372C9E"/>
    <w:rsid w:val="0037332F"/>
    <w:rsid w:val="00373AD4"/>
    <w:rsid w:val="0037428F"/>
    <w:rsid w:val="00374539"/>
    <w:rsid w:val="003747BD"/>
    <w:rsid w:val="00374DD5"/>
    <w:rsid w:val="0037591D"/>
    <w:rsid w:val="00376E05"/>
    <w:rsid w:val="0037720A"/>
    <w:rsid w:val="003774FC"/>
    <w:rsid w:val="00377F5B"/>
    <w:rsid w:val="0038006D"/>
    <w:rsid w:val="00381EB9"/>
    <w:rsid w:val="0038206D"/>
    <w:rsid w:val="00383A81"/>
    <w:rsid w:val="00383D6A"/>
    <w:rsid w:val="00384693"/>
    <w:rsid w:val="00385DC1"/>
    <w:rsid w:val="00385F02"/>
    <w:rsid w:val="0038641A"/>
    <w:rsid w:val="00386DED"/>
    <w:rsid w:val="0038719C"/>
    <w:rsid w:val="00390E97"/>
    <w:rsid w:val="003924AE"/>
    <w:rsid w:val="00392E76"/>
    <w:rsid w:val="00393BF6"/>
    <w:rsid w:val="00393F1C"/>
    <w:rsid w:val="00393F6E"/>
    <w:rsid w:val="00394276"/>
    <w:rsid w:val="00394BA4"/>
    <w:rsid w:val="0039597A"/>
    <w:rsid w:val="0039697D"/>
    <w:rsid w:val="00396DAE"/>
    <w:rsid w:val="0039750E"/>
    <w:rsid w:val="00397618"/>
    <w:rsid w:val="00397731"/>
    <w:rsid w:val="00397EA7"/>
    <w:rsid w:val="003A1350"/>
    <w:rsid w:val="003A17CE"/>
    <w:rsid w:val="003A1920"/>
    <w:rsid w:val="003A1A61"/>
    <w:rsid w:val="003A2C3E"/>
    <w:rsid w:val="003A2D49"/>
    <w:rsid w:val="003A3487"/>
    <w:rsid w:val="003A5228"/>
    <w:rsid w:val="003A583A"/>
    <w:rsid w:val="003A591A"/>
    <w:rsid w:val="003A5F2B"/>
    <w:rsid w:val="003A722D"/>
    <w:rsid w:val="003B01FB"/>
    <w:rsid w:val="003B0557"/>
    <w:rsid w:val="003B0E02"/>
    <w:rsid w:val="003B0FDA"/>
    <w:rsid w:val="003B1656"/>
    <w:rsid w:val="003B231B"/>
    <w:rsid w:val="003B3157"/>
    <w:rsid w:val="003B3FC0"/>
    <w:rsid w:val="003B417F"/>
    <w:rsid w:val="003B4786"/>
    <w:rsid w:val="003B56E2"/>
    <w:rsid w:val="003B5926"/>
    <w:rsid w:val="003B602A"/>
    <w:rsid w:val="003B71D0"/>
    <w:rsid w:val="003B7450"/>
    <w:rsid w:val="003C2C74"/>
    <w:rsid w:val="003C3055"/>
    <w:rsid w:val="003C3EAC"/>
    <w:rsid w:val="003C4015"/>
    <w:rsid w:val="003C45E6"/>
    <w:rsid w:val="003C4A67"/>
    <w:rsid w:val="003C568C"/>
    <w:rsid w:val="003C56E9"/>
    <w:rsid w:val="003C63A8"/>
    <w:rsid w:val="003C6725"/>
    <w:rsid w:val="003C6F78"/>
    <w:rsid w:val="003C703E"/>
    <w:rsid w:val="003C7107"/>
    <w:rsid w:val="003D0D2D"/>
    <w:rsid w:val="003D16A1"/>
    <w:rsid w:val="003D16F1"/>
    <w:rsid w:val="003D1778"/>
    <w:rsid w:val="003D1B5E"/>
    <w:rsid w:val="003D28A5"/>
    <w:rsid w:val="003D30C9"/>
    <w:rsid w:val="003D472B"/>
    <w:rsid w:val="003D4F91"/>
    <w:rsid w:val="003D5092"/>
    <w:rsid w:val="003D6240"/>
    <w:rsid w:val="003D7A99"/>
    <w:rsid w:val="003D7D65"/>
    <w:rsid w:val="003E007A"/>
    <w:rsid w:val="003E09C9"/>
    <w:rsid w:val="003E0CFA"/>
    <w:rsid w:val="003E0D77"/>
    <w:rsid w:val="003E0DA2"/>
    <w:rsid w:val="003E11B1"/>
    <w:rsid w:val="003E11D8"/>
    <w:rsid w:val="003E1873"/>
    <w:rsid w:val="003E25CD"/>
    <w:rsid w:val="003E25DA"/>
    <w:rsid w:val="003E2BDE"/>
    <w:rsid w:val="003E2F13"/>
    <w:rsid w:val="003E3005"/>
    <w:rsid w:val="003E3092"/>
    <w:rsid w:val="003E386C"/>
    <w:rsid w:val="003E44BC"/>
    <w:rsid w:val="003E509B"/>
    <w:rsid w:val="003E60A8"/>
    <w:rsid w:val="003E6141"/>
    <w:rsid w:val="003E620D"/>
    <w:rsid w:val="003E6F86"/>
    <w:rsid w:val="003F111F"/>
    <w:rsid w:val="003F1441"/>
    <w:rsid w:val="003F1A7F"/>
    <w:rsid w:val="003F330F"/>
    <w:rsid w:val="003F36C9"/>
    <w:rsid w:val="003F43BB"/>
    <w:rsid w:val="003F441E"/>
    <w:rsid w:val="003F4A7C"/>
    <w:rsid w:val="003F5144"/>
    <w:rsid w:val="003F584D"/>
    <w:rsid w:val="003F5DC0"/>
    <w:rsid w:val="003F73B2"/>
    <w:rsid w:val="00400538"/>
    <w:rsid w:val="0040067C"/>
    <w:rsid w:val="004012CF"/>
    <w:rsid w:val="0040177F"/>
    <w:rsid w:val="00401801"/>
    <w:rsid w:val="00402034"/>
    <w:rsid w:val="00402AC1"/>
    <w:rsid w:val="00402FB4"/>
    <w:rsid w:val="004032FE"/>
    <w:rsid w:val="00403576"/>
    <w:rsid w:val="00403A5F"/>
    <w:rsid w:val="00404A4F"/>
    <w:rsid w:val="00405414"/>
    <w:rsid w:val="004058F1"/>
    <w:rsid w:val="00405B47"/>
    <w:rsid w:val="00406172"/>
    <w:rsid w:val="004061C3"/>
    <w:rsid w:val="0040716B"/>
    <w:rsid w:val="00407301"/>
    <w:rsid w:val="00407985"/>
    <w:rsid w:val="00410BE9"/>
    <w:rsid w:val="004117D4"/>
    <w:rsid w:val="00411C6C"/>
    <w:rsid w:val="004133BA"/>
    <w:rsid w:val="00413638"/>
    <w:rsid w:val="00413B4D"/>
    <w:rsid w:val="00413ED4"/>
    <w:rsid w:val="00414B0A"/>
    <w:rsid w:val="00414B6F"/>
    <w:rsid w:val="00414DD6"/>
    <w:rsid w:val="004159EE"/>
    <w:rsid w:val="0041663C"/>
    <w:rsid w:val="00417D6B"/>
    <w:rsid w:val="00422EB1"/>
    <w:rsid w:val="00422F2E"/>
    <w:rsid w:val="0042336B"/>
    <w:rsid w:val="004237E6"/>
    <w:rsid w:val="00424573"/>
    <w:rsid w:val="00425258"/>
    <w:rsid w:val="0042547A"/>
    <w:rsid w:val="0042551A"/>
    <w:rsid w:val="00425FAD"/>
    <w:rsid w:val="00426C16"/>
    <w:rsid w:val="00426CCD"/>
    <w:rsid w:val="00426F2C"/>
    <w:rsid w:val="00426F58"/>
    <w:rsid w:val="0042720C"/>
    <w:rsid w:val="004307C5"/>
    <w:rsid w:val="00430AD8"/>
    <w:rsid w:val="00430E04"/>
    <w:rsid w:val="00433728"/>
    <w:rsid w:val="004338FB"/>
    <w:rsid w:val="00433CB6"/>
    <w:rsid w:val="00434569"/>
    <w:rsid w:val="00434775"/>
    <w:rsid w:val="00436264"/>
    <w:rsid w:val="0043688D"/>
    <w:rsid w:val="0044016F"/>
    <w:rsid w:val="004403BC"/>
    <w:rsid w:val="00440C8E"/>
    <w:rsid w:val="004411B0"/>
    <w:rsid w:val="0044183D"/>
    <w:rsid w:val="00441862"/>
    <w:rsid w:val="004422F3"/>
    <w:rsid w:val="004424D6"/>
    <w:rsid w:val="004426D5"/>
    <w:rsid w:val="00442B64"/>
    <w:rsid w:val="004437A8"/>
    <w:rsid w:val="00443AA8"/>
    <w:rsid w:val="00444AFB"/>
    <w:rsid w:val="00444F38"/>
    <w:rsid w:val="00445781"/>
    <w:rsid w:val="004468EF"/>
    <w:rsid w:val="00446F78"/>
    <w:rsid w:val="00450535"/>
    <w:rsid w:val="00450551"/>
    <w:rsid w:val="00450E73"/>
    <w:rsid w:val="00451333"/>
    <w:rsid w:val="00451AD8"/>
    <w:rsid w:val="00452BA8"/>
    <w:rsid w:val="00452C04"/>
    <w:rsid w:val="00452C3B"/>
    <w:rsid w:val="00453AEE"/>
    <w:rsid w:val="0045516B"/>
    <w:rsid w:val="00455783"/>
    <w:rsid w:val="00455C4E"/>
    <w:rsid w:val="00456C7D"/>
    <w:rsid w:val="00457C26"/>
    <w:rsid w:val="004607DA"/>
    <w:rsid w:val="00460A63"/>
    <w:rsid w:val="004611AB"/>
    <w:rsid w:val="00461886"/>
    <w:rsid w:val="004628A4"/>
    <w:rsid w:val="00462A0F"/>
    <w:rsid w:val="004645C9"/>
    <w:rsid w:val="00464BDB"/>
    <w:rsid w:val="00464FEE"/>
    <w:rsid w:val="004657E9"/>
    <w:rsid w:val="00465B8F"/>
    <w:rsid w:val="00465BC5"/>
    <w:rsid w:val="00467813"/>
    <w:rsid w:val="004704EB"/>
    <w:rsid w:val="00470B02"/>
    <w:rsid w:val="00470D29"/>
    <w:rsid w:val="004738CC"/>
    <w:rsid w:val="00473922"/>
    <w:rsid w:val="00473BE0"/>
    <w:rsid w:val="004742F2"/>
    <w:rsid w:val="004749A9"/>
    <w:rsid w:val="00474B56"/>
    <w:rsid w:val="00474B70"/>
    <w:rsid w:val="00474DD8"/>
    <w:rsid w:val="004750DD"/>
    <w:rsid w:val="0047645E"/>
    <w:rsid w:val="004779E1"/>
    <w:rsid w:val="00477CA6"/>
    <w:rsid w:val="00477F89"/>
    <w:rsid w:val="0048030D"/>
    <w:rsid w:val="004806FB"/>
    <w:rsid w:val="004807F6"/>
    <w:rsid w:val="00480C5C"/>
    <w:rsid w:val="00480F9B"/>
    <w:rsid w:val="004815B3"/>
    <w:rsid w:val="004815E1"/>
    <w:rsid w:val="004824CC"/>
    <w:rsid w:val="00482F64"/>
    <w:rsid w:val="00482FF5"/>
    <w:rsid w:val="0048533A"/>
    <w:rsid w:val="004861E3"/>
    <w:rsid w:val="004864EC"/>
    <w:rsid w:val="00486AB5"/>
    <w:rsid w:val="00486E1F"/>
    <w:rsid w:val="00487255"/>
    <w:rsid w:val="004877A9"/>
    <w:rsid w:val="00491E53"/>
    <w:rsid w:val="0049221E"/>
    <w:rsid w:val="0049286D"/>
    <w:rsid w:val="00492C5B"/>
    <w:rsid w:val="0049312E"/>
    <w:rsid w:val="004933BA"/>
    <w:rsid w:val="00493CD1"/>
    <w:rsid w:val="00494084"/>
    <w:rsid w:val="004944CE"/>
    <w:rsid w:val="00494BCE"/>
    <w:rsid w:val="0049512D"/>
    <w:rsid w:val="0049547D"/>
    <w:rsid w:val="004956F3"/>
    <w:rsid w:val="00496A42"/>
    <w:rsid w:val="00497B07"/>
    <w:rsid w:val="00497F32"/>
    <w:rsid w:val="004A0046"/>
    <w:rsid w:val="004A14A9"/>
    <w:rsid w:val="004A195A"/>
    <w:rsid w:val="004A2078"/>
    <w:rsid w:val="004A2959"/>
    <w:rsid w:val="004A3BE1"/>
    <w:rsid w:val="004A45C0"/>
    <w:rsid w:val="004A46D2"/>
    <w:rsid w:val="004A4B79"/>
    <w:rsid w:val="004A5051"/>
    <w:rsid w:val="004A7153"/>
    <w:rsid w:val="004A7948"/>
    <w:rsid w:val="004A7ADA"/>
    <w:rsid w:val="004B04F6"/>
    <w:rsid w:val="004B0657"/>
    <w:rsid w:val="004B134A"/>
    <w:rsid w:val="004B147C"/>
    <w:rsid w:val="004B256E"/>
    <w:rsid w:val="004B2D58"/>
    <w:rsid w:val="004B53F7"/>
    <w:rsid w:val="004B709E"/>
    <w:rsid w:val="004C0B6B"/>
    <w:rsid w:val="004C0FA9"/>
    <w:rsid w:val="004C1884"/>
    <w:rsid w:val="004C1AFC"/>
    <w:rsid w:val="004C3A86"/>
    <w:rsid w:val="004C52F8"/>
    <w:rsid w:val="004C552D"/>
    <w:rsid w:val="004C5E6B"/>
    <w:rsid w:val="004C6663"/>
    <w:rsid w:val="004C70BF"/>
    <w:rsid w:val="004D011B"/>
    <w:rsid w:val="004D09E3"/>
    <w:rsid w:val="004D0B12"/>
    <w:rsid w:val="004D0F84"/>
    <w:rsid w:val="004D1CA0"/>
    <w:rsid w:val="004D23CC"/>
    <w:rsid w:val="004D2C26"/>
    <w:rsid w:val="004D3D5B"/>
    <w:rsid w:val="004D51D6"/>
    <w:rsid w:val="004D62A4"/>
    <w:rsid w:val="004D646A"/>
    <w:rsid w:val="004D6CB7"/>
    <w:rsid w:val="004D7170"/>
    <w:rsid w:val="004D786D"/>
    <w:rsid w:val="004D79D7"/>
    <w:rsid w:val="004E104C"/>
    <w:rsid w:val="004E20A4"/>
    <w:rsid w:val="004E25EB"/>
    <w:rsid w:val="004E2FF4"/>
    <w:rsid w:val="004E37B5"/>
    <w:rsid w:val="004E3C1F"/>
    <w:rsid w:val="004E42F1"/>
    <w:rsid w:val="004E4817"/>
    <w:rsid w:val="004E5189"/>
    <w:rsid w:val="004E5C08"/>
    <w:rsid w:val="004E61F6"/>
    <w:rsid w:val="004E6478"/>
    <w:rsid w:val="004E670B"/>
    <w:rsid w:val="004E6B0B"/>
    <w:rsid w:val="004E755F"/>
    <w:rsid w:val="004E79D0"/>
    <w:rsid w:val="004F18EA"/>
    <w:rsid w:val="004F210D"/>
    <w:rsid w:val="004F22A2"/>
    <w:rsid w:val="004F2678"/>
    <w:rsid w:val="004F2D46"/>
    <w:rsid w:val="004F2DD9"/>
    <w:rsid w:val="004F4D07"/>
    <w:rsid w:val="004F58BD"/>
    <w:rsid w:val="004F6936"/>
    <w:rsid w:val="004F6BD5"/>
    <w:rsid w:val="004F74C3"/>
    <w:rsid w:val="004F7829"/>
    <w:rsid w:val="004F7B94"/>
    <w:rsid w:val="00500041"/>
    <w:rsid w:val="00500514"/>
    <w:rsid w:val="005005B7"/>
    <w:rsid w:val="0050073E"/>
    <w:rsid w:val="0050188D"/>
    <w:rsid w:val="0050241E"/>
    <w:rsid w:val="0050246E"/>
    <w:rsid w:val="005024B2"/>
    <w:rsid w:val="005041DF"/>
    <w:rsid w:val="00504207"/>
    <w:rsid w:val="005049DE"/>
    <w:rsid w:val="00504DDF"/>
    <w:rsid w:val="0050543E"/>
    <w:rsid w:val="00505AFF"/>
    <w:rsid w:val="00505C40"/>
    <w:rsid w:val="00506BCC"/>
    <w:rsid w:val="00506D93"/>
    <w:rsid w:val="0050725D"/>
    <w:rsid w:val="00507D2E"/>
    <w:rsid w:val="005105D0"/>
    <w:rsid w:val="00510C3C"/>
    <w:rsid w:val="00510F3D"/>
    <w:rsid w:val="0051174F"/>
    <w:rsid w:val="00511B7C"/>
    <w:rsid w:val="005121F6"/>
    <w:rsid w:val="005124E1"/>
    <w:rsid w:val="005126A3"/>
    <w:rsid w:val="00512791"/>
    <w:rsid w:val="00512A0B"/>
    <w:rsid w:val="00513FA7"/>
    <w:rsid w:val="00513FCB"/>
    <w:rsid w:val="005145EB"/>
    <w:rsid w:val="005149CC"/>
    <w:rsid w:val="00514D8B"/>
    <w:rsid w:val="00515025"/>
    <w:rsid w:val="00515A9C"/>
    <w:rsid w:val="00516A7C"/>
    <w:rsid w:val="00516B9F"/>
    <w:rsid w:val="00517675"/>
    <w:rsid w:val="0052022B"/>
    <w:rsid w:val="005202FC"/>
    <w:rsid w:val="0052138F"/>
    <w:rsid w:val="0052139B"/>
    <w:rsid w:val="00522BC7"/>
    <w:rsid w:val="00523E65"/>
    <w:rsid w:val="00523F75"/>
    <w:rsid w:val="00524397"/>
    <w:rsid w:val="00524716"/>
    <w:rsid w:val="0052524B"/>
    <w:rsid w:val="00525557"/>
    <w:rsid w:val="00525833"/>
    <w:rsid w:val="00526131"/>
    <w:rsid w:val="00526E2B"/>
    <w:rsid w:val="00527756"/>
    <w:rsid w:val="00527C26"/>
    <w:rsid w:val="0053229A"/>
    <w:rsid w:val="0053293B"/>
    <w:rsid w:val="005333D5"/>
    <w:rsid w:val="00533882"/>
    <w:rsid w:val="00533A0E"/>
    <w:rsid w:val="005341E3"/>
    <w:rsid w:val="0053428F"/>
    <w:rsid w:val="005348C6"/>
    <w:rsid w:val="00536682"/>
    <w:rsid w:val="005369A9"/>
    <w:rsid w:val="005374EA"/>
    <w:rsid w:val="00537BE1"/>
    <w:rsid w:val="005405A8"/>
    <w:rsid w:val="00540675"/>
    <w:rsid w:val="005413F9"/>
    <w:rsid w:val="005417DF"/>
    <w:rsid w:val="00541A86"/>
    <w:rsid w:val="0054235C"/>
    <w:rsid w:val="0054329C"/>
    <w:rsid w:val="00543AC4"/>
    <w:rsid w:val="00545811"/>
    <w:rsid w:val="00545BF2"/>
    <w:rsid w:val="0054791B"/>
    <w:rsid w:val="00550520"/>
    <w:rsid w:val="00551A81"/>
    <w:rsid w:val="0055250D"/>
    <w:rsid w:val="00552BFC"/>
    <w:rsid w:val="00554298"/>
    <w:rsid w:val="00555BE1"/>
    <w:rsid w:val="0055676A"/>
    <w:rsid w:val="005567C4"/>
    <w:rsid w:val="00557913"/>
    <w:rsid w:val="00560AC2"/>
    <w:rsid w:val="00560BB3"/>
    <w:rsid w:val="00561FA5"/>
    <w:rsid w:val="00562C60"/>
    <w:rsid w:val="00563644"/>
    <w:rsid w:val="00563773"/>
    <w:rsid w:val="00563AEA"/>
    <w:rsid w:val="00564141"/>
    <w:rsid w:val="005644A8"/>
    <w:rsid w:val="00564947"/>
    <w:rsid w:val="00564E1B"/>
    <w:rsid w:val="00564F4F"/>
    <w:rsid w:val="005652C8"/>
    <w:rsid w:val="0056698E"/>
    <w:rsid w:val="005676F1"/>
    <w:rsid w:val="00567723"/>
    <w:rsid w:val="00571233"/>
    <w:rsid w:val="0057130A"/>
    <w:rsid w:val="00571907"/>
    <w:rsid w:val="0057274D"/>
    <w:rsid w:val="00572924"/>
    <w:rsid w:val="00573BDF"/>
    <w:rsid w:val="00573CC6"/>
    <w:rsid w:val="00573E1E"/>
    <w:rsid w:val="005744A4"/>
    <w:rsid w:val="0057597C"/>
    <w:rsid w:val="0057633C"/>
    <w:rsid w:val="005766A1"/>
    <w:rsid w:val="0057676F"/>
    <w:rsid w:val="005769A2"/>
    <w:rsid w:val="00576C7A"/>
    <w:rsid w:val="005815B7"/>
    <w:rsid w:val="00581682"/>
    <w:rsid w:val="00581B14"/>
    <w:rsid w:val="00582382"/>
    <w:rsid w:val="00582527"/>
    <w:rsid w:val="00582D77"/>
    <w:rsid w:val="00582DFB"/>
    <w:rsid w:val="00583203"/>
    <w:rsid w:val="0058364F"/>
    <w:rsid w:val="005842AD"/>
    <w:rsid w:val="005849EA"/>
    <w:rsid w:val="00585B55"/>
    <w:rsid w:val="00586CF4"/>
    <w:rsid w:val="005877E5"/>
    <w:rsid w:val="0058790A"/>
    <w:rsid w:val="00590842"/>
    <w:rsid w:val="00590CDB"/>
    <w:rsid w:val="00591928"/>
    <w:rsid w:val="00591A75"/>
    <w:rsid w:val="00591D65"/>
    <w:rsid w:val="00592A43"/>
    <w:rsid w:val="00592E82"/>
    <w:rsid w:val="00593DC3"/>
    <w:rsid w:val="00593E6C"/>
    <w:rsid w:val="0059433A"/>
    <w:rsid w:val="00594ADE"/>
    <w:rsid w:val="00594ECA"/>
    <w:rsid w:val="005953F9"/>
    <w:rsid w:val="00595505"/>
    <w:rsid w:val="005964EC"/>
    <w:rsid w:val="00596AB7"/>
    <w:rsid w:val="00596D1F"/>
    <w:rsid w:val="00597CA5"/>
    <w:rsid w:val="005A1261"/>
    <w:rsid w:val="005A1DB5"/>
    <w:rsid w:val="005A4C07"/>
    <w:rsid w:val="005A5DA5"/>
    <w:rsid w:val="005A5F3A"/>
    <w:rsid w:val="005A7422"/>
    <w:rsid w:val="005A76AD"/>
    <w:rsid w:val="005A79D6"/>
    <w:rsid w:val="005A7A28"/>
    <w:rsid w:val="005B1893"/>
    <w:rsid w:val="005B1C4C"/>
    <w:rsid w:val="005B1ECD"/>
    <w:rsid w:val="005B1FEB"/>
    <w:rsid w:val="005B32A0"/>
    <w:rsid w:val="005B3807"/>
    <w:rsid w:val="005B43D5"/>
    <w:rsid w:val="005B4F87"/>
    <w:rsid w:val="005B542D"/>
    <w:rsid w:val="005B5D9A"/>
    <w:rsid w:val="005B677B"/>
    <w:rsid w:val="005B7D9A"/>
    <w:rsid w:val="005C1A57"/>
    <w:rsid w:val="005C1C8B"/>
    <w:rsid w:val="005C2504"/>
    <w:rsid w:val="005C41C5"/>
    <w:rsid w:val="005C5B5C"/>
    <w:rsid w:val="005D1036"/>
    <w:rsid w:val="005D1A4D"/>
    <w:rsid w:val="005D213D"/>
    <w:rsid w:val="005D22BA"/>
    <w:rsid w:val="005D2E9B"/>
    <w:rsid w:val="005D35F9"/>
    <w:rsid w:val="005D4D8B"/>
    <w:rsid w:val="005D5BBA"/>
    <w:rsid w:val="005D629A"/>
    <w:rsid w:val="005D7183"/>
    <w:rsid w:val="005E0730"/>
    <w:rsid w:val="005E0759"/>
    <w:rsid w:val="005E0A8E"/>
    <w:rsid w:val="005E124F"/>
    <w:rsid w:val="005E16C5"/>
    <w:rsid w:val="005E1D48"/>
    <w:rsid w:val="005E1FF0"/>
    <w:rsid w:val="005E26FB"/>
    <w:rsid w:val="005E2B27"/>
    <w:rsid w:val="005E2F31"/>
    <w:rsid w:val="005E4400"/>
    <w:rsid w:val="005E46B3"/>
    <w:rsid w:val="005E5BDB"/>
    <w:rsid w:val="005E681E"/>
    <w:rsid w:val="005E776F"/>
    <w:rsid w:val="005F023F"/>
    <w:rsid w:val="005F089F"/>
    <w:rsid w:val="005F0A40"/>
    <w:rsid w:val="005F0A77"/>
    <w:rsid w:val="005F0C3A"/>
    <w:rsid w:val="005F133C"/>
    <w:rsid w:val="005F1E3B"/>
    <w:rsid w:val="005F2C7A"/>
    <w:rsid w:val="005F30C1"/>
    <w:rsid w:val="005F3260"/>
    <w:rsid w:val="005F4B8E"/>
    <w:rsid w:val="005F5DE4"/>
    <w:rsid w:val="006002F0"/>
    <w:rsid w:val="0060077C"/>
    <w:rsid w:val="00600CD2"/>
    <w:rsid w:val="00600F4E"/>
    <w:rsid w:val="00601949"/>
    <w:rsid w:val="00602468"/>
    <w:rsid w:val="006028D2"/>
    <w:rsid w:val="006042C2"/>
    <w:rsid w:val="00605D03"/>
    <w:rsid w:val="00605DDB"/>
    <w:rsid w:val="006061FB"/>
    <w:rsid w:val="00606EC0"/>
    <w:rsid w:val="00607AE9"/>
    <w:rsid w:val="00607B18"/>
    <w:rsid w:val="00610ED1"/>
    <w:rsid w:val="006112E4"/>
    <w:rsid w:val="006132AB"/>
    <w:rsid w:val="00613EE3"/>
    <w:rsid w:val="00613FE1"/>
    <w:rsid w:val="006140DF"/>
    <w:rsid w:val="00614799"/>
    <w:rsid w:val="00615DDA"/>
    <w:rsid w:val="006167A3"/>
    <w:rsid w:val="00616DC1"/>
    <w:rsid w:val="00616DC5"/>
    <w:rsid w:val="006176A7"/>
    <w:rsid w:val="00620776"/>
    <w:rsid w:val="00621192"/>
    <w:rsid w:val="0062208C"/>
    <w:rsid w:val="0062287B"/>
    <w:rsid w:val="00623C2F"/>
    <w:rsid w:val="006242A7"/>
    <w:rsid w:val="0062464B"/>
    <w:rsid w:val="00624C04"/>
    <w:rsid w:val="00625243"/>
    <w:rsid w:val="00626A94"/>
    <w:rsid w:val="0062773D"/>
    <w:rsid w:val="0062794E"/>
    <w:rsid w:val="00627EF5"/>
    <w:rsid w:val="006303C8"/>
    <w:rsid w:val="0063110A"/>
    <w:rsid w:val="006313F2"/>
    <w:rsid w:val="006317AC"/>
    <w:rsid w:val="0063297F"/>
    <w:rsid w:val="0063688A"/>
    <w:rsid w:val="00637C91"/>
    <w:rsid w:val="00640A23"/>
    <w:rsid w:val="00641343"/>
    <w:rsid w:val="0064225F"/>
    <w:rsid w:val="00642829"/>
    <w:rsid w:val="00643351"/>
    <w:rsid w:val="0064392A"/>
    <w:rsid w:val="00643B9A"/>
    <w:rsid w:val="006443D9"/>
    <w:rsid w:val="00645167"/>
    <w:rsid w:val="0064565A"/>
    <w:rsid w:val="0064598C"/>
    <w:rsid w:val="00645DD1"/>
    <w:rsid w:val="006467D5"/>
    <w:rsid w:val="00646A04"/>
    <w:rsid w:val="00646E99"/>
    <w:rsid w:val="0064702D"/>
    <w:rsid w:val="006474D1"/>
    <w:rsid w:val="0065141B"/>
    <w:rsid w:val="00651C3D"/>
    <w:rsid w:val="00651CC5"/>
    <w:rsid w:val="00651DFD"/>
    <w:rsid w:val="00652286"/>
    <w:rsid w:val="006527CC"/>
    <w:rsid w:val="00652B48"/>
    <w:rsid w:val="00653B6F"/>
    <w:rsid w:val="006549EA"/>
    <w:rsid w:val="00654A45"/>
    <w:rsid w:val="00654D9A"/>
    <w:rsid w:val="0065537B"/>
    <w:rsid w:val="006555FB"/>
    <w:rsid w:val="0065672C"/>
    <w:rsid w:val="0065683F"/>
    <w:rsid w:val="00656D03"/>
    <w:rsid w:val="0066042B"/>
    <w:rsid w:val="00660879"/>
    <w:rsid w:val="00661519"/>
    <w:rsid w:val="0066358C"/>
    <w:rsid w:val="006650EA"/>
    <w:rsid w:val="0066562C"/>
    <w:rsid w:val="00666821"/>
    <w:rsid w:val="00670350"/>
    <w:rsid w:val="00670441"/>
    <w:rsid w:val="006718E5"/>
    <w:rsid w:val="00671A10"/>
    <w:rsid w:val="00671E17"/>
    <w:rsid w:val="00672CE5"/>
    <w:rsid w:val="00673818"/>
    <w:rsid w:val="00674103"/>
    <w:rsid w:val="00674F36"/>
    <w:rsid w:val="00674FDB"/>
    <w:rsid w:val="006753A4"/>
    <w:rsid w:val="00675DD9"/>
    <w:rsid w:val="006760D5"/>
    <w:rsid w:val="0067643C"/>
    <w:rsid w:val="00676C1D"/>
    <w:rsid w:val="00677D27"/>
    <w:rsid w:val="006800ED"/>
    <w:rsid w:val="0068077A"/>
    <w:rsid w:val="006809F0"/>
    <w:rsid w:val="006811ED"/>
    <w:rsid w:val="00682E75"/>
    <w:rsid w:val="006839A4"/>
    <w:rsid w:val="00683D0B"/>
    <w:rsid w:val="00683F5A"/>
    <w:rsid w:val="00685501"/>
    <w:rsid w:val="0068641B"/>
    <w:rsid w:val="006869E5"/>
    <w:rsid w:val="0068752F"/>
    <w:rsid w:val="00691169"/>
    <w:rsid w:val="00691E55"/>
    <w:rsid w:val="006926BE"/>
    <w:rsid w:val="006940C2"/>
    <w:rsid w:val="00694876"/>
    <w:rsid w:val="00694A8B"/>
    <w:rsid w:val="00695AB4"/>
    <w:rsid w:val="00696FBE"/>
    <w:rsid w:val="00697459"/>
    <w:rsid w:val="006A00F4"/>
    <w:rsid w:val="006A06AA"/>
    <w:rsid w:val="006A096B"/>
    <w:rsid w:val="006A0E29"/>
    <w:rsid w:val="006A17EA"/>
    <w:rsid w:val="006A1A5D"/>
    <w:rsid w:val="006A2A92"/>
    <w:rsid w:val="006A3519"/>
    <w:rsid w:val="006A3DB7"/>
    <w:rsid w:val="006A47CB"/>
    <w:rsid w:val="006A4B16"/>
    <w:rsid w:val="006A6079"/>
    <w:rsid w:val="006A635E"/>
    <w:rsid w:val="006A731A"/>
    <w:rsid w:val="006A7A44"/>
    <w:rsid w:val="006B01AE"/>
    <w:rsid w:val="006B03ED"/>
    <w:rsid w:val="006B0C7E"/>
    <w:rsid w:val="006B107F"/>
    <w:rsid w:val="006B1EE4"/>
    <w:rsid w:val="006B21C1"/>
    <w:rsid w:val="006B228B"/>
    <w:rsid w:val="006B33D4"/>
    <w:rsid w:val="006B348A"/>
    <w:rsid w:val="006B3D38"/>
    <w:rsid w:val="006B4003"/>
    <w:rsid w:val="006B4F96"/>
    <w:rsid w:val="006B5455"/>
    <w:rsid w:val="006B5BD6"/>
    <w:rsid w:val="006B5EB2"/>
    <w:rsid w:val="006B6FB8"/>
    <w:rsid w:val="006C19F2"/>
    <w:rsid w:val="006C358C"/>
    <w:rsid w:val="006C67A1"/>
    <w:rsid w:val="006C6A2A"/>
    <w:rsid w:val="006C7369"/>
    <w:rsid w:val="006C7791"/>
    <w:rsid w:val="006D09F4"/>
    <w:rsid w:val="006D0F43"/>
    <w:rsid w:val="006D1589"/>
    <w:rsid w:val="006D1920"/>
    <w:rsid w:val="006D1D2D"/>
    <w:rsid w:val="006D1E11"/>
    <w:rsid w:val="006D28F9"/>
    <w:rsid w:val="006D397D"/>
    <w:rsid w:val="006D4276"/>
    <w:rsid w:val="006D56C0"/>
    <w:rsid w:val="006D5950"/>
    <w:rsid w:val="006D59D2"/>
    <w:rsid w:val="006D5B0B"/>
    <w:rsid w:val="006D60CB"/>
    <w:rsid w:val="006D63F3"/>
    <w:rsid w:val="006D65DB"/>
    <w:rsid w:val="006D660E"/>
    <w:rsid w:val="006D6652"/>
    <w:rsid w:val="006D69E1"/>
    <w:rsid w:val="006E11DD"/>
    <w:rsid w:val="006E247D"/>
    <w:rsid w:val="006E3AB9"/>
    <w:rsid w:val="006E4199"/>
    <w:rsid w:val="006E437C"/>
    <w:rsid w:val="006E471D"/>
    <w:rsid w:val="006E4760"/>
    <w:rsid w:val="006E4B23"/>
    <w:rsid w:val="006E5E47"/>
    <w:rsid w:val="006E6CD5"/>
    <w:rsid w:val="006E736B"/>
    <w:rsid w:val="006E7915"/>
    <w:rsid w:val="006F1775"/>
    <w:rsid w:val="006F21DF"/>
    <w:rsid w:val="006F22B4"/>
    <w:rsid w:val="006F37F6"/>
    <w:rsid w:val="006F453E"/>
    <w:rsid w:val="006F5759"/>
    <w:rsid w:val="006F5A07"/>
    <w:rsid w:val="006F5B3E"/>
    <w:rsid w:val="006F6BA4"/>
    <w:rsid w:val="006F7FC3"/>
    <w:rsid w:val="0070125B"/>
    <w:rsid w:val="0070154F"/>
    <w:rsid w:val="007017D0"/>
    <w:rsid w:val="00701BA5"/>
    <w:rsid w:val="00704820"/>
    <w:rsid w:val="00705B58"/>
    <w:rsid w:val="00705FD1"/>
    <w:rsid w:val="0071018D"/>
    <w:rsid w:val="00710221"/>
    <w:rsid w:val="007115CF"/>
    <w:rsid w:val="00711643"/>
    <w:rsid w:val="00713B15"/>
    <w:rsid w:val="00713B1F"/>
    <w:rsid w:val="007141D0"/>
    <w:rsid w:val="0071475A"/>
    <w:rsid w:val="007148D1"/>
    <w:rsid w:val="00714A05"/>
    <w:rsid w:val="00715E70"/>
    <w:rsid w:val="0071655A"/>
    <w:rsid w:val="0071695D"/>
    <w:rsid w:val="00716CC1"/>
    <w:rsid w:val="00720B7B"/>
    <w:rsid w:val="00720F38"/>
    <w:rsid w:val="00721ECB"/>
    <w:rsid w:val="007229DE"/>
    <w:rsid w:val="00722B44"/>
    <w:rsid w:val="00722C6D"/>
    <w:rsid w:val="00722D39"/>
    <w:rsid w:val="00723857"/>
    <w:rsid w:val="00723AA7"/>
    <w:rsid w:val="00724BD6"/>
    <w:rsid w:val="007251B2"/>
    <w:rsid w:val="0072575D"/>
    <w:rsid w:val="007273C5"/>
    <w:rsid w:val="00727695"/>
    <w:rsid w:val="00727D4F"/>
    <w:rsid w:val="00730C6C"/>
    <w:rsid w:val="007323BE"/>
    <w:rsid w:val="0073255F"/>
    <w:rsid w:val="0073274E"/>
    <w:rsid w:val="007335DB"/>
    <w:rsid w:val="0073384E"/>
    <w:rsid w:val="0073499B"/>
    <w:rsid w:val="007355ED"/>
    <w:rsid w:val="007365F0"/>
    <w:rsid w:val="00736977"/>
    <w:rsid w:val="00737307"/>
    <w:rsid w:val="00737C7A"/>
    <w:rsid w:val="00740015"/>
    <w:rsid w:val="0074049E"/>
    <w:rsid w:val="00740B05"/>
    <w:rsid w:val="00741AF0"/>
    <w:rsid w:val="00742860"/>
    <w:rsid w:val="0074408D"/>
    <w:rsid w:val="007447A5"/>
    <w:rsid w:val="007455C8"/>
    <w:rsid w:val="00745C76"/>
    <w:rsid w:val="00745DEE"/>
    <w:rsid w:val="0074667D"/>
    <w:rsid w:val="0074697F"/>
    <w:rsid w:val="007469D3"/>
    <w:rsid w:val="00747DC1"/>
    <w:rsid w:val="00747E7D"/>
    <w:rsid w:val="007507CF"/>
    <w:rsid w:val="00751DDE"/>
    <w:rsid w:val="007523B9"/>
    <w:rsid w:val="00752749"/>
    <w:rsid w:val="00753B60"/>
    <w:rsid w:val="007542C5"/>
    <w:rsid w:val="0075437C"/>
    <w:rsid w:val="00754686"/>
    <w:rsid w:val="007546CD"/>
    <w:rsid w:val="00754F5E"/>
    <w:rsid w:val="007550FE"/>
    <w:rsid w:val="00755721"/>
    <w:rsid w:val="00755CE8"/>
    <w:rsid w:val="00756C7E"/>
    <w:rsid w:val="00757755"/>
    <w:rsid w:val="007604FB"/>
    <w:rsid w:val="007615EF"/>
    <w:rsid w:val="00761B67"/>
    <w:rsid w:val="00763440"/>
    <w:rsid w:val="0076352C"/>
    <w:rsid w:val="00763A24"/>
    <w:rsid w:val="00763A72"/>
    <w:rsid w:val="00764005"/>
    <w:rsid w:val="00764085"/>
    <w:rsid w:val="0076426C"/>
    <w:rsid w:val="00767B35"/>
    <w:rsid w:val="00767DCD"/>
    <w:rsid w:val="007709C0"/>
    <w:rsid w:val="00770D17"/>
    <w:rsid w:val="00771293"/>
    <w:rsid w:val="00771628"/>
    <w:rsid w:val="00771A5F"/>
    <w:rsid w:val="00771BA2"/>
    <w:rsid w:val="00771DA3"/>
    <w:rsid w:val="00771EA2"/>
    <w:rsid w:val="00772D14"/>
    <w:rsid w:val="0077354E"/>
    <w:rsid w:val="00773F60"/>
    <w:rsid w:val="007741CD"/>
    <w:rsid w:val="0077429A"/>
    <w:rsid w:val="0077524C"/>
    <w:rsid w:val="00776715"/>
    <w:rsid w:val="007769F4"/>
    <w:rsid w:val="0077768C"/>
    <w:rsid w:val="0078006D"/>
    <w:rsid w:val="0078014D"/>
    <w:rsid w:val="00780869"/>
    <w:rsid w:val="00780CCE"/>
    <w:rsid w:val="00781B0F"/>
    <w:rsid w:val="00781EF3"/>
    <w:rsid w:val="00781F85"/>
    <w:rsid w:val="007838FC"/>
    <w:rsid w:val="00784124"/>
    <w:rsid w:val="00784656"/>
    <w:rsid w:val="00785BF3"/>
    <w:rsid w:val="0078684A"/>
    <w:rsid w:val="007900FE"/>
    <w:rsid w:val="00792302"/>
    <w:rsid w:val="007927E7"/>
    <w:rsid w:val="00792AA5"/>
    <w:rsid w:val="0079367B"/>
    <w:rsid w:val="00793EF6"/>
    <w:rsid w:val="00794924"/>
    <w:rsid w:val="00794CA6"/>
    <w:rsid w:val="00794E88"/>
    <w:rsid w:val="00795DD9"/>
    <w:rsid w:val="007971B7"/>
    <w:rsid w:val="007976FB"/>
    <w:rsid w:val="007A0946"/>
    <w:rsid w:val="007A127B"/>
    <w:rsid w:val="007A1D72"/>
    <w:rsid w:val="007A26FC"/>
    <w:rsid w:val="007A27C0"/>
    <w:rsid w:val="007A4182"/>
    <w:rsid w:val="007A41E1"/>
    <w:rsid w:val="007A5158"/>
    <w:rsid w:val="007A5201"/>
    <w:rsid w:val="007A5774"/>
    <w:rsid w:val="007A6735"/>
    <w:rsid w:val="007A68F1"/>
    <w:rsid w:val="007A7185"/>
    <w:rsid w:val="007A7788"/>
    <w:rsid w:val="007A7C4D"/>
    <w:rsid w:val="007B0214"/>
    <w:rsid w:val="007B130C"/>
    <w:rsid w:val="007B1B5B"/>
    <w:rsid w:val="007B1BAB"/>
    <w:rsid w:val="007B1CD2"/>
    <w:rsid w:val="007B2DB4"/>
    <w:rsid w:val="007B2F45"/>
    <w:rsid w:val="007B361F"/>
    <w:rsid w:val="007B4EDE"/>
    <w:rsid w:val="007B70C3"/>
    <w:rsid w:val="007B75D5"/>
    <w:rsid w:val="007B773F"/>
    <w:rsid w:val="007B7D6F"/>
    <w:rsid w:val="007C0323"/>
    <w:rsid w:val="007C0459"/>
    <w:rsid w:val="007C04BC"/>
    <w:rsid w:val="007C285A"/>
    <w:rsid w:val="007C3562"/>
    <w:rsid w:val="007C359F"/>
    <w:rsid w:val="007C3F2A"/>
    <w:rsid w:val="007C3F4B"/>
    <w:rsid w:val="007C4164"/>
    <w:rsid w:val="007C4426"/>
    <w:rsid w:val="007C4F86"/>
    <w:rsid w:val="007C52EA"/>
    <w:rsid w:val="007C5BDF"/>
    <w:rsid w:val="007C6F61"/>
    <w:rsid w:val="007C798B"/>
    <w:rsid w:val="007D05E5"/>
    <w:rsid w:val="007D0FAC"/>
    <w:rsid w:val="007D1168"/>
    <w:rsid w:val="007D1CD7"/>
    <w:rsid w:val="007D1DF1"/>
    <w:rsid w:val="007D1FEE"/>
    <w:rsid w:val="007D20DA"/>
    <w:rsid w:val="007D2FD3"/>
    <w:rsid w:val="007D3E26"/>
    <w:rsid w:val="007D4408"/>
    <w:rsid w:val="007D4C7D"/>
    <w:rsid w:val="007D642C"/>
    <w:rsid w:val="007D7C6D"/>
    <w:rsid w:val="007E05AE"/>
    <w:rsid w:val="007E0641"/>
    <w:rsid w:val="007E06CE"/>
    <w:rsid w:val="007E07F2"/>
    <w:rsid w:val="007E167D"/>
    <w:rsid w:val="007E1889"/>
    <w:rsid w:val="007E1E2C"/>
    <w:rsid w:val="007E39CD"/>
    <w:rsid w:val="007E4F78"/>
    <w:rsid w:val="007E543C"/>
    <w:rsid w:val="007E5C7A"/>
    <w:rsid w:val="007E5E39"/>
    <w:rsid w:val="007E5E79"/>
    <w:rsid w:val="007E5F69"/>
    <w:rsid w:val="007E62E4"/>
    <w:rsid w:val="007E6EA8"/>
    <w:rsid w:val="007F0040"/>
    <w:rsid w:val="007F03F4"/>
    <w:rsid w:val="007F0C1B"/>
    <w:rsid w:val="007F2B15"/>
    <w:rsid w:val="007F2E3D"/>
    <w:rsid w:val="007F40B6"/>
    <w:rsid w:val="007F452E"/>
    <w:rsid w:val="007F4693"/>
    <w:rsid w:val="007F4D6C"/>
    <w:rsid w:val="007F4DE0"/>
    <w:rsid w:val="007F5766"/>
    <w:rsid w:val="007F5E0C"/>
    <w:rsid w:val="007F6734"/>
    <w:rsid w:val="007F67A4"/>
    <w:rsid w:val="007F6A71"/>
    <w:rsid w:val="007F7A1B"/>
    <w:rsid w:val="007F7F4F"/>
    <w:rsid w:val="008002AC"/>
    <w:rsid w:val="00801475"/>
    <w:rsid w:val="00802911"/>
    <w:rsid w:val="00802A8E"/>
    <w:rsid w:val="00804EE8"/>
    <w:rsid w:val="008051E8"/>
    <w:rsid w:val="00805A06"/>
    <w:rsid w:val="00805FEB"/>
    <w:rsid w:val="00806091"/>
    <w:rsid w:val="008063C5"/>
    <w:rsid w:val="00806654"/>
    <w:rsid w:val="008066D8"/>
    <w:rsid w:val="00806F52"/>
    <w:rsid w:val="008073AD"/>
    <w:rsid w:val="00807A31"/>
    <w:rsid w:val="00807F1F"/>
    <w:rsid w:val="0081099F"/>
    <w:rsid w:val="008115E4"/>
    <w:rsid w:val="008118B2"/>
    <w:rsid w:val="00812040"/>
    <w:rsid w:val="008124E6"/>
    <w:rsid w:val="00812E21"/>
    <w:rsid w:val="00813374"/>
    <w:rsid w:val="008136A3"/>
    <w:rsid w:val="008140D1"/>
    <w:rsid w:val="00814A2E"/>
    <w:rsid w:val="00814AD7"/>
    <w:rsid w:val="00814B26"/>
    <w:rsid w:val="00815897"/>
    <w:rsid w:val="00815F0A"/>
    <w:rsid w:val="00816752"/>
    <w:rsid w:val="00817191"/>
    <w:rsid w:val="00817CC9"/>
    <w:rsid w:val="00817D58"/>
    <w:rsid w:val="008201A2"/>
    <w:rsid w:val="008204D1"/>
    <w:rsid w:val="0082072D"/>
    <w:rsid w:val="0082081D"/>
    <w:rsid w:val="00820F5A"/>
    <w:rsid w:val="008217AF"/>
    <w:rsid w:val="008228F2"/>
    <w:rsid w:val="00822D67"/>
    <w:rsid w:val="00824092"/>
    <w:rsid w:val="00824CA2"/>
    <w:rsid w:val="008254D6"/>
    <w:rsid w:val="00826C9F"/>
    <w:rsid w:val="008275BB"/>
    <w:rsid w:val="00827796"/>
    <w:rsid w:val="00827CA0"/>
    <w:rsid w:val="00827EE3"/>
    <w:rsid w:val="00830143"/>
    <w:rsid w:val="00830720"/>
    <w:rsid w:val="00830881"/>
    <w:rsid w:val="0083108D"/>
    <w:rsid w:val="008311E8"/>
    <w:rsid w:val="008314F9"/>
    <w:rsid w:val="0083198D"/>
    <w:rsid w:val="00833CAA"/>
    <w:rsid w:val="0083432A"/>
    <w:rsid w:val="00835326"/>
    <w:rsid w:val="008353C5"/>
    <w:rsid w:val="008367B9"/>
    <w:rsid w:val="00836AC6"/>
    <w:rsid w:val="00836E15"/>
    <w:rsid w:val="00842F85"/>
    <w:rsid w:val="008431C6"/>
    <w:rsid w:val="008433BB"/>
    <w:rsid w:val="0084589D"/>
    <w:rsid w:val="00845BB4"/>
    <w:rsid w:val="008462EA"/>
    <w:rsid w:val="00846FD1"/>
    <w:rsid w:val="00847C0F"/>
    <w:rsid w:val="00847F2D"/>
    <w:rsid w:val="008508B0"/>
    <w:rsid w:val="00850CDE"/>
    <w:rsid w:val="008512D0"/>
    <w:rsid w:val="00851DA3"/>
    <w:rsid w:val="00851EC3"/>
    <w:rsid w:val="00851EFD"/>
    <w:rsid w:val="00852749"/>
    <w:rsid w:val="00854127"/>
    <w:rsid w:val="008541BD"/>
    <w:rsid w:val="008545CF"/>
    <w:rsid w:val="00854CE0"/>
    <w:rsid w:val="00855467"/>
    <w:rsid w:val="008558F4"/>
    <w:rsid w:val="00855C82"/>
    <w:rsid w:val="008569D1"/>
    <w:rsid w:val="00857C40"/>
    <w:rsid w:val="00857D66"/>
    <w:rsid w:val="008604B3"/>
    <w:rsid w:val="0086065E"/>
    <w:rsid w:val="00860D44"/>
    <w:rsid w:val="00861777"/>
    <w:rsid w:val="008618BC"/>
    <w:rsid w:val="008625CF"/>
    <w:rsid w:val="008631A9"/>
    <w:rsid w:val="00863B1E"/>
    <w:rsid w:val="008644AA"/>
    <w:rsid w:val="00870412"/>
    <w:rsid w:val="00870EBE"/>
    <w:rsid w:val="00871286"/>
    <w:rsid w:val="0087150C"/>
    <w:rsid w:val="008726C1"/>
    <w:rsid w:val="0087317F"/>
    <w:rsid w:val="00873244"/>
    <w:rsid w:val="00873488"/>
    <w:rsid w:val="00873586"/>
    <w:rsid w:val="00873B3D"/>
    <w:rsid w:val="008746CF"/>
    <w:rsid w:val="008747AD"/>
    <w:rsid w:val="00874831"/>
    <w:rsid w:val="00874861"/>
    <w:rsid w:val="00874E4B"/>
    <w:rsid w:val="00876C60"/>
    <w:rsid w:val="008771F7"/>
    <w:rsid w:val="00877736"/>
    <w:rsid w:val="00880506"/>
    <w:rsid w:val="0088114A"/>
    <w:rsid w:val="00881758"/>
    <w:rsid w:val="0088237B"/>
    <w:rsid w:val="00882739"/>
    <w:rsid w:val="00882863"/>
    <w:rsid w:val="00882DFA"/>
    <w:rsid w:val="0088455D"/>
    <w:rsid w:val="008854F6"/>
    <w:rsid w:val="0088566E"/>
    <w:rsid w:val="00887615"/>
    <w:rsid w:val="00890576"/>
    <w:rsid w:val="00890A11"/>
    <w:rsid w:val="008917C1"/>
    <w:rsid w:val="008919D8"/>
    <w:rsid w:val="00891C32"/>
    <w:rsid w:val="00891D81"/>
    <w:rsid w:val="00892F7A"/>
    <w:rsid w:val="0089332E"/>
    <w:rsid w:val="00893463"/>
    <w:rsid w:val="00893902"/>
    <w:rsid w:val="0089431F"/>
    <w:rsid w:val="00894DCB"/>
    <w:rsid w:val="00894FBE"/>
    <w:rsid w:val="00895B32"/>
    <w:rsid w:val="00896169"/>
    <w:rsid w:val="00896671"/>
    <w:rsid w:val="00897794"/>
    <w:rsid w:val="008A01F2"/>
    <w:rsid w:val="008A040A"/>
    <w:rsid w:val="008A059F"/>
    <w:rsid w:val="008A08FF"/>
    <w:rsid w:val="008A0B95"/>
    <w:rsid w:val="008A1712"/>
    <w:rsid w:val="008A1CF2"/>
    <w:rsid w:val="008A2622"/>
    <w:rsid w:val="008A2CAD"/>
    <w:rsid w:val="008A3788"/>
    <w:rsid w:val="008A4912"/>
    <w:rsid w:val="008A5076"/>
    <w:rsid w:val="008A5662"/>
    <w:rsid w:val="008A599D"/>
    <w:rsid w:val="008A5FF2"/>
    <w:rsid w:val="008A6976"/>
    <w:rsid w:val="008A6CBE"/>
    <w:rsid w:val="008A7EE8"/>
    <w:rsid w:val="008B0DE7"/>
    <w:rsid w:val="008B1D38"/>
    <w:rsid w:val="008B280C"/>
    <w:rsid w:val="008B304A"/>
    <w:rsid w:val="008B32A3"/>
    <w:rsid w:val="008B3F1E"/>
    <w:rsid w:val="008B3FF9"/>
    <w:rsid w:val="008B4641"/>
    <w:rsid w:val="008B5D25"/>
    <w:rsid w:val="008B6294"/>
    <w:rsid w:val="008B66EC"/>
    <w:rsid w:val="008B6D7A"/>
    <w:rsid w:val="008C0197"/>
    <w:rsid w:val="008C07D0"/>
    <w:rsid w:val="008C0B7B"/>
    <w:rsid w:val="008C0BCA"/>
    <w:rsid w:val="008C1FAE"/>
    <w:rsid w:val="008C2336"/>
    <w:rsid w:val="008C26A4"/>
    <w:rsid w:val="008C29B2"/>
    <w:rsid w:val="008C2BEA"/>
    <w:rsid w:val="008C34A9"/>
    <w:rsid w:val="008C466B"/>
    <w:rsid w:val="008C5F6D"/>
    <w:rsid w:val="008C6044"/>
    <w:rsid w:val="008C69AD"/>
    <w:rsid w:val="008C69BC"/>
    <w:rsid w:val="008C741E"/>
    <w:rsid w:val="008D081C"/>
    <w:rsid w:val="008D08A4"/>
    <w:rsid w:val="008D0F5E"/>
    <w:rsid w:val="008D0F82"/>
    <w:rsid w:val="008D17DD"/>
    <w:rsid w:val="008D1D11"/>
    <w:rsid w:val="008D5278"/>
    <w:rsid w:val="008D556A"/>
    <w:rsid w:val="008D5696"/>
    <w:rsid w:val="008D619E"/>
    <w:rsid w:val="008D6BAE"/>
    <w:rsid w:val="008E0D8F"/>
    <w:rsid w:val="008E128C"/>
    <w:rsid w:val="008E1C9B"/>
    <w:rsid w:val="008E3B40"/>
    <w:rsid w:val="008E55CE"/>
    <w:rsid w:val="008E582E"/>
    <w:rsid w:val="008E5B5E"/>
    <w:rsid w:val="008E5CC0"/>
    <w:rsid w:val="008E601C"/>
    <w:rsid w:val="008E626D"/>
    <w:rsid w:val="008E7CA7"/>
    <w:rsid w:val="008F156B"/>
    <w:rsid w:val="008F191F"/>
    <w:rsid w:val="008F2F0A"/>
    <w:rsid w:val="008F55C0"/>
    <w:rsid w:val="008F5751"/>
    <w:rsid w:val="008F5B0A"/>
    <w:rsid w:val="008F5EA9"/>
    <w:rsid w:val="008F7C2F"/>
    <w:rsid w:val="00900130"/>
    <w:rsid w:val="00901034"/>
    <w:rsid w:val="00901911"/>
    <w:rsid w:val="009024D7"/>
    <w:rsid w:val="00902520"/>
    <w:rsid w:val="0090254C"/>
    <w:rsid w:val="00902D20"/>
    <w:rsid w:val="0090353E"/>
    <w:rsid w:val="0090392D"/>
    <w:rsid w:val="00904D25"/>
    <w:rsid w:val="00904E04"/>
    <w:rsid w:val="00906450"/>
    <w:rsid w:val="009067E6"/>
    <w:rsid w:val="0090683B"/>
    <w:rsid w:val="009076C9"/>
    <w:rsid w:val="00907B80"/>
    <w:rsid w:val="00910CA5"/>
    <w:rsid w:val="00911600"/>
    <w:rsid w:val="00912854"/>
    <w:rsid w:val="0091461A"/>
    <w:rsid w:val="00915CE8"/>
    <w:rsid w:val="00916EA1"/>
    <w:rsid w:val="00916F91"/>
    <w:rsid w:val="00917CA5"/>
    <w:rsid w:val="00920A83"/>
    <w:rsid w:val="009211E9"/>
    <w:rsid w:val="00922085"/>
    <w:rsid w:val="0092319C"/>
    <w:rsid w:val="00923573"/>
    <w:rsid w:val="00923DBC"/>
    <w:rsid w:val="00924D5F"/>
    <w:rsid w:val="00925380"/>
    <w:rsid w:val="0092582C"/>
    <w:rsid w:val="00925B41"/>
    <w:rsid w:val="00925F6E"/>
    <w:rsid w:val="00926535"/>
    <w:rsid w:val="00926FCA"/>
    <w:rsid w:val="00927160"/>
    <w:rsid w:val="00927A54"/>
    <w:rsid w:val="00930568"/>
    <w:rsid w:val="0093094E"/>
    <w:rsid w:val="00931BB4"/>
    <w:rsid w:val="00932284"/>
    <w:rsid w:val="00933AF5"/>
    <w:rsid w:val="009340F4"/>
    <w:rsid w:val="00934291"/>
    <w:rsid w:val="00935AF5"/>
    <w:rsid w:val="00935B3A"/>
    <w:rsid w:val="00935EDE"/>
    <w:rsid w:val="00940C05"/>
    <w:rsid w:val="00943C7C"/>
    <w:rsid w:val="00944CB1"/>
    <w:rsid w:val="00944D93"/>
    <w:rsid w:val="00945B2A"/>
    <w:rsid w:val="00945B4F"/>
    <w:rsid w:val="00945CD7"/>
    <w:rsid w:val="00947CCD"/>
    <w:rsid w:val="00951737"/>
    <w:rsid w:val="009518B9"/>
    <w:rsid w:val="00952047"/>
    <w:rsid w:val="0095238C"/>
    <w:rsid w:val="00953021"/>
    <w:rsid w:val="009539D5"/>
    <w:rsid w:val="00954802"/>
    <w:rsid w:val="00954D23"/>
    <w:rsid w:val="00954E10"/>
    <w:rsid w:val="00955131"/>
    <w:rsid w:val="0095513A"/>
    <w:rsid w:val="00955DC9"/>
    <w:rsid w:val="00956987"/>
    <w:rsid w:val="00956C0F"/>
    <w:rsid w:val="00957CE3"/>
    <w:rsid w:val="009615C0"/>
    <w:rsid w:val="009619FB"/>
    <w:rsid w:val="00961F6F"/>
    <w:rsid w:val="00963200"/>
    <w:rsid w:val="009634A8"/>
    <w:rsid w:val="00963865"/>
    <w:rsid w:val="009647DE"/>
    <w:rsid w:val="00965BE5"/>
    <w:rsid w:val="00965D6D"/>
    <w:rsid w:val="0096721E"/>
    <w:rsid w:val="00967499"/>
    <w:rsid w:val="009678C6"/>
    <w:rsid w:val="009678CB"/>
    <w:rsid w:val="00967A83"/>
    <w:rsid w:val="009700F7"/>
    <w:rsid w:val="00970D15"/>
    <w:rsid w:val="009717E4"/>
    <w:rsid w:val="00971861"/>
    <w:rsid w:val="00972C4F"/>
    <w:rsid w:val="00972FF8"/>
    <w:rsid w:val="00973B22"/>
    <w:rsid w:val="00974B5C"/>
    <w:rsid w:val="009763A2"/>
    <w:rsid w:val="009768B0"/>
    <w:rsid w:val="00980C1A"/>
    <w:rsid w:val="0098119B"/>
    <w:rsid w:val="0098352A"/>
    <w:rsid w:val="00983D97"/>
    <w:rsid w:val="0098535F"/>
    <w:rsid w:val="00985785"/>
    <w:rsid w:val="0098653C"/>
    <w:rsid w:val="009865D9"/>
    <w:rsid w:val="00986D20"/>
    <w:rsid w:val="00986D76"/>
    <w:rsid w:val="00987FCC"/>
    <w:rsid w:val="0099002E"/>
    <w:rsid w:val="00990FCB"/>
    <w:rsid w:val="00992ADB"/>
    <w:rsid w:val="009937FC"/>
    <w:rsid w:val="00995784"/>
    <w:rsid w:val="009957F2"/>
    <w:rsid w:val="0099634D"/>
    <w:rsid w:val="00997714"/>
    <w:rsid w:val="009A0F2E"/>
    <w:rsid w:val="009A23D1"/>
    <w:rsid w:val="009A2623"/>
    <w:rsid w:val="009A26B4"/>
    <w:rsid w:val="009A2CA5"/>
    <w:rsid w:val="009A36C9"/>
    <w:rsid w:val="009A3F4F"/>
    <w:rsid w:val="009A41E9"/>
    <w:rsid w:val="009A4CB1"/>
    <w:rsid w:val="009A5014"/>
    <w:rsid w:val="009A58D9"/>
    <w:rsid w:val="009A66B4"/>
    <w:rsid w:val="009A6F18"/>
    <w:rsid w:val="009B09B6"/>
    <w:rsid w:val="009B0EBD"/>
    <w:rsid w:val="009B1893"/>
    <w:rsid w:val="009B24A4"/>
    <w:rsid w:val="009B2621"/>
    <w:rsid w:val="009B34E3"/>
    <w:rsid w:val="009B38A3"/>
    <w:rsid w:val="009B44FE"/>
    <w:rsid w:val="009B50F1"/>
    <w:rsid w:val="009B5107"/>
    <w:rsid w:val="009B6D2B"/>
    <w:rsid w:val="009C0007"/>
    <w:rsid w:val="009C0924"/>
    <w:rsid w:val="009C2A4C"/>
    <w:rsid w:val="009C2CB0"/>
    <w:rsid w:val="009C3B75"/>
    <w:rsid w:val="009C3E28"/>
    <w:rsid w:val="009C4064"/>
    <w:rsid w:val="009C434F"/>
    <w:rsid w:val="009C43F3"/>
    <w:rsid w:val="009C4AC7"/>
    <w:rsid w:val="009C4CE2"/>
    <w:rsid w:val="009C4FC4"/>
    <w:rsid w:val="009C6373"/>
    <w:rsid w:val="009C7251"/>
    <w:rsid w:val="009C7D4B"/>
    <w:rsid w:val="009D037F"/>
    <w:rsid w:val="009D076A"/>
    <w:rsid w:val="009D108B"/>
    <w:rsid w:val="009D194F"/>
    <w:rsid w:val="009D1F58"/>
    <w:rsid w:val="009D24BE"/>
    <w:rsid w:val="009D2930"/>
    <w:rsid w:val="009D2AE5"/>
    <w:rsid w:val="009D2CF3"/>
    <w:rsid w:val="009D37F9"/>
    <w:rsid w:val="009D3921"/>
    <w:rsid w:val="009D3AE8"/>
    <w:rsid w:val="009D3CBC"/>
    <w:rsid w:val="009D47EF"/>
    <w:rsid w:val="009D4AD8"/>
    <w:rsid w:val="009D4B56"/>
    <w:rsid w:val="009D4C64"/>
    <w:rsid w:val="009D5C59"/>
    <w:rsid w:val="009D6C33"/>
    <w:rsid w:val="009D7108"/>
    <w:rsid w:val="009D7273"/>
    <w:rsid w:val="009D773E"/>
    <w:rsid w:val="009D7C39"/>
    <w:rsid w:val="009E0981"/>
    <w:rsid w:val="009E0D44"/>
    <w:rsid w:val="009E114C"/>
    <w:rsid w:val="009E230A"/>
    <w:rsid w:val="009E30CC"/>
    <w:rsid w:val="009E3C16"/>
    <w:rsid w:val="009E4D7C"/>
    <w:rsid w:val="009E4DD0"/>
    <w:rsid w:val="009E5F04"/>
    <w:rsid w:val="009E7B97"/>
    <w:rsid w:val="009F00F6"/>
    <w:rsid w:val="009F09F3"/>
    <w:rsid w:val="009F0E84"/>
    <w:rsid w:val="009F130C"/>
    <w:rsid w:val="009F2D54"/>
    <w:rsid w:val="009F2F92"/>
    <w:rsid w:val="009F3395"/>
    <w:rsid w:val="009F4163"/>
    <w:rsid w:val="009F50DD"/>
    <w:rsid w:val="009F6DDF"/>
    <w:rsid w:val="009F70B8"/>
    <w:rsid w:val="00A009B3"/>
    <w:rsid w:val="00A00C92"/>
    <w:rsid w:val="00A02691"/>
    <w:rsid w:val="00A03272"/>
    <w:rsid w:val="00A06AAB"/>
    <w:rsid w:val="00A0758E"/>
    <w:rsid w:val="00A0783C"/>
    <w:rsid w:val="00A078F5"/>
    <w:rsid w:val="00A07E1C"/>
    <w:rsid w:val="00A11238"/>
    <w:rsid w:val="00A11F67"/>
    <w:rsid w:val="00A11FCC"/>
    <w:rsid w:val="00A12825"/>
    <w:rsid w:val="00A12B21"/>
    <w:rsid w:val="00A12E36"/>
    <w:rsid w:val="00A13146"/>
    <w:rsid w:val="00A132BF"/>
    <w:rsid w:val="00A1481C"/>
    <w:rsid w:val="00A14FA1"/>
    <w:rsid w:val="00A15384"/>
    <w:rsid w:val="00A157A3"/>
    <w:rsid w:val="00A16207"/>
    <w:rsid w:val="00A163EA"/>
    <w:rsid w:val="00A1667D"/>
    <w:rsid w:val="00A16E2A"/>
    <w:rsid w:val="00A16F5C"/>
    <w:rsid w:val="00A174BA"/>
    <w:rsid w:val="00A174EE"/>
    <w:rsid w:val="00A17AD1"/>
    <w:rsid w:val="00A17E5E"/>
    <w:rsid w:val="00A200BF"/>
    <w:rsid w:val="00A202E6"/>
    <w:rsid w:val="00A2039D"/>
    <w:rsid w:val="00A20D9D"/>
    <w:rsid w:val="00A20EE7"/>
    <w:rsid w:val="00A2144C"/>
    <w:rsid w:val="00A21F65"/>
    <w:rsid w:val="00A2227D"/>
    <w:rsid w:val="00A2279E"/>
    <w:rsid w:val="00A23769"/>
    <w:rsid w:val="00A24EAE"/>
    <w:rsid w:val="00A25699"/>
    <w:rsid w:val="00A25723"/>
    <w:rsid w:val="00A25A39"/>
    <w:rsid w:val="00A25A8C"/>
    <w:rsid w:val="00A27BCB"/>
    <w:rsid w:val="00A304D0"/>
    <w:rsid w:val="00A30D97"/>
    <w:rsid w:val="00A30ED2"/>
    <w:rsid w:val="00A333A6"/>
    <w:rsid w:val="00A33719"/>
    <w:rsid w:val="00A345A7"/>
    <w:rsid w:val="00A34D0F"/>
    <w:rsid w:val="00A35B59"/>
    <w:rsid w:val="00A368B3"/>
    <w:rsid w:val="00A371EB"/>
    <w:rsid w:val="00A37219"/>
    <w:rsid w:val="00A37D42"/>
    <w:rsid w:val="00A40544"/>
    <w:rsid w:val="00A4170D"/>
    <w:rsid w:val="00A41E6F"/>
    <w:rsid w:val="00A425C1"/>
    <w:rsid w:val="00A431C0"/>
    <w:rsid w:val="00A43902"/>
    <w:rsid w:val="00A4422F"/>
    <w:rsid w:val="00A4426D"/>
    <w:rsid w:val="00A44B7E"/>
    <w:rsid w:val="00A44FDF"/>
    <w:rsid w:val="00A450A8"/>
    <w:rsid w:val="00A479D5"/>
    <w:rsid w:val="00A51227"/>
    <w:rsid w:val="00A517BD"/>
    <w:rsid w:val="00A52410"/>
    <w:rsid w:val="00A5330A"/>
    <w:rsid w:val="00A533C0"/>
    <w:rsid w:val="00A53BE0"/>
    <w:rsid w:val="00A55075"/>
    <w:rsid w:val="00A55120"/>
    <w:rsid w:val="00A55398"/>
    <w:rsid w:val="00A553A4"/>
    <w:rsid w:val="00A56520"/>
    <w:rsid w:val="00A567CB"/>
    <w:rsid w:val="00A6117A"/>
    <w:rsid w:val="00A6177D"/>
    <w:rsid w:val="00A61C04"/>
    <w:rsid w:val="00A6310C"/>
    <w:rsid w:val="00A63A13"/>
    <w:rsid w:val="00A643F8"/>
    <w:rsid w:val="00A65DD1"/>
    <w:rsid w:val="00A663EC"/>
    <w:rsid w:val="00A66E0B"/>
    <w:rsid w:val="00A6760C"/>
    <w:rsid w:val="00A70557"/>
    <w:rsid w:val="00A70C31"/>
    <w:rsid w:val="00A7104B"/>
    <w:rsid w:val="00A712CE"/>
    <w:rsid w:val="00A71DB5"/>
    <w:rsid w:val="00A729A6"/>
    <w:rsid w:val="00A7346F"/>
    <w:rsid w:val="00A74A86"/>
    <w:rsid w:val="00A74C39"/>
    <w:rsid w:val="00A75C0F"/>
    <w:rsid w:val="00A760F3"/>
    <w:rsid w:val="00A7624A"/>
    <w:rsid w:val="00A776C2"/>
    <w:rsid w:val="00A776D1"/>
    <w:rsid w:val="00A77E09"/>
    <w:rsid w:val="00A816AF"/>
    <w:rsid w:val="00A81720"/>
    <w:rsid w:val="00A818E4"/>
    <w:rsid w:val="00A82B19"/>
    <w:rsid w:val="00A83C04"/>
    <w:rsid w:val="00A83ED1"/>
    <w:rsid w:val="00A84DE6"/>
    <w:rsid w:val="00A85C63"/>
    <w:rsid w:val="00A87111"/>
    <w:rsid w:val="00A87CA6"/>
    <w:rsid w:val="00A9066E"/>
    <w:rsid w:val="00A90D15"/>
    <w:rsid w:val="00A90F3D"/>
    <w:rsid w:val="00A920A7"/>
    <w:rsid w:val="00A92878"/>
    <w:rsid w:val="00A929A2"/>
    <w:rsid w:val="00A92FE9"/>
    <w:rsid w:val="00A93DF7"/>
    <w:rsid w:val="00A94383"/>
    <w:rsid w:val="00A9448C"/>
    <w:rsid w:val="00A94545"/>
    <w:rsid w:val="00A95A20"/>
    <w:rsid w:val="00A96F32"/>
    <w:rsid w:val="00A9721B"/>
    <w:rsid w:val="00AA0635"/>
    <w:rsid w:val="00AA068C"/>
    <w:rsid w:val="00AA1412"/>
    <w:rsid w:val="00AA162D"/>
    <w:rsid w:val="00AA21C4"/>
    <w:rsid w:val="00AA2A40"/>
    <w:rsid w:val="00AA36ED"/>
    <w:rsid w:val="00AA37B5"/>
    <w:rsid w:val="00AA4737"/>
    <w:rsid w:val="00AA4899"/>
    <w:rsid w:val="00AA48B5"/>
    <w:rsid w:val="00AA5262"/>
    <w:rsid w:val="00AA5AB7"/>
    <w:rsid w:val="00AA5BE3"/>
    <w:rsid w:val="00AA77EF"/>
    <w:rsid w:val="00AB019A"/>
    <w:rsid w:val="00AB22B2"/>
    <w:rsid w:val="00AB2877"/>
    <w:rsid w:val="00AB2F06"/>
    <w:rsid w:val="00AB315D"/>
    <w:rsid w:val="00AB3E95"/>
    <w:rsid w:val="00AB54CB"/>
    <w:rsid w:val="00AB661C"/>
    <w:rsid w:val="00AB689D"/>
    <w:rsid w:val="00AB7491"/>
    <w:rsid w:val="00AB7519"/>
    <w:rsid w:val="00AB79CA"/>
    <w:rsid w:val="00AB7A7D"/>
    <w:rsid w:val="00AC0487"/>
    <w:rsid w:val="00AC1797"/>
    <w:rsid w:val="00AC1E7A"/>
    <w:rsid w:val="00AC2E6C"/>
    <w:rsid w:val="00AC4151"/>
    <w:rsid w:val="00AC5372"/>
    <w:rsid w:val="00AC656E"/>
    <w:rsid w:val="00AC6B32"/>
    <w:rsid w:val="00AC6CEC"/>
    <w:rsid w:val="00AC6EAD"/>
    <w:rsid w:val="00AC7C73"/>
    <w:rsid w:val="00AD0375"/>
    <w:rsid w:val="00AD26BD"/>
    <w:rsid w:val="00AD3A05"/>
    <w:rsid w:val="00AD3AEF"/>
    <w:rsid w:val="00AD3E0E"/>
    <w:rsid w:val="00AD50F5"/>
    <w:rsid w:val="00AD554D"/>
    <w:rsid w:val="00AD59DD"/>
    <w:rsid w:val="00AD6676"/>
    <w:rsid w:val="00AD67B3"/>
    <w:rsid w:val="00AD68C8"/>
    <w:rsid w:val="00AD6C4D"/>
    <w:rsid w:val="00AE0021"/>
    <w:rsid w:val="00AE0E2E"/>
    <w:rsid w:val="00AE1841"/>
    <w:rsid w:val="00AE2231"/>
    <w:rsid w:val="00AE2348"/>
    <w:rsid w:val="00AE24DA"/>
    <w:rsid w:val="00AE25A2"/>
    <w:rsid w:val="00AE283B"/>
    <w:rsid w:val="00AE3E0B"/>
    <w:rsid w:val="00AE4C8C"/>
    <w:rsid w:val="00AE5231"/>
    <w:rsid w:val="00AE588D"/>
    <w:rsid w:val="00AE5D50"/>
    <w:rsid w:val="00AE624F"/>
    <w:rsid w:val="00AE63E4"/>
    <w:rsid w:val="00AE6C1B"/>
    <w:rsid w:val="00AE7A44"/>
    <w:rsid w:val="00AE7B48"/>
    <w:rsid w:val="00AF007F"/>
    <w:rsid w:val="00AF1536"/>
    <w:rsid w:val="00AF1A4C"/>
    <w:rsid w:val="00AF2B90"/>
    <w:rsid w:val="00AF4A9F"/>
    <w:rsid w:val="00AF4BC0"/>
    <w:rsid w:val="00AF4CF2"/>
    <w:rsid w:val="00AF4F99"/>
    <w:rsid w:val="00AF501B"/>
    <w:rsid w:val="00AF56ED"/>
    <w:rsid w:val="00AF62F4"/>
    <w:rsid w:val="00AF6473"/>
    <w:rsid w:val="00AF7CBB"/>
    <w:rsid w:val="00AF7F4D"/>
    <w:rsid w:val="00B00065"/>
    <w:rsid w:val="00B01DF9"/>
    <w:rsid w:val="00B01EDB"/>
    <w:rsid w:val="00B028FA"/>
    <w:rsid w:val="00B03C25"/>
    <w:rsid w:val="00B04366"/>
    <w:rsid w:val="00B04490"/>
    <w:rsid w:val="00B0491A"/>
    <w:rsid w:val="00B05ECB"/>
    <w:rsid w:val="00B067AF"/>
    <w:rsid w:val="00B10129"/>
    <w:rsid w:val="00B1026B"/>
    <w:rsid w:val="00B10F2A"/>
    <w:rsid w:val="00B11B90"/>
    <w:rsid w:val="00B11D89"/>
    <w:rsid w:val="00B121C0"/>
    <w:rsid w:val="00B1252E"/>
    <w:rsid w:val="00B12FBB"/>
    <w:rsid w:val="00B13044"/>
    <w:rsid w:val="00B14455"/>
    <w:rsid w:val="00B14699"/>
    <w:rsid w:val="00B14D9F"/>
    <w:rsid w:val="00B14DB1"/>
    <w:rsid w:val="00B156B7"/>
    <w:rsid w:val="00B1585A"/>
    <w:rsid w:val="00B15F1B"/>
    <w:rsid w:val="00B16181"/>
    <w:rsid w:val="00B16D73"/>
    <w:rsid w:val="00B17BE7"/>
    <w:rsid w:val="00B204F6"/>
    <w:rsid w:val="00B21A74"/>
    <w:rsid w:val="00B21F71"/>
    <w:rsid w:val="00B22797"/>
    <w:rsid w:val="00B22D45"/>
    <w:rsid w:val="00B232E1"/>
    <w:rsid w:val="00B238C9"/>
    <w:rsid w:val="00B248C2"/>
    <w:rsid w:val="00B27178"/>
    <w:rsid w:val="00B2717C"/>
    <w:rsid w:val="00B27414"/>
    <w:rsid w:val="00B3092D"/>
    <w:rsid w:val="00B30A4B"/>
    <w:rsid w:val="00B30B15"/>
    <w:rsid w:val="00B31853"/>
    <w:rsid w:val="00B3191E"/>
    <w:rsid w:val="00B31E1E"/>
    <w:rsid w:val="00B32204"/>
    <w:rsid w:val="00B330B8"/>
    <w:rsid w:val="00B333E1"/>
    <w:rsid w:val="00B33DB2"/>
    <w:rsid w:val="00B33F8E"/>
    <w:rsid w:val="00B3407F"/>
    <w:rsid w:val="00B345D2"/>
    <w:rsid w:val="00B35148"/>
    <w:rsid w:val="00B3569F"/>
    <w:rsid w:val="00B364AD"/>
    <w:rsid w:val="00B36740"/>
    <w:rsid w:val="00B3716B"/>
    <w:rsid w:val="00B37DE4"/>
    <w:rsid w:val="00B40765"/>
    <w:rsid w:val="00B40FE7"/>
    <w:rsid w:val="00B41E4B"/>
    <w:rsid w:val="00B4365F"/>
    <w:rsid w:val="00B44A73"/>
    <w:rsid w:val="00B46EFE"/>
    <w:rsid w:val="00B473B8"/>
    <w:rsid w:val="00B5187F"/>
    <w:rsid w:val="00B52206"/>
    <w:rsid w:val="00B53D03"/>
    <w:rsid w:val="00B55359"/>
    <w:rsid w:val="00B557E1"/>
    <w:rsid w:val="00B558D1"/>
    <w:rsid w:val="00B56207"/>
    <w:rsid w:val="00B56D7A"/>
    <w:rsid w:val="00B61369"/>
    <w:rsid w:val="00B64716"/>
    <w:rsid w:val="00B649ED"/>
    <w:rsid w:val="00B64E56"/>
    <w:rsid w:val="00B64FA6"/>
    <w:rsid w:val="00B66C2B"/>
    <w:rsid w:val="00B70A6C"/>
    <w:rsid w:val="00B712BB"/>
    <w:rsid w:val="00B7175B"/>
    <w:rsid w:val="00B718C5"/>
    <w:rsid w:val="00B71ECC"/>
    <w:rsid w:val="00B72CBC"/>
    <w:rsid w:val="00B730D5"/>
    <w:rsid w:val="00B73D09"/>
    <w:rsid w:val="00B7416C"/>
    <w:rsid w:val="00B74604"/>
    <w:rsid w:val="00B757BB"/>
    <w:rsid w:val="00B75904"/>
    <w:rsid w:val="00B760E3"/>
    <w:rsid w:val="00B76FFC"/>
    <w:rsid w:val="00B7782C"/>
    <w:rsid w:val="00B80280"/>
    <w:rsid w:val="00B80B44"/>
    <w:rsid w:val="00B81F41"/>
    <w:rsid w:val="00B81FED"/>
    <w:rsid w:val="00B82263"/>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324"/>
    <w:rsid w:val="00B915B7"/>
    <w:rsid w:val="00B91C34"/>
    <w:rsid w:val="00B9224A"/>
    <w:rsid w:val="00B9228D"/>
    <w:rsid w:val="00B9249D"/>
    <w:rsid w:val="00B928A6"/>
    <w:rsid w:val="00B92B28"/>
    <w:rsid w:val="00B9378D"/>
    <w:rsid w:val="00B937CE"/>
    <w:rsid w:val="00B94C5B"/>
    <w:rsid w:val="00B94C69"/>
    <w:rsid w:val="00B966D0"/>
    <w:rsid w:val="00B97E0C"/>
    <w:rsid w:val="00BA03D4"/>
    <w:rsid w:val="00BA0EF1"/>
    <w:rsid w:val="00BA29C7"/>
    <w:rsid w:val="00BA2CE6"/>
    <w:rsid w:val="00BA3BF9"/>
    <w:rsid w:val="00BA3F9C"/>
    <w:rsid w:val="00BA5C2F"/>
    <w:rsid w:val="00BA6488"/>
    <w:rsid w:val="00BA6830"/>
    <w:rsid w:val="00BA6CA3"/>
    <w:rsid w:val="00BA6E26"/>
    <w:rsid w:val="00BA74AB"/>
    <w:rsid w:val="00BA789B"/>
    <w:rsid w:val="00BA7F0D"/>
    <w:rsid w:val="00BB0786"/>
    <w:rsid w:val="00BB0EB1"/>
    <w:rsid w:val="00BB101A"/>
    <w:rsid w:val="00BB2296"/>
    <w:rsid w:val="00BB3443"/>
    <w:rsid w:val="00BB43C3"/>
    <w:rsid w:val="00BB45B4"/>
    <w:rsid w:val="00BB53C1"/>
    <w:rsid w:val="00BB639A"/>
    <w:rsid w:val="00BB6CDC"/>
    <w:rsid w:val="00BB713F"/>
    <w:rsid w:val="00BC03DE"/>
    <w:rsid w:val="00BC2790"/>
    <w:rsid w:val="00BC3892"/>
    <w:rsid w:val="00BC4BD9"/>
    <w:rsid w:val="00BC4E9C"/>
    <w:rsid w:val="00BC58C9"/>
    <w:rsid w:val="00BC5BCB"/>
    <w:rsid w:val="00BC5F7D"/>
    <w:rsid w:val="00BC746F"/>
    <w:rsid w:val="00BD0221"/>
    <w:rsid w:val="00BD0B37"/>
    <w:rsid w:val="00BD0E48"/>
    <w:rsid w:val="00BD1225"/>
    <w:rsid w:val="00BD1CD8"/>
    <w:rsid w:val="00BD2F8E"/>
    <w:rsid w:val="00BD30D5"/>
    <w:rsid w:val="00BD3281"/>
    <w:rsid w:val="00BD538C"/>
    <w:rsid w:val="00BD59D4"/>
    <w:rsid w:val="00BD6083"/>
    <w:rsid w:val="00BD608A"/>
    <w:rsid w:val="00BD60D9"/>
    <w:rsid w:val="00BD68E0"/>
    <w:rsid w:val="00BD79ED"/>
    <w:rsid w:val="00BE04D0"/>
    <w:rsid w:val="00BE0DE5"/>
    <w:rsid w:val="00BE0F85"/>
    <w:rsid w:val="00BE16CE"/>
    <w:rsid w:val="00BE1D2C"/>
    <w:rsid w:val="00BE1F84"/>
    <w:rsid w:val="00BE270B"/>
    <w:rsid w:val="00BE4A5B"/>
    <w:rsid w:val="00BE5B39"/>
    <w:rsid w:val="00BE6456"/>
    <w:rsid w:val="00BE6784"/>
    <w:rsid w:val="00BE7CF6"/>
    <w:rsid w:val="00BF26D7"/>
    <w:rsid w:val="00BF3228"/>
    <w:rsid w:val="00BF3260"/>
    <w:rsid w:val="00BF3B1C"/>
    <w:rsid w:val="00BF4BDF"/>
    <w:rsid w:val="00BF7B0F"/>
    <w:rsid w:val="00C00816"/>
    <w:rsid w:val="00C014BE"/>
    <w:rsid w:val="00C014D1"/>
    <w:rsid w:val="00C01702"/>
    <w:rsid w:val="00C0174D"/>
    <w:rsid w:val="00C0190A"/>
    <w:rsid w:val="00C01ABD"/>
    <w:rsid w:val="00C021A4"/>
    <w:rsid w:val="00C0335F"/>
    <w:rsid w:val="00C03999"/>
    <w:rsid w:val="00C04E1F"/>
    <w:rsid w:val="00C05505"/>
    <w:rsid w:val="00C05E35"/>
    <w:rsid w:val="00C06A89"/>
    <w:rsid w:val="00C06CFB"/>
    <w:rsid w:val="00C07044"/>
    <w:rsid w:val="00C112EE"/>
    <w:rsid w:val="00C11313"/>
    <w:rsid w:val="00C11FA6"/>
    <w:rsid w:val="00C121EC"/>
    <w:rsid w:val="00C126AC"/>
    <w:rsid w:val="00C129A2"/>
    <w:rsid w:val="00C12D8D"/>
    <w:rsid w:val="00C14070"/>
    <w:rsid w:val="00C147DD"/>
    <w:rsid w:val="00C149B9"/>
    <w:rsid w:val="00C1548D"/>
    <w:rsid w:val="00C166FB"/>
    <w:rsid w:val="00C167EF"/>
    <w:rsid w:val="00C16869"/>
    <w:rsid w:val="00C16F23"/>
    <w:rsid w:val="00C17337"/>
    <w:rsid w:val="00C20444"/>
    <w:rsid w:val="00C20EBB"/>
    <w:rsid w:val="00C21065"/>
    <w:rsid w:val="00C21185"/>
    <w:rsid w:val="00C21EBC"/>
    <w:rsid w:val="00C2206E"/>
    <w:rsid w:val="00C22477"/>
    <w:rsid w:val="00C22C1A"/>
    <w:rsid w:val="00C22C27"/>
    <w:rsid w:val="00C234D3"/>
    <w:rsid w:val="00C23C53"/>
    <w:rsid w:val="00C24157"/>
    <w:rsid w:val="00C241C7"/>
    <w:rsid w:val="00C2526D"/>
    <w:rsid w:val="00C25332"/>
    <w:rsid w:val="00C2543D"/>
    <w:rsid w:val="00C26316"/>
    <w:rsid w:val="00C266D1"/>
    <w:rsid w:val="00C26F54"/>
    <w:rsid w:val="00C31B96"/>
    <w:rsid w:val="00C32BB7"/>
    <w:rsid w:val="00C33E4C"/>
    <w:rsid w:val="00C3487F"/>
    <w:rsid w:val="00C34FAA"/>
    <w:rsid w:val="00C35245"/>
    <w:rsid w:val="00C35655"/>
    <w:rsid w:val="00C357DB"/>
    <w:rsid w:val="00C37A26"/>
    <w:rsid w:val="00C41C76"/>
    <w:rsid w:val="00C41D75"/>
    <w:rsid w:val="00C4221D"/>
    <w:rsid w:val="00C426EF"/>
    <w:rsid w:val="00C427EA"/>
    <w:rsid w:val="00C4297A"/>
    <w:rsid w:val="00C432D2"/>
    <w:rsid w:val="00C43980"/>
    <w:rsid w:val="00C43A62"/>
    <w:rsid w:val="00C44A54"/>
    <w:rsid w:val="00C44B2A"/>
    <w:rsid w:val="00C44EDC"/>
    <w:rsid w:val="00C4526C"/>
    <w:rsid w:val="00C46FB0"/>
    <w:rsid w:val="00C47DE7"/>
    <w:rsid w:val="00C5095B"/>
    <w:rsid w:val="00C50AF2"/>
    <w:rsid w:val="00C51006"/>
    <w:rsid w:val="00C51B9A"/>
    <w:rsid w:val="00C520E6"/>
    <w:rsid w:val="00C521ED"/>
    <w:rsid w:val="00C522F3"/>
    <w:rsid w:val="00C536ED"/>
    <w:rsid w:val="00C539DD"/>
    <w:rsid w:val="00C541F9"/>
    <w:rsid w:val="00C543EE"/>
    <w:rsid w:val="00C543F3"/>
    <w:rsid w:val="00C55D19"/>
    <w:rsid w:val="00C56429"/>
    <w:rsid w:val="00C5693C"/>
    <w:rsid w:val="00C5783C"/>
    <w:rsid w:val="00C602AF"/>
    <w:rsid w:val="00C63703"/>
    <w:rsid w:val="00C647A6"/>
    <w:rsid w:val="00C64C37"/>
    <w:rsid w:val="00C655BE"/>
    <w:rsid w:val="00C65D0E"/>
    <w:rsid w:val="00C66156"/>
    <w:rsid w:val="00C666CD"/>
    <w:rsid w:val="00C67684"/>
    <w:rsid w:val="00C679A1"/>
    <w:rsid w:val="00C67F18"/>
    <w:rsid w:val="00C7080B"/>
    <w:rsid w:val="00C70F8D"/>
    <w:rsid w:val="00C72031"/>
    <w:rsid w:val="00C725A3"/>
    <w:rsid w:val="00C7270D"/>
    <w:rsid w:val="00C72C20"/>
    <w:rsid w:val="00C730F9"/>
    <w:rsid w:val="00C74557"/>
    <w:rsid w:val="00C75B0A"/>
    <w:rsid w:val="00C75D10"/>
    <w:rsid w:val="00C76834"/>
    <w:rsid w:val="00C76FEB"/>
    <w:rsid w:val="00C8000E"/>
    <w:rsid w:val="00C8093C"/>
    <w:rsid w:val="00C80A8B"/>
    <w:rsid w:val="00C8118D"/>
    <w:rsid w:val="00C82108"/>
    <w:rsid w:val="00C8314F"/>
    <w:rsid w:val="00C8376F"/>
    <w:rsid w:val="00C83C87"/>
    <w:rsid w:val="00C8449B"/>
    <w:rsid w:val="00C8642F"/>
    <w:rsid w:val="00C86596"/>
    <w:rsid w:val="00C876E4"/>
    <w:rsid w:val="00C87CDF"/>
    <w:rsid w:val="00C90B07"/>
    <w:rsid w:val="00C9124D"/>
    <w:rsid w:val="00C9228D"/>
    <w:rsid w:val="00C92A40"/>
    <w:rsid w:val="00C92A53"/>
    <w:rsid w:val="00C92B48"/>
    <w:rsid w:val="00C960EB"/>
    <w:rsid w:val="00C964D5"/>
    <w:rsid w:val="00CA213B"/>
    <w:rsid w:val="00CA2D27"/>
    <w:rsid w:val="00CA42C9"/>
    <w:rsid w:val="00CA4458"/>
    <w:rsid w:val="00CA4800"/>
    <w:rsid w:val="00CA48E7"/>
    <w:rsid w:val="00CA4EF5"/>
    <w:rsid w:val="00CA51B9"/>
    <w:rsid w:val="00CA5B37"/>
    <w:rsid w:val="00CA5B85"/>
    <w:rsid w:val="00CB0BC4"/>
    <w:rsid w:val="00CB1407"/>
    <w:rsid w:val="00CB2195"/>
    <w:rsid w:val="00CB2EAC"/>
    <w:rsid w:val="00CB3118"/>
    <w:rsid w:val="00CB3617"/>
    <w:rsid w:val="00CB3A12"/>
    <w:rsid w:val="00CB44DA"/>
    <w:rsid w:val="00CB495D"/>
    <w:rsid w:val="00CB5035"/>
    <w:rsid w:val="00CB512B"/>
    <w:rsid w:val="00CB52B2"/>
    <w:rsid w:val="00CB5359"/>
    <w:rsid w:val="00CB55F0"/>
    <w:rsid w:val="00CB68D8"/>
    <w:rsid w:val="00CB7DD3"/>
    <w:rsid w:val="00CC0967"/>
    <w:rsid w:val="00CC0ACB"/>
    <w:rsid w:val="00CC0CDD"/>
    <w:rsid w:val="00CC1FF4"/>
    <w:rsid w:val="00CC2777"/>
    <w:rsid w:val="00CC30B6"/>
    <w:rsid w:val="00CC4280"/>
    <w:rsid w:val="00CC552B"/>
    <w:rsid w:val="00CC642C"/>
    <w:rsid w:val="00CC65DB"/>
    <w:rsid w:val="00CC6931"/>
    <w:rsid w:val="00CC6AD5"/>
    <w:rsid w:val="00CC71B4"/>
    <w:rsid w:val="00CD00A5"/>
    <w:rsid w:val="00CD00EF"/>
    <w:rsid w:val="00CD1331"/>
    <w:rsid w:val="00CD16A3"/>
    <w:rsid w:val="00CD2D67"/>
    <w:rsid w:val="00CD31D8"/>
    <w:rsid w:val="00CD3DBB"/>
    <w:rsid w:val="00CD455C"/>
    <w:rsid w:val="00CD4E3E"/>
    <w:rsid w:val="00CD5373"/>
    <w:rsid w:val="00CD57CE"/>
    <w:rsid w:val="00CD5C53"/>
    <w:rsid w:val="00CD6005"/>
    <w:rsid w:val="00CD603B"/>
    <w:rsid w:val="00CD6131"/>
    <w:rsid w:val="00CD65CC"/>
    <w:rsid w:val="00CD686F"/>
    <w:rsid w:val="00CD6B27"/>
    <w:rsid w:val="00CD6B44"/>
    <w:rsid w:val="00CD6C7A"/>
    <w:rsid w:val="00CD728A"/>
    <w:rsid w:val="00CD75FB"/>
    <w:rsid w:val="00CE02DE"/>
    <w:rsid w:val="00CE1295"/>
    <w:rsid w:val="00CE1838"/>
    <w:rsid w:val="00CE1A55"/>
    <w:rsid w:val="00CE33C6"/>
    <w:rsid w:val="00CE3862"/>
    <w:rsid w:val="00CE393F"/>
    <w:rsid w:val="00CE41E1"/>
    <w:rsid w:val="00CE47CA"/>
    <w:rsid w:val="00CE5294"/>
    <w:rsid w:val="00CE5E7A"/>
    <w:rsid w:val="00CE6071"/>
    <w:rsid w:val="00CE7253"/>
    <w:rsid w:val="00CE7D13"/>
    <w:rsid w:val="00CF0B5D"/>
    <w:rsid w:val="00CF2621"/>
    <w:rsid w:val="00CF2EA3"/>
    <w:rsid w:val="00CF2ED6"/>
    <w:rsid w:val="00CF31D7"/>
    <w:rsid w:val="00CF3926"/>
    <w:rsid w:val="00CF3DF7"/>
    <w:rsid w:val="00CF5476"/>
    <w:rsid w:val="00CF5A08"/>
    <w:rsid w:val="00CF5FCD"/>
    <w:rsid w:val="00CF6C04"/>
    <w:rsid w:val="00CF7883"/>
    <w:rsid w:val="00CF7F9F"/>
    <w:rsid w:val="00D0085C"/>
    <w:rsid w:val="00D00BA8"/>
    <w:rsid w:val="00D00DCF"/>
    <w:rsid w:val="00D0139A"/>
    <w:rsid w:val="00D01AB1"/>
    <w:rsid w:val="00D02201"/>
    <w:rsid w:val="00D02643"/>
    <w:rsid w:val="00D03E5E"/>
    <w:rsid w:val="00D04DA6"/>
    <w:rsid w:val="00D05B8C"/>
    <w:rsid w:val="00D06725"/>
    <w:rsid w:val="00D071F2"/>
    <w:rsid w:val="00D073F9"/>
    <w:rsid w:val="00D10337"/>
    <w:rsid w:val="00D10859"/>
    <w:rsid w:val="00D10EC5"/>
    <w:rsid w:val="00D11784"/>
    <w:rsid w:val="00D1221F"/>
    <w:rsid w:val="00D126B1"/>
    <w:rsid w:val="00D13B4B"/>
    <w:rsid w:val="00D160D4"/>
    <w:rsid w:val="00D161D3"/>
    <w:rsid w:val="00D1654C"/>
    <w:rsid w:val="00D1657E"/>
    <w:rsid w:val="00D16E24"/>
    <w:rsid w:val="00D2013B"/>
    <w:rsid w:val="00D207F5"/>
    <w:rsid w:val="00D20DE3"/>
    <w:rsid w:val="00D21072"/>
    <w:rsid w:val="00D21526"/>
    <w:rsid w:val="00D2153B"/>
    <w:rsid w:val="00D21691"/>
    <w:rsid w:val="00D2187E"/>
    <w:rsid w:val="00D21F51"/>
    <w:rsid w:val="00D226A5"/>
    <w:rsid w:val="00D22BCC"/>
    <w:rsid w:val="00D25868"/>
    <w:rsid w:val="00D25AD0"/>
    <w:rsid w:val="00D25B75"/>
    <w:rsid w:val="00D25EBB"/>
    <w:rsid w:val="00D26B05"/>
    <w:rsid w:val="00D26BE3"/>
    <w:rsid w:val="00D26FC1"/>
    <w:rsid w:val="00D27A2D"/>
    <w:rsid w:val="00D31956"/>
    <w:rsid w:val="00D31B91"/>
    <w:rsid w:val="00D32B06"/>
    <w:rsid w:val="00D32D41"/>
    <w:rsid w:val="00D335DA"/>
    <w:rsid w:val="00D33766"/>
    <w:rsid w:val="00D33996"/>
    <w:rsid w:val="00D34711"/>
    <w:rsid w:val="00D34779"/>
    <w:rsid w:val="00D35050"/>
    <w:rsid w:val="00D352DB"/>
    <w:rsid w:val="00D3534A"/>
    <w:rsid w:val="00D35B32"/>
    <w:rsid w:val="00D36556"/>
    <w:rsid w:val="00D36B7F"/>
    <w:rsid w:val="00D36C82"/>
    <w:rsid w:val="00D372E1"/>
    <w:rsid w:val="00D40100"/>
    <w:rsid w:val="00D40C39"/>
    <w:rsid w:val="00D41F92"/>
    <w:rsid w:val="00D429F0"/>
    <w:rsid w:val="00D42C8C"/>
    <w:rsid w:val="00D45057"/>
    <w:rsid w:val="00D45EFC"/>
    <w:rsid w:val="00D4654F"/>
    <w:rsid w:val="00D467EF"/>
    <w:rsid w:val="00D50196"/>
    <w:rsid w:val="00D51B97"/>
    <w:rsid w:val="00D523B3"/>
    <w:rsid w:val="00D52DA8"/>
    <w:rsid w:val="00D54942"/>
    <w:rsid w:val="00D54F7E"/>
    <w:rsid w:val="00D55E24"/>
    <w:rsid w:val="00D56336"/>
    <w:rsid w:val="00D56FAE"/>
    <w:rsid w:val="00D5718E"/>
    <w:rsid w:val="00D5771F"/>
    <w:rsid w:val="00D577B2"/>
    <w:rsid w:val="00D604ED"/>
    <w:rsid w:val="00D60F10"/>
    <w:rsid w:val="00D62BF4"/>
    <w:rsid w:val="00D634FD"/>
    <w:rsid w:val="00D64314"/>
    <w:rsid w:val="00D64567"/>
    <w:rsid w:val="00D646D8"/>
    <w:rsid w:val="00D659FA"/>
    <w:rsid w:val="00D65D3B"/>
    <w:rsid w:val="00D665F6"/>
    <w:rsid w:val="00D67EBE"/>
    <w:rsid w:val="00D7039D"/>
    <w:rsid w:val="00D704B0"/>
    <w:rsid w:val="00D7100F"/>
    <w:rsid w:val="00D7161A"/>
    <w:rsid w:val="00D72EF0"/>
    <w:rsid w:val="00D73215"/>
    <w:rsid w:val="00D744BC"/>
    <w:rsid w:val="00D74D73"/>
    <w:rsid w:val="00D75C55"/>
    <w:rsid w:val="00D76B29"/>
    <w:rsid w:val="00D76D98"/>
    <w:rsid w:val="00D77AFA"/>
    <w:rsid w:val="00D77FB1"/>
    <w:rsid w:val="00D8046D"/>
    <w:rsid w:val="00D80A35"/>
    <w:rsid w:val="00D81ADE"/>
    <w:rsid w:val="00D81D7C"/>
    <w:rsid w:val="00D821D2"/>
    <w:rsid w:val="00D83CCD"/>
    <w:rsid w:val="00D83D28"/>
    <w:rsid w:val="00D83E8F"/>
    <w:rsid w:val="00D83FF1"/>
    <w:rsid w:val="00D84F9E"/>
    <w:rsid w:val="00D870A5"/>
    <w:rsid w:val="00D87136"/>
    <w:rsid w:val="00D907F5"/>
    <w:rsid w:val="00D917FD"/>
    <w:rsid w:val="00D9264F"/>
    <w:rsid w:val="00D92F8A"/>
    <w:rsid w:val="00D93379"/>
    <w:rsid w:val="00D969D1"/>
    <w:rsid w:val="00DA0302"/>
    <w:rsid w:val="00DA0369"/>
    <w:rsid w:val="00DA0496"/>
    <w:rsid w:val="00DA07DE"/>
    <w:rsid w:val="00DA0BED"/>
    <w:rsid w:val="00DA1E08"/>
    <w:rsid w:val="00DA2047"/>
    <w:rsid w:val="00DA26AA"/>
    <w:rsid w:val="00DA326C"/>
    <w:rsid w:val="00DA36FD"/>
    <w:rsid w:val="00DA3EC7"/>
    <w:rsid w:val="00DA5430"/>
    <w:rsid w:val="00DA5854"/>
    <w:rsid w:val="00DA62D6"/>
    <w:rsid w:val="00DA64AB"/>
    <w:rsid w:val="00DA675A"/>
    <w:rsid w:val="00DA6C90"/>
    <w:rsid w:val="00DA73A2"/>
    <w:rsid w:val="00DB0865"/>
    <w:rsid w:val="00DB119D"/>
    <w:rsid w:val="00DB1B65"/>
    <w:rsid w:val="00DB1CDB"/>
    <w:rsid w:val="00DB2DF4"/>
    <w:rsid w:val="00DB4D7C"/>
    <w:rsid w:val="00DB5213"/>
    <w:rsid w:val="00DB5749"/>
    <w:rsid w:val="00DB5BB9"/>
    <w:rsid w:val="00DB6038"/>
    <w:rsid w:val="00DB60AF"/>
    <w:rsid w:val="00DB64AD"/>
    <w:rsid w:val="00DB6BD9"/>
    <w:rsid w:val="00DB6C95"/>
    <w:rsid w:val="00DB6C9F"/>
    <w:rsid w:val="00DB7AD6"/>
    <w:rsid w:val="00DB7B8B"/>
    <w:rsid w:val="00DC157B"/>
    <w:rsid w:val="00DC287C"/>
    <w:rsid w:val="00DC2B68"/>
    <w:rsid w:val="00DC34D4"/>
    <w:rsid w:val="00DC3674"/>
    <w:rsid w:val="00DC5581"/>
    <w:rsid w:val="00DC674C"/>
    <w:rsid w:val="00DC7452"/>
    <w:rsid w:val="00DD05FF"/>
    <w:rsid w:val="00DD06EF"/>
    <w:rsid w:val="00DD0B9D"/>
    <w:rsid w:val="00DD0D00"/>
    <w:rsid w:val="00DD0DCA"/>
    <w:rsid w:val="00DD2CAD"/>
    <w:rsid w:val="00DD2CE7"/>
    <w:rsid w:val="00DD3370"/>
    <w:rsid w:val="00DD376D"/>
    <w:rsid w:val="00DD4286"/>
    <w:rsid w:val="00DD4383"/>
    <w:rsid w:val="00DD43B9"/>
    <w:rsid w:val="00DD4F6F"/>
    <w:rsid w:val="00DD7853"/>
    <w:rsid w:val="00DE1399"/>
    <w:rsid w:val="00DE1CDF"/>
    <w:rsid w:val="00DE1EBB"/>
    <w:rsid w:val="00DE2F78"/>
    <w:rsid w:val="00DE2FA9"/>
    <w:rsid w:val="00DE35EE"/>
    <w:rsid w:val="00DE39C4"/>
    <w:rsid w:val="00DE3C25"/>
    <w:rsid w:val="00DE3CF2"/>
    <w:rsid w:val="00DE419F"/>
    <w:rsid w:val="00DE44F7"/>
    <w:rsid w:val="00DE462E"/>
    <w:rsid w:val="00DE5652"/>
    <w:rsid w:val="00DE66F2"/>
    <w:rsid w:val="00DF0D48"/>
    <w:rsid w:val="00DF1FD2"/>
    <w:rsid w:val="00DF2C55"/>
    <w:rsid w:val="00DF3D68"/>
    <w:rsid w:val="00DF4C1E"/>
    <w:rsid w:val="00DF5151"/>
    <w:rsid w:val="00DF5373"/>
    <w:rsid w:val="00DF5BE1"/>
    <w:rsid w:val="00DF64FF"/>
    <w:rsid w:val="00E00F29"/>
    <w:rsid w:val="00E01129"/>
    <w:rsid w:val="00E01201"/>
    <w:rsid w:val="00E01C52"/>
    <w:rsid w:val="00E024A7"/>
    <w:rsid w:val="00E02E63"/>
    <w:rsid w:val="00E05F28"/>
    <w:rsid w:val="00E06D35"/>
    <w:rsid w:val="00E07F5E"/>
    <w:rsid w:val="00E1018C"/>
    <w:rsid w:val="00E118CC"/>
    <w:rsid w:val="00E12149"/>
    <w:rsid w:val="00E132AD"/>
    <w:rsid w:val="00E13809"/>
    <w:rsid w:val="00E1431C"/>
    <w:rsid w:val="00E14521"/>
    <w:rsid w:val="00E14850"/>
    <w:rsid w:val="00E171E9"/>
    <w:rsid w:val="00E171F6"/>
    <w:rsid w:val="00E20BCE"/>
    <w:rsid w:val="00E20F38"/>
    <w:rsid w:val="00E2104A"/>
    <w:rsid w:val="00E22CE6"/>
    <w:rsid w:val="00E233DE"/>
    <w:rsid w:val="00E2443B"/>
    <w:rsid w:val="00E2487A"/>
    <w:rsid w:val="00E25255"/>
    <w:rsid w:val="00E252B2"/>
    <w:rsid w:val="00E25481"/>
    <w:rsid w:val="00E25483"/>
    <w:rsid w:val="00E256F5"/>
    <w:rsid w:val="00E259B8"/>
    <w:rsid w:val="00E261EE"/>
    <w:rsid w:val="00E27141"/>
    <w:rsid w:val="00E27F67"/>
    <w:rsid w:val="00E316DD"/>
    <w:rsid w:val="00E318EE"/>
    <w:rsid w:val="00E3316D"/>
    <w:rsid w:val="00E36A5F"/>
    <w:rsid w:val="00E404D3"/>
    <w:rsid w:val="00E410BA"/>
    <w:rsid w:val="00E4118B"/>
    <w:rsid w:val="00E41762"/>
    <w:rsid w:val="00E41A8B"/>
    <w:rsid w:val="00E41F1E"/>
    <w:rsid w:val="00E42601"/>
    <w:rsid w:val="00E43696"/>
    <w:rsid w:val="00E45359"/>
    <w:rsid w:val="00E45626"/>
    <w:rsid w:val="00E45EEA"/>
    <w:rsid w:val="00E4631A"/>
    <w:rsid w:val="00E46AEE"/>
    <w:rsid w:val="00E46C04"/>
    <w:rsid w:val="00E4769F"/>
    <w:rsid w:val="00E47A93"/>
    <w:rsid w:val="00E50C5D"/>
    <w:rsid w:val="00E50EBA"/>
    <w:rsid w:val="00E51114"/>
    <w:rsid w:val="00E512ED"/>
    <w:rsid w:val="00E51558"/>
    <w:rsid w:val="00E51595"/>
    <w:rsid w:val="00E534C8"/>
    <w:rsid w:val="00E541A0"/>
    <w:rsid w:val="00E56602"/>
    <w:rsid w:val="00E56D48"/>
    <w:rsid w:val="00E5799C"/>
    <w:rsid w:val="00E60F41"/>
    <w:rsid w:val="00E61F35"/>
    <w:rsid w:val="00E61FB6"/>
    <w:rsid w:val="00E62B88"/>
    <w:rsid w:val="00E6329E"/>
    <w:rsid w:val="00E63861"/>
    <w:rsid w:val="00E63881"/>
    <w:rsid w:val="00E6464E"/>
    <w:rsid w:val="00E6512C"/>
    <w:rsid w:val="00E663B5"/>
    <w:rsid w:val="00E66EE1"/>
    <w:rsid w:val="00E675A2"/>
    <w:rsid w:val="00E67E41"/>
    <w:rsid w:val="00E70007"/>
    <w:rsid w:val="00E70552"/>
    <w:rsid w:val="00E70838"/>
    <w:rsid w:val="00E7161A"/>
    <w:rsid w:val="00E71681"/>
    <w:rsid w:val="00E71AE5"/>
    <w:rsid w:val="00E72586"/>
    <w:rsid w:val="00E72682"/>
    <w:rsid w:val="00E734C9"/>
    <w:rsid w:val="00E73D82"/>
    <w:rsid w:val="00E73FD9"/>
    <w:rsid w:val="00E801B6"/>
    <w:rsid w:val="00E80CF8"/>
    <w:rsid w:val="00E816C9"/>
    <w:rsid w:val="00E817DA"/>
    <w:rsid w:val="00E81D4B"/>
    <w:rsid w:val="00E83271"/>
    <w:rsid w:val="00E83AEE"/>
    <w:rsid w:val="00E84406"/>
    <w:rsid w:val="00E8473D"/>
    <w:rsid w:val="00E8484E"/>
    <w:rsid w:val="00E849E3"/>
    <w:rsid w:val="00E84A78"/>
    <w:rsid w:val="00E86053"/>
    <w:rsid w:val="00E86097"/>
    <w:rsid w:val="00E86566"/>
    <w:rsid w:val="00E867CC"/>
    <w:rsid w:val="00E86987"/>
    <w:rsid w:val="00E86E65"/>
    <w:rsid w:val="00E87129"/>
    <w:rsid w:val="00E87130"/>
    <w:rsid w:val="00E91EBC"/>
    <w:rsid w:val="00E92D94"/>
    <w:rsid w:val="00E9398B"/>
    <w:rsid w:val="00E93AA4"/>
    <w:rsid w:val="00E942B7"/>
    <w:rsid w:val="00E94F81"/>
    <w:rsid w:val="00E952F3"/>
    <w:rsid w:val="00E95A72"/>
    <w:rsid w:val="00E95A93"/>
    <w:rsid w:val="00E965B8"/>
    <w:rsid w:val="00E96746"/>
    <w:rsid w:val="00E9698C"/>
    <w:rsid w:val="00E975FC"/>
    <w:rsid w:val="00EA02C5"/>
    <w:rsid w:val="00EA06C2"/>
    <w:rsid w:val="00EA0800"/>
    <w:rsid w:val="00EA0B57"/>
    <w:rsid w:val="00EA1072"/>
    <w:rsid w:val="00EA2AE8"/>
    <w:rsid w:val="00EA415F"/>
    <w:rsid w:val="00EA46E3"/>
    <w:rsid w:val="00EA4999"/>
    <w:rsid w:val="00EA513C"/>
    <w:rsid w:val="00EA576B"/>
    <w:rsid w:val="00EA5D05"/>
    <w:rsid w:val="00EA7670"/>
    <w:rsid w:val="00EB083C"/>
    <w:rsid w:val="00EB20D2"/>
    <w:rsid w:val="00EB2305"/>
    <w:rsid w:val="00EB3DE4"/>
    <w:rsid w:val="00EB4580"/>
    <w:rsid w:val="00EB4DDB"/>
    <w:rsid w:val="00EB6C2E"/>
    <w:rsid w:val="00EB79C7"/>
    <w:rsid w:val="00EB7E92"/>
    <w:rsid w:val="00EC09D7"/>
    <w:rsid w:val="00EC0A46"/>
    <w:rsid w:val="00EC1EEF"/>
    <w:rsid w:val="00EC220B"/>
    <w:rsid w:val="00EC27C1"/>
    <w:rsid w:val="00EC287D"/>
    <w:rsid w:val="00EC36C5"/>
    <w:rsid w:val="00EC3BF9"/>
    <w:rsid w:val="00EC433E"/>
    <w:rsid w:val="00EC4755"/>
    <w:rsid w:val="00EC5363"/>
    <w:rsid w:val="00EC5D20"/>
    <w:rsid w:val="00EC5DFE"/>
    <w:rsid w:val="00EC63A1"/>
    <w:rsid w:val="00EC66C4"/>
    <w:rsid w:val="00EC72AE"/>
    <w:rsid w:val="00EC7BA5"/>
    <w:rsid w:val="00EC7EB4"/>
    <w:rsid w:val="00ED0C88"/>
    <w:rsid w:val="00ED11CC"/>
    <w:rsid w:val="00ED1414"/>
    <w:rsid w:val="00ED19AB"/>
    <w:rsid w:val="00ED1EB8"/>
    <w:rsid w:val="00ED2D76"/>
    <w:rsid w:val="00ED3919"/>
    <w:rsid w:val="00ED438A"/>
    <w:rsid w:val="00ED43AC"/>
    <w:rsid w:val="00ED4DFA"/>
    <w:rsid w:val="00ED54F5"/>
    <w:rsid w:val="00ED5C9D"/>
    <w:rsid w:val="00ED78C1"/>
    <w:rsid w:val="00ED7A70"/>
    <w:rsid w:val="00ED7DA5"/>
    <w:rsid w:val="00EE0A05"/>
    <w:rsid w:val="00EE0E28"/>
    <w:rsid w:val="00EE145D"/>
    <w:rsid w:val="00EE5BEF"/>
    <w:rsid w:val="00EE646B"/>
    <w:rsid w:val="00EE6962"/>
    <w:rsid w:val="00EE6D18"/>
    <w:rsid w:val="00EE7234"/>
    <w:rsid w:val="00EE78F6"/>
    <w:rsid w:val="00EE7A29"/>
    <w:rsid w:val="00EF0D9F"/>
    <w:rsid w:val="00EF1ECC"/>
    <w:rsid w:val="00EF2B3F"/>
    <w:rsid w:val="00EF30BD"/>
    <w:rsid w:val="00EF3E73"/>
    <w:rsid w:val="00EF4F08"/>
    <w:rsid w:val="00EF5801"/>
    <w:rsid w:val="00EF63A9"/>
    <w:rsid w:val="00EF657C"/>
    <w:rsid w:val="00EF6DB2"/>
    <w:rsid w:val="00EF6F37"/>
    <w:rsid w:val="00F003BF"/>
    <w:rsid w:val="00F02DBA"/>
    <w:rsid w:val="00F0315C"/>
    <w:rsid w:val="00F0389C"/>
    <w:rsid w:val="00F04313"/>
    <w:rsid w:val="00F06086"/>
    <w:rsid w:val="00F0726F"/>
    <w:rsid w:val="00F07B12"/>
    <w:rsid w:val="00F07D69"/>
    <w:rsid w:val="00F1034D"/>
    <w:rsid w:val="00F1079F"/>
    <w:rsid w:val="00F117ED"/>
    <w:rsid w:val="00F11876"/>
    <w:rsid w:val="00F1193D"/>
    <w:rsid w:val="00F12A31"/>
    <w:rsid w:val="00F132B1"/>
    <w:rsid w:val="00F148C3"/>
    <w:rsid w:val="00F15A83"/>
    <w:rsid w:val="00F15D66"/>
    <w:rsid w:val="00F15DEB"/>
    <w:rsid w:val="00F21D22"/>
    <w:rsid w:val="00F223DB"/>
    <w:rsid w:val="00F229E1"/>
    <w:rsid w:val="00F23AB2"/>
    <w:rsid w:val="00F24BC9"/>
    <w:rsid w:val="00F25A5C"/>
    <w:rsid w:val="00F27375"/>
    <w:rsid w:val="00F27CDB"/>
    <w:rsid w:val="00F30B77"/>
    <w:rsid w:val="00F31036"/>
    <w:rsid w:val="00F311E3"/>
    <w:rsid w:val="00F33F9D"/>
    <w:rsid w:val="00F34B11"/>
    <w:rsid w:val="00F35399"/>
    <w:rsid w:val="00F37298"/>
    <w:rsid w:val="00F373EB"/>
    <w:rsid w:val="00F37861"/>
    <w:rsid w:val="00F37BD3"/>
    <w:rsid w:val="00F4040B"/>
    <w:rsid w:val="00F420A1"/>
    <w:rsid w:val="00F4354F"/>
    <w:rsid w:val="00F43732"/>
    <w:rsid w:val="00F4397B"/>
    <w:rsid w:val="00F439B0"/>
    <w:rsid w:val="00F43E2A"/>
    <w:rsid w:val="00F45152"/>
    <w:rsid w:val="00F45668"/>
    <w:rsid w:val="00F45BAE"/>
    <w:rsid w:val="00F460E0"/>
    <w:rsid w:val="00F46E79"/>
    <w:rsid w:val="00F47254"/>
    <w:rsid w:val="00F47378"/>
    <w:rsid w:val="00F47678"/>
    <w:rsid w:val="00F50CDA"/>
    <w:rsid w:val="00F50D4E"/>
    <w:rsid w:val="00F50E87"/>
    <w:rsid w:val="00F52610"/>
    <w:rsid w:val="00F52876"/>
    <w:rsid w:val="00F52B6A"/>
    <w:rsid w:val="00F52CA0"/>
    <w:rsid w:val="00F52FA7"/>
    <w:rsid w:val="00F5316C"/>
    <w:rsid w:val="00F53389"/>
    <w:rsid w:val="00F542C1"/>
    <w:rsid w:val="00F5457A"/>
    <w:rsid w:val="00F547D0"/>
    <w:rsid w:val="00F557D6"/>
    <w:rsid w:val="00F558AF"/>
    <w:rsid w:val="00F558F7"/>
    <w:rsid w:val="00F559D8"/>
    <w:rsid w:val="00F55A60"/>
    <w:rsid w:val="00F56354"/>
    <w:rsid w:val="00F57267"/>
    <w:rsid w:val="00F57E43"/>
    <w:rsid w:val="00F610F8"/>
    <w:rsid w:val="00F61966"/>
    <w:rsid w:val="00F621E0"/>
    <w:rsid w:val="00F623EA"/>
    <w:rsid w:val="00F628A5"/>
    <w:rsid w:val="00F62992"/>
    <w:rsid w:val="00F63194"/>
    <w:rsid w:val="00F636F2"/>
    <w:rsid w:val="00F6382A"/>
    <w:rsid w:val="00F6395E"/>
    <w:rsid w:val="00F640AA"/>
    <w:rsid w:val="00F64BD2"/>
    <w:rsid w:val="00F64DCE"/>
    <w:rsid w:val="00F6516C"/>
    <w:rsid w:val="00F654ED"/>
    <w:rsid w:val="00F65F9E"/>
    <w:rsid w:val="00F6618C"/>
    <w:rsid w:val="00F66653"/>
    <w:rsid w:val="00F6725A"/>
    <w:rsid w:val="00F67A29"/>
    <w:rsid w:val="00F67DA6"/>
    <w:rsid w:val="00F702EB"/>
    <w:rsid w:val="00F70380"/>
    <w:rsid w:val="00F708ED"/>
    <w:rsid w:val="00F710D6"/>
    <w:rsid w:val="00F717E1"/>
    <w:rsid w:val="00F71D7D"/>
    <w:rsid w:val="00F72BDF"/>
    <w:rsid w:val="00F72EB3"/>
    <w:rsid w:val="00F73321"/>
    <w:rsid w:val="00F735A7"/>
    <w:rsid w:val="00F74441"/>
    <w:rsid w:val="00F745D9"/>
    <w:rsid w:val="00F75D17"/>
    <w:rsid w:val="00F76BB3"/>
    <w:rsid w:val="00F76D4E"/>
    <w:rsid w:val="00F772DA"/>
    <w:rsid w:val="00F7781E"/>
    <w:rsid w:val="00F81708"/>
    <w:rsid w:val="00F81F1D"/>
    <w:rsid w:val="00F82D68"/>
    <w:rsid w:val="00F8304F"/>
    <w:rsid w:val="00F847B5"/>
    <w:rsid w:val="00F85DFD"/>
    <w:rsid w:val="00F868BC"/>
    <w:rsid w:val="00F871F5"/>
    <w:rsid w:val="00F875DE"/>
    <w:rsid w:val="00F879B1"/>
    <w:rsid w:val="00F90D95"/>
    <w:rsid w:val="00F90F9D"/>
    <w:rsid w:val="00F91054"/>
    <w:rsid w:val="00F92653"/>
    <w:rsid w:val="00F92C69"/>
    <w:rsid w:val="00F9332E"/>
    <w:rsid w:val="00F94962"/>
    <w:rsid w:val="00F9521E"/>
    <w:rsid w:val="00F95E15"/>
    <w:rsid w:val="00F961DD"/>
    <w:rsid w:val="00F97015"/>
    <w:rsid w:val="00F9746E"/>
    <w:rsid w:val="00F974A9"/>
    <w:rsid w:val="00FA03B6"/>
    <w:rsid w:val="00FA1144"/>
    <w:rsid w:val="00FA1629"/>
    <w:rsid w:val="00FA226B"/>
    <w:rsid w:val="00FA2DC5"/>
    <w:rsid w:val="00FA33D9"/>
    <w:rsid w:val="00FA3486"/>
    <w:rsid w:val="00FA36DB"/>
    <w:rsid w:val="00FA429A"/>
    <w:rsid w:val="00FA4D82"/>
    <w:rsid w:val="00FA528E"/>
    <w:rsid w:val="00FA52E7"/>
    <w:rsid w:val="00FA5DD2"/>
    <w:rsid w:val="00FA63FC"/>
    <w:rsid w:val="00FA70D4"/>
    <w:rsid w:val="00FB092A"/>
    <w:rsid w:val="00FB0BC2"/>
    <w:rsid w:val="00FB2F90"/>
    <w:rsid w:val="00FB308E"/>
    <w:rsid w:val="00FB32D4"/>
    <w:rsid w:val="00FB3461"/>
    <w:rsid w:val="00FB48FD"/>
    <w:rsid w:val="00FB5CA3"/>
    <w:rsid w:val="00FC006A"/>
    <w:rsid w:val="00FC0F20"/>
    <w:rsid w:val="00FC12B5"/>
    <w:rsid w:val="00FC1882"/>
    <w:rsid w:val="00FC1AD6"/>
    <w:rsid w:val="00FC1C2D"/>
    <w:rsid w:val="00FC258D"/>
    <w:rsid w:val="00FC27E6"/>
    <w:rsid w:val="00FC2803"/>
    <w:rsid w:val="00FC29AD"/>
    <w:rsid w:val="00FC2B2D"/>
    <w:rsid w:val="00FC2CDB"/>
    <w:rsid w:val="00FC3263"/>
    <w:rsid w:val="00FC3633"/>
    <w:rsid w:val="00FC3A48"/>
    <w:rsid w:val="00FC49C1"/>
    <w:rsid w:val="00FC5058"/>
    <w:rsid w:val="00FC54B8"/>
    <w:rsid w:val="00FC735E"/>
    <w:rsid w:val="00FC7F42"/>
    <w:rsid w:val="00FD0883"/>
    <w:rsid w:val="00FD0CEF"/>
    <w:rsid w:val="00FD1263"/>
    <w:rsid w:val="00FD1EA4"/>
    <w:rsid w:val="00FD273B"/>
    <w:rsid w:val="00FD2B18"/>
    <w:rsid w:val="00FD34B2"/>
    <w:rsid w:val="00FD350C"/>
    <w:rsid w:val="00FD4A4B"/>
    <w:rsid w:val="00FD4B1F"/>
    <w:rsid w:val="00FD4ED0"/>
    <w:rsid w:val="00FD5D94"/>
    <w:rsid w:val="00FD65DE"/>
    <w:rsid w:val="00FD6DF2"/>
    <w:rsid w:val="00FE0D70"/>
    <w:rsid w:val="00FE1A06"/>
    <w:rsid w:val="00FE2E8D"/>
    <w:rsid w:val="00FE3738"/>
    <w:rsid w:val="00FE3ACE"/>
    <w:rsid w:val="00FE3DF9"/>
    <w:rsid w:val="00FE4F1F"/>
    <w:rsid w:val="00FE513E"/>
    <w:rsid w:val="00FE531F"/>
    <w:rsid w:val="00FE5F67"/>
    <w:rsid w:val="00FE65F9"/>
    <w:rsid w:val="00FE7764"/>
    <w:rsid w:val="00FF047B"/>
    <w:rsid w:val="00FF0F14"/>
    <w:rsid w:val="00FF177B"/>
    <w:rsid w:val="00FF249C"/>
    <w:rsid w:val="00FF2551"/>
    <w:rsid w:val="00FF2EA1"/>
    <w:rsid w:val="00FF35F6"/>
    <w:rsid w:val="00FF5786"/>
    <w:rsid w:val="00FF5C39"/>
    <w:rsid w:val="00FF5D67"/>
    <w:rsid w:val="00FF6321"/>
    <w:rsid w:val="00FF7622"/>
    <w:rsid w:val="0111462D"/>
    <w:rsid w:val="013E2FDB"/>
    <w:rsid w:val="01616F83"/>
    <w:rsid w:val="0164104B"/>
    <w:rsid w:val="01971EB7"/>
    <w:rsid w:val="01E22EEF"/>
    <w:rsid w:val="02094019"/>
    <w:rsid w:val="02180C4F"/>
    <w:rsid w:val="024876E8"/>
    <w:rsid w:val="02492844"/>
    <w:rsid w:val="025A3D10"/>
    <w:rsid w:val="025E3BC3"/>
    <w:rsid w:val="02900DDC"/>
    <w:rsid w:val="02AF3B34"/>
    <w:rsid w:val="02C6681B"/>
    <w:rsid w:val="02E0504F"/>
    <w:rsid w:val="02E97045"/>
    <w:rsid w:val="02FB6E41"/>
    <w:rsid w:val="02FE0EC8"/>
    <w:rsid w:val="02FE2FB1"/>
    <w:rsid w:val="02FE6BA3"/>
    <w:rsid w:val="033D1800"/>
    <w:rsid w:val="03451944"/>
    <w:rsid w:val="03831633"/>
    <w:rsid w:val="03927A12"/>
    <w:rsid w:val="03D92284"/>
    <w:rsid w:val="03F37898"/>
    <w:rsid w:val="03FB06D5"/>
    <w:rsid w:val="041E196E"/>
    <w:rsid w:val="045C2724"/>
    <w:rsid w:val="04655E0B"/>
    <w:rsid w:val="047A1299"/>
    <w:rsid w:val="04813B96"/>
    <w:rsid w:val="048B07CE"/>
    <w:rsid w:val="049E00CC"/>
    <w:rsid w:val="04BC7280"/>
    <w:rsid w:val="04D12E16"/>
    <w:rsid w:val="04F874BB"/>
    <w:rsid w:val="04FD01C0"/>
    <w:rsid w:val="050F3856"/>
    <w:rsid w:val="05257330"/>
    <w:rsid w:val="052C5B7B"/>
    <w:rsid w:val="054B2C9E"/>
    <w:rsid w:val="055870EF"/>
    <w:rsid w:val="055C3817"/>
    <w:rsid w:val="055E0BF4"/>
    <w:rsid w:val="05A17242"/>
    <w:rsid w:val="05E52306"/>
    <w:rsid w:val="05E84FD6"/>
    <w:rsid w:val="060474ED"/>
    <w:rsid w:val="060B2F97"/>
    <w:rsid w:val="065140AC"/>
    <w:rsid w:val="065944F7"/>
    <w:rsid w:val="066F1B2E"/>
    <w:rsid w:val="068B3680"/>
    <w:rsid w:val="06937909"/>
    <w:rsid w:val="069819C4"/>
    <w:rsid w:val="06AB62C8"/>
    <w:rsid w:val="06EE1A9E"/>
    <w:rsid w:val="073A04FC"/>
    <w:rsid w:val="0772543B"/>
    <w:rsid w:val="077305E3"/>
    <w:rsid w:val="079F4F94"/>
    <w:rsid w:val="07C55136"/>
    <w:rsid w:val="07CD0531"/>
    <w:rsid w:val="07D32C80"/>
    <w:rsid w:val="084B7E94"/>
    <w:rsid w:val="08945EAD"/>
    <w:rsid w:val="08A26053"/>
    <w:rsid w:val="08C60338"/>
    <w:rsid w:val="08D11764"/>
    <w:rsid w:val="08FA0F77"/>
    <w:rsid w:val="08FC16AD"/>
    <w:rsid w:val="093A2FA7"/>
    <w:rsid w:val="094D702C"/>
    <w:rsid w:val="096E10A3"/>
    <w:rsid w:val="09887B61"/>
    <w:rsid w:val="0A4737B7"/>
    <w:rsid w:val="0A530C57"/>
    <w:rsid w:val="0A902BC2"/>
    <w:rsid w:val="0AA315E5"/>
    <w:rsid w:val="0AC3018E"/>
    <w:rsid w:val="0AC45F0E"/>
    <w:rsid w:val="0AD7781F"/>
    <w:rsid w:val="0B242CDB"/>
    <w:rsid w:val="0B2D534F"/>
    <w:rsid w:val="0B6F66D5"/>
    <w:rsid w:val="0B7E13D6"/>
    <w:rsid w:val="0B9A0C16"/>
    <w:rsid w:val="0BBF6BB4"/>
    <w:rsid w:val="0BF12592"/>
    <w:rsid w:val="0C345EBE"/>
    <w:rsid w:val="0C556F6C"/>
    <w:rsid w:val="0C7809C1"/>
    <w:rsid w:val="0C924CB4"/>
    <w:rsid w:val="0CA2715E"/>
    <w:rsid w:val="0D4177E2"/>
    <w:rsid w:val="0D7D2F98"/>
    <w:rsid w:val="0DA05EE7"/>
    <w:rsid w:val="0E0B3EC4"/>
    <w:rsid w:val="0E7C0742"/>
    <w:rsid w:val="0ED111EF"/>
    <w:rsid w:val="0EF17197"/>
    <w:rsid w:val="0EF569A5"/>
    <w:rsid w:val="0FA44DE8"/>
    <w:rsid w:val="0FFF3EA0"/>
    <w:rsid w:val="1034478D"/>
    <w:rsid w:val="10453502"/>
    <w:rsid w:val="10BD480F"/>
    <w:rsid w:val="10D4508F"/>
    <w:rsid w:val="113A1037"/>
    <w:rsid w:val="11402131"/>
    <w:rsid w:val="11E80438"/>
    <w:rsid w:val="11EC044E"/>
    <w:rsid w:val="11FD163E"/>
    <w:rsid w:val="12144A4C"/>
    <w:rsid w:val="121D2D9A"/>
    <w:rsid w:val="12274323"/>
    <w:rsid w:val="12453F2E"/>
    <w:rsid w:val="12792853"/>
    <w:rsid w:val="128E38FC"/>
    <w:rsid w:val="13164667"/>
    <w:rsid w:val="131979D7"/>
    <w:rsid w:val="13753309"/>
    <w:rsid w:val="13FC6ADB"/>
    <w:rsid w:val="14197227"/>
    <w:rsid w:val="144676EC"/>
    <w:rsid w:val="14662DCC"/>
    <w:rsid w:val="14770036"/>
    <w:rsid w:val="14775817"/>
    <w:rsid w:val="148C24DB"/>
    <w:rsid w:val="1517452C"/>
    <w:rsid w:val="153D308F"/>
    <w:rsid w:val="15556A49"/>
    <w:rsid w:val="156C4FA6"/>
    <w:rsid w:val="15AC7ACC"/>
    <w:rsid w:val="15CF38AA"/>
    <w:rsid w:val="15D96070"/>
    <w:rsid w:val="15F202E1"/>
    <w:rsid w:val="160216D0"/>
    <w:rsid w:val="1641787C"/>
    <w:rsid w:val="16421848"/>
    <w:rsid w:val="1649653A"/>
    <w:rsid w:val="16506770"/>
    <w:rsid w:val="16860739"/>
    <w:rsid w:val="16AB203A"/>
    <w:rsid w:val="16BA5154"/>
    <w:rsid w:val="16EF0B20"/>
    <w:rsid w:val="16F82C82"/>
    <w:rsid w:val="1705389A"/>
    <w:rsid w:val="174940E7"/>
    <w:rsid w:val="17656506"/>
    <w:rsid w:val="17866A7E"/>
    <w:rsid w:val="178D354C"/>
    <w:rsid w:val="17900105"/>
    <w:rsid w:val="17A66650"/>
    <w:rsid w:val="17AB4DF9"/>
    <w:rsid w:val="17B46560"/>
    <w:rsid w:val="17D060E5"/>
    <w:rsid w:val="17EA48C1"/>
    <w:rsid w:val="180F516D"/>
    <w:rsid w:val="181949D3"/>
    <w:rsid w:val="183E69BC"/>
    <w:rsid w:val="18701E4F"/>
    <w:rsid w:val="1881346C"/>
    <w:rsid w:val="18865761"/>
    <w:rsid w:val="188F2709"/>
    <w:rsid w:val="18A0023E"/>
    <w:rsid w:val="18A349BF"/>
    <w:rsid w:val="18DE5562"/>
    <w:rsid w:val="190D4091"/>
    <w:rsid w:val="191210BC"/>
    <w:rsid w:val="19166D38"/>
    <w:rsid w:val="19334886"/>
    <w:rsid w:val="19935E0F"/>
    <w:rsid w:val="19B657B7"/>
    <w:rsid w:val="19D67B1E"/>
    <w:rsid w:val="1A0266DA"/>
    <w:rsid w:val="1AC55489"/>
    <w:rsid w:val="1AE0528E"/>
    <w:rsid w:val="1AE06440"/>
    <w:rsid w:val="1B5E62E3"/>
    <w:rsid w:val="1B7D6BF5"/>
    <w:rsid w:val="1B8A18C6"/>
    <w:rsid w:val="1BB65BCA"/>
    <w:rsid w:val="1BD310CA"/>
    <w:rsid w:val="1C3522E0"/>
    <w:rsid w:val="1C620459"/>
    <w:rsid w:val="1C7366B7"/>
    <w:rsid w:val="1C742C16"/>
    <w:rsid w:val="1C9B1BC8"/>
    <w:rsid w:val="1CBB629F"/>
    <w:rsid w:val="1D504930"/>
    <w:rsid w:val="1D5934BE"/>
    <w:rsid w:val="1D721398"/>
    <w:rsid w:val="1D7E4261"/>
    <w:rsid w:val="1DBA42CB"/>
    <w:rsid w:val="1DBA5FF1"/>
    <w:rsid w:val="1DC00253"/>
    <w:rsid w:val="1DE5004B"/>
    <w:rsid w:val="1DFD7C44"/>
    <w:rsid w:val="1E125639"/>
    <w:rsid w:val="1E36597E"/>
    <w:rsid w:val="1E44100E"/>
    <w:rsid w:val="1E8E78CB"/>
    <w:rsid w:val="1EE37CC5"/>
    <w:rsid w:val="1EEE06DE"/>
    <w:rsid w:val="1F1C0E6C"/>
    <w:rsid w:val="1F4D283F"/>
    <w:rsid w:val="1F68071B"/>
    <w:rsid w:val="1F952160"/>
    <w:rsid w:val="20435543"/>
    <w:rsid w:val="20447B27"/>
    <w:rsid w:val="207B7409"/>
    <w:rsid w:val="209E5422"/>
    <w:rsid w:val="20AB289F"/>
    <w:rsid w:val="21A03366"/>
    <w:rsid w:val="21D05464"/>
    <w:rsid w:val="21D50278"/>
    <w:rsid w:val="22385B62"/>
    <w:rsid w:val="224E3FC0"/>
    <w:rsid w:val="22694DAC"/>
    <w:rsid w:val="22750B4A"/>
    <w:rsid w:val="228A4B3B"/>
    <w:rsid w:val="229556F3"/>
    <w:rsid w:val="22970275"/>
    <w:rsid w:val="22B222DE"/>
    <w:rsid w:val="22FF71F1"/>
    <w:rsid w:val="232B3A85"/>
    <w:rsid w:val="23BB3852"/>
    <w:rsid w:val="23E62F23"/>
    <w:rsid w:val="23E67023"/>
    <w:rsid w:val="23E866AE"/>
    <w:rsid w:val="23F20546"/>
    <w:rsid w:val="241F2DE6"/>
    <w:rsid w:val="245C6B98"/>
    <w:rsid w:val="246F2C4B"/>
    <w:rsid w:val="248F7A3F"/>
    <w:rsid w:val="24A50E5D"/>
    <w:rsid w:val="24B36450"/>
    <w:rsid w:val="250C2861"/>
    <w:rsid w:val="251555D2"/>
    <w:rsid w:val="25707394"/>
    <w:rsid w:val="257B158F"/>
    <w:rsid w:val="259024CF"/>
    <w:rsid w:val="259D5E5E"/>
    <w:rsid w:val="25D9208B"/>
    <w:rsid w:val="25F00525"/>
    <w:rsid w:val="260236E8"/>
    <w:rsid w:val="260A7981"/>
    <w:rsid w:val="261F0915"/>
    <w:rsid w:val="2631662E"/>
    <w:rsid w:val="268E65FA"/>
    <w:rsid w:val="26C8032B"/>
    <w:rsid w:val="26D24959"/>
    <w:rsid w:val="270546E5"/>
    <w:rsid w:val="272B2C33"/>
    <w:rsid w:val="273D6C60"/>
    <w:rsid w:val="27505101"/>
    <w:rsid w:val="27820BC2"/>
    <w:rsid w:val="278E1A78"/>
    <w:rsid w:val="281D290F"/>
    <w:rsid w:val="28284FAF"/>
    <w:rsid w:val="28CE1560"/>
    <w:rsid w:val="291A6927"/>
    <w:rsid w:val="295E65E1"/>
    <w:rsid w:val="29AC3D11"/>
    <w:rsid w:val="29BB349C"/>
    <w:rsid w:val="29BC3A9C"/>
    <w:rsid w:val="29BF50F9"/>
    <w:rsid w:val="29CA5CE7"/>
    <w:rsid w:val="29E620B8"/>
    <w:rsid w:val="29E92621"/>
    <w:rsid w:val="2A092AB2"/>
    <w:rsid w:val="2A2F3C73"/>
    <w:rsid w:val="2A405D60"/>
    <w:rsid w:val="2A6F5AE9"/>
    <w:rsid w:val="2A7E2845"/>
    <w:rsid w:val="2A991300"/>
    <w:rsid w:val="2AD66882"/>
    <w:rsid w:val="2AE64A3A"/>
    <w:rsid w:val="2B7D1529"/>
    <w:rsid w:val="2B8A34CF"/>
    <w:rsid w:val="2BC1143E"/>
    <w:rsid w:val="2BC53C68"/>
    <w:rsid w:val="2C1C5785"/>
    <w:rsid w:val="2C2E52EB"/>
    <w:rsid w:val="2C37731C"/>
    <w:rsid w:val="2C473AA7"/>
    <w:rsid w:val="2C6447CD"/>
    <w:rsid w:val="2C982A9C"/>
    <w:rsid w:val="2CC95E97"/>
    <w:rsid w:val="2CEC10E5"/>
    <w:rsid w:val="2CEC29A9"/>
    <w:rsid w:val="2CF162E8"/>
    <w:rsid w:val="2D43118C"/>
    <w:rsid w:val="2D991B33"/>
    <w:rsid w:val="2DA3327D"/>
    <w:rsid w:val="2DE11EFF"/>
    <w:rsid w:val="2DF94778"/>
    <w:rsid w:val="2E0B420B"/>
    <w:rsid w:val="2E1C30A3"/>
    <w:rsid w:val="2E2547BF"/>
    <w:rsid w:val="2E371B1F"/>
    <w:rsid w:val="2E444D74"/>
    <w:rsid w:val="2E557187"/>
    <w:rsid w:val="2E610A85"/>
    <w:rsid w:val="2EA11B9B"/>
    <w:rsid w:val="2EB11F06"/>
    <w:rsid w:val="2EC7556C"/>
    <w:rsid w:val="2F37683A"/>
    <w:rsid w:val="2F482662"/>
    <w:rsid w:val="2F670A48"/>
    <w:rsid w:val="2FF73CC8"/>
    <w:rsid w:val="301B7149"/>
    <w:rsid w:val="306B2837"/>
    <w:rsid w:val="30B6572F"/>
    <w:rsid w:val="31195289"/>
    <w:rsid w:val="316130D9"/>
    <w:rsid w:val="318B39E1"/>
    <w:rsid w:val="31EE26C8"/>
    <w:rsid w:val="31FB698F"/>
    <w:rsid w:val="32C7765E"/>
    <w:rsid w:val="32CA2532"/>
    <w:rsid w:val="32D9029E"/>
    <w:rsid w:val="33167D45"/>
    <w:rsid w:val="338138AA"/>
    <w:rsid w:val="3387523B"/>
    <w:rsid w:val="338F122D"/>
    <w:rsid w:val="33D0688A"/>
    <w:rsid w:val="33EB3CEE"/>
    <w:rsid w:val="33F806E2"/>
    <w:rsid w:val="33FB43EF"/>
    <w:rsid w:val="34A60128"/>
    <w:rsid w:val="34AB4DE7"/>
    <w:rsid w:val="34B0337D"/>
    <w:rsid w:val="34C9605D"/>
    <w:rsid w:val="34CF5F6D"/>
    <w:rsid w:val="34DE5674"/>
    <w:rsid w:val="34E76882"/>
    <w:rsid w:val="34F31A7D"/>
    <w:rsid w:val="350F5F0C"/>
    <w:rsid w:val="352F170F"/>
    <w:rsid w:val="358D358E"/>
    <w:rsid w:val="35951CEA"/>
    <w:rsid w:val="3607373D"/>
    <w:rsid w:val="3627678C"/>
    <w:rsid w:val="36746E1E"/>
    <w:rsid w:val="368545F7"/>
    <w:rsid w:val="36F529A6"/>
    <w:rsid w:val="37332B1E"/>
    <w:rsid w:val="376161AC"/>
    <w:rsid w:val="377F1989"/>
    <w:rsid w:val="37944ABB"/>
    <w:rsid w:val="37E904B5"/>
    <w:rsid w:val="37F073E0"/>
    <w:rsid w:val="380D5581"/>
    <w:rsid w:val="38431C78"/>
    <w:rsid w:val="384D3BCD"/>
    <w:rsid w:val="3876707A"/>
    <w:rsid w:val="387E353F"/>
    <w:rsid w:val="38986E00"/>
    <w:rsid w:val="39517ED7"/>
    <w:rsid w:val="39A25A78"/>
    <w:rsid w:val="39D76AC2"/>
    <w:rsid w:val="3A231BC3"/>
    <w:rsid w:val="3AB73588"/>
    <w:rsid w:val="3ABF338F"/>
    <w:rsid w:val="3AC66615"/>
    <w:rsid w:val="3AE414BC"/>
    <w:rsid w:val="3AF42E20"/>
    <w:rsid w:val="3B11419E"/>
    <w:rsid w:val="3B222B91"/>
    <w:rsid w:val="3B7336D3"/>
    <w:rsid w:val="3BD40429"/>
    <w:rsid w:val="3BDA7257"/>
    <w:rsid w:val="3CB61F29"/>
    <w:rsid w:val="3D5D2570"/>
    <w:rsid w:val="3E226CEE"/>
    <w:rsid w:val="3EEB31F8"/>
    <w:rsid w:val="3EFC0D98"/>
    <w:rsid w:val="3F004D6D"/>
    <w:rsid w:val="3F644550"/>
    <w:rsid w:val="3F760957"/>
    <w:rsid w:val="3FC24485"/>
    <w:rsid w:val="3FEA602D"/>
    <w:rsid w:val="401B42B1"/>
    <w:rsid w:val="401D42A1"/>
    <w:rsid w:val="403861BE"/>
    <w:rsid w:val="40565757"/>
    <w:rsid w:val="405E4AB6"/>
    <w:rsid w:val="40621ACD"/>
    <w:rsid w:val="409D7069"/>
    <w:rsid w:val="40CC7B68"/>
    <w:rsid w:val="40DD7C7A"/>
    <w:rsid w:val="40E9191F"/>
    <w:rsid w:val="40FD0165"/>
    <w:rsid w:val="41650F9C"/>
    <w:rsid w:val="41795868"/>
    <w:rsid w:val="41D37604"/>
    <w:rsid w:val="41D87044"/>
    <w:rsid w:val="42004864"/>
    <w:rsid w:val="42031857"/>
    <w:rsid w:val="421477F2"/>
    <w:rsid w:val="424170A5"/>
    <w:rsid w:val="424A5077"/>
    <w:rsid w:val="426C0506"/>
    <w:rsid w:val="42790845"/>
    <w:rsid w:val="42F313D1"/>
    <w:rsid w:val="43232629"/>
    <w:rsid w:val="43863141"/>
    <w:rsid w:val="438D6D02"/>
    <w:rsid w:val="43B73360"/>
    <w:rsid w:val="44111FDC"/>
    <w:rsid w:val="444A327C"/>
    <w:rsid w:val="445115D2"/>
    <w:rsid w:val="44687AEF"/>
    <w:rsid w:val="447173A4"/>
    <w:rsid w:val="448653DA"/>
    <w:rsid w:val="44B624A9"/>
    <w:rsid w:val="45156D9D"/>
    <w:rsid w:val="455B36AC"/>
    <w:rsid w:val="45661154"/>
    <w:rsid w:val="456F42B3"/>
    <w:rsid w:val="457C6D35"/>
    <w:rsid w:val="45D17A1D"/>
    <w:rsid w:val="45E223DE"/>
    <w:rsid w:val="46064ACA"/>
    <w:rsid w:val="46113ED7"/>
    <w:rsid w:val="461E7B90"/>
    <w:rsid w:val="46335DF4"/>
    <w:rsid w:val="4641236E"/>
    <w:rsid w:val="464F5C2C"/>
    <w:rsid w:val="46983649"/>
    <w:rsid w:val="469927CB"/>
    <w:rsid w:val="46F80F9D"/>
    <w:rsid w:val="473B0685"/>
    <w:rsid w:val="47411156"/>
    <w:rsid w:val="474E34C7"/>
    <w:rsid w:val="47733101"/>
    <w:rsid w:val="477D30ED"/>
    <w:rsid w:val="478F1D61"/>
    <w:rsid w:val="47AF75A2"/>
    <w:rsid w:val="47B343B5"/>
    <w:rsid w:val="480C5B3E"/>
    <w:rsid w:val="482C4C7F"/>
    <w:rsid w:val="484C656D"/>
    <w:rsid w:val="488B166D"/>
    <w:rsid w:val="492F1990"/>
    <w:rsid w:val="497273C6"/>
    <w:rsid w:val="49C15F0C"/>
    <w:rsid w:val="49DF0631"/>
    <w:rsid w:val="49E720AA"/>
    <w:rsid w:val="49F0167A"/>
    <w:rsid w:val="4A4C084C"/>
    <w:rsid w:val="4A621E0C"/>
    <w:rsid w:val="4A7F2F26"/>
    <w:rsid w:val="4AE70D52"/>
    <w:rsid w:val="4B211FC4"/>
    <w:rsid w:val="4C051C9C"/>
    <w:rsid w:val="4C0650FC"/>
    <w:rsid w:val="4C2F48E8"/>
    <w:rsid w:val="4C4778B5"/>
    <w:rsid w:val="4C8B0BB1"/>
    <w:rsid w:val="4CA40FDA"/>
    <w:rsid w:val="4CA64769"/>
    <w:rsid w:val="4CB72CB4"/>
    <w:rsid w:val="4D0B6B9A"/>
    <w:rsid w:val="4D150661"/>
    <w:rsid w:val="4D6F0B32"/>
    <w:rsid w:val="4D960D1F"/>
    <w:rsid w:val="4DB92B07"/>
    <w:rsid w:val="4DFB3F71"/>
    <w:rsid w:val="4E224FAE"/>
    <w:rsid w:val="4E477721"/>
    <w:rsid w:val="4E8E3EB5"/>
    <w:rsid w:val="4EA973E8"/>
    <w:rsid w:val="4EAC070E"/>
    <w:rsid w:val="4EBC486E"/>
    <w:rsid w:val="4ED56123"/>
    <w:rsid w:val="4ED61F71"/>
    <w:rsid w:val="4EFF0E96"/>
    <w:rsid w:val="4F013F57"/>
    <w:rsid w:val="4F1B21F8"/>
    <w:rsid w:val="4F1E558E"/>
    <w:rsid w:val="4F5F639A"/>
    <w:rsid w:val="4F837F80"/>
    <w:rsid w:val="4FE56D34"/>
    <w:rsid w:val="50092009"/>
    <w:rsid w:val="506A05AB"/>
    <w:rsid w:val="507E195A"/>
    <w:rsid w:val="50A43F43"/>
    <w:rsid w:val="50AE5B33"/>
    <w:rsid w:val="50C529B2"/>
    <w:rsid w:val="51185ECD"/>
    <w:rsid w:val="511E40BF"/>
    <w:rsid w:val="51262B87"/>
    <w:rsid w:val="514D16F8"/>
    <w:rsid w:val="51941D86"/>
    <w:rsid w:val="51AE5717"/>
    <w:rsid w:val="51BC2454"/>
    <w:rsid w:val="51F847AA"/>
    <w:rsid w:val="52124463"/>
    <w:rsid w:val="524C6513"/>
    <w:rsid w:val="525F4609"/>
    <w:rsid w:val="52627DAB"/>
    <w:rsid w:val="52837A5D"/>
    <w:rsid w:val="52A64F17"/>
    <w:rsid w:val="531F60C5"/>
    <w:rsid w:val="53287732"/>
    <w:rsid w:val="5362686D"/>
    <w:rsid w:val="536F6135"/>
    <w:rsid w:val="53702013"/>
    <w:rsid w:val="53D90F3E"/>
    <w:rsid w:val="540E33C8"/>
    <w:rsid w:val="547406A5"/>
    <w:rsid w:val="54A10C9B"/>
    <w:rsid w:val="54B24105"/>
    <w:rsid w:val="54CA0AEC"/>
    <w:rsid w:val="54D06EEE"/>
    <w:rsid w:val="54D223B9"/>
    <w:rsid w:val="55512FE3"/>
    <w:rsid w:val="556C25ED"/>
    <w:rsid w:val="5609699A"/>
    <w:rsid w:val="561D4B51"/>
    <w:rsid w:val="56203FC0"/>
    <w:rsid w:val="56575843"/>
    <w:rsid w:val="56604A4E"/>
    <w:rsid w:val="56831FAE"/>
    <w:rsid w:val="56B2378D"/>
    <w:rsid w:val="56FE2AE4"/>
    <w:rsid w:val="570E1B7D"/>
    <w:rsid w:val="573F045B"/>
    <w:rsid w:val="57EC0711"/>
    <w:rsid w:val="57FE7917"/>
    <w:rsid w:val="580501AF"/>
    <w:rsid w:val="58074251"/>
    <w:rsid w:val="582710A3"/>
    <w:rsid w:val="58471337"/>
    <w:rsid w:val="587C19A1"/>
    <w:rsid w:val="587D13BE"/>
    <w:rsid w:val="588675EE"/>
    <w:rsid w:val="588F0FBE"/>
    <w:rsid w:val="589658F5"/>
    <w:rsid w:val="58B51639"/>
    <w:rsid w:val="58F93D16"/>
    <w:rsid w:val="591612EA"/>
    <w:rsid w:val="591D2B3F"/>
    <w:rsid w:val="5927197F"/>
    <w:rsid w:val="594F2A8B"/>
    <w:rsid w:val="59DD2FE2"/>
    <w:rsid w:val="59F1487C"/>
    <w:rsid w:val="5A0F6842"/>
    <w:rsid w:val="5A2E54EE"/>
    <w:rsid w:val="5A38730A"/>
    <w:rsid w:val="5A714436"/>
    <w:rsid w:val="5A7660D2"/>
    <w:rsid w:val="5A7D1893"/>
    <w:rsid w:val="5AA431AE"/>
    <w:rsid w:val="5AC909C4"/>
    <w:rsid w:val="5AD9194A"/>
    <w:rsid w:val="5AF65560"/>
    <w:rsid w:val="5B09650C"/>
    <w:rsid w:val="5B3074D3"/>
    <w:rsid w:val="5B4E5095"/>
    <w:rsid w:val="5B9B70CD"/>
    <w:rsid w:val="5BAE468B"/>
    <w:rsid w:val="5BBB7978"/>
    <w:rsid w:val="5BC273C6"/>
    <w:rsid w:val="5C140F59"/>
    <w:rsid w:val="5C641C23"/>
    <w:rsid w:val="5C8F06EB"/>
    <w:rsid w:val="5CD478FD"/>
    <w:rsid w:val="5D431218"/>
    <w:rsid w:val="5D4361AE"/>
    <w:rsid w:val="5D47369E"/>
    <w:rsid w:val="5DB8520C"/>
    <w:rsid w:val="5E1D0CD6"/>
    <w:rsid w:val="5E520791"/>
    <w:rsid w:val="5E535EE5"/>
    <w:rsid w:val="5E546D93"/>
    <w:rsid w:val="5E9A4386"/>
    <w:rsid w:val="5EC6593C"/>
    <w:rsid w:val="5F1763B0"/>
    <w:rsid w:val="5F195BA1"/>
    <w:rsid w:val="5F6829C1"/>
    <w:rsid w:val="5FAA1071"/>
    <w:rsid w:val="5FE923FD"/>
    <w:rsid w:val="5FF655F4"/>
    <w:rsid w:val="603551EA"/>
    <w:rsid w:val="60626EEF"/>
    <w:rsid w:val="609C299B"/>
    <w:rsid w:val="6105188D"/>
    <w:rsid w:val="610653BA"/>
    <w:rsid w:val="61065B97"/>
    <w:rsid w:val="614744E1"/>
    <w:rsid w:val="61533A4A"/>
    <w:rsid w:val="619E4E56"/>
    <w:rsid w:val="61BC2E88"/>
    <w:rsid w:val="61DF2C4E"/>
    <w:rsid w:val="620B55E2"/>
    <w:rsid w:val="621F4EBE"/>
    <w:rsid w:val="62251304"/>
    <w:rsid w:val="62445331"/>
    <w:rsid w:val="626E7AAB"/>
    <w:rsid w:val="62CF61EC"/>
    <w:rsid w:val="62F51576"/>
    <w:rsid w:val="63200B9E"/>
    <w:rsid w:val="63767625"/>
    <w:rsid w:val="63A422BC"/>
    <w:rsid w:val="63CB12B5"/>
    <w:rsid w:val="63D50725"/>
    <w:rsid w:val="63EB2CF8"/>
    <w:rsid w:val="64135595"/>
    <w:rsid w:val="643733C0"/>
    <w:rsid w:val="648963B9"/>
    <w:rsid w:val="648B35C3"/>
    <w:rsid w:val="64A311BD"/>
    <w:rsid w:val="64AA535B"/>
    <w:rsid w:val="64E92E17"/>
    <w:rsid w:val="651A2421"/>
    <w:rsid w:val="652E734E"/>
    <w:rsid w:val="654939E3"/>
    <w:rsid w:val="65632BDF"/>
    <w:rsid w:val="6572002E"/>
    <w:rsid w:val="65847907"/>
    <w:rsid w:val="65A82464"/>
    <w:rsid w:val="65B51249"/>
    <w:rsid w:val="65CC201A"/>
    <w:rsid w:val="65D01B96"/>
    <w:rsid w:val="65F42377"/>
    <w:rsid w:val="66B31BB5"/>
    <w:rsid w:val="66EF02BB"/>
    <w:rsid w:val="670648FC"/>
    <w:rsid w:val="67262DA6"/>
    <w:rsid w:val="673962AB"/>
    <w:rsid w:val="6751658F"/>
    <w:rsid w:val="67736D86"/>
    <w:rsid w:val="678847E5"/>
    <w:rsid w:val="67991B00"/>
    <w:rsid w:val="679D19E3"/>
    <w:rsid w:val="67EB6046"/>
    <w:rsid w:val="681917F7"/>
    <w:rsid w:val="68666313"/>
    <w:rsid w:val="68724A0A"/>
    <w:rsid w:val="68814B19"/>
    <w:rsid w:val="68A77392"/>
    <w:rsid w:val="68BB19BD"/>
    <w:rsid w:val="68BF374C"/>
    <w:rsid w:val="69042928"/>
    <w:rsid w:val="693E3ABF"/>
    <w:rsid w:val="69490586"/>
    <w:rsid w:val="694C465C"/>
    <w:rsid w:val="699802BD"/>
    <w:rsid w:val="699E2DBA"/>
    <w:rsid w:val="69A46E66"/>
    <w:rsid w:val="6A6A6FEF"/>
    <w:rsid w:val="6A9C6BB0"/>
    <w:rsid w:val="6AAD2347"/>
    <w:rsid w:val="6AB9398A"/>
    <w:rsid w:val="6AC00620"/>
    <w:rsid w:val="6ACB397E"/>
    <w:rsid w:val="6B5F47B0"/>
    <w:rsid w:val="6B8511B7"/>
    <w:rsid w:val="6BD97D9E"/>
    <w:rsid w:val="6BDE5FC7"/>
    <w:rsid w:val="6C402A90"/>
    <w:rsid w:val="6CF50CA9"/>
    <w:rsid w:val="6D2E0B33"/>
    <w:rsid w:val="6D3214C6"/>
    <w:rsid w:val="6D532409"/>
    <w:rsid w:val="6D915191"/>
    <w:rsid w:val="6DA06F00"/>
    <w:rsid w:val="6DA225CE"/>
    <w:rsid w:val="6DD40E51"/>
    <w:rsid w:val="6DEF41C7"/>
    <w:rsid w:val="6DFC00C1"/>
    <w:rsid w:val="6E171F06"/>
    <w:rsid w:val="6E2E04FD"/>
    <w:rsid w:val="6EA02F2B"/>
    <w:rsid w:val="6EB428FB"/>
    <w:rsid w:val="6EDC373D"/>
    <w:rsid w:val="6EFC09F4"/>
    <w:rsid w:val="6F050F96"/>
    <w:rsid w:val="6F074403"/>
    <w:rsid w:val="6F7D64EC"/>
    <w:rsid w:val="6F8517A5"/>
    <w:rsid w:val="6F9521B7"/>
    <w:rsid w:val="6FA678F9"/>
    <w:rsid w:val="6FB4571F"/>
    <w:rsid w:val="6FBC6287"/>
    <w:rsid w:val="6FF10E0F"/>
    <w:rsid w:val="6FF758AD"/>
    <w:rsid w:val="7033365E"/>
    <w:rsid w:val="703762E9"/>
    <w:rsid w:val="70481FA4"/>
    <w:rsid w:val="710A0A43"/>
    <w:rsid w:val="715F4A78"/>
    <w:rsid w:val="722E6303"/>
    <w:rsid w:val="724043FA"/>
    <w:rsid w:val="72950CCE"/>
    <w:rsid w:val="72DB02EA"/>
    <w:rsid w:val="72DE705B"/>
    <w:rsid w:val="72DF0017"/>
    <w:rsid w:val="72F33FD8"/>
    <w:rsid w:val="73122110"/>
    <w:rsid w:val="73234DCF"/>
    <w:rsid w:val="735E2495"/>
    <w:rsid w:val="7399248B"/>
    <w:rsid w:val="73BD5F0A"/>
    <w:rsid w:val="73CB516F"/>
    <w:rsid w:val="73E2490F"/>
    <w:rsid w:val="74B7754D"/>
    <w:rsid w:val="74FE30DA"/>
    <w:rsid w:val="757035C8"/>
    <w:rsid w:val="759620BF"/>
    <w:rsid w:val="759D68D9"/>
    <w:rsid w:val="75A90EF9"/>
    <w:rsid w:val="75CB444F"/>
    <w:rsid w:val="75DA131B"/>
    <w:rsid w:val="75FC49DD"/>
    <w:rsid w:val="761969EC"/>
    <w:rsid w:val="768D273A"/>
    <w:rsid w:val="77863BCF"/>
    <w:rsid w:val="779B777F"/>
    <w:rsid w:val="77A071CF"/>
    <w:rsid w:val="77F02BC5"/>
    <w:rsid w:val="780014DE"/>
    <w:rsid w:val="782177E9"/>
    <w:rsid w:val="78666DC2"/>
    <w:rsid w:val="789B22AE"/>
    <w:rsid w:val="78EB6503"/>
    <w:rsid w:val="79072C58"/>
    <w:rsid w:val="799F67F8"/>
    <w:rsid w:val="7A1F3964"/>
    <w:rsid w:val="7A4B10DA"/>
    <w:rsid w:val="7A4D4CF2"/>
    <w:rsid w:val="7A9D0F2F"/>
    <w:rsid w:val="7A9E3684"/>
    <w:rsid w:val="7AB46E49"/>
    <w:rsid w:val="7AB74D78"/>
    <w:rsid w:val="7AC96DE0"/>
    <w:rsid w:val="7AD71B1C"/>
    <w:rsid w:val="7B097656"/>
    <w:rsid w:val="7B1C773C"/>
    <w:rsid w:val="7B3F716E"/>
    <w:rsid w:val="7B4B3DB1"/>
    <w:rsid w:val="7B750978"/>
    <w:rsid w:val="7BEB5610"/>
    <w:rsid w:val="7C5B5EAD"/>
    <w:rsid w:val="7C7B5D10"/>
    <w:rsid w:val="7C8F38AA"/>
    <w:rsid w:val="7C9B39A9"/>
    <w:rsid w:val="7C9F124A"/>
    <w:rsid w:val="7CDF0653"/>
    <w:rsid w:val="7D2C717C"/>
    <w:rsid w:val="7D351A13"/>
    <w:rsid w:val="7D3B43B3"/>
    <w:rsid w:val="7DED533C"/>
    <w:rsid w:val="7DF17829"/>
    <w:rsid w:val="7E116F41"/>
    <w:rsid w:val="7E1751D9"/>
    <w:rsid w:val="7E6B2D24"/>
    <w:rsid w:val="7E6E3146"/>
    <w:rsid w:val="7EA93C1D"/>
    <w:rsid w:val="7EDB3D59"/>
    <w:rsid w:val="7EDD0CC2"/>
    <w:rsid w:val="7F2366A7"/>
    <w:rsid w:val="7F8C4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0"/>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299"/>
    <w:qFormat/>
    <w:uiPriority w:val="0"/>
    <w:pPr>
      <w:keepNext/>
      <w:keepLines/>
      <w:spacing w:before="260" w:after="260" w:line="416" w:lineRule="auto"/>
      <w:outlineLvl w:val="2"/>
    </w:pPr>
    <w:rPr>
      <w:b/>
      <w:bCs/>
      <w:sz w:val="32"/>
      <w:szCs w:val="32"/>
    </w:rPr>
  </w:style>
  <w:style w:type="paragraph" w:styleId="6">
    <w:name w:val="heading 4"/>
    <w:basedOn w:val="1"/>
    <w:next w:val="1"/>
    <w:link w:val="158"/>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72"/>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28"/>
    <w:qFormat/>
    <w:uiPriority w:val="0"/>
    <w:pPr>
      <w:keepNext/>
      <w:keepLines/>
      <w:ind w:firstLine="200" w:firstLineChars="200"/>
      <w:outlineLvl w:val="5"/>
    </w:pPr>
    <w:rPr>
      <w:rFonts w:hAnsi="Arial"/>
    </w:rPr>
  </w:style>
  <w:style w:type="paragraph" w:styleId="10">
    <w:name w:val="heading 7"/>
    <w:basedOn w:val="1"/>
    <w:next w:val="1"/>
    <w:link w:val="283"/>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42"/>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41"/>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unhideWhenUsed/>
    <w:qFormat/>
    <w:uiPriority w:val="1"/>
  </w:style>
  <w:style w:type="table" w:default="1" w:styleId="45">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225"/>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62"/>
    <w:qFormat/>
    <w:uiPriority w:val="0"/>
    <w:pPr>
      <w:shd w:val="clear" w:color="auto" w:fill="000080"/>
    </w:pPr>
  </w:style>
  <w:style w:type="paragraph" w:styleId="16">
    <w:name w:val="annotation text"/>
    <w:basedOn w:val="1"/>
    <w:link w:val="305"/>
    <w:qFormat/>
    <w:uiPriority w:val="99"/>
    <w:pPr>
      <w:jc w:val="left"/>
    </w:pPr>
  </w:style>
  <w:style w:type="paragraph" w:styleId="17">
    <w:name w:val="Body Text 3"/>
    <w:basedOn w:val="1"/>
    <w:link w:val="257"/>
    <w:qFormat/>
    <w:uiPriority w:val="0"/>
    <w:pPr>
      <w:spacing w:after="120"/>
    </w:pPr>
    <w:rPr>
      <w:sz w:val="16"/>
      <w:szCs w:val="16"/>
    </w:rPr>
  </w:style>
  <w:style w:type="paragraph" w:styleId="18">
    <w:name w:val="Body Text Indent"/>
    <w:basedOn w:val="1"/>
    <w:link w:val="240"/>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2"/>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6"/>
    <w:qFormat/>
    <w:uiPriority w:val="0"/>
    <w:pPr>
      <w:ind w:left="100" w:leftChars="2500"/>
    </w:pPr>
  </w:style>
  <w:style w:type="paragraph" w:styleId="26">
    <w:name w:val="Body Text Indent 2"/>
    <w:basedOn w:val="1"/>
    <w:link w:val="237"/>
    <w:qFormat/>
    <w:uiPriority w:val="0"/>
    <w:pPr>
      <w:widowControl/>
      <w:spacing w:line="480" w:lineRule="auto"/>
      <w:ind w:firstLine="560"/>
      <w:jc w:val="left"/>
    </w:pPr>
    <w:rPr>
      <w:kern w:val="0"/>
      <w:sz w:val="28"/>
    </w:rPr>
  </w:style>
  <w:style w:type="paragraph" w:styleId="27">
    <w:name w:val="endnote text"/>
    <w:basedOn w:val="1"/>
    <w:link w:val="210"/>
    <w:qFormat/>
    <w:uiPriority w:val="0"/>
    <w:pPr>
      <w:widowControl/>
      <w:snapToGrid w:val="0"/>
      <w:jc w:val="left"/>
    </w:pPr>
    <w:rPr>
      <w:rFonts w:ascii="Arial" w:hAnsi="Arial" w:cs="Arial"/>
      <w:kern w:val="0"/>
      <w:sz w:val="20"/>
      <w:lang w:eastAsia="en-US"/>
    </w:rPr>
  </w:style>
  <w:style w:type="paragraph" w:styleId="28">
    <w:name w:val="Balloon Text"/>
    <w:basedOn w:val="1"/>
    <w:link w:val="205"/>
    <w:qFormat/>
    <w:uiPriority w:val="0"/>
    <w:rPr>
      <w:sz w:val="18"/>
      <w:szCs w:val="18"/>
    </w:rPr>
  </w:style>
  <w:style w:type="paragraph" w:styleId="29">
    <w:name w:val="footer"/>
    <w:basedOn w:val="1"/>
    <w:link w:val="197"/>
    <w:qFormat/>
    <w:uiPriority w:val="0"/>
    <w:pPr>
      <w:tabs>
        <w:tab w:val="center" w:pos="4153"/>
        <w:tab w:val="right" w:pos="8306"/>
      </w:tabs>
      <w:snapToGrid w:val="0"/>
      <w:jc w:val="left"/>
    </w:pPr>
    <w:rPr>
      <w:sz w:val="18"/>
      <w:szCs w:val="18"/>
    </w:rPr>
  </w:style>
  <w:style w:type="paragraph" w:styleId="30">
    <w:name w:val="header"/>
    <w:basedOn w:val="1"/>
    <w:link w:val="291"/>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7"/>
    <w:qFormat/>
    <w:uiPriority w:val="0"/>
    <w:pPr>
      <w:widowControl/>
      <w:jc w:val="center"/>
    </w:pPr>
    <w:rPr>
      <w:kern w:val="0"/>
      <w:sz w:val="20"/>
      <w:u w:val="single"/>
      <w:lang w:eastAsia="en-US"/>
    </w:rPr>
  </w:style>
  <w:style w:type="paragraph" w:styleId="34">
    <w:name w:val="footnote text"/>
    <w:basedOn w:val="1"/>
    <w:link w:val="285"/>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4"/>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1"/>
    <w:qFormat/>
    <w:uiPriority w:val="0"/>
    <w:rPr>
      <w:i/>
      <w:iCs/>
      <w:sz w:val="26"/>
    </w:rPr>
  </w:style>
  <w:style w:type="paragraph" w:styleId="40">
    <w:name w:val="HTML Preformatted"/>
    <w:basedOn w:val="1"/>
    <w:link w:val="161"/>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6"/>
    <w:qFormat/>
    <w:uiPriority w:val="0"/>
    <w:pPr>
      <w:widowControl/>
      <w:jc w:val="center"/>
    </w:pPr>
    <w:rPr>
      <w:kern w:val="0"/>
      <w:sz w:val="20"/>
      <w:u w:val="single"/>
      <w:lang w:eastAsia="en-US"/>
    </w:rPr>
  </w:style>
  <w:style w:type="paragraph" w:styleId="44">
    <w:name w:val="annotation subject"/>
    <w:basedOn w:val="16"/>
    <w:next w:val="16"/>
    <w:link w:val="280"/>
    <w:qFormat/>
    <w:uiPriority w:val="0"/>
    <w:rPr>
      <w:b/>
      <w:bCs/>
    </w:rPr>
  </w:style>
  <w:style w:type="table" w:styleId="46">
    <w:name w:val="Table Grid"/>
    <w:basedOn w:val="4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Emphasis"/>
    <w:qFormat/>
    <w:uiPriority w:val="0"/>
    <w:rPr>
      <w:i/>
      <w:iCs/>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paragraph" w:customStyle="1" w:styleId="56">
    <w:name w:val="列出段落1"/>
    <w:basedOn w:val="1"/>
    <w:qFormat/>
    <w:uiPriority w:val="99"/>
    <w:pPr>
      <w:ind w:firstLine="420" w:firstLineChars="200"/>
    </w:pPr>
    <w:rPr>
      <w:sz w:val="28"/>
      <w:szCs w:val="28"/>
    </w:rPr>
  </w:style>
  <w:style w:type="paragraph" w:customStyle="1" w:styleId="57">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8">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59">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1">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2">
    <w:name w:val="1 Char"/>
    <w:basedOn w:val="1"/>
    <w:qFormat/>
    <w:uiPriority w:val="0"/>
    <w:pPr>
      <w:widowControl/>
      <w:spacing w:after="160" w:line="240" w:lineRule="exact"/>
      <w:jc w:val="left"/>
    </w:pPr>
    <w:rPr>
      <w:rFonts w:ascii="Calibri" w:hAnsi="Calibri"/>
      <w:szCs w:val="20"/>
    </w:rPr>
  </w:style>
  <w:style w:type="paragraph" w:customStyle="1" w:styleId="63">
    <w:name w:val="列表段落1"/>
    <w:basedOn w:val="1"/>
    <w:qFormat/>
    <w:uiPriority w:val="34"/>
    <w:pPr>
      <w:ind w:firstLine="420" w:firstLineChars="200"/>
    </w:pPr>
    <w:rPr>
      <w:rFonts w:ascii="Calibri" w:hAnsi="Calibri"/>
    </w:rPr>
  </w:style>
  <w:style w:type="paragraph" w:customStyle="1" w:styleId="64">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5">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66">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7">
    <w:name w:val="TOC 标题2"/>
    <w:basedOn w:val="3"/>
    <w:next w:val="1"/>
    <w:unhideWhenUsed/>
    <w:qFormat/>
    <w:uiPriority w:val="0"/>
    <w:pPr>
      <w:outlineLvl w:val="9"/>
    </w:pPr>
    <w:rPr>
      <w:rFonts w:ascii="Calibri" w:hAnsi="Calibri"/>
    </w:rPr>
  </w:style>
  <w:style w:type="paragraph" w:customStyle="1" w:styleId="68">
    <w:name w:val="样式1"/>
    <w:basedOn w:val="1"/>
    <w:next w:val="6"/>
    <w:qFormat/>
    <w:uiPriority w:val="0"/>
    <w:pPr>
      <w:spacing w:line="360" w:lineRule="auto"/>
      <w:ind w:firstLine="420" w:firstLineChars="200"/>
    </w:pPr>
    <w:rPr>
      <w:rFonts w:ascii="宋体" w:hAnsi="宋体"/>
      <w:szCs w:val="21"/>
    </w:rPr>
  </w:style>
  <w:style w:type="paragraph" w:customStyle="1" w:styleId="69">
    <w:name w:val="列出段落111"/>
    <w:basedOn w:val="1"/>
    <w:qFormat/>
    <w:uiPriority w:val="0"/>
    <w:pPr>
      <w:ind w:firstLine="420" w:firstLineChars="200"/>
    </w:pPr>
    <w:rPr>
      <w:sz w:val="28"/>
      <w:szCs w:val="28"/>
    </w:rPr>
  </w:style>
  <w:style w:type="paragraph" w:customStyle="1" w:styleId="70">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1">
    <w:name w:val="pa-27"/>
    <w:basedOn w:val="1"/>
    <w:qFormat/>
    <w:uiPriority w:val="0"/>
    <w:pPr>
      <w:widowControl/>
      <w:spacing w:line="360" w:lineRule="atLeast"/>
      <w:ind w:firstLine="420"/>
    </w:pPr>
    <w:rPr>
      <w:rFonts w:ascii="宋体" w:hAnsi="宋体" w:cs="宋体"/>
      <w:kern w:val="0"/>
      <w:sz w:val="24"/>
    </w:rPr>
  </w:style>
  <w:style w:type="paragraph" w:customStyle="1" w:styleId="72">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_Style 72"/>
    <w:qFormat/>
    <w:uiPriority w:val="0"/>
    <w:rPr>
      <w:rFonts w:ascii="Times New Roman" w:hAnsi="Times New Roman" w:eastAsia="宋体" w:cs="Times New Roman"/>
      <w:kern w:val="2"/>
      <w:sz w:val="21"/>
      <w:szCs w:val="24"/>
      <w:lang w:val="en-US" w:eastAsia="zh-CN" w:bidi="ar-SA"/>
    </w:rPr>
  </w:style>
  <w:style w:type="paragraph" w:customStyle="1" w:styleId="74">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5">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6">
    <w:name w:val="Char Char Char Char"/>
    <w:basedOn w:val="15"/>
    <w:qFormat/>
    <w:uiPriority w:val="0"/>
    <w:pPr>
      <w:spacing w:line="360" w:lineRule="auto"/>
      <w:ind w:firstLine="200" w:firstLineChars="200"/>
    </w:pPr>
    <w:rPr>
      <w:rFonts w:ascii="Tahoma" w:hAnsi="Tahoma"/>
      <w:sz w:val="24"/>
    </w:rPr>
  </w:style>
  <w:style w:type="paragraph" w:customStyle="1" w:styleId="77">
    <w:name w:val="表格内容"/>
    <w:basedOn w:val="1"/>
    <w:qFormat/>
    <w:uiPriority w:val="0"/>
    <w:pPr>
      <w:suppressLineNumbers/>
      <w:suppressAutoHyphens/>
    </w:pPr>
  </w:style>
  <w:style w:type="paragraph" w:customStyle="1" w:styleId="7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79">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0">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1">
    <w:name w:val="明显引用1"/>
    <w:basedOn w:val="1"/>
    <w:next w:val="1"/>
    <w:link w:val="275"/>
    <w:qFormat/>
    <w:uiPriority w:val="0"/>
    <w:pPr>
      <w:pBdr>
        <w:bottom w:val="single" w:color="4F81BD" w:sz="4" w:space="4"/>
      </w:pBdr>
      <w:spacing w:before="200" w:after="280"/>
      <w:ind w:left="936" w:right="936"/>
    </w:pPr>
    <w:rPr>
      <w:b/>
      <w:bCs/>
      <w:i/>
      <w:iCs/>
      <w:color w:val="4F81BD"/>
      <w:szCs w:val="22"/>
    </w:rPr>
  </w:style>
  <w:style w:type="paragraph" w:customStyle="1" w:styleId="82">
    <w:name w:val="表体"/>
    <w:basedOn w:val="1"/>
    <w:next w:val="1"/>
    <w:qFormat/>
    <w:uiPriority w:val="0"/>
    <w:pPr>
      <w:spacing w:line="0" w:lineRule="atLeast"/>
    </w:pPr>
    <w:rPr>
      <w:rFonts w:ascii="Calibri" w:hAnsi="Calibri"/>
      <w:b/>
      <w:snapToGrid w:val="0"/>
      <w:szCs w:val="20"/>
    </w:rPr>
  </w:style>
  <w:style w:type="paragraph" w:customStyle="1" w:styleId="8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4">
    <w:name w:val="pa-34"/>
    <w:basedOn w:val="1"/>
    <w:qFormat/>
    <w:uiPriority w:val="0"/>
    <w:pPr>
      <w:widowControl/>
      <w:spacing w:line="360" w:lineRule="atLeast"/>
      <w:ind w:firstLine="420"/>
      <w:jc w:val="left"/>
    </w:pPr>
    <w:rPr>
      <w:rFonts w:ascii="宋体" w:hAnsi="宋体" w:cs="宋体"/>
      <w:kern w:val="0"/>
      <w:sz w:val="24"/>
    </w:rPr>
  </w:style>
  <w:style w:type="paragraph" w:customStyle="1" w:styleId="85">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6">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7">
    <w:name w:val="p16"/>
    <w:basedOn w:val="1"/>
    <w:qFormat/>
    <w:uiPriority w:val="0"/>
    <w:pPr>
      <w:widowControl/>
    </w:pPr>
    <w:rPr>
      <w:rFonts w:ascii="Calibri" w:hAnsi="Calibri" w:cs="宋体"/>
      <w:kern w:val="0"/>
      <w:szCs w:val="21"/>
    </w:rPr>
  </w:style>
  <w:style w:type="paragraph" w:customStyle="1" w:styleId="88">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89">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1">
    <w:name w:val="标题4"/>
    <w:basedOn w:val="4"/>
    <w:next w:val="20"/>
    <w:link w:val="286"/>
    <w:qFormat/>
    <w:uiPriority w:val="0"/>
    <w:pPr>
      <w:spacing w:line="413" w:lineRule="auto"/>
    </w:pPr>
    <w:rPr>
      <w:rFonts w:ascii="Arial" w:hAnsi="Arial"/>
      <w:kern w:val="0"/>
      <w:sz w:val="24"/>
    </w:rPr>
  </w:style>
  <w:style w:type="paragraph" w:customStyle="1" w:styleId="92">
    <w:name w:val="Char Char"/>
    <w:basedOn w:val="1"/>
    <w:qFormat/>
    <w:uiPriority w:val="0"/>
    <w:pPr>
      <w:widowControl/>
      <w:jc w:val="left"/>
    </w:pPr>
    <w:rPr>
      <w:rFonts w:ascii="Verdana" w:hAnsi="Verdana" w:eastAsia="Times New Roman"/>
      <w:kern w:val="0"/>
      <w:sz w:val="16"/>
      <w:szCs w:val="20"/>
      <w:lang w:eastAsia="en-US"/>
    </w:rPr>
  </w:style>
  <w:style w:type="paragraph" w:customStyle="1" w:styleId="93">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5">
    <w:name w:val="WW-表格内容"/>
    <w:basedOn w:val="1"/>
    <w:qFormat/>
    <w:uiPriority w:val="0"/>
    <w:pPr>
      <w:suppressLineNumbers/>
      <w:suppressAutoHyphens/>
    </w:pPr>
  </w:style>
  <w:style w:type="paragraph" w:customStyle="1" w:styleId="96">
    <w:name w:val="Char"/>
    <w:basedOn w:val="1"/>
    <w:qFormat/>
    <w:uiPriority w:val="0"/>
  </w:style>
  <w:style w:type="paragraph" w:customStyle="1" w:styleId="9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8">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99">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0">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1">
    <w:name w:val="Char9 Char Char Char Char Char Char"/>
    <w:basedOn w:val="15"/>
    <w:qFormat/>
    <w:uiPriority w:val="0"/>
    <w:pPr>
      <w:spacing w:line="360" w:lineRule="auto"/>
      <w:ind w:firstLine="200" w:firstLineChars="200"/>
    </w:pPr>
    <w:rPr>
      <w:rFonts w:ascii="Tahoma" w:hAnsi="Tahoma"/>
      <w:sz w:val="24"/>
    </w:rPr>
  </w:style>
  <w:style w:type="paragraph" w:customStyle="1" w:styleId="102">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4">
    <w:name w:val="p15"/>
    <w:basedOn w:val="1"/>
    <w:qFormat/>
    <w:uiPriority w:val="0"/>
    <w:pPr>
      <w:widowControl/>
      <w:spacing w:after="120"/>
    </w:pPr>
    <w:rPr>
      <w:kern w:val="0"/>
      <w:szCs w:val="21"/>
    </w:rPr>
  </w:style>
  <w:style w:type="paragraph" w:customStyle="1" w:styleId="105">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6">
    <w:name w:val="正  文"/>
    <w:basedOn w:val="1"/>
    <w:qFormat/>
    <w:uiPriority w:val="0"/>
    <w:pPr>
      <w:spacing w:line="360" w:lineRule="auto"/>
      <w:ind w:firstLine="200" w:firstLineChars="200"/>
    </w:pPr>
    <w:rPr>
      <w:rFonts w:ascii="宋体" w:hAnsi="Calibri"/>
      <w:sz w:val="24"/>
    </w:rPr>
  </w:style>
  <w:style w:type="paragraph" w:customStyle="1" w:styleId="107">
    <w:name w:val="列出段落11"/>
    <w:basedOn w:val="1"/>
    <w:qFormat/>
    <w:uiPriority w:val="0"/>
    <w:pPr>
      <w:ind w:firstLine="420" w:firstLineChars="200"/>
    </w:pPr>
    <w:rPr>
      <w:sz w:val="28"/>
      <w:szCs w:val="28"/>
    </w:rPr>
  </w:style>
  <w:style w:type="paragraph" w:customStyle="1" w:styleId="10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9">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0">
    <w:name w:val="_Style 96"/>
    <w:semiHidden/>
    <w:qFormat/>
    <w:uiPriority w:val="99"/>
    <w:rPr>
      <w:rFonts w:ascii="Calibri" w:hAnsi="Calibri" w:eastAsia="宋体" w:cs="Times New Roman"/>
      <w:kern w:val="2"/>
      <w:sz w:val="21"/>
      <w:szCs w:val="24"/>
      <w:lang w:val="en-US" w:eastAsia="zh-CN" w:bidi="ar-SA"/>
    </w:rPr>
  </w:style>
  <w:style w:type="paragraph" w:customStyle="1" w:styleId="111">
    <w:name w:val="表格文字"/>
    <w:basedOn w:val="1"/>
    <w:qFormat/>
    <w:uiPriority w:val="0"/>
    <w:pPr>
      <w:adjustRightInd w:val="0"/>
      <w:spacing w:line="420" w:lineRule="atLeast"/>
      <w:jc w:val="left"/>
      <w:textAlignment w:val="baseline"/>
    </w:pPr>
    <w:rPr>
      <w:kern w:val="0"/>
      <w:szCs w:val="20"/>
    </w:rPr>
  </w:style>
  <w:style w:type="paragraph" w:customStyle="1" w:styleId="112">
    <w:name w:val="表格"/>
    <w:basedOn w:val="1"/>
    <w:qFormat/>
    <w:uiPriority w:val="0"/>
    <w:pPr>
      <w:jc w:val="center"/>
      <w:textAlignment w:val="center"/>
    </w:pPr>
    <w:rPr>
      <w:rFonts w:ascii="华文细黑" w:hAnsi="华文细黑"/>
      <w:kern w:val="0"/>
      <w:szCs w:val="20"/>
    </w:rPr>
  </w:style>
  <w:style w:type="paragraph" w:customStyle="1" w:styleId="113">
    <w:name w:val="Char1"/>
    <w:basedOn w:val="1"/>
    <w:qFormat/>
    <w:uiPriority w:val="0"/>
  </w:style>
  <w:style w:type="paragraph" w:customStyle="1" w:styleId="114">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5">
    <w:name w:val="引用2"/>
    <w:basedOn w:val="1"/>
    <w:next w:val="1"/>
    <w:link w:val="238"/>
    <w:qFormat/>
    <w:uiPriority w:val="0"/>
    <w:rPr>
      <w:i/>
      <w:iCs/>
      <w:color w:val="000000"/>
    </w:rPr>
  </w:style>
  <w:style w:type="paragraph" w:customStyle="1" w:styleId="116">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17">
    <w:name w:val="引用1"/>
    <w:basedOn w:val="1"/>
    <w:next w:val="1"/>
    <w:link w:val="188"/>
    <w:qFormat/>
    <w:uiPriority w:val="0"/>
    <w:rPr>
      <w:i/>
      <w:iCs/>
      <w:color w:val="000000"/>
      <w:szCs w:val="22"/>
    </w:rPr>
  </w:style>
  <w:style w:type="paragraph" w:customStyle="1" w:styleId="118">
    <w:name w:val="修订1"/>
    <w:qFormat/>
    <w:uiPriority w:val="0"/>
    <w:rPr>
      <w:rFonts w:ascii="Times New Roman" w:hAnsi="Times New Roman" w:eastAsia="宋体" w:cs="Times New Roman"/>
      <w:kern w:val="2"/>
      <w:sz w:val="21"/>
      <w:szCs w:val="24"/>
      <w:lang w:val="en-US" w:eastAsia="zh-CN" w:bidi="ar-SA"/>
    </w:rPr>
  </w:style>
  <w:style w:type="paragraph" w:customStyle="1" w:styleId="119">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0">
    <w:name w:val="Char2"/>
    <w:basedOn w:val="1"/>
    <w:qFormat/>
    <w:uiPriority w:val="0"/>
    <w:rPr>
      <w:rFonts w:ascii="Calibri" w:hAnsi="Calibri"/>
    </w:rPr>
  </w:style>
  <w:style w:type="paragraph" w:customStyle="1" w:styleId="121">
    <w:name w:val="标题5"/>
    <w:basedOn w:val="5"/>
    <w:link w:val="284"/>
    <w:qFormat/>
    <w:uiPriority w:val="0"/>
    <w:pPr>
      <w:spacing w:line="413" w:lineRule="auto"/>
    </w:pPr>
    <w:rPr>
      <w:rFonts w:ascii="Arial" w:hAnsi="Arial"/>
      <w:kern w:val="0"/>
      <w:sz w:val="24"/>
    </w:rPr>
  </w:style>
  <w:style w:type="paragraph" w:customStyle="1" w:styleId="122">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3">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4">
    <w:name w:val="表格标题"/>
    <w:basedOn w:val="77"/>
    <w:qFormat/>
    <w:uiPriority w:val="0"/>
  </w:style>
  <w:style w:type="paragraph" w:customStyle="1" w:styleId="125">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6">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7">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8">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9">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0">
    <w:name w:val="WW-表格标题"/>
    <w:basedOn w:val="95"/>
    <w:qFormat/>
    <w:uiPriority w:val="0"/>
  </w:style>
  <w:style w:type="paragraph" w:customStyle="1" w:styleId="131">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2">
    <w:name w:val="明显引用12"/>
    <w:basedOn w:val="1"/>
    <w:next w:val="1"/>
    <w:link w:val="248"/>
    <w:qFormat/>
    <w:uiPriority w:val="30"/>
    <w:pPr>
      <w:pBdr>
        <w:bottom w:val="single" w:color="4F81BD" w:sz="4" w:space="4"/>
      </w:pBdr>
      <w:spacing w:before="200" w:after="280"/>
      <w:ind w:left="936" w:right="936"/>
    </w:pPr>
    <w:rPr>
      <w:b/>
      <w:bCs/>
      <w:i/>
      <w:iCs/>
      <w:color w:val="4F81BD"/>
      <w:szCs w:val="20"/>
    </w:rPr>
  </w:style>
  <w:style w:type="paragraph" w:customStyle="1" w:styleId="133">
    <w:name w:val="标准样式1"/>
    <w:basedOn w:val="1"/>
    <w:qFormat/>
    <w:uiPriority w:val="0"/>
    <w:pPr>
      <w:spacing w:line="600" w:lineRule="exact"/>
      <w:ind w:firstLine="567"/>
    </w:pPr>
    <w:rPr>
      <w:rFonts w:ascii="Calibri" w:hAnsi="Calibri"/>
      <w:sz w:val="28"/>
    </w:rPr>
  </w:style>
  <w:style w:type="paragraph" w:customStyle="1" w:styleId="134">
    <w:name w:val="Char3"/>
    <w:basedOn w:val="1"/>
    <w:qFormat/>
    <w:uiPriority w:val="0"/>
  </w:style>
  <w:style w:type="paragraph" w:customStyle="1" w:styleId="135">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6">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7">
    <w:name w:val="引用11"/>
    <w:basedOn w:val="1"/>
    <w:next w:val="1"/>
    <w:link w:val="262"/>
    <w:qFormat/>
    <w:uiPriority w:val="29"/>
    <w:rPr>
      <w:i/>
      <w:iCs/>
      <w:color w:val="000000"/>
      <w:szCs w:val="20"/>
    </w:rPr>
  </w:style>
  <w:style w:type="paragraph" w:customStyle="1" w:styleId="138">
    <w:name w:val="_Style 87"/>
    <w:basedOn w:val="1"/>
    <w:qFormat/>
    <w:uiPriority w:val="99"/>
    <w:pPr>
      <w:ind w:firstLine="420" w:firstLineChars="200"/>
    </w:pPr>
    <w:rPr>
      <w:rFonts w:ascii="Calibri" w:hAnsi="Calibri"/>
      <w:sz w:val="28"/>
      <w:szCs w:val="28"/>
    </w:rPr>
  </w:style>
  <w:style w:type="paragraph" w:customStyle="1" w:styleId="139">
    <w:name w:val="自定样式1"/>
    <w:basedOn w:val="1"/>
    <w:qFormat/>
    <w:uiPriority w:val="0"/>
    <w:pPr>
      <w:suppressAutoHyphens/>
      <w:jc w:val="center"/>
    </w:pPr>
    <w:rPr>
      <w:rFonts w:ascii="宋体" w:hAnsi="宋体"/>
      <w:color w:val="000000"/>
      <w:sz w:val="18"/>
    </w:rPr>
  </w:style>
  <w:style w:type="paragraph" w:customStyle="1" w:styleId="140">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1">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42">
    <w:name w:val="未处理的提及1"/>
    <w:unhideWhenUsed/>
    <w:qFormat/>
    <w:uiPriority w:val="99"/>
    <w:rPr>
      <w:color w:val="808080"/>
      <w:shd w:val="clear" w:color="auto" w:fill="E6E6E6"/>
    </w:rPr>
  </w:style>
  <w:style w:type="character" w:customStyle="1" w:styleId="143">
    <w:name w:val="正文文本 3 Char"/>
    <w:qFormat/>
    <w:uiPriority w:val="0"/>
    <w:rPr>
      <w:kern w:val="2"/>
      <w:sz w:val="16"/>
      <w:szCs w:val="16"/>
    </w:rPr>
  </w:style>
  <w:style w:type="character" w:customStyle="1" w:styleId="144">
    <w:name w:val="正文文本缩进 Char2"/>
    <w:semiHidden/>
    <w:qFormat/>
    <w:uiPriority w:val="99"/>
    <w:rPr>
      <w:rFonts w:ascii="Calibri" w:hAnsi="Calibri" w:eastAsia="宋体" w:cs="Times New Roman"/>
      <w:szCs w:val="24"/>
    </w:rPr>
  </w:style>
  <w:style w:type="character" w:customStyle="1" w:styleId="145">
    <w:name w:val="标题 3 Char"/>
    <w:qFormat/>
    <w:uiPriority w:val="0"/>
    <w:rPr>
      <w:rFonts w:ascii="仿宋_GB2312" w:hAnsi="Calibri" w:eastAsia="仿宋_GB2312" w:cs="Times New Roman"/>
      <w:b/>
      <w:kern w:val="0"/>
      <w:sz w:val="24"/>
      <w:szCs w:val="28"/>
    </w:rPr>
  </w:style>
  <w:style w:type="character" w:customStyle="1" w:styleId="146">
    <w:name w:val="批注框文本 Char2"/>
    <w:qFormat/>
    <w:uiPriority w:val="99"/>
    <w:rPr>
      <w:kern w:val="2"/>
      <w:sz w:val="18"/>
      <w:szCs w:val="18"/>
    </w:rPr>
  </w:style>
  <w:style w:type="character" w:customStyle="1" w:styleId="147">
    <w:name w:val="textcontents"/>
    <w:qFormat/>
    <w:uiPriority w:val="0"/>
    <w:rPr>
      <w:rFonts w:cs="Times New Roman"/>
    </w:rPr>
  </w:style>
  <w:style w:type="character" w:customStyle="1" w:styleId="148">
    <w:name w:val="ht1"/>
    <w:qFormat/>
    <w:uiPriority w:val="0"/>
    <w:rPr>
      <w:rFonts w:ascii="黑体" w:eastAsia="黑体"/>
      <w:b/>
      <w:bCs/>
    </w:rPr>
  </w:style>
  <w:style w:type="character" w:customStyle="1" w:styleId="149">
    <w:name w:val="标题 Char"/>
    <w:qFormat/>
    <w:uiPriority w:val="0"/>
    <w:rPr>
      <w:rFonts w:ascii="Cambria" w:hAnsi="Cambria" w:eastAsia="宋体" w:cs="Times New Roman"/>
      <w:b/>
      <w:bCs/>
      <w:kern w:val="2"/>
      <w:sz w:val="32"/>
      <w:szCs w:val="32"/>
    </w:rPr>
  </w:style>
  <w:style w:type="character" w:customStyle="1" w:styleId="150">
    <w:name w:val="14t1"/>
    <w:qFormat/>
    <w:uiPriority w:val="0"/>
    <w:rPr>
      <w:rFonts w:hint="eastAsia" w:ascii="宋体" w:hAnsi="宋体" w:eastAsia="宋体"/>
      <w:sz w:val="11"/>
      <w:szCs w:val="11"/>
    </w:rPr>
  </w:style>
  <w:style w:type="character" w:customStyle="1" w:styleId="151">
    <w:name w:val="Char Char36"/>
    <w:qFormat/>
    <w:uiPriority w:val="0"/>
    <w:rPr>
      <w:rFonts w:ascii="仿宋_GB2312" w:eastAsia="仿宋_GB2312" w:cs="MingLiU"/>
      <w:b/>
      <w:sz w:val="24"/>
      <w:szCs w:val="28"/>
    </w:rPr>
  </w:style>
  <w:style w:type="character" w:customStyle="1" w:styleId="152">
    <w:name w:val="文档结构图 Char"/>
    <w:qFormat/>
    <w:uiPriority w:val="0"/>
    <w:rPr>
      <w:rFonts w:ascii="宋体"/>
      <w:kern w:val="2"/>
      <w:sz w:val="18"/>
      <w:szCs w:val="18"/>
    </w:rPr>
  </w:style>
  <w:style w:type="character" w:customStyle="1" w:styleId="153">
    <w:name w:val="普通文字 Char Char2"/>
    <w:qFormat/>
    <w:uiPriority w:val="0"/>
    <w:rPr>
      <w:rFonts w:ascii="宋体" w:hAnsi="Courier New"/>
      <w:kern w:val="2"/>
      <w:sz w:val="28"/>
      <w:szCs w:val="28"/>
    </w:rPr>
  </w:style>
  <w:style w:type="character" w:customStyle="1" w:styleId="154">
    <w:name w:val="HTML 预设格式 Char"/>
    <w:qFormat/>
    <w:uiPriority w:val="0"/>
    <w:rPr>
      <w:rFonts w:ascii="宋体" w:hAnsi="宋体" w:eastAsia="宋体" w:cs="宋体"/>
      <w:color w:val="000000"/>
      <w:sz w:val="24"/>
      <w:szCs w:val="24"/>
    </w:rPr>
  </w:style>
  <w:style w:type="character" w:customStyle="1" w:styleId="155">
    <w:name w:val="纯文本 Char"/>
    <w:qFormat/>
    <w:uiPriority w:val="0"/>
    <w:rPr>
      <w:rFonts w:ascii="宋体" w:hAnsi="Courier New"/>
      <w:sz w:val="28"/>
      <w:szCs w:val="28"/>
    </w:rPr>
  </w:style>
  <w:style w:type="character" w:customStyle="1" w:styleId="156">
    <w:name w:val="批注框文本 Char"/>
    <w:qFormat/>
    <w:uiPriority w:val="0"/>
    <w:rPr>
      <w:sz w:val="18"/>
      <w:szCs w:val="18"/>
    </w:rPr>
  </w:style>
  <w:style w:type="character" w:customStyle="1" w:styleId="157">
    <w:name w:val="页脚 Char"/>
    <w:qFormat/>
    <w:uiPriority w:val="0"/>
    <w:rPr>
      <w:sz w:val="18"/>
      <w:szCs w:val="18"/>
    </w:rPr>
  </w:style>
  <w:style w:type="character" w:customStyle="1" w:styleId="158">
    <w:name w:val="标题 4 Char2"/>
    <w:link w:val="6"/>
    <w:qFormat/>
    <w:uiPriority w:val="0"/>
    <w:rPr>
      <w:rFonts w:ascii="宋体" w:hAnsi="宋体" w:eastAsia="宋体" w:cs="宋体"/>
      <w:b/>
      <w:bCs/>
      <w:sz w:val="24"/>
      <w:szCs w:val="24"/>
      <w:lang w:val="en-US" w:eastAsia="zh-CN" w:bidi="ar-SA"/>
    </w:rPr>
  </w:style>
  <w:style w:type="character" w:customStyle="1" w:styleId="159">
    <w:name w:val="正文文本缩进 3 Char"/>
    <w:qFormat/>
    <w:uiPriority w:val="0"/>
    <w:rPr>
      <w:kern w:val="2"/>
      <w:sz w:val="16"/>
      <w:szCs w:val="16"/>
    </w:rPr>
  </w:style>
  <w:style w:type="character" w:customStyle="1" w:styleId="160">
    <w:name w:val="标题 8 Char"/>
    <w:qFormat/>
    <w:uiPriority w:val="0"/>
    <w:rPr>
      <w:rFonts w:ascii="Arial" w:hAnsi="Arial" w:eastAsia="黑体" w:cs="Times New Roman"/>
      <w:sz w:val="24"/>
      <w:szCs w:val="24"/>
    </w:rPr>
  </w:style>
  <w:style w:type="character" w:customStyle="1" w:styleId="161">
    <w:name w:val="HTML 预设格式 Char3"/>
    <w:link w:val="40"/>
    <w:qFormat/>
    <w:uiPriority w:val="0"/>
    <w:rPr>
      <w:rFonts w:ascii="宋体" w:hAnsi="宋体" w:eastAsia="宋体" w:cs="宋体"/>
      <w:color w:val="000000"/>
      <w:sz w:val="24"/>
      <w:szCs w:val="24"/>
      <w:lang w:val="en-US" w:eastAsia="zh-CN" w:bidi="ar-SA"/>
    </w:rPr>
  </w:style>
  <w:style w:type="character" w:customStyle="1" w:styleId="162">
    <w:name w:val="文档结构图 Char4"/>
    <w:link w:val="15"/>
    <w:qFormat/>
    <w:uiPriority w:val="0"/>
    <w:rPr>
      <w:rFonts w:eastAsia="宋体"/>
      <w:kern w:val="2"/>
      <w:sz w:val="21"/>
      <w:szCs w:val="24"/>
      <w:lang w:val="en-US" w:eastAsia="zh-CN" w:bidi="ar-SA"/>
    </w:rPr>
  </w:style>
  <w:style w:type="character" w:customStyle="1" w:styleId="163">
    <w:name w:val="正文文本缩进 2 Char1"/>
    <w:qFormat/>
    <w:uiPriority w:val="0"/>
    <w:rPr>
      <w:sz w:val="28"/>
      <w:szCs w:val="24"/>
    </w:rPr>
  </w:style>
  <w:style w:type="character" w:customStyle="1" w:styleId="164">
    <w:name w:val="标题 5 Char1"/>
    <w:qFormat/>
    <w:uiPriority w:val="0"/>
    <w:rPr>
      <w:rFonts w:ascii="宋体" w:hAnsi="宋体" w:eastAsia="宋体" w:cs="宋体"/>
      <w:b/>
      <w:bCs/>
      <w:sz w:val="20"/>
      <w:szCs w:val="20"/>
    </w:rPr>
  </w:style>
  <w:style w:type="character" w:customStyle="1" w:styleId="165">
    <w:name w:val="批注文字 Char"/>
    <w:qFormat/>
    <w:uiPriority w:val="0"/>
    <w:rPr>
      <w:rFonts w:ascii="Times New Roman" w:hAnsi="Times New Roman" w:eastAsia="宋体" w:cs="Times New Roman"/>
      <w:kern w:val="2"/>
      <w:sz w:val="21"/>
      <w:szCs w:val="24"/>
    </w:rPr>
  </w:style>
  <w:style w:type="character" w:customStyle="1" w:styleId="166">
    <w:name w:val="日期 Char4"/>
    <w:link w:val="25"/>
    <w:qFormat/>
    <w:uiPriority w:val="0"/>
    <w:rPr>
      <w:rFonts w:eastAsia="宋体"/>
      <w:kern w:val="2"/>
      <w:sz w:val="21"/>
      <w:szCs w:val="24"/>
      <w:lang w:val="en-US" w:eastAsia="zh-CN" w:bidi="ar-SA"/>
    </w:rPr>
  </w:style>
  <w:style w:type="character" w:customStyle="1" w:styleId="167">
    <w:name w:val="style121"/>
    <w:qFormat/>
    <w:uiPriority w:val="0"/>
    <w:rPr>
      <w:rFonts w:hint="eastAsia" w:ascii="宋体" w:hAnsi="宋体" w:eastAsia="宋体"/>
      <w:sz w:val="18"/>
      <w:szCs w:val="18"/>
    </w:rPr>
  </w:style>
  <w:style w:type="character" w:customStyle="1" w:styleId="168">
    <w:name w:val="Section Char"/>
    <w:qFormat/>
    <w:uiPriority w:val="0"/>
    <w:rPr>
      <w:rFonts w:ascii="仿宋_GB2312" w:eastAsia="仿宋_GB2312" w:cs="MingLiU"/>
      <w:b/>
      <w:sz w:val="24"/>
      <w:szCs w:val="28"/>
      <w:lang w:val="en-US" w:eastAsia="zh-CN" w:bidi="ar-SA"/>
    </w:rPr>
  </w:style>
  <w:style w:type="character" w:customStyle="1" w:styleId="169">
    <w:name w:val="正文文本 3 Char1"/>
    <w:qFormat/>
    <w:uiPriority w:val="0"/>
    <w:rPr>
      <w:kern w:val="2"/>
      <w:sz w:val="16"/>
      <w:szCs w:val="16"/>
    </w:rPr>
  </w:style>
  <w:style w:type="character" w:customStyle="1" w:styleId="170">
    <w:name w:val="文档结构图 Char1"/>
    <w:qFormat/>
    <w:uiPriority w:val="0"/>
    <w:rPr>
      <w:rFonts w:ascii="宋体"/>
      <w:kern w:val="2"/>
      <w:sz w:val="18"/>
      <w:szCs w:val="18"/>
    </w:rPr>
  </w:style>
  <w:style w:type="character" w:customStyle="1" w:styleId="171">
    <w:name w:val="_Style 170"/>
    <w:qFormat/>
    <w:uiPriority w:val="0"/>
    <w:rPr>
      <w:i/>
      <w:iCs/>
      <w:color w:val="808080"/>
    </w:rPr>
  </w:style>
  <w:style w:type="character" w:customStyle="1" w:styleId="172">
    <w:name w:val="_Style 171"/>
    <w:qFormat/>
    <w:uiPriority w:val="0"/>
    <w:rPr>
      <w:b/>
      <w:bCs/>
      <w:smallCaps/>
      <w:color w:val="C0504D"/>
      <w:spacing w:val="5"/>
      <w:u w:val="single"/>
    </w:rPr>
  </w:style>
  <w:style w:type="character" w:customStyle="1" w:styleId="173">
    <w:name w:val="标题 9 Char"/>
    <w:qFormat/>
    <w:uiPriority w:val="0"/>
    <w:rPr>
      <w:rFonts w:ascii="Arial" w:hAnsi="Arial" w:eastAsia="黑体" w:cs="Times New Roman"/>
      <w:szCs w:val="21"/>
    </w:rPr>
  </w:style>
  <w:style w:type="character" w:customStyle="1" w:styleId="174">
    <w:name w:val="页眉 Char1"/>
    <w:semiHidden/>
    <w:qFormat/>
    <w:uiPriority w:val="99"/>
    <w:rPr>
      <w:kern w:val="2"/>
      <w:sz w:val="18"/>
      <w:szCs w:val="18"/>
    </w:rPr>
  </w:style>
  <w:style w:type="character" w:customStyle="1" w:styleId="175">
    <w:name w:val="_Style 174"/>
    <w:qFormat/>
    <w:uiPriority w:val="0"/>
    <w:rPr>
      <w:b/>
      <w:bCs/>
      <w:i/>
      <w:iCs/>
      <w:color w:val="4F81BD"/>
    </w:rPr>
  </w:style>
  <w:style w:type="character" w:customStyle="1" w:styleId="176">
    <w:name w:val="Char Char35"/>
    <w:qFormat/>
    <w:uiPriority w:val="0"/>
    <w:rPr>
      <w:rFonts w:ascii="仿宋_GB2312" w:eastAsia="仿宋_GB2312" w:cs="MingLiU"/>
      <w:b/>
      <w:sz w:val="24"/>
      <w:szCs w:val="28"/>
    </w:rPr>
  </w:style>
  <w:style w:type="character" w:customStyle="1" w:styleId="177">
    <w:name w:val="日期 Char2"/>
    <w:qFormat/>
    <w:uiPriority w:val="99"/>
    <w:rPr>
      <w:kern w:val="2"/>
      <w:sz w:val="21"/>
      <w:szCs w:val="24"/>
    </w:rPr>
  </w:style>
  <w:style w:type="character" w:customStyle="1" w:styleId="178">
    <w:name w:val="Char Char22"/>
    <w:qFormat/>
    <w:uiPriority w:val="0"/>
    <w:rPr>
      <w:b/>
      <w:bCs/>
      <w:kern w:val="2"/>
      <w:sz w:val="32"/>
      <w:szCs w:val="32"/>
    </w:rPr>
  </w:style>
  <w:style w:type="character" w:customStyle="1" w:styleId="179">
    <w:name w:val="正文文本缩进 2 Char2"/>
    <w:semiHidden/>
    <w:qFormat/>
    <w:uiPriority w:val="99"/>
    <w:rPr>
      <w:rFonts w:ascii="Calibri" w:hAnsi="Calibri" w:eastAsia="宋体" w:cs="Times New Roman"/>
      <w:szCs w:val="24"/>
    </w:rPr>
  </w:style>
  <w:style w:type="character" w:customStyle="1" w:styleId="180">
    <w:name w:val="明显强调1"/>
    <w:qFormat/>
    <w:uiPriority w:val="0"/>
    <w:rPr>
      <w:b/>
      <w:bCs/>
      <w:i/>
      <w:iCs/>
      <w:color w:val="4F81BD"/>
    </w:rPr>
  </w:style>
  <w:style w:type="character" w:customStyle="1" w:styleId="181">
    <w:name w:val="Char Char14"/>
    <w:qFormat/>
    <w:uiPriority w:val="0"/>
    <w:rPr>
      <w:kern w:val="2"/>
      <w:sz w:val="18"/>
      <w:szCs w:val="18"/>
    </w:rPr>
  </w:style>
  <w:style w:type="character" w:customStyle="1" w:styleId="182">
    <w:name w:val="s3"/>
    <w:qFormat/>
    <w:uiPriority w:val="0"/>
  </w:style>
  <w:style w:type="character" w:customStyle="1" w:styleId="183">
    <w:name w:val="标题 1 Char"/>
    <w:qFormat/>
    <w:uiPriority w:val="0"/>
    <w:rPr>
      <w:rFonts w:ascii="Times New Roman" w:hAnsi="Times New Roman" w:eastAsia="宋体" w:cs="Times New Roman"/>
      <w:b/>
      <w:bCs/>
      <w:kern w:val="44"/>
      <w:sz w:val="44"/>
      <w:szCs w:val="44"/>
    </w:rPr>
  </w:style>
  <w:style w:type="character" w:customStyle="1" w:styleId="184">
    <w:name w:val="日期 Char3"/>
    <w:semiHidden/>
    <w:qFormat/>
    <w:uiPriority w:val="99"/>
    <w:rPr>
      <w:rFonts w:ascii="Calibri" w:hAnsi="Calibri" w:eastAsia="宋体" w:cs="Times New Roman"/>
      <w:szCs w:val="24"/>
    </w:rPr>
  </w:style>
  <w:style w:type="character" w:customStyle="1" w:styleId="185">
    <w:name w:val="标题 1 Char2"/>
    <w:link w:val="3"/>
    <w:qFormat/>
    <w:uiPriority w:val="0"/>
    <w:rPr>
      <w:rFonts w:eastAsia="宋体"/>
      <w:b/>
      <w:bCs/>
      <w:kern w:val="44"/>
      <w:sz w:val="44"/>
      <w:szCs w:val="44"/>
      <w:lang w:val="en-US" w:eastAsia="zh-CN" w:bidi="ar-SA"/>
    </w:rPr>
  </w:style>
  <w:style w:type="character" w:customStyle="1" w:styleId="186">
    <w:name w:val="title11"/>
    <w:qFormat/>
    <w:uiPriority w:val="0"/>
    <w:rPr>
      <w:b/>
      <w:bCs/>
      <w:color w:val="FFFFFF"/>
      <w:sz w:val="11"/>
      <w:szCs w:val="11"/>
    </w:rPr>
  </w:style>
  <w:style w:type="character" w:customStyle="1" w:styleId="187">
    <w:name w:val="明显引用 Char2"/>
    <w:qFormat/>
    <w:uiPriority w:val="99"/>
    <w:rPr>
      <w:b/>
      <w:bCs/>
      <w:i/>
      <w:iCs/>
      <w:color w:val="4F81BD"/>
      <w:kern w:val="2"/>
      <w:sz w:val="21"/>
      <w:szCs w:val="24"/>
    </w:rPr>
  </w:style>
  <w:style w:type="character" w:customStyle="1" w:styleId="188">
    <w:name w:val="引用 字符"/>
    <w:link w:val="117"/>
    <w:qFormat/>
    <w:uiPriority w:val="0"/>
    <w:rPr>
      <w:i/>
      <w:iCs/>
      <w:color w:val="000000"/>
      <w:kern w:val="2"/>
      <w:sz w:val="21"/>
      <w:szCs w:val="22"/>
      <w:lang w:bidi="ar-SA"/>
    </w:rPr>
  </w:style>
  <w:style w:type="character" w:customStyle="1" w:styleId="189">
    <w:name w:val="批注框文本 Char3"/>
    <w:semiHidden/>
    <w:qFormat/>
    <w:uiPriority w:val="99"/>
    <w:rPr>
      <w:rFonts w:ascii="Calibri" w:hAnsi="Calibri" w:eastAsia="宋体" w:cs="Times New Roman"/>
      <w:sz w:val="18"/>
      <w:szCs w:val="18"/>
    </w:rPr>
  </w:style>
  <w:style w:type="character" w:customStyle="1" w:styleId="190">
    <w:name w:val="标题 2 Char2"/>
    <w:link w:val="4"/>
    <w:qFormat/>
    <w:uiPriority w:val="0"/>
    <w:rPr>
      <w:rFonts w:ascii="Cambria" w:hAnsi="Cambria" w:eastAsia="宋体"/>
      <w:b/>
      <w:bCs/>
      <w:kern w:val="2"/>
      <w:sz w:val="32"/>
      <w:szCs w:val="32"/>
      <w:lang w:val="en-US" w:eastAsia="zh-CN" w:bidi="ar-SA"/>
    </w:rPr>
  </w:style>
  <w:style w:type="character" w:customStyle="1" w:styleId="191">
    <w:name w:val="Char Char33"/>
    <w:qFormat/>
    <w:uiPriority w:val="0"/>
    <w:rPr>
      <w:rFonts w:ascii="仿宋_GB2312" w:eastAsia="仿宋_GB2312" w:cs="MingLiU"/>
      <w:b/>
      <w:sz w:val="24"/>
      <w:szCs w:val="28"/>
    </w:rPr>
  </w:style>
  <w:style w:type="character" w:customStyle="1" w:styleId="192">
    <w:name w:val="标题 2 Char"/>
    <w:qFormat/>
    <w:uiPriority w:val="0"/>
    <w:rPr>
      <w:rFonts w:ascii="仿宋_GB2312" w:hAnsi="Calibri" w:eastAsia="仿宋_GB2312" w:cs="Times New Roman"/>
      <w:b/>
      <w:spacing w:val="1"/>
      <w:w w:val="99"/>
      <w:kern w:val="0"/>
      <w:sz w:val="28"/>
      <w:szCs w:val="32"/>
    </w:rPr>
  </w:style>
  <w:style w:type="character" w:customStyle="1" w:styleId="193">
    <w:name w:val="l1"/>
    <w:basedOn w:val="47"/>
    <w:qFormat/>
    <w:uiPriority w:val="0"/>
  </w:style>
  <w:style w:type="character" w:customStyle="1" w:styleId="194">
    <w:name w:val="手改 Char Char"/>
    <w:qFormat/>
    <w:uiPriority w:val="0"/>
    <w:rPr>
      <w:kern w:val="2"/>
      <w:sz w:val="21"/>
      <w:szCs w:val="24"/>
    </w:rPr>
  </w:style>
  <w:style w:type="character" w:customStyle="1" w:styleId="195">
    <w:name w:val="style21"/>
    <w:qFormat/>
    <w:uiPriority w:val="0"/>
    <w:rPr>
      <w:b/>
      <w:bCs/>
      <w:sz w:val="28"/>
      <w:szCs w:val="28"/>
    </w:rPr>
  </w:style>
  <w:style w:type="character" w:customStyle="1" w:styleId="196">
    <w:name w:val="Char Char24"/>
    <w:qFormat/>
    <w:uiPriority w:val="0"/>
    <w:rPr>
      <w:b/>
      <w:bCs/>
      <w:kern w:val="44"/>
      <w:sz w:val="44"/>
      <w:szCs w:val="44"/>
    </w:rPr>
  </w:style>
  <w:style w:type="character" w:customStyle="1" w:styleId="197">
    <w:name w:val="页脚 Char2"/>
    <w:link w:val="29"/>
    <w:qFormat/>
    <w:uiPriority w:val="0"/>
    <w:rPr>
      <w:rFonts w:eastAsia="宋体"/>
      <w:kern w:val="2"/>
      <w:sz w:val="18"/>
      <w:szCs w:val="18"/>
      <w:lang w:val="en-US" w:eastAsia="zh-CN" w:bidi="ar-SA"/>
    </w:rPr>
  </w:style>
  <w:style w:type="character" w:customStyle="1" w:styleId="198">
    <w:name w:val="_Style 197"/>
    <w:qFormat/>
    <w:uiPriority w:val="0"/>
    <w:rPr>
      <w:b/>
      <w:bCs/>
      <w:smallCaps/>
      <w:spacing w:val="5"/>
    </w:rPr>
  </w:style>
  <w:style w:type="character" w:customStyle="1" w:styleId="199">
    <w:name w:val="纯文本 Char1"/>
    <w:qFormat/>
    <w:uiPriority w:val="0"/>
    <w:rPr>
      <w:rFonts w:ascii="宋体" w:hAnsi="Courier New" w:cs="Courier New"/>
      <w:kern w:val="2"/>
      <w:sz w:val="21"/>
      <w:szCs w:val="21"/>
    </w:rPr>
  </w:style>
  <w:style w:type="character" w:customStyle="1" w:styleId="200">
    <w:name w:val="尾注文本 Char"/>
    <w:qFormat/>
    <w:uiPriority w:val="0"/>
    <w:rPr>
      <w:kern w:val="2"/>
      <w:sz w:val="21"/>
      <w:szCs w:val="24"/>
    </w:rPr>
  </w:style>
  <w:style w:type="character" w:customStyle="1" w:styleId="201">
    <w:name w:val="日期 Char1"/>
    <w:qFormat/>
    <w:uiPriority w:val="0"/>
    <w:rPr>
      <w:kern w:val="2"/>
      <w:sz w:val="21"/>
      <w:szCs w:val="22"/>
    </w:rPr>
  </w:style>
  <w:style w:type="character" w:customStyle="1" w:styleId="202">
    <w:name w:val="纯文本 Char3"/>
    <w:link w:val="23"/>
    <w:qFormat/>
    <w:uiPriority w:val="0"/>
    <w:rPr>
      <w:rFonts w:ascii="宋体" w:hAnsi="Courier New" w:eastAsia="宋体" w:cs="Courier New"/>
      <w:kern w:val="2"/>
      <w:sz w:val="21"/>
      <w:szCs w:val="21"/>
      <w:lang w:val="en-US" w:eastAsia="zh-CN" w:bidi="ar-SA"/>
    </w:rPr>
  </w:style>
  <w:style w:type="character" w:customStyle="1" w:styleId="203">
    <w:name w:val="正文文本 Char1"/>
    <w:qFormat/>
    <w:uiPriority w:val="0"/>
    <w:rPr>
      <w:kern w:val="2"/>
      <w:sz w:val="21"/>
      <w:szCs w:val="22"/>
    </w:rPr>
  </w:style>
  <w:style w:type="character" w:customStyle="1" w:styleId="204">
    <w:name w:val="标题 9 Char1"/>
    <w:qFormat/>
    <w:uiPriority w:val="0"/>
    <w:rPr>
      <w:rFonts w:ascii="Times New Roman" w:hAnsi="Times New Roman" w:eastAsia="仿宋_GB2312" w:cs="Times New Roman"/>
      <w:sz w:val="30"/>
      <w:szCs w:val="20"/>
    </w:rPr>
  </w:style>
  <w:style w:type="character" w:customStyle="1" w:styleId="205">
    <w:name w:val="批注框文本 Char4"/>
    <w:link w:val="28"/>
    <w:qFormat/>
    <w:uiPriority w:val="0"/>
    <w:rPr>
      <w:rFonts w:eastAsia="宋体"/>
      <w:kern w:val="2"/>
      <w:sz w:val="18"/>
      <w:szCs w:val="18"/>
      <w:lang w:val="en-US" w:eastAsia="zh-CN" w:bidi="ar-SA"/>
    </w:rPr>
  </w:style>
  <w:style w:type="character" w:customStyle="1" w:styleId="206">
    <w:name w:val="脚注文本 Char1"/>
    <w:qFormat/>
    <w:uiPriority w:val="0"/>
    <w:rPr>
      <w:rFonts w:ascii="Arial" w:hAnsi="Arial" w:cs="Arial"/>
      <w:sz w:val="18"/>
      <w:szCs w:val="18"/>
      <w:lang w:eastAsia="en-US"/>
    </w:rPr>
  </w:style>
  <w:style w:type="character" w:customStyle="1" w:styleId="207">
    <w:name w:val="正文文本缩进 Char"/>
    <w:qFormat/>
    <w:uiPriority w:val="0"/>
    <w:rPr>
      <w:rFonts w:ascii="黑体" w:hAnsi="宋体" w:eastAsia="黑体"/>
      <w:color w:val="000000"/>
      <w:sz w:val="28"/>
      <w:szCs w:val="32"/>
    </w:rPr>
  </w:style>
  <w:style w:type="character" w:customStyle="1" w:styleId="208">
    <w:name w:val="HTML 预设格式 Char1"/>
    <w:qFormat/>
    <w:uiPriority w:val="0"/>
    <w:rPr>
      <w:rFonts w:ascii="宋体" w:hAnsi="宋体" w:cs="宋体"/>
      <w:color w:val="000000"/>
      <w:sz w:val="24"/>
      <w:szCs w:val="24"/>
    </w:rPr>
  </w:style>
  <w:style w:type="character" w:customStyle="1" w:styleId="209">
    <w:name w:val="引用 Char3"/>
    <w:qFormat/>
    <w:uiPriority w:val="29"/>
    <w:rPr>
      <w:rFonts w:ascii="Calibri" w:hAnsi="Calibri" w:eastAsia="宋体" w:cs="Times New Roman"/>
      <w:i/>
      <w:iCs/>
      <w:color w:val="000000"/>
      <w:szCs w:val="24"/>
    </w:rPr>
  </w:style>
  <w:style w:type="character" w:customStyle="1" w:styleId="210">
    <w:name w:val="尾注文本 Char3"/>
    <w:link w:val="27"/>
    <w:qFormat/>
    <w:uiPriority w:val="0"/>
    <w:rPr>
      <w:rFonts w:ascii="Arial" w:hAnsi="Arial" w:eastAsia="宋体" w:cs="Arial"/>
      <w:szCs w:val="24"/>
      <w:lang w:val="en-US" w:eastAsia="en-US" w:bidi="ar-SA"/>
    </w:rPr>
  </w:style>
  <w:style w:type="character" w:customStyle="1" w:styleId="211">
    <w:name w:val="标题 7 Char1"/>
    <w:qFormat/>
    <w:uiPriority w:val="0"/>
    <w:rPr>
      <w:rFonts w:ascii="Times New Roman" w:hAnsi="Times New Roman" w:eastAsia="仿宋_GB2312" w:cs="Times New Roman"/>
      <w:sz w:val="30"/>
      <w:szCs w:val="20"/>
    </w:rPr>
  </w:style>
  <w:style w:type="character" w:customStyle="1" w:styleId="212">
    <w:name w:val="普通文字 Char Char1"/>
    <w:qFormat/>
    <w:uiPriority w:val="0"/>
    <w:rPr>
      <w:rFonts w:ascii="宋体" w:hAnsi="Courier New"/>
      <w:kern w:val="2"/>
      <w:sz w:val="28"/>
      <w:szCs w:val="28"/>
    </w:rPr>
  </w:style>
  <w:style w:type="character" w:customStyle="1" w:styleId="213">
    <w:name w:val="明显参考1"/>
    <w:qFormat/>
    <w:uiPriority w:val="0"/>
    <w:rPr>
      <w:b/>
      <w:bCs/>
      <w:smallCaps/>
      <w:color w:val="C0504D"/>
      <w:spacing w:val="5"/>
      <w:u w:val="single"/>
    </w:rPr>
  </w:style>
  <w:style w:type="character" w:customStyle="1" w:styleId="214">
    <w:name w:val="正文文本缩进 Char1"/>
    <w:qFormat/>
    <w:uiPriority w:val="0"/>
    <w:rPr>
      <w:kern w:val="2"/>
      <w:sz w:val="21"/>
      <w:szCs w:val="24"/>
    </w:rPr>
  </w:style>
  <w:style w:type="character" w:customStyle="1" w:styleId="215">
    <w:name w:val="页眉 Char"/>
    <w:qFormat/>
    <w:uiPriority w:val="0"/>
    <w:rPr>
      <w:sz w:val="18"/>
      <w:szCs w:val="18"/>
    </w:rPr>
  </w:style>
  <w:style w:type="character" w:customStyle="1" w:styleId="216">
    <w:name w:val="style31"/>
    <w:qFormat/>
    <w:uiPriority w:val="0"/>
    <w:rPr>
      <w:sz w:val="10"/>
      <w:szCs w:val="10"/>
    </w:rPr>
  </w:style>
  <w:style w:type="character" w:customStyle="1" w:styleId="217">
    <w:name w:val="日期 Char"/>
    <w:qFormat/>
    <w:uiPriority w:val="0"/>
    <w:rPr>
      <w:rFonts w:eastAsia="宋体"/>
      <w:szCs w:val="24"/>
    </w:rPr>
  </w:style>
  <w:style w:type="character" w:customStyle="1" w:styleId="218">
    <w:name w:val="标题 1 Char1"/>
    <w:qFormat/>
    <w:uiPriority w:val="0"/>
    <w:rPr>
      <w:rFonts w:ascii="Times New Roman" w:hAnsi="Times New Roman" w:eastAsia="宋体" w:cs="Times New Roman"/>
      <w:b/>
      <w:bCs/>
      <w:kern w:val="44"/>
      <w:sz w:val="44"/>
      <w:szCs w:val="44"/>
    </w:rPr>
  </w:style>
  <w:style w:type="character" w:customStyle="1" w:styleId="219">
    <w:name w:val="main_tdbg_7601"/>
    <w:qFormat/>
    <w:uiPriority w:val="0"/>
    <w:rPr>
      <w:sz w:val="14"/>
      <w:szCs w:val="14"/>
    </w:rPr>
  </w:style>
  <w:style w:type="character" w:customStyle="1" w:styleId="220">
    <w:name w:val="尾注文本 Char1"/>
    <w:qFormat/>
    <w:uiPriority w:val="0"/>
    <w:rPr>
      <w:rFonts w:ascii="Arial" w:hAnsi="Arial" w:cs="Arial"/>
      <w:szCs w:val="24"/>
      <w:lang w:eastAsia="en-US"/>
    </w:rPr>
  </w:style>
  <w:style w:type="character" w:customStyle="1" w:styleId="221">
    <w:name w:val="副标题 Char2"/>
    <w:qFormat/>
    <w:uiPriority w:val="11"/>
    <w:rPr>
      <w:rFonts w:ascii="Cambria" w:hAnsi="Cambria" w:eastAsia="宋体" w:cs="Times New Roman"/>
      <w:b/>
      <w:bCs/>
      <w:kern w:val="28"/>
      <w:sz w:val="32"/>
      <w:szCs w:val="32"/>
    </w:rPr>
  </w:style>
  <w:style w:type="character" w:customStyle="1" w:styleId="222">
    <w:name w:val="正文文本缩进 3 Char2"/>
    <w:semiHidden/>
    <w:qFormat/>
    <w:uiPriority w:val="99"/>
    <w:rPr>
      <w:rFonts w:ascii="Calibri" w:hAnsi="Calibri" w:eastAsia="宋体" w:cs="Times New Roman"/>
      <w:sz w:val="16"/>
      <w:szCs w:val="16"/>
    </w:rPr>
  </w:style>
  <w:style w:type="character" w:customStyle="1" w:styleId="223">
    <w:name w:val="Char Char34"/>
    <w:qFormat/>
    <w:uiPriority w:val="0"/>
    <w:rPr>
      <w:rFonts w:ascii="仿宋_GB2312" w:eastAsia="仿宋_GB2312" w:cs="MingLiU"/>
      <w:b/>
      <w:spacing w:val="1"/>
      <w:w w:val="99"/>
      <w:sz w:val="28"/>
      <w:szCs w:val="32"/>
    </w:rPr>
  </w:style>
  <w:style w:type="character" w:customStyle="1" w:styleId="224">
    <w:name w:val="docpro"/>
    <w:basedOn w:val="47"/>
    <w:qFormat/>
    <w:uiPriority w:val="0"/>
  </w:style>
  <w:style w:type="character" w:customStyle="1" w:styleId="225">
    <w:name w:val="正文文本 Char4"/>
    <w:link w:val="2"/>
    <w:qFormat/>
    <w:uiPriority w:val="0"/>
    <w:rPr>
      <w:rFonts w:eastAsia="宋体"/>
      <w:kern w:val="2"/>
      <w:sz w:val="21"/>
      <w:szCs w:val="24"/>
      <w:lang w:val="en-US" w:eastAsia="zh-CN" w:bidi="ar-SA"/>
    </w:rPr>
  </w:style>
  <w:style w:type="character" w:customStyle="1" w:styleId="226">
    <w:name w:val="ITTHEADER1 Char"/>
    <w:qFormat/>
    <w:uiPriority w:val="0"/>
    <w:rPr>
      <w:rFonts w:eastAsia="黑体"/>
      <w:kern w:val="2"/>
      <w:sz w:val="44"/>
      <w:szCs w:val="44"/>
      <w:lang w:val="en-US" w:eastAsia="zh-CN" w:bidi="ar-SA"/>
    </w:rPr>
  </w:style>
  <w:style w:type="character" w:customStyle="1" w:styleId="227">
    <w:name w:val="副标题 Char"/>
    <w:qFormat/>
    <w:uiPriority w:val="0"/>
    <w:rPr>
      <w:rFonts w:ascii="Cambria" w:hAnsi="Cambria" w:eastAsia="宋体" w:cs="Times New Roman"/>
      <w:b/>
      <w:bCs/>
      <w:kern w:val="28"/>
      <w:sz w:val="32"/>
      <w:szCs w:val="32"/>
    </w:rPr>
  </w:style>
  <w:style w:type="character" w:customStyle="1" w:styleId="228">
    <w:name w:val="标题 6 Char2"/>
    <w:link w:val="8"/>
    <w:qFormat/>
    <w:uiPriority w:val="0"/>
    <w:rPr>
      <w:rFonts w:hAnsi="Arial" w:eastAsia="仿宋_GB2312"/>
      <w:sz w:val="30"/>
      <w:lang w:val="en-US" w:eastAsia="zh-CN" w:bidi="ar-SA"/>
    </w:rPr>
  </w:style>
  <w:style w:type="character" w:customStyle="1" w:styleId="229">
    <w:name w:val="标题 Char2"/>
    <w:qFormat/>
    <w:uiPriority w:val="10"/>
    <w:rPr>
      <w:rFonts w:ascii="Cambria" w:hAnsi="Cambria" w:eastAsia="宋体" w:cs="Times New Roman"/>
      <w:b/>
      <w:bCs/>
      <w:sz w:val="32"/>
      <w:szCs w:val="32"/>
    </w:rPr>
  </w:style>
  <w:style w:type="character" w:customStyle="1" w:styleId="230">
    <w:name w:val="正文文本 Char2"/>
    <w:qFormat/>
    <w:uiPriority w:val="99"/>
    <w:rPr>
      <w:kern w:val="2"/>
      <w:sz w:val="21"/>
      <w:szCs w:val="24"/>
    </w:rPr>
  </w:style>
  <w:style w:type="character" w:customStyle="1" w:styleId="231">
    <w:name w:val="正文文本 2 Char"/>
    <w:link w:val="39"/>
    <w:qFormat/>
    <w:uiPriority w:val="0"/>
    <w:rPr>
      <w:i/>
      <w:iCs/>
      <w:kern w:val="2"/>
      <w:sz w:val="26"/>
      <w:szCs w:val="24"/>
    </w:rPr>
  </w:style>
  <w:style w:type="character" w:customStyle="1" w:styleId="232">
    <w:name w:val="0d1471"/>
    <w:qFormat/>
    <w:uiPriority w:val="0"/>
    <w:rPr>
      <w:color w:val="000000"/>
      <w:sz w:val="11"/>
      <w:szCs w:val="11"/>
      <w:u w:val="none"/>
    </w:rPr>
  </w:style>
  <w:style w:type="character" w:customStyle="1" w:styleId="233">
    <w:name w:val="批注主题 Char"/>
    <w:qFormat/>
    <w:uiPriority w:val="0"/>
    <w:rPr>
      <w:rFonts w:ascii="宋体" w:hAnsi="宋体" w:eastAsia="宋体"/>
      <w:kern w:val="2"/>
      <w:sz w:val="24"/>
      <w:szCs w:val="28"/>
      <w:lang w:val="en-US" w:eastAsia="zh-CN" w:bidi="ar-SA"/>
    </w:rPr>
  </w:style>
  <w:style w:type="character" w:customStyle="1" w:styleId="234">
    <w:name w:val="正文文本 2 Char1"/>
    <w:semiHidden/>
    <w:qFormat/>
    <w:uiPriority w:val="99"/>
    <w:rPr>
      <w:rFonts w:ascii="Calibri" w:hAnsi="Calibri" w:eastAsia="宋体" w:cs="Times New Roman"/>
      <w:szCs w:val="24"/>
    </w:rPr>
  </w:style>
  <w:style w:type="character" w:customStyle="1" w:styleId="235">
    <w:name w:val="批注框文本 Char1"/>
    <w:qFormat/>
    <w:uiPriority w:val="0"/>
    <w:rPr>
      <w:kern w:val="2"/>
      <w:sz w:val="18"/>
      <w:szCs w:val="18"/>
    </w:rPr>
  </w:style>
  <w:style w:type="character" w:customStyle="1" w:styleId="236">
    <w:name w:val="标题 Char3"/>
    <w:link w:val="43"/>
    <w:qFormat/>
    <w:uiPriority w:val="0"/>
    <w:rPr>
      <w:rFonts w:eastAsia="宋体"/>
      <w:szCs w:val="24"/>
      <w:u w:val="single"/>
      <w:lang w:val="en-US" w:eastAsia="en-US" w:bidi="ar-SA"/>
    </w:rPr>
  </w:style>
  <w:style w:type="character" w:customStyle="1" w:styleId="237">
    <w:name w:val="正文文本缩进 2 Char3"/>
    <w:link w:val="26"/>
    <w:qFormat/>
    <w:uiPriority w:val="0"/>
    <w:rPr>
      <w:rFonts w:eastAsia="宋体"/>
      <w:sz w:val="28"/>
      <w:szCs w:val="24"/>
      <w:lang w:val="en-US" w:eastAsia="zh-CN" w:bidi="ar-SA"/>
    </w:rPr>
  </w:style>
  <w:style w:type="character" w:customStyle="1" w:styleId="238">
    <w:name w:val="引用 Char"/>
    <w:link w:val="115"/>
    <w:qFormat/>
    <w:uiPriority w:val="0"/>
    <w:rPr>
      <w:rFonts w:ascii="Times New Roman" w:hAnsi="Times New Roman" w:eastAsia="宋体" w:cs="Times New Roman"/>
      <w:i/>
      <w:iCs/>
      <w:color w:val="000000"/>
      <w:kern w:val="2"/>
      <w:sz w:val="21"/>
      <w:szCs w:val="24"/>
    </w:rPr>
  </w:style>
  <w:style w:type="character" w:customStyle="1" w:styleId="239">
    <w:name w:val="font161"/>
    <w:qFormat/>
    <w:uiPriority w:val="0"/>
    <w:rPr>
      <w:b/>
      <w:bCs/>
      <w:sz w:val="32"/>
      <w:szCs w:val="32"/>
    </w:rPr>
  </w:style>
  <w:style w:type="character" w:customStyle="1" w:styleId="240">
    <w:name w:val="正文文本缩进 Char3"/>
    <w:link w:val="18"/>
    <w:qFormat/>
    <w:uiPriority w:val="0"/>
    <w:rPr>
      <w:rFonts w:eastAsia="宋体"/>
      <w:kern w:val="2"/>
      <w:sz w:val="21"/>
      <w:szCs w:val="24"/>
      <w:lang w:val="en-US" w:eastAsia="zh-CN" w:bidi="ar-SA"/>
    </w:rPr>
  </w:style>
  <w:style w:type="character" w:customStyle="1" w:styleId="241">
    <w:name w:val="标题 9 Char2"/>
    <w:link w:val="12"/>
    <w:qFormat/>
    <w:uiPriority w:val="0"/>
    <w:rPr>
      <w:rFonts w:eastAsia="仿宋_GB2312"/>
      <w:sz w:val="30"/>
      <w:lang w:val="en-US" w:eastAsia="zh-CN" w:bidi="ar-SA"/>
    </w:rPr>
  </w:style>
  <w:style w:type="character" w:customStyle="1" w:styleId="242">
    <w:name w:val="标题 8 Char2"/>
    <w:link w:val="11"/>
    <w:qFormat/>
    <w:uiPriority w:val="0"/>
    <w:rPr>
      <w:rFonts w:hAnsi="Arial" w:eastAsia="仿宋_GB2312"/>
      <w:sz w:val="30"/>
      <w:lang w:val="en-US" w:eastAsia="zh-CN" w:bidi="ar-SA"/>
    </w:rPr>
  </w:style>
  <w:style w:type="character" w:customStyle="1" w:styleId="243">
    <w:name w:val="Char Char32"/>
    <w:qFormat/>
    <w:uiPriority w:val="0"/>
    <w:rPr>
      <w:rFonts w:ascii="仿宋_GB2312" w:eastAsia="仿宋_GB2312" w:cs="MingLiU"/>
      <w:b/>
      <w:spacing w:val="1"/>
      <w:w w:val="99"/>
      <w:sz w:val="28"/>
      <w:szCs w:val="32"/>
    </w:rPr>
  </w:style>
  <w:style w:type="character" w:customStyle="1" w:styleId="244">
    <w:name w:val="正文文本缩进 3 Char3"/>
    <w:link w:val="36"/>
    <w:qFormat/>
    <w:uiPriority w:val="0"/>
    <w:rPr>
      <w:rFonts w:ascii="宋体" w:hAnsi="宋体" w:eastAsia="宋体"/>
      <w:kern w:val="2"/>
      <w:sz w:val="28"/>
      <w:szCs w:val="28"/>
      <w:lang w:val="en-US" w:eastAsia="zh-CN" w:bidi="ar-SA"/>
    </w:rPr>
  </w:style>
  <w:style w:type="character" w:customStyle="1" w:styleId="245">
    <w:name w:val="标题 2 Char1"/>
    <w:qFormat/>
    <w:uiPriority w:val="0"/>
    <w:rPr>
      <w:rFonts w:ascii="Cambria" w:hAnsi="Cambria" w:eastAsia="宋体" w:cs="Times New Roman"/>
      <w:b/>
      <w:bCs/>
      <w:kern w:val="2"/>
      <w:sz w:val="32"/>
      <w:szCs w:val="32"/>
    </w:rPr>
  </w:style>
  <w:style w:type="character" w:customStyle="1" w:styleId="246">
    <w:name w:val="ss16"/>
    <w:qFormat/>
    <w:uiPriority w:val="0"/>
    <w:rPr>
      <w:rFonts w:hint="eastAsia" w:ascii="宋体" w:hAnsi="宋体" w:eastAsia="宋体"/>
      <w:color w:val="000000"/>
      <w:sz w:val="9"/>
      <w:szCs w:val="9"/>
    </w:rPr>
  </w:style>
  <w:style w:type="character" w:customStyle="1" w:styleId="247">
    <w:name w:val="批注主题 Char3"/>
    <w:semiHidden/>
    <w:qFormat/>
    <w:uiPriority w:val="99"/>
    <w:rPr>
      <w:rFonts w:ascii="Calibri" w:hAnsi="Calibri" w:eastAsia="宋体" w:cs="Times New Roman"/>
      <w:b/>
      <w:bCs/>
      <w:szCs w:val="24"/>
    </w:rPr>
  </w:style>
  <w:style w:type="character" w:customStyle="1" w:styleId="248">
    <w:name w:val="明显引用 Char1"/>
    <w:link w:val="132"/>
    <w:qFormat/>
    <w:uiPriority w:val="30"/>
    <w:rPr>
      <w:b/>
      <w:bCs/>
      <w:i/>
      <w:iCs/>
      <w:color w:val="4F81BD"/>
      <w:kern w:val="2"/>
      <w:sz w:val="21"/>
    </w:rPr>
  </w:style>
  <w:style w:type="character" w:customStyle="1" w:styleId="249">
    <w:name w:val="HTML 预设格式 Char2"/>
    <w:semiHidden/>
    <w:qFormat/>
    <w:uiPriority w:val="99"/>
    <w:rPr>
      <w:rFonts w:ascii="Courier New" w:hAnsi="Courier New" w:eastAsia="宋体" w:cs="Courier New"/>
      <w:sz w:val="20"/>
      <w:szCs w:val="20"/>
    </w:rPr>
  </w:style>
  <w:style w:type="character" w:customStyle="1" w:styleId="250">
    <w:name w:val="Char Char17"/>
    <w:qFormat/>
    <w:uiPriority w:val="0"/>
    <w:rPr>
      <w:kern w:val="2"/>
      <w:sz w:val="26"/>
      <w:szCs w:val="24"/>
    </w:rPr>
  </w:style>
  <w:style w:type="character" w:customStyle="1" w:styleId="251">
    <w:name w:val="标题 3 Char1"/>
    <w:qFormat/>
    <w:uiPriority w:val="0"/>
    <w:rPr>
      <w:rFonts w:ascii="Times New Roman" w:hAnsi="Times New Roman" w:eastAsia="宋体" w:cs="Times New Roman"/>
      <w:b/>
      <w:bCs/>
      <w:kern w:val="2"/>
      <w:sz w:val="32"/>
      <w:szCs w:val="32"/>
    </w:rPr>
  </w:style>
  <w:style w:type="character" w:customStyle="1" w:styleId="252">
    <w:name w:val="标题 5 Char"/>
    <w:qFormat/>
    <w:uiPriority w:val="0"/>
    <w:rPr>
      <w:rFonts w:ascii="Calibri" w:hAnsi="Calibri" w:eastAsia="宋体" w:cs="Times New Roman"/>
      <w:b/>
      <w:bCs/>
      <w:sz w:val="28"/>
      <w:szCs w:val="28"/>
    </w:rPr>
  </w:style>
  <w:style w:type="character" w:customStyle="1" w:styleId="253">
    <w:name w:val="页脚 Char1"/>
    <w:semiHidden/>
    <w:qFormat/>
    <w:uiPriority w:val="99"/>
    <w:rPr>
      <w:kern w:val="2"/>
      <w:sz w:val="18"/>
      <w:szCs w:val="18"/>
    </w:rPr>
  </w:style>
  <w:style w:type="character" w:customStyle="1" w:styleId="254">
    <w:name w:val="unnamed1"/>
    <w:basedOn w:val="47"/>
    <w:qFormat/>
    <w:uiPriority w:val="0"/>
  </w:style>
  <w:style w:type="character" w:customStyle="1" w:styleId="255">
    <w:name w:val="Char Char9"/>
    <w:qFormat/>
    <w:locked/>
    <w:uiPriority w:val="0"/>
    <w:rPr>
      <w:rFonts w:ascii="仿宋_GB2312" w:eastAsia="仿宋_GB2312" w:cs="MingLiU"/>
      <w:b/>
      <w:sz w:val="24"/>
      <w:szCs w:val="28"/>
      <w:lang w:val="en-US" w:eastAsia="zh-CN" w:bidi="ar-SA"/>
    </w:rPr>
  </w:style>
  <w:style w:type="character" w:customStyle="1" w:styleId="256">
    <w:name w:val="批注主题 Char1"/>
    <w:qFormat/>
    <w:uiPriority w:val="0"/>
    <w:rPr>
      <w:b/>
      <w:bCs/>
      <w:kern w:val="2"/>
      <w:sz w:val="21"/>
      <w:szCs w:val="22"/>
    </w:rPr>
  </w:style>
  <w:style w:type="character" w:customStyle="1" w:styleId="257">
    <w:name w:val="正文文本 3 Char3"/>
    <w:link w:val="17"/>
    <w:qFormat/>
    <w:uiPriority w:val="0"/>
    <w:rPr>
      <w:rFonts w:eastAsia="宋体"/>
      <w:kern w:val="2"/>
      <w:sz w:val="16"/>
      <w:szCs w:val="16"/>
      <w:lang w:val="en-US" w:eastAsia="zh-CN" w:bidi="ar-SA"/>
    </w:rPr>
  </w:style>
  <w:style w:type="character" w:customStyle="1" w:styleId="258">
    <w:name w:val="纯文本 Char2"/>
    <w:semiHidden/>
    <w:qFormat/>
    <w:uiPriority w:val="99"/>
    <w:rPr>
      <w:rFonts w:ascii="宋体" w:hAnsi="Courier New" w:eastAsia="宋体" w:cs="Courier New"/>
      <w:szCs w:val="21"/>
    </w:rPr>
  </w:style>
  <w:style w:type="character" w:customStyle="1" w:styleId="259">
    <w:name w:val="intel3"/>
    <w:basedOn w:val="47"/>
    <w:qFormat/>
    <w:uiPriority w:val="0"/>
  </w:style>
  <w:style w:type="character" w:customStyle="1" w:styleId="260">
    <w:name w:val="subhead1"/>
    <w:qFormat/>
    <w:uiPriority w:val="0"/>
    <w:rPr>
      <w:rFonts w:hint="default" w:ascii="Tahoma" w:hAnsi="Tahoma" w:cs="Tahoma"/>
      <w:color w:val="000000"/>
      <w:sz w:val="18"/>
      <w:szCs w:val="18"/>
      <w:u w:val="none"/>
      <w:shd w:val="clear" w:color="auto" w:fill="FFFFFF"/>
    </w:rPr>
  </w:style>
  <w:style w:type="character" w:customStyle="1" w:styleId="261">
    <w:name w:val="脚注文本 Char"/>
    <w:qFormat/>
    <w:uiPriority w:val="0"/>
    <w:rPr>
      <w:rFonts w:ascii="Arial" w:hAnsi="Arial" w:eastAsia="宋体" w:cs="Arial"/>
      <w:sz w:val="18"/>
      <w:szCs w:val="18"/>
      <w:lang w:eastAsia="en-US"/>
    </w:rPr>
  </w:style>
  <w:style w:type="character" w:customStyle="1" w:styleId="262">
    <w:name w:val="引用 Char1"/>
    <w:link w:val="137"/>
    <w:qFormat/>
    <w:uiPriority w:val="29"/>
    <w:rPr>
      <w:i/>
      <w:iCs/>
      <w:color w:val="000000"/>
      <w:kern w:val="2"/>
      <w:sz w:val="21"/>
    </w:rPr>
  </w:style>
  <w:style w:type="character" w:customStyle="1" w:styleId="263">
    <w:name w:val="正文文本缩进 2 Char"/>
    <w:qFormat/>
    <w:uiPriority w:val="0"/>
    <w:rPr>
      <w:kern w:val="2"/>
      <w:sz w:val="21"/>
      <w:szCs w:val="24"/>
    </w:rPr>
  </w:style>
  <w:style w:type="character" w:customStyle="1" w:styleId="264">
    <w:name w:val="脚注文本 Char2"/>
    <w:semiHidden/>
    <w:qFormat/>
    <w:uiPriority w:val="99"/>
    <w:rPr>
      <w:rFonts w:ascii="Calibri" w:hAnsi="Calibri" w:eastAsia="宋体" w:cs="Times New Roman"/>
      <w:sz w:val="18"/>
      <w:szCs w:val="18"/>
    </w:rPr>
  </w:style>
  <w:style w:type="character" w:customStyle="1" w:styleId="265">
    <w:name w:val="ca-141"/>
    <w:qFormat/>
    <w:uiPriority w:val="0"/>
    <w:rPr>
      <w:rFonts w:hint="eastAsia" w:ascii="仿宋_GB2312" w:eastAsia="仿宋_GB2312"/>
      <w:sz w:val="21"/>
      <w:szCs w:val="21"/>
    </w:rPr>
  </w:style>
  <w:style w:type="character" w:customStyle="1" w:styleId="266">
    <w:name w:val="标题 Char1"/>
    <w:qFormat/>
    <w:uiPriority w:val="10"/>
    <w:rPr>
      <w:szCs w:val="24"/>
      <w:u w:val="single"/>
      <w:lang w:eastAsia="en-US"/>
    </w:rPr>
  </w:style>
  <w:style w:type="character" w:customStyle="1" w:styleId="267">
    <w:name w:val="style161"/>
    <w:qFormat/>
    <w:uiPriority w:val="0"/>
    <w:rPr>
      <w:b/>
      <w:bCs/>
      <w:color w:val="333333"/>
    </w:rPr>
  </w:style>
  <w:style w:type="character" w:customStyle="1" w:styleId="268">
    <w:name w:val="Char Char11"/>
    <w:qFormat/>
    <w:locked/>
    <w:uiPriority w:val="0"/>
    <w:rPr>
      <w:rFonts w:eastAsia="黑体"/>
      <w:kern w:val="2"/>
      <w:sz w:val="44"/>
      <w:szCs w:val="44"/>
      <w:lang w:val="en-US" w:eastAsia="zh-CN" w:bidi="ar-SA"/>
    </w:rPr>
  </w:style>
  <w:style w:type="character" w:customStyle="1" w:styleId="269">
    <w:name w:val="标题 7 Char"/>
    <w:qFormat/>
    <w:uiPriority w:val="0"/>
    <w:rPr>
      <w:rFonts w:ascii="Calibri" w:hAnsi="Calibri" w:eastAsia="宋体" w:cs="Times New Roman"/>
      <w:b/>
      <w:bCs/>
      <w:sz w:val="24"/>
      <w:szCs w:val="24"/>
    </w:rPr>
  </w:style>
  <w:style w:type="character" w:customStyle="1" w:styleId="270">
    <w:name w:val="批注文字 Char1"/>
    <w:qFormat/>
    <w:uiPriority w:val="99"/>
    <w:rPr>
      <w:rFonts w:ascii="Times New Roman" w:hAnsi="Times New Roman" w:eastAsia="宋体" w:cs="Times New Roman"/>
      <w:szCs w:val="24"/>
    </w:rPr>
  </w:style>
  <w:style w:type="character" w:customStyle="1" w:styleId="271">
    <w:name w:val="明显引用 Char"/>
    <w:qFormat/>
    <w:uiPriority w:val="0"/>
    <w:rPr>
      <w:rFonts w:ascii="Times New Roman" w:hAnsi="Times New Roman" w:eastAsia="宋体" w:cs="Times New Roman"/>
      <w:b/>
      <w:bCs/>
      <w:i/>
      <w:iCs/>
      <w:color w:val="4F81BD"/>
      <w:kern w:val="2"/>
      <w:sz w:val="21"/>
      <w:szCs w:val="24"/>
    </w:rPr>
  </w:style>
  <w:style w:type="character" w:customStyle="1" w:styleId="272">
    <w:name w:val="标题 5 Char2"/>
    <w:link w:val="7"/>
    <w:qFormat/>
    <w:uiPriority w:val="0"/>
    <w:rPr>
      <w:rFonts w:ascii="宋体" w:hAnsi="宋体" w:eastAsia="宋体" w:cs="宋体"/>
      <w:b/>
      <w:bCs/>
      <w:lang w:val="en-US" w:eastAsia="zh-CN" w:bidi="ar-SA"/>
    </w:rPr>
  </w:style>
  <w:style w:type="character" w:customStyle="1" w:styleId="273">
    <w:name w:val="正文文本缩进 3 Char1"/>
    <w:qFormat/>
    <w:uiPriority w:val="0"/>
    <w:rPr>
      <w:rFonts w:ascii="宋体" w:hAnsi="宋体"/>
      <w:kern w:val="2"/>
      <w:sz w:val="28"/>
      <w:szCs w:val="28"/>
    </w:rPr>
  </w:style>
  <w:style w:type="character" w:customStyle="1" w:styleId="274">
    <w:name w:val="正文文本 Char"/>
    <w:qFormat/>
    <w:uiPriority w:val="0"/>
    <w:rPr>
      <w:sz w:val="26"/>
      <w:szCs w:val="24"/>
    </w:rPr>
  </w:style>
  <w:style w:type="character" w:customStyle="1" w:styleId="275">
    <w:name w:val="明显引用 字符"/>
    <w:link w:val="81"/>
    <w:qFormat/>
    <w:uiPriority w:val="0"/>
    <w:rPr>
      <w:b/>
      <w:bCs/>
      <w:i/>
      <w:iCs/>
      <w:color w:val="4F81BD"/>
      <w:kern w:val="2"/>
      <w:sz w:val="21"/>
      <w:szCs w:val="22"/>
      <w:lang w:bidi="ar-SA"/>
    </w:rPr>
  </w:style>
  <w:style w:type="character" w:customStyle="1" w:styleId="276">
    <w:name w:val="Char Char12"/>
    <w:qFormat/>
    <w:uiPriority w:val="0"/>
    <w:rPr>
      <w:rFonts w:eastAsia="黑体"/>
      <w:kern w:val="2"/>
      <w:sz w:val="44"/>
      <w:szCs w:val="44"/>
      <w:lang w:val="en-US" w:eastAsia="zh-CN" w:bidi="ar-SA"/>
    </w:rPr>
  </w:style>
  <w:style w:type="character" w:customStyle="1" w:styleId="277">
    <w:name w:val="标题 4 Char"/>
    <w:qFormat/>
    <w:uiPriority w:val="0"/>
    <w:rPr>
      <w:rFonts w:ascii="仿宋_GB2312" w:hAnsi="Calibri" w:eastAsia="仿宋_GB2312" w:cs="Times New Roman"/>
      <w:b/>
      <w:kern w:val="0"/>
      <w:sz w:val="24"/>
      <w:szCs w:val="28"/>
    </w:rPr>
  </w:style>
  <w:style w:type="character" w:customStyle="1" w:styleId="278">
    <w:name w:val="明显引用 Char3"/>
    <w:qFormat/>
    <w:uiPriority w:val="30"/>
    <w:rPr>
      <w:rFonts w:ascii="Calibri" w:hAnsi="Calibri" w:eastAsia="宋体" w:cs="Times New Roman"/>
      <w:b/>
      <w:bCs/>
      <w:i/>
      <w:iCs/>
      <w:color w:val="4F81BD"/>
      <w:szCs w:val="24"/>
    </w:rPr>
  </w:style>
  <w:style w:type="character" w:customStyle="1" w:styleId="279">
    <w:name w:val="引用 Char2"/>
    <w:qFormat/>
    <w:uiPriority w:val="99"/>
    <w:rPr>
      <w:i/>
      <w:iCs/>
      <w:color w:val="000000"/>
      <w:kern w:val="2"/>
      <w:sz w:val="21"/>
      <w:szCs w:val="24"/>
    </w:rPr>
  </w:style>
  <w:style w:type="character" w:customStyle="1" w:styleId="280">
    <w:name w:val="批注主题 Char4"/>
    <w:link w:val="44"/>
    <w:qFormat/>
    <w:uiPriority w:val="0"/>
    <w:rPr>
      <w:rFonts w:eastAsia="宋体"/>
      <w:b/>
      <w:bCs/>
      <w:kern w:val="2"/>
      <w:sz w:val="21"/>
      <w:szCs w:val="24"/>
      <w:lang w:val="en-US" w:eastAsia="zh-CN" w:bidi="ar-SA"/>
    </w:rPr>
  </w:style>
  <w:style w:type="character" w:customStyle="1" w:styleId="281">
    <w:name w:val="不明显强调1"/>
    <w:qFormat/>
    <w:uiPriority w:val="0"/>
    <w:rPr>
      <w:i/>
      <w:iCs/>
      <w:color w:val="808080"/>
    </w:rPr>
  </w:style>
  <w:style w:type="character" w:customStyle="1" w:styleId="282">
    <w:name w:val="color_red1"/>
    <w:qFormat/>
    <w:uiPriority w:val="0"/>
    <w:rPr>
      <w:color w:val="FA0004"/>
    </w:rPr>
  </w:style>
  <w:style w:type="character" w:customStyle="1" w:styleId="283">
    <w:name w:val="标题 7 Char2"/>
    <w:link w:val="10"/>
    <w:qFormat/>
    <w:uiPriority w:val="0"/>
    <w:rPr>
      <w:rFonts w:eastAsia="仿宋_GB2312"/>
      <w:sz w:val="30"/>
      <w:lang w:val="en-US" w:eastAsia="zh-CN" w:bidi="ar-SA"/>
    </w:rPr>
  </w:style>
  <w:style w:type="character" w:customStyle="1" w:styleId="284">
    <w:name w:val="标题5 Char Char"/>
    <w:link w:val="121"/>
    <w:qFormat/>
    <w:uiPriority w:val="0"/>
    <w:rPr>
      <w:rFonts w:ascii="Arial" w:hAnsi="Arial"/>
      <w:b/>
      <w:bCs/>
      <w:sz w:val="24"/>
      <w:szCs w:val="32"/>
      <w:lang w:bidi="ar-SA"/>
    </w:rPr>
  </w:style>
  <w:style w:type="character" w:customStyle="1" w:styleId="285">
    <w:name w:val="脚注文本 Char3"/>
    <w:link w:val="34"/>
    <w:qFormat/>
    <w:uiPriority w:val="0"/>
    <w:rPr>
      <w:rFonts w:ascii="Arial" w:hAnsi="Arial" w:eastAsia="宋体" w:cs="Arial"/>
      <w:sz w:val="18"/>
      <w:szCs w:val="18"/>
      <w:lang w:val="en-US" w:eastAsia="en-US" w:bidi="ar-SA"/>
    </w:rPr>
  </w:style>
  <w:style w:type="character" w:customStyle="1" w:styleId="286">
    <w:name w:val="标题4 Char Char"/>
    <w:link w:val="91"/>
    <w:qFormat/>
    <w:uiPriority w:val="0"/>
    <w:rPr>
      <w:rFonts w:ascii="Arial" w:hAnsi="Arial"/>
      <w:b/>
      <w:bCs/>
      <w:sz w:val="24"/>
      <w:szCs w:val="32"/>
      <w:lang w:bidi="ar-SA"/>
    </w:rPr>
  </w:style>
  <w:style w:type="character" w:customStyle="1" w:styleId="287">
    <w:name w:val="Char Char13"/>
    <w:qFormat/>
    <w:uiPriority w:val="0"/>
    <w:rPr>
      <w:kern w:val="2"/>
      <w:sz w:val="18"/>
      <w:szCs w:val="18"/>
    </w:rPr>
  </w:style>
  <w:style w:type="character" w:customStyle="1" w:styleId="288">
    <w:name w:val="文档结构图 Char2"/>
    <w:qFormat/>
    <w:uiPriority w:val="99"/>
    <w:rPr>
      <w:kern w:val="2"/>
      <w:sz w:val="21"/>
      <w:szCs w:val="24"/>
      <w:shd w:val="clear" w:color="auto" w:fill="000080"/>
    </w:rPr>
  </w:style>
  <w:style w:type="character" w:customStyle="1" w:styleId="289">
    <w:name w:val="批注文字 Char2"/>
    <w:qFormat/>
    <w:uiPriority w:val="0"/>
    <w:rPr>
      <w:rFonts w:ascii="Calibri" w:hAnsi="Calibri" w:eastAsia="宋体" w:cs="Times New Roman"/>
      <w:szCs w:val="24"/>
    </w:rPr>
  </w:style>
  <w:style w:type="character" w:customStyle="1" w:styleId="290">
    <w:name w:val="标题 8 Char1"/>
    <w:qFormat/>
    <w:uiPriority w:val="0"/>
    <w:rPr>
      <w:rFonts w:ascii="Times New Roman" w:hAnsi="Arial" w:eastAsia="仿宋_GB2312" w:cs="Times New Roman"/>
      <w:sz w:val="30"/>
      <w:szCs w:val="20"/>
    </w:rPr>
  </w:style>
  <w:style w:type="character" w:customStyle="1" w:styleId="291">
    <w:name w:val="页眉 Char2"/>
    <w:link w:val="30"/>
    <w:qFormat/>
    <w:uiPriority w:val="0"/>
    <w:rPr>
      <w:rFonts w:eastAsia="宋体"/>
      <w:kern w:val="2"/>
      <w:sz w:val="18"/>
      <w:szCs w:val="18"/>
      <w:lang w:val="en-US" w:eastAsia="zh-CN" w:bidi="ar-SA"/>
    </w:rPr>
  </w:style>
  <w:style w:type="character" w:customStyle="1" w:styleId="292">
    <w:name w:val="Char Char21"/>
    <w:qFormat/>
    <w:uiPriority w:val="0"/>
    <w:rPr>
      <w:rFonts w:ascii="宋体" w:hAnsi="宋体" w:cs="宋体"/>
      <w:b/>
      <w:bCs/>
      <w:sz w:val="24"/>
      <w:szCs w:val="24"/>
    </w:rPr>
  </w:style>
  <w:style w:type="character" w:customStyle="1" w:styleId="293">
    <w:name w:val="标题 6 Char1"/>
    <w:qFormat/>
    <w:uiPriority w:val="0"/>
    <w:rPr>
      <w:rFonts w:ascii="Times New Roman" w:hAnsi="Arial" w:eastAsia="仿宋_GB2312" w:cs="Times New Roman"/>
      <w:sz w:val="30"/>
      <w:szCs w:val="20"/>
    </w:rPr>
  </w:style>
  <w:style w:type="character" w:customStyle="1" w:styleId="294">
    <w:name w:val="_Style 293"/>
    <w:qFormat/>
    <w:uiPriority w:val="0"/>
    <w:rPr>
      <w:smallCaps/>
      <w:color w:val="C0504D"/>
      <w:u w:val="single"/>
    </w:rPr>
  </w:style>
  <w:style w:type="character" w:customStyle="1" w:styleId="295">
    <w:name w:val="副标题 Char1"/>
    <w:qFormat/>
    <w:uiPriority w:val="0"/>
    <w:rPr>
      <w:szCs w:val="24"/>
      <w:u w:val="single"/>
      <w:lang w:eastAsia="en-US"/>
    </w:rPr>
  </w:style>
  <w:style w:type="character" w:customStyle="1" w:styleId="296">
    <w:name w:val="正文文本 Char3"/>
    <w:semiHidden/>
    <w:qFormat/>
    <w:uiPriority w:val="99"/>
    <w:rPr>
      <w:rFonts w:ascii="Calibri" w:hAnsi="Calibri" w:eastAsia="宋体" w:cs="Times New Roman"/>
      <w:szCs w:val="24"/>
    </w:rPr>
  </w:style>
  <w:style w:type="character" w:customStyle="1" w:styleId="297">
    <w:name w:val="标题 4 Char1"/>
    <w:qFormat/>
    <w:uiPriority w:val="0"/>
    <w:rPr>
      <w:rFonts w:ascii="宋体" w:hAnsi="宋体" w:eastAsia="宋体" w:cs="宋体"/>
      <w:b/>
      <w:bCs/>
      <w:sz w:val="24"/>
      <w:szCs w:val="24"/>
    </w:rPr>
  </w:style>
  <w:style w:type="character" w:customStyle="1" w:styleId="298">
    <w:name w:val="文档结构图 Char3"/>
    <w:semiHidden/>
    <w:qFormat/>
    <w:uiPriority w:val="99"/>
    <w:rPr>
      <w:rFonts w:ascii="宋体" w:hAnsi="Calibri" w:eastAsia="宋体" w:cs="Times New Roman"/>
      <w:sz w:val="18"/>
      <w:szCs w:val="18"/>
    </w:rPr>
  </w:style>
  <w:style w:type="character" w:customStyle="1" w:styleId="299">
    <w:name w:val="标题 3 Char2"/>
    <w:link w:val="5"/>
    <w:qFormat/>
    <w:uiPriority w:val="0"/>
    <w:rPr>
      <w:rFonts w:eastAsia="宋体"/>
      <w:b/>
      <w:bCs/>
      <w:kern w:val="2"/>
      <w:sz w:val="32"/>
      <w:szCs w:val="32"/>
      <w:lang w:val="en-US" w:eastAsia="zh-CN" w:bidi="ar-SA"/>
    </w:rPr>
  </w:style>
  <w:style w:type="character" w:customStyle="1" w:styleId="300">
    <w:name w:val="正文文本 3 Char2"/>
    <w:semiHidden/>
    <w:qFormat/>
    <w:uiPriority w:val="99"/>
    <w:rPr>
      <w:rFonts w:ascii="Calibri" w:hAnsi="Calibri" w:eastAsia="宋体" w:cs="Times New Roman"/>
      <w:sz w:val="16"/>
      <w:szCs w:val="16"/>
    </w:rPr>
  </w:style>
  <w:style w:type="character" w:customStyle="1" w:styleId="301">
    <w:name w:val="Char Char23"/>
    <w:qFormat/>
    <w:uiPriority w:val="0"/>
    <w:rPr>
      <w:rFonts w:ascii="Cambria" w:hAnsi="Cambria" w:eastAsia="宋体" w:cs="Times New Roman"/>
      <w:b/>
      <w:bCs/>
      <w:kern w:val="2"/>
      <w:sz w:val="32"/>
      <w:szCs w:val="32"/>
    </w:rPr>
  </w:style>
  <w:style w:type="character" w:customStyle="1" w:styleId="302">
    <w:name w:val="尾注文本 Char2"/>
    <w:semiHidden/>
    <w:qFormat/>
    <w:uiPriority w:val="99"/>
    <w:rPr>
      <w:rFonts w:ascii="Calibri" w:hAnsi="Calibri" w:eastAsia="宋体" w:cs="Times New Roman"/>
      <w:szCs w:val="24"/>
    </w:rPr>
  </w:style>
  <w:style w:type="character" w:customStyle="1" w:styleId="303">
    <w:name w:val="书籍标题1"/>
    <w:qFormat/>
    <w:uiPriority w:val="0"/>
    <w:rPr>
      <w:b/>
      <w:bCs/>
      <w:smallCaps/>
      <w:spacing w:val="5"/>
    </w:rPr>
  </w:style>
  <w:style w:type="character" w:customStyle="1" w:styleId="304">
    <w:name w:val="ITTHEADER2 Char"/>
    <w:qFormat/>
    <w:uiPriority w:val="0"/>
    <w:rPr>
      <w:rFonts w:ascii="仿宋_GB2312" w:eastAsia="仿宋_GB2312" w:cs="MingLiU"/>
      <w:b/>
      <w:spacing w:val="1"/>
      <w:w w:val="99"/>
      <w:sz w:val="28"/>
      <w:szCs w:val="32"/>
      <w:lang w:val="en-US" w:eastAsia="zh-CN" w:bidi="ar-SA"/>
    </w:rPr>
  </w:style>
  <w:style w:type="character" w:customStyle="1" w:styleId="305">
    <w:name w:val="批注文字 Char3"/>
    <w:link w:val="16"/>
    <w:qFormat/>
    <w:uiPriority w:val="99"/>
    <w:rPr>
      <w:rFonts w:eastAsia="宋体"/>
      <w:kern w:val="2"/>
      <w:sz w:val="21"/>
      <w:szCs w:val="24"/>
      <w:lang w:val="en-US" w:eastAsia="zh-CN" w:bidi="ar-SA"/>
    </w:rPr>
  </w:style>
  <w:style w:type="character" w:customStyle="1" w:styleId="306">
    <w:name w:val="批注文字 Char Char"/>
    <w:qFormat/>
    <w:uiPriority w:val="0"/>
    <w:rPr>
      <w:rFonts w:ascii="宋体" w:hAnsi="Times New Roman" w:eastAsia="宋体" w:cs="Times New Roman"/>
      <w:sz w:val="28"/>
      <w:szCs w:val="20"/>
    </w:rPr>
  </w:style>
  <w:style w:type="character" w:customStyle="1" w:styleId="307">
    <w:name w:val="副标题 Char3"/>
    <w:link w:val="33"/>
    <w:qFormat/>
    <w:uiPriority w:val="0"/>
    <w:rPr>
      <w:rFonts w:eastAsia="宋体"/>
      <w:szCs w:val="24"/>
      <w:u w:val="single"/>
      <w:lang w:val="en-US" w:eastAsia="en-US" w:bidi="ar-SA"/>
    </w:rPr>
  </w:style>
  <w:style w:type="character" w:customStyle="1" w:styleId="308">
    <w:name w:val="批注主题 Char2"/>
    <w:qFormat/>
    <w:uiPriority w:val="99"/>
    <w:rPr>
      <w:b/>
      <w:bCs/>
      <w:kern w:val="2"/>
      <w:sz w:val="21"/>
      <w:szCs w:val="24"/>
    </w:rPr>
  </w:style>
  <w:style w:type="character" w:customStyle="1" w:styleId="309">
    <w:name w:val="normaltext1"/>
    <w:qFormat/>
    <w:uiPriority w:val="0"/>
    <w:rPr>
      <w:rFonts w:hint="default" w:ascii="ˎ̥" w:hAnsi="ˎ̥"/>
      <w:sz w:val="9"/>
      <w:szCs w:val="9"/>
    </w:rPr>
  </w:style>
  <w:style w:type="character" w:customStyle="1" w:styleId="310">
    <w:name w:val="不明显参考1"/>
    <w:qFormat/>
    <w:uiPriority w:val="0"/>
    <w:rPr>
      <w:smallCaps/>
      <w:color w:val="C0504D"/>
      <w:u w:val="single"/>
    </w:rPr>
  </w:style>
  <w:style w:type="character" w:customStyle="1" w:styleId="311">
    <w:name w:val="标题 6 Char"/>
    <w:qFormat/>
    <w:uiPriority w:val="0"/>
    <w:rPr>
      <w:rFonts w:ascii="Arial" w:hAnsi="Arial" w:eastAsia="黑体" w:cs="Times New Roman"/>
      <w:b/>
      <w:bCs/>
      <w:sz w:val="24"/>
      <w:szCs w:val="24"/>
    </w:rPr>
  </w:style>
  <w:style w:type="paragraph" w:customStyle="1" w:styleId="312">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313">
    <w:name w:val="WPSOffice手动目录 1"/>
    <w:qFormat/>
    <w:uiPriority w:val="0"/>
    <w:pPr>
      <w:ind w:leftChars="0"/>
    </w:pPr>
    <w:rPr>
      <w:rFonts w:ascii="Times New Roman" w:hAnsi="Times New Roman" w:eastAsia="宋体" w:cs="Times New Roman"/>
      <w:sz w:val="20"/>
      <w:szCs w:val="20"/>
    </w:rPr>
  </w:style>
  <w:style w:type="paragraph" w:customStyle="1" w:styleId="31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183</Pages>
  <Words>102095</Words>
  <Characters>106012</Characters>
  <Lines>947</Lines>
  <Paragraphs>266</Paragraphs>
  <TotalTime>0</TotalTime>
  <ScaleCrop>false</ScaleCrop>
  <LinksUpToDate>false</LinksUpToDate>
  <CharactersWithSpaces>116601</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2022-11-26T10:02:00Z</dcterms:created>
  <dc:creator>USER</dc:creator>
  <cp:lastModifiedBy>fgw</cp:lastModifiedBy>
  <cp:lastPrinted>2019-02-01T16:39:00Z</cp:lastPrinted>
  <dcterms:modified xsi:type="dcterms:W3CDTF">2025-09-05T09:44:15Z</dcterms:modified>
  <dc:title>第一卷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D5F7899E3B814556911AE55F3153D2F6</vt:lpwstr>
  </property>
</Properties>
</file>