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snapToGrid w:val="0"/>
        <w:spacing w:line="480" w:lineRule="auto"/>
        <w:ind w:left="31" w:leftChars="15" w:right="0" w:firstLine="0" w:firstLineChars="0"/>
        <w:jc w:val="center"/>
        <w:rPr>
          <w:rFonts w:ascii="宋体" w:hAnsi="宋体" w:eastAsia="宋体"/>
          <w:b/>
          <w:sz w:val="48"/>
          <w:szCs w:val="48"/>
        </w:rPr>
      </w:pPr>
    </w:p>
    <w:p>
      <w:pPr>
        <w:pStyle w:val="19"/>
        <w:snapToGrid w:val="0"/>
        <w:spacing w:line="360" w:lineRule="auto"/>
        <w:ind w:left="0" w:right="0" w:firstLine="0" w:firstLineChars="0"/>
        <w:jc w:val="center"/>
        <w:rPr>
          <w:rFonts w:ascii="宋体" w:hAnsi="宋体" w:eastAsia="宋体"/>
          <w:sz w:val="48"/>
          <w:szCs w:val="48"/>
        </w:rPr>
      </w:pPr>
      <w:r>
        <w:rPr>
          <w:rFonts w:ascii="宋体" w:hAnsi="宋体" w:eastAsia="宋体"/>
          <w:sz w:val="48"/>
          <w:szCs w:val="48"/>
        </w:rPr>
        <w:t>重庆市房屋建筑和市政基础设施工程</w:t>
      </w:r>
      <w:r>
        <w:rPr>
          <w:rFonts w:hint="eastAsia" w:ascii="宋体" w:hAnsi="宋体" w:eastAsia="宋体"/>
          <w:sz w:val="48"/>
          <w:szCs w:val="48"/>
        </w:rPr>
        <w:t>施工</w:t>
      </w:r>
    </w:p>
    <w:p>
      <w:pPr>
        <w:pStyle w:val="19"/>
        <w:snapToGrid w:val="0"/>
        <w:spacing w:line="360" w:lineRule="auto"/>
        <w:ind w:left="0" w:right="0" w:firstLine="0" w:firstLineChars="0"/>
        <w:jc w:val="center"/>
        <w:rPr>
          <w:rFonts w:ascii="宋体" w:hAnsi="宋体" w:eastAsia="宋体"/>
          <w:sz w:val="48"/>
          <w:szCs w:val="48"/>
        </w:rPr>
      </w:pPr>
    </w:p>
    <w:p>
      <w:pPr>
        <w:pStyle w:val="19"/>
        <w:snapToGrid w:val="0"/>
        <w:spacing w:line="360" w:lineRule="auto"/>
        <w:ind w:left="0" w:right="0" w:firstLine="0" w:firstLineChars="0"/>
        <w:jc w:val="center"/>
        <w:rPr>
          <w:rFonts w:hint="eastAsia" w:ascii="宋体" w:hAnsi="宋体" w:eastAsia="宋体"/>
          <w:b/>
          <w:sz w:val="84"/>
          <w:szCs w:val="84"/>
          <w:lang w:val="en-US" w:eastAsia="zh-CN"/>
        </w:rPr>
      </w:pPr>
      <w:r>
        <w:rPr>
          <w:rFonts w:ascii="宋体" w:hAnsi="宋体" w:eastAsia="宋体"/>
          <w:b/>
          <w:sz w:val="84"/>
          <w:szCs w:val="84"/>
        </w:rPr>
        <w:t>招标文件</w:t>
      </w:r>
      <w:r>
        <w:rPr>
          <w:rFonts w:hint="eastAsia" w:ascii="宋体" w:hAnsi="宋体" w:eastAsia="宋体"/>
          <w:b/>
          <w:sz w:val="84"/>
          <w:szCs w:val="84"/>
          <w:lang w:val="en-US" w:eastAsia="zh-CN"/>
        </w:rPr>
        <w:t>示范文本</w:t>
      </w:r>
    </w:p>
    <w:p>
      <w:pPr>
        <w:pStyle w:val="19"/>
        <w:snapToGrid w:val="0"/>
        <w:spacing w:line="360" w:lineRule="auto"/>
        <w:ind w:left="0" w:right="0" w:firstLine="0" w:firstLineChars="0"/>
        <w:jc w:val="center"/>
        <w:rPr>
          <w:rFonts w:hint="eastAsia" w:ascii="宋体" w:hAnsi="宋体" w:eastAsia="宋体"/>
          <w:sz w:val="48"/>
          <w:szCs w:val="48"/>
        </w:rPr>
      </w:pPr>
      <w:r>
        <w:rPr>
          <w:rFonts w:hint="eastAsia" w:ascii="宋体" w:hAnsi="宋体" w:eastAsia="宋体"/>
          <w:sz w:val="48"/>
          <w:szCs w:val="48"/>
        </w:rPr>
        <w:t>（</w:t>
      </w:r>
      <w:r>
        <w:rPr>
          <w:rFonts w:hint="eastAsia" w:ascii="宋体" w:hAnsi="宋体" w:eastAsia="宋体"/>
          <w:sz w:val="48"/>
          <w:szCs w:val="48"/>
          <w:lang w:val="en-US" w:eastAsia="zh-CN"/>
        </w:rPr>
        <w:t>2025年版</w:t>
      </w:r>
      <w:r>
        <w:rPr>
          <w:rFonts w:hint="eastAsia" w:ascii="宋体" w:hAnsi="宋体" w:eastAsia="宋体"/>
          <w:sz w:val="48"/>
          <w:szCs w:val="48"/>
        </w:rPr>
        <w:t>）</w:t>
      </w:r>
    </w:p>
    <w:p>
      <w:pPr>
        <w:autoSpaceDE w:val="0"/>
        <w:autoSpaceDN w:val="0"/>
        <w:adjustRightInd w:val="0"/>
        <w:snapToGrid w:val="0"/>
        <w:spacing w:line="360" w:lineRule="auto"/>
        <w:jc w:val="center"/>
        <w:rPr>
          <w:rFonts w:ascii="宋体" w:hAnsi="宋体"/>
          <w:kern w:val="0"/>
          <w:position w:val="-5"/>
          <w:sz w:val="44"/>
          <w:szCs w:val="44"/>
        </w:rPr>
      </w:pPr>
    </w:p>
    <w:p>
      <w:pPr>
        <w:autoSpaceDE w:val="0"/>
        <w:autoSpaceDN w:val="0"/>
        <w:adjustRightInd w:val="0"/>
        <w:snapToGrid w:val="0"/>
        <w:spacing w:line="360" w:lineRule="auto"/>
        <w:jc w:val="center"/>
        <w:rPr>
          <w:rFonts w:ascii="宋体" w:hAnsi="宋体"/>
          <w:kern w:val="0"/>
          <w:position w:val="-5"/>
          <w:sz w:val="44"/>
          <w:szCs w:val="44"/>
        </w:rPr>
      </w:pPr>
    </w:p>
    <w:p>
      <w:pPr>
        <w:autoSpaceDE w:val="0"/>
        <w:autoSpaceDN w:val="0"/>
        <w:adjustRightInd w:val="0"/>
        <w:snapToGrid w:val="0"/>
        <w:spacing w:line="360" w:lineRule="auto"/>
        <w:jc w:val="center"/>
        <w:rPr>
          <w:rFonts w:ascii="宋体" w:hAnsi="宋体"/>
          <w:kern w:val="0"/>
          <w:position w:val="-5"/>
          <w:sz w:val="44"/>
          <w:szCs w:val="44"/>
        </w:rPr>
      </w:pPr>
    </w:p>
    <w:p>
      <w:pPr>
        <w:autoSpaceDE w:val="0"/>
        <w:autoSpaceDN w:val="0"/>
        <w:adjustRightInd w:val="0"/>
        <w:snapToGrid w:val="0"/>
        <w:spacing w:line="360" w:lineRule="auto"/>
        <w:jc w:val="center"/>
        <w:rPr>
          <w:rFonts w:ascii="宋体" w:hAnsi="宋体"/>
          <w:b/>
          <w:kern w:val="0"/>
          <w:position w:val="-5"/>
          <w:sz w:val="44"/>
          <w:szCs w:val="44"/>
        </w:rPr>
      </w:pPr>
    </w:p>
    <w:p>
      <w:pPr>
        <w:autoSpaceDE w:val="0"/>
        <w:autoSpaceDN w:val="0"/>
        <w:adjustRightInd w:val="0"/>
        <w:snapToGrid w:val="0"/>
        <w:spacing w:line="360" w:lineRule="auto"/>
        <w:jc w:val="center"/>
        <w:rPr>
          <w:rFonts w:ascii="宋体" w:hAnsi="宋体"/>
          <w:b/>
          <w:kern w:val="0"/>
          <w:position w:val="-5"/>
          <w:sz w:val="44"/>
          <w:szCs w:val="44"/>
        </w:rPr>
      </w:pPr>
    </w:p>
    <w:p>
      <w:pPr>
        <w:autoSpaceDE w:val="0"/>
        <w:autoSpaceDN w:val="0"/>
        <w:adjustRightInd w:val="0"/>
        <w:snapToGrid w:val="0"/>
        <w:spacing w:line="360" w:lineRule="auto"/>
        <w:jc w:val="center"/>
        <w:rPr>
          <w:rFonts w:ascii="宋体" w:hAnsi="宋体"/>
          <w:b/>
          <w:kern w:val="0"/>
          <w:position w:val="-5"/>
          <w:sz w:val="32"/>
          <w:szCs w:val="48"/>
        </w:rPr>
      </w:pPr>
    </w:p>
    <w:p>
      <w:pPr>
        <w:autoSpaceDE w:val="0"/>
        <w:autoSpaceDN w:val="0"/>
        <w:adjustRightInd w:val="0"/>
        <w:snapToGrid w:val="0"/>
        <w:spacing w:line="360" w:lineRule="auto"/>
        <w:jc w:val="both"/>
        <w:rPr>
          <w:rFonts w:ascii="宋体" w:hAnsi="宋体"/>
          <w:kern w:val="0"/>
          <w:position w:val="-5"/>
          <w:sz w:val="32"/>
          <w:szCs w:val="48"/>
        </w:rPr>
      </w:pPr>
    </w:p>
    <w:p>
      <w:pPr>
        <w:adjustRightInd w:val="0"/>
        <w:snapToGrid w:val="0"/>
        <w:spacing w:line="360" w:lineRule="auto"/>
        <w:jc w:val="center"/>
        <w:rPr>
          <w:rFonts w:ascii="宋体" w:hAnsi="宋体"/>
          <w:sz w:val="36"/>
          <w:szCs w:val="36"/>
        </w:rPr>
      </w:pPr>
    </w:p>
    <w:p>
      <w:pPr>
        <w:adjustRightInd w:val="0"/>
        <w:snapToGrid w:val="0"/>
        <w:spacing w:line="360" w:lineRule="auto"/>
        <w:jc w:val="center"/>
        <w:rPr>
          <w:rFonts w:ascii="宋体" w:hAnsi="宋体"/>
          <w:sz w:val="36"/>
          <w:szCs w:val="36"/>
        </w:rPr>
      </w:pPr>
      <w:r>
        <w:rPr>
          <w:rFonts w:hint="eastAsia" w:ascii="宋体" w:hAnsi="宋体"/>
          <w:sz w:val="36"/>
          <w:szCs w:val="36"/>
        </w:rPr>
        <w:t>重庆市发展和改革委员会 制</w:t>
      </w:r>
    </w:p>
    <w:p>
      <w:pPr>
        <w:spacing w:line="360" w:lineRule="auto"/>
        <w:jc w:val="center"/>
        <w:rPr>
          <w:rFonts w:ascii="宋体" w:hAnsi="宋体"/>
          <w:kern w:val="0"/>
          <w:position w:val="-5"/>
          <w:sz w:val="36"/>
          <w:szCs w:val="36"/>
        </w:rPr>
        <w:sectPr>
          <w:footerReference r:id="rId5" w:type="first"/>
          <w:headerReference r:id="rId3" w:type="default"/>
          <w:footerReference r:id="rId4" w:type="even"/>
          <w:pgSz w:w="11907" w:h="16840"/>
          <w:pgMar w:top="1304" w:right="1134" w:bottom="1304" w:left="1304" w:header="851" w:footer="992" w:gutter="0"/>
          <w:pgNumType w:fmt="numberInDash" w:start="1"/>
          <w:cols w:space="720" w:num="1"/>
          <w:docGrid w:linePitch="312" w:charSpace="0"/>
        </w:sectPr>
      </w:pPr>
      <w:bookmarkStart w:id="0" w:name="OLE_LINK4"/>
      <w:r>
        <w:rPr>
          <w:rFonts w:ascii="宋体" w:hAnsi="宋体"/>
          <w:kern w:val="0"/>
          <w:position w:val="-5"/>
          <w:sz w:val="36"/>
          <w:szCs w:val="36"/>
        </w:rPr>
        <w:t>20</w:t>
      </w:r>
      <w:r>
        <w:rPr>
          <w:rFonts w:hint="eastAsia" w:ascii="宋体" w:hAnsi="宋体"/>
          <w:kern w:val="0"/>
          <w:position w:val="-5"/>
          <w:sz w:val="36"/>
          <w:szCs w:val="36"/>
          <w:lang w:val="en-US" w:eastAsia="zh-CN"/>
        </w:rPr>
        <w:t>25</w:t>
      </w:r>
      <w:r>
        <w:rPr>
          <w:rFonts w:ascii="宋体" w:hAnsi="宋体"/>
          <w:kern w:val="0"/>
          <w:position w:val="-5"/>
          <w:sz w:val="36"/>
          <w:szCs w:val="36"/>
        </w:rPr>
        <w:t>年</w:t>
      </w:r>
      <w:del w:id="0" w:author="fgw" w:date="2025-09-05T09:43:32Z">
        <w:r>
          <w:rPr>
            <w:rFonts w:hint="default" w:ascii="宋体" w:hAnsi="宋体"/>
            <w:kern w:val="0"/>
            <w:position w:val="-5"/>
            <w:sz w:val="36"/>
            <w:szCs w:val="36"/>
            <w:lang w:val="en-US" w:eastAsia="zh-CN"/>
          </w:rPr>
          <w:delText>8</w:delText>
        </w:r>
      </w:del>
      <w:ins w:id="1" w:author="fgw" w:date="2025-09-05T09:43:32Z">
        <w:r>
          <w:rPr>
            <w:rFonts w:hint="eastAsia" w:ascii="宋体" w:hAnsi="宋体"/>
            <w:kern w:val="0"/>
            <w:position w:val="-5"/>
            <w:sz w:val="36"/>
            <w:szCs w:val="36"/>
            <w:lang w:val="en-US" w:eastAsia="zh-CN"/>
          </w:rPr>
          <w:t>9</w:t>
        </w:r>
      </w:ins>
      <w:bookmarkStart w:id="2500" w:name="_GoBack"/>
      <w:bookmarkEnd w:id="2500"/>
      <w:r>
        <w:rPr>
          <w:rFonts w:hint="eastAsia" w:ascii="宋体" w:hAnsi="宋体"/>
          <w:kern w:val="0"/>
          <w:position w:val="-5"/>
          <w:sz w:val="36"/>
          <w:szCs w:val="36"/>
        </w:rPr>
        <w:t>月</w:t>
      </w:r>
    </w:p>
    <w:bookmarkEnd w:id="0"/>
    <w:p>
      <w:pPr>
        <w:autoSpaceDE w:val="0"/>
        <w:autoSpaceDN w:val="0"/>
        <w:adjustRightInd w:val="0"/>
        <w:snapToGrid w:val="0"/>
        <w:spacing w:line="590" w:lineRule="exact"/>
        <w:jc w:val="center"/>
        <w:rPr>
          <w:rFonts w:ascii="宋体" w:hAnsi="宋体"/>
          <w:kern w:val="0"/>
          <w:sz w:val="44"/>
          <w:szCs w:val="44"/>
        </w:rPr>
      </w:pPr>
      <w:bookmarkStart w:id="1" w:name="_Toc287620665"/>
      <w:r>
        <w:rPr>
          <w:rFonts w:ascii="宋体" w:hAnsi="宋体"/>
          <w:kern w:val="0"/>
          <w:sz w:val="44"/>
          <w:szCs w:val="44"/>
        </w:rPr>
        <w:t>使 用 说 明</w:t>
      </w:r>
    </w:p>
    <w:p>
      <w:pPr>
        <w:spacing w:line="590" w:lineRule="exact"/>
        <w:jc w:val="center"/>
        <w:rPr>
          <w:rFonts w:ascii="宋体" w:hAnsi="宋体"/>
          <w:kern w:val="0"/>
          <w:sz w:val="44"/>
          <w:szCs w:val="44"/>
        </w:rPr>
      </w:pPr>
    </w:p>
    <w:p>
      <w:pPr>
        <w:spacing w:line="360" w:lineRule="auto"/>
        <w:ind w:firstLine="420" w:firstLineChars="200"/>
        <w:rPr>
          <w:rFonts w:ascii="宋体" w:hAnsi="宋体"/>
          <w:kern w:val="0"/>
          <w:szCs w:val="21"/>
          <w:lang w:val="zh-CN"/>
        </w:rPr>
      </w:pPr>
      <w:r>
        <w:rPr>
          <w:rFonts w:hint="eastAsia" w:ascii="宋体" w:hAnsi="宋体"/>
          <w:kern w:val="0"/>
          <w:szCs w:val="21"/>
          <w:lang w:val="zh-CN"/>
        </w:rPr>
        <w:t>一、《重庆市房屋建筑和市政基础设施工程施工招标文件示范文本》是以《中华人民共和国标准施工招标文件》（2007年版）为框架，贯彻《中华人民共和国招标投标法》《中华人民共和国招标投标法实施条例》《</w:t>
      </w:r>
      <w:r>
        <w:rPr>
          <w:rFonts w:hint="eastAsia" w:ascii="宋体" w:hAnsi="宋体"/>
          <w:kern w:val="0"/>
          <w:szCs w:val="21"/>
        </w:rPr>
        <w:t>重庆市招标投标条例</w:t>
      </w:r>
      <w:r>
        <w:rPr>
          <w:rFonts w:hint="eastAsia" w:ascii="宋体" w:hAnsi="宋体"/>
          <w:kern w:val="0"/>
          <w:szCs w:val="21"/>
          <w:lang w:val="zh-CN"/>
        </w:rPr>
        <w:t>》</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电子招标投标办法</w:t>
      </w:r>
      <w:r>
        <w:rPr>
          <w:rFonts w:hint="eastAsia" w:asciiTheme="minorEastAsia" w:hAnsiTheme="minorEastAsia" w:eastAsiaTheme="minorEastAsia"/>
          <w:color w:val="auto"/>
          <w:szCs w:val="21"/>
          <w:highlight w:val="none"/>
          <w:lang w:eastAsia="zh-CN"/>
        </w:rPr>
        <w:t>》</w:t>
      </w:r>
      <w:r>
        <w:rPr>
          <w:rFonts w:hint="eastAsia" w:ascii="宋体" w:hAnsi="宋体"/>
          <w:kern w:val="0"/>
          <w:szCs w:val="21"/>
          <w:lang w:val="zh-CN"/>
        </w:rPr>
        <w:t>等文件精神编制。</w:t>
      </w:r>
    </w:p>
    <w:p>
      <w:pPr>
        <w:spacing w:line="360" w:lineRule="auto"/>
        <w:ind w:firstLine="420" w:firstLineChars="200"/>
        <w:rPr>
          <w:rFonts w:ascii="宋体" w:hAnsi="宋体"/>
          <w:kern w:val="0"/>
          <w:szCs w:val="21"/>
          <w:lang w:val="zh-CN"/>
        </w:rPr>
      </w:pPr>
      <w:r>
        <w:rPr>
          <w:rFonts w:hint="eastAsia" w:ascii="宋体" w:hAnsi="宋体"/>
          <w:kern w:val="0"/>
          <w:szCs w:val="21"/>
          <w:lang w:val="zh-CN"/>
        </w:rPr>
        <w:t>二</w:t>
      </w:r>
      <w:r>
        <w:rPr>
          <w:rFonts w:ascii="宋体" w:hAnsi="宋体"/>
          <w:kern w:val="0"/>
          <w:szCs w:val="21"/>
          <w:lang w:val="zh-CN"/>
        </w:rPr>
        <w:t>、《重庆市房屋建筑和市政基础设施工程施工</w:t>
      </w:r>
      <w:r>
        <w:rPr>
          <w:rFonts w:hint="eastAsia" w:ascii="宋体" w:hAnsi="宋体"/>
          <w:kern w:val="0"/>
          <w:szCs w:val="21"/>
          <w:lang w:val="zh-CN"/>
        </w:rPr>
        <w:t>招标文件示范文本</w:t>
      </w:r>
      <w:r>
        <w:rPr>
          <w:rFonts w:ascii="宋体" w:hAnsi="宋体"/>
          <w:kern w:val="0"/>
          <w:szCs w:val="21"/>
          <w:lang w:val="zh-CN"/>
        </w:rPr>
        <w:t>》</w:t>
      </w:r>
      <w:r>
        <w:rPr>
          <w:rFonts w:hint="eastAsia" w:ascii="宋体" w:hAnsi="宋体"/>
          <w:kern w:val="0"/>
          <w:szCs w:val="21"/>
          <w:lang w:val="en-US" w:eastAsia="zh-CN"/>
        </w:rPr>
        <w:t>用于指导招标人编制</w:t>
      </w:r>
      <w:r>
        <w:rPr>
          <w:rFonts w:ascii="宋体" w:hAnsi="宋体"/>
          <w:kern w:val="0"/>
          <w:szCs w:val="21"/>
          <w:lang w:val="zh-CN"/>
        </w:rPr>
        <w:t>房屋建筑工程和市政基础设施工程</w:t>
      </w:r>
      <w:r>
        <w:rPr>
          <w:rFonts w:hint="eastAsia" w:ascii="宋体" w:hAnsi="宋体"/>
          <w:kern w:val="0"/>
          <w:szCs w:val="21"/>
          <w:lang w:val="en-US" w:eastAsia="zh-CN"/>
        </w:rPr>
        <w:t>施工招标文件</w:t>
      </w:r>
      <w:r>
        <w:rPr>
          <w:rFonts w:ascii="宋体" w:hAnsi="宋体"/>
          <w:kern w:val="0"/>
          <w:szCs w:val="21"/>
          <w:lang w:val="zh-CN"/>
        </w:rPr>
        <w:t>。</w:t>
      </w:r>
    </w:p>
    <w:p>
      <w:pPr>
        <w:spacing w:line="360" w:lineRule="auto"/>
        <w:ind w:firstLine="420" w:firstLineChars="200"/>
        <w:rPr>
          <w:rFonts w:hint="eastAsia" w:ascii="宋体" w:hAnsi="宋体" w:eastAsia="宋体"/>
          <w:kern w:val="0"/>
          <w:szCs w:val="21"/>
          <w:lang w:val="en-US" w:eastAsia="zh-CN"/>
        </w:rPr>
      </w:pPr>
      <w:r>
        <w:rPr>
          <w:rFonts w:hint="eastAsia" w:ascii="宋体" w:hAnsi="宋体"/>
          <w:kern w:val="0"/>
          <w:szCs w:val="21"/>
          <w:lang w:val="en-US" w:eastAsia="zh-CN"/>
        </w:rPr>
        <w:t>三、</w:t>
      </w:r>
      <w:r>
        <w:rPr>
          <w:rFonts w:hint="eastAsia" w:ascii="宋体" w:hAnsi="宋体"/>
          <w:kern w:val="0"/>
          <w:szCs w:val="21"/>
        </w:rPr>
        <w:t>招标人在招投标过程中不得脱离招标项目的具体特点和实际需要，设定不相适应或者与合同履行无关的资质资格、技术、商务条件或者业绩、奖项要求；不得将国家已经明令取消的内容作为资格、技术、商务条件</w:t>
      </w:r>
      <w:r>
        <w:rPr>
          <w:rFonts w:hint="eastAsia" w:ascii="宋体" w:hAnsi="宋体"/>
          <w:kern w:val="0"/>
          <w:szCs w:val="21"/>
          <w:lang w:eastAsia="zh-CN"/>
        </w:rPr>
        <w:t>。</w:t>
      </w:r>
      <w:r>
        <w:rPr>
          <w:rFonts w:hint="eastAsia" w:ascii="宋体" w:hAnsi="宋体"/>
          <w:kern w:val="0"/>
          <w:szCs w:val="21"/>
        </w:rPr>
        <w:t>不得限定潜在投标人或者投标人所有制形式或者组织形式；不得设定企业股东背景、年平均承接项目数量或者金额、从业人员、纳税额、营业场所面积等规模条件；除投融建项目外，不得设定企业注册资本、资产总额、净资产规模、营业收入、利润、授信额度等财务指标</w:t>
      </w:r>
      <w:r>
        <w:rPr>
          <w:rFonts w:hint="eastAsia" w:ascii="宋体" w:hAnsi="宋体"/>
          <w:kern w:val="0"/>
          <w:szCs w:val="21"/>
          <w:lang w:eastAsia="zh-CN"/>
        </w:rPr>
        <w:t>；</w:t>
      </w:r>
      <w:r>
        <w:rPr>
          <w:rFonts w:hint="eastAsia" w:ascii="宋体" w:hAnsi="宋体"/>
          <w:kern w:val="0"/>
          <w:szCs w:val="21"/>
        </w:rPr>
        <w:t>不得以营业执照记载的经营范围作为确定投标人经营资质资格的依据，不得将投标人营业执照记载的经营范围采用某种特定表述或者明确记载某个特定经营范围细项作为投标、加分或者中标条件，不得以招标项目超出投标人营业执照记载的经营范围为由认定其投标无效。招标项目对投标人经营资质资格有明确要求的，应当对其是否被准予行政许可、取得相关资质资格情况进行审查，不应以对营业执照经营范围的审查代替，或以营业执照经营范围明确记载行政许可批准证件上的具体内容作为审查标准</w:t>
      </w:r>
      <w:r>
        <w:rPr>
          <w:rFonts w:hint="eastAsia" w:ascii="宋体" w:hAnsi="宋体"/>
          <w:kern w:val="0"/>
          <w:szCs w:val="21"/>
          <w:lang w:eastAsia="zh-CN"/>
        </w:rPr>
        <w:t>。</w:t>
      </w:r>
      <w:r>
        <w:rPr>
          <w:rFonts w:hint="eastAsia" w:ascii="宋体" w:hAnsi="宋体"/>
          <w:kern w:val="0"/>
          <w:szCs w:val="21"/>
        </w:rPr>
        <w:t>不得限定或者指定特定的专利、商标、品牌、原产地或者供应商；在编制招标文件时，如果必须引用某一品牌或生产供应商才能准确清楚地说明招标项目</w:t>
      </w:r>
      <w:r>
        <w:rPr>
          <w:rFonts w:hint="eastAsia" w:ascii="宋体" w:hAnsi="宋体"/>
          <w:kern w:val="0"/>
          <w:szCs w:val="21"/>
          <w:lang w:val="en-US" w:eastAsia="zh-CN"/>
        </w:rPr>
        <w:t>的</w:t>
      </w:r>
      <w:r>
        <w:rPr>
          <w:rFonts w:hint="eastAsia" w:ascii="宋体" w:hAnsi="宋体"/>
          <w:kern w:val="0"/>
          <w:szCs w:val="21"/>
        </w:rPr>
        <w:t>技术标准和要求，则应当在引用的品牌或生产供应商名称前加上“参照或相当于”的字样，而且引用的货物品牌或生产供应商在市场上具有可选择性</w:t>
      </w:r>
      <w:r>
        <w:rPr>
          <w:rFonts w:hint="eastAsia" w:ascii="宋体" w:hAnsi="宋体"/>
          <w:kern w:val="0"/>
          <w:szCs w:val="21"/>
          <w:lang w:eastAsia="zh-CN"/>
        </w:rPr>
        <w:t>。</w:t>
      </w:r>
      <w:r>
        <w:rPr>
          <w:rFonts w:hint="eastAsia" w:ascii="宋体" w:hAnsi="宋体"/>
          <w:kern w:val="0"/>
          <w:szCs w:val="21"/>
        </w:rPr>
        <w:t>不得提出注册地址、所有制性质、市场占有率、特定行政区域或者特定行业的业绩或奖项、取得非强制资质认证、设立本地分支机构、在本地拥有一定办公面积、本地缴纳税收社保、与本地企业组成联合体、取得特定地区或者特定行业组织成员身份、采用不同信用评价标准等要求，或套用特定生产供应者的条件设定投标人资格、技术、商务条件等。不得将战略合作协议、招商引资协议、会议纪要、合作意向书、备忘录等作为资格、商务条件。评标、定标规则不得向国有企业、本地企业、大型企业倾斜，排斥民营企业、外资企业、外地企业、中小企业</w:t>
      </w:r>
      <w:r>
        <w:rPr>
          <w:rFonts w:hint="eastAsia" w:ascii="宋体" w:hAnsi="宋体"/>
          <w:kern w:val="0"/>
          <w:szCs w:val="21"/>
          <w:lang w:eastAsia="zh-CN"/>
        </w:rPr>
        <w:t>。</w:t>
      </w:r>
      <w:r>
        <w:rPr>
          <w:rFonts w:hint="eastAsia" w:ascii="宋体" w:hAnsi="宋体"/>
          <w:kern w:val="0"/>
          <w:szCs w:val="21"/>
        </w:rPr>
        <w:t>不得强制要求投标人、中标人交纳保证金的形式；不得要求投标人、中标人缴纳除投标保证金、履约保证金、工程质量保证金、农民工工资保证金以外的其他保证金；不得要求投标人、中标人从特定机构开具保函（保险）；不得在招标文件之外设定保证金退还前置条件</w:t>
      </w:r>
      <w:r>
        <w:rPr>
          <w:rFonts w:hint="eastAsia" w:ascii="宋体" w:hAnsi="宋体"/>
          <w:kern w:val="0"/>
          <w:szCs w:val="21"/>
          <w:lang w:eastAsia="zh-CN"/>
        </w:rPr>
        <w:t>。</w:t>
      </w:r>
      <w:r>
        <w:rPr>
          <w:rFonts w:hint="eastAsia" w:ascii="宋体" w:hAnsi="宋体"/>
          <w:kern w:val="0"/>
          <w:szCs w:val="21"/>
        </w:rPr>
        <w:t>不得强制要求投标人在投标环节提供原件；不得强制要求投标人的法定代表人、技术负责人、项目负责人或者其他特定人员在开标环节到场</w:t>
      </w:r>
      <w:r>
        <w:rPr>
          <w:rFonts w:hint="eastAsia" w:ascii="宋体" w:hAnsi="宋体"/>
          <w:kern w:val="0"/>
          <w:szCs w:val="21"/>
          <w:lang w:eastAsia="zh-CN"/>
        </w:rPr>
        <w:t>。</w:t>
      </w:r>
    </w:p>
    <w:p>
      <w:pPr>
        <w:spacing w:line="360" w:lineRule="auto"/>
        <w:ind w:firstLine="420" w:firstLineChars="200"/>
        <w:rPr>
          <w:rFonts w:ascii="宋体" w:hAnsi="宋体"/>
          <w:kern w:val="0"/>
          <w:szCs w:val="21"/>
          <w:lang w:val="zh-CN"/>
        </w:rPr>
      </w:pPr>
      <w:r>
        <w:rPr>
          <w:rFonts w:hint="eastAsia" w:ascii="宋体" w:hAnsi="宋体"/>
          <w:kern w:val="0"/>
          <w:szCs w:val="21"/>
          <w:lang w:val="en-US" w:eastAsia="zh-CN"/>
        </w:rPr>
        <w:t>四</w:t>
      </w:r>
      <w:r>
        <w:rPr>
          <w:rFonts w:ascii="宋体" w:hAnsi="宋体"/>
          <w:kern w:val="0"/>
          <w:szCs w:val="21"/>
          <w:lang w:val="zh-CN"/>
        </w:rPr>
        <w:t>、招标人按照《</w:t>
      </w:r>
      <w:r>
        <w:rPr>
          <w:rFonts w:hint="eastAsia" w:ascii="宋体" w:hAnsi="宋体"/>
          <w:kern w:val="0"/>
          <w:szCs w:val="21"/>
          <w:lang w:val="zh-CN"/>
        </w:rPr>
        <w:t>重庆市房屋建筑和市政基础设施工程施工招标文件示范文本</w:t>
      </w:r>
      <w:r>
        <w:rPr>
          <w:rFonts w:ascii="宋体" w:hAnsi="宋体"/>
          <w:kern w:val="0"/>
          <w:szCs w:val="21"/>
          <w:lang w:val="zh-CN"/>
        </w:rPr>
        <w:t>》第一章的格式发布招标公告或发出投标邀请书后，将实际发布的招标公告或实际发出的投标邀请书编入招标文件中，作为投标邀请。其中，招标公告应同时注明发布所在</w:t>
      </w:r>
      <w:r>
        <w:rPr>
          <w:rFonts w:hint="eastAsia" w:ascii="宋体" w:hAnsi="宋体"/>
          <w:kern w:val="0"/>
          <w:szCs w:val="21"/>
          <w:lang w:val="zh-CN"/>
        </w:rPr>
        <w:t>地</w:t>
      </w:r>
      <w:r>
        <w:rPr>
          <w:rFonts w:ascii="宋体" w:hAnsi="宋体"/>
          <w:kern w:val="0"/>
          <w:szCs w:val="21"/>
          <w:lang w:val="zh-CN"/>
        </w:rPr>
        <w:t>所有</w:t>
      </w:r>
      <w:r>
        <w:rPr>
          <w:rFonts w:hint="eastAsia" w:ascii="宋体" w:hAnsi="宋体"/>
          <w:kern w:val="0"/>
          <w:szCs w:val="21"/>
          <w:lang w:val="zh-CN"/>
        </w:rPr>
        <w:t>指定</w:t>
      </w:r>
      <w:r>
        <w:rPr>
          <w:rFonts w:ascii="宋体" w:hAnsi="宋体"/>
          <w:kern w:val="0"/>
          <w:szCs w:val="21"/>
          <w:lang w:val="zh-CN"/>
        </w:rPr>
        <w:t>媒介名称。</w:t>
      </w:r>
    </w:p>
    <w:p>
      <w:pPr>
        <w:spacing w:line="360" w:lineRule="auto"/>
        <w:ind w:firstLine="420" w:firstLineChars="200"/>
        <w:rPr>
          <w:rFonts w:ascii="宋体" w:hAnsi="宋体"/>
          <w:kern w:val="0"/>
          <w:szCs w:val="21"/>
          <w:lang w:val="zh-CN"/>
        </w:rPr>
      </w:pPr>
      <w:r>
        <w:rPr>
          <w:rFonts w:hint="eastAsia" w:ascii="宋体" w:hAnsi="宋体"/>
          <w:kern w:val="0"/>
          <w:szCs w:val="21"/>
          <w:lang w:val="en-US" w:eastAsia="zh-CN"/>
        </w:rPr>
        <w:t>五</w:t>
      </w:r>
      <w:r>
        <w:rPr>
          <w:rFonts w:ascii="宋体" w:hAnsi="宋体"/>
          <w:kern w:val="0"/>
          <w:szCs w:val="21"/>
          <w:lang w:val="zh-CN"/>
        </w:rPr>
        <w:t>、《</w:t>
      </w:r>
      <w:r>
        <w:rPr>
          <w:rFonts w:hint="eastAsia" w:ascii="宋体" w:hAnsi="宋体"/>
          <w:kern w:val="0"/>
          <w:szCs w:val="21"/>
          <w:lang w:val="zh-CN"/>
        </w:rPr>
        <w:t>重庆市房屋建筑和市政基础设施工程施工招标文件示范文本</w:t>
      </w:r>
      <w:r>
        <w:rPr>
          <w:rFonts w:ascii="宋体" w:hAnsi="宋体"/>
          <w:kern w:val="0"/>
          <w:szCs w:val="21"/>
          <w:lang w:val="zh-CN"/>
        </w:rPr>
        <w:t>》第三章“评标办法”</w:t>
      </w:r>
      <w:r>
        <w:rPr>
          <w:rFonts w:hint="default" w:ascii="宋体" w:hAnsi="宋体"/>
          <w:kern w:val="0"/>
          <w:szCs w:val="21"/>
          <w:lang w:val="en-US"/>
        </w:rPr>
        <w:t>分别规定了经评审的最低投标价法和综合评估法两种评标方法供招标人根据招标项目具体特点和实际需要选择。</w:t>
      </w:r>
    </w:p>
    <w:p>
      <w:pPr>
        <w:spacing w:line="360" w:lineRule="auto"/>
        <w:ind w:firstLine="420" w:firstLineChars="200"/>
        <w:rPr>
          <w:rFonts w:ascii="宋体" w:hAnsi="宋体"/>
          <w:kern w:val="0"/>
          <w:szCs w:val="21"/>
          <w:lang w:val="zh-CN"/>
        </w:rPr>
      </w:pPr>
      <w:r>
        <w:rPr>
          <w:rFonts w:hint="eastAsia" w:ascii="宋体" w:hAnsi="宋体"/>
          <w:kern w:val="0"/>
          <w:szCs w:val="21"/>
          <w:lang w:val="en-US" w:eastAsia="zh-CN"/>
        </w:rPr>
        <w:t>六</w:t>
      </w:r>
      <w:r>
        <w:rPr>
          <w:rFonts w:hint="eastAsia" w:ascii="宋体" w:hAnsi="宋体"/>
          <w:kern w:val="0"/>
          <w:szCs w:val="21"/>
          <w:lang w:val="zh-CN"/>
        </w:rPr>
        <w:t>、《重庆市房屋建筑和市政基础设施工程施工招标文件示范文本》第四章“合同条款及格式”</w:t>
      </w:r>
      <w:r>
        <w:rPr>
          <w:rFonts w:hint="eastAsia"/>
        </w:rPr>
        <w:t xml:space="preserve"> </w:t>
      </w:r>
      <w:r>
        <w:rPr>
          <w:rFonts w:hint="eastAsia" w:ascii="宋体" w:hAnsi="宋体"/>
          <w:kern w:val="0"/>
          <w:szCs w:val="21"/>
          <w:lang w:val="zh-CN"/>
        </w:rPr>
        <w:t>参照《建设工程施工合同（示范文本）》（GF-2017-0201）制定，内容由合同协议书、通用合同条款和专用合同条款三部分组成。合同协议书共计13条，主要包括：工程概况、合同工期、质量标准、签约合同价和合同价格形式、项目经理及技术负责人、合同文件构成、承诺以及合同生效条件等重要内容，集中约定合同当事人的基本合同权利义务。通用合同条款共计20条，主要包括：一般约定、发包人、承包人、监理人、工程质量、安全文明施工与环境保护、工期和进度、材料与设备、试验与检验、变更、价格调整、合同价格、计量与支付、验收和工程试车、竣工结算、缺陷责任与保修、违约、不可抗力、保险、索赔和争议解决。专用合同条款共计20条，参考《FIDIC施工合同条件》的相关原则，以合同为中心的履约管理机制，重点对变更原则、价格调整机制、合同实施中合同当事人的权利、义务等作了原则性规定。</w:t>
      </w:r>
    </w:p>
    <w:p>
      <w:pPr>
        <w:spacing w:line="360" w:lineRule="auto"/>
        <w:ind w:firstLine="420" w:firstLineChars="200"/>
        <w:rPr>
          <w:rFonts w:ascii="宋体" w:hAnsi="宋体"/>
          <w:kern w:val="0"/>
          <w:szCs w:val="21"/>
          <w:lang w:val="zh-CN"/>
        </w:rPr>
      </w:pPr>
      <w:r>
        <w:rPr>
          <w:rFonts w:hint="eastAsia" w:ascii="宋体" w:hAnsi="宋体"/>
          <w:kern w:val="0"/>
          <w:szCs w:val="21"/>
          <w:lang w:val="en-US" w:eastAsia="zh-CN"/>
        </w:rPr>
        <w:t>七</w:t>
      </w:r>
      <w:r>
        <w:rPr>
          <w:rFonts w:ascii="宋体" w:hAnsi="宋体"/>
          <w:kern w:val="0"/>
          <w:szCs w:val="21"/>
          <w:lang w:val="zh-CN"/>
        </w:rPr>
        <w:t>、《</w:t>
      </w:r>
      <w:r>
        <w:rPr>
          <w:rFonts w:hint="eastAsia" w:ascii="宋体" w:hAnsi="宋体"/>
          <w:kern w:val="0"/>
          <w:szCs w:val="21"/>
          <w:lang w:val="zh-CN"/>
        </w:rPr>
        <w:t>重庆市房屋建筑和市政基础设施工程施工招标文件示范文本</w:t>
      </w:r>
      <w:r>
        <w:rPr>
          <w:rFonts w:ascii="宋体" w:hAnsi="宋体"/>
          <w:kern w:val="0"/>
          <w:szCs w:val="21"/>
          <w:lang w:val="zh-CN"/>
        </w:rPr>
        <w:t>》第五章“工程量清单”由招标人根据《建设工程工程量清单计价规范》（GB50500</w:t>
      </w:r>
      <w:r>
        <w:rPr>
          <w:rFonts w:hint="eastAsia" w:ascii="宋体" w:hAnsi="宋体"/>
          <w:kern w:val="0"/>
          <w:szCs w:val="21"/>
          <w:lang w:val="zh-CN"/>
        </w:rPr>
        <w:t>-</w:t>
      </w:r>
      <w:r>
        <w:rPr>
          <w:rFonts w:hint="eastAsia" w:ascii="宋体" w:hAnsi="宋体"/>
          <w:kern w:val="0"/>
          <w:szCs w:val="21"/>
          <w:lang w:val="en-US" w:eastAsia="zh-CN"/>
        </w:rPr>
        <w:t>2024</w:t>
      </w:r>
      <w:r>
        <w:rPr>
          <w:rFonts w:ascii="宋体" w:hAnsi="宋体"/>
          <w:kern w:val="0"/>
          <w:szCs w:val="21"/>
          <w:lang w:val="zh-CN"/>
        </w:rPr>
        <w:t>）规定的工程量清单项目及计算规则、《</w:t>
      </w:r>
      <w:r>
        <w:rPr>
          <w:rFonts w:hint="eastAsia" w:ascii="宋体" w:hAnsi="宋体"/>
          <w:kern w:val="0"/>
          <w:szCs w:val="21"/>
          <w:lang w:val="zh-CN"/>
        </w:rPr>
        <w:t>重庆市建设工程费用定额</w:t>
      </w:r>
      <w:r>
        <w:rPr>
          <w:rFonts w:ascii="宋体" w:hAnsi="宋体"/>
          <w:kern w:val="0"/>
          <w:szCs w:val="21"/>
          <w:lang w:val="zh-CN"/>
        </w:rPr>
        <w:t>》</w:t>
      </w:r>
      <w:r>
        <w:rPr>
          <w:rFonts w:hint="eastAsia" w:ascii="宋体" w:hAnsi="宋体"/>
          <w:kern w:val="0"/>
          <w:szCs w:val="21"/>
          <w:lang w:val="zh-CN"/>
        </w:rPr>
        <w:t>（CQFYDE-2018）</w:t>
      </w:r>
      <w:r>
        <w:rPr>
          <w:rFonts w:ascii="宋体" w:hAnsi="宋体"/>
          <w:kern w:val="0"/>
          <w:szCs w:val="21"/>
          <w:lang w:val="zh-CN"/>
        </w:rPr>
        <w:t>规定的格式、</w:t>
      </w:r>
      <w:r>
        <w:rPr>
          <w:rFonts w:hint="eastAsia" w:ascii="宋体" w:hAnsi="宋体"/>
          <w:kern w:val="0"/>
          <w:szCs w:val="21"/>
          <w:lang w:val="zh-CN"/>
        </w:rPr>
        <w:t>《建设工程造价电子数据存储与交换标准》（DBJ50/T-091-2023）规定的计价软件与重庆市电子招投标系统平台实现数据交换和对接的要求、</w:t>
      </w:r>
      <w:r>
        <w:rPr>
          <w:rFonts w:ascii="宋体" w:hAnsi="宋体"/>
          <w:kern w:val="0"/>
          <w:szCs w:val="21"/>
          <w:lang w:val="zh-CN"/>
        </w:rPr>
        <w:t>本招标文件相关的具体规定，以及招标项目具体特点和实际需要编制，并与“投标人须知”、“通用合同条款”、“专用合同条款”、“技术标准和要求”、“图纸”相</w:t>
      </w:r>
      <w:r>
        <w:rPr>
          <w:rFonts w:hint="eastAsia" w:ascii="宋体" w:hAnsi="宋体"/>
          <w:kern w:val="0"/>
          <w:szCs w:val="21"/>
          <w:lang w:val="zh-CN"/>
        </w:rPr>
        <w:t>衔接</w:t>
      </w:r>
      <w:r>
        <w:rPr>
          <w:rFonts w:ascii="宋体" w:hAnsi="宋体"/>
          <w:kern w:val="0"/>
          <w:szCs w:val="21"/>
          <w:lang w:val="zh-CN"/>
        </w:rPr>
        <w:t>。</w:t>
      </w:r>
    </w:p>
    <w:p>
      <w:pPr>
        <w:spacing w:line="360" w:lineRule="auto"/>
        <w:ind w:firstLine="420" w:firstLineChars="200"/>
        <w:rPr>
          <w:rFonts w:ascii="宋体" w:hAnsi="宋体"/>
          <w:kern w:val="0"/>
          <w:szCs w:val="21"/>
          <w:lang w:val="zh-CN"/>
        </w:rPr>
      </w:pPr>
      <w:r>
        <w:rPr>
          <w:rFonts w:hint="eastAsia" w:ascii="宋体" w:hAnsi="宋体"/>
          <w:kern w:val="0"/>
          <w:szCs w:val="21"/>
          <w:lang w:val="en-US" w:eastAsia="zh-CN"/>
        </w:rPr>
        <w:t>八</w:t>
      </w:r>
      <w:r>
        <w:rPr>
          <w:rFonts w:ascii="宋体" w:hAnsi="宋体"/>
          <w:kern w:val="0"/>
          <w:szCs w:val="21"/>
          <w:lang w:val="zh-CN"/>
        </w:rPr>
        <w:t>、《</w:t>
      </w:r>
      <w:r>
        <w:rPr>
          <w:rFonts w:hint="eastAsia" w:ascii="宋体" w:hAnsi="宋体"/>
          <w:kern w:val="0"/>
          <w:szCs w:val="21"/>
          <w:lang w:val="zh-CN"/>
        </w:rPr>
        <w:t>重庆市房屋建筑和市政基础设施工程施工招标文件示范文本</w:t>
      </w:r>
      <w:r>
        <w:rPr>
          <w:rFonts w:ascii="宋体" w:hAnsi="宋体"/>
          <w:kern w:val="0"/>
          <w:szCs w:val="21"/>
          <w:lang w:val="zh-CN"/>
        </w:rPr>
        <w:t>》第六章“图纸”由招标人根据招标项目具体特点和实际需要编制，并与“投标人须知”、“通用合同条款”、“专用合同条款”、“技术标准和要求”相</w:t>
      </w:r>
      <w:r>
        <w:rPr>
          <w:rFonts w:hint="eastAsia" w:ascii="宋体" w:hAnsi="宋体"/>
          <w:kern w:val="0"/>
          <w:szCs w:val="21"/>
          <w:lang w:val="zh-CN"/>
        </w:rPr>
        <w:t>衔接</w:t>
      </w:r>
      <w:r>
        <w:rPr>
          <w:rFonts w:ascii="宋体" w:hAnsi="宋体"/>
          <w:kern w:val="0"/>
          <w:szCs w:val="21"/>
          <w:lang w:val="zh-CN"/>
        </w:rPr>
        <w:t>。</w:t>
      </w:r>
    </w:p>
    <w:p>
      <w:pPr>
        <w:spacing w:line="360" w:lineRule="auto"/>
        <w:ind w:firstLine="420" w:firstLineChars="200"/>
        <w:rPr>
          <w:rFonts w:ascii="宋体" w:hAnsi="宋体"/>
          <w:kern w:val="0"/>
          <w:szCs w:val="21"/>
          <w:lang w:val="zh-CN"/>
        </w:rPr>
      </w:pPr>
      <w:r>
        <w:rPr>
          <w:rFonts w:hint="eastAsia" w:ascii="宋体" w:hAnsi="宋体"/>
          <w:kern w:val="0"/>
          <w:szCs w:val="21"/>
          <w:lang w:val="en-US" w:eastAsia="zh-CN"/>
        </w:rPr>
        <w:t>九</w:t>
      </w:r>
      <w:r>
        <w:rPr>
          <w:rFonts w:ascii="宋体" w:hAnsi="宋体"/>
          <w:kern w:val="0"/>
          <w:szCs w:val="21"/>
          <w:lang w:val="zh-CN"/>
        </w:rPr>
        <w:t>、《</w:t>
      </w:r>
      <w:r>
        <w:rPr>
          <w:rFonts w:hint="eastAsia" w:ascii="宋体" w:hAnsi="宋体"/>
          <w:kern w:val="0"/>
          <w:szCs w:val="21"/>
          <w:lang w:val="zh-CN"/>
        </w:rPr>
        <w:t>重庆市房屋建筑和市政基础设施工程施工招标文件示范文本</w:t>
      </w:r>
      <w:r>
        <w:rPr>
          <w:rFonts w:ascii="宋体" w:hAnsi="宋体"/>
          <w:kern w:val="0"/>
          <w:szCs w:val="21"/>
          <w:lang w:val="zh-CN"/>
        </w:rPr>
        <w:t>》第七章“技术标准和要求”由招标人根据招标项目具体特点和实际需要编制。</w:t>
      </w:r>
    </w:p>
    <w:p>
      <w:pPr>
        <w:spacing w:line="360" w:lineRule="auto"/>
        <w:ind w:firstLine="420" w:firstLineChars="200"/>
        <w:rPr>
          <w:rFonts w:ascii="宋体" w:hAnsi="宋体"/>
          <w:kern w:val="0"/>
          <w:szCs w:val="21"/>
          <w:lang w:val="zh-CN"/>
        </w:rPr>
      </w:pPr>
      <w:r>
        <w:rPr>
          <w:rFonts w:hint="eastAsia" w:ascii="宋体" w:hAnsi="宋体"/>
          <w:kern w:val="0"/>
          <w:szCs w:val="21"/>
          <w:lang w:val="en-US" w:eastAsia="zh-CN"/>
        </w:rPr>
        <w:t>十</w:t>
      </w:r>
      <w:r>
        <w:rPr>
          <w:rFonts w:ascii="宋体" w:hAnsi="宋体"/>
          <w:kern w:val="0"/>
          <w:szCs w:val="21"/>
          <w:lang w:val="zh-CN"/>
        </w:rPr>
        <w:t>、</w:t>
      </w:r>
      <w:r>
        <w:rPr>
          <w:rFonts w:hint="eastAsia" w:ascii="宋体" w:hAnsi="宋体"/>
          <w:kern w:val="0"/>
          <w:szCs w:val="21"/>
        </w:rPr>
        <w:t>第二章“</w:t>
      </w:r>
      <w:r>
        <w:rPr>
          <w:rFonts w:ascii="宋体" w:hAnsi="宋体"/>
          <w:kern w:val="0"/>
          <w:szCs w:val="21"/>
          <w:lang w:val="zh-CN"/>
        </w:rPr>
        <w:t>投标人须知前附表</w:t>
      </w:r>
      <w:r>
        <w:rPr>
          <w:rFonts w:hint="eastAsia" w:ascii="宋体" w:hAnsi="宋体"/>
          <w:kern w:val="0"/>
          <w:szCs w:val="21"/>
          <w:lang w:val="zh-CN"/>
        </w:rPr>
        <w:t>”</w:t>
      </w:r>
      <w:r>
        <w:rPr>
          <w:rFonts w:ascii="宋体" w:hAnsi="宋体"/>
          <w:kern w:val="0"/>
          <w:szCs w:val="21"/>
          <w:lang w:val="zh-CN"/>
        </w:rPr>
        <w:t>与其正文不一致的以</w:t>
      </w:r>
      <w:r>
        <w:rPr>
          <w:rFonts w:hint="eastAsia" w:ascii="宋体" w:hAnsi="宋体"/>
          <w:kern w:val="0"/>
          <w:szCs w:val="21"/>
          <w:lang w:val="zh-CN"/>
        </w:rPr>
        <w:t>“投标人须知</w:t>
      </w:r>
      <w:r>
        <w:rPr>
          <w:rFonts w:ascii="宋体" w:hAnsi="宋体"/>
          <w:kern w:val="0"/>
          <w:szCs w:val="21"/>
          <w:lang w:val="zh-CN"/>
        </w:rPr>
        <w:t>前附表</w:t>
      </w:r>
      <w:r>
        <w:rPr>
          <w:rFonts w:hint="eastAsia" w:ascii="宋体" w:hAnsi="宋体"/>
          <w:kern w:val="0"/>
          <w:szCs w:val="21"/>
          <w:lang w:val="zh-CN"/>
        </w:rPr>
        <w:t>”</w:t>
      </w:r>
      <w:r>
        <w:rPr>
          <w:rFonts w:ascii="宋体" w:hAnsi="宋体"/>
          <w:kern w:val="0"/>
          <w:szCs w:val="21"/>
          <w:lang w:val="zh-CN"/>
        </w:rPr>
        <w:t>为准，</w:t>
      </w:r>
      <w:r>
        <w:rPr>
          <w:rFonts w:hint="eastAsia" w:ascii="宋体" w:hAnsi="宋体"/>
          <w:kern w:val="0"/>
          <w:szCs w:val="21"/>
        </w:rPr>
        <w:t>第三章“</w:t>
      </w:r>
      <w:r>
        <w:rPr>
          <w:rFonts w:ascii="宋体" w:hAnsi="宋体"/>
          <w:kern w:val="0"/>
          <w:szCs w:val="21"/>
          <w:lang w:val="zh-CN"/>
        </w:rPr>
        <w:t>评标办法前附表</w:t>
      </w:r>
      <w:r>
        <w:rPr>
          <w:rFonts w:hint="eastAsia" w:ascii="宋体" w:hAnsi="宋体"/>
          <w:kern w:val="0"/>
          <w:szCs w:val="21"/>
          <w:lang w:val="zh-CN"/>
        </w:rPr>
        <w:t>”</w:t>
      </w:r>
      <w:r>
        <w:rPr>
          <w:rFonts w:ascii="宋体" w:hAnsi="宋体"/>
          <w:kern w:val="0"/>
          <w:szCs w:val="21"/>
          <w:lang w:val="zh-CN"/>
        </w:rPr>
        <w:t>与其正文不一致的以</w:t>
      </w:r>
      <w:r>
        <w:rPr>
          <w:rFonts w:hint="eastAsia" w:ascii="宋体" w:hAnsi="宋体"/>
          <w:kern w:val="0"/>
          <w:szCs w:val="21"/>
          <w:lang w:val="zh-CN"/>
        </w:rPr>
        <w:t>“评标办法</w:t>
      </w:r>
      <w:r>
        <w:rPr>
          <w:rFonts w:ascii="宋体" w:hAnsi="宋体"/>
          <w:kern w:val="0"/>
          <w:szCs w:val="21"/>
          <w:lang w:val="zh-CN"/>
        </w:rPr>
        <w:t>前附表</w:t>
      </w:r>
      <w:r>
        <w:rPr>
          <w:rFonts w:hint="eastAsia" w:ascii="宋体" w:hAnsi="宋体"/>
          <w:kern w:val="0"/>
          <w:szCs w:val="21"/>
          <w:lang w:val="zh-CN"/>
        </w:rPr>
        <w:t>”</w:t>
      </w:r>
      <w:r>
        <w:rPr>
          <w:rFonts w:ascii="宋体" w:hAnsi="宋体"/>
          <w:kern w:val="0"/>
          <w:szCs w:val="21"/>
          <w:lang w:val="zh-CN"/>
        </w:rPr>
        <w:t>为准</w:t>
      </w:r>
      <w:r>
        <w:rPr>
          <w:rFonts w:hint="eastAsia" w:ascii="宋体" w:hAnsi="宋体"/>
          <w:kern w:val="0"/>
          <w:szCs w:val="21"/>
          <w:lang w:val="zh-CN"/>
        </w:rPr>
        <w:t>，第二章“投标人须知正文”与第三章“评标办法正文”不允许修改。招标人必须将所有涉及否决投标的情形逐条清晰的列入第三章“否决投标情况一览表”中，否则不得作为否决投标的依据。第四章“合同条款及格式”中的第二部分通用合同条款不允许修改。</w:t>
      </w:r>
    </w:p>
    <w:p>
      <w:pPr>
        <w:spacing w:line="360" w:lineRule="auto"/>
        <w:ind w:firstLine="420" w:firstLineChars="200"/>
        <w:rPr>
          <w:rFonts w:hint="eastAsia" w:ascii="宋体" w:hAnsi="宋体" w:eastAsia="宋体"/>
          <w:kern w:val="0"/>
          <w:szCs w:val="21"/>
          <w:lang w:val="en-US" w:eastAsia="zh-CN"/>
        </w:rPr>
        <w:sectPr>
          <w:footerReference r:id="rId6" w:type="default"/>
          <w:pgSz w:w="11907" w:h="16840"/>
          <w:pgMar w:top="1304" w:right="1134" w:bottom="1304" w:left="1304" w:header="851" w:footer="992" w:gutter="0"/>
          <w:pgNumType w:fmt="numberInDash" w:start="1"/>
          <w:cols w:space="720" w:num="1"/>
          <w:docGrid w:linePitch="312" w:charSpace="0"/>
        </w:sectPr>
      </w:pPr>
      <w:r>
        <w:rPr>
          <w:rFonts w:ascii="宋体" w:hAnsi="宋体"/>
          <w:kern w:val="0"/>
          <w:szCs w:val="21"/>
          <w:lang w:val="zh-CN"/>
        </w:rPr>
        <w:t>十</w:t>
      </w:r>
      <w:r>
        <w:rPr>
          <w:rFonts w:hint="eastAsia" w:ascii="宋体" w:hAnsi="宋体"/>
          <w:kern w:val="0"/>
          <w:szCs w:val="21"/>
          <w:lang w:val="en-US" w:eastAsia="zh-CN"/>
        </w:rPr>
        <w:t>一</w:t>
      </w:r>
      <w:r>
        <w:rPr>
          <w:rFonts w:ascii="宋体" w:hAnsi="宋体"/>
          <w:kern w:val="0"/>
          <w:szCs w:val="21"/>
          <w:lang w:val="zh-CN"/>
        </w:rPr>
        <w:t>、《</w:t>
      </w:r>
      <w:r>
        <w:rPr>
          <w:rFonts w:hint="eastAsia" w:ascii="宋体" w:hAnsi="宋体"/>
          <w:kern w:val="0"/>
          <w:szCs w:val="21"/>
          <w:lang w:val="zh-CN"/>
        </w:rPr>
        <w:t>重庆市房屋建筑和市政基础设施工程施工招标文件示范文本</w:t>
      </w:r>
      <w:r>
        <w:rPr>
          <w:rFonts w:ascii="宋体" w:hAnsi="宋体"/>
          <w:kern w:val="0"/>
          <w:szCs w:val="21"/>
          <w:lang w:val="zh-CN"/>
        </w:rPr>
        <w:t>》将根据实际执行过程中出现的问题及时进行修改。各使用单位或个人对《</w:t>
      </w:r>
      <w:r>
        <w:rPr>
          <w:rFonts w:hint="eastAsia" w:ascii="宋体" w:hAnsi="宋体"/>
          <w:kern w:val="0"/>
          <w:szCs w:val="21"/>
          <w:lang w:val="zh-CN"/>
        </w:rPr>
        <w:t>重庆市房屋建筑和市政基础设施工程施工招标文件示范文本</w:t>
      </w:r>
      <w:r>
        <w:rPr>
          <w:rFonts w:ascii="宋体" w:hAnsi="宋体"/>
          <w:kern w:val="0"/>
          <w:szCs w:val="21"/>
          <w:lang w:val="zh-CN"/>
        </w:rPr>
        <w:t>》的修改意见和建议，可向</w:t>
      </w:r>
      <w:r>
        <w:rPr>
          <w:rFonts w:hint="eastAsia" w:ascii="宋体" w:hAnsi="宋体"/>
          <w:kern w:val="0"/>
          <w:szCs w:val="21"/>
          <w:lang w:val="zh-CN"/>
        </w:rPr>
        <w:t>重庆市发展和改革委员会</w:t>
      </w:r>
      <w:r>
        <w:rPr>
          <w:rFonts w:ascii="宋体" w:hAnsi="宋体"/>
          <w:kern w:val="0"/>
          <w:szCs w:val="21"/>
          <w:lang w:val="zh-CN"/>
        </w:rPr>
        <w:t>反映。联系电话</w:t>
      </w:r>
      <w:r>
        <w:rPr>
          <w:rFonts w:hint="eastAsia" w:ascii="宋体" w:hAnsi="宋体"/>
          <w:kern w:val="0"/>
          <w:szCs w:val="21"/>
          <w:lang w:val="zh-CN"/>
        </w:rPr>
        <w:t>：023-67575759或023-67575877。</w:t>
      </w:r>
    </w:p>
    <w:p>
      <w:pPr>
        <w:jc w:val="center"/>
        <w:rPr>
          <w:rFonts w:ascii="宋体" w:hAnsi="宋体"/>
          <w:b/>
          <w:sz w:val="44"/>
          <w:szCs w:val="44"/>
        </w:rPr>
      </w:pPr>
    </w:p>
    <w:p>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center"/>
        <w:rPr>
          <w:rFonts w:ascii="宋体" w:hAnsi="宋体"/>
          <w:kern w:val="0"/>
          <w:sz w:val="72"/>
          <w:szCs w:val="72"/>
        </w:rPr>
      </w:pPr>
      <w:r>
        <w:rPr>
          <w:rFonts w:ascii="宋体" w:hAnsi="宋体"/>
          <w:kern w:val="0"/>
          <w:sz w:val="72"/>
          <w:szCs w:val="72"/>
        </w:rPr>
        <w:t>施</w:t>
      </w:r>
      <w:r>
        <w:rPr>
          <w:rFonts w:hint="eastAsia" w:ascii="宋体" w:hAnsi="宋体"/>
          <w:kern w:val="0"/>
          <w:sz w:val="72"/>
          <w:szCs w:val="72"/>
        </w:rPr>
        <w:t xml:space="preserve"> </w:t>
      </w:r>
      <w:r>
        <w:rPr>
          <w:rFonts w:ascii="宋体" w:hAnsi="宋体"/>
          <w:kern w:val="0"/>
          <w:sz w:val="72"/>
          <w:szCs w:val="72"/>
        </w:rPr>
        <w:t>工</w:t>
      </w:r>
      <w:r>
        <w:rPr>
          <w:rFonts w:hint="eastAsia" w:ascii="宋体" w:hAnsi="宋体"/>
          <w:kern w:val="0"/>
          <w:sz w:val="72"/>
          <w:szCs w:val="72"/>
        </w:rPr>
        <w:t xml:space="preserve"> </w:t>
      </w:r>
      <w:r>
        <w:rPr>
          <w:rFonts w:ascii="宋体" w:hAnsi="宋体"/>
          <w:kern w:val="0"/>
          <w:sz w:val="72"/>
          <w:szCs w:val="72"/>
        </w:rPr>
        <w:t>招</w:t>
      </w:r>
      <w:r>
        <w:rPr>
          <w:rFonts w:hint="eastAsia" w:ascii="宋体" w:hAnsi="宋体"/>
          <w:kern w:val="0"/>
          <w:sz w:val="72"/>
          <w:szCs w:val="72"/>
        </w:rPr>
        <w:t xml:space="preserve"> </w:t>
      </w:r>
      <w:r>
        <w:rPr>
          <w:rFonts w:ascii="宋体" w:hAnsi="宋体"/>
          <w:kern w:val="0"/>
          <w:sz w:val="72"/>
          <w:szCs w:val="72"/>
        </w:rPr>
        <w:t>标</w:t>
      </w:r>
      <w:r>
        <w:rPr>
          <w:rFonts w:hint="eastAsia" w:ascii="宋体" w:hAnsi="宋体"/>
          <w:kern w:val="0"/>
          <w:sz w:val="72"/>
          <w:szCs w:val="72"/>
        </w:rPr>
        <w:t xml:space="preserve"> </w:t>
      </w:r>
      <w:r>
        <w:rPr>
          <w:rFonts w:ascii="宋体" w:hAnsi="宋体"/>
          <w:kern w:val="0"/>
          <w:sz w:val="72"/>
          <w:szCs w:val="72"/>
        </w:rPr>
        <w:t>文</w:t>
      </w:r>
      <w:r>
        <w:rPr>
          <w:rFonts w:hint="eastAsia" w:ascii="宋体" w:hAnsi="宋体"/>
          <w:kern w:val="0"/>
          <w:sz w:val="72"/>
          <w:szCs w:val="72"/>
        </w:rPr>
        <w:t xml:space="preserve"> </w:t>
      </w:r>
      <w:r>
        <w:rPr>
          <w:rFonts w:ascii="宋体" w:hAnsi="宋体"/>
          <w:kern w:val="0"/>
          <w:sz w:val="72"/>
          <w:szCs w:val="72"/>
        </w:rPr>
        <w:t>件</w:t>
      </w:r>
    </w:p>
    <w:p>
      <w:pPr>
        <w:autoSpaceDE w:val="0"/>
        <w:autoSpaceDN w:val="0"/>
        <w:adjustRightInd w:val="0"/>
        <w:snapToGrid w:val="0"/>
        <w:spacing w:line="360" w:lineRule="auto"/>
        <w:jc w:val="left"/>
        <w:rPr>
          <w:rFonts w:ascii="宋体" w:hAnsi="宋体"/>
          <w:kern w:val="0"/>
          <w:sz w:val="10"/>
          <w:szCs w:val="1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tabs>
          <w:tab w:val="left" w:pos="6219"/>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w w:val="99"/>
          <w:kern w:val="0"/>
          <w:sz w:val="28"/>
          <w:szCs w:val="28"/>
        </w:rPr>
        <w:t>招</w:t>
      </w:r>
      <w:r>
        <w:rPr>
          <w:rFonts w:hint="eastAsia" w:ascii="宋体" w:hAnsi="宋体"/>
          <w:bCs/>
          <w:w w:val="99"/>
          <w:kern w:val="0"/>
          <w:sz w:val="28"/>
          <w:szCs w:val="28"/>
        </w:rPr>
        <w:t xml:space="preserve">   </w:t>
      </w:r>
      <w:r>
        <w:rPr>
          <w:rFonts w:ascii="宋体" w:hAnsi="宋体"/>
          <w:bCs/>
          <w:w w:val="99"/>
          <w:kern w:val="0"/>
          <w:sz w:val="28"/>
          <w:szCs w:val="28"/>
        </w:rPr>
        <w:t>标</w:t>
      </w:r>
      <w:r>
        <w:rPr>
          <w:rFonts w:hint="eastAsia" w:ascii="宋体" w:hAnsi="宋体"/>
          <w:bCs/>
          <w:w w:val="99"/>
          <w:kern w:val="0"/>
          <w:sz w:val="28"/>
          <w:szCs w:val="28"/>
        </w:rPr>
        <w:t xml:space="preserve">   </w:t>
      </w:r>
      <w:r>
        <w:rPr>
          <w:rFonts w:ascii="宋体" w:hAnsi="宋体"/>
          <w:bCs/>
          <w:w w:val="99"/>
          <w:kern w:val="0"/>
          <w:sz w:val="28"/>
          <w:szCs w:val="28"/>
        </w:rPr>
        <w:t>人：</w:t>
      </w:r>
      <w:r>
        <w:rPr>
          <w:rFonts w:ascii="宋体" w:hAnsi="宋体"/>
          <w:bCs/>
          <w:kern w:val="0"/>
          <w:sz w:val="28"/>
          <w:szCs w:val="28"/>
          <w:u w:val="single"/>
        </w:rPr>
        <w:tab/>
      </w:r>
      <w:r>
        <w:rPr>
          <w:rFonts w:ascii="宋体" w:hAnsi="宋体"/>
          <w:bCs/>
          <w:kern w:val="0"/>
          <w:sz w:val="28"/>
          <w:szCs w:val="28"/>
          <w:u w:val="single"/>
        </w:rPr>
        <w:t xml:space="preserve">   </w:t>
      </w:r>
      <w:r>
        <w:rPr>
          <w:rFonts w:ascii="宋体" w:hAnsi="宋体"/>
          <w:bCs/>
          <w:w w:val="99"/>
          <w:kern w:val="0"/>
          <w:sz w:val="28"/>
          <w:szCs w:val="28"/>
        </w:rPr>
        <w:t>（盖单位法人章）</w:t>
      </w:r>
    </w:p>
    <w:p>
      <w:pPr>
        <w:tabs>
          <w:tab w:val="left" w:pos="6252"/>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spacing w:val="8"/>
          <w:kern w:val="0"/>
          <w:sz w:val="28"/>
          <w:szCs w:val="28"/>
        </w:rPr>
        <w:t>招标代理机构：</w:t>
      </w:r>
      <w:r>
        <w:rPr>
          <w:rFonts w:ascii="宋体" w:hAnsi="宋体"/>
          <w:bCs/>
          <w:kern w:val="0"/>
          <w:sz w:val="28"/>
          <w:szCs w:val="28"/>
          <w:u w:val="single"/>
        </w:rPr>
        <w:tab/>
      </w:r>
      <w:r>
        <w:rPr>
          <w:rFonts w:ascii="宋体" w:hAnsi="宋体"/>
          <w:bCs/>
          <w:kern w:val="0"/>
          <w:sz w:val="28"/>
          <w:szCs w:val="28"/>
          <w:u w:val="single"/>
        </w:rPr>
        <w:t xml:space="preserve">   </w:t>
      </w:r>
      <w:r>
        <w:rPr>
          <w:rFonts w:ascii="宋体" w:hAnsi="宋体"/>
          <w:bCs/>
          <w:w w:val="99"/>
          <w:kern w:val="0"/>
          <w:sz w:val="28"/>
          <w:szCs w:val="28"/>
        </w:rPr>
        <w:t>（盖单位法人章）</w:t>
      </w:r>
    </w:p>
    <w:p>
      <w:pPr>
        <w:autoSpaceDE w:val="0"/>
        <w:autoSpaceDN w:val="0"/>
        <w:adjustRightInd w:val="0"/>
        <w:snapToGrid w:val="0"/>
        <w:spacing w:line="360" w:lineRule="auto"/>
        <w:jc w:val="center"/>
        <w:rPr>
          <w:rFonts w:ascii="宋体" w:hAnsi="宋体"/>
          <w:bCs/>
          <w:kern w:val="0"/>
          <w:sz w:val="20"/>
          <w:szCs w:val="20"/>
        </w:rPr>
      </w:pPr>
    </w:p>
    <w:p>
      <w:pPr>
        <w:autoSpaceDE w:val="0"/>
        <w:autoSpaceDN w:val="0"/>
        <w:adjustRightInd w:val="0"/>
        <w:snapToGrid w:val="0"/>
        <w:spacing w:line="360" w:lineRule="auto"/>
        <w:jc w:val="center"/>
        <w:rPr>
          <w:rFonts w:ascii="宋体" w:hAnsi="宋体"/>
          <w:bCs/>
          <w:kern w:val="0"/>
          <w:sz w:val="28"/>
          <w:szCs w:val="28"/>
        </w:rPr>
      </w:pPr>
    </w:p>
    <w:p>
      <w:pPr>
        <w:autoSpaceDE w:val="0"/>
        <w:autoSpaceDN w:val="0"/>
        <w:adjustRightInd w:val="0"/>
        <w:snapToGrid w:val="0"/>
        <w:spacing w:line="360" w:lineRule="auto"/>
        <w:jc w:val="center"/>
        <w:rPr>
          <w:rFonts w:ascii="宋体" w:hAnsi="宋体"/>
          <w:bCs/>
          <w:kern w:val="0"/>
          <w:sz w:val="28"/>
          <w:szCs w:val="28"/>
        </w:rPr>
      </w:pPr>
    </w:p>
    <w:p>
      <w:pPr>
        <w:autoSpaceDE w:val="0"/>
        <w:autoSpaceDN w:val="0"/>
        <w:adjustRightInd w:val="0"/>
        <w:snapToGrid w:val="0"/>
        <w:spacing w:line="360" w:lineRule="auto"/>
        <w:rPr>
          <w:rFonts w:ascii="宋体" w:hAnsi="宋体"/>
          <w:bCs/>
          <w:kern w:val="0"/>
          <w:sz w:val="20"/>
          <w:szCs w:val="20"/>
        </w:rPr>
      </w:pPr>
    </w:p>
    <w:p>
      <w:pPr>
        <w:tabs>
          <w:tab w:val="left" w:pos="6252"/>
        </w:tabs>
        <w:autoSpaceDE w:val="0"/>
        <w:autoSpaceDN w:val="0"/>
        <w:adjustRightInd w:val="0"/>
        <w:snapToGrid w:val="0"/>
        <w:spacing w:line="360" w:lineRule="auto"/>
        <w:jc w:val="center"/>
        <w:rPr>
          <w:rFonts w:ascii="宋体" w:hAnsi="宋体"/>
          <w:bCs/>
          <w:spacing w:val="8"/>
          <w:kern w:val="0"/>
          <w:sz w:val="28"/>
          <w:szCs w:val="28"/>
        </w:rPr>
      </w:pPr>
      <w:bookmarkStart w:id="2" w:name="_Toc536796736"/>
      <w:bookmarkStart w:id="3" w:name="_Toc536797277"/>
      <w:bookmarkStart w:id="4" w:name="_Toc536621766"/>
      <w:bookmarkStart w:id="5" w:name="_Toc509218549"/>
      <w:bookmarkStart w:id="6" w:name="_Toc13210649"/>
      <w:r>
        <w:rPr>
          <w:rFonts w:hint="eastAsia" w:ascii="宋体" w:hAnsi="宋体"/>
          <w:bCs/>
          <w:spacing w:val="8"/>
          <w:kern w:val="0"/>
          <w:sz w:val="28"/>
          <w:szCs w:val="28"/>
          <w:u w:val="single"/>
        </w:rPr>
        <w:t xml:space="preserve">    </w:t>
      </w:r>
      <w:r>
        <w:rPr>
          <w:rFonts w:ascii="宋体" w:hAnsi="宋体"/>
          <w:bCs/>
          <w:spacing w:val="8"/>
          <w:kern w:val="0"/>
          <w:sz w:val="28"/>
          <w:szCs w:val="28"/>
        </w:rPr>
        <w:t>年</w:t>
      </w:r>
      <w:r>
        <w:rPr>
          <w:rFonts w:hint="eastAsia" w:ascii="宋体" w:hAnsi="宋体"/>
          <w:bCs/>
          <w:spacing w:val="8"/>
          <w:kern w:val="0"/>
          <w:sz w:val="28"/>
          <w:szCs w:val="28"/>
          <w:u w:val="single"/>
        </w:rPr>
        <w:t xml:space="preserve">    </w:t>
      </w:r>
      <w:r>
        <w:rPr>
          <w:rFonts w:ascii="宋体" w:hAnsi="宋体"/>
          <w:bCs/>
          <w:spacing w:val="8"/>
          <w:kern w:val="0"/>
          <w:sz w:val="28"/>
          <w:szCs w:val="28"/>
        </w:rPr>
        <w:t>月</w:t>
      </w:r>
      <w:r>
        <w:rPr>
          <w:rFonts w:hint="eastAsia" w:ascii="宋体" w:hAnsi="宋体"/>
          <w:bCs/>
          <w:spacing w:val="8"/>
          <w:kern w:val="0"/>
          <w:sz w:val="28"/>
          <w:szCs w:val="28"/>
          <w:u w:val="single"/>
        </w:rPr>
        <w:t xml:space="preserve">    </w:t>
      </w:r>
      <w:r>
        <w:rPr>
          <w:rFonts w:ascii="宋体" w:hAnsi="宋体"/>
          <w:bCs/>
          <w:spacing w:val="8"/>
          <w:kern w:val="0"/>
          <w:sz w:val="28"/>
          <w:szCs w:val="28"/>
        </w:rPr>
        <w:t>日</w:t>
      </w:r>
      <w:bookmarkEnd w:id="2"/>
      <w:bookmarkEnd w:id="3"/>
      <w:bookmarkEnd w:id="4"/>
      <w:bookmarkEnd w:id="5"/>
      <w:bookmarkEnd w:id="6"/>
    </w:p>
    <w:p>
      <w:pPr>
        <w:pStyle w:val="3"/>
        <w:spacing w:line="360" w:lineRule="auto"/>
        <w:rPr>
          <w:rFonts w:ascii="宋体" w:hAnsi="宋体"/>
          <w:w w:val="99"/>
          <w:kern w:val="0"/>
          <w:sz w:val="24"/>
        </w:rPr>
        <w:sectPr>
          <w:footerReference r:id="rId7" w:type="default"/>
          <w:pgSz w:w="11907" w:h="16840"/>
          <w:pgMar w:top="1304" w:right="1134" w:bottom="1304" w:left="1304" w:header="851" w:footer="992" w:gutter="0"/>
          <w:pgNumType w:fmt="numberInDash" w:start="1"/>
          <w:cols w:space="720" w:num="1"/>
          <w:docGrid w:linePitch="312" w:charSpace="0"/>
        </w:sectPr>
      </w:pPr>
    </w:p>
    <w:p>
      <w:pPr>
        <w:pStyle w:val="57"/>
        <w:jc w:val="center"/>
        <w:rPr>
          <w:rFonts w:ascii="宋体" w:hAnsi="宋体"/>
          <w:i w:val="0"/>
          <w:iCs w:val="0"/>
          <w:color w:val="auto"/>
          <w:sz w:val="44"/>
          <w:szCs w:val="44"/>
        </w:rPr>
      </w:pPr>
      <w:bookmarkStart w:id="7" w:name="_Toc23843"/>
      <w:r>
        <w:rPr>
          <w:rFonts w:ascii="宋体" w:hAnsi="宋体"/>
          <w:i w:val="0"/>
          <w:iCs w:val="0"/>
          <w:color w:val="auto"/>
          <w:sz w:val="44"/>
          <w:szCs w:val="44"/>
          <w:lang w:val="zh-CN"/>
        </w:rPr>
        <w:t>目</w:t>
      </w:r>
      <w:r>
        <w:rPr>
          <w:rFonts w:hint="eastAsia" w:ascii="宋体" w:hAnsi="宋体"/>
          <w:i w:val="0"/>
          <w:iCs w:val="0"/>
          <w:color w:val="auto"/>
          <w:sz w:val="44"/>
          <w:szCs w:val="44"/>
          <w:lang w:val="zh-CN"/>
        </w:rPr>
        <w:t xml:space="preserve"> </w:t>
      </w:r>
      <w:r>
        <w:rPr>
          <w:rFonts w:ascii="宋体" w:hAnsi="宋体"/>
          <w:i w:val="0"/>
          <w:iCs w:val="0"/>
          <w:color w:val="auto"/>
          <w:sz w:val="44"/>
          <w:szCs w:val="44"/>
          <w:lang w:val="zh-CN"/>
        </w:rPr>
        <w:t>录</w:t>
      </w:r>
      <w:bookmarkEnd w:id="7"/>
    </w:p>
    <w:p>
      <w:pPr>
        <w:pStyle w:val="31"/>
        <w:tabs>
          <w:tab w:val="right" w:leader="dot" w:pos="9469"/>
        </w:tabs>
        <w:rPr>
          <w:i w:val="0"/>
          <w:iCs w:val="0"/>
        </w:rPr>
      </w:pPr>
      <w:r>
        <w:rPr>
          <w:rFonts w:ascii="宋体" w:hAnsi="宋体"/>
          <w:i w:val="0"/>
          <w:iCs w:val="0"/>
        </w:rPr>
        <w:fldChar w:fldCharType="begin"/>
      </w:r>
      <w:r>
        <w:rPr>
          <w:rFonts w:ascii="宋体" w:hAnsi="宋体"/>
          <w:i w:val="0"/>
          <w:iCs w:val="0"/>
        </w:rPr>
        <w:instrText xml:space="preserve"> TOC \o "1-3" \h \z \u </w:instrText>
      </w:r>
      <w:r>
        <w:rPr>
          <w:rFonts w:ascii="宋体" w:hAnsi="宋体"/>
          <w:i w:val="0"/>
          <w:iCs w:val="0"/>
        </w:rPr>
        <w:fldChar w:fldCharType="separate"/>
      </w:r>
      <w:r>
        <w:rPr>
          <w:rFonts w:ascii="宋体" w:hAnsi="宋体"/>
          <w:i w:val="0"/>
          <w:iCs w:val="0"/>
        </w:rPr>
        <w:fldChar w:fldCharType="begin"/>
      </w:r>
      <w:r>
        <w:rPr>
          <w:rFonts w:ascii="宋体" w:hAnsi="宋体"/>
          <w:i w:val="0"/>
          <w:iCs w:val="0"/>
        </w:rPr>
        <w:instrText xml:space="preserve"> HYPERLINK \l _Toc24688 </w:instrText>
      </w:r>
      <w:r>
        <w:rPr>
          <w:rFonts w:ascii="宋体" w:hAnsi="宋体"/>
          <w:i w:val="0"/>
          <w:iCs w:val="0"/>
        </w:rPr>
        <w:fldChar w:fldCharType="separate"/>
      </w:r>
      <w:r>
        <w:rPr>
          <w:rFonts w:hint="eastAsia" w:ascii="宋体" w:hAnsi="宋体"/>
          <w:i w:val="0"/>
          <w:iCs w:val="0"/>
          <w:szCs w:val="52"/>
        </w:rPr>
        <w:t>第 一 卷</w:t>
      </w:r>
      <w:r>
        <w:rPr>
          <w:i w:val="0"/>
          <w:iCs w:val="0"/>
        </w:rPr>
        <w:tab/>
      </w:r>
      <w:r>
        <w:rPr>
          <w:i w:val="0"/>
          <w:iCs w:val="0"/>
        </w:rPr>
        <w:fldChar w:fldCharType="begin"/>
      </w:r>
      <w:r>
        <w:rPr>
          <w:i w:val="0"/>
          <w:iCs w:val="0"/>
        </w:rPr>
        <w:instrText xml:space="preserve"> PAGEREF _Toc24688 \h </w:instrText>
      </w:r>
      <w:r>
        <w:rPr>
          <w:i w:val="0"/>
          <w:iCs w:val="0"/>
        </w:rPr>
        <w:fldChar w:fldCharType="separate"/>
      </w:r>
      <w:r>
        <w:rPr>
          <w:i w:val="0"/>
          <w:iCs w:val="0"/>
        </w:rPr>
        <w:t>4</w:t>
      </w:r>
      <w:r>
        <w:rPr>
          <w:i w:val="0"/>
          <w:iCs w:val="0"/>
        </w:rPr>
        <w:fldChar w:fldCharType="end"/>
      </w:r>
      <w:r>
        <w:rPr>
          <w:rFonts w:ascii="宋体" w:hAnsi="宋体"/>
          <w:i w:val="0"/>
          <w:iCs w:val="0"/>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_Toc12427 </w:instrText>
      </w:r>
      <w:r>
        <w:rPr>
          <w:rFonts w:ascii="宋体" w:hAnsi="宋体"/>
          <w:bCs/>
          <w:i w:val="0"/>
          <w:iCs w:val="0"/>
          <w:szCs w:val="20"/>
          <w:lang w:val="zh-CN"/>
        </w:rPr>
        <w:fldChar w:fldCharType="separate"/>
      </w:r>
      <w:r>
        <w:rPr>
          <w:rFonts w:ascii="宋体" w:hAnsi="宋体"/>
          <w:i w:val="0"/>
          <w:iCs w:val="0"/>
          <w:snapToGrid w:val="0"/>
          <w:kern w:val="0"/>
        </w:rPr>
        <w:t>第一章  招标公告（</w:t>
      </w:r>
      <w:r>
        <w:rPr>
          <w:rFonts w:hint="eastAsia" w:ascii="宋体" w:hAnsi="宋体"/>
          <w:i w:val="0"/>
          <w:iCs w:val="0"/>
          <w:snapToGrid w:val="0"/>
        </w:rPr>
        <w:t>未进行资格预审</w:t>
      </w:r>
      <w:r>
        <w:rPr>
          <w:rFonts w:ascii="宋体" w:hAnsi="宋体"/>
          <w:i w:val="0"/>
          <w:iCs w:val="0"/>
          <w:snapToGrid w:val="0"/>
          <w:kern w:val="0"/>
        </w:rPr>
        <w:t>）</w:t>
      </w:r>
      <w:r>
        <w:rPr>
          <w:i w:val="0"/>
          <w:iCs w:val="0"/>
        </w:rPr>
        <w:tab/>
      </w:r>
      <w:r>
        <w:rPr>
          <w:i w:val="0"/>
          <w:iCs w:val="0"/>
        </w:rPr>
        <w:fldChar w:fldCharType="begin"/>
      </w:r>
      <w:r>
        <w:rPr>
          <w:i w:val="0"/>
          <w:iCs w:val="0"/>
        </w:rPr>
        <w:instrText xml:space="preserve"> PAGEREF _Toc12427 \h </w:instrText>
      </w:r>
      <w:r>
        <w:rPr>
          <w:i w:val="0"/>
          <w:iCs w:val="0"/>
        </w:rPr>
        <w:fldChar w:fldCharType="separate"/>
      </w:r>
      <w:r>
        <w:rPr>
          <w:i w:val="0"/>
          <w:iCs w:val="0"/>
        </w:rPr>
        <w:t>5</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_Toc9883 </w:instrText>
      </w:r>
      <w:r>
        <w:rPr>
          <w:rFonts w:ascii="宋体" w:hAnsi="宋体"/>
          <w:bCs/>
          <w:i w:val="0"/>
          <w:iCs w:val="0"/>
          <w:szCs w:val="20"/>
          <w:lang w:val="zh-CN"/>
        </w:rPr>
        <w:fldChar w:fldCharType="separate"/>
      </w:r>
      <w:r>
        <w:rPr>
          <w:rFonts w:ascii="宋体" w:hAnsi="宋体"/>
          <w:i w:val="0"/>
          <w:iCs w:val="0"/>
          <w:snapToGrid w:val="0"/>
          <w:szCs w:val="28"/>
        </w:rPr>
        <w:t xml:space="preserve">1. </w:t>
      </w:r>
      <w:r>
        <w:rPr>
          <w:rFonts w:hint="eastAsia" w:ascii="宋体" w:hAnsi="宋体"/>
          <w:i w:val="0"/>
          <w:iCs w:val="0"/>
          <w:snapToGrid w:val="0"/>
          <w:szCs w:val="28"/>
        </w:rPr>
        <w:t xml:space="preserve"> </w:t>
      </w:r>
      <w:r>
        <w:rPr>
          <w:rFonts w:ascii="宋体" w:hAnsi="宋体"/>
          <w:i w:val="0"/>
          <w:iCs w:val="0"/>
          <w:snapToGrid w:val="0"/>
          <w:szCs w:val="28"/>
        </w:rPr>
        <w:t>招标条件</w:t>
      </w:r>
      <w:r>
        <w:rPr>
          <w:i w:val="0"/>
          <w:iCs w:val="0"/>
        </w:rPr>
        <w:tab/>
      </w:r>
      <w:r>
        <w:rPr>
          <w:i w:val="0"/>
          <w:iCs w:val="0"/>
        </w:rPr>
        <w:fldChar w:fldCharType="begin"/>
      </w:r>
      <w:r>
        <w:rPr>
          <w:i w:val="0"/>
          <w:iCs w:val="0"/>
        </w:rPr>
        <w:instrText xml:space="preserve"> PAGEREF _Toc9883 \h </w:instrText>
      </w:r>
      <w:r>
        <w:rPr>
          <w:i w:val="0"/>
          <w:iCs w:val="0"/>
        </w:rPr>
        <w:fldChar w:fldCharType="separate"/>
      </w:r>
      <w:r>
        <w:rPr>
          <w:i w:val="0"/>
          <w:iCs w:val="0"/>
        </w:rPr>
        <w:t>5</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_Toc16500 </w:instrText>
      </w:r>
      <w:r>
        <w:rPr>
          <w:rFonts w:ascii="宋体" w:hAnsi="宋体"/>
          <w:bCs/>
          <w:i w:val="0"/>
          <w:iCs w:val="0"/>
          <w:szCs w:val="20"/>
          <w:lang w:val="zh-CN"/>
        </w:rPr>
        <w:fldChar w:fldCharType="separate"/>
      </w:r>
      <w:r>
        <w:rPr>
          <w:rFonts w:ascii="宋体" w:hAnsi="宋体"/>
          <w:i w:val="0"/>
          <w:iCs w:val="0"/>
          <w:snapToGrid w:val="0"/>
          <w:szCs w:val="28"/>
        </w:rPr>
        <w:t>2.</w:t>
      </w:r>
      <w:r>
        <w:rPr>
          <w:rFonts w:hint="eastAsia" w:ascii="宋体" w:hAnsi="宋体"/>
          <w:i w:val="0"/>
          <w:iCs w:val="0"/>
          <w:snapToGrid w:val="0"/>
          <w:szCs w:val="28"/>
        </w:rPr>
        <w:t xml:space="preserve"> </w:t>
      </w:r>
      <w:r>
        <w:rPr>
          <w:rFonts w:ascii="宋体" w:hAnsi="宋体"/>
          <w:i w:val="0"/>
          <w:iCs w:val="0"/>
          <w:snapToGrid w:val="0"/>
          <w:szCs w:val="28"/>
        </w:rPr>
        <w:t xml:space="preserve"> 项目概况与招标范围</w:t>
      </w:r>
      <w:r>
        <w:rPr>
          <w:i w:val="0"/>
          <w:iCs w:val="0"/>
        </w:rPr>
        <w:tab/>
      </w:r>
      <w:r>
        <w:rPr>
          <w:i w:val="0"/>
          <w:iCs w:val="0"/>
        </w:rPr>
        <w:fldChar w:fldCharType="begin"/>
      </w:r>
      <w:r>
        <w:rPr>
          <w:i w:val="0"/>
          <w:iCs w:val="0"/>
        </w:rPr>
        <w:instrText xml:space="preserve"> PAGEREF _Toc16500 \h </w:instrText>
      </w:r>
      <w:r>
        <w:rPr>
          <w:i w:val="0"/>
          <w:iCs w:val="0"/>
        </w:rPr>
        <w:fldChar w:fldCharType="separate"/>
      </w:r>
      <w:r>
        <w:rPr>
          <w:i w:val="0"/>
          <w:iCs w:val="0"/>
        </w:rPr>
        <w:t>5</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_Toc12604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3</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hint="eastAsia" w:ascii="宋体" w:hAnsi="宋体"/>
          <w:i w:val="0"/>
          <w:iCs w:val="0"/>
          <w:snapToGrid w:val="0"/>
          <w:szCs w:val="28"/>
          <w:lang w:val="en-US" w:eastAsia="zh-CN"/>
        </w:rPr>
        <w:t>政府采购工程</w:t>
      </w:r>
      <w:r>
        <w:rPr>
          <w:i w:val="0"/>
          <w:iCs w:val="0"/>
        </w:rPr>
        <w:tab/>
      </w:r>
      <w:r>
        <w:rPr>
          <w:i w:val="0"/>
          <w:iCs w:val="0"/>
        </w:rPr>
        <w:fldChar w:fldCharType="begin"/>
      </w:r>
      <w:r>
        <w:rPr>
          <w:i w:val="0"/>
          <w:iCs w:val="0"/>
        </w:rPr>
        <w:instrText xml:space="preserve"> PAGEREF _Toc12604 \h </w:instrText>
      </w:r>
      <w:r>
        <w:rPr>
          <w:i w:val="0"/>
          <w:iCs w:val="0"/>
        </w:rPr>
        <w:fldChar w:fldCharType="separate"/>
      </w:r>
      <w:r>
        <w:rPr>
          <w:i w:val="0"/>
          <w:iCs w:val="0"/>
        </w:rPr>
        <w:t>5</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_Toc19612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4</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ascii="宋体" w:hAnsi="宋体"/>
          <w:i w:val="0"/>
          <w:iCs w:val="0"/>
          <w:snapToGrid w:val="0"/>
          <w:szCs w:val="28"/>
        </w:rPr>
        <w:t>投标人资格要求</w:t>
      </w:r>
      <w:r>
        <w:rPr>
          <w:i w:val="0"/>
          <w:iCs w:val="0"/>
        </w:rPr>
        <w:tab/>
      </w:r>
      <w:r>
        <w:rPr>
          <w:i w:val="0"/>
          <w:iCs w:val="0"/>
        </w:rPr>
        <w:fldChar w:fldCharType="begin"/>
      </w:r>
      <w:r>
        <w:rPr>
          <w:i w:val="0"/>
          <w:iCs w:val="0"/>
        </w:rPr>
        <w:instrText xml:space="preserve"> PAGEREF _Toc19612 \h </w:instrText>
      </w:r>
      <w:r>
        <w:rPr>
          <w:i w:val="0"/>
          <w:iCs w:val="0"/>
        </w:rPr>
        <w:fldChar w:fldCharType="separate"/>
      </w:r>
      <w:r>
        <w:rPr>
          <w:i w:val="0"/>
          <w:iCs w:val="0"/>
        </w:rPr>
        <w:t>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_Toc30530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5</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ascii="宋体" w:hAnsi="宋体"/>
          <w:i w:val="0"/>
          <w:iCs w:val="0"/>
          <w:snapToGrid w:val="0"/>
          <w:szCs w:val="28"/>
        </w:rPr>
        <w:t>招标文件的获取</w:t>
      </w:r>
      <w:r>
        <w:rPr>
          <w:i w:val="0"/>
          <w:iCs w:val="0"/>
        </w:rPr>
        <w:tab/>
      </w:r>
      <w:r>
        <w:rPr>
          <w:i w:val="0"/>
          <w:iCs w:val="0"/>
        </w:rPr>
        <w:fldChar w:fldCharType="begin"/>
      </w:r>
      <w:r>
        <w:rPr>
          <w:i w:val="0"/>
          <w:iCs w:val="0"/>
        </w:rPr>
        <w:instrText xml:space="preserve"> PAGEREF _Toc30530 \h </w:instrText>
      </w:r>
      <w:r>
        <w:rPr>
          <w:i w:val="0"/>
          <w:iCs w:val="0"/>
        </w:rPr>
        <w:fldChar w:fldCharType="separate"/>
      </w:r>
      <w:r>
        <w:rPr>
          <w:i w:val="0"/>
          <w:iCs w:val="0"/>
        </w:rPr>
        <w:t>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_Toc28463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6</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ascii="宋体" w:hAnsi="宋体"/>
          <w:i w:val="0"/>
          <w:iCs w:val="0"/>
          <w:snapToGrid w:val="0"/>
          <w:szCs w:val="28"/>
        </w:rPr>
        <w:t>投标文件的递交</w:t>
      </w:r>
      <w:r>
        <w:rPr>
          <w:i w:val="0"/>
          <w:iCs w:val="0"/>
        </w:rPr>
        <w:tab/>
      </w:r>
      <w:r>
        <w:rPr>
          <w:i w:val="0"/>
          <w:iCs w:val="0"/>
        </w:rPr>
        <w:fldChar w:fldCharType="begin"/>
      </w:r>
      <w:r>
        <w:rPr>
          <w:i w:val="0"/>
          <w:iCs w:val="0"/>
        </w:rPr>
        <w:instrText xml:space="preserve"> PAGEREF _Toc28463 \h </w:instrText>
      </w:r>
      <w:r>
        <w:rPr>
          <w:i w:val="0"/>
          <w:iCs w:val="0"/>
        </w:rPr>
        <w:fldChar w:fldCharType="separate"/>
      </w:r>
      <w:r>
        <w:rPr>
          <w:i w:val="0"/>
          <w:iCs w:val="0"/>
        </w:rPr>
        <w:t>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_Toc5436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7</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ascii="宋体" w:hAnsi="宋体"/>
          <w:i w:val="0"/>
          <w:iCs w:val="0"/>
          <w:snapToGrid w:val="0"/>
          <w:szCs w:val="28"/>
        </w:rPr>
        <w:t>发布公告的媒介</w:t>
      </w:r>
      <w:r>
        <w:rPr>
          <w:i w:val="0"/>
          <w:iCs w:val="0"/>
        </w:rPr>
        <w:tab/>
      </w:r>
      <w:r>
        <w:rPr>
          <w:i w:val="0"/>
          <w:iCs w:val="0"/>
        </w:rPr>
        <w:fldChar w:fldCharType="begin"/>
      </w:r>
      <w:r>
        <w:rPr>
          <w:i w:val="0"/>
          <w:iCs w:val="0"/>
        </w:rPr>
        <w:instrText xml:space="preserve"> PAGEREF _Toc5436 \h </w:instrText>
      </w:r>
      <w:r>
        <w:rPr>
          <w:i w:val="0"/>
          <w:iCs w:val="0"/>
        </w:rPr>
        <w:fldChar w:fldCharType="separate"/>
      </w:r>
      <w:r>
        <w:rPr>
          <w:i w:val="0"/>
          <w:iCs w:val="0"/>
        </w:rPr>
        <w:t>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_Toc22857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8</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ascii="宋体" w:hAnsi="宋体"/>
          <w:i w:val="0"/>
          <w:iCs w:val="0"/>
          <w:snapToGrid w:val="0"/>
          <w:szCs w:val="28"/>
        </w:rPr>
        <w:t>联系方式</w:t>
      </w:r>
      <w:r>
        <w:rPr>
          <w:i w:val="0"/>
          <w:iCs w:val="0"/>
        </w:rPr>
        <w:tab/>
      </w:r>
      <w:r>
        <w:rPr>
          <w:i w:val="0"/>
          <w:iCs w:val="0"/>
        </w:rPr>
        <w:fldChar w:fldCharType="begin"/>
      </w:r>
      <w:r>
        <w:rPr>
          <w:i w:val="0"/>
          <w:iCs w:val="0"/>
        </w:rPr>
        <w:instrText xml:space="preserve"> PAGEREF _Toc22857 \h </w:instrText>
      </w:r>
      <w:r>
        <w:rPr>
          <w:i w:val="0"/>
          <w:iCs w:val="0"/>
        </w:rPr>
        <w:fldChar w:fldCharType="separate"/>
      </w:r>
      <w:r>
        <w:rPr>
          <w:i w:val="0"/>
          <w:iCs w:val="0"/>
        </w:rPr>
        <w:t>7</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_Toc2934 </w:instrText>
      </w:r>
      <w:r>
        <w:rPr>
          <w:rFonts w:ascii="宋体" w:hAnsi="宋体"/>
          <w:bCs/>
          <w:i w:val="0"/>
          <w:iCs w:val="0"/>
          <w:szCs w:val="20"/>
          <w:lang w:val="zh-CN"/>
        </w:rPr>
        <w:fldChar w:fldCharType="separate"/>
      </w:r>
      <w:r>
        <w:rPr>
          <w:rFonts w:ascii="宋体" w:hAnsi="宋体"/>
          <w:i w:val="0"/>
          <w:iCs w:val="0"/>
          <w:snapToGrid w:val="0"/>
        </w:rPr>
        <w:t>第一章  投标邀请书（</w:t>
      </w:r>
      <w:r>
        <w:rPr>
          <w:rFonts w:hint="eastAsia" w:ascii="宋体" w:hAnsi="宋体"/>
          <w:i w:val="0"/>
          <w:iCs w:val="0"/>
          <w:snapToGrid w:val="0"/>
        </w:rPr>
        <w:t>适用于邀请招标</w:t>
      </w:r>
      <w:r>
        <w:rPr>
          <w:rFonts w:ascii="宋体" w:hAnsi="宋体"/>
          <w:i w:val="0"/>
          <w:iCs w:val="0"/>
          <w:snapToGrid w:val="0"/>
        </w:rPr>
        <w:t>）</w:t>
      </w:r>
      <w:r>
        <w:rPr>
          <w:i w:val="0"/>
          <w:iCs w:val="0"/>
        </w:rPr>
        <w:tab/>
      </w:r>
      <w:r>
        <w:rPr>
          <w:i w:val="0"/>
          <w:iCs w:val="0"/>
        </w:rPr>
        <w:fldChar w:fldCharType="begin"/>
      </w:r>
      <w:r>
        <w:rPr>
          <w:i w:val="0"/>
          <w:iCs w:val="0"/>
        </w:rPr>
        <w:instrText xml:space="preserve"> PAGEREF _Toc2934 \h </w:instrText>
      </w:r>
      <w:r>
        <w:rPr>
          <w:i w:val="0"/>
          <w:iCs w:val="0"/>
        </w:rPr>
        <w:fldChar w:fldCharType="separate"/>
      </w:r>
      <w:r>
        <w:rPr>
          <w:i w:val="0"/>
          <w:iCs w:val="0"/>
        </w:rPr>
        <w:t>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_Toc22303 </w:instrText>
      </w:r>
      <w:r>
        <w:rPr>
          <w:rFonts w:ascii="宋体" w:hAnsi="宋体"/>
          <w:bCs/>
          <w:i w:val="0"/>
          <w:iCs w:val="0"/>
          <w:szCs w:val="20"/>
          <w:lang w:val="zh-CN"/>
        </w:rPr>
        <w:fldChar w:fldCharType="separate"/>
      </w:r>
      <w:r>
        <w:rPr>
          <w:rFonts w:ascii="宋体" w:hAnsi="宋体"/>
          <w:i w:val="0"/>
          <w:iCs w:val="0"/>
          <w:snapToGrid w:val="0"/>
          <w:szCs w:val="28"/>
        </w:rPr>
        <w:t>1.  招标条件</w:t>
      </w:r>
      <w:r>
        <w:rPr>
          <w:i w:val="0"/>
          <w:iCs w:val="0"/>
        </w:rPr>
        <w:tab/>
      </w:r>
      <w:r>
        <w:rPr>
          <w:i w:val="0"/>
          <w:iCs w:val="0"/>
        </w:rPr>
        <w:fldChar w:fldCharType="begin"/>
      </w:r>
      <w:r>
        <w:rPr>
          <w:i w:val="0"/>
          <w:iCs w:val="0"/>
        </w:rPr>
        <w:instrText xml:space="preserve"> PAGEREF _Toc22303 \h </w:instrText>
      </w:r>
      <w:r>
        <w:rPr>
          <w:i w:val="0"/>
          <w:iCs w:val="0"/>
        </w:rPr>
        <w:fldChar w:fldCharType="separate"/>
      </w:r>
      <w:r>
        <w:rPr>
          <w:i w:val="0"/>
          <w:iCs w:val="0"/>
        </w:rPr>
        <w:t>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_Toc30213 </w:instrText>
      </w:r>
      <w:r>
        <w:rPr>
          <w:rFonts w:ascii="宋体" w:hAnsi="宋体"/>
          <w:bCs/>
          <w:i w:val="0"/>
          <w:iCs w:val="0"/>
          <w:szCs w:val="20"/>
          <w:lang w:val="zh-CN"/>
        </w:rPr>
        <w:fldChar w:fldCharType="separate"/>
      </w:r>
      <w:r>
        <w:rPr>
          <w:rFonts w:ascii="宋体" w:hAnsi="宋体"/>
          <w:i w:val="0"/>
          <w:iCs w:val="0"/>
          <w:snapToGrid w:val="0"/>
          <w:szCs w:val="28"/>
        </w:rPr>
        <w:t>2.  项目概况与招标范围</w:t>
      </w:r>
      <w:r>
        <w:rPr>
          <w:i w:val="0"/>
          <w:iCs w:val="0"/>
        </w:rPr>
        <w:tab/>
      </w:r>
      <w:r>
        <w:rPr>
          <w:i w:val="0"/>
          <w:iCs w:val="0"/>
        </w:rPr>
        <w:fldChar w:fldCharType="begin"/>
      </w:r>
      <w:r>
        <w:rPr>
          <w:i w:val="0"/>
          <w:iCs w:val="0"/>
        </w:rPr>
        <w:instrText xml:space="preserve"> PAGEREF _Toc30213 \h </w:instrText>
      </w:r>
      <w:r>
        <w:rPr>
          <w:i w:val="0"/>
          <w:iCs w:val="0"/>
        </w:rPr>
        <w:fldChar w:fldCharType="separate"/>
      </w:r>
      <w:r>
        <w:rPr>
          <w:i w:val="0"/>
          <w:iCs w:val="0"/>
        </w:rPr>
        <w:t>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_Toc23134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3</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hint="eastAsia" w:ascii="宋体" w:hAnsi="宋体"/>
          <w:i w:val="0"/>
          <w:iCs w:val="0"/>
          <w:snapToGrid w:val="0"/>
          <w:szCs w:val="28"/>
          <w:lang w:val="en-US" w:eastAsia="zh-CN"/>
        </w:rPr>
        <w:t>政府采购工程</w:t>
      </w:r>
      <w:r>
        <w:rPr>
          <w:i w:val="0"/>
          <w:iCs w:val="0"/>
        </w:rPr>
        <w:tab/>
      </w:r>
      <w:r>
        <w:rPr>
          <w:i w:val="0"/>
          <w:iCs w:val="0"/>
        </w:rPr>
        <w:fldChar w:fldCharType="begin"/>
      </w:r>
      <w:r>
        <w:rPr>
          <w:i w:val="0"/>
          <w:iCs w:val="0"/>
        </w:rPr>
        <w:instrText xml:space="preserve"> PAGEREF _Toc23134 \h </w:instrText>
      </w:r>
      <w:r>
        <w:rPr>
          <w:i w:val="0"/>
          <w:iCs w:val="0"/>
        </w:rPr>
        <w:fldChar w:fldCharType="separate"/>
      </w:r>
      <w:r>
        <w:rPr>
          <w:i w:val="0"/>
          <w:iCs w:val="0"/>
        </w:rPr>
        <w:t>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_Toc22053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4</w:t>
      </w:r>
      <w:r>
        <w:rPr>
          <w:rFonts w:ascii="宋体" w:hAnsi="宋体"/>
          <w:i w:val="0"/>
          <w:iCs w:val="0"/>
          <w:snapToGrid w:val="0"/>
          <w:szCs w:val="28"/>
        </w:rPr>
        <w:t>.  投标人资格要求</w:t>
      </w:r>
      <w:r>
        <w:rPr>
          <w:i w:val="0"/>
          <w:iCs w:val="0"/>
        </w:rPr>
        <w:tab/>
      </w:r>
      <w:r>
        <w:rPr>
          <w:i w:val="0"/>
          <w:iCs w:val="0"/>
        </w:rPr>
        <w:fldChar w:fldCharType="begin"/>
      </w:r>
      <w:r>
        <w:rPr>
          <w:i w:val="0"/>
          <w:iCs w:val="0"/>
        </w:rPr>
        <w:instrText xml:space="preserve"> PAGEREF _Toc22053 \h </w:instrText>
      </w:r>
      <w:r>
        <w:rPr>
          <w:i w:val="0"/>
          <w:iCs w:val="0"/>
        </w:rPr>
        <w:fldChar w:fldCharType="separate"/>
      </w:r>
      <w:r>
        <w:rPr>
          <w:i w:val="0"/>
          <w:iCs w:val="0"/>
        </w:rPr>
        <w:t>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_Toc25739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5</w:t>
      </w:r>
      <w:r>
        <w:rPr>
          <w:rFonts w:ascii="宋体" w:hAnsi="宋体"/>
          <w:i w:val="0"/>
          <w:iCs w:val="0"/>
          <w:snapToGrid w:val="0"/>
          <w:szCs w:val="28"/>
        </w:rPr>
        <w:t>.  招标文件的获取</w:t>
      </w:r>
      <w:r>
        <w:rPr>
          <w:i w:val="0"/>
          <w:iCs w:val="0"/>
        </w:rPr>
        <w:tab/>
      </w:r>
      <w:r>
        <w:rPr>
          <w:i w:val="0"/>
          <w:iCs w:val="0"/>
        </w:rPr>
        <w:fldChar w:fldCharType="begin"/>
      </w:r>
      <w:r>
        <w:rPr>
          <w:i w:val="0"/>
          <w:iCs w:val="0"/>
        </w:rPr>
        <w:instrText xml:space="preserve"> PAGEREF _Toc25739 \h </w:instrText>
      </w:r>
      <w:r>
        <w:rPr>
          <w:i w:val="0"/>
          <w:iCs w:val="0"/>
        </w:rPr>
        <w:fldChar w:fldCharType="separate"/>
      </w:r>
      <w:r>
        <w:rPr>
          <w:i w:val="0"/>
          <w:iCs w:val="0"/>
        </w:rPr>
        <w:t>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_Toc32663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6</w:t>
      </w:r>
      <w:r>
        <w:rPr>
          <w:rFonts w:ascii="宋体" w:hAnsi="宋体"/>
          <w:i w:val="0"/>
          <w:iCs w:val="0"/>
          <w:snapToGrid w:val="0"/>
          <w:szCs w:val="28"/>
        </w:rPr>
        <w:t>.  投标文件的递交</w:t>
      </w:r>
      <w:r>
        <w:rPr>
          <w:i w:val="0"/>
          <w:iCs w:val="0"/>
        </w:rPr>
        <w:tab/>
      </w:r>
      <w:r>
        <w:rPr>
          <w:i w:val="0"/>
          <w:iCs w:val="0"/>
        </w:rPr>
        <w:fldChar w:fldCharType="begin"/>
      </w:r>
      <w:r>
        <w:rPr>
          <w:i w:val="0"/>
          <w:iCs w:val="0"/>
        </w:rPr>
        <w:instrText xml:space="preserve"> PAGEREF _Toc32663 \h </w:instrText>
      </w:r>
      <w:r>
        <w:rPr>
          <w:i w:val="0"/>
          <w:iCs w:val="0"/>
        </w:rPr>
        <w:fldChar w:fldCharType="separate"/>
      </w:r>
      <w:r>
        <w:rPr>
          <w:i w:val="0"/>
          <w:iCs w:val="0"/>
        </w:rPr>
        <w:t>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_Toc14703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7</w:t>
      </w:r>
      <w:r>
        <w:rPr>
          <w:rFonts w:ascii="宋体" w:hAnsi="宋体"/>
          <w:i w:val="0"/>
          <w:iCs w:val="0"/>
          <w:snapToGrid w:val="0"/>
          <w:szCs w:val="28"/>
        </w:rPr>
        <w:t>.  确认</w:t>
      </w:r>
      <w:r>
        <w:rPr>
          <w:i w:val="0"/>
          <w:iCs w:val="0"/>
        </w:rPr>
        <w:tab/>
      </w:r>
      <w:r>
        <w:rPr>
          <w:i w:val="0"/>
          <w:iCs w:val="0"/>
        </w:rPr>
        <w:fldChar w:fldCharType="begin"/>
      </w:r>
      <w:r>
        <w:rPr>
          <w:i w:val="0"/>
          <w:iCs w:val="0"/>
        </w:rPr>
        <w:instrText xml:space="preserve"> PAGEREF _Toc14703 \h </w:instrText>
      </w:r>
      <w:r>
        <w:rPr>
          <w:i w:val="0"/>
          <w:iCs w:val="0"/>
        </w:rPr>
        <w:fldChar w:fldCharType="separate"/>
      </w:r>
      <w:r>
        <w:rPr>
          <w:i w:val="0"/>
          <w:iCs w:val="0"/>
        </w:rPr>
        <w:t>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_Toc4575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8</w:t>
      </w:r>
      <w:r>
        <w:rPr>
          <w:rFonts w:ascii="宋体" w:hAnsi="宋体"/>
          <w:i w:val="0"/>
          <w:iCs w:val="0"/>
          <w:snapToGrid w:val="0"/>
          <w:szCs w:val="28"/>
        </w:rPr>
        <w:t>.  联系方式</w:t>
      </w:r>
      <w:r>
        <w:rPr>
          <w:i w:val="0"/>
          <w:iCs w:val="0"/>
        </w:rPr>
        <w:tab/>
      </w:r>
      <w:r>
        <w:rPr>
          <w:i w:val="0"/>
          <w:iCs w:val="0"/>
        </w:rPr>
        <w:fldChar w:fldCharType="begin"/>
      </w:r>
      <w:r>
        <w:rPr>
          <w:i w:val="0"/>
          <w:iCs w:val="0"/>
        </w:rPr>
        <w:instrText xml:space="preserve"> PAGEREF _Toc4575 \h </w:instrText>
      </w:r>
      <w:r>
        <w:rPr>
          <w:i w:val="0"/>
          <w:iCs w:val="0"/>
        </w:rPr>
        <w:fldChar w:fldCharType="separate"/>
      </w:r>
      <w:r>
        <w:rPr>
          <w:i w:val="0"/>
          <w:iCs w:val="0"/>
        </w:rPr>
        <w:t>9</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_Toc16851 </w:instrText>
      </w:r>
      <w:r>
        <w:rPr>
          <w:rFonts w:ascii="宋体" w:hAnsi="宋体"/>
          <w:bCs/>
          <w:i w:val="0"/>
          <w:iCs w:val="0"/>
          <w:szCs w:val="20"/>
          <w:lang w:val="zh-CN"/>
        </w:rPr>
        <w:fldChar w:fldCharType="separate"/>
      </w:r>
      <w:r>
        <w:rPr>
          <w:rFonts w:ascii="宋体" w:hAnsi="宋体"/>
          <w:i w:val="0"/>
          <w:iCs w:val="0"/>
          <w:snapToGrid w:val="0"/>
          <w:kern w:val="0"/>
        </w:rPr>
        <w:t>第一章  投标邀请书（</w:t>
      </w:r>
      <w:r>
        <w:rPr>
          <w:rFonts w:hint="eastAsia" w:ascii="宋体" w:hAnsi="宋体"/>
          <w:i w:val="0"/>
          <w:iCs w:val="0"/>
          <w:snapToGrid w:val="0"/>
          <w:kern w:val="0"/>
        </w:rPr>
        <w:t>代资格预审通过通知书</w:t>
      </w:r>
      <w:r>
        <w:rPr>
          <w:rFonts w:ascii="宋体" w:hAnsi="宋体"/>
          <w:i w:val="0"/>
          <w:iCs w:val="0"/>
          <w:snapToGrid w:val="0"/>
          <w:kern w:val="0"/>
        </w:rPr>
        <w:t>）</w:t>
      </w:r>
      <w:r>
        <w:rPr>
          <w:i w:val="0"/>
          <w:iCs w:val="0"/>
        </w:rPr>
        <w:tab/>
      </w:r>
      <w:r>
        <w:rPr>
          <w:i w:val="0"/>
          <w:iCs w:val="0"/>
        </w:rPr>
        <w:fldChar w:fldCharType="begin"/>
      </w:r>
      <w:r>
        <w:rPr>
          <w:i w:val="0"/>
          <w:iCs w:val="0"/>
        </w:rPr>
        <w:instrText xml:space="preserve"> PAGEREF _Toc16851 \h </w:instrText>
      </w:r>
      <w:r>
        <w:rPr>
          <w:i w:val="0"/>
          <w:iCs w:val="0"/>
        </w:rPr>
        <w:fldChar w:fldCharType="separate"/>
      </w:r>
      <w:r>
        <w:rPr>
          <w:i w:val="0"/>
          <w:iCs w:val="0"/>
        </w:rPr>
        <w:t>11</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_Toc25754 </w:instrText>
      </w:r>
      <w:r>
        <w:rPr>
          <w:rFonts w:ascii="宋体" w:hAnsi="宋体"/>
          <w:bCs/>
          <w:i w:val="0"/>
          <w:iCs w:val="0"/>
          <w:szCs w:val="20"/>
          <w:lang w:val="zh-CN"/>
        </w:rPr>
        <w:fldChar w:fldCharType="separate"/>
      </w:r>
      <w:r>
        <w:rPr>
          <w:rFonts w:ascii="宋体" w:hAnsi="宋体"/>
          <w:i w:val="0"/>
          <w:iCs w:val="0"/>
          <w:snapToGrid w:val="0"/>
          <w:kern w:val="0"/>
        </w:rPr>
        <w:t>第二章  投标人须知</w:t>
      </w:r>
      <w:r>
        <w:rPr>
          <w:i w:val="0"/>
          <w:iCs w:val="0"/>
        </w:rPr>
        <w:tab/>
      </w:r>
      <w:r>
        <w:rPr>
          <w:i w:val="0"/>
          <w:iCs w:val="0"/>
        </w:rPr>
        <w:fldChar w:fldCharType="begin"/>
      </w:r>
      <w:r>
        <w:rPr>
          <w:i w:val="0"/>
          <w:iCs w:val="0"/>
        </w:rPr>
        <w:instrText xml:space="preserve"> PAGEREF _Toc25754 \h </w:instrText>
      </w:r>
      <w:r>
        <w:rPr>
          <w:i w:val="0"/>
          <w:iCs w:val="0"/>
        </w:rPr>
        <w:fldChar w:fldCharType="separate"/>
      </w:r>
      <w:r>
        <w:rPr>
          <w:i w:val="0"/>
          <w:iCs w:val="0"/>
        </w:rPr>
        <w:t>12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_Toc2321 </w:instrText>
      </w:r>
      <w:r>
        <w:rPr>
          <w:rFonts w:ascii="宋体" w:hAnsi="宋体"/>
          <w:bCs/>
          <w:i w:val="0"/>
          <w:iCs w:val="0"/>
          <w:szCs w:val="20"/>
          <w:lang w:val="zh-CN"/>
        </w:rPr>
        <w:fldChar w:fldCharType="separate"/>
      </w:r>
      <w:r>
        <w:rPr>
          <w:rFonts w:hint="eastAsia" w:ascii="宋体" w:hAnsi="宋体"/>
          <w:i w:val="0"/>
          <w:iCs w:val="0"/>
        </w:rPr>
        <w:t>投标人须知前附表</w:t>
      </w:r>
      <w:r>
        <w:rPr>
          <w:i w:val="0"/>
          <w:iCs w:val="0"/>
        </w:rPr>
        <w:tab/>
      </w:r>
      <w:r>
        <w:rPr>
          <w:i w:val="0"/>
          <w:iCs w:val="0"/>
        </w:rPr>
        <w:fldChar w:fldCharType="begin"/>
      </w:r>
      <w:r>
        <w:rPr>
          <w:i w:val="0"/>
          <w:iCs w:val="0"/>
        </w:rPr>
        <w:instrText xml:space="preserve"> PAGEREF _Toc2321 \h </w:instrText>
      </w:r>
      <w:r>
        <w:rPr>
          <w:i w:val="0"/>
          <w:iCs w:val="0"/>
        </w:rPr>
        <w:fldChar w:fldCharType="separate"/>
      </w:r>
      <w:r>
        <w:rPr>
          <w:i w:val="0"/>
          <w:iCs w:val="0"/>
        </w:rPr>
        <w:t>12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_Toc18233 </w:instrText>
      </w:r>
      <w:r>
        <w:rPr>
          <w:rFonts w:ascii="宋体" w:hAnsi="宋体"/>
          <w:bCs/>
          <w:i w:val="0"/>
          <w:iCs w:val="0"/>
          <w:szCs w:val="20"/>
          <w:lang w:val="zh-CN"/>
        </w:rPr>
        <w:fldChar w:fldCharType="separate"/>
      </w:r>
      <w:r>
        <w:rPr>
          <w:rFonts w:ascii="宋体" w:hAnsi="宋体"/>
          <w:i w:val="0"/>
          <w:iCs w:val="0"/>
          <w:snapToGrid w:val="0"/>
        </w:rPr>
        <w:t>1.  总则</w:t>
      </w:r>
      <w:r>
        <w:rPr>
          <w:i w:val="0"/>
          <w:iCs w:val="0"/>
        </w:rPr>
        <w:tab/>
      </w:r>
      <w:r>
        <w:rPr>
          <w:i w:val="0"/>
          <w:iCs w:val="0"/>
        </w:rPr>
        <w:fldChar w:fldCharType="begin"/>
      </w:r>
      <w:r>
        <w:rPr>
          <w:i w:val="0"/>
          <w:iCs w:val="0"/>
        </w:rPr>
        <w:instrText xml:space="preserve"> PAGEREF _Toc18233 \h </w:instrText>
      </w:r>
      <w:r>
        <w:rPr>
          <w:i w:val="0"/>
          <w:iCs w:val="0"/>
        </w:rPr>
        <w:fldChar w:fldCharType="separate"/>
      </w:r>
      <w:r>
        <w:rPr>
          <w:i w:val="0"/>
          <w:iCs w:val="0"/>
        </w:rPr>
        <w:t>38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_Toc21579 </w:instrText>
      </w:r>
      <w:r>
        <w:rPr>
          <w:rFonts w:ascii="宋体" w:hAnsi="宋体"/>
          <w:bCs/>
          <w:i w:val="0"/>
          <w:iCs w:val="0"/>
          <w:szCs w:val="20"/>
          <w:lang w:val="zh-CN"/>
        </w:rPr>
        <w:fldChar w:fldCharType="separate"/>
      </w:r>
      <w:r>
        <w:rPr>
          <w:rFonts w:ascii="宋体" w:hAnsi="宋体"/>
          <w:i w:val="0"/>
          <w:iCs w:val="0"/>
          <w:snapToGrid w:val="0"/>
          <w:szCs w:val="24"/>
        </w:rPr>
        <w:t>1.1  项目概况</w:t>
      </w:r>
      <w:r>
        <w:rPr>
          <w:i w:val="0"/>
          <w:iCs w:val="0"/>
        </w:rPr>
        <w:tab/>
      </w:r>
      <w:r>
        <w:rPr>
          <w:i w:val="0"/>
          <w:iCs w:val="0"/>
        </w:rPr>
        <w:fldChar w:fldCharType="begin"/>
      </w:r>
      <w:r>
        <w:rPr>
          <w:i w:val="0"/>
          <w:iCs w:val="0"/>
        </w:rPr>
        <w:instrText xml:space="preserve"> PAGEREF _Toc21579 \h </w:instrText>
      </w:r>
      <w:r>
        <w:rPr>
          <w:i w:val="0"/>
          <w:iCs w:val="0"/>
        </w:rPr>
        <w:fldChar w:fldCharType="separate"/>
      </w:r>
      <w:r>
        <w:rPr>
          <w:i w:val="0"/>
          <w:iCs w:val="0"/>
        </w:rPr>
        <w:t>38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_Toc14311 </w:instrText>
      </w:r>
      <w:r>
        <w:rPr>
          <w:rFonts w:ascii="宋体" w:hAnsi="宋体"/>
          <w:bCs/>
          <w:i w:val="0"/>
          <w:iCs w:val="0"/>
          <w:szCs w:val="20"/>
          <w:lang w:val="zh-CN"/>
        </w:rPr>
        <w:fldChar w:fldCharType="separate"/>
      </w:r>
      <w:r>
        <w:rPr>
          <w:rFonts w:ascii="宋体" w:hAnsi="宋体"/>
          <w:i w:val="0"/>
          <w:iCs w:val="0"/>
          <w:snapToGrid w:val="0"/>
          <w:szCs w:val="24"/>
        </w:rPr>
        <w:t>1.2  资金来源和落实情况</w:t>
      </w:r>
      <w:r>
        <w:rPr>
          <w:i w:val="0"/>
          <w:iCs w:val="0"/>
        </w:rPr>
        <w:tab/>
      </w:r>
      <w:r>
        <w:rPr>
          <w:i w:val="0"/>
          <w:iCs w:val="0"/>
        </w:rPr>
        <w:fldChar w:fldCharType="begin"/>
      </w:r>
      <w:r>
        <w:rPr>
          <w:i w:val="0"/>
          <w:iCs w:val="0"/>
        </w:rPr>
        <w:instrText xml:space="preserve"> PAGEREF _Toc14311 \h </w:instrText>
      </w:r>
      <w:r>
        <w:rPr>
          <w:i w:val="0"/>
          <w:iCs w:val="0"/>
        </w:rPr>
        <w:fldChar w:fldCharType="separate"/>
      </w:r>
      <w:r>
        <w:rPr>
          <w:i w:val="0"/>
          <w:iCs w:val="0"/>
        </w:rPr>
        <w:t>38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_Toc2122 </w:instrText>
      </w:r>
      <w:r>
        <w:rPr>
          <w:rFonts w:ascii="宋体" w:hAnsi="宋体"/>
          <w:bCs/>
          <w:i w:val="0"/>
          <w:iCs w:val="0"/>
          <w:szCs w:val="20"/>
          <w:lang w:val="zh-CN"/>
        </w:rPr>
        <w:fldChar w:fldCharType="separate"/>
      </w:r>
      <w:r>
        <w:rPr>
          <w:rFonts w:ascii="宋体" w:hAnsi="宋体"/>
          <w:i w:val="0"/>
          <w:iCs w:val="0"/>
          <w:snapToGrid w:val="0"/>
          <w:szCs w:val="24"/>
        </w:rPr>
        <w:t>1.3  招标范围、计划工期和质量要求</w:t>
      </w:r>
      <w:r>
        <w:rPr>
          <w:i w:val="0"/>
          <w:iCs w:val="0"/>
        </w:rPr>
        <w:tab/>
      </w:r>
      <w:r>
        <w:rPr>
          <w:i w:val="0"/>
          <w:iCs w:val="0"/>
        </w:rPr>
        <w:fldChar w:fldCharType="begin"/>
      </w:r>
      <w:r>
        <w:rPr>
          <w:i w:val="0"/>
          <w:iCs w:val="0"/>
        </w:rPr>
        <w:instrText xml:space="preserve"> PAGEREF _Toc2122 \h </w:instrText>
      </w:r>
      <w:r>
        <w:rPr>
          <w:i w:val="0"/>
          <w:iCs w:val="0"/>
        </w:rPr>
        <w:fldChar w:fldCharType="separate"/>
      </w:r>
      <w:r>
        <w:rPr>
          <w:i w:val="0"/>
          <w:iCs w:val="0"/>
        </w:rPr>
        <w:t>38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_Toc4719 </w:instrText>
      </w:r>
      <w:r>
        <w:rPr>
          <w:rFonts w:ascii="宋体" w:hAnsi="宋体"/>
          <w:bCs/>
          <w:i w:val="0"/>
          <w:iCs w:val="0"/>
          <w:szCs w:val="20"/>
          <w:lang w:val="zh-CN"/>
        </w:rPr>
        <w:fldChar w:fldCharType="separate"/>
      </w:r>
      <w:r>
        <w:rPr>
          <w:rFonts w:ascii="宋体" w:hAnsi="宋体"/>
          <w:i w:val="0"/>
          <w:iCs w:val="0"/>
          <w:snapToGrid w:val="0"/>
          <w:szCs w:val="24"/>
        </w:rPr>
        <w:t>1.4</w:t>
      </w:r>
      <w:r>
        <w:rPr>
          <w:rFonts w:hint="eastAsia" w:ascii="宋体" w:hAnsi="宋体"/>
          <w:i w:val="0"/>
          <w:iCs w:val="0"/>
          <w:snapToGrid w:val="0"/>
          <w:szCs w:val="24"/>
        </w:rPr>
        <w:t>A</w:t>
      </w:r>
      <w:r>
        <w:rPr>
          <w:rFonts w:ascii="宋体" w:hAnsi="宋体"/>
          <w:i w:val="0"/>
          <w:iCs w:val="0"/>
          <w:snapToGrid w:val="0"/>
          <w:szCs w:val="24"/>
        </w:rPr>
        <w:t xml:space="preserve">  投标人资格要求（</w:t>
      </w:r>
      <w:r>
        <w:rPr>
          <w:rFonts w:hint="eastAsia" w:ascii="宋体" w:hAnsi="宋体"/>
          <w:i w:val="0"/>
          <w:iCs w:val="0"/>
          <w:snapToGrid w:val="0"/>
          <w:szCs w:val="24"/>
        </w:rPr>
        <w:t>适用于已进行资格预审的</w:t>
      </w:r>
      <w:r>
        <w:rPr>
          <w:rFonts w:ascii="宋体" w:hAnsi="宋体"/>
          <w:i w:val="0"/>
          <w:iCs w:val="0"/>
          <w:snapToGrid w:val="0"/>
          <w:szCs w:val="24"/>
        </w:rPr>
        <w:t>）</w:t>
      </w:r>
      <w:r>
        <w:rPr>
          <w:i w:val="0"/>
          <w:iCs w:val="0"/>
        </w:rPr>
        <w:tab/>
      </w:r>
      <w:r>
        <w:rPr>
          <w:i w:val="0"/>
          <w:iCs w:val="0"/>
        </w:rPr>
        <w:fldChar w:fldCharType="begin"/>
      </w:r>
      <w:r>
        <w:rPr>
          <w:i w:val="0"/>
          <w:iCs w:val="0"/>
        </w:rPr>
        <w:instrText xml:space="preserve"> PAGEREF _Toc4719 \h </w:instrText>
      </w:r>
      <w:r>
        <w:rPr>
          <w:i w:val="0"/>
          <w:iCs w:val="0"/>
        </w:rPr>
        <w:fldChar w:fldCharType="separate"/>
      </w:r>
      <w:r>
        <w:rPr>
          <w:i w:val="0"/>
          <w:iCs w:val="0"/>
        </w:rPr>
        <w:t>38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_Toc31561 </w:instrText>
      </w:r>
      <w:r>
        <w:rPr>
          <w:rFonts w:ascii="宋体" w:hAnsi="宋体"/>
          <w:bCs/>
          <w:i w:val="0"/>
          <w:iCs w:val="0"/>
          <w:szCs w:val="20"/>
          <w:lang w:val="zh-CN"/>
        </w:rPr>
        <w:fldChar w:fldCharType="separate"/>
      </w:r>
      <w:r>
        <w:rPr>
          <w:rFonts w:ascii="宋体" w:hAnsi="宋体"/>
          <w:i w:val="0"/>
          <w:iCs w:val="0"/>
          <w:snapToGrid w:val="0"/>
          <w:szCs w:val="24"/>
        </w:rPr>
        <w:t>1.4</w:t>
      </w:r>
      <w:r>
        <w:rPr>
          <w:rFonts w:hint="eastAsia" w:ascii="宋体" w:hAnsi="宋体"/>
          <w:i w:val="0"/>
          <w:iCs w:val="0"/>
          <w:snapToGrid w:val="0"/>
          <w:szCs w:val="24"/>
        </w:rPr>
        <w:t>B</w:t>
      </w:r>
      <w:r>
        <w:rPr>
          <w:rFonts w:ascii="宋体" w:hAnsi="宋体"/>
          <w:i w:val="0"/>
          <w:iCs w:val="0"/>
          <w:snapToGrid w:val="0"/>
          <w:szCs w:val="24"/>
        </w:rPr>
        <w:t xml:space="preserve">  投标人资格要求（</w:t>
      </w:r>
      <w:r>
        <w:rPr>
          <w:rFonts w:hint="eastAsia" w:ascii="宋体" w:hAnsi="宋体"/>
          <w:i w:val="0"/>
          <w:iCs w:val="0"/>
          <w:snapToGrid w:val="0"/>
          <w:szCs w:val="24"/>
        </w:rPr>
        <w:t>适用于未进行资格预审的</w:t>
      </w:r>
      <w:r>
        <w:rPr>
          <w:rFonts w:ascii="宋体" w:hAnsi="宋体"/>
          <w:i w:val="0"/>
          <w:iCs w:val="0"/>
          <w:snapToGrid w:val="0"/>
          <w:szCs w:val="24"/>
        </w:rPr>
        <w:t>）</w:t>
      </w:r>
      <w:r>
        <w:rPr>
          <w:i w:val="0"/>
          <w:iCs w:val="0"/>
        </w:rPr>
        <w:tab/>
      </w:r>
      <w:r>
        <w:rPr>
          <w:i w:val="0"/>
          <w:iCs w:val="0"/>
        </w:rPr>
        <w:fldChar w:fldCharType="begin"/>
      </w:r>
      <w:r>
        <w:rPr>
          <w:i w:val="0"/>
          <w:iCs w:val="0"/>
        </w:rPr>
        <w:instrText xml:space="preserve"> PAGEREF _Toc31561 \h </w:instrText>
      </w:r>
      <w:r>
        <w:rPr>
          <w:i w:val="0"/>
          <w:iCs w:val="0"/>
        </w:rPr>
        <w:fldChar w:fldCharType="separate"/>
      </w:r>
      <w:r>
        <w:rPr>
          <w:i w:val="0"/>
          <w:iCs w:val="0"/>
        </w:rPr>
        <w:t>38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_Toc32586 </w:instrText>
      </w:r>
      <w:r>
        <w:rPr>
          <w:rFonts w:ascii="宋体" w:hAnsi="宋体"/>
          <w:bCs/>
          <w:i w:val="0"/>
          <w:iCs w:val="0"/>
          <w:szCs w:val="20"/>
          <w:lang w:val="zh-CN"/>
        </w:rPr>
        <w:fldChar w:fldCharType="separate"/>
      </w:r>
      <w:r>
        <w:rPr>
          <w:rFonts w:ascii="宋体" w:hAnsi="宋体"/>
          <w:i w:val="0"/>
          <w:iCs w:val="0"/>
          <w:snapToGrid w:val="0"/>
          <w:szCs w:val="24"/>
        </w:rPr>
        <w:t>1.5  费用承担</w:t>
      </w:r>
      <w:r>
        <w:rPr>
          <w:i w:val="0"/>
          <w:iCs w:val="0"/>
        </w:rPr>
        <w:tab/>
      </w:r>
      <w:r>
        <w:rPr>
          <w:i w:val="0"/>
          <w:iCs w:val="0"/>
        </w:rPr>
        <w:fldChar w:fldCharType="begin"/>
      </w:r>
      <w:r>
        <w:rPr>
          <w:i w:val="0"/>
          <w:iCs w:val="0"/>
        </w:rPr>
        <w:instrText xml:space="preserve"> PAGEREF _Toc32586 \h </w:instrText>
      </w:r>
      <w:r>
        <w:rPr>
          <w:i w:val="0"/>
          <w:iCs w:val="0"/>
        </w:rPr>
        <w:fldChar w:fldCharType="separate"/>
      </w:r>
      <w:r>
        <w:rPr>
          <w:i w:val="0"/>
          <w:iCs w:val="0"/>
        </w:rPr>
        <w:t>39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_Toc31301 </w:instrText>
      </w:r>
      <w:r>
        <w:rPr>
          <w:rFonts w:ascii="宋体" w:hAnsi="宋体"/>
          <w:bCs/>
          <w:i w:val="0"/>
          <w:iCs w:val="0"/>
          <w:szCs w:val="20"/>
          <w:lang w:val="zh-CN"/>
        </w:rPr>
        <w:fldChar w:fldCharType="separate"/>
      </w:r>
      <w:r>
        <w:rPr>
          <w:rFonts w:ascii="宋体" w:hAnsi="宋体"/>
          <w:i w:val="0"/>
          <w:iCs w:val="0"/>
          <w:snapToGrid w:val="0"/>
          <w:szCs w:val="24"/>
        </w:rPr>
        <w:t>1.6  保密</w:t>
      </w:r>
      <w:r>
        <w:rPr>
          <w:i w:val="0"/>
          <w:iCs w:val="0"/>
        </w:rPr>
        <w:tab/>
      </w:r>
      <w:r>
        <w:rPr>
          <w:i w:val="0"/>
          <w:iCs w:val="0"/>
        </w:rPr>
        <w:fldChar w:fldCharType="begin"/>
      </w:r>
      <w:r>
        <w:rPr>
          <w:i w:val="0"/>
          <w:iCs w:val="0"/>
        </w:rPr>
        <w:instrText xml:space="preserve"> PAGEREF _Toc31301 \h </w:instrText>
      </w:r>
      <w:r>
        <w:rPr>
          <w:i w:val="0"/>
          <w:iCs w:val="0"/>
        </w:rPr>
        <w:fldChar w:fldCharType="separate"/>
      </w:r>
      <w:r>
        <w:rPr>
          <w:i w:val="0"/>
          <w:iCs w:val="0"/>
        </w:rPr>
        <w:t>39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_Toc27725 </w:instrText>
      </w:r>
      <w:r>
        <w:rPr>
          <w:rFonts w:ascii="宋体" w:hAnsi="宋体"/>
          <w:bCs/>
          <w:i w:val="0"/>
          <w:iCs w:val="0"/>
          <w:szCs w:val="20"/>
          <w:lang w:val="zh-CN"/>
        </w:rPr>
        <w:fldChar w:fldCharType="separate"/>
      </w:r>
      <w:r>
        <w:rPr>
          <w:rFonts w:ascii="宋体" w:hAnsi="宋体"/>
          <w:i w:val="0"/>
          <w:iCs w:val="0"/>
          <w:snapToGrid w:val="0"/>
          <w:szCs w:val="24"/>
        </w:rPr>
        <w:t>1.7  语言文字</w:t>
      </w:r>
      <w:r>
        <w:rPr>
          <w:i w:val="0"/>
          <w:iCs w:val="0"/>
        </w:rPr>
        <w:tab/>
      </w:r>
      <w:r>
        <w:rPr>
          <w:i w:val="0"/>
          <w:iCs w:val="0"/>
        </w:rPr>
        <w:fldChar w:fldCharType="begin"/>
      </w:r>
      <w:r>
        <w:rPr>
          <w:i w:val="0"/>
          <w:iCs w:val="0"/>
        </w:rPr>
        <w:instrText xml:space="preserve"> PAGEREF _Toc27725 \h </w:instrText>
      </w:r>
      <w:r>
        <w:rPr>
          <w:i w:val="0"/>
          <w:iCs w:val="0"/>
        </w:rPr>
        <w:fldChar w:fldCharType="separate"/>
      </w:r>
      <w:r>
        <w:rPr>
          <w:i w:val="0"/>
          <w:iCs w:val="0"/>
        </w:rPr>
        <w:t>39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_Toc17789 </w:instrText>
      </w:r>
      <w:r>
        <w:rPr>
          <w:rFonts w:ascii="宋体" w:hAnsi="宋体"/>
          <w:bCs/>
          <w:i w:val="0"/>
          <w:iCs w:val="0"/>
          <w:szCs w:val="20"/>
          <w:lang w:val="zh-CN"/>
        </w:rPr>
        <w:fldChar w:fldCharType="separate"/>
      </w:r>
      <w:r>
        <w:rPr>
          <w:rFonts w:ascii="宋体" w:hAnsi="宋体"/>
          <w:i w:val="0"/>
          <w:iCs w:val="0"/>
          <w:snapToGrid w:val="0"/>
          <w:szCs w:val="24"/>
        </w:rPr>
        <w:t>1.8  计量单位</w:t>
      </w:r>
      <w:r>
        <w:rPr>
          <w:i w:val="0"/>
          <w:iCs w:val="0"/>
        </w:rPr>
        <w:tab/>
      </w:r>
      <w:r>
        <w:rPr>
          <w:i w:val="0"/>
          <w:iCs w:val="0"/>
        </w:rPr>
        <w:fldChar w:fldCharType="begin"/>
      </w:r>
      <w:r>
        <w:rPr>
          <w:i w:val="0"/>
          <w:iCs w:val="0"/>
        </w:rPr>
        <w:instrText xml:space="preserve"> PAGEREF _Toc17789 \h </w:instrText>
      </w:r>
      <w:r>
        <w:rPr>
          <w:i w:val="0"/>
          <w:iCs w:val="0"/>
        </w:rPr>
        <w:fldChar w:fldCharType="separate"/>
      </w:r>
      <w:r>
        <w:rPr>
          <w:i w:val="0"/>
          <w:iCs w:val="0"/>
        </w:rPr>
        <w:t>39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_Toc25478 </w:instrText>
      </w:r>
      <w:r>
        <w:rPr>
          <w:rFonts w:ascii="宋体" w:hAnsi="宋体"/>
          <w:bCs/>
          <w:i w:val="0"/>
          <w:iCs w:val="0"/>
          <w:szCs w:val="20"/>
          <w:lang w:val="zh-CN"/>
        </w:rPr>
        <w:fldChar w:fldCharType="separate"/>
      </w:r>
      <w:r>
        <w:rPr>
          <w:rFonts w:ascii="宋体" w:hAnsi="宋体"/>
          <w:i w:val="0"/>
          <w:iCs w:val="0"/>
          <w:snapToGrid w:val="0"/>
          <w:szCs w:val="24"/>
        </w:rPr>
        <w:t>1.9  踏勘现场</w:t>
      </w:r>
      <w:r>
        <w:rPr>
          <w:i w:val="0"/>
          <w:iCs w:val="0"/>
        </w:rPr>
        <w:tab/>
      </w:r>
      <w:r>
        <w:rPr>
          <w:i w:val="0"/>
          <w:iCs w:val="0"/>
        </w:rPr>
        <w:fldChar w:fldCharType="begin"/>
      </w:r>
      <w:r>
        <w:rPr>
          <w:i w:val="0"/>
          <w:iCs w:val="0"/>
        </w:rPr>
        <w:instrText xml:space="preserve"> PAGEREF _Toc25478 \h </w:instrText>
      </w:r>
      <w:r>
        <w:rPr>
          <w:i w:val="0"/>
          <w:iCs w:val="0"/>
        </w:rPr>
        <w:fldChar w:fldCharType="separate"/>
      </w:r>
      <w:r>
        <w:rPr>
          <w:i w:val="0"/>
          <w:iCs w:val="0"/>
        </w:rPr>
        <w:t>39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_Toc9802 </w:instrText>
      </w:r>
      <w:r>
        <w:rPr>
          <w:rFonts w:ascii="宋体" w:hAnsi="宋体"/>
          <w:bCs/>
          <w:i w:val="0"/>
          <w:iCs w:val="0"/>
          <w:szCs w:val="20"/>
          <w:lang w:val="zh-CN"/>
        </w:rPr>
        <w:fldChar w:fldCharType="separate"/>
      </w:r>
      <w:r>
        <w:rPr>
          <w:rFonts w:ascii="宋体" w:hAnsi="宋体"/>
          <w:i w:val="0"/>
          <w:iCs w:val="0"/>
          <w:snapToGrid w:val="0"/>
          <w:szCs w:val="24"/>
        </w:rPr>
        <w:t>1.10  投标预备会</w:t>
      </w:r>
      <w:r>
        <w:rPr>
          <w:i w:val="0"/>
          <w:iCs w:val="0"/>
        </w:rPr>
        <w:tab/>
      </w:r>
      <w:r>
        <w:rPr>
          <w:i w:val="0"/>
          <w:iCs w:val="0"/>
        </w:rPr>
        <w:fldChar w:fldCharType="begin"/>
      </w:r>
      <w:r>
        <w:rPr>
          <w:i w:val="0"/>
          <w:iCs w:val="0"/>
        </w:rPr>
        <w:instrText xml:space="preserve"> PAGEREF _Toc9802 \h </w:instrText>
      </w:r>
      <w:r>
        <w:rPr>
          <w:i w:val="0"/>
          <w:iCs w:val="0"/>
        </w:rPr>
        <w:fldChar w:fldCharType="separate"/>
      </w:r>
      <w:r>
        <w:rPr>
          <w:i w:val="0"/>
          <w:iCs w:val="0"/>
        </w:rPr>
        <w:t>40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_Toc31311 </w:instrText>
      </w:r>
      <w:r>
        <w:rPr>
          <w:rFonts w:ascii="宋体" w:hAnsi="宋体"/>
          <w:bCs/>
          <w:i w:val="0"/>
          <w:iCs w:val="0"/>
          <w:szCs w:val="20"/>
          <w:lang w:val="zh-CN"/>
        </w:rPr>
        <w:fldChar w:fldCharType="separate"/>
      </w:r>
      <w:r>
        <w:rPr>
          <w:rFonts w:ascii="宋体" w:hAnsi="宋体"/>
          <w:i w:val="0"/>
          <w:iCs w:val="0"/>
          <w:snapToGrid w:val="0"/>
          <w:szCs w:val="24"/>
        </w:rPr>
        <w:t>1.11  分包</w:t>
      </w:r>
      <w:r>
        <w:rPr>
          <w:i w:val="0"/>
          <w:iCs w:val="0"/>
        </w:rPr>
        <w:tab/>
      </w:r>
      <w:r>
        <w:rPr>
          <w:i w:val="0"/>
          <w:iCs w:val="0"/>
        </w:rPr>
        <w:fldChar w:fldCharType="begin"/>
      </w:r>
      <w:r>
        <w:rPr>
          <w:i w:val="0"/>
          <w:iCs w:val="0"/>
        </w:rPr>
        <w:instrText xml:space="preserve"> PAGEREF _Toc31311 \h </w:instrText>
      </w:r>
      <w:r>
        <w:rPr>
          <w:i w:val="0"/>
          <w:iCs w:val="0"/>
        </w:rPr>
        <w:fldChar w:fldCharType="separate"/>
      </w:r>
      <w:r>
        <w:rPr>
          <w:i w:val="0"/>
          <w:iCs w:val="0"/>
        </w:rPr>
        <w:t>40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_Toc4225 </w:instrText>
      </w:r>
      <w:r>
        <w:rPr>
          <w:rFonts w:ascii="宋体" w:hAnsi="宋体"/>
          <w:bCs/>
          <w:i w:val="0"/>
          <w:iCs w:val="0"/>
          <w:szCs w:val="20"/>
          <w:lang w:val="zh-CN"/>
        </w:rPr>
        <w:fldChar w:fldCharType="separate"/>
      </w:r>
      <w:r>
        <w:rPr>
          <w:rFonts w:ascii="宋体" w:hAnsi="宋体"/>
          <w:i w:val="0"/>
          <w:iCs w:val="0"/>
          <w:snapToGrid w:val="0"/>
          <w:szCs w:val="24"/>
        </w:rPr>
        <w:t>1.12  偏离</w:t>
      </w:r>
      <w:r>
        <w:rPr>
          <w:i w:val="0"/>
          <w:iCs w:val="0"/>
        </w:rPr>
        <w:tab/>
      </w:r>
      <w:r>
        <w:rPr>
          <w:i w:val="0"/>
          <w:iCs w:val="0"/>
        </w:rPr>
        <w:fldChar w:fldCharType="begin"/>
      </w:r>
      <w:r>
        <w:rPr>
          <w:i w:val="0"/>
          <w:iCs w:val="0"/>
        </w:rPr>
        <w:instrText xml:space="preserve"> PAGEREF _Toc4225 \h </w:instrText>
      </w:r>
      <w:r>
        <w:rPr>
          <w:i w:val="0"/>
          <w:iCs w:val="0"/>
        </w:rPr>
        <w:fldChar w:fldCharType="separate"/>
      </w:r>
      <w:r>
        <w:rPr>
          <w:i w:val="0"/>
          <w:iCs w:val="0"/>
        </w:rPr>
        <w:t>40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_Toc8602 </w:instrText>
      </w:r>
      <w:r>
        <w:rPr>
          <w:rFonts w:ascii="宋体" w:hAnsi="宋体"/>
          <w:bCs/>
          <w:i w:val="0"/>
          <w:iCs w:val="0"/>
          <w:szCs w:val="20"/>
          <w:lang w:val="zh-CN"/>
        </w:rPr>
        <w:fldChar w:fldCharType="separate"/>
      </w:r>
      <w:r>
        <w:rPr>
          <w:rFonts w:ascii="宋体" w:hAnsi="宋体"/>
          <w:i w:val="0"/>
          <w:iCs w:val="0"/>
          <w:snapToGrid w:val="0"/>
        </w:rPr>
        <w:t>2.  招标文件</w:t>
      </w:r>
      <w:r>
        <w:rPr>
          <w:i w:val="0"/>
          <w:iCs w:val="0"/>
        </w:rPr>
        <w:tab/>
      </w:r>
      <w:r>
        <w:rPr>
          <w:i w:val="0"/>
          <w:iCs w:val="0"/>
        </w:rPr>
        <w:fldChar w:fldCharType="begin"/>
      </w:r>
      <w:r>
        <w:rPr>
          <w:i w:val="0"/>
          <w:iCs w:val="0"/>
        </w:rPr>
        <w:instrText xml:space="preserve"> PAGEREF _Toc8602 \h </w:instrText>
      </w:r>
      <w:r>
        <w:rPr>
          <w:i w:val="0"/>
          <w:iCs w:val="0"/>
        </w:rPr>
        <w:fldChar w:fldCharType="separate"/>
      </w:r>
      <w:r>
        <w:rPr>
          <w:i w:val="0"/>
          <w:iCs w:val="0"/>
        </w:rPr>
        <w:t>40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_Toc5102 </w:instrText>
      </w:r>
      <w:r>
        <w:rPr>
          <w:rFonts w:ascii="宋体" w:hAnsi="宋体"/>
          <w:bCs/>
          <w:i w:val="0"/>
          <w:iCs w:val="0"/>
          <w:szCs w:val="20"/>
          <w:lang w:val="zh-CN"/>
        </w:rPr>
        <w:fldChar w:fldCharType="separate"/>
      </w:r>
      <w:r>
        <w:rPr>
          <w:rFonts w:ascii="宋体" w:hAnsi="宋体"/>
          <w:i w:val="0"/>
          <w:iCs w:val="0"/>
          <w:snapToGrid w:val="0"/>
          <w:szCs w:val="24"/>
        </w:rPr>
        <w:t>2.1  招标文件的组成</w:t>
      </w:r>
      <w:r>
        <w:rPr>
          <w:i w:val="0"/>
          <w:iCs w:val="0"/>
        </w:rPr>
        <w:tab/>
      </w:r>
      <w:r>
        <w:rPr>
          <w:i w:val="0"/>
          <w:iCs w:val="0"/>
        </w:rPr>
        <w:fldChar w:fldCharType="begin"/>
      </w:r>
      <w:r>
        <w:rPr>
          <w:i w:val="0"/>
          <w:iCs w:val="0"/>
        </w:rPr>
        <w:instrText xml:space="preserve"> PAGEREF _Toc5102 \h </w:instrText>
      </w:r>
      <w:r>
        <w:rPr>
          <w:i w:val="0"/>
          <w:iCs w:val="0"/>
        </w:rPr>
        <w:fldChar w:fldCharType="separate"/>
      </w:r>
      <w:r>
        <w:rPr>
          <w:i w:val="0"/>
          <w:iCs w:val="0"/>
        </w:rPr>
        <w:t>40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_Toc10759 </w:instrText>
      </w:r>
      <w:r>
        <w:rPr>
          <w:rFonts w:ascii="宋体" w:hAnsi="宋体"/>
          <w:bCs/>
          <w:i w:val="0"/>
          <w:iCs w:val="0"/>
          <w:szCs w:val="20"/>
          <w:lang w:val="zh-CN"/>
        </w:rPr>
        <w:fldChar w:fldCharType="separate"/>
      </w:r>
      <w:r>
        <w:rPr>
          <w:rFonts w:ascii="宋体" w:hAnsi="宋体"/>
          <w:i w:val="0"/>
          <w:iCs w:val="0"/>
          <w:snapToGrid w:val="0"/>
          <w:szCs w:val="24"/>
        </w:rPr>
        <w:t>2.2  招标文件的澄清</w:t>
      </w:r>
      <w:r>
        <w:rPr>
          <w:i w:val="0"/>
          <w:iCs w:val="0"/>
        </w:rPr>
        <w:tab/>
      </w:r>
      <w:r>
        <w:rPr>
          <w:i w:val="0"/>
          <w:iCs w:val="0"/>
        </w:rPr>
        <w:fldChar w:fldCharType="begin"/>
      </w:r>
      <w:r>
        <w:rPr>
          <w:i w:val="0"/>
          <w:iCs w:val="0"/>
        </w:rPr>
        <w:instrText xml:space="preserve"> PAGEREF _Toc10759 \h </w:instrText>
      </w:r>
      <w:r>
        <w:rPr>
          <w:i w:val="0"/>
          <w:iCs w:val="0"/>
        </w:rPr>
        <w:fldChar w:fldCharType="separate"/>
      </w:r>
      <w:r>
        <w:rPr>
          <w:i w:val="0"/>
          <w:iCs w:val="0"/>
        </w:rPr>
        <w:t>40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_Toc18097 </w:instrText>
      </w:r>
      <w:r>
        <w:rPr>
          <w:rFonts w:ascii="宋体" w:hAnsi="宋体"/>
          <w:bCs/>
          <w:i w:val="0"/>
          <w:iCs w:val="0"/>
          <w:szCs w:val="20"/>
          <w:lang w:val="zh-CN"/>
        </w:rPr>
        <w:fldChar w:fldCharType="separate"/>
      </w:r>
      <w:r>
        <w:rPr>
          <w:rFonts w:ascii="宋体" w:hAnsi="宋体"/>
          <w:i w:val="0"/>
          <w:iCs w:val="0"/>
          <w:snapToGrid w:val="0"/>
          <w:szCs w:val="24"/>
        </w:rPr>
        <w:t>2.3  招标文件的修改</w:t>
      </w:r>
      <w:r>
        <w:rPr>
          <w:i w:val="0"/>
          <w:iCs w:val="0"/>
        </w:rPr>
        <w:tab/>
      </w:r>
      <w:r>
        <w:rPr>
          <w:i w:val="0"/>
          <w:iCs w:val="0"/>
        </w:rPr>
        <w:fldChar w:fldCharType="begin"/>
      </w:r>
      <w:r>
        <w:rPr>
          <w:i w:val="0"/>
          <w:iCs w:val="0"/>
        </w:rPr>
        <w:instrText xml:space="preserve"> PAGEREF _Toc18097 \h </w:instrText>
      </w:r>
      <w:r>
        <w:rPr>
          <w:i w:val="0"/>
          <w:iCs w:val="0"/>
        </w:rPr>
        <w:fldChar w:fldCharType="separate"/>
      </w:r>
      <w:r>
        <w:rPr>
          <w:i w:val="0"/>
          <w:iCs w:val="0"/>
        </w:rPr>
        <w:t>41</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_Toc8515 </w:instrText>
      </w:r>
      <w:r>
        <w:rPr>
          <w:rFonts w:ascii="宋体" w:hAnsi="宋体"/>
          <w:bCs/>
          <w:i w:val="0"/>
          <w:iCs w:val="0"/>
          <w:szCs w:val="20"/>
          <w:lang w:val="zh-CN"/>
        </w:rPr>
        <w:fldChar w:fldCharType="separate"/>
      </w:r>
      <w:r>
        <w:rPr>
          <w:rFonts w:ascii="宋体" w:hAnsi="宋体"/>
          <w:i w:val="0"/>
          <w:iCs w:val="0"/>
          <w:snapToGrid w:val="0"/>
        </w:rPr>
        <w:t>3.  投标文件</w:t>
      </w:r>
      <w:r>
        <w:rPr>
          <w:i w:val="0"/>
          <w:iCs w:val="0"/>
        </w:rPr>
        <w:tab/>
      </w:r>
      <w:r>
        <w:rPr>
          <w:i w:val="0"/>
          <w:iCs w:val="0"/>
        </w:rPr>
        <w:fldChar w:fldCharType="begin"/>
      </w:r>
      <w:r>
        <w:rPr>
          <w:i w:val="0"/>
          <w:iCs w:val="0"/>
        </w:rPr>
        <w:instrText xml:space="preserve"> PAGEREF _Toc8515 \h </w:instrText>
      </w:r>
      <w:r>
        <w:rPr>
          <w:i w:val="0"/>
          <w:iCs w:val="0"/>
        </w:rPr>
        <w:fldChar w:fldCharType="separate"/>
      </w:r>
      <w:r>
        <w:rPr>
          <w:i w:val="0"/>
          <w:iCs w:val="0"/>
        </w:rPr>
        <w:t>41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_Toc22407 </w:instrText>
      </w:r>
      <w:r>
        <w:rPr>
          <w:rFonts w:ascii="宋体" w:hAnsi="宋体"/>
          <w:bCs/>
          <w:i w:val="0"/>
          <w:iCs w:val="0"/>
          <w:szCs w:val="20"/>
          <w:lang w:val="zh-CN"/>
        </w:rPr>
        <w:fldChar w:fldCharType="separate"/>
      </w:r>
      <w:r>
        <w:rPr>
          <w:rFonts w:ascii="宋体" w:hAnsi="宋体"/>
          <w:i w:val="0"/>
          <w:iCs w:val="0"/>
          <w:snapToGrid w:val="0"/>
          <w:szCs w:val="24"/>
        </w:rPr>
        <w:t>3.1  投标文件的组成</w:t>
      </w:r>
      <w:r>
        <w:rPr>
          <w:i w:val="0"/>
          <w:iCs w:val="0"/>
        </w:rPr>
        <w:tab/>
      </w:r>
      <w:r>
        <w:rPr>
          <w:i w:val="0"/>
          <w:iCs w:val="0"/>
        </w:rPr>
        <w:fldChar w:fldCharType="begin"/>
      </w:r>
      <w:r>
        <w:rPr>
          <w:i w:val="0"/>
          <w:iCs w:val="0"/>
        </w:rPr>
        <w:instrText xml:space="preserve"> PAGEREF _Toc22407 \h </w:instrText>
      </w:r>
      <w:r>
        <w:rPr>
          <w:i w:val="0"/>
          <w:iCs w:val="0"/>
        </w:rPr>
        <w:fldChar w:fldCharType="separate"/>
      </w:r>
      <w:r>
        <w:rPr>
          <w:i w:val="0"/>
          <w:iCs w:val="0"/>
        </w:rPr>
        <w:t>41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_Toc7103 </w:instrText>
      </w:r>
      <w:r>
        <w:rPr>
          <w:rFonts w:ascii="宋体" w:hAnsi="宋体"/>
          <w:bCs/>
          <w:i w:val="0"/>
          <w:iCs w:val="0"/>
          <w:szCs w:val="20"/>
          <w:lang w:val="zh-CN"/>
        </w:rPr>
        <w:fldChar w:fldCharType="separate"/>
      </w:r>
      <w:r>
        <w:rPr>
          <w:rFonts w:ascii="宋体" w:hAnsi="宋体"/>
          <w:i w:val="0"/>
          <w:iCs w:val="0"/>
          <w:snapToGrid w:val="0"/>
          <w:szCs w:val="24"/>
        </w:rPr>
        <w:t>3.2  投标报价</w:t>
      </w:r>
      <w:r>
        <w:rPr>
          <w:i w:val="0"/>
          <w:iCs w:val="0"/>
        </w:rPr>
        <w:tab/>
      </w:r>
      <w:r>
        <w:rPr>
          <w:i w:val="0"/>
          <w:iCs w:val="0"/>
        </w:rPr>
        <w:fldChar w:fldCharType="begin"/>
      </w:r>
      <w:r>
        <w:rPr>
          <w:i w:val="0"/>
          <w:iCs w:val="0"/>
        </w:rPr>
        <w:instrText xml:space="preserve"> PAGEREF _Toc7103 \h </w:instrText>
      </w:r>
      <w:r>
        <w:rPr>
          <w:i w:val="0"/>
          <w:iCs w:val="0"/>
        </w:rPr>
        <w:fldChar w:fldCharType="separate"/>
      </w:r>
      <w:r>
        <w:rPr>
          <w:i w:val="0"/>
          <w:iCs w:val="0"/>
        </w:rPr>
        <w:t>41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_Toc12093 </w:instrText>
      </w:r>
      <w:r>
        <w:rPr>
          <w:rFonts w:ascii="宋体" w:hAnsi="宋体"/>
          <w:bCs/>
          <w:i w:val="0"/>
          <w:iCs w:val="0"/>
          <w:szCs w:val="20"/>
          <w:lang w:val="zh-CN"/>
        </w:rPr>
        <w:fldChar w:fldCharType="separate"/>
      </w:r>
      <w:r>
        <w:rPr>
          <w:rFonts w:ascii="宋体" w:hAnsi="宋体"/>
          <w:i w:val="0"/>
          <w:iCs w:val="0"/>
          <w:snapToGrid w:val="0"/>
          <w:szCs w:val="24"/>
        </w:rPr>
        <w:t>3.3  投标有效期</w:t>
      </w:r>
      <w:r>
        <w:rPr>
          <w:i w:val="0"/>
          <w:iCs w:val="0"/>
        </w:rPr>
        <w:tab/>
      </w:r>
      <w:r>
        <w:rPr>
          <w:i w:val="0"/>
          <w:iCs w:val="0"/>
        </w:rPr>
        <w:fldChar w:fldCharType="begin"/>
      </w:r>
      <w:r>
        <w:rPr>
          <w:i w:val="0"/>
          <w:iCs w:val="0"/>
        </w:rPr>
        <w:instrText xml:space="preserve"> PAGEREF _Toc12093 \h </w:instrText>
      </w:r>
      <w:r>
        <w:rPr>
          <w:i w:val="0"/>
          <w:iCs w:val="0"/>
        </w:rPr>
        <w:fldChar w:fldCharType="separate"/>
      </w:r>
      <w:r>
        <w:rPr>
          <w:i w:val="0"/>
          <w:iCs w:val="0"/>
        </w:rPr>
        <w:t>42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_Toc21698 </w:instrText>
      </w:r>
      <w:r>
        <w:rPr>
          <w:rFonts w:ascii="宋体" w:hAnsi="宋体"/>
          <w:bCs/>
          <w:i w:val="0"/>
          <w:iCs w:val="0"/>
          <w:szCs w:val="20"/>
          <w:lang w:val="zh-CN"/>
        </w:rPr>
        <w:fldChar w:fldCharType="separate"/>
      </w:r>
      <w:r>
        <w:rPr>
          <w:rFonts w:ascii="宋体" w:hAnsi="宋体"/>
          <w:i w:val="0"/>
          <w:iCs w:val="0"/>
          <w:snapToGrid w:val="0"/>
          <w:szCs w:val="24"/>
        </w:rPr>
        <w:t>3.4  投标</w:t>
      </w:r>
      <w:r>
        <w:rPr>
          <w:rFonts w:hint="eastAsia" w:ascii="宋体" w:hAnsi="宋体"/>
          <w:i w:val="0"/>
          <w:iCs w:val="0"/>
          <w:snapToGrid w:val="0"/>
          <w:szCs w:val="24"/>
        </w:rPr>
        <w:t>保证金</w:t>
      </w:r>
      <w:r>
        <w:rPr>
          <w:i w:val="0"/>
          <w:iCs w:val="0"/>
        </w:rPr>
        <w:tab/>
      </w:r>
      <w:r>
        <w:rPr>
          <w:i w:val="0"/>
          <w:iCs w:val="0"/>
        </w:rPr>
        <w:fldChar w:fldCharType="begin"/>
      </w:r>
      <w:r>
        <w:rPr>
          <w:i w:val="0"/>
          <w:iCs w:val="0"/>
        </w:rPr>
        <w:instrText xml:space="preserve"> PAGEREF _Toc21698 \h </w:instrText>
      </w:r>
      <w:r>
        <w:rPr>
          <w:i w:val="0"/>
          <w:iCs w:val="0"/>
        </w:rPr>
        <w:fldChar w:fldCharType="separate"/>
      </w:r>
      <w:r>
        <w:rPr>
          <w:i w:val="0"/>
          <w:iCs w:val="0"/>
        </w:rPr>
        <w:t>42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_Toc739 </w:instrText>
      </w:r>
      <w:r>
        <w:rPr>
          <w:rFonts w:ascii="宋体" w:hAnsi="宋体"/>
          <w:bCs/>
          <w:i w:val="0"/>
          <w:iCs w:val="0"/>
          <w:szCs w:val="20"/>
          <w:lang w:val="zh-CN"/>
        </w:rPr>
        <w:fldChar w:fldCharType="separate"/>
      </w:r>
      <w:r>
        <w:rPr>
          <w:rFonts w:ascii="宋体" w:hAnsi="宋体"/>
          <w:i w:val="0"/>
          <w:iCs w:val="0"/>
          <w:snapToGrid w:val="0"/>
          <w:szCs w:val="24"/>
        </w:rPr>
        <w:t>3.5</w:t>
      </w:r>
      <w:r>
        <w:rPr>
          <w:rFonts w:hint="eastAsia" w:ascii="宋体" w:hAnsi="宋体"/>
          <w:i w:val="0"/>
          <w:iCs w:val="0"/>
          <w:snapToGrid w:val="0"/>
          <w:szCs w:val="24"/>
        </w:rPr>
        <w:t>A</w:t>
      </w:r>
      <w:r>
        <w:rPr>
          <w:rFonts w:ascii="宋体" w:hAnsi="宋体"/>
          <w:i w:val="0"/>
          <w:iCs w:val="0"/>
          <w:snapToGrid w:val="0"/>
          <w:szCs w:val="24"/>
        </w:rPr>
        <w:t xml:space="preserve">  资格审查资料</w:t>
      </w:r>
      <w:r>
        <w:rPr>
          <w:i w:val="0"/>
          <w:iCs w:val="0"/>
        </w:rPr>
        <w:tab/>
      </w:r>
      <w:r>
        <w:rPr>
          <w:i w:val="0"/>
          <w:iCs w:val="0"/>
        </w:rPr>
        <w:fldChar w:fldCharType="begin"/>
      </w:r>
      <w:r>
        <w:rPr>
          <w:i w:val="0"/>
          <w:iCs w:val="0"/>
        </w:rPr>
        <w:instrText xml:space="preserve"> PAGEREF _Toc739 \h </w:instrText>
      </w:r>
      <w:r>
        <w:rPr>
          <w:i w:val="0"/>
          <w:iCs w:val="0"/>
        </w:rPr>
        <w:fldChar w:fldCharType="separate"/>
      </w:r>
      <w:r>
        <w:rPr>
          <w:i w:val="0"/>
          <w:iCs w:val="0"/>
        </w:rPr>
        <w:t>42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_Toc8288 </w:instrText>
      </w:r>
      <w:r>
        <w:rPr>
          <w:rFonts w:ascii="宋体" w:hAnsi="宋体"/>
          <w:bCs/>
          <w:i w:val="0"/>
          <w:iCs w:val="0"/>
          <w:szCs w:val="20"/>
          <w:lang w:val="zh-CN"/>
        </w:rPr>
        <w:fldChar w:fldCharType="separate"/>
      </w:r>
      <w:r>
        <w:rPr>
          <w:rFonts w:ascii="宋体" w:hAnsi="宋体"/>
          <w:i w:val="0"/>
          <w:iCs w:val="0"/>
          <w:snapToGrid w:val="0"/>
          <w:szCs w:val="24"/>
        </w:rPr>
        <w:t>3.5</w:t>
      </w:r>
      <w:r>
        <w:rPr>
          <w:rFonts w:hint="eastAsia" w:ascii="宋体" w:hAnsi="宋体"/>
          <w:i w:val="0"/>
          <w:iCs w:val="0"/>
          <w:snapToGrid w:val="0"/>
          <w:szCs w:val="24"/>
        </w:rPr>
        <w:t>B</w:t>
      </w:r>
      <w:r>
        <w:rPr>
          <w:rFonts w:ascii="宋体" w:hAnsi="宋体"/>
          <w:i w:val="0"/>
          <w:iCs w:val="0"/>
          <w:snapToGrid w:val="0"/>
          <w:szCs w:val="24"/>
        </w:rPr>
        <w:t xml:space="preserve">  资格审查资料</w:t>
      </w:r>
      <w:r>
        <w:rPr>
          <w:i w:val="0"/>
          <w:iCs w:val="0"/>
        </w:rPr>
        <w:tab/>
      </w:r>
      <w:r>
        <w:rPr>
          <w:i w:val="0"/>
          <w:iCs w:val="0"/>
        </w:rPr>
        <w:fldChar w:fldCharType="begin"/>
      </w:r>
      <w:r>
        <w:rPr>
          <w:i w:val="0"/>
          <w:iCs w:val="0"/>
        </w:rPr>
        <w:instrText xml:space="preserve"> PAGEREF _Toc8288 \h </w:instrText>
      </w:r>
      <w:r>
        <w:rPr>
          <w:i w:val="0"/>
          <w:iCs w:val="0"/>
        </w:rPr>
        <w:fldChar w:fldCharType="separate"/>
      </w:r>
      <w:r>
        <w:rPr>
          <w:i w:val="0"/>
          <w:iCs w:val="0"/>
        </w:rPr>
        <w:t>42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_Toc1149 </w:instrText>
      </w:r>
      <w:r>
        <w:rPr>
          <w:rFonts w:ascii="宋体" w:hAnsi="宋体"/>
          <w:bCs/>
          <w:i w:val="0"/>
          <w:iCs w:val="0"/>
          <w:szCs w:val="20"/>
          <w:lang w:val="zh-CN"/>
        </w:rPr>
        <w:fldChar w:fldCharType="separate"/>
      </w:r>
      <w:r>
        <w:rPr>
          <w:rFonts w:ascii="宋体" w:hAnsi="宋体"/>
          <w:i w:val="0"/>
          <w:iCs w:val="0"/>
          <w:snapToGrid w:val="0"/>
          <w:szCs w:val="24"/>
        </w:rPr>
        <w:t>3.6  备选投标方案</w:t>
      </w:r>
      <w:r>
        <w:rPr>
          <w:i w:val="0"/>
          <w:iCs w:val="0"/>
        </w:rPr>
        <w:tab/>
      </w:r>
      <w:r>
        <w:rPr>
          <w:i w:val="0"/>
          <w:iCs w:val="0"/>
        </w:rPr>
        <w:fldChar w:fldCharType="begin"/>
      </w:r>
      <w:r>
        <w:rPr>
          <w:i w:val="0"/>
          <w:iCs w:val="0"/>
        </w:rPr>
        <w:instrText xml:space="preserve"> PAGEREF _Toc1149 \h </w:instrText>
      </w:r>
      <w:r>
        <w:rPr>
          <w:i w:val="0"/>
          <w:iCs w:val="0"/>
        </w:rPr>
        <w:fldChar w:fldCharType="separate"/>
      </w:r>
      <w:r>
        <w:rPr>
          <w:i w:val="0"/>
          <w:iCs w:val="0"/>
        </w:rPr>
        <w:t>42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_Toc17887 </w:instrText>
      </w:r>
      <w:r>
        <w:rPr>
          <w:rFonts w:ascii="宋体" w:hAnsi="宋体"/>
          <w:bCs/>
          <w:i w:val="0"/>
          <w:iCs w:val="0"/>
          <w:szCs w:val="20"/>
          <w:lang w:val="zh-CN"/>
        </w:rPr>
        <w:fldChar w:fldCharType="separate"/>
      </w:r>
      <w:r>
        <w:rPr>
          <w:rFonts w:ascii="宋体" w:hAnsi="宋体"/>
          <w:i w:val="0"/>
          <w:iCs w:val="0"/>
          <w:snapToGrid w:val="0"/>
          <w:szCs w:val="24"/>
        </w:rPr>
        <w:t>3.7  投标文件的编制</w:t>
      </w:r>
      <w:r>
        <w:rPr>
          <w:i w:val="0"/>
          <w:iCs w:val="0"/>
        </w:rPr>
        <w:tab/>
      </w:r>
      <w:r>
        <w:rPr>
          <w:i w:val="0"/>
          <w:iCs w:val="0"/>
        </w:rPr>
        <w:fldChar w:fldCharType="begin"/>
      </w:r>
      <w:r>
        <w:rPr>
          <w:i w:val="0"/>
          <w:iCs w:val="0"/>
        </w:rPr>
        <w:instrText xml:space="preserve"> PAGEREF _Toc17887 \h </w:instrText>
      </w:r>
      <w:r>
        <w:rPr>
          <w:i w:val="0"/>
          <w:iCs w:val="0"/>
        </w:rPr>
        <w:fldChar w:fldCharType="separate"/>
      </w:r>
      <w:r>
        <w:rPr>
          <w:i w:val="0"/>
          <w:iCs w:val="0"/>
        </w:rPr>
        <w:t>43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_Toc3642 </w:instrText>
      </w:r>
      <w:r>
        <w:rPr>
          <w:rFonts w:ascii="宋体" w:hAnsi="宋体"/>
          <w:bCs/>
          <w:i w:val="0"/>
          <w:iCs w:val="0"/>
          <w:szCs w:val="20"/>
          <w:lang w:val="zh-CN"/>
        </w:rPr>
        <w:fldChar w:fldCharType="separate"/>
      </w:r>
      <w:r>
        <w:rPr>
          <w:rFonts w:ascii="宋体" w:hAnsi="宋体"/>
          <w:i w:val="0"/>
          <w:iCs w:val="0"/>
          <w:snapToGrid w:val="0"/>
        </w:rPr>
        <w:t>4.  投标</w:t>
      </w:r>
      <w:r>
        <w:rPr>
          <w:i w:val="0"/>
          <w:iCs w:val="0"/>
        </w:rPr>
        <w:tab/>
      </w:r>
      <w:r>
        <w:rPr>
          <w:i w:val="0"/>
          <w:iCs w:val="0"/>
        </w:rPr>
        <w:fldChar w:fldCharType="begin"/>
      </w:r>
      <w:r>
        <w:rPr>
          <w:i w:val="0"/>
          <w:iCs w:val="0"/>
        </w:rPr>
        <w:instrText xml:space="preserve"> PAGEREF _Toc3642 \h </w:instrText>
      </w:r>
      <w:r>
        <w:rPr>
          <w:i w:val="0"/>
          <w:iCs w:val="0"/>
        </w:rPr>
        <w:fldChar w:fldCharType="separate"/>
      </w:r>
      <w:r>
        <w:rPr>
          <w:i w:val="0"/>
          <w:iCs w:val="0"/>
        </w:rPr>
        <w:t>43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_Toc20114 </w:instrText>
      </w:r>
      <w:r>
        <w:rPr>
          <w:rFonts w:ascii="宋体" w:hAnsi="宋体"/>
          <w:bCs/>
          <w:i w:val="0"/>
          <w:iCs w:val="0"/>
          <w:szCs w:val="20"/>
          <w:lang w:val="zh-CN"/>
        </w:rPr>
        <w:fldChar w:fldCharType="separate"/>
      </w:r>
      <w:r>
        <w:rPr>
          <w:rFonts w:ascii="宋体" w:hAnsi="宋体"/>
          <w:i w:val="0"/>
          <w:iCs w:val="0"/>
          <w:snapToGrid w:val="0"/>
          <w:szCs w:val="24"/>
        </w:rPr>
        <w:t>4.1  投标文件的密封和标记</w:t>
      </w:r>
      <w:r>
        <w:rPr>
          <w:i w:val="0"/>
          <w:iCs w:val="0"/>
        </w:rPr>
        <w:tab/>
      </w:r>
      <w:r>
        <w:rPr>
          <w:i w:val="0"/>
          <w:iCs w:val="0"/>
        </w:rPr>
        <w:fldChar w:fldCharType="begin"/>
      </w:r>
      <w:r>
        <w:rPr>
          <w:i w:val="0"/>
          <w:iCs w:val="0"/>
        </w:rPr>
        <w:instrText xml:space="preserve"> PAGEREF _Toc20114 \h </w:instrText>
      </w:r>
      <w:r>
        <w:rPr>
          <w:i w:val="0"/>
          <w:iCs w:val="0"/>
        </w:rPr>
        <w:fldChar w:fldCharType="separate"/>
      </w:r>
      <w:r>
        <w:rPr>
          <w:i w:val="0"/>
          <w:iCs w:val="0"/>
        </w:rPr>
        <w:t>43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_Toc17540 </w:instrText>
      </w:r>
      <w:r>
        <w:rPr>
          <w:rFonts w:ascii="宋体" w:hAnsi="宋体"/>
          <w:bCs/>
          <w:i w:val="0"/>
          <w:iCs w:val="0"/>
          <w:szCs w:val="20"/>
          <w:lang w:val="zh-CN"/>
        </w:rPr>
        <w:fldChar w:fldCharType="separate"/>
      </w:r>
      <w:r>
        <w:rPr>
          <w:rFonts w:ascii="宋体" w:hAnsi="宋体"/>
          <w:i w:val="0"/>
          <w:iCs w:val="0"/>
          <w:snapToGrid w:val="0"/>
          <w:szCs w:val="24"/>
        </w:rPr>
        <w:t>4.2  投标文件的递交</w:t>
      </w:r>
      <w:r>
        <w:rPr>
          <w:i w:val="0"/>
          <w:iCs w:val="0"/>
        </w:rPr>
        <w:tab/>
      </w:r>
      <w:r>
        <w:rPr>
          <w:i w:val="0"/>
          <w:iCs w:val="0"/>
        </w:rPr>
        <w:fldChar w:fldCharType="begin"/>
      </w:r>
      <w:r>
        <w:rPr>
          <w:i w:val="0"/>
          <w:iCs w:val="0"/>
        </w:rPr>
        <w:instrText xml:space="preserve"> PAGEREF _Toc17540 \h </w:instrText>
      </w:r>
      <w:r>
        <w:rPr>
          <w:i w:val="0"/>
          <w:iCs w:val="0"/>
        </w:rPr>
        <w:fldChar w:fldCharType="separate"/>
      </w:r>
      <w:r>
        <w:rPr>
          <w:i w:val="0"/>
          <w:iCs w:val="0"/>
        </w:rPr>
        <w:t>43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_Toc29742 </w:instrText>
      </w:r>
      <w:r>
        <w:rPr>
          <w:rFonts w:ascii="宋体" w:hAnsi="宋体"/>
          <w:bCs/>
          <w:i w:val="0"/>
          <w:iCs w:val="0"/>
          <w:szCs w:val="20"/>
          <w:lang w:val="zh-CN"/>
        </w:rPr>
        <w:fldChar w:fldCharType="separate"/>
      </w:r>
      <w:r>
        <w:rPr>
          <w:rFonts w:ascii="宋体" w:hAnsi="宋体"/>
          <w:i w:val="0"/>
          <w:iCs w:val="0"/>
          <w:snapToGrid w:val="0"/>
          <w:szCs w:val="24"/>
        </w:rPr>
        <w:t>4.3  投标文件的修改与撤回</w:t>
      </w:r>
      <w:r>
        <w:rPr>
          <w:i w:val="0"/>
          <w:iCs w:val="0"/>
        </w:rPr>
        <w:tab/>
      </w:r>
      <w:r>
        <w:rPr>
          <w:i w:val="0"/>
          <w:iCs w:val="0"/>
        </w:rPr>
        <w:fldChar w:fldCharType="begin"/>
      </w:r>
      <w:r>
        <w:rPr>
          <w:i w:val="0"/>
          <w:iCs w:val="0"/>
        </w:rPr>
        <w:instrText xml:space="preserve"> PAGEREF _Toc29742 \h </w:instrText>
      </w:r>
      <w:r>
        <w:rPr>
          <w:i w:val="0"/>
          <w:iCs w:val="0"/>
        </w:rPr>
        <w:fldChar w:fldCharType="separate"/>
      </w:r>
      <w:r>
        <w:rPr>
          <w:i w:val="0"/>
          <w:iCs w:val="0"/>
        </w:rPr>
        <w:t>43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_Toc19808 </w:instrText>
      </w:r>
      <w:r>
        <w:rPr>
          <w:rFonts w:ascii="宋体" w:hAnsi="宋体"/>
          <w:bCs/>
          <w:i w:val="0"/>
          <w:iCs w:val="0"/>
          <w:szCs w:val="20"/>
          <w:lang w:val="zh-CN"/>
        </w:rPr>
        <w:fldChar w:fldCharType="separate"/>
      </w:r>
      <w:r>
        <w:rPr>
          <w:rFonts w:ascii="宋体" w:hAnsi="宋体"/>
          <w:i w:val="0"/>
          <w:iCs w:val="0"/>
          <w:snapToGrid w:val="0"/>
        </w:rPr>
        <w:t>5.  开标</w:t>
      </w:r>
      <w:r>
        <w:rPr>
          <w:i w:val="0"/>
          <w:iCs w:val="0"/>
        </w:rPr>
        <w:tab/>
      </w:r>
      <w:r>
        <w:rPr>
          <w:i w:val="0"/>
          <w:iCs w:val="0"/>
        </w:rPr>
        <w:fldChar w:fldCharType="begin"/>
      </w:r>
      <w:r>
        <w:rPr>
          <w:i w:val="0"/>
          <w:iCs w:val="0"/>
        </w:rPr>
        <w:instrText xml:space="preserve"> PAGEREF _Toc19808 \h </w:instrText>
      </w:r>
      <w:r>
        <w:rPr>
          <w:i w:val="0"/>
          <w:iCs w:val="0"/>
        </w:rPr>
        <w:fldChar w:fldCharType="separate"/>
      </w:r>
      <w:r>
        <w:rPr>
          <w:i w:val="0"/>
          <w:iCs w:val="0"/>
        </w:rPr>
        <w:t>44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_Toc29477 </w:instrText>
      </w:r>
      <w:r>
        <w:rPr>
          <w:rFonts w:ascii="宋体" w:hAnsi="宋体"/>
          <w:bCs/>
          <w:i w:val="0"/>
          <w:iCs w:val="0"/>
          <w:szCs w:val="20"/>
          <w:lang w:val="zh-CN"/>
        </w:rPr>
        <w:fldChar w:fldCharType="separate"/>
      </w:r>
      <w:r>
        <w:rPr>
          <w:rFonts w:ascii="宋体" w:hAnsi="宋体"/>
          <w:i w:val="0"/>
          <w:iCs w:val="0"/>
          <w:snapToGrid w:val="0"/>
          <w:szCs w:val="24"/>
        </w:rPr>
        <w:t>5.1  开标时间和地点</w:t>
      </w:r>
      <w:r>
        <w:rPr>
          <w:i w:val="0"/>
          <w:iCs w:val="0"/>
        </w:rPr>
        <w:tab/>
      </w:r>
      <w:r>
        <w:rPr>
          <w:i w:val="0"/>
          <w:iCs w:val="0"/>
        </w:rPr>
        <w:fldChar w:fldCharType="begin"/>
      </w:r>
      <w:r>
        <w:rPr>
          <w:i w:val="0"/>
          <w:iCs w:val="0"/>
        </w:rPr>
        <w:instrText xml:space="preserve"> PAGEREF _Toc29477 \h </w:instrText>
      </w:r>
      <w:r>
        <w:rPr>
          <w:i w:val="0"/>
          <w:iCs w:val="0"/>
        </w:rPr>
        <w:fldChar w:fldCharType="separate"/>
      </w:r>
      <w:r>
        <w:rPr>
          <w:i w:val="0"/>
          <w:iCs w:val="0"/>
        </w:rPr>
        <w:t>44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_Toc28663 </w:instrText>
      </w:r>
      <w:r>
        <w:rPr>
          <w:rFonts w:ascii="宋体" w:hAnsi="宋体"/>
          <w:bCs/>
          <w:i w:val="0"/>
          <w:iCs w:val="0"/>
          <w:szCs w:val="20"/>
          <w:lang w:val="zh-CN"/>
        </w:rPr>
        <w:fldChar w:fldCharType="separate"/>
      </w:r>
      <w:r>
        <w:rPr>
          <w:rFonts w:ascii="宋体" w:hAnsi="宋体"/>
          <w:i w:val="0"/>
          <w:iCs w:val="0"/>
          <w:snapToGrid w:val="0"/>
          <w:szCs w:val="24"/>
        </w:rPr>
        <w:t>5.2  开标程序</w:t>
      </w:r>
      <w:r>
        <w:rPr>
          <w:i w:val="0"/>
          <w:iCs w:val="0"/>
        </w:rPr>
        <w:tab/>
      </w:r>
      <w:r>
        <w:rPr>
          <w:i w:val="0"/>
          <w:iCs w:val="0"/>
        </w:rPr>
        <w:fldChar w:fldCharType="begin"/>
      </w:r>
      <w:r>
        <w:rPr>
          <w:i w:val="0"/>
          <w:iCs w:val="0"/>
        </w:rPr>
        <w:instrText xml:space="preserve"> PAGEREF _Toc28663 \h </w:instrText>
      </w:r>
      <w:r>
        <w:rPr>
          <w:i w:val="0"/>
          <w:iCs w:val="0"/>
        </w:rPr>
        <w:fldChar w:fldCharType="separate"/>
      </w:r>
      <w:r>
        <w:rPr>
          <w:i w:val="0"/>
          <w:iCs w:val="0"/>
        </w:rPr>
        <w:t>44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_Toc26769 </w:instrText>
      </w:r>
      <w:r>
        <w:rPr>
          <w:rFonts w:ascii="宋体" w:hAnsi="宋体"/>
          <w:bCs/>
          <w:i w:val="0"/>
          <w:iCs w:val="0"/>
          <w:szCs w:val="20"/>
          <w:lang w:val="zh-CN"/>
        </w:rPr>
        <w:fldChar w:fldCharType="separate"/>
      </w:r>
      <w:r>
        <w:rPr>
          <w:rFonts w:ascii="宋体" w:hAnsi="宋体"/>
          <w:i w:val="0"/>
          <w:iCs w:val="0"/>
          <w:snapToGrid w:val="0"/>
          <w:szCs w:val="24"/>
        </w:rPr>
        <w:t>5.</w:t>
      </w:r>
      <w:r>
        <w:rPr>
          <w:rFonts w:hint="eastAsia" w:ascii="宋体" w:hAnsi="宋体"/>
          <w:i w:val="0"/>
          <w:iCs w:val="0"/>
          <w:snapToGrid w:val="0"/>
          <w:szCs w:val="24"/>
        </w:rPr>
        <w:t>3</w:t>
      </w:r>
      <w:r>
        <w:rPr>
          <w:rFonts w:ascii="宋体" w:hAnsi="宋体"/>
          <w:i w:val="0"/>
          <w:iCs w:val="0"/>
          <w:snapToGrid w:val="0"/>
          <w:szCs w:val="24"/>
        </w:rPr>
        <w:t xml:space="preserve">  </w:t>
      </w:r>
      <w:r>
        <w:rPr>
          <w:rFonts w:hint="eastAsia" w:ascii="宋体" w:hAnsi="宋体"/>
          <w:i w:val="0"/>
          <w:iCs w:val="0"/>
          <w:snapToGrid w:val="0"/>
          <w:szCs w:val="24"/>
        </w:rPr>
        <w:t>开标异议</w:t>
      </w:r>
      <w:r>
        <w:rPr>
          <w:i w:val="0"/>
          <w:iCs w:val="0"/>
        </w:rPr>
        <w:tab/>
      </w:r>
      <w:r>
        <w:rPr>
          <w:i w:val="0"/>
          <w:iCs w:val="0"/>
        </w:rPr>
        <w:fldChar w:fldCharType="begin"/>
      </w:r>
      <w:r>
        <w:rPr>
          <w:i w:val="0"/>
          <w:iCs w:val="0"/>
        </w:rPr>
        <w:instrText xml:space="preserve"> PAGEREF _Toc26769 \h </w:instrText>
      </w:r>
      <w:r>
        <w:rPr>
          <w:i w:val="0"/>
          <w:iCs w:val="0"/>
        </w:rPr>
        <w:fldChar w:fldCharType="separate"/>
      </w:r>
      <w:r>
        <w:rPr>
          <w:i w:val="0"/>
          <w:iCs w:val="0"/>
        </w:rPr>
        <w:t>44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_Toc17727 </w:instrText>
      </w:r>
      <w:r>
        <w:rPr>
          <w:rFonts w:ascii="宋体" w:hAnsi="宋体"/>
          <w:bCs/>
          <w:i w:val="0"/>
          <w:iCs w:val="0"/>
          <w:szCs w:val="20"/>
          <w:lang w:val="zh-CN"/>
        </w:rPr>
        <w:fldChar w:fldCharType="separate"/>
      </w:r>
      <w:r>
        <w:rPr>
          <w:rFonts w:ascii="宋体" w:hAnsi="宋体"/>
          <w:i w:val="0"/>
          <w:iCs w:val="0"/>
          <w:snapToGrid w:val="0"/>
        </w:rPr>
        <w:t>6.  评标</w:t>
      </w:r>
      <w:r>
        <w:rPr>
          <w:i w:val="0"/>
          <w:iCs w:val="0"/>
        </w:rPr>
        <w:tab/>
      </w:r>
      <w:r>
        <w:rPr>
          <w:i w:val="0"/>
          <w:iCs w:val="0"/>
        </w:rPr>
        <w:fldChar w:fldCharType="begin"/>
      </w:r>
      <w:r>
        <w:rPr>
          <w:i w:val="0"/>
          <w:iCs w:val="0"/>
        </w:rPr>
        <w:instrText xml:space="preserve"> PAGEREF _Toc17727 \h </w:instrText>
      </w:r>
      <w:r>
        <w:rPr>
          <w:i w:val="0"/>
          <w:iCs w:val="0"/>
        </w:rPr>
        <w:fldChar w:fldCharType="separate"/>
      </w:r>
      <w:r>
        <w:rPr>
          <w:i w:val="0"/>
          <w:iCs w:val="0"/>
        </w:rPr>
        <w:t>44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_Toc24752 </w:instrText>
      </w:r>
      <w:r>
        <w:rPr>
          <w:rFonts w:ascii="宋体" w:hAnsi="宋体"/>
          <w:bCs/>
          <w:i w:val="0"/>
          <w:iCs w:val="0"/>
          <w:szCs w:val="20"/>
          <w:lang w:val="zh-CN"/>
        </w:rPr>
        <w:fldChar w:fldCharType="separate"/>
      </w:r>
      <w:r>
        <w:rPr>
          <w:rFonts w:ascii="宋体" w:hAnsi="宋体"/>
          <w:i w:val="0"/>
          <w:iCs w:val="0"/>
          <w:snapToGrid w:val="0"/>
          <w:szCs w:val="24"/>
        </w:rPr>
        <w:t>6.1  评标委员会</w:t>
      </w:r>
      <w:r>
        <w:rPr>
          <w:i w:val="0"/>
          <w:iCs w:val="0"/>
        </w:rPr>
        <w:tab/>
      </w:r>
      <w:r>
        <w:rPr>
          <w:i w:val="0"/>
          <w:iCs w:val="0"/>
        </w:rPr>
        <w:fldChar w:fldCharType="begin"/>
      </w:r>
      <w:r>
        <w:rPr>
          <w:i w:val="0"/>
          <w:iCs w:val="0"/>
        </w:rPr>
        <w:instrText xml:space="preserve"> PAGEREF _Toc24752 \h </w:instrText>
      </w:r>
      <w:r>
        <w:rPr>
          <w:i w:val="0"/>
          <w:iCs w:val="0"/>
        </w:rPr>
        <w:fldChar w:fldCharType="separate"/>
      </w:r>
      <w:r>
        <w:rPr>
          <w:i w:val="0"/>
          <w:iCs w:val="0"/>
        </w:rPr>
        <w:t>44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_Toc11040 </w:instrText>
      </w:r>
      <w:r>
        <w:rPr>
          <w:rFonts w:ascii="宋体" w:hAnsi="宋体"/>
          <w:bCs/>
          <w:i w:val="0"/>
          <w:iCs w:val="0"/>
          <w:szCs w:val="20"/>
          <w:lang w:val="zh-CN"/>
        </w:rPr>
        <w:fldChar w:fldCharType="separate"/>
      </w:r>
      <w:r>
        <w:rPr>
          <w:rFonts w:ascii="宋体" w:hAnsi="宋体"/>
          <w:i w:val="0"/>
          <w:iCs w:val="0"/>
          <w:snapToGrid w:val="0"/>
          <w:szCs w:val="24"/>
        </w:rPr>
        <w:t>6.2  评标原则</w:t>
      </w:r>
      <w:r>
        <w:rPr>
          <w:i w:val="0"/>
          <w:iCs w:val="0"/>
        </w:rPr>
        <w:tab/>
      </w:r>
      <w:r>
        <w:rPr>
          <w:i w:val="0"/>
          <w:iCs w:val="0"/>
        </w:rPr>
        <w:fldChar w:fldCharType="begin"/>
      </w:r>
      <w:r>
        <w:rPr>
          <w:i w:val="0"/>
          <w:iCs w:val="0"/>
        </w:rPr>
        <w:instrText xml:space="preserve"> PAGEREF _Toc11040 \h </w:instrText>
      </w:r>
      <w:r>
        <w:rPr>
          <w:i w:val="0"/>
          <w:iCs w:val="0"/>
        </w:rPr>
        <w:fldChar w:fldCharType="separate"/>
      </w:r>
      <w:r>
        <w:rPr>
          <w:i w:val="0"/>
          <w:iCs w:val="0"/>
        </w:rPr>
        <w:t>44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_Toc8702 </w:instrText>
      </w:r>
      <w:r>
        <w:rPr>
          <w:rFonts w:ascii="宋体" w:hAnsi="宋体"/>
          <w:bCs/>
          <w:i w:val="0"/>
          <w:iCs w:val="0"/>
          <w:szCs w:val="20"/>
          <w:lang w:val="zh-CN"/>
        </w:rPr>
        <w:fldChar w:fldCharType="separate"/>
      </w:r>
      <w:r>
        <w:rPr>
          <w:rFonts w:ascii="宋体" w:hAnsi="宋体"/>
          <w:i w:val="0"/>
          <w:iCs w:val="0"/>
          <w:snapToGrid w:val="0"/>
          <w:szCs w:val="24"/>
        </w:rPr>
        <w:t>6.3  评标</w:t>
      </w:r>
      <w:r>
        <w:rPr>
          <w:i w:val="0"/>
          <w:iCs w:val="0"/>
        </w:rPr>
        <w:tab/>
      </w:r>
      <w:r>
        <w:rPr>
          <w:i w:val="0"/>
          <w:iCs w:val="0"/>
        </w:rPr>
        <w:fldChar w:fldCharType="begin"/>
      </w:r>
      <w:r>
        <w:rPr>
          <w:i w:val="0"/>
          <w:iCs w:val="0"/>
        </w:rPr>
        <w:instrText xml:space="preserve"> PAGEREF _Toc8702 \h </w:instrText>
      </w:r>
      <w:r>
        <w:rPr>
          <w:i w:val="0"/>
          <w:iCs w:val="0"/>
        </w:rPr>
        <w:fldChar w:fldCharType="separate"/>
      </w:r>
      <w:r>
        <w:rPr>
          <w:i w:val="0"/>
          <w:iCs w:val="0"/>
        </w:rPr>
        <w:t>44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_Toc30085 </w:instrText>
      </w:r>
      <w:r>
        <w:rPr>
          <w:rFonts w:ascii="宋体" w:hAnsi="宋体"/>
          <w:bCs/>
          <w:i w:val="0"/>
          <w:iCs w:val="0"/>
          <w:szCs w:val="20"/>
          <w:lang w:val="zh-CN"/>
        </w:rPr>
        <w:fldChar w:fldCharType="separate"/>
      </w:r>
      <w:r>
        <w:rPr>
          <w:rFonts w:ascii="宋体" w:hAnsi="宋体"/>
          <w:i w:val="0"/>
          <w:iCs w:val="0"/>
          <w:snapToGrid w:val="0"/>
        </w:rPr>
        <w:t>7.  合同授予</w:t>
      </w:r>
      <w:r>
        <w:rPr>
          <w:i w:val="0"/>
          <w:iCs w:val="0"/>
        </w:rPr>
        <w:tab/>
      </w:r>
      <w:r>
        <w:rPr>
          <w:i w:val="0"/>
          <w:iCs w:val="0"/>
        </w:rPr>
        <w:fldChar w:fldCharType="begin"/>
      </w:r>
      <w:r>
        <w:rPr>
          <w:i w:val="0"/>
          <w:iCs w:val="0"/>
        </w:rPr>
        <w:instrText xml:space="preserve"> PAGEREF _Toc30085 \h </w:instrText>
      </w:r>
      <w:r>
        <w:rPr>
          <w:i w:val="0"/>
          <w:iCs w:val="0"/>
        </w:rPr>
        <w:fldChar w:fldCharType="separate"/>
      </w:r>
      <w:r>
        <w:rPr>
          <w:i w:val="0"/>
          <w:iCs w:val="0"/>
        </w:rPr>
        <w:t>44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_Toc25207 </w:instrText>
      </w:r>
      <w:r>
        <w:rPr>
          <w:rFonts w:ascii="宋体" w:hAnsi="宋体"/>
          <w:bCs/>
          <w:i w:val="0"/>
          <w:iCs w:val="0"/>
          <w:szCs w:val="20"/>
          <w:lang w:val="zh-CN"/>
        </w:rPr>
        <w:fldChar w:fldCharType="separate"/>
      </w:r>
      <w:r>
        <w:rPr>
          <w:rFonts w:ascii="宋体" w:hAnsi="宋体"/>
          <w:i w:val="0"/>
          <w:iCs w:val="0"/>
          <w:snapToGrid w:val="0"/>
          <w:szCs w:val="24"/>
        </w:rPr>
        <w:t>7.1  定标方式</w:t>
      </w:r>
      <w:r>
        <w:rPr>
          <w:i w:val="0"/>
          <w:iCs w:val="0"/>
        </w:rPr>
        <w:tab/>
      </w:r>
      <w:r>
        <w:rPr>
          <w:i w:val="0"/>
          <w:iCs w:val="0"/>
        </w:rPr>
        <w:fldChar w:fldCharType="begin"/>
      </w:r>
      <w:r>
        <w:rPr>
          <w:i w:val="0"/>
          <w:iCs w:val="0"/>
        </w:rPr>
        <w:instrText xml:space="preserve"> PAGEREF _Toc25207 \h </w:instrText>
      </w:r>
      <w:r>
        <w:rPr>
          <w:i w:val="0"/>
          <w:iCs w:val="0"/>
        </w:rPr>
        <w:fldChar w:fldCharType="separate"/>
      </w:r>
      <w:r>
        <w:rPr>
          <w:i w:val="0"/>
          <w:iCs w:val="0"/>
        </w:rPr>
        <w:t>44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_Toc30014 </w:instrText>
      </w:r>
      <w:r>
        <w:rPr>
          <w:rFonts w:ascii="宋体" w:hAnsi="宋体"/>
          <w:bCs/>
          <w:i w:val="0"/>
          <w:iCs w:val="0"/>
          <w:szCs w:val="20"/>
          <w:lang w:val="zh-CN"/>
        </w:rPr>
        <w:fldChar w:fldCharType="separate"/>
      </w:r>
      <w:r>
        <w:rPr>
          <w:rFonts w:ascii="宋体" w:hAnsi="宋体"/>
          <w:i w:val="0"/>
          <w:iCs w:val="0"/>
          <w:snapToGrid w:val="0"/>
          <w:szCs w:val="24"/>
        </w:rPr>
        <w:t>7.2  中标公示及中标通知</w:t>
      </w:r>
      <w:r>
        <w:rPr>
          <w:i w:val="0"/>
          <w:iCs w:val="0"/>
        </w:rPr>
        <w:tab/>
      </w:r>
      <w:r>
        <w:rPr>
          <w:i w:val="0"/>
          <w:iCs w:val="0"/>
        </w:rPr>
        <w:fldChar w:fldCharType="begin"/>
      </w:r>
      <w:r>
        <w:rPr>
          <w:i w:val="0"/>
          <w:iCs w:val="0"/>
        </w:rPr>
        <w:instrText xml:space="preserve"> PAGEREF _Toc30014 \h </w:instrText>
      </w:r>
      <w:r>
        <w:rPr>
          <w:i w:val="0"/>
          <w:iCs w:val="0"/>
        </w:rPr>
        <w:fldChar w:fldCharType="separate"/>
      </w:r>
      <w:r>
        <w:rPr>
          <w:i w:val="0"/>
          <w:iCs w:val="0"/>
        </w:rPr>
        <w:t>45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_Toc16259 </w:instrText>
      </w:r>
      <w:r>
        <w:rPr>
          <w:rFonts w:ascii="宋体" w:hAnsi="宋体"/>
          <w:bCs/>
          <w:i w:val="0"/>
          <w:iCs w:val="0"/>
          <w:szCs w:val="20"/>
          <w:lang w:val="zh-CN"/>
        </w:rPr>
        <w:fldChar w:fldCharType="separate"/>
      </w:r>
      <w:r>
        <w:rPr>
          <w:rFonts w:ascii="宋体" w:hAnsi="宋体"/>
          <w:i w:val="0"/>
          <w:iCs w:val="0"/>
          <w:snapToGrid w:val="0"/>
          <w:szCs w:val="24"/>
        </w:rPr>
        <w:t>7.3  履约担保</w:t>
      </w:r>
      <w:r>
        <w:rPr>
          <w:i w:val="0"/>
          <w:iCs w:val="0"/>
        </w:rPr>
        <w:tab/>
      </w:r>
      <w:r>
        <w:rPr>
          <w:i w:val="0"/>
          <w:iCs w:val="0"/>
        </w:rPr>
        <w:fldChar w:fldCharType="begin"/>
      </w:r>
      <w:r>
        <w:rPr>
          <w:i w:val="0"/>
          <w:iCs w:val="0"/>
        </w:rPr>
        <w:instrText xml:space="preserve"> PAGEREF _Toc16259 \h </w:instrText>
      </w:r>
      <w:r>
        <w:rPr>
          <w:i w:val="0"/>
          <w:iCs w:val="0"/>
        </w:rPr>
        <w:fldChar w:fldCharType="separate"/>
      </w:r>
      <w:r>
        <w:rPr>
          <w:i w:val="0"/>
          <w:iCs w:val="0"/>
        </w:rPr>
        <w:t>45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_Toc27290 </w:instrText>
      </w:r>
      <w:r>
        <w:rPr>
          <w:rFonts w:ascii="宋体" w:hAnsi="宋体"/>
          <w:bCs/>
          <w:i w:val="0"/>
          <w:iCs w:val="0"/>
          <w:szCs w:val="20"/>
          <w:lang w:val="zh-CN"/>
        </w:rPr>
        <w:fldChar w:fldCharType="separate"/>
      </w:r>
      <w:r>
        <w:rPr>
          <w:rFonts w:ascii="宋体" w:hAnsi="宋体"/>
          <w:i w:val="0"/>
          <w:iCs w:val="0"/>
          <w:snapToGrid w:val="0"/>
          <w:szCs w:val="24"/>
        </w:rPr>
        <w:t>7.4  签订合同</w:t>
      </w:r>
      <w:r>
        <w:rPr>
          <w:i w:val="0"/>
          <w:iCs w:val="0"/>
        </w:rPr>
        <w:tab/>
      </w:r>
      <w:r>
        <w:rPr>
          <w:i w:val="0"/>
          <w:iCs w:val="0"/>
        </w:rPr>
        <w:fldChar w:fldCharType="begin"/>
      </w:r>
      <w:r>
        <w:rPr>
          <w:i w:val="0"/>
          <w:iCs w:val="0"/>
        </w:rPr>
        <w:instrText xml:space="preserve"> PAGEREF _Toc27290 \h </w:instrText>
      </w:r>
      <w:r>
        <w:rPr>
          <w:i w:val="0"/>
          <w:iCs w:val="0"/>
        </w:rPr>
        <w:fldChar w:fldCharType="separate"/>
      </w:r>
      <w:r>
        <w:rPr>
          <w:i w:val="0"/>
          <w:iCs w:val="0"/>
        </w:rPr>
        <w:t>45</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_Toc22162 </w:instrText>
      </w:r>
      <w:r>
        <w:rPr>
          <w:rFonts w:ascii="宋体" w:hAnsi="宋体"/>
          <w:bCs/>
          <w:i w:val="0"/>
          <w:iCs w:val="0"/>
          <w:szCs w:val="20"/>
          <w:lang w:val="zh-CN"/>
        </w:rPr>
        <w:fldChar w:fldCharType="separate"/>
      </w:r>
      <w:r>
        <w:rPr>
          <w:rFonts w:ascii="宋体" w:hAnsi="宋体"/>
          <w:i w:val="0"/>
          <w:iCs w:val="0"/>
          <w:snapToGrid w:val="0"/>
        </w:rPr>
        <w:t>8.  重新招标和不再招标</w:t>
      </w:r>
      <w:r>
        <w:rPr>
          <w:i w:val="0"/>
          <w:iCs w:val="0"/>
        </w:rPr>
        <w:tab/>
      </w:r>
      <w:r>
        <w:rPr>
          <w:i w:val="0"/>
          <w:iCs w:val="0"/>
        </w:rPr>
        <w:fldChar w:fldCharType="begin"/>
      </w:r>
      <w:r>
        <w:rPr>
          <w:i w:val="0"/>
          <w:iCs w:val="0"/>
        </w:rPr>
        <w:instrText xml:space="preserve"> PAGEREF _Toc22162 \h </w:instrText>
      </w:r>
      <w:r>
        <w:rPr>
          <w:i w:val="0"/>
          <w:iCs w:val="0"/>
        </w:rPr>
        <w:fldChar w:fldCharType="separate"/>
      </w:r>
      <w:r>
        <w:rPr>
          <w:i w:val="0"/>
          <w:iCs w:val="0"/>
        </w:rPr>
        <w:t>45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_Toc27167 </w:instrText>
      </w:r>
      <w:r>
        <w:rPr>
          <w:rFonts w:ascii="宋体" w:hAnsi="宋体"/>
          <w:bCs/>
          <w:i w:val="0"/>
          <w:iCs w:val="0"/>
          <w:szCs w:val="20"/>
          <w:lang w:val="zh-CN"/>
        </w:rPr>
        <w:fldChar w:fldCharType="separate"/>
      </w:r>
      <w:r>
        <w:rPr>
          <w:rFonts w:ascii="宋体" w:hAnsi="宋体"/>
          <w:i w:val="0"/>
          <w:iCs w:val="0"/>
          <w:snapToGrid w:val="0"/>
          <w:szCs w:val="24"/>
        </w:rPr>
        <w:t>8.1  重新招标</w:t>
      </w:r>
      <w:r>
        <w:rPr>
          <w:rFonts w:hint="eastAsia" w:ascii="宋体" w:hAnsi="宋体"/>
          <w:i w:val="0"/>
          <w:iCs w:val="0"/>
          <w:snapToGrid w:val="0"/>
          <w:szCs w:val="24"/>
        </w:rPr>
        <w:t>的情形</w:t>
      </w:r>
      <w:r>
        <w:rPr>
          <w:i w:val="0"/>
          <w:iCs w:val="0"/>
        </w:rPr>
        <w:tab/>
      </w:r>
      <w:r>
        <w:rPr>
          <w:i w:val="0"/>
          <w:iCs w:val="0"/>
        </w:rPr>
        <w:fldChar w:fldCharType="begin"/>
      </w:r>
      <w:r>
        <w:rPr>
          <w:i w:val="0"/>
          <w:iCs w:val="0"/>
        </w:rPr>
        <w:instrText xml:space="preserve"> PAGEREF _Toc27167 \h </w:instrText>
      </w:r>
      <w:r>
        <w:rPr>
          <w:i w:val="0"/>
          <w:iCs w:val="0"/>
        </w:rPr>
        <w:fldChar w:fldCharType="separate"/>
      </w:r>
      <w:r>
        <w:rPr>
          <w:i w:val="0"/>
          <w:iCs w:val="0"/>
        </w:rPr>
        <w:t>45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_Toc2951 </w:instrText>
      </w:r>
      <w:r>
        <w:rPr>
          <w:rFonts w:ascii="宋体" w:hAnsi="宋体"/>
          <w:bCs/>
          <w:i w:val="0"/>
          <w:iCs w:val="0"/>
          <w:szCs w:val="20"/>
          <w:lang w:val="zh-CN"/>
        </w:rPr>
        <w:fldChar w:fldCharType="separate"/>
      </w:r>
      <w:r>
        <w:rPr>
          <w:rFonts w:ascii="宋体" w:hAnsi="宋体"/>
          <w:i w:val="0"/>
          <w:iCs w:val="0"/>
          <w:snapToGrid w:val="0"/>
          <w:szCs w:val="24"/>
        </w:rPr>
        <w:t xml:space="preserve">8.2  </w:t>
      </w:r>
      <w:r>
        <w:rPr>
          <w:rFonts w:hint="eastAsia" w:ascii="宋体" w:hAnsi="宋体"/>
          <w:i w:val="0"/>
          <w:iCs w:val="0"/>
          <w:snapToGrid w:val="0"/>
          <w:szCs w:val="24"/>
        </w:rPr>
        <w:t>重新</w:t>
      </w:r>
      <w:r>
        <w:rPr>
          <w:rFonts w:ascii="宋体" w:hAnsi="宋体"/>
          <w:i w:val="0"/>
          <w:iCs w:val="0"/>
          <w:snapToGrid w:val="0"/>
          <w:szCs w:val="24"/>
        </w:rPr>
        <w:t>招标和不再招标</w:t>
      </w:r>
      <w:r>
        <w:rPr>
          <w:i w:val="0"/>
          <w:iCs w:val="0"/>
        </w:rPr>
        <w:tab/>
      </w:r>
      <w:r>
        <w:rPr>
          <w:i w:val="0"/>
          <w:iCs w:val="0"/>
        </w:rPr>
        <w:fldChar w:fldCharType="begin"/>
      </w:r>
      <w:r>
        <w:rPr>
          <w:i w:val="0"/>
          <w:iCs w:val="0"/>
        </w:rPr>
        <w:instrText xml:space="preserve"> PAGEREF _Toc2951 \h </w:instrText>
      </w:r>
      <w:r>
        <w:rPr>
          <w:i w:val="0"/>
          <w:iCs w:val="0"/>
        </w:rPr>
        <w:fldChar w:fldCharType="separate"/>
      </w:r>
      <w:r>
        <w:rPr>
          <w:i w:val="0"/>
          <w:iCs w:val="0"/>
        </w:rPr>
        <w:t>46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_Toc11221 </w:instrText>
      </w:r>
      <w:r>
        <w:rPr>
          <w:rFonts w:ascii="宋体" w:hAnsi="宋体"/>
          <w:bCs/>
          <w:i w:val="0"/>
          <w:iCs w:val="0"/>
          <w:szCs w:val="20"/>
          <w:lang w:val="zh-CN"/>
        </w:rPr>
        <w:fldChar w:fldCharType="separate"/>
      </w:r>
      <w:r>
        <w:rPr>
          <w:rFonts w:ascii="宋体" w:hAnsi="宋体"/>
          <w:i w:val="0"/>
          <w:iCs w:val="0"/>
          <w:snapToGrid w:val="0"/>
        </w:rPr>
        <w:t>9.  纪律和监督</w:t>
      </w:r>
      <w:r>
        <w:rPr>
          <w:i w:val="0"/>
          <w:iCs w:val="0"/>
        </w:rPr>
        <w:tab/>
      </w:r>
      <w:r>
        <w:rPr>
          <w:i w:val="0"/>
          <w:iCs w:val="0"/>
        </w:rPr>
        <w:fldChar w:fldCharType="begin"/>
      </w:r>
      <w:r>
        <w:rPr>
          <w:i w:val="0"/>
          <w:iCs w:val="0"/>
        </w:rPr>
        <w:instrText xml:space="preserve"> PAGEREF _Toc11221 \h </w:instrText>
      </w:r>
      <w:r>
        <w:rPr>
          <w:i w:val="0"/>
          <w:iCs w:val="0"/>
        </w:rPr>
        <w:fldChar w:fldCharType="separate"/>
      </w:r>
      <w:r>
        <w:rPr>
          <w:i w:val="0"/>
          <w:iCs w:val="0"/>
        </w:rPr>
        <w:t>46</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_Toc13132 </w:instrText>
      </w:r>
      <w:r>
        <w:rPr>
          <w:rFonts w:ascii="宋体" w:hAnsi="宋体"/>
          <w:bCs/>
          <w:i w:val="0"/>
          <w:iCs w:val="0"/>
          <w:szCs w:val="20"/>
          <w:lang w:val="zh-CN"/>
        </w:rPr>
        <w:fldChar w:fldCharType="separate"/>
      </w:r>
      <w:r>
        <w:rPr>
          <w:rFonts w:ascii="宋体" w:hAnsi="宋体"/>
          <w:i w:val="0"/>
          <w:iCs w:val="0"/>
          <w:snapToGrid w:val="0"/>
          <w:szCs w:val="24"/>
        </w:rPr>
        <w:t>9.1  对招标人的纪律要求</w:t>
      </w:r>
      <w:r>
        <w:rPr>
          <w:i w:val="0"/>
          <w:iCs w:val="0"/>
        </w:rPr>
        <w:tab/>
      </w:r>
      <w:r>
        <w:rPr>
          <w:i w:val="0"/>
          <w:iCs w:val="0"/>
        </w:rPr>
        <w:fldChar w:fldCharType="begin"/>
      </w:r>
      <w:r>
        <w:rPr>
          <w:i w:val="0"/>
          <w:iCs w:val="0"/>
        </w:rPr>
        <w:instrText xml:space="preserve"> PAGEREF _Toc13132 \h </w:instrText>
      </w:r>
      <w:r>
        <w:rPr>
          <w:i w:val="0"/>
          <w:iCs w:val="0"/>
        </w:rPr>
        <w:fldChar w:fldCharType="separate"/>
      </w:r>
      <w:r>
        <w:rPr>
          <w:i w:val="0"/>
          <w:iCs w:val="0"/>
        </w:rPr>
        <w:t>46</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_Toc16881 </w:instrText>
      </w:r>
      <w:r>
        <w:rPr>
          <w:rFonts w:ascii="宋体" w:hAnsi="宋体"/>
          <w:bCs/>
          <w:i w:val="0"/>
          <w:iCs w:val="0"/>
          <w:szCs w:val="20"/>
          <w:lang w:val="zh-CN"/>
        </w:rPr>
        <w:fldChar w:fldCharType="separate"/>
      </w:r>
      <w:r>
        <w:rPr>
          <w:rFonts w:ascii="宋体" w:hAnsi="宋体"/>
          <w:i w:val="0"/>
          <w:iCs w:val="0"/>
          <w:snapToGrid w:val="0"/>
          <w:szCs w:val="24"/>
        </w:rPr>
        <w:t>9.2  对投标人的纪律要求</w:t>
      </w:r>
      <w:r>
        <w:rPr>
          <w:i w:val="0"/>
          <w:iCs w:val="0"/>
        </w:rPr>
        <w:tab/>
      </w:r>
      <w:r>
        <w:rPr>
          <w:i w:val="0"/>
          <w:iCs w:val="0"/>
        </w:rPr>
        <w:fldChar w:fldCharType="begin"/>
      </w:r>
      <w:r>
        <w:rPr>
          <w:i w:val="0"/>
          <w:iCs w:val="0"/>
        </w:rPr>
        <w:instrText xml:space="preserve"> PAGEREF _Toc16881 \h </w:instrText>
      </w:r>
      <w:r>
        <w:rPr>
          <w:i w:val="0"/>
          <w:iCs w:val="0"/>
        </w:rPr>
        <w:fldChar w:fldCharType="separate"/>
      </w:r>
      <w:r>
        <w:rPr>
          <w:i w:val="0"/>
          <w:iCs w:val="0"/>
        </w:rPr>
        <w:t>46</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_Toc19538 </w:instrText>
      </w:r>
      <w:r>
        <w:rPr>
          <w:rFonts w:ascii="宋体" w:hAnsi="宋体"/>
          <w:bCs/>
          <w:i w:val="0"/>
          <w:iCs w:val="0"/>
          <w:szCs w:val="20"/>
          <w:lang w:val="zh-CN"/>
        </w:rPr>
        <w:fldChar w:fldCharType="separate"/>
      </w:r>
      <w:r>
        <w:rPr>
          <w:rFonts w:ascii="宋体" w:hAnsi="宋体"/>
          <w:i w:val="0"/>
          <w:iCs w:val="0"/>
          <w:snapToGrid w:val="0"/>
          <w:szCs w:val="24"/>
        </w:rPr>
        <w:t>9.3  对评标委员会成员的纪律要求</w:t>
      </w:r>
      <w:r>
        <w:rPr>
          <w:i w:val="0"/>
          <w:iCs w:val="0"/>
        </w:rPr>
        <w:tab/>
      </w:r>
      <w:r>
        <w:rPr>
          <w:i w:val="0"/>
          <w:iCs w:val="0"/>
        </w:rPr>
        <w:fldChar w:fldCharType="begin"/>
      </w:r>
      <w:r>
        <w:rPr>
          <w:i w:val="0"/>
          <w:iCs w:val="0"/>
        </w:rPr>
        <w:instrText xml:space="preserve"> PAGEREF _Toc19538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_Toc23023 </w:instrText>
      </w:r>
      <w:r>
        <w:rPr>
          <w:rFonts w:ascii="宋体" w:hAnsi="宋体"/>
          <w:bCs/>
          <w:i w:val="0"/>
          <w:iCs w:val="0"/>
          <w:szCs w:val="20"/>
          <w:lang w:val="zh-CN"/>
        </w:rPr>
        <w:fldChar w:fldCharType="separate"/>
      </w:r>
      <w:r>
        <w:rPr>
          <w:rFonts w:ascii="宋体" w:hAnsi="宋体"/>
          <w:i w:val="0"/>
          <w:iCs w:val="0"/>
          <w:snapToGrid w:val="0"/>
          <w:szCs w:val="24"/>
        </w:rPr>
        <w:t>9.4  对与评标活动有关的工作人员的纪律要求</w:t>
      </w:r>
      <w:r>
        <w:rPr>
          <w:i w:val="0"/>
          <w:iCs w:val="0"/>
        </w:rPr>
        <w:tab/>
      </w:r>
      <w:r>
        <w:rPr>
          <w:i w:val="0"/>
          <w:iCs w:val="0"/>
        </w:rPr>
        <w:fldChar w:fldCharType="begin"/>
      </w:r>
      <w:r>
        <w:rPr>
          <w:i w:val="0"/>
          <w:iCs w:val="0"/>
        </w:rPr>
        <w:instrText xml:space="preserve"> PAGEREF _Toc23023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_Toc31690 </w:instrText>
      </w:r>
      <w:r>
        <w:rPr>
          <w:rFonts w:ascii="宋体" w:hAnsi="宋体"/>
          <w:bCs/>
          <w:i w:val="0"/>
          <w:iCs w:val="0"/>
          <w:szCs w:val="20"/>
          <w:lang w:val="zh-CN"/>
        </w:rPr>
        <w:fldChar w:fldCharType="separate"/>
      </w:r>
      <w:r>
        <w:rPr>
          <w:rFonts w:ascii="宋体" w:hAnsi="宋体"/>
          <w:i w:val="0"/>
          <w:iCs w:val="0"/>
          <w:snapToGrid w:val="0"/>
          <w:szCs w:val="24"/>
        </w:rPr>
        <w:t>9.5  投诉</w:t>
      </w:r>
      <w:r>
        <w:rPr>
          <w:i w:val="0"/>
          <w:iCs w:val="0"/>
        </w:rPr>
        <w:tab/>
      </w:r>
      <w:r>
        <w:rPr>
          <w:i w:val="0"/>
          <w:iCs w:val="0"/>
        </w:rPr>
        <w:fldChar w:fldCharType="begin"/>
      </w:r>
      <w:r>
        <w:rPr>
          <w:i w:val="0"/>
          <w:iCs w:val="0"/>
        </w:rPr>
        <w:instrText xml:space="preserve"> PAGEREF _Toc31690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_Toc854 </w:instrText>
      </w:r>
      <w:r>
        <w:rPr>
          <w:rFonts w:ascii="宋体" w:hAnsi="宋体"/>
          <w:bCs/>
          <w:i w:val="0"/>
          <w:iCs w:val="0"/>
          <w:szCs w:val="20"/>
          <w:lang w:val="zh-CN"/>
        </w:rPr>
        <w:fldChar w:fldCharType="separate"/>
      </w:r>
      <w:r>
        <w:rPr>
          <w:rFonts w:ascii="宋体" w:hAnsi="宋体"/>
          <w:i w:val="0"/>
          <w:iCs w:val="0"/>
          <w:snapToGrid w:val="0"/>
        </w:rPr>
        <w:t>10. 需要补充的其他内容</w:t>
      </w:r>
      <w:r>
        <w:rPr>
          <w:i w:val="0"/>
          <w:iCs w:val="0"/>
        </w:rPr>
        <w:tab/>
      </w:r>
      <w:r>
        <w:rPr>
          <w:i w:val="0"/>
          <w:iCs w:val="0"/>
        </w:rPr>
        <w:fldChar w:fldCharType="begin"/>
      </w:r>
      <w:r>
        <w:rPr>
          <w:i w:val="0"/>
          <w:iCs w:val="0"/>
        </w:rPr>
        <w:instrText xml:space="preserve"> PAGEREF _Toc854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_Toc32208 </w:instrText>
      </w:r>
      <w:r>
        <w:rPr>
          <w:rFonts w:ascii="宋体" w:hAnsi="宋体"/>
          <w:bCs/>
          <w:i w:val="0"/>
          <w:iCs w:val="0"/>
          <w:szCs w:val="20"/>
          <w:lang w:val="zh-CN"/>
        </w:rPr>
        <w:fldChar w:fldCharType="separate"/>
      </w:r>
      <w:r>
        <w:rPr>
          <w:rFonts w:ascii="宋体" w:hAnsi="宋体"/>
          <w:i w:val="0"/>
          <w:iCs w:val="0"/>
          <w:snapToGrid w:val="0"/>
          <w:kern w:val="0"/>
        </w:rPr>
        <w:t xml:space="preserve">第三章 </w:t>
      </w:r>
      <w:r>
        <w:rPr>
          <w:rFonts w:hint="eastAsia" w:ascii="宋体" w:hAnsi="宋体"/>
          <w:i w:val="0"/>
          <w:iCs w:val="0"/>
          <w:snapToGrid w:val="0"/>
          <w:kern w:val="0"/>
        </w:rPr>
        <w:t xml:space="preserve"> </w:t>
      </w:r>
      <w:r>
        <w:rPr>
          <w:rFonts w:ascii="宋体" w:hAnsi="宋体"/>
          <w:i w:val="0"/>
          <w:iCs w:val="0"/>
          <w:snapToGrid w:val="0"/>
          <w:kern w:val="0"/>
        </w:rPr>
        <w:t>评标办法（</w:t>
      </w:r>
      <w:r>
        <w:rPr>
          <w:rFonts w:hint="eastAsia" w:ascii="宋体" w:hAnsi="宋体"/>
          <w:i w:val="0"/>
          <w:iCs w:val="0"/>
          <w:snapToGrid w:val="0"/>
          <w:kern w:val="0"/>
        </w:rPr>
        <w:t>经评审的最低投标价法</w:t>
      </w:r>
      <w:r>
        <w:rPr>
          <w:rFonts w:ascii="宋体" w:hAnsi="宋体"/>
          <w:i w:val="0"/>
          <w:iCs w:val="0"/>
          <w:snapToGrid w:val="0"/>
          <w:kern w:val="0"/>
        </w:rPr>
        <w:t>）</w:t>
      </w:r>
      <w:r>
        <w:rPr>
          <w:i w:val="0"/>
          <w:iCs w:val="0"/>
        </w:rPr>
        <w:tab/>
      </w:r>
      <w:r>
        <w:rPr>
          <w:i w:val="0"/>
          <w:iCs w:val="0"/>
        </w:rPr>
        <w:fldChar w:fldCharType="begin"/>
      </w:r>
      <w:r>
        <w:rPr>
          <w:i w:val="0"/>
          <w:iCs w:val="0"/>
        </w:rPr>
        <w:instrText xml:space="preserve"> PAGEREF _Toc32208 \h </w:instrText>
      </w:r>
      <w:r>
        <w:rPr>
          <w:i w:val="0"/>
          <w:iCs w:val="0"/>
        </w:rPr>
        <w:fldChar w:fldCharType="separate"/>
      </w:r>
      <w:r>
        <w:rPr>
          <w:i w:val="0"/>
          <w:iCs w:val="0"/>
        </w:rPr>
        <w:t>53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_Toc4536 </w:instrText>
      </w:r>
      <w:r>
        <w:rPr>
          <w:rFonts w:ascii="宋体" w:hAnsi="宋体"/>
          <w:bCs/>
          <w:i w:val="0"/>
          <w:iCs w:val="0"/>
          <w:szCs w:val="20"/>
          <w:lang w:val="zh-CN"/>
        </w:rPr>
        <w:fldChar w:fldCharType="separate"/>
      </w:r>
      <w:r>
        <w:rPr>
          <w:rFonts w:hint="eastAsia" w:ascii="宋体" w:hAnsi="宋体"/>
          <w:i w:val="0"/>
          <w:iCs w:val="0"/>
          <w:szCs w:val="32"/>
        </w:rPr>
        <w:t>评标办法前附表</w:t>
      </w:r>
      <w:r>
        <w:rPr>
          <w:i w:val="0"/>
          <w:iCs w:val="0"/>
        </w:rPr>
        <w:tab/>
      </w:r>
      <w:r>
        <w:rPr>
          <w:i w:val="0"/>
          <w:iCs w:val="0"/>
        </w:rPr>
        <w:fldChar w:fldCharType="begin"/>
      </w:r>
      <w:r>
        <w:rPr>
          <w:i w:val="0"/>
          <w:iCs w:val="0"/>
        </w:rPr>
        <w:instrText xml:space="preserve"> PAGEREF _Toc4536 \h </w:instrText>
      </w:r>
      <w:r>
        <w:rPr>
          <w:i w:val="0"/>
          <w:iCs w:val="0"/>
        </w:rPr>
        <w:fldChar w:fldCharType="separate"/>
      </w:r>
      <w:r>
        <w:rPr>
          <w:i w:val="0"/>
          <w:iCs w:val="0"/>
        </w:rPr>
        <w:t>53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_Toc26605 </w:instrText>
      </w:r>
      <w:r>
        <w:rPr>
          <w:rFonts w:ascii="宋体" w:hAnsi="宋体"/>
          <w:bCs/>
          <w:i w:val="0"/>
          <w:iCs w:val="0"/>
          <w:szCs w:val="20"/>
          <w:lang w:val="zh-CN"/>
        </w:rPr>
        <w:fldChar w:fldCharType="separate"/>
      </w:r>
      <w:r>
        <w:rPr>
          <w:rFonts w:ascii="宋体" w:hAnsi="宋体"/>
          <w:i w:val="0"/>
          <w:iCs w:val="0"/>
          <w:snapToGrid w:val="0"/>
        </w:rPr>
        <w:t>1.  评标方法</w:t>
      </w:r>
      <w:r>
        <w:rPr>
          <w:i w:val="0"/>
          <w:iCs w:val="0"/>
        </w:rPr>
        <w:tab/>
      </w:r>
      <w:r>
        <w:rPr>
          <w:i w:val="0"/>
          <w:iCs w:val="0"/>
        </w:rPr>
        <w:fldChar w:fldCharType="begin"/>
      </w:r>
      <w:r>
        <w:rPr>
          <w:i w:val="0"/>
          <w:iCs w:val="0"/>
        </w:rPr>
        <w:instrText xml:space="preserve"> PAGEREF _Toc26605 \h </w:instrText>
      </w:r>
      <w:r>
        <w:rPr>
          <w:i w:val="0"/>
          <w:iCs w:val="0"/>
        </w:rPr>
        <w:fldChar w:fldCharType="separate"/>
      </w:r>
      <w:r>
        <w:rPr>
          <w:i w:val="0"/>
          <w:iCs w:val="0"/>
        </w:rPr>
        <w:t>58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_Toc7094 </w:instrText>
      </w:r>
      <w:r>
        <w:rPr>
          <w:rFonts w:ascii="宋体" w:hAnsi="宋体"/>
          <w:bCs/>
          <w:i w:val="0"/>
          <w:iCs w:val="0"/>
          <w:szCs w:val="20"/>
          <w:lang w:val="zh-CN"/>
        </w:rPr>
        <w:fldChar w:fldCharType="separate"/>
      </w:r>
      <w:r>
        <w:rPr>
          <w:rFonts w:ascii="宋体" w:hAnsi="宋体"/>
          <w:i w:val="0"/>
          <w:iCs w:val="0"/>
          <w:snapToGrid w:val="0"/>
        </w:rPr>
        <w:t>2.  评审标准</w:t>
      </w:r>
      <w:r>
        <w:rPr>
          <w:i w:val="0"/>
          <w:iCs w:val="0"/>
        </w:rPr>
        <w:tab/>
      </w:r>
      <w:r>
        <w:rPr>
          <w:i w:val="0"/>
          <w:iCs w:val="0"/>
        </w:rPr>
        <w:fldChar w:fldCharType="begin"/>
      </w:r>
      <w:r>
        <w:rPr>
          <w:i w:val="0"/>
          <w:iCs w:val="0"/>
        </w:rPr>
        <w:instrText xml:space="preserve"> PAGEREF _Toc7094 \h </w:instrText>
      </w:r>
      <w:r>
        <w:rPr>
          <w:i w:val="0"/>
          <w:iCs w:val="0"/>
        </w:rPr>
        <w:fldChar w:fldCharType="separate"/>
      </w:r>
      <w:r>
        <w:rPr>
          <w:i w:val="0"/>
          <w:iCs w:val="0"/>
        </w:rPr>
        <w:t>58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_Toc22673 </w:instrText>
      </w:r>
      <w:r>
        <w:rPr>
          <w:rFonts w:ascii="宋体" w:hAnsi="宋体"/>
          <w:bCs/>
          <w:i w:val="0"/>
          <w:iCs w:val="0"/>
          <w:szCs w:val="20"/>
          <w:lang w:val="zh-CN"/>
        </w:rPr>
        <w:fldChar w:fldCharType="separate"/>
      </w:r>
      <w:r>
        <w:rPr>
          <w:rFonts w:ascii="宋体" w:hAnsi="宋体" w:cs="宋体"/>
          <w:i w:val="0"/>
          <w:iCs w:val="0"/>
          <w:szCs w:val="21"/>
        </w:rPr>
        <w:t>2.1</w:t>
      </w:r>
      <w:r>
        <w:rPr>
          <w:rFonts w:hint="eastAsia" w:ascii="宋体" w:hAnsi="宋体" w:cs="宋体"/>
          <w:i w:val="0"/>
          <w:iCs w:val="0"/>
          <w:szCs w:val="21"/>
        </w:rPr>
        <w:t>报价</w:t>
      </w:r>
      <w:r>
        <w:rPr>
          <w:rFonts w:ascii="宋体" w:hAnsi="宋体" w:cs="宋体"/>
          <w:i w:val="0"/>
          <w:iCs w:val="0"/>
          <w:szCs w:val="21"/>
        </w:rPr>
        <w:t>排序</w:t>
      </w:r>
      <w:r>
        <w:rPr>
          <w:rFonts w:hint="eastAsia" w:ascii="宋体" w:hAnsi="宋体" w:cs="宋体"/>
          <w:i w:val="0"/>
          <w:iCs w:val="0"/>
          <w:szCs w:val="21"/>
        </w:rPr>
        <w:t>标准</w:t>
      </w:r>
      <w:r>
        <w:rPr>
          <w:i w:val="0"/>
          <w:iCs w:val="0"/>
        </w:rPr>
        <w:tab/>
      </w:r>
      <w:r>
        <w:rPr>
          <w:i w:val="0"/>
          <w:iCs w:val="0"/>
        </w:rPr>
        <w:fldChar w:fldCharType="begin"/>
      </w:r>
      <w:r>
        <w:rPr>
          <w:i w:val="0"/>
          <w:iCs w:val="0"/>
        </w:rPr>
        <w:instrText xml:space="preserve"> PAGEREF _Toc22673 \h </w:instrText>
      </w:r>
      <w:r>
        <w:rPr>
          <w:i w:val="0"/>
          <w:iCs w:val="0"/>
        </w:rPr>
        <w:fldChar w:fldCharType="separate"/>
      </w:r>
      <w:r>
        <w:rPr>
          <w:i w:val="0"/>
          <w:iCs w:val="0"/>
        </w:rPr>
        <w:t>58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_Toc26376 </w:instrText>
      </w:r>
      <w:r>
        <w:rPr>
          <w:rFonts w:ascii="宋体" w:hAnsi="宋体"/>
          <w:bCs/>
          <w:i w:val="0"/>
          <w:iCs w:val="0"/>
          <w:szCs w:val="20"/>
          <w:lang w:val="zh-CN"/>
        </w:rPr>
        <w:fldChar w:fldCharType="separate"/>
      </w:r>
      <w:r>
        <w:rPr>
          <w:rFonts w:ascii="宋体" w:hAnsi="宋体" w:cs="宋体"/>
          <w:i w:val="0"/>
          <w:iCs w:val="0"/>
          <w:szCs w:val="21"/>
        </w:rPr>
        <w:t>2.</w:t>
      </w:r>
      <w:r>
        <w:rPr>
          <w:rFonts w:hint="eastAsia" w:ascii="宋体" w:hAnsi="宋体" w:cs="宋体"/>
          <w:i w:val="0"/>
          <w:iCs w:val="0"/>
          <w:szCs w:val="21"/>
        </w:rPr>
        <w:t>2符合性审查标准</w:t>
      </w:r>
      <w:r>
        <w:rPr>
          <w:i w:val="0"/>
          <w:iCs w:val="0"/>
        </w:rPr>
        <w:tab/>
      </w:r>
      <w:r>
        <w:rPr>
          <w:i w:val="0"/>
          <w:iCs w:val="0"/>
        </w:rPr>
        <w:fldChar w:fldCharType="begin"/>
      </w:r>
      <w:r>
        <w:rPr>
          <w:i w:val="0"/>
          <w:iCs w:val="0"/>
        </w:rPr>
        <w:instrText xml:space="preserve"> PAGEREF _Toc26376 \h </w:instrText>
      </w:r>
      <w:r>
        <w:rPr>
          <w:i w:val="0"/>
          <w:iCs w:val="0"/>
        </w:rPr>
        <w:fldChar w:fldCharType="separate"/>
      </w:r>
      <w:r>
        <w:rPr>
          <w:i w:val="0"/>
          <w:iCs w:val="0"/>
        </w:rPr>
        <w:t>58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_Toc17272 </w:instrText>
      </w:r>
      <w:r>
        <w:rPr>
          <w:rFonts w:ascii="宋体" w:hAnsi="宋体"/>
          <w:bCs/>
          <w:i w:val="0"/>
          <w:iCs w:val="0"/>
          <w:szCs w:val="20"/>
          <w:lang w:val="zh-CN"/>
        </w:rPr>
        <w:fldChar w:fldCharType="separate"/>
      </w:r>
      <w:r>
        <w:rPr>
          <w:rFonts w:ascii="宋体" w:hAnsi="宋体"/>
          <w:i w:val="0"/>
          <w:iCs w:val="0"/>
          <w:snapToGrid w:val="0"/>
        </w:rPr>
        <w:t>3.  评标程序</w:t>
      </w:r>
      <w:r>
        <w:rPr>
          <w:i w:val="0"/>
          <w:iCs w:val="0"/>
        </w:rPr>
        <w:tab/>
      </w:r>
      <w:r>
        <w:rPr>
          <w:i w:val="0"/>
          <w:iCs w:val="0"/>
        </w:rPr>
        <w:fldChar w:fldCharType="begin"/>
      </w:r>
      <w:r>
        <w:rPr>
          <w:i w:val="0"/>
          <w:iCs w:val="0"/>
        </w:rPr>
        <w:instrText xml:space="preserve"> PAGEREF _Toc17272 \h </w:instrText>
      </w:r>
      <w:r>
        <w:rPr>
          <w:i w:val="0"/>
          <w:iCs w:val="0"/>
        </w:rPr>
        <w:fldChar w:fldCharType="separate"/>
      </w:r>
      <w:r>
        <w:rPr>
          <w:i w:val="0"/>
          <w:iCs w:val="0"/>
        </w:rPr>
        <w:t>58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_Toc20953 </w:instrText>
      </w:r>
      <w:r>
        <w:rPr>
          <w:rFonts w:ascii="宋体" w:hAnsi="宋体"/>
          <w:bCs/>
          <w:i w:val="0"/>
          <w:iCs w:val="0"/>
          <w:szCs w:val="20"/>
          <w:lang w:val="zh-CN"/>
        </w:rPr>
        <w:fldChar w:fldCharType="separate"/>
      </w:r>
      <w:r>
        <w:rPr>
          <w:rFonts w:ascii="宋体" w:hAnsi="宋体" w:cs="宋体"/>
          <w:i w:val="0"/>
          <w:iCs w:val="0"/>
          <w:szCs w:val="21"/>
        </w:rPr>
        <w:t>3.1</w:t>
      </w:r>
      <w:r>
        <w:rPr>
          <w:rFonts w:hint="eastAsia" w:ascii="宋体" w:hAnsi="宋体" w:cs="宋体"/>
          <w:i w:val="0"/>
          <w:iCs w:val="0"/>
          <w:szCs w:val="21"/>
        </w:rPr>
        <w:t>报价排序</w:t>
      </w:r>
      <w:r>
        <w:rPr>
          <w:i w:val="0"/>
          <w:iCs w:val="0"/>
        </w:rPr>
        <w:tab/>
      </w:r>
      <w:r>
        <w:rPr>
          <w:i w:val="0"/>
          <w:iCs w:val="0"/>
        </w:rPr>
        <w:fldChar w:fldCharType="begin"/>
      </w:r>
      <w:r>
        <w:rPr>
          <w:i w:val="0"/>
          <w:iCs w:val="0"/>
        </w:rPr>
        <w:instrText xml:space="preserve"> PAGEREF _Toc20953 \h </w:instrText>
      </w:r>
      <w:r>
        <w:rPr>
          <w:i w:val="0"/>
          <w:iCs w:val="0"/>
        </w:rPr>
        <w:fldChar w:fldCharType="separate"/>
      </w:r>
      <w:r>
        <w:rPr>
          <w:i w:val="0"/>
          <w:iCs w:val="0"/>
        </w:rPr>
        <w:t>58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_Toc18965 </w:instrText>
      </w:r>
      <w:r>
        <w:rPr>
          <w:rFonts w:ascii="宋体" w:hAnsi="宋体"/>
          <w:bCs/>
          <w:i w:val="0"/>
          <w:iCs w:val="0"/>
          <w:szCs w:val="20"/>
          <w:lang w:val="zh-CN"/>
        </w:rPr>
        <w:fldChar w:fldCharType="separate"/>
      </w:r>
      <w:r>
        <w:rPr>
          <w:rFonts w:ascii="宋体" w:hAnsi="宋体" w:cs="宋体"/>
          <w:i w:val="0"/>
          <w:iCs w:val="0"/>
          <w:szCs w:val="21"/>
        </w:rPr>
        <w:t>3.</w:t>
      </w:r>
      <w:r>
        <w:rPr>
          <w:rFonts w:hint="eastAsia" w:ascii="宋体" w:hAnsi="宋体" w:cs="宋体"/>
          <w:i w:val="0"/>
          <w:iCs w:val="0"/>
          <w:szCs w:val="21"/>
        </w:rPr>
        <w:t>2符合性审查</w:t>
      </w:r>
      <w:r>
        <w:rPr>
          <w:i w:val="0"/>
          <w:iCs w:val="0"/>
        </w:rPr>
        <w:tab/>
      </w:r>
      <w:r>
        <w:rPr>
          <w:i w:val="0"/>
          <w:iCs w:val="0"/>
        </w:rPr>
        <w:fldChar w:fldCharType="begin"/>
      </w:r>
      <w:r>
        <w:rPr>
          <w:i w:val="0"/>
          <w:iCs w:val="0"/>
        </w:rPr>
        <w:instrText xml:space="preserve"> PAGEREF _Toc18965 \h </w:instrText>
      </w:r>
      <w:r>
        <w:rPr>
          <w:i w:val="0"/>
          <w:iCs w:val="0"/>
        </w:rPr>
        <w:fldChar w:fldCharType="separate"/>
      </w:r>
      <w:r>
        <w:rPr>
          <w:i w:val="0"/>
          <w:iCs w:val="0"/>
        </w:rPr>
        <w:t>58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_Toc3065 </w:instrText>
      </w:r>
      <w:r>
        <w:rPr>
          <w:rFonts w:ascii="宋体" w:hAnsi="宋体"/>
          <w:bCs/>
          <w:i w:val="0"/>
          <w:iCs w:val="0"/>
          <w:szCs w:val="20"/>
          <w:lang w:val="zh-CN"/>
        </w:rPr>
        <w:fldChar w:fldCharType="separate"/>
      </w:r>
      <w:r>
        <w:rPr>
          <w:rFonts w:ascii="宋体" w:hAnsi="宋体" w:cs="宋体"/>
          <w:i w:val="0"/>
          <w:iCs w:val="0"/>
          <w:szCs w:val="21"/>
        </w:rPr>
        <w:t>3.</w:t>
      </w:r>
      <w:r>
        <w:rPr>
          <w:rFonts w:hint="eastAsia" w:ascii="宋体" w:hAnsi="宋体" w:cs="宋体"/>
          <w:i w:val="0"/>
          <w:iCs w:val="0"/>
          <w:szCs w:val="21"/>
        </w:rPr>
        <w:t>3</w:t>
      </w:r>
      <w:r>
        <w:rPr>
          <w:rFonts w:ascii="宋体" w:hAnsi="宋体" w:cs="宋体"/>
          <w:i w:val="0"/>
          <w:iCs w:val="0"/>
          <w:szCs w:val="21"/>
        </w:rPr>
        <w:t xml:space="preserve"> </w:t>
      </w:r>
      <w:r>
        <w:rPr>
          <w:rFonts w:hint="eastAsia" w:ascii="宋体" w:hAnsi="宋体" w:cs="宋体"/>
          <w:i w:val="0"/>
          <w:iCs w:val="0"/>
          <w:szCs w:val="21"/>
        </w:rPr>
        <w:t>投标文件的澄清和补正</w:t>
      </w:r>
      <w:r>
        <w:rPr>
          <w:i w:val="0"/>
          <w:iCs w:val="0"/>
        </w:rPr>
        <w:tab/>
      </w:r>
      <w:r>
        <w:rPr>
          <w:i w:val="0"/>
          <w:iCs w:val="0"/>
        </w:rPr>
        <w:fldChar w:fldCharType="begin"/>
      </w:r>
      <w:r>
        <w:rPr>
          <w:i w:val="0"/>
          <w:iCs w:val="0"/>
        </w:rPr>
        <w:instrText xml:space="preserve"> PAGEREF _Toc3065 \h </w:instrText>
      </w:r>
      <w:r>
        <w:rPr>
          <w:i w:val="0"/>
          <w:iCs w:val="0"/>
        </w:rPr>
        <w:fldChar w:fldCharType="separate"/>
      </w:r>
      <w:r>
        <w:rPr>
          <w:i w:val="0"/>
          <w:iCs w:val="0"/>
        </w:rPr>
        <w:t>59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_Toc18550 </w:instrText>
      </w:r>
      <w:r>
        <w:rPr>
          <w:rFonts w:ascii="宋体" w:hAnsi="宋体"/>
          <w:bCs/>
          <w:i w:val="0"/>
          <w:iCs w:val="0"/>
          <w:szCs w:val="20"/>
          <w:lang w:val="zh-CN"/>
        </w:rPr>
        <w:fldChar w:fldCharType="separate"/>
      </w:r>
      <w:r>
        <w:rPr>
          <w:rFonts w:ascii="宋体" w:hAnsi="宋体" w:cs="宋体"/>
          <w:i w:val="0"/>
          <w:iCs w:val="0"/>
          <w:szCs w:val="21"/>
        </w:rPr>
        <w:t>3.</w:t>
      </w:r>
      <w:r>
        <w:rPr>
          <w:rFonts w:hint="eastAsia" w:ascii="宋体" w:hAnsi="宋体" w:cs="宋体"/>
          <w:i w:val="0"/>
          <w:iCs w:val="0"/>
          <w:szCs w:val="21"/>
        </w:rPr>
        <w:t>4</w:t>
      </w:r>
      <w:r>
        <w:rPr>
          <w:rFonts w:ascii="宋体" w:hAnsi="宋体" w:cs="宋体"/>
          <w:i w:val="0"/>
          <w:iCs w:val="0"/>
          <w:szCs w:val="21"/>
        </w:rPr>
        <w:t xml:space="preserve"> </w:t>
      </w:r>
      <w:r>
        <w:rPr>
          <w:rFonts w:hint="eastAsia" w:ascii="宋体" w:hAnsi="宋体" w:cs="宋体"/>
          <w:i w:val="0"/>
          <w:iCs w:val="0"/>
          <w:szCs w:val="21"/>
        </w:rPr>
        <w:t>评标结果</w:t>
      </w:r>
      <w:r>
        <w:rPr>
          <w:i w:val="0"/>
          <w:iCs w:val="0"/>
        </w:rPr>
        <w:tab/>
      </w:r>
      <w:r>
        <w:rPr>
          <w:i w:val="0"/>
          <w:iCs w:val="0"/>
        </w:rPr>
        <w:fldChar w:fldCharType="begin"/>
      </w:r>
      <w:r>
        <w:rPr>
          <w:i w:val="0"/>
          <w:iCs w:val="0"/>
        </w:rPr>
        <w:instrText xml:space="preserve"> PAGEREF _Toc18550 \h </w:instrText>
      </w:r>
      <w:r>
        <w:rPr>
          <w:i w:val="0"/>
          <w:iCs w:val="0"/>
        </w:rPr>
        <w:fldChar w:fldCharType="separate"/>
      </w:r>
      <w:r>
        <w:rPr>
          <w:i w:val="0"/>
          <w:iCs w:val="0"/>
        </w:rPr>
        <w:t>59</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_Toc18101 </w:instrText>
      </w:r>
      <w:r>
        <w:rPr>
          <w:rFonts w:ascii="宋体" w:hAnsi="宋体"/>
          <w:bCs/>
          <w:i w:val="0"/>
          <w:iCs w:val="0"/>
          <w:szCs w:val="20"/>
          <w:lang w:val="zh-CN"/>
        </w:rPr>
        <w:fldChar w:fldCharType="separate"/>
      </w:r>
      <w:r>
        <w:rPr>
          <w:rFonts w:ascii="宋体" w:hAnsi="宋体"/>
          <w:i w:val="0"/>
          <w:iCs w:val="0"/>
        </w:rPr>
        <w:t xml:space="preserve">第三章 </w:t>
      </w:r>
      <w:r>
        <w:rPr>
          <w:rFonts w:hint="eastAsia" w:ascii="宋体" w:hAnsi="宋体"/>
          <w:i w:val="0"/>
          <w:iCs w:val="0"/>
        </w:rPr>
        <w:t xml:space="preserve"> </w:t>
      </w:r>
      <w:r>
        <w:rPr>
          <w:rFonts w:ascii="宋体" w:hAnsi="宋体"/>
          <w:i w:val="0"/>
          <w:iCs w:val="0"/>
        </w:rPr>
        <w:t>评标办法（综合评估法）</w:t>
      </w:r>
      <w:r>
        <w:rPr>
          <w:i w:val="0"/>
          <w:iCs w:val="0"/>
        </w:rPr>
        <w:tab/>
      </w:r>
      <w:r>
        <w:rPr>
          <w:i w:val="0"/>
          <w:iCs w:val="0"/>
        </w:rPr>
        <w:fldChar w:fldCharType="begin"/>
      </w:r>
      <w:r>
        <w:rPr>
          <w:i w:val="0"/>
          <w:iCs w:val="0"/>
        </w:rPr>
        <w:instrText xml:space="preserve"> PAGEREF _Toc18101 \h </w:instrText>
      </w:r>
      <w:r>
        <w:rPr>
          <w:i w:val="0"/>
          <w:iCs w:val="0"/>
        </w:rPr>
        <w:fldChar w:fldCharType="separate"/>
      </w:r>
      <w:r>
        <w:rPr>
          <w:i w:val="0"/>
          <w:iCs w:val="0"/>
        </w:rPr>
        <w:t>64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_Toc16967 </w:instrText>
      </w:r>
      <w:r>
        <w:rPr>
          <w:rFonts w:ascii="宋体" w:hAnsi="宋体"/>
          <w:bCs/>
          <w:i w:val="0"/>
          <w:iCs w:val="0"/>
          <w:szCs w:val="20"/>
          <w:lang w:val="zh-CN"/>
        </w:rPr>
        <w:fldChar w:fldCharType="separate"/>
      </w:r>
      <w:r>
        <w:rPr>
          <w:rFonts w:hint="eastAsia" w:ascii="宋体" w:hAnsi="宋体"/>
          <w:i w:val="0"/>
          <w:iCs w:val="0"/>
        </w:rPr>
        <w:t>评标办法前附表</w:t>
      </w:r>
      <w:r>
        <w:rPr>
          <w:i w:val="0"/>
          <w:iCs w:val="0"/>
        </w:rPr>
        <w:tab/>
      </w:r>
      <w:r>
        <w:rPr>
          <w:i w:val="0"/>
          <w:iCs w:val="0"/>
        </w:rPr>
        <w:fldChar w:fldCharType="begin"/>
      </w:r>
      <w:r>
        <w:rPr>
          <w:i w:val="0"/>
          <w:iCs w:val="0"/>
        </w:rPr>
        <w:instrText xml:space="preserve"> PAGEREF _Toc16967 \h </w:instrText>
      </w:r>
      <w:r>
        <w:rPr>
          <w:i w:val="0"/>
          <w:iCs w:val="0"/>
        </w:rPr>
        <w:fldChar w:fldCharType="separate"/>
      </w:r>
      <w:r>
        <w:rPr>
          <w:i w:val="0"/>
          <w:iCs w:val="0"/>
        </w:rPr>
        <w:t>64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_Toc30803 </w:instrText>
      </w:r>
      <w:r>
        <w:rPr>
          <w:rFonts w:ascii="宋体" w:hAnsi="宋体"/>
          <w:bCs/>
          <w:i w:val="0"/>
          <w:iCs w:val="0"/>
          <w:szCs w:val="20"/>
          <w:lang w:val="zh-CN"/>
        </w:rPr>
        <w:fldChar w:fldCharType="separate"/>
      </w:r>
      <w:r>
        <w:rPr>
          <w:rFonts w:ascii="宋体" w:hAnsi="宋体"/>
          <w:i w:val="0"/>
          <w:iCs w:val="0"/>
          <w:snapToGrid w:val="0"/>
        </w:rPr>
        <w:t>1.  评标方法</w:t>
      </w:r>
      <w:r>
        <w:rPr>
          <w:i w:val="0"/>
          <w:iCs w:val="0"/>
        </w:rPr>
        <w:tab/>
      </w:r>
      <w:r>
        <w:rPr>
          <w:i w:val="0"/>
          <w:iCs w:val="0"/>
        </w:rPr>
        <w:fldChar w:fldCharType="begin"/>
      </w:r>
      <w:r>
        <w:rPr>
          <w:i w:val="0"/>
          <w:iCs w:val="0"/>
        </w:rPr>
        <w:instrText xml:space="preserve"> PAGEREF _Toc30803 \h </w:instrText>
      </w:r>
      <w:r>
        <w:rPr>
          <w:i w:val="0"/>
          <w:iCs w:val="0"/>
        </w:rPr>
        <w:fldChar w:fldCharType="separate"/>
      </w:r>
      <w:r>
        <w:rPr>
          <w:i w:val="0"/>
          <w:iCs w:val="0"/>
        </w:rPr>
        <w:t>73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_Toc30934 </w:instrText>
      </w:r>
      <w:r>
        <w:rPr>
          <w:rFonts w:ascii="宋体" w:hAnsi="宋体"/>
          <w:bCs/>
          <w:i w:val="0"/>
          <w:iCs w:val="0"/>
          <w:szCs w:val="20"/>
          <w:lang w:val="zh-CN"/>
        </w:rPr>
        <w:fldChar w:fldCharType="separate"/>
      </w:r>
      <w:r>
        <w:rPr>
          <w:rFonts w:ascii="宋体" w:hAnsi="宋体"/>
          <w:i w:val="0"/>
          <w:iCs w:val="0"/>
          <w:snapToGrid w:val="0"/>
        </w:rPr>
        <w:t>2.  评审标准</w:t>
      </w:r>
      <w:r>
        <w:rPr>
          <w:i w:val="0"/>
          <w:iCs w:val="0"/>
        </w:rPr>
        <w:tab/>
      </w:r>
      <w:r>
        <w:rPr>
          <w:i w:val="0"/>
          <w:iCs w:val="0"/>
        </w:rPr>
        <w:fldChar w:fldCharType="begin"/>
      </w:r>
      <w:r>
        <w:rPr>
          <w:i w:val="0"/>
          <w:iCs w:val="0"/>
        </w:rPr>
        <w:instrText xml:space="preserve"> PAGEREF _Toc30934 \h </w:instrText>
      </w:r>
      <w:r>
        <w:rPr>
          <w:i w:val="0"/>
          <w:iCs w:val="0"/>
        </w:rPr>
        <w:fldChar w:fldCharType="separate"/>
      </w:r>
      <w:r>
        <w:rPr>
          <w:i w:val="0"/>
          <w:iCs w:val="0"/>
        </w:rPr>
        <w:t>73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_Toc30852 </w:instrText>
      </w:r>
      <w:r>
        <w:rPr>
          <w:rFonts w:ascii="宋体" w:hAnsi="宋体"/>
          <w:bCs/>
          <w:i w:val="0"/>
          <w:iCs w:val="0"/>
          <w:szCs w:val="20"/>
          <w:lang w:val="zh-CN"/>
        </w:rPr>
        <w:fldChar w:fldCharType="separate"/>
      </w:r>
      <w:r>
        <w:rPr>
          <w:rFonts w:ascii="宋体" w:hAnsi="宋体"/>
          <w:i w:val="0"/>
          <w:iCs w:val="0"/>
          <w:snapToGrid w:val="0"/>
          <w:szCs w:val="24"/>
        </w:rPr>
        <w:t>2.1  初步评审标准</w:t>
      </w:r>
      <w:r>
        <w:rPr>
          <w:i w:val="0"/>
          <w:iCs w:val="0"/>
        </w:rPr>
        <w:tab/>
      </w:r>
      <w:r>
        <w:rPr>
          <w:i w:val="0"/>
          <w:iCs w:val="0"/>
        </w:rPr>
        <w:fldChar w:fldCharType="begin"/>
      </w:r>
      <w:r>
        <w:rPr>
          <w:i w:val="0"/>
          <w:iCs w:val="0"/>
        </w:rPr>
        <w:instrText xml:space="preserve"> PAGEREF _Toc30852 \h </w:instrText>
      </w:r>
      <w:r>
        <w:rPr>
          <w:i w:val="0"/>
          <w:iCs w:val="0"/>
        </w:rPr>
        <w:fldChar w:fldCharType="separate"/>
      </w:r>
      <w:r>
        <w:rPr>
          <w:i w:val="0"/>
          <w:iCs w:val="0"/>
        </w:rPr>
        <w:t>73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_Toc31303 </w:instrText>
      </w:r>
      <w:r>
        <w:rPr>
          <w:rFonts w:ascii="宋体" w:hAnsi="宋体"/>
          <w:bCs/>
          <w:i w:val="0"/>
          <w:iCs w:val="0"/>
          <w:szCs w:val="20"/>
          <w:lang w:val="zh-CN"/>
        </w:rPr>
        <w:fldChar w:fldCharType="separate"/>
      </w:r>
      <w:r>
        <w:rPr>
          <w:rFonts w:ascii="宋体" w:hAnsi="宋体"/>
          <w:i w:val="0"/>
          <w:iCs w:val="0"/>
          <w:snapToGrid w:val="0"/>
          <w:szCs w:val="24"/>
        </w:rPr>
        <w:t>2.2  分值构成与评分标准</w:t>
      </w:r>
      <w:r>
        <w:rPr>
          <w:i w:val="0"/>
          <w:iCs w:val="0"/>
        </w:rPr>
        <w:tab/>
      </w:r>
      <w:r>
        <w:rPr>
          <w:i w:val="0"/>
          <w:iCs w:val="0"/>
        </w:rPr>
        <w:fldChar w:fldCharType="begin"/>
      </w:r>
      <w:r>
        <w:rPr>
          <w:i w:val="0"/>
          <w:iCs w:val="0"/>
        </w:rPr>
        <w:instrText xml:space="preserve"> PAGEREF _Toc31303 \h </w:instrText>
      </w:r>
      <w:r>
        <w:rPr>
          <w:i w:val="0"/>
          <w:iCs w:val="0"/>
        </w:rPr>
        <w:fldChar w:fldCharType="separate"/>
      </w:r>
      <w:r>
        <w:rPr>
          <w:i w:val="0"/>
          <w:iCs w:val="0"/>
        </w:rPr>
        <w:t>73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_Toc9544 </w:instrText>
      </w:r>
      <w:r>
        <w:rPr>
          <w:rFonts w:ascii="宋体" w:hAnsi="宋体"/>
          <w:bCs/>
          <w:i w:val="0"/>
          <w:iCs w:val="0"/>
          <w:szCs w:val="20"/>
          <w:lang w:val="zh-CN"/>
        </w:rPr>
        <w:fldChar w:fldCharType="separate"/>
      </w:r>
      <w:r>
        <w:rPr>
          <w:rFonts w:ascii="宋体" w:hAnsi="宋体"/>
          <w:i w:val="0"/>
          <w:iCs w:val="0"/>
          <w:snapToGrid w:val="0"/>
        </w:rPr>
        <w:t>3.  评标程序</w:t>
      </w:r>
      <w:r>
        <w:rPr>
          <w:i w:val="0"/>
          <w:iCs w:val="0"/>
        </w:rPr>
        <w:tab/>
      </w:r>
      <w:r>
        <w:rPr>
          <w:i w:val="0"/>
          <w:iCs w:val="0"/>
        </w:rPr>
        <w:fldChar w:fldCharType="begin"/>
      </w:r>
      <w:r>
        <w:rPr>
          <w:i w:val="0"/>
          <w:iCs w:val="0"/>
        </w:rPr>
        <w:instrText xml:space="preserve"> PAGEREF _Toc9544 \h </w:instrText>
      </w:r>
      <w:r>
        <w:rPr>
          <w:i w:val="0"/>
          <w:iCs w:val="0"/>
        </w:rPr>
        <w:fldChar w:fldCharType="separate"/>
      </w:r>
      <w:r>
        <w:rPr>
          <w:i w:val="0"/>
          <w:iCs w:val="0"/>
        </w:rPr>
        <w:t>73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_Toc15193 </w:instrText>
      </w:r>
      <w:r>
        <w:rPr>
          <w:rFonts w:ascii="宋体" w:hAnsi="宋体"/>
          <w:bCs/>
          <w:i w:val="0"/>
          <w:iCs w:val="0"/>
          <w:szCs w:val="20"/>
          <w:lang w:val="zh-CN"/>
        </w:rPr>
        <w:fldChar w:fldCharType="separate"/>
      </w:r>
      <w:r>
        <w:rPr>
          <w:rFonts w:ascii="宋体" w:hAnsi="宋体"/>
          <w:i w:val="0"/>
          <w:iCs w:val="0"/>
          <w:snapToGrid w:val="0"/>
          <w:szCs w:val="24"/>
        </w:rPr>
        <w:t>3.1  初步评审</w:t>
      </w:r>
      <w:r>
        <w:rPr>
          <w:i w:val="0"/>
          <w:iCs w:val="0"/>
        </w:rPr>
        <w:tab/>
      </w:r>
      <w:r>
        <w:rPr>
          <w:i w:val="0"/>
          <w:iCs w:val="0"/>
        </w:rPr>
        <w:fldChar w:fldCharType="begin"/>
      </w:r>
      <w:r>
        <w:rPr>
          <w:i w:val="0"/>
          <w:iCs w:val="0"/>
        </w:rPr>
        <w:instrText xml:space="preserve"> PAGEREF _Toc15193 \h </w:instrText>
      </w:r>
      <w:r>
        <w:rPr>
          <w:i w:val="0"/>
          <w:iCs w:val="0"/>
        </w:rPr>
        <w:fldChar w:fldCharType="separate"/>
      </w:r>
      <w:r>
        <w:rPr>
          <w:i w:val="0"/>
          <w:iCs w:val="0"/>
        </w:rPr>
        <w:t>73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_Toc31770 </w:instrText>
      </w:r>
      <w:r>
        <w:rPr>
          <w:rFonts w:ascii="宋体" w:hAnsi="宋体"/>
          <w:bCs/>
          <w:i w:val="0"/>
          <w:iCs w:val="0"/>
          <w:szCs w:val="20"/>
          <w:lang w:val="zh-CN"/>
        </w:rPr>
        <w:fldChar w:fldCharType="separate"/>
      </w:r>
      <w:r>
        <w:rPr>
          <w:rFonts w:ascii="宋体" w:hAnsi="宋体"/>
          <w:i w:val="0"/>
          <w:iCs w:val="0"/>
          <w:snapToGrid w:val="0"/>
          <w:szCs w:val="24"/>
        </w:rPr>
        <w:t>3.2  详细评审</w:t>
      </w:r>
      <w:r>
        <w:rPr>
          <w:i w:val="0"/>
          <w:iCs w:val="0"/>
        </w:rPr>
        <w:tab/>
      </w:r>
      <w:r>
        <w:rPr>
          <w:i w:val="0"/>
          <w:iCs w:val="0"/>
        </w:rPr>
        <w:fldChar w:fldCharType="begin"/>
      </w:r>
      <w:r>
        <w:rPr>
          <w:i w:val="0"/>
          <w:iCs w:val="0"/>
        </w:rPr>
        <w:instrText xml:space="preserve"> PAGEREF _Toc31770 \h </w:instrText>
      </w:r>
      <w:r>
        <w:rPr>
          <w:i w:val="0"/>
          <w:iCs w:val="0"/>
        </w:rPr>
        <w:fldChar w:fldCharType="separate"/>
      </w:r>
      <w:r>
        <w:rPr>
          <w:i w:val="0"/>
          <w:iCs w:val="0"/>
        </w:rPr>
        <w:t>74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_Toc6252 </w:instrText>
      </w:r>
      <w:r>
        <w:rPr>
          <w:rFonts w:ascii="宋体" w:hAnsi="宋体"/>
          <w:bCs/>
          <w:i w:val="0"/>
          <w:iCs w:val="0"/>
          <w:szCs w:val="20"/>
          <w:lang w:val="zh-CN"/>
        </w:rPr>
        <w:fldChar w:fldCharType="separate"/>
      </w:r>
      <w:r>
        <w:rPr>
          <w:rFonts w:ascii="宋体" w:hAnsi="宋体"/>
          <w:i w:val="0"/>
          <w:iCs w:val="0"/>
          <w:snapToGrid w:val="0"/>
          <w:szCs w:val="24"/>
        </w:rPr>
        <w:t>3.3  投标文件的澄清和补正</w:t>
      </w:r>
      <w:r>
        <w:rPr>
          <w:i w:val="0"/>
          <w:iCs w:val="0"/>
        </w:rPr>
        <w:tab/>
      </w:r>
      <w:r>
        <w:rPr>
          <w:i w:val="0"/>
          <w:iCs w:val="0"/>
        </w:rPr>
        <w:fldChar w:fldCharType="begin"/>
      </w:r>
      <w:r>
        <w:rPr>
          <w:i w:val="0"/>
          <w:iCs w:val="0"/>
        </w:rPr>
        <w:instrText xml:space="preserve"> PAGEREF _Toc6252 \h </w:instrText>
      </w:r>
      <w:r>
        <w:rPr>
          <w:i w:val="0"/>
          <w:iCs w:val="0"/>
        </w:rPr>
        <w:fldChar w:fldCharType="separate"/>
      </w:r>
      <w:r>
        <w:rPr>
          <w:i w:val="0"/>
          <w:iCs w:val="0"/>
        </w:rPr>
        <w:t>74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_Toc12642 </w:instrText>
      </w:r>
      <w:r>
        <w:rPr>
          <w:rFonts w:ascii="宋体" w:hAnsi="宋体"/>
          <w:bCs/>
          <w:i w:val="0"/>
          <w:iCs w:val="0"/>
          <w:szCs w:val="20"/>
          <w:lang w:val="zh-CN"/>
        </w:rPr>
        <w:fldChar w:fldCharType="separate"/>
      </w:r>
      <w:r>
        <w:rPr>
          <w:rFonts w:ascii="宋体" w:hAnsi="宋体"/>
          <w:i w:val="0"/>
          <w:iCs w:val="0"/>
          <w:snapToGrid w:val="0"/>
          <w:szCs w:val="24"/>
        </w:rPr>
        <w:t>3.4  评标结果</w:t>
      </w:r>
      <w:r>
        <w:rPr>
          <w:i w:val="0"/>
          <w:iCs w:val="0"/>
        </w:rPr>
        <w:tab/>
      </w:r>
      <w:r>
        <w:rPr>
          <w:i w:val="0"/>
          <w:iCs w:val="0"/>
        </w:rPr>
        <w:fldChar w:fldCharType="begin"/>
      </w:r>
      <w:r>
        <w:rPr>
          <w:i w:val="0"/>
          <w:iCs w:val="0"/>
        </w:rPr>
        <w:instrText xml:space="preserve"> PAGEREF _Toc12642 \h </w:instrText>
      </w:r>
      <w:r>
        <w:rPr>
          <w:i w:val="0"/>
          <w:iCs w:val="0"/>
        </w:rPr>
        <w:fldChar w:fldCharType="separate"/>
      </w:r>
      <w:r>
        <w:rPr>
          <w:i w:val="0"/>
          <w:iCs w:val="0"/>
        </w:rPr>
        <w:t>74</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_Toc16302 </w:instrText>
      </w:r>
      <w:r>
        <w:rPr>
          <w:rFonts w:ascii="宋体" w:hAnsi="宋体"/>
          <w:bCs/>
          <w:i w:val="0"/>
          <w:iCs w:val="0"/>
          <w:szCs w:val="20"/>
          <w:lang w:val="zh-CN"/>
        </w:rPr>
        <w:fldChar w:fldCharType="separate"/>
      </w:r>
      <w:r>
        <w:rPr>
          <w:rFonts w:hint="eastAsia" w:ascii="宋体" w:hAnsi="宋体"/>
          <w:i w:val="0"/>
          <w:iCs w:val="0"/>
          <w:kern w:val="0"/>
        </w:rPr>
        <w:t>第四章  合同条款及格式</w:t>
      </w:r>
      <w:r>
        <w:rPr>
          <w:i w:val="0"/>
          <w:iCs w:val="0"/>
        </w:rPr>
        <w:tab/>
      </w:r>
      <w:r>
        <w:rPr>
          <w:i w:val="0"/>
          <w:iCs w:val="0"/>
        </w:rPr>
        <w:fldChar w:fldCharType="begin"/>
      </w:r>
      <w:r>
        <w:rPr>
          <w:i w:val="0"/>
          <w:iCs w:val="0"/>
        </w:rPr>
        <w:instrText xml:space="preserve"> PAGEREF _Toc16302 \h </w:instrText>
      </w:r>
      <w:r>
        <w:rPr>
          <w:i w:val="0"/>
          <w:iCs w:val="0"/>
        </w:rPr>
        <w:fldChar w:fldCharType="separate"/>
      </w:r>
      <w:r>
        <w:rPr>
          <w:i w:val="0"/>
          <w:iCs w:val="0"/>
        </w:rPr>
        <w:t>79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_Toc21898 </w:instrText>
      </w:r>
      <w:r>
        <w:rPr>
          <w:rFonts w:ascii="宋体" w:hAnsi="宋体"/>
          <w:bCs/>
          <w:i w:val="0"/>
          <w:iCs w:val="0"/>
          <w:szCs w:val="20"/>
          <w:lang w:val="zh-CN"/>
        </w:rPr>
        <w:fldChar w:fldCharType="separate"/>
      </w:r>
      <w:r>
        <w:rPr>
          <w:rFonts w:ascii="宋体" w:hAnsi="宋体"/>
          <w:i w:val="0"/>
          <w:iCs w:val="0"/>
          <w:szCs w:val="44"/>
        </w:rPr>
        <w:t>第一部分 合同协议书</w:t>
      </w:r>
      <w:r>
        <w:rPr>
          <w:i w:val="0"/>
          <w:iCs w:val="0"/>
        </w:rPr>
        <w:tab/>
      </w:r>
      <w:r>
        <w:rPr>
          <w:i w:val="0"/>
          <w:iCs w:val="0"/>
        </w:rPr>
        <w:fldChar w:fldCharType="begin"/>
      </w:r>
      <w:r>
        <w:rPr>
          <w:i w:val="0"/>
          <w:iCs w:val="0"/>
        </w:rPr>
        <w:instrText xml:space="preserve"> PAGEREF _Toc21898 \h </w:instrText>
      </w:r>
      <w:r>
        <w:rPr>
          <w:i w:val="0"/>
          <w:iCs w:val="0"/>
        </w:rPr>
        <w:fldChar w:fldCharType="separate"/>
      </w:r>
      <w:r>
        <w:rPr>
          <w:i w:val="0"/>
          <w:iCs w:val="0"/>
        </w:rPr>
        <w:t>81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_Toc185 </w:instrText>
      </w:r>
      <w:r>
        <w:rPr>
          <w:rFonts w:ascii="宋体" w:hAnsi="宋体"/>
          <w:bCs/>
          <w:i w:val="0"/>
          <w:iCs w:val="0"/>
          <w:szCs w:val="20"/>
          <w:lang w:val="zh-CN"/>
        </w:rPr>
        <w:fldChar w:fldCharType="separate"/>
      </w:r>
      <w:r>
        <w:rPr>
          <w:rFonts w:hint="eastAsia" w:ascii="宋体" w:hAnsi="宋体"/>
          <w:i w:val="0"/>
          <w:iCs w:val="0"/>
          <w:szCs w:val="44"/>
        </w:rPr>
        <w:t>第二部分 通用合同条款</w:t>
      </w:r>
      <w:r>
        <w:rPr>
          <w:i w:val="0"/>
          <w:iCs w:val="0"/>
        </w:rPr>
        <w:tab/>
      </w:r>
      <w:r>
        <w:rPr>
          <w:i w:val="0"/>
          <w:iCs w:val="0"/>
        </w:rPr>
        <w:fldChar w:fldCharType="begin"/>
      </w:r>
      <w:r>
        <w:rPr>
          <w:i w:val="0"/>
          <w:iCs w:val="0"/>
        </w:rPr>
        <w:instrText xml:space="preserve"> PAGEREF _Toc185 \h </w:instrText>
      </w:r>
      <w:r>
        <w:rPr>
          <w:i w:val="0"/>
          <w:iCs w:val="0"/>
        </w:rPr>
        <w:fldChar w:fldCharType="separate"/>
      </w:r>
      <w:r>
        <w:rPr>
          <w:i w:val="0"/>
          <w:iCs w:val="0"/>
        </w:rPr>
        <w:t>86</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_Toc28123 </w:instrText>
      </w:r>
      <w:r>
        <w:rPr>
          <w:rFonts w:ascii="宋体" w:hAnsi="宋体"/>
          <w:bCs/>
          <w:i w:val="0"/>
          <w:iCs w:val="0"/>
          <w:szCs w:val="20"/>
          <w:lang w:val="zh-CN"/>
        </w:rPr>
        <w:fldChar w:fldCharType="separate"/>
      </w:r>
      <w:r>
        <w:rPr>
          <w:rFonts w:hint="eastAsia" w:ascii="宋体" w:hAnsi="宋体"/>
          <w:i w:val="0"/>
          <w:iCs w:val="0"/>
          <w:szCs w:val="44"/>
        </w:rPr>
        <w:t>第三部分 专用合同条款</w:t>
      </w:r>
      <w:r>
        <w:rPr>
          <w:i w:val="0"/>
          <w:iCs w:val="0"/>
        </w:rPr>
        <w:tab/>
      </w:r>
      <w:r>
        <w:rPr>
          <w:i w:val="0"/>
          <w:iCs w:val="0"/>
        </w:rPr>
        <w:fldChar w:fldCharType="begin"/>
      </w:r>
      <w:r>
        <w:rPr>
          <w:i w:val="0"/>
          <w:iCs w:val="0"/>
        </w:rPr>
        <w:instrText xml:space="preserve"> PAGEREF _Toc28123 \h </w:instrText>
      </w:r>
      <w:r>
        <w:rPr>
          <w:i w:val="0"/>
          <w:iCs w:val="0"/>
        </w:rPr>
        <w:fldChar w:fldCharType="separate"/>
      </w:r>
      <w:r>
        <w:rPr>
          <w:i w:val="0"/>
          <w:iCs w:val="0"/>
        </w:rPr>
        <w:t>139</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_Toc28823 </w:instrText>
      </w:r>
      <w:r>
        <w:rPr>
          <w:rFonts w:ascii="宋体" w:hAnsi="宋体"/>
          <w:bCs/>
          <w:i w:val="0"/>
          <w:iCs w:val="0"/>
          <w:szCs w:val="20"/>
          <w:lang w:val="zh-CN"/>
        </w:rPr>
        <w:fldChar w:fldCharType="separate"/>
      </w:r>
      <w:r>
        <w:rPr>
          <w:rFonts w:hint="eastAsia" w:ascii="宋体" w:hAnsi="宋体"/>
          <w:i w:val="0"/>
          <w:iCs w:val="0"/>
        </w:rPr>
        <w:t>第五章  工程量清单</w:t>
      </w:r>
      <w:r>
        <w:rPr>
          <w:i w:val="0"/>
          <w:iCs w:val="0"/>
        </w:rPr>
        <w:tab/>
      </w:r>
      <w:r>
        <w:rPr>
          <w:i w:val="0"/>
          <w:iCs w:val="0"/>
        </w:rPr>
        <w:fldChar w:fldCharType="begin"/>
      </w:r>
      <w:r>
        <w:rPr>
          <w:i w:val="0"/>
          <w:iCs w:val="0"/>
        </w:rPr>
        <w:instrText xml:space="preserve"> PAGEREF _Toc28823 \h </w:instrText>
      </w:r>
      <w:r>
        <w:rPr>
          <w:i w:val="0"/>
          <w:iCs w:val="0"/>
        </w:rPr>
        <w:fldChar w:fldCharType="separate"/>
      </w:r>
      <w:r>
        <w:rPr>
          <w:i w:val="0"/>
          <w:iCs w:val="0"/>
        </w:rPr>
        <w:t>208</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_Toc1904 </w:instrText>
      </w:r>
      <w:r>
        <w:rPr>
          <w:rFonts w:ascii="宋体" w:hAnsi="宋体"/>
          <w:bCs/>
          <w:i w:val="0"/>
          <w:iCs w:val="0"/>
          <w:szCs w:val="20"/>
          <w:lang w:val="zh-CN"/>
        </w:rPr>
        <w:fldChar w:fldCharType="separate"/>
      </w:r>
      <w:r>
        <w:rPr>
          <w:rFonts w:ascii="宋体" w:hAnsi="宋体"/>
          <w:i w:val="0"/>
          <w:iCs w:val="0"/>
          <w:szCs w:val="52"/>
        </w:rPr>
        <w:t>第 二 卷</w:t>
      </w:r>
      <w:r>
        <w:rPr>
          <w:i w:val="0"/>
          <w:iCs w:val="0"/>
        </w:rPr>
        <w:tab/>
      </w:r>
      <w:r>
        <w:rPr>
          <w:i w:val="0"/>
          <w:iCs w:val="0"/>
        </w:rPr>
        <w:fldChar w:fldCharType="begin"/>
      </w:r>
      <w:r>
        <w:rPr>
          <w:i w:val="0"/>
          <w:iCs w:val="0"/>
        </w:rPr>
        <w:instrText xml:space="preserve"> PAGEREF _Toc1904 \h </w:instrText>
      </w:r>
      <w:r>
        <w:rPr>
          <w:i w:val="0"/>
          <w:iCs w:val="0"/>
        </w:rPr>
        <w:fldChar w:fldCharType="separate"/>
      </w:r>
      <w:r>
        <w:rPr>
          <w:i w:val="0"/>
          <w:iCs w:val="0"/>
        </w:rPr>
        <w:t>209</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_Toc11625 </w:instrText>
      </w:r>
      <w:r>
        <w:rPr>
          <w:rFonts w:ascii="宋体" w:hAnsi="宋体"/>
          <w:bCs/>
          <w:i w:val="0"/>
          <w:iCs w:val="0"/>
          <w:szCs w:val="20"/>
          <w:lang w:val="zh-CN"/>
        </w:rPr>
        <w:fldChar w:fldCharType="separate"/>
      </w:r>
      <w:r>
        <w:rPr>
          <w:rFonts w:hint="eastAsia" w:ascii="宋体" w:hAnsi="宋体"/>
          <w:i w:val="0"/>
          <w:iCs w:val="0"/>
        </w:rPr>
        <w:t>第六章  图纸</w:t>
      </w:r>
      <w:r>
        <w:rPr>
          <w:i w:val="0"/>
          <w:iCs w:val="0"/>
        </w:rPr>
        <w:tab/>
      </w:r>
      <w:r>
        <w:rPr>
          <w:i w:val="0"/>
          <w:iCs w:val="0"/>
        </w:rPr>
        <w:fldChar w:fldCharType="begin"/>
      </w:r>
      <w:r>
        <w:rPr>
          <w:i w:val="0"/>
          <w:iCs w:val="0"/>
        </w:rPr>
        <w:instrText xml:space="preserve"> PAGEREF _Toc11625 \h </w:instrText>
      </w:r>
      <w:r>
        <w:rPr>
          <w:i w:val="0"/>
          <w:iCs w:val="0"/>
        </w:rPr>
        <w:fldChar w:fldCharType="separate"/>
      </w:r>
      <w:r>
        <w:rPr>
          <w:i w:val="0"/>
          <w:iCs w:val="0"/>
        </w:rPr>
        <w:t>210</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_Toc25822 </w:instrText>
      </w:r>
      <w:r>
        <w:rPr>
          <w:rFonts w:ascii="宋体" w:hAnsi="宋体"/>
          <w:bCs/>
          <w:i w:val="0"/>
          <w:iCs w:val="0"/>
          <w:szCs w:val="20"/>
          <w:lang w:val="zh-CN"/>
        </w:rPr>
        <w:fldChar w:fldCharType="separate"/>
      </w:r>
      <w:r>
        <w:rPr>
          <w:rFonts w:hint="eastAsia" w:ascii="宋体" w:hAnsi="宋体"/>
          <w:i w:val="0"/>
          <w:iCs w:val="0"/>
          <w:szCs w:val="52"/>
        </w:rPr>
        <w:t>第 三 卷</w:t>
      </w:r>
      <w:r>
        <w:rPr>
          <w:i w:val="0"/>
          <w:iCs w:val="0"/>
        </w:rPr>
        <w:tab/>
      </w:r>
      <w:r>
        <w:rPr>
          <w:i w:val="0"/>
          <w:iCs w:val="0"/>
        </w:rPr>
        <w:fldChar w:fldCharType="begin"/>
      </w:r>
      <w:r>
        <w:rPr>
          <w:i w:val="0"/>
          <w:iCs w:val="0"/>
        </w:rPr>
        <w:instrText xml:space="preserve"> PAGEREF _Toc25822 \h </w:instrText>
      </w:r>
      <w:r>
        <w:rPr>
          <w:i w:val="0"/>
          <w:iCs w:val="0"/>
        </w:rPr>
        <w:fldChar w:fldCharType="separate"/>
      </w:r>
      <w:r>
        <w:rPr>
          <w:i w:val="0"/>
          <w:iCs w:val="0"/>
        </w:rPr>
        <w:t>211</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_Toc18321 </w:instrText>
      </w:r>
      <w:r>
        <w:rPr>
          <w:rFonts w:ascii="宋体" w:hAnsi="宋体"/>
          <w:bCs/>
          <w:i w:val="0"/>
          <w:iCs w:val="0"/>
          <w:szCs w:val="20"/>
          <w:lang w:val="zh-CN"/>
        </w:rPr>
        <w:fldChar w:fldCharType="separate"/>
      </w:r>
      <w:r>
        <w:rPr>
          <w:rFonts w:ascii="宋体" w:hAnsi="宋体"/>
          <w:i w:val="0"/>
          <w:iCs w:val="0"/>
        </w:rPr>
        <w:t>第七章</w:t>
      </w:r>
      <w:r>
        <w:rPr>
          <w:rFonts w:hint="eastAsia" w:ascii="宋体" w:hAnsi="宋体"/>
          <w:i w:val="0"/>
          <w:iCs w:val="0"/>
        </w:rPr>
        <w:t xml:space="preserve">  </w:t>
      </w:r>
      <w:r>
        <w:rPr>
          <w:rFonts w:ascii="宋体" w:hAnsi="宋体"/>
          <w:i w:val="0"/>
          <w:iCs w:val="0"/>
        </w:rPr>
        <w:t>技术标准和要求</w:t>
      </w:r>
      <w:r>
        <w:rPr>
          <w:i w:val="0"/>
          <w:iCs w:val="0"/>
        </w:rPr>
        <w:tab/>
      </w:r>
      <w:r>
        <w:rPr>
          <w:i w:val="0"/>
          <w:iCs w:val="0"/>
        </w:rPr>
        <w:fldChar w:fldCharType="begin"/>
      </w:r>
      <w:r>
        <w:rPr>
          <w:i w:val="0"/>
          <w:iCs w:val="0"/>
        </w:rPr>
        <w:instrText xml:space="preserve"> PAGEREF _Toc18321 \h </w:instrText>
      </w:r>
      <w:r>
        <w:rPr>
          <w:i w:val="0"/>
          <w:iCs w:val="0"/>
        </w:rPr>
        <w:fldChar w:fldCharType="separate"/>
      </w:r>
      <w:r>
        <w:rPr>
          <w:i w:val="0"/>
          <w:iCs w:val="0"/>
        </w:rPr>
        <w:t>212</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_Toc13493 </w:instrText>
      </w:r>
      <w:r>
        <w:rPr>
          <w:rFonts w:ascii="宋体" w:hAnsi="宋体"/>
          <w:bCs/>
          <w:i w:val="0"/>
          <w:iCs w:val="0"/>
          <w:szCs w:val="20"/>
          <w:lang w:val="zh-CN"/>
        </w:rPr>
        <w:fldChar w:fldCharType="separate"/>
      </w:r>
      <w:r>
        <w:rPr>
          <w:rFonts w:ascii="宋体" w:hAnsi="宋体"/>
          <w:i w:val="0"/>
          <w:iCs w:val="0"/>
          <w:szCs w:val="52"/>
        </w:rPr>
        <w:t>第 四 卷</w:t>
      </w:r>
      <w:r>
        <w:rPr>
          <w:i w:val="0"/>
          <w:iCs w:val="0"/>
        </w:rPr>
        <w:tab/>
      </w:r>
      <w:r>
        <w:rPr>
          <w:i w:val="0"/>
          <w:iCs w:val="0"/>
        </w:rPr>
        <w:fldChar w:fldCharType="begin"/>
      </w:r>
      <w:r>
        <w:rPr>
          <w:i w:val="0"/>
          <w:iCs w:val="0"/>
        </w:rPr>
        <w:instrText xml:space="preserve"> PAGEREF _Toc13493 \h </w:instrText>
      </w:r>
      <w:r>
        <w:rPr>
          <w:i w:val="0"/>
          <w:iCs w:val="0"/>
        </w:rPr>
        <w:fldChar w:fldCharType="separate"/>
      </w:r>
      <w:r>
        <w:rPr>
          <w:i w:val="0"/>
          <w:iCs w:val="0"/>
        </w:rPr>
        <w:t>213</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_Toc23619 </w:instrText>
      </w:r>
      <w:r>
        <w:rPr>
          <w:rFonts w:ascii="宋体" w:hAnsi="宋体"/>
          <w:bCs/>
          <w:i w:val="0"/>
          <w:iCs w:val="0"/>
          <w:szCs w:val="20"/>
          <w:lang w:val="zh-CN"/>
        </w:rPr>
        <w:fldChar w:fldCharType="separate"/>
      </w:r>
      <w:r>
        <w:rPr>
          <w:rFonts w:hint="eastAsia" w:ascii="宋体" w:hAnsi="宋体"/>
          <w:i w:val="0"/>
          <w:iCs w:val="0"/>
        </w:rPr>
        <w:t>第八章  投标文件格式</w:t>
      </w:r>
      <w:r>
        <w:rPr>
          <w:i w:val="0"/>
          <w:iCs w:val="0"/>
        </w:rPr>
        <w:tab/>
      </w:r>
      <w:r>
        <w:rPr>
          <w:i w:val="0"/>
          <w:iCs w:val="0"/>
        </w:rPr>
        <w:fldChar w:fldCharType="begin"/>
      </w:r>
      <w:r>
        <w:rPr>
          <w:i w:val="0"/>
          <w:iCs w:val="0"/>
        </w:rPr>
        <w:instrText xml:space="preserve"> PAGEREF _Toc23619 \h </w:instrText>
      </w:r>
      <w:r>
        <w:rPr>
          <w:i w:val="0"/>
          <w:iCs w:val="0"/>
        </w:rPr>
        <w:fldChar w:fldCharType="separate"/>
      </w:r>
      <w:r>
        <w:rPr>
          <w:i w:val="0"/>
          <w:iCs w:val="0"/>
        </w:rPr>
        <w:t>214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_Toc19604 </w:instrText>
      </w:r>
      <w:r>
        <w:rPr>
          <w:rFonts w:ascii="宋体" w:hAnsi="宋体"/>
          <w:bCs/>
          <w:i w:val="0"/>
          <w:iCs w:val="0"/>
          <w:szCs w:val="20"/>
          <w:lang w:val="zh-CN"/>
        </w:rPr>
        <w:fldChar w:fldCharType="separate"/>
      </w:r>
      <w:r>
        <w:rPr>
          <w:rFonts w:hint="eastAsia" w:ascii="宋体" w:hAnsi="宋体"/>
          <w:bCs w:val="0"/>
          <w:i w:val="0"/>
          <w:iCs w:val="0"/>
          <w:szCs w:val="44"/>
        </w:rPr>
        <w:t>一、投标函部分</w:t>
      </w:r>
      <w:r>
        <w:rPr>
          <w:i w:val="0"/>
          <w:iCs w:val="0"/>
        </w:rPr>
        <w:tab/>
      </w:r>
      <w:r>
        <w:rPr>
          <w:i w:val="0"/>
          <w:iCs w:val="0"/>
        </w:rPr>
        <w:fldChar w:fldCharType="begin"/>
      </w:r>
      <w:r>
        <w:rPr>
          <w:i w:val="0"/>
          <w:iCs w:val="0"/>
        </w:rPr>
        <w:instrText xml:space="preserve"> PAGEREF _Toc19604 \h </w:instrText>
      </w:r>
      <w:r>
        <w:rPr>
          <w:i w:val="0"/>
          <w:iCs w:val="0"/>
        </w:rPr>
        <w:fldChar w:fldCharType="separate"/>
      </w:r>
      <w:r>
        <w:rPr>
          <w:i w:val="0"/>
          <w:iCs w:val="0"/>
        </w:rPr>
        <w:t>216</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_Toc27359 </w:instrText>
      </w:r>
      <w:r>
        <w:rPr>
          <w:rFonts w:ascii="宋体" w:hAnsi="宋体"/>
          <w:bCs/>
          <w:i w:val="0"/>
          <w:iCs w:val="0"/>
          <w:szCs w:val="20"/>
          <w:lang w:val="zh-CN"/>
        </w:rPr>
        <w:fldChar w:fldCharType="separate"/>
      </w:r>
      <w:r>
        <w:rPr>
          <w:rFonts w:hint="eastAsia" w:ascii="宋体" w:hAnsi="宋体"/>
          <w:bCs w:val="0"/>
          <w:i w:val="0"/>
          <w:iCs w:val="0"/>
        </w:rPr>
        <w:t>（一）投标函</w:t>
      </w:r>
      <w:r>
        <w:rPr>
          <w:i w:val="0"/>
          <w:iCs w:val="0"/>
        </w:rPr>
        <w:tab/>
      </w:r>
      <w:r>
        <w:rPr>
          <w:i w:val="0"/>
          <w:iCs w:val="0"/>
        </w:rPr>
        <w:fldChar w:fldCharType="begin"/>
      </w:r>
      <w:r>
        <w:rPr>
          <w:i w:val="0"/>
          <w:iCs w:val="0"/>
        </w:rPr>
        <w:instrText xml:space="preserve"> PAGEREF _Toc27359 \h </w:instrText>
      </w:r>
      <w:r>
        <w:rPr>
          <w:i w:val="0"/>
          <w:iCs w:val="0"/>
        </w:rPr>
        <w:fldChar w:fldCharType="separate"/>
      </w:r>
      <w:r>
        <w:rPr>
          <w:i w:val="0"/>
          <w:iCs w:val="0"/>
        </w:rPr>
        <w:t>219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_Toc5557 </w:instrText>
      </w:r>
      <w:r>
        <w:rPr>
          <w:rFonts w:ascii="宋体" w:hAnsi="宋体"/>
          <w:bCs/>
          <w:i w:val="0"/>
          <w:iCs w:val="0"/>
          <w:szCs w:val="20"/>
          <w:lang w:val="zh-CN"/>
        </w:rPr>
        <w:fldChar w:fldCharType="separate"/>
      </w:r>
      <w:r>
        <w:rPr>
          <w:rFonts w:ascii="宋体" w:hAnsi="宋体"/>
          <w:bCs w:val="0"/>
          <w:i w:val="0"/>
          <w:iCs w:val="0"/>
        </w:rPr>
        <w:t>（二）投标函附录</w:t>
      </w:r>
      <w:r>
        <w:rPr>
          <w:i w:val="0"/>
          <w:iCs w:val="0"/>
        </w:rPr>
        <w:tab/>
      </w:r>
      <w:r>
        <w:rPr>
          <w:i w:val="0"/>
          <w:iCs w:val="0"/>
        </w:rPr>
        <w:fldChar w:fldCharType="begin"/>
      </w:r>
      <w:r>
        <w:rPr>
          <w:i w:val="0"/>
          <w:iCs w:val="0"/>
        </w:rPr>
        <w:instrText xml:space="preserve"> PAGEREF _Toc5557 \h </w:instrText>
      </w:r>
      <w:r>
        <w:rPr>
          <w:i w:val="0"/>
          <w:iCs w:val="0"/>
        </w:rPr>
        <w:fldChar w:fldCharType="separate"/>
      </w:r>
      <w:r>
        <w:rPr>
          <w:i w:val="0"/>
          <w:iCs w:val="0"/>
        </w:rPr>
        <w:t>220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_Toc18883 </w:instrText>
      </w:r>
      <w:r>
        <w:rPr>
          <w:rFonts w:ascii="宋体" w:hAnsi="宋体"/>
          <w:bCs/>
          <w:i w:val="0"/>
          <w:iCs w:val="0"/>
          <w:szCs w:val="20"/>
          <w:lang w:val="zh-CN"/>
        </w:rPr>
        <w:fldChar w:fldCharType="separate"/>
      </w:r>
      <w:r>
        <w:rPr>
          <w:rFonts w:ascii="宋体" w:hAnsi="宋体"/>
          <w:bCs w:val="0"/>
          <w:i w:val="0"/>
          <w:iCs w:val="0"/>
        </w:rPr>
        <w:t>（三）</w:t>
      </w:r>
      <w:r>
        <w:rPr>
          <w:rFonts w:hint="eastAsia" w:ascii="宋体" w:hAnsi="宋体"/>
          <w:bCs w:val="0"/>
          <w:i w:val="0"/>
          <w:iCs w:val="0"/>
        </w:rPr>
        <w:t>法定代表人身份证明或授权委托书</w:t>
      </w:r>
      <w:r>
        <w:rPr>
          <w:i w:val="0"/>
          <w:iCs w:val="0"/>
        </w:rPr>
        <w:tab/>
      </w:r>
      <w:r>
        <w:rPr>
          <w:i w:val="0"/>
          <w:iCs w:val="0"/>
        </w:rPr>
        <w:fldChar w:fldCharType="begin"/>
      </w:r>
      <w:r>
        <w:rPr>
          <w:i w:val="0"/>
          <w:iCs w:val="0"/>
        </w:rPr>
        <w:instrText xml:space="preserve"> PAGEREF _Toc18883 \h </w:instrText>
      </w:r>
      <w:r>
        <w:rPr>
          <w:i w:val="0"/>
          <w:iCs w:val="0"/>
        </w:rPr>
        <w:fldChar w:fldCharType="separate"/>
      </w:r>
      <w:r>
        <w:rPr>
          <w:i w:val="0"/>
          <w:iCs w:val="0"/>
        </w:rPr>
        <w:t>221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_Toc32475 </w:instrText>
      </w:r>
      <w:r>
        <w:rPr>
          <w:rFonts w:ascii="宋体" w:hAnsi="宋体"/>
          <w:bCs/>
          <w:i w:val="0"/>
          <w:iCs w:val="0"/>
          <w:szCs w:val="20"/>
          <w:lang w:val="zh-CN"/>
        </w:rPr>
        <w:fldChar w:fldCharType="separate"/>
      </w:r>
      <w:r>
        <w:rPr>
          <w:rFonts w:ascii="宋体" w:hAnsi="宋体"/>
          <w:bCs w:val="0"/>
          <w:i w:val="0"/>
          <w:iCs w:val="0"/>
        </w:rPr>
        <w:t>（四）</w:t>
      </w:r>
      <w:r>
        <w:rPr>
          <w:rFonts w:hint="eastAsia" w:ascii="宋体" w:hAnsi="宋体"/>
          <w:bCs w:val="0"/>
          <w:i w:val="0"/>
          <w:iCs w:val="0"/>
        </w:rPr>
        <w:t>投标报价合理性说明</w:t>
      </w:r>
      <w:r>
        <w:rPr>
          <w:rFonts w:hint="eastAsia" w:ascii="宋体" w:hAnsi="宋体"/>
          <w:bCs w:val="0"/>
          <w:i w:val="0"/>
          <w:iCs w:val="0"/>
          <w:lang w:eastAsia="zh-CN"/>
        </w:rPr>
        <w:t>（</w:t>
      </w:r>
      <w:r>
        <w:rPr>
          <w:rFonts w:hint="eastAsia" w:ascii="宋体" w:hAnsi="宋体"/>
          <w:bCs w:val="0"/>
          <w:i w:val="0"/>
          <w:iCs w:val="0"/>
          <w:lang w:val="en-US" w:eastAsia="zh-CN"/>
        </w:rPr>
        <w:t>如有</w:t>
      </w:r>
      <w:r>
        <w:rPr>
          <w:rFonts w:hint="eastAsia" w:ascii="宋体" w:hAnsi="宋体"/>
          <w:bCs w:val="0"/>
          <w:i w:val="0"/>
          <w:iCs w:val="0"/>
          <w:lang w:eastAsia="zh-CN"/>
        </w:rPr>
        <w:t>）</w:t>
      </w:r>
      <w:r>
        <w:rPr>
          <w:i w:val="0"/>
          <w:iCs w:val="0"/>
        </w:rPr>
        <w:tab/>
      </w:r>
      <w:r>
        <w:rPr>
          <w:i w:val="0"/>
          <w:iCs w:val="0"/>
        </w:rPr>
        <w:fldChar w:fldCharType="begin"/>
      </w:r>
      <w:r>
        <w:rPr>
          <w:i w:val="0"/>
          <w:iCs w:val="0"/>
        </w:rPr>
        <w:instrText xml:space="preserve"> PAGEREF _Toc32475 \h </w:instrText>
      </w:r>
      <w:r>
        <w:rPr>
          <w:i w:val="0"/>
          <w:iCs w:val="0"/>
        </w:rPr>
        <w:fldChar w:fldCharType="separate"/>
      </w:r>
      <w:r>
        <w:rPr>
          <w:i w:val="0"/>
          <w:iCs w:val="0"/>
        </w:rPr>
        <w:t>223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_Toc24315 </w:instrText>
      </w:r>
      <w:r>
        <w:rPr>
          <w:rFonts w:ascii="宋体" w:hAnsi="宋体"/>
          <w:bCs/>
          <w:i w:val="0"/>
          <w:iCs w:val="0"/>
          <w:szCs w:val="20"/>
          <w:lang w:val="zh-CN"/>
        </w:rPr>
        <w:fldChar w:fldCharType="separate"/>
      </w:r>
      <w:r>
        <w:rPr>
          <w:rFonts w:hint="eastAsia" w:ascii="宋体" w:hAnsi="宋体"/>
          <w:bCs w:val="0"/>
          <w:i w:val="0"/>
          <w:iCs w:val="0"/>
          <w:szCs w:val="44"/>
        </w:rPr>
        <w:t>二、</w:t>
      </w:r>
      <w:r>
        <w:rPr>
          <w:rFonts w:hint="eastAsia" w:ascii="宋体" w:hAnsi="宋体"/>
          <w:bCs w:val="0"/>
          <w:i w:val="0"/>
          <w:iCs w:val="0"/>
          <w:szCs w:val="44"/>
          <w:lang w:val="en-US" w:eastAsia="zh-CN"/>
        </w:rPr>
        <w:t>报价</w:t>
      </w:r>
      <w:r>
        <w:rPr>
          <w:rFonts w:hint="eastAsia" w:ascii="宋体" w:hAnsi="宋体"/>
          <w:bCs w:val="0"/>
          <w:i w:val="0"/>
          <w:iCs w:val="0"/>
          <w:szCs w:val="44"/>
        </w:rPr>
        <w:t>部分</w:t>
      </w:r>
      <w:r>
        <w:rPr>
          <w:i w:val="0"/>
          <w:iCs w:val="0"/>
        </w:rPr>
        <w:tab/>
      </w:r>
      <w:r>
        <w:rPr>
          <w:i w:val="0"/>
          <w:iCs w:val="0"/>
        </w:rPr>
        <w:fldChar w:fldCharType="begin"/>
      </w:r>
      <w:r>
        <w:rPr>
          <w:i w:val="0"/>
          <w:iCs w:val="0"/>
        </w:rPr>
        <w:instrText xml:space="preserve"> PAGEREF _Toc24315 \h </w:instrText>
      </w:r>
      <w:r>
        <w:rPr>
          <w:i w:val="0"/>
          <w:iCs w:val="0"/>
        </w:rPr>
        <w:fldChar w:fldCharType="separate"/>
      </w:r>
      <w:r>
        <w:rPr>
          <w:i w:val="0"/>
          <w:iCs w:val="0"/>
        </w:rPr>
        <w:t>224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_Toc9942 </w:instrText>
      </w:r>
      <w:r>
        <w:rPr>
          <w:rFonts w:ascii="宋体" w:hAnsi="宋体"/>
          <w:bCs/>
          <w:i w:val="0"/>
          <w:iCs w:val="0"/>
          <w:szCs w:val="20"/>
          <w:lang w:val="zh-CN"/>
        </w:rPr>
        <w:fldChar w:fldCharType="separate"/>
      </w:r>
      <w:r>
        <w:rPr>
          <w:rFonts w:hint="eastAsia" w:ascii="宋体" w:hAnsi="宋体"/>
          <w:bCs w:val="0"/>
          <w:i w:val="0"/>
          <w:iCs w:val="0"/>
        </w:rPr>
        <w:t>（一）已标价工程量清单</w:t>
      </w:r>
      <w:r>
        <w:rPr>
          <w:i w:val="0"/>
          <w:iCs w:val="0"/>
        </w:rPr>
        <w:tab/>
      </w:r>
      <w:r>
        <w:rPr>
          <w:i w:val="0"/>
          <w:iCs w:val="0"/>
        </w:rPr>
        <w:fldChar w:fldCharType="begin"/>
      </w:r>
      <w:r>
        <w:rPr>
          <w:i w:val="0"/>
          <w:iCs w:val="0"/>
        </w:rPr>
        <w:instrText xml:space="preserve"> PAGEREF _Toc9942 \h </w:instrText>
      </w:r>
      <w:r>
        <w:rPr>
          <w:i w:val="0"/>
          <w:iCs w:val="0"/>
        </w:rPr>
        <w:fldChar w:fldCharType="separate"/>
      </w:r>
      <w:r>
        <w:rPr>
          <w:i w:val="0"/>
          <w:iCs w:val="0"/>
        </w:rPr>
        <w:t>227</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_Toc9026 </w:instrText>
      </w:r>
      <w:r>
        <w:rPr>
          <w:rFonts w:ascii="宋体" w:hAnsi="宋体"/>
          <w:bCs/>
          <w:i w:val="0"/>
          <w:iCs w:val="0"/>
          <w:szCs w:val="20"/>
          <w:lang w:val="zh-CN"/>
        </w:rPr>
        <w:fldChar w:fldCharType="separate"/>
      </w:r>
      <w:r>
        <w:rPr>
          <w:rFonts w:hint="eastAsia" w:ascii="宋体" w:hAnsi="宋体"/>
          <w:bCs w:val="0"/>
          <w:i w:val="0"/>
          <w:iCs w:val="0"/>
          <w:szCs w:val="44"/>
          <w:highlight w:val="none"/>
        </w:rPr>
        <w:t>三、商务部分</w:t>
      </w:r>
      <w:r>
        <w:rPr>
          <w:i w:val="0"/>
          <w:iCs w:val="0"/>
        </w:rPr>
        <w:tab/>
      </w:r>
      <w:r>
        <w:rPr>
          <w:i w:val="0"/>
          <w:iCs w:val="0"/>
        </w:rPr>
        <w:fldChar w:fldCharType="begin"/>
      </w:r>
      <w:r>
        <w:rPr>
          <w:i w:val="0"/>
          <w:iCs w:val="0"/>
        </w:rPr>
        <w:instrText xml:space="preserve"> PAGEREF _Toc9026 \h </w:instrText>
      </w:r>
      <w:r>
        <w:rPr>
          <w:i w:val="0"/>
          <w:iCs w:val="0"/>
        </w:rPr>
        <w:fldChar w:fldCharType="separate"/>
      </w:r>
      <w:r>
        <w:rPr>
          <w:i w:val="0"/>
          <w:iCs w:val="0"/>
        </w:rPr>
        <w:t>228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_Toc24107 </w:instrText>
      </w:r>
      <w:r>
        <w:rPr>
          <w:rFonts w:ascii="宋体" w:hAnsi="宋体"/>
          <w:bCs/>
          <w:i w:val="0"/>
          <w:iCs w:val="0"/>
          <w:szCs w:val="20"/>
          <w:lang w:val="zh-CN"/>
        </w:rPr>
        <w:fldChar w:fldCharType="separate"/>
      </w:r>
      <w:r>
        <w:rPr>
          <w:rFonts w:hint="eastAsia" w:ascii="宋体" w:hAnsi="宋体"/>
          <w:bCs w:val="0"/>
          <w:i w:val="0"/>
          <w:iCs w:val="0"/>
          <w:szCs w:val="44"/>
          <w:lang w:val="en-US" w:eastAsia="zh-CN"/>
        </w:rPr>
        <w:t>四</w:t>
      </w:r>
      <w:r>
        <w:rPr>
          <w:rFonts w:hint="eastAsia" w:ascii="宋体" w:hAnsi="宋体"/>
          <w:bCs w:val="0"/>
          <w:i w:val="0"/>
          <w:iCs w:val="0"/>
          <w:szCs w:val="44"/>
        </w:rPr>
        <w:t>、技术部分</w:t>
      </w:r>
      <w:r>
        <w:rPr>
          <w:i w:val="0"/>
          <w:iCs w:val="0"/>
        </w:rPr>
        <w:tab/>
      </w:r>
      <w:r>
        <w:rPr>
          <w:i w:val="0"/>
          <w:iCs w:val="0"/>
        </w:rPr>
        <w:fldChar w:fldCharType="begin"/>
      </w:r>
      <w:r>
        <w:rPr>
          <w:i w:val="0"/>
          <w:iCs w:val="0"/>
        </w:rPr>
        <w:instrText xml:space="preserve"> PAGEREF _Toc24107 \h </w:instrText>
      </w:r>
      <w:r>
        <w:rPr>
          <w:i w:val="0"/>
          <w:iCs w:val="0"/>
        </w:rPr>
        <w:fldChar w:fldCharType="separate"/>
      </w:r>
      <w:r>
        <w:rPr>
          <w:i w:val="0"/>
          <w:iCs w:val="0"/>
        </w:rPr>
        <w:t>232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_Toc31135 </w:instrText>
      </w:r>
      <w:r>
        <w:rPr>
          <w:rFonts w:ascii="宋体" w:hAnsi="宋体"/>
          <w:bCs/>
          <w:i w:val="0"/>
          <w:iCs w:val="0"/>
          <w:szCs w:val="20"/>
          <w:lang w:val="zh-CN"/>
        </w:rPr>
        <w:fldChar w:fldCharType="separate"/>
      </w:r>
      <w:r>
        <w:rPr>
          <w:rFonts w:hint="eastAsia" w:ascii="宋体" w:hAnsi="宋体"/>
          <w:bCs w:val="0"/>
          <w:i w:val="0"/>
          <w:iCs w:val="0"/>
          <w:szCs w:val="44"/>
          <w:lang w:val="en-US" w:eastAsia="zh-CN"/>
        </w:rPr>
        <w:t>五</w:t>
      </w:r>
      <w:r>
        <w:rPr>
          <w:rFonts w:hint="eastAsia" w:ascii="宋体" w:hAnsi="宋体"/>
          <w:bCs w:val="0"/>
          <w:i w:val="0"/>
          <w:iCs w:val="0"/>
          <w:szCs w:val="44"/>
        </w:rPr>
        <w:t>、资格审查部分</w:t>
      </w:r>
      <w:r>
        <w:rPr>
          <w:i w:val="0"/>
          <w:iCs w:val="0"/>
        </w:rPr>
        <w:tab/>
      </w:r>
      <w:r>
        <w:rPr>
          <w:i w:val="0"/>
          <w:iCs w:val="0"/>
        </w:rPr>
        <w:fldChar w:fldCharType="begin"/>
      </w:r>
      <w:r>
        <w:rPr>
          <w:i w:val="0"/>
          <w:iCs w:val="0"/>
        </w:rPr>
        <w:instrText xml:space="preserve"> PAGEREF _Toc31135 \h </w:instrText>
      </w:r>
      <w:r>
        <w:rPr>
          <w:i w:val="0"/>
          <w:iCs w:val="0"/>
        </w:rPr>
        <w:fldChar w:fldCharType="separate"/>
      </w:r>
      <w:r>
        <w:rPr>
          <w:i w:val="0"/>
          <w:iCs w:val="0"/>
        </w:rPr>
        <w:t>234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_Toc26028 </w:instrText>
      </w:r>
      <w:r>
        <w:rPr>
          <w:rFonts w:ascii="宋体" w:hAnsi="宋体"/>
          <w:bCs/>
          <w:i w:val="0"/>
          <w:iCs w:val="0"/>
          <w:szCs w:val="20"/>
          <w:lang w:val="zh-CN"/>
        </w:rPr>
        <w:fldChar w:fldCharType="separate"/>
      </w:r>
      <w:r>
        <w:rPr>
          <w:rFonts w:hint="eastAsia" w:ascii="宋体" w:hAnsi="宋体"/>
          <w:bCs w:val="0"/>
          <w:i w:val="0"/>
          <w:iCs w:val="0"/>
        </w:rPr>
        <w:t>（一）法定代表人身份证明或授权委托书</w:t>
      </w:r>
      <w:r>
        <w:rPr>
          <w:i w:val="0"/>
          <w:iCs w:val="0"/>
        </w:rPr>
        <w:tab/>
      </w:r>
      <w:r>
        <w:rPr>
          <w:i w:val="0"/>
          <w:iCs w:val="0"/>
        </w:rPr>
        <w:fldChar w:fldCharType="begin"/>
      </w:r>
      <w:r>
        <w:rPr>
          <w:i w:val="0"/>
          <w:iCs w:val="0"/>
        </w:rPr>
        <w:instrText xml:space="preserve"> PAGEREF _Toc26028 \h </w:instrText>
      </w:r>
      <w:r>
        <w:rPr>
          <w:i w:val="0"/>
          <w:iCs w:val="0"/>
        </w:rPr>
        <w:fldChar w:fldCharType="separate"/>
      </w:r>
      <w:r>
        <w:rPr>
          <w:i w:val="0"/>
          <w:iCs w:val="0"/>
        </w:rPr>
        <w:t>237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_Toc4342 </w:instrText>
      </w:r>
      <w:r>
        <w:rPr>
          <w:rFonts w:ascii="宋体" w:hAnsi="宋体"/>
          <w:bCs/>
          <w:i w:val="0"/>
          <w:iCs w:val="0"/>
          <w:szCs w:val="20"/>
          <w:lang w:val="zh-CN"/>
        </w:rPr>
        <w:fldChar w:fldCharType="separate"/>
      </w:r>
      <w:r>
        <w:rPr>
          <w:rFonts w:hint="eastAsia" w:ascii="宋体" w:hAnsi="宋体"/>
          <w:bCs w:val="0"/>
          <w:i w:val="0"/>
          <w:iCs w:val="0"/>
        </w:rPr>
        <w:t>（二）</w:t>
      </w:r>
      <w:r>
        <w:rPr>
          <w:rFonts w:hint="eastAsia" w:ascii="宋体" w:hAnsi="宋体"/>
          <w:i w:val="0"/>
          <w:iCs w:val="0"/>
          <w:lang w:val="en-US" w:eastAsia="zh-CN"/>
        </w:rPr>
        <w:t>共同投标协议</w:t>
      </w:r>
      <w:r>
        <w:rPr>
          <w:rFonts w:hint="eastAsia" w:ascii="宋体" w:hAnsi="宋体"/>
          <w:bCs w:val="0"/>
          <w:i w:val="0"/>
          <w:iCs w:val="0"/>
        </w:rPr>
        <w:t>（如有）</w:t>
      </w:r>
      <w:r>
        <w:rPr>
          <w:i w:val="0"/>
          <w:iCs w:val="0"/>
        </w:rPr>
        <w:tab/>
      </w:r>
      <w:r>
        <w:rPr>
          <w:i w:val="0"/>
          <w:iCs w:val="0"/>
        </w:rPr>
        <w:fldChar w:fldCharType="begin"/>
      </w:r>
      <w:r>
        <w:rPr>
          <w:i w:val="0"/>
          <w:iCs w:val="0"/>
        </w:rPr>
        <w:instrText xml:space="preserve"> PAGEREF _Toc4342 \h </w:instrText>
      </w:r>
      <w:r>
        <w:rPr>
          <w:i w:val="0"/>
          <w:iCs w:val="0"/>
        </w:rPr>
        <w:fldChar w:fldCharType="separate"/>
      </w:r>
      <w:r>
        <w:rPr>
          <w:i w:val="0"/>
          <w:iCs w:val="0"/>
        </w:rPr>
        <w:t>239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_Toc23738 </w:instrText>
      </w:r>
      <w:r>
        <w:rPr>
          <w:rFonts w:ascii="宋体" w:hAnsi="宋体"/>
          <w:bCs/>
          <w:i w:val="0"/>
          <w:iCs w:val="0"/>
          <w:szCs w:val="20"/>
          <w:lang w:val="zh-CN"/>
        </w:rPr>
        <w:fldChar w:fldCharType="separate"/>
      </w:r>
      <w:r>
        <w:rPr>
          <w:rFonts w:hint="eastAsia" w:ascii="宋体" w:hAnsi="宋体"/>
          <w:bCs w:val="0"/>
          <w:i w:val="0"/>
          <w:iCs w:val="0"/>
          <w:lang w:eastAsia="zh-CN"/>
        </w:rPr>
        <w:t>（</w:t>
      </w:r>
      <w:r>
        <w:rPr>
          <w:rFonts w:hint="eastAsia" w:ascii="宋体" w:hAnsi="宋体"/>
          <w:bCs w:val="0"/>
          <w:i w:val="0"/>
          <w:iCs w:val="0"/>
          <w:lang w:val="en-US" w:eastAsia="zh-CN"/>
        </w:rPr>
        <w:t>三</w:t>
      </w:r>
      <w:r>
        <w:rPr>
          <w:rFonts w:hint="eastAsia" w:ascii="宋体" w:hAnsi="宋体"/>
          <w:bCs w:val="0"/>
          <w:i w:val="0"/>
          <w:iCs w:val="0"/>
          <w:lang w:eastAsia="zh-CN"/>
        </w:rPr>
        <w:t>）</w:t>
      </w:r>
      <w:r>
        <w:rPr>
          <w:rFonts w:hint="eastAsia" w:ascii="宋体" w:hAnsi="宋体"/>
          <w:bCs w:val="0"/>
          <w:i w:val="0"/>
          <w:iCs w:val="0"/>
          <w:lang w:val="en-US" w:eastAsia="zh-CN"/>
        </w:rPr>
        <w:t>承诺</w:t>
      </w:r>
      <w:r>
        <w:rPr>
          <w:i w:val="0"/>
          <w:iCs w:val="0"/>
        </w:rPr>
        <w:tab/>
      </w:r>
      <w:r>
        <w:rPr>
          <w:i w:val="0"/>
          <w:iCs w:val="0"/>
        </w:rPr>
        <w:fldChar w:fldCharType="begin"/>
      </w:r>
      <w:r>
        <w:rPr>
          <w:i w:val="0"/>
          <w:iCs w:val="0"/>
        </w:rPr>
        <w:instrText xml:space="preserve"> PAGEREF _Toc23738 \h </w:instrText>
      </w:r>
      <w:r>
        <w:rPr>
          <w:i w:val="0"/>
          <w:iCs w:val="0"/>
        </w:rPr>
        <w:fldChar w:fldCharType="separate"/>
      </w:r>
      <w:r>
        <w:rPr>
          <w:i w:val="0"/>
          <w:iCs w:val="0"/>
        </w:rPr>
        <w:t>241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_Toc1611 </w:instrText>
      </w:r>
      <w:r>
        <w:rPr>
          <w:rFonts w:ascii="宋体" w:hAnsi="宋体"/>
          <w:bCs/>
          <w:i w:val="0"/>
          <w:iCs w:val="0"/>
          <w:szCs w:val="20"/>
          <w:lang w:val="zh-CN"/>
        </w:rPr>
        <w:fldChar w:fldCharType="separate"/>
      </w:r>
      <w:r>
        <w:rPr>
          <w:rFonts w:hint="eastAsia" w:ascii="宋体" w:hAnsi="宋体"/>
          <w:i w:val="0"/>
          <w:iCs w:val="0"/>
        </w:rPr>
        <w:t>（</w:t>
      </w:r>
      <w:r>
        <w:rPr>
          <w:rFonts w:hint="eastAsia" w:ascii="宋体" w:hAnsi="宋体"/>
          <w:i w:val="0"/>
          <w:iCs w:val="0"/>
          <w:lang w:val="en-US" w:eastAsia="zh-CN"/>
        </w:rPr>
        <w:t>四</w:t>
      </w:r>
      <w:r>
        <w:rPr>
          <w:rFonts w:hint="eastAsia" w:ascii="宋体" w:hAnsi="宋体"/>
          <w:i w:val="0"/>
          <w:iCs w:val="0"/>
        </w:rPr>
        <w:t>）其他资料</w:t>
      </w:r>
      <w:r>
        <w:rPr>
          <w:i w:val="0"/>
          <w:iCs w:val="0"/>
        </w:rPr>
        <w:tab/>
      </w:r>
      <w:r>
        <w:rPr>
          <w:i w:val="0"/>
          <w:iCs w:val="0"/>
        </w:rPr>
        <w:fldChar w:fldCharType="begin"/>
      </w:r>
      <w:r>
        <w:rPr>
          <w:i w:val="0"/>
          <w:iCs w:val="0"/>
        </w:rPr>
        <w:instrText xml:space="preserve"> PAGEREF _Toc1611 \h </w:instrText>
      </w:r>
      <w:r>
        <w:rPr>
          <w:i w:val="0"/>
          <w:iCs w:val="0"/>
        </w:rPr>
        <w:fldChar w:fldCharType="separate"/>
      </w:r>
      <w:r>
        <w:rPr>
          <w:i w:val="0"/>
          <w:iCs w:val="0"/>
        </w:rPr>
        <w:t>243</w:t>
      </w:r>
      <w:r>
        <w:rPr>
          <w:i w:val="0"/>
          <w:iCs w:val="0"/>
        </w:rPr>
        <w:fldChar w:fldCharType="end"/>
      </w:r>
      <w:r>
        <w:rPr>
          <w:rFonts w:ascii="宋体" w:hAnsi="宋体"/>
          <w:bCs/>
          <w:i w:val="0"/>
          <w:iCs w:val="0"/>
          <w:szCs w:val="20"/>
          <w:lang w:val="zh-CN"/>
        </w:rPr>
        <w:fldChar w:fldCharType="end"/>
      </w:r>
    </w:p>
    <w:p>
      <w:pPr>
        <w:pStyle w:val="22"/>
        <w:tabs>
          <w:tab w:val="right" w:leader="dot" w:pos="9469"/>
        </w:tabs>
        <w:rPr>
          <w:rFonts w:ascii="宋体" w:hAnsi="宋体"/>
        </w:rPr>
      </w:pPr>
      <w:r>
        <w:rPr>
          <w:rFonts w:ascii="宋体" w:hAnsi="宋体"/>
          <w:bCs/>
          <w:i w:val="0"/>
          <w:iCs w:val="0"/>
          <w:szCs w:val="20"/>
          <w:lang w:val="zh-CN"/>
        </w:rPr>
        <w:fldChar w:fldCharType="end"/>
      </w:r>
    </w:p>
    <w:bookmarkEnd w:id="1"/>
    <w:p>
      <w:pPr>
        <w:spacing w:line="20" w:lineRule="exact"/>
        <w:rPr>
          <w:rFonts w:ascii="宋体" w:hAnsi="宋体"/>
        </w:rPr>
      </w:pPr>
      <w:bookmarkStart w:id="8" w:name="_Toc430530414"/>
    </w:p>
    <w:p>
      <w:pPr>
        <w:spacing w:line="20" w:lineRule="exact"/>
        <w:jc w:val="left"/>
        <w:rPr>
          <w:rFonts w:ascii="宋体" w:hAnsi="宋体"/>
        </w:rPr>
        <w:sectPr>
          <w:footerReference r:id="rId8" w:type="default"/>
          <w:pgSz w:w="11907" w:h="16840"/>
          <w:pgMar w:top="1304" w:right="1134" w:bottom="1304" w:left="1304" w:header="851" w:footer="992" w:gutter="0"/>
          <w:pgNumType w:fmt="numberInDash" w:start="1"/>
          <w:cols w:space="720" w:num="1"/>
          <w:docGrid w:linePitch="312" w:charSpace="0"/>
        </w:sectPr>
      </w:pPr>
    </w:p>
    <w:bookmarkEnd w:id="8"/>
    <w:p>
      <w:pPr>
        <w:spacing w:line="360" w:lineRule="auto"/>
        <w:rPr>
          <w:rFonts w:ascii="宋体" w:hAnsi="宋体"/>
        </w:rPr>
      </w:pPr>
    </w:p>
    <w:p>
      <w:pPr>
        <w:pStyle w:val="3"/>
        <w:spacing w:before="0" w:after="0" w:line="480" w:lineRule="auto"/>
        <w:jc w:val="center"/>
        <w:rPr>
          <w:rFonts w:ascii="宋体" w:hAnsi="宋体"/>
          <w:sz w:val="52"/>
          <w:szCs w:val="52"/>
        </w:rPr>
      </w:pPr>
      <w:bookmarkStart w:id="9" w:name="_Toc15277"/>
      <w:bookmarkStart w:id="10" w:name="_Toc509218690"/>
      <w:bookmarkStart w:id="11" w:name="_Toc24688"/>
      <w:r>
        <w:rPr>
          <w:rFonts w:hint="eastAsia" w:ascii="宋体" w:hAnsi="宋体"/>
          <w:sz w:val="52"/>
          <w:szCs w:val="52"/>
        </w:rPr>
        <w:t>第 一 卷</w:t>
      </w:r>
      <w:bookmarkEnd w:id="9"/>
      <w:bookmarkEnd w:id="10"/>
      <w:bookmarkEnd w:id="11"/>
    </w:p>
    <w:p>
      <w:pPr>
        <w:spacing w:line="200" w:lineRule="exact"/>
        <w:rPr>
          <w:rFonts w:ascii="宋体" w:hAnsi="宋体"/>
        </w:rPr>
      </w:pPr>
      <w:r>
        <w:rPr>
          <w:rFonts w:ascii="宋体" w:hAnsi="宋体"/>
        </w:rPr>
        <w:br w:type="page"/>
      </w:r>
    </w:p>
    <w:p>
      <w:pPr>
        <w:pStyle w:val="3"/>
        <w:spacing w:line="360" w:lineRule="auto"/>
        <w:jc w:val="center"/>
        <w:rPr>
          <w:rFonts w:ascii="宋体" w:hAnsi="宋体"/>
          <w:snapToGrid w:val="0"/>
          <w:kern w:val="0"/>
        </w:rPr>
      </w:pPr>
      <w:bookmarkStart w:id="12" w:name="_Toc287607727"/>
      <w:bookmarkStart w:id="13" w:name="_Toc277082535"/>
      <w:bookmarkStart w:id="14" w:name="_Toc509218691"/>
      <w:bookmarkStart w:id="15" w:name="_Toc430530415"/>
      <w:bookmarkStart w:id="16" w:name="_Toc12427"/>
      <w:bookmarkStart w:id="17" w:name="_Toc224103298"/>
      <w:bookmarkStart w:id="18" w:name="_Toc10054"/>
      <w:bookmarkStart w:id="19" w:name="_Toc287620666"/>
      <w:r>
        <w:rPr>
          <w:rFonts w:ascii="宋体" w:hAnsi="宋体"/>
          <w:snapToGrid w:val="0"/>
          <w:kern w:val="0"/>
        </w:rPr>
        <w:t>第一章  招标公告（</w:t>
      </w:r>
      <w:r>
        <w:rPr>
          <w:rFonts w:hint="eastAsia" w:ascii="宋体" w:hAnsi="宋体"/>
          <w:snapToGrid w:val="0"/>
        </w:rPr>
        <w:t>未进行资格预审</w:t>
      </w:r>
      <w:r>
        <w:rPr>
          <w:rFonts w:ascii="宋体" w:hAnsi="宋体"/>
          <w:snapToGrid w:val="0"/>
          <w:kern w:val="0"/>
        </w:rPr>
        <w:t>）</w:t>
      </w:r>
      <w:bookmarkEnd w:id="12"/>
      <w:bookmarkEnd w:id="13"/>
      <w:bookmarkEnd w:id="14"/>
      <w:bookmarkEnd w:id="15"/>
      <w:bookmarkEnd w:id="16"/>
      <w:bookmarkEnd w:id="17"/>
      <w:bookmarkEnd w:id="18"/>
      <w:bookmarkEnd w:id="19"/>
    </w:p>
    <w:p>
      <w:pPr>
        <w:autoSpaceDE w:val="0"/>
        <w:autoSpaceDN w:val="0"/>
        <w:adjustRightInd w:val="0"/>
        <w:snapToGrid w:val="0"/>
        <w:spacing w:line="360" w:lineRule="auto"/>
        <w:jc w:val="center"/>
        <w:rPr>
          <w:rFonts w:ascii="宋体" w:hAnsi="宋体"/>
          <w:snapToGrid w:val="0"/>
          <w:kern w:val="0"/>
          <w:sz w:val="28"/>
          <w:szCs w:val="28"/>
        </w:rPr>
      </w:pPr>
      <w:r>
        <w:rPr>
          <w:rFonts w:ascii="宋体" w:hAnsi="宋体"/>
          <w:snapToGrid w:val="0"/>
          <w:kern w:val="0"/>
          <w:sz w:val="28"/>
          <w:szCs w:val="28"/>
          <w:u w:val="single"/>
        </w:rPr>
        <w:t xml:space="preserve">                 （项目名称）</w:t>
      </w:r>
      <w:r>
        <w:rPr>
          <w:rFonts w:ascii="宋体" w:hAnsi="宋体"/>
          <w:snapToGrid w:val="0"/>
          <w:w w:val="99"/>
          <w:kern w:val="0"/>
          <w:sz w:val="28"/>
          <w:szCs w:val="28"/>
        </w:rPr>
        <w:t>招标公告</w:t>
      </w:r>
    </w:p>
    <w:p>
      <w:pPr>
        <w:pStyle w:val="4"/>
        <w:spacing w:before="100" w:after="100" w:line="460" w:lineRule="exact"/>
        <w:rPr>
          <w:rFonts w:ascii="宋体" w:hAnsi="宋体"/>
          <w:snapToGrid w:val="0"/>
          <w:sz w:val="28"/>
          <w:szCs w:val="28"/>
        </w:rPr>
      </w:pPr>
      <w:bookmarkStart w:id="20" w:name="_Toc200359427"/>
      <w:bookmarkStart w:id="21" w:name="_Toc277082536"/>
      <w:bookmarkStart w:id="22" w:name="_Toc224103299"/>
      <w:bookmarkStart w:id="23" w:name="_Toc287607728"/>
      <w:bookmarkStart w:id="24" w:name="_Toc24274"/>
      <w:bookmarkStart w:id="25" w:name="_Toc430530416"/>
      <w:bookmarkStart w:id="26" w:name="_Toc9883"/>
      <w:bookmarkStart w:id="27" w:name="_Toc200359238"/>
      <w:bookmarkStart w:id="28" w:name="_Toc287620667"/>
      <w:bookmarkStart w:id="29" w:name="_Toc509218692"/>
      <w:r>
        <w:rPr>
          <w:rFonts w:ascii="宋体" w:hAnsi="宋体"/>
          <w:snapToGrid w:val="0"/>
          <w:sz w:val="28"/>
          <w:szCs w:val="28"/>
        </w:rPr>
        <w:t xml:space="preserve">1. </w:t>
      </w:r>
      <w:r>
        <w:rPr>
          <w:rFonts w:hint="eastAsia" w:ascii="宋体" w:hAnsi="宋体"/>
          <w:snapToGrid w:val="0"/>
          <w:sz w:val="28"/>
          <w:szCs w:val="28"/>
        </w:rPr>
        <w:t xml:space="preserve"> </w:t>
      </w:r>
      <w:r>
        <w:rPr>
          <w:rFonts w:ascii="宋体" w:hAnsi="宋体"/>
          <w:snapToGrid w:val="0"/>
          <w:sz w:val="28"/>
          <w:szCs w:val="28"/>
        </w:rPr>
        <w:t>招标条件</w:t>
      </w:r>
      <w:bookmarkEnd w:id="20"/>
      <w:bookmarkEnd w:id="21"/>
      <w:bookmarkEnd w:id="22"/>
      <w:bookmarkEnd w:id="23"/>
      <w:bookmarkEnd w:id="24"/>
      <w:bookmarkEnd w:id="25"/>
      <w:bookmarkEnd w:id="26"/>
      <w:bookmarkEnd w:id="27"/>
      <w:bookmarkEnd w:id="28"/>
      <w:bookmarkEnd w:id="29"/>
    </w:p>
    <w:p>
      <w:pPr>
        <w:tabs>
          <w:tab w:val="left" w:pos="3315"/>
          <w:tab w:val="left" w:pos="3390"/>
          <w:tab w:val="left" w:pos="6120"/>
          <w:tab w:val="left" w:pos="8850"/>
        </w:tabs>
        <w:autoSpaceDE w:val="0"/>
        <w:autoSpaceDN w:val="0"/>
        <w:adjustRightInd w:val="0"/>
        <w:snapToGrid w:val="0"/>
        <w:spacing w:line="460" w:lineRule="exact"/>
        <w:ind w:firstLine="420"/>
        <w:jc w:val="distribute"/>
        <w:rPr>
          <w:rFonts w:ascii="宋体" w:hAnsi="宋体"/>
          <w:snapToGrid w:val="0"/>
          <w:kern w:val="0"/>
          <w:szCs w:val="21"/>
        </w:rPr>
      </w:pPr>
      <w:r>
        <w:rPr>
          <w:rFonts w:ascii="宋体" w:hAnsi="宋体"/>
          <w:snapToGrid w:val="0"/>
          <w:kern w:val="0"/>
          <w:szCs w:val="21"/>
        </w:rPr>
        <w:t>本招标项目</w:t>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已由</w:t>
      </w:r>
      <w:r>
        <w:rPr>
          <w:rFonts w:hint="eastAsia" w:ascii="宋体" w:hAnsi="宋体"/>
          <w:snapToGrid w:val="0"/>
          <w:kern w:val="0"/>
          <w:szCs w:val="21"/>
          <w:u w:val="single"/>
        </w:rPr>
        <w:t xml:space="preserve">                 </w:t>
      </w:r>
      <w:r>
        <w:rPr>
          <w:rFonts w:ascii="宋体" w:hAnsi="宋体"/>
          <w:snapToGrid w:val="0"/>
          <w:kern w:val="0"/>
          <w:szCs w:val="21"/>
          <w:u w:val="single"/>
        </w:rPr>
        <w:t>（项目审批</w:t>
      </w:r>
      <w:r>
        <w:rPr>
          <w:rFonts w:hint="eastAsia" w:ascii="宋体" w:hAnsi="宋体"/>
          <w:snapToGrid w:val="0"/>
          <w:kern w:val="0"/>
          <w:szCs w:val="21"/>
          <w:u w:val="single"/>
          <w:lang w:val="en-US" w:eastAsia="zh-CN"/>
        </w:rPr>
        <w:t>或</w:t>
      </w:r>
      <w:r>
        <w:rPr>
          <w:rFonts w:ascii="宋体" w:hAnsi="宋体"/>
          <w:snapToGrid w:val="0"/>
          <w:kern w:val="0"/>
          <w:szCs w:val="21"/>
          <w:u w:val="single"/>
        </w:rPr>
        <w:t>核准机关名称）</w:t>
      </w:r>
      <w:r>
        <w:rPr>
          <w:rFonts w:ascii="宋体" w:hAnsi="宋体"/>
          <w:snapToGrid w:val="0"/>
          <w:kern w:val="0"/>
          <w:szCs w:val="21"/>
        </w:rPr>
        <w:t>以</w:t>
      </w:r>
      <w:r>
        <w:rPr>
          <w:rFonts w:hint="eastAsia" w:ascii="宋体" w:hAnsi="宋体"/>
          <w:snapToGrid w:val="0"/>
          <w:kern w:val="0"/>
          <w:szCs w:val="21"/>
          <w:u w:val="single"/>
        </w:rPr>
        <w:t xml:space="preserve">                 </w:t>
      </w:r>
      <w:r>
        <w:rPr>
          <w:rFonts w:ascii="宋体" w:hAnsi="宋体"/>
          <w:snapToGrid w:val="0"/>
          <w:kern w:val="0"/>
          <w:szCs w:val="21"/>
          <w:u w:val="single"/>
        </w:rPr>
        <w:t>（批文名称及编号）</w:t>
      </w:r>
      <w:r>
        <w:rPr>
          <w:rFonts w:ascii="宋体" w:hAnsi="宋体"/>
          <w:snapToGrid w:val="0"/>
          <w:kern w:val="0"/>
          <w:szCs w:val="21"/>
        </w:rPr>
        <w:t>批准建设，项目业主为</w:t>
      </w:r>
      <w:r>
        <w:rPr>
          <w:rFonts w:hint="eastAsia" w:ascii="宋体" w:hAnsi="宋体"/>
          <w:snapToGrid w:val="0"/>
          <w:kern w:val="0"/>
          <w:szCs w:val="21"/>
          <w:u w:val="single"/>
        </w:rPr>
        <w:t xml:space="preserve">                 </w:t>
      </w:r>
      <w:r>
        <w:rPr>
          <w:rFonts w:ascii="宋体" w:hAnsi="宋体"/>
          <w:snapToGrid w:val="0"/>
          <w:kern w:val="0"/>
          <w:szCs w:val="21"/>
        </w:rPr>
        <w:t>，</w:t>
      </w:r>
    </w:p>
    <w:p>
      <w:pPr>
        <w:tabs>
          <w:tab w:val="left" w:pos="3390"/>
          <w:tab w:val="left" w:pos="3420"/>
          <w:tab w:val="left" w:pos="6120"/>
          <w:tab w:val="left" w:pos="7540"/>
          <w:tab w:val="left" w:pos="8320"/>
        </w:tabs>
        <w:autoSpaceDE w:val="0"/>
        <w:autoSpaceDN w:val="0"/>
        <w:adjustRightInd w:val="0"/>
        <w:snapToGrid w:val="0"/>
        <w:spacing w:line="460" w:lineRule="exact"/>
        <w:rPr>
          <w:rFonts w:ascii="宋体" w:hAnsi="宋体"/>
          <w:snapToGrid w:val="0"/>
          <w:kern w:val="0"/>
          <w:szCs w:val="21"/>
        </w:rPr>
      </w:pPr>
      <w:r>
        <w:rPr>
          <w:rFonts w:ascii="宋体" w:hAnsi="宋体"/>
          <w:snapToGrid w:val="0"/>
          <w:kern w:val="0"/>
          <w:szCs w:val="21"/>
        </w:rPr>
        <w:t>建设资金来自</w:t>
      </w:r>
      <w:r>
        <w:rPr>
          <w:rFonts w:hint="eastAsia" w:ascii="宋体" w:hAnsi="宋体"/>
          <w:snapToGrid w:val="0"/>
          <w:kern w:val="0"/>
          <w:szCs w:val="21"/>
          <w:u w:val="single"/>
        </w:rPr>
        <w:t xml:space="preserve">                 </w:t>
      </w:r>
      <w:r>
        <w:rPr>
          <w:rFonts w:ascii="宋体" w:hAnsi="宋体"/>
          <w:snapToGrid w:val="0"/>
          <w:kern w:val="0"/>
          <w:szCs w:val="21"/>
          <w:u w:val="single"/>
        </w:rPr>
        <w:t>（资金来源）</w:t>
      </w:r>
      <w:r>
        <w:rPr>
          <w:rFonts w:ascii="宋体" w:hAnsi="宋体"/>
          <w:snapToGrid w:val="0"/>
          <w:kern w:val="0"/>
          <w:szCs w:val="21"/>
        </w:rPr>
        <w:t>，项目出资比例为</w:t>
      </w:r>
      <w:r>
        <w:rPr>
          <w:rFonts w:hint="eastAsia" w:ascii="宋体" w:hAnsi="宋体"/>
          <w:snapToGrid w:val="0"/>
          <w:kern w:val="0"/>
          <w:szCs w:val="21"/>
          <w:u w:val="single"/>
        </w:rPr>
        <w:t xml:space="preserve">                 </w:t>
      </w:r>
      <w:r>
        <w:rPr>
          <w:rFonts w:ascii="宋体" w:hAnsi="宋体"/>
          <w:snapToGrid w:val="0"/>
          <w:kern w:val="0"/>
          <w:szCs w:val="21"/>
        </w:rPr>
        <w:t>，招标人</w:t>
      </w:r>
      <w:r>
        <w:rPr>
          <w:rFonts w:ascii="宋体" w:hAnsi="宋体"/>
          <w:snapToGrid w:val="0"/>
          <w:kern w:val="0"/>
          <w:position w:val="-2"/>
          <w:szCs w:val="21"/>
        </w:rPr>
        <w:t>为</w:t>
      </w:r>
      <w:r>
        <w:rPr>
          <w:rFonts w:hint="eastAsia" w:ascii="宋体" w:hAnsi="宋体"/>
          <w:snapToGrid w:val="0"/>
          <w:kern w:val="0"/>
          <w:szCs w:val="21"/>
          <w:u w:val="single"/>
        </w:rPr>
        <w:t xml:space="preserve">                 </w:t>
      </w:r>
      <w:r>
        <w:rPr>
          <w:rFonts w:ascii="宋体" w:hAnsi="宋体"/>
          <w:snapToGrid w:val="0"/>
          <w:kern w:val="0"/>
          <w:position w:val="-2"/>
          <w:szCs w:val="21"/>
        </w:rPr>
        <w:t>。项目已具备招标条件，现对</w:t>
      </w:r>
      <w:r>
        <w:rPr>
          <w:rFonts w:hint="eastAsia" w:ascii="宋体" w:hAnsi="宋体"/>
          <w:snapToGrid w:val="0"/>
          <w:kern w:val="0"/>
          <w:position w:val="-2"/>
          <w:szCs w:val="21"/>
          <w:u w:val="single"/>
        </w:rPr>
        <w:t>该项目的施工</w:t>
      </w:r>
      <w:r>
        <w:rPr>
          <w:rFonts w:ascii="宋体" w:hAnsi="宋体"/>
          <w:snapToGrid w:val="0"/>
          <w:kern w:val="0"/>
          <w:position w:val="-2"/>
          <w:szCs w:val="21"/>
        </w:rPr>
        <w:t>进行公开招标。</w:t>
      </w:r>
    </w:p>
    <w:p>
      <w:pPr>
        <w:pStyle w:val="4"/>
        <w:spacing w:before="100" w:after="100" w:line="460" w:lineRule="exact"/>
        <w:rPr>
          <w:rFonts w:ascii="宋体" w:hAnsi="宋体"/>
          <w:snapToGrid w:val="0"/>
          <w:sz w:val="28"/>
          <w:szCs w:val="28"/>
        </w:rPr>
      </w:pPr>
      <w:bookmarkStart w:id="30" w:name="_Toc287607729"/>
      <w:bookmarkStart w:id="31" w:name="_Toc430530417"/>
      <w:bookmarkStart w:id="32" w:name="_Toc16500"/>
      <w:bookmarkStart w:id="33" w:name="_Toc287620668"/>
      <w:bookmarkStart w:id="34" w:name="_Toc8532"/>
      <w:bookmarkStart w:id="35" w:name="_Toc200359428"/>
      <w:bookmarkStart w:id="36" w:name="_Toc224103300"/>
      <w:bookmarkStart w:id="37" w:name="_Toc200359239"/>
      <w:bookmarkStart w:id="38" w:name="_Toc509218693"/>
      <w:bookmarkStart w:id="39" w:name="_Toc277082537"/>
      <w:r>
        <w:rPr>
          <w:rFonts w:ascii="宋体" w:hAnsi="宋体"/>
          <w:snapToGrid w:val="0"/>
          <w:sz w:val="28"/>
          <w:szCs w:val="28"/>
        </w:rPr>
        <w:t>2.</w:t>
      </w:r>
      <w:r>
        <w:rPr>
          <w:rFonts w:hint="eastAsia" w:ascii="宋体" w:hAnsi="宋体"/>
          <w:snapToGrid w:val="0"/>
          <w:sz w:val="28"/>
          <w:szCs w:val="28"/>
        </w:rPr>
        <w:t xml:space="preserve"> </w:t>
      </w:r>
      <w:r>
        <w:rPr>
          <w:rFonts w:ascii="宋体" w:hAnsi="宋体"/>
          <w:snapToGrid w:val="0"/>
          <w:sz w:val="28"/>
          <w:szCs w:val="28"/>
        </w:rPr>
        <w:t xml:space="preserve"> 项目概况与招标范围</w:t>
      </w:r>
      <w:bookmarkEnd w:id="30"/>
      <w:bookmarkEnd w:id="31"/>
      <w:bookmarkEnd w:id="32"/>
      <w:bookmarkEnd w:id="33"/>
      <w:bookmarkEnd w:id="34"/>
      <w:bookmarkEnd w:id="35"/>
      <w:bookmarkEnd w:id="36"/>
      <w:bookmarkEnd w:id="37"/>
      <w:bookmarkEnd w:id="38"/>
      <w:bookmarkEnd w:id="39"/>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2.2 项目概况与建设规模：</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napToGrid w:val="0"/>
          <w:kern w:val="0"/>
          <w:szCs w:val="21"/>
        </w:rPr>
      </w:pPr>
      <w:r>
        <w:rPr>
          <w:rFonts w:hint="eastAsia" w:ascii="宋体" w:hAnsi="宋体"/>
          <w:i/>
          <w:snapToGrid w:val="0"/>
          <w:kern w:val="0"/>
          <w:szCs w:val="21"/>
        </w:rPr>
        <w:t>[提示：</w:t>
      </w:r>
      <w:r>
        <w:rPr>
          <w:rFonts w:hint="eastAsia" w:asciiTheme="minorEastAsia" w:hAnsiTheme="minorEastAsia" w:eastAsiaTheme="minorEastAsia"/>
          <w:i/>
          <w:color w:val="auto"/>
          <w:szCs w:val="21"/>
          <w:highlight w:val="none"/>
        </w:rPr>
        <w:t>项目概况与建设规模</w:t>
      </w:r>
      <w:r>
        <w:rPr>
          <w:rFonts w:hint="eastAsia" w:ascii="宋体" w:hAnsi="宋体"/>
          <w:i/>
          <w:snapToGrid w:val="0"/>
          <w:kern w:val="0"/>
          <w:szCs w:val="21"/>
        </w:rPr>
        <w:t>应体现与业绩</w:t>
      </w:r>
      <w:r>
        <w:rPr>
          <w:rFonts w:hint="eastAsia" w:ascii="宋体" w:hAnsi="宋体"/>
          <w:i/>
          <w:snapToGrid w:val="0"/>
          <w:kern w:val="0"/>
          <w:szCs w:val="21"/>
          <w:lang w:val="en-US" w:eastAsia="zh-CN"/>
        </w:rPr>
        <w:t>要求</w:t>
      </w:r>
      <w:r>
        <w:rPr>
          <w:rFonts w:hint="eastAsia" w:ascii="宋体" w:hAnsi="宋体"/>
          <w:i/>
          <w:snapToGrid w:val="0"/>
          <w:kern w:val="0"/>
          <w:szCs w:val="21"/>
        </w:rPr>
        <w:t>对应的参数，包括但不限于：建筑面积、高度、长度、道路等级等。]</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2.3 □本项目工程总投资</w:t>
      </w:r>
      <w:r>
        <w:rPr>
          <w:rFonts w:hint="eastAsia" w:ascii="宋体" w:hAnsi="宋体"/>
          <w:snapToGrid w:val="0"/>
          <w:kern w:val="0"/>
          <w:szCs w:val="21"/>
          <w:lang w:val="en-US" w:eastAsia="zh-CN"/>
        </w:rPr>
        <w:t>金</w:t>
      </w:r>
      <w:r>
        <w:rPr>
          <w:rFonts w:hint="eastAsia" w:ascii="宋体" w:hAnsi="宋体"/>
          <w:snapToGrid w:val="0"/>
          <w:kern w:val="0"/>
          <w:szCs w:val="21"/>
        </w:rPr>
        <w:t>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u w:val="single"/>
        </w:rPr>
      </w:pPr>
      <w:r>
        <w:rPr>
          <w:rFonts w:hint="eastAsia" w:ascii="宋体" w:hAnsi="宋体"/>
          <w:snapToGrid w:val="0"/>
          <w:kern w:val="0"/>
          <w:szCs w:val="21"/>
        </w:rPr>
        <w:t>□本次招标项目合同估算金额：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2.4 招标范围：</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i/>
          <w:snapToGrid w:val="0"/>
          <w:kern w:val="0"/>
          <w:szCs w:val="21"/>
        </w:rPr>
        <w:t>[提示：</w:t>
      </w:r>
      <w:r>
        <w:rPr>
          <w:rFonts w:ascii="宋体" w:hAnsi="宋体"/>
          <w:i/>
          <w:szCs w:val="21"/>
        </w:rPr>
        <w:t>招标范围应准确明了，</w:t>
      </w:r>
      <w:r>
        <w:rPr>
          <w:rFonts w:hint="eastAsia" w:ascii="宋体" w:hAnsi="宋体"/>
          <w:i/>
          <w:szCs w:val="21"/>
        </w:rPr>
        <w:t>按照项目审批、核准文件</w:t>
      </w:r>
      <w:r>
        <w:rPr>
          <w:rFonts w:ascii="宋体" w:hAnsi="宋体"/>
          <w:i/>
          <w:szCs w:val="21"/>
        </w:rPr>
        <w:t>采用工程专业术语</w:t>
      </w:r>
      <w:r>
        <w:rPr>
          <w:rFonts w:hint="eastAsia" w:ascii="宋体" w:hAnsi="宋体"/>
          <w:i/>
          <w:szCs w:val="21"/>
        </w:rPr>
        <w:t>进行</w:t>
      </w:r>
      <w:r>
        <w:rPr>
          <w:rFonts w:ascii="宋体" w:hAnsi="宋体"/>
          <w:i/>
          <w:szCs w:val="21"/>
        </w:rPr>
        <w:t>填写</w:t>
      </w:r>
      <w:r>
        <w:rPr>
          <w:rFonts w:hint="eastAsia" w:ascii="宋体" w:hAnsi="宋体"/>
          <w:i/>
          <w:szCs w:val="21"/>
        </w:rPr>
        <w:t>。</w:t>
      </w:r>
      <w:r>
        <w:rPr>
          <w:rFonts w:hint="eastAsia" w:ascii="宋体" w:hAnsi="宋体"/>
          <w:i/>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2.5 工期要求：</w:t>
      </w:r>
      <w:r>
        <w:rPr>
          <w:rFonts w:hint="eastAsia" w:ascii="宋体" w:hAnsi="宋体"/>
          <w:snapToGrid w:val="0"/>
          <w:kern w:val="0"/>
          <w:szCs w:val="21"/>
          <w:u w:val="single"/>
        </w:rPr>
        <w:t xml:space="preserve">        日历天</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 xml:space="preserve">    缺陷责任期要求：</w:t>
      </w:r>
      <w:r>
        <w:rPr>
          <w:rFonts w:hint="eastAsia" w:ascii="宋体" w:hAnsi="宋体"/>
          <w:snapToGrid w:val="0"/>
          <w:kern w:val="0"/>
          <w:szCs w:val="21"/>
          <w:u w:val="single"/>
        </w:rPr>
        <w:t xml:space="preserve">        个月</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2.6 标段划分（如有）：</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2.</w:t>
      </w:r>
      <w:r>
        <w:rPr>
          <w:rFonts w:hint="default" w:ascii="宋体" w:hAnsi="宋体"/>
          <w:snapToGrid w:val="0"/>
          <w:kern w:val="0"/>
          <w:szCs w:val="21"/>
          <w:lang w:val="en-US"/>
        </w:rPr>
        <w:t>7</w:t>
      </w:r>
      <w:r>
        <w:rPr>
          <w:rFonts w:hint="eastAsia" w:ascii="宋体" w:hAnsi="宋体"/>
          <w:snapToGrid w:val="0"/>
          <w:kern w:val="0"/>
          <w:szCs w:val="21"/>
        </w:rPr>
        <w:t xml:space="preserve"> 其他：</w:t>
      </w:r>
      <w:r>
        <w:rPr>
          <w:rFonts w:hint="eastAsia" w:ascii="宋体" w:hAnsi="宋体"/>
          <w:snapToGrid w:val="0"/>
          <w:kern w:val="0"/>
          <w:szCs w:val="21"/>
          <w:u w:val="single"/>
        </w:rPr>
        <w:t xml:space="preserve">        </w:t>
      </w:r>
    </w:p>
    <w:p>
      <w:pPr>
        <w:pStyle w:val="4"/>
        <w:spacing w:before="100" w:after="100" w:line="460" w:lineRule="exact"/>
        <w:rPr>
          <w:rFonts w:hint="default" w:ascii="宋体" w:hAnsi="宋体" w:eastAsia="宋体"/>
          <w:snapToGrid w:val="0"/>
          <w:sz w:val="28"/>
          <w:szCs w:val="28"/>
          <w:lang w:val="en-US" w:eastAsia="zh-CN"/>
        </w:rPr>
      </w:pPr>
      <w:bookmarkStart w:id="40" w:name="_Toc12604"/>
      <w:r>
        <w:rPr>
          <w:rFonts w:hint="eastAsia" w:ascii="宋体" w:hAnsi="宋体"/>
          <w:snapToGrid w:val="0"/>
          <w:sz w:val="28"/>
          <w:szCs w:val="28"/>
          <w:lang w:val="en-US" w:eastAsia="zh-CN"/>
        </w:rPr>
        <w:t>3</w:t>
      </w:r>
      <w:r>
        <w:rPr>
          <w:rFonts w:ascii="宋体" w:hAnsi="宋体"/>
          <w:snapToGrid w:val="0"/>
          <w:sz w:val="28"/>
          <w:szCs w:val="28"/>
        </w:rPr>
        <w:t xml:space="preserve">. </w:t>
      </w:r>
      <w:r>
        <w:rPr>
          <w:rFonts w:hint="eastAsia" w:ascii="宋体" w:hAnsi="宋体"/>
          <w:snapToGrid w:val="0"/>
          <w:sz w:val="28"/>
          <w:szCs w:val="28"/>
        </w:rPr>
        <w:t xml:space="preserve"> </w:t>
      </w:r>
      <w:r>
        <w:rPr>
          <w:rFonts w:hint="eastAsia" w:ascii="宋体" w:hAnsi="宋体"/>
          <w:snapToGrid w:val="0"/>
          <w:sz w:val="28"/>
          <w:szCs w:val="28"/>
          <w:lang w:val="en-US" w:eastAsia="zh-CN"/>
        </w:rPr>
        <w:t>政府采购工程</w:t>
      </w:r>
      <w:bookmarkEnd w:id="40"/>
    </w:p>
    <w:p>
      <w:pPr>
        <w:tabs>
          <w:tab w:val="left" w:pos="3840"/>
          <w:tab w:val="left" w:pos="5300"/>
        </w:tabs>
        <w:autoSpaceDE w:val="0"/>
        <w:autoSpaceDN w:val="0"/>
        <w:adjustRightInd w:val="0"/>
        <w:snapToGrid w:val="0"/>
        <w:spacing w:line="460" w:lineRule="exact"/>
        <w:ind w:firstLine="420" w:firstLineChars="200"/>
        <w:jc w:val="left"/>
        <w:rPr>
          <w:rFonts w:hint="default" w:ascii="宋体" w:hAnsi="宋体"/>
          <w:snapToGrid w:val="0"/>
          <w:kern w:val="0"/>
          <w:szCs w:val="21"/>
          <w:lang w:val="en-US" w:eastAsia="zh-CN"/>
        </w:rPr>
      </w:pPr>
      <w:r>
        <w:rPr>
          <w:rFonts w:hint="eastAsia" w:ascii="宋体" w:hAnsi="宋体"/>
          <w:snapToGrid w:val="0"/>
          <w:kern w:val="0"/>
          <w:szCs w:val="21"/>
          <w:lang w:val="en-US" w:eastAsia="zh-CN"/>
        </w:rPr>
        <w:t xml:space="preserve">3.1 </w:t>
      </w:r>
      <w:r>
        <w:rPr>
          <w:rFonts w:hint="eastAsia" w:ascii="宋体" w:hAnsi="宋体"/>
          <w:snapToGrid w:val="0"/>
          <w:kern w:val="0"/>
          <w:szCs w:val="21"/>
        </w:rPr>
        <w:t>是否属于政府采购工程</w:t>
      </w:r>
      <w:r>
        <w:rPr>
          <w:rFonts w:hint="eastAsia" w:ascii="宋体" w:hAnsi="宋体"/>
          <w:snapToGrid w:val="0"/>
          <w:kern w:val="0"/>
          <w:szCs w:val="21"/>
          <w:lang w:eastAsia="zh-CN"/>
        </w:rPr>
        <w:t>：</w:t>
      </w:r>
      <w:r>
        <w:rPr>
          <w:rFonts w:hint="eastAsia" w:ascii="宋体" w:hAnsi="宋体"/>
          <w:snapToGrid w:val="0"/>
          <w:kern w:val="0"/>
          <w:szCs w:val="21"/>
        </w:rPr>
        <w:t>□是</w:t>
      </w:r>
      <w:r>
        <w:rPr>
          <w:rFonts w:hint="eastAsia" w:ascii="宋体" w:hAnsi="宋体"/>
          <w:snapToGrid w:val="0"/>
          <w:kern w:val="0"/>
          <w:szCs w:val="21"/>
          <w:lang w:val="en-US" w:eastAsia="zh-CN"/>
        </w:rPr>
        <w:t xml:space="preserve"> </w:t>
      </w:r>
      <w:r>
        <w:rPr>
          <w:rFonts w:hint="eastAsia" w:ascii="宋体" w:hAnsi="宋体"/>
          <w:snapToGrid w:val="0"/>
          <w:kern w:val="0"/>
          <w:szCs w:val="21"/>
        </w:rPr>
        <w:t>□否</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rPr>
      </w:pPr>
      <w:r>
        <w:rPr>
          <w:rFonts w:hint="eastAsia" w:ascii="宋体" w:hAnsi="宋体"/>
          <w:snapToGrid w:val="0"/>
          <w:kern w:val="0"/>
          <w:szCs w:val="21"/>
          <w:lang w:val="en-US" w:eastAsia="zh-CN"/>
        </w:rPr>
        <w:t xml:space="preserve">3.2 </w:t>
      </w:r>
      <w:r>
        <w:rPr>
          <w:rFonts w:hint="eastAsia" w:ascii="宋体" w:hAnsi="宋体"/>
          <w:snapToGrid w:val="0"/>
          <w:kern w:val="0"/>
          <w:szCs w:val="21"/>
        </w:rPr>
        <w:t>是否专门面向中小企业预留：□是</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rPr>
        <w:t>专门面向中小企业预留的实施方式：</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w:t>
      </w:r>
      <w:r>
        <w:rPr>
          <w:rFonts w:hint="eastAsia" w:ascii="宋体" w:hAnsi="宋体"/>
          <w:i/>
          <w:iCs/>
          <w:snapToGrid w:val="0"/>
          <w:kern w:val="0"/>
          <w:szCs w:val="21"/>
          <w:u w:val="none"/>
        </w:rPr>
        <w:t>不低于40%</w:t>
      </w:r>
      <w:r>
        <w:rPr>
          <w:rFonts w:hint="eastAsia" w:ascii="宋体" w:hAnsi="宋体"/>
          <w:i/>
          <w:iCs/>
          <w:snapToGrid w:val="0"/>
          <w:kern w:val="0"/>
          <w:szCs w:val="21"/>
          <w:highlight w:val="none"/>
          <w:u w:val="none"/>
        </w:rPr>
        <w:t>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rPr>
        <w:t>本项目整体面向中小企业</w:t>
      </w:r>
      <w:r>
        <w:rPr>
          <w:rFonts w:hint="eastAsia" w:ascii="宋体" w:hAnsi="宋体"/>
          <w:snapToGrid w:val="0"/>
          <w:kern w:val="0"/>
          <w:szCs w:val="21"/>
          <w:highlight w:val="non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w:t>
      </w:r>
      <w:r>
        <w:rPr>
          <w:rFonts w:hint="eastAsia" w:ascii="宋体" w:hAnsi="宋体"/>
          <w:snapToGrid w:val="0"/>
          <w:kern w:val="0"/>
          <w:szCs w:val="21"/>
        </w:rPr>
        <w:t>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□否</w:t>
      </w:r>
      <w:r>
        <w:rPr>
          <w:rFonts w:hint="eastAsia" w:ascii="宋体" w:hAnsi="宋体"/>
          <w:snapToGrid w:val="0"/>
          <w:kern w:val="0"/>
          <w:szCs w:val="21"/>
          <w:highlight w:val="none"/>
          <w:lang w:eastAsia="zh-CN"/>
        </w:rPr>
        <w:t>，</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u w:val="none"/>
          <w:lang w:val="en-US" w:eastAsia="zh-CN"/>
        </w:rPr>
        <w:t>。</w:t>
      </w:r>
      <w:r>
        <w:rPr>
          <w:rFonts w:hint="eastAsia" w:ascii="宋体" w:hAnsi="宋体"/>
          <w:i/>
          <w:iCs/>
          <w:snapToGrid w:val="0"/>
          <w:kern w:val="0"/>
          <w:szCs w:val="21"/>
          <w:u w:val="none"/>
        </w:rPr>
        <w:t>[提示：填写不专门面向中小企业采购的原因及适用条款</w:t>
      </w:r>
      <w:r>
        <w:rPr>
          <w:rFonts w:hint="eastAsia" w:ascii="宋体" w:hAnsi="宋体"/>
          <w:i/>
          <w:iCs/>
          <w:snapToGrid w:val="0"/>
          <w:kern w:val="0"/>
          <w:szCs w:val="21"/>
          <w:highlight w:val="none"/>
          <w:u w:val="none"/>
          <w:lang w:eastAsia="zh-CN"/>
        </w:rPr>
        <w:t>，详见《政府采购促进中小企业发展管理办法》第六条。</w:t>
      </w:r>
      <w:r>
        <w:rPr>
          <w:rFonts w:hint="eastAsia" w:ascii="宋体" w:hAnsi="宋体"/>
          <w:i/>
          <w:iCs/>
          <w:snapToGrid w:val="0"/>
          <w:kern w:val="0"/>
          <w:szCs w:val="21"/>
          <w:highlight w:val="none"/>
          <w:u w:val="none"/>
        </w:rPr>
        <w:t>]</w:t>
      </w:r>
    </w:p>
    <w:p>
      <w:pPr>
        <w:pStyle w:val="4"/>
        <w:spacing w:before="100" w:after="100" w:line="460" w:lineRule="exact"/>
        <w:rPr>
          <w:rFonts w:ascii="宋体" w:hAnsi="宋体"/>
          <w:snapToGrid w:val="0"/>
          <w:sz w:val="28"/>
          <w:szCs w:val="28"/>
        </w:rPr>
      </w:pPr>
      <w:bookmarkStart w:id="41" w:name="_Toc430530418"/>
      <w:bookmarkStart w:id="42" w:name="_Toc19612"/>
      <w:bookmarkStart w:id="43" w:name="_Toc21962"/>
      <w:bookmarkStart w:id="44" w:name="_Toc277082538"/>
      <w:bookmarkStart w:id="45" w:name="_Toc200359429"/>
      <w:bookmarkStart w:id="46" w:name="_Toc509218694"/>
      <w:bookmarkStart w:id="47" w:name="_Toc200359240"/>
      <w:bookmarkStart w:id="48" w:name="_Toc287607730"/>
      <w:bookmarkStart w:id="49" w:name="_Toc287620669"/>
      <w:bookmarkStart w:id="50" w:name="_Toc224103301"/>
      <w:r>
        <w:rPr>
          <w:rFonts w:hint="eastAsia" w:ascii="宋体" w:hAnsi="宋体"/>
          <w:snapToGrid w:val="0"/>
          <w:sz w:val="28"/>
          <w:szCs w:val="28"/>
          <w:lang w:val="en-US" w:eastAsia="zh-CN"/>
        </w:rPr>
        <w:t>4</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投标人资格要求</w:t>
      </w:r>
      <w:bookmarkEnd w:id="41"/>
      <w:bookmarkEnd w:id="42"/>
      <w:bookmarkEnd w:id="43"/>
      <w:bookmarkEnd w:id="44"/>
      <w:bookmarkEnd w:id="45"/>
      <w:bookmarkEnd w:id="46"/>
      <w:bookmarkEnd w:id="47"/>
      <w:bookmarkEnd w:id="48"/>
      <w:bookmarkEnd w:id="49"/>
      <w:bookmarkEnd w:id="50"/>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4</w:t>
      </w:r>
      <w:r>
        <w:rPr>
          <w:rFonts w:ascii="宋体" w:hAnsi="宋体"/>
          <w:snapToGrid w:val="0"/>
          <w:kern w:val="0"/>
          <w:szCs w:val="21"/>
        </w:rPr>
        <w:t>.1  本次招标要求投标人须具备</w:t>
      </w:r>
      <w:r>
        <w:rPr>
          <w:rFonts w:hint="eastAsia" w:ascii="宋体" w:hAnsi="宋体"/>
          <w:snapToGrid w:val="0"/>
          <w:kern w:val="0"/>
          <w:szCs w:val="21"/>
        </w:rPr>
        <w:t>以下条件：</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4</w:t>
      </w:r>
      <w:r>
        <w:rPr>
          <w:rFonts w:hint="eastAsia" w:ascii="宋体" w:hAnsi="宋体"/>
          <w:snapToGrid w:val="0"/>
          <w:kern w:val="0"/>
          <w:szCs w:val="21"/>
        </w:rPr>
        <w:t>.1.1 本次招标要求投标人具备的资质条件：</w:t>
      </w:r>
      <w:r>
        <w:rPr>
          <w:rFonts w:hint="eastAsia" w:ascii="宋体" w:hAnsi="宋体"/>
          <w:snapToGrid w:val="0"/>
          <w:kern w:val="0"/>
          <w:szCs w:val="21"/>
          <w:u w:val="single"/>
        </w:rPr>
        <w:t xml:space="preserve">                   </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zCs w:val="21"/>
        </w:rPr>
      </w:pPr>
      <w:r>
        <w:rPr>
          <w:rFonts w:hint="eastAsia" w:ascii="宋体" w:hAnsi="宋体"/>
          <w:i/>
          <w:szCs w:val="21"/>
        </w:rPr>
        <w:t>[提示：资质的</w:t>
      </w:r>
      <w:r>
        <w:rPr>
          <w:rFonts w:hint="eastAsia" w:ascii="宋体" w:hAnsi="宋体"/>
          <w:i/>
          <w:szCs w:val="21"/>
          <w:lang w:val="en-US" w:eastAsia="zh-CN"/>
        </w:rPr>
        <w:t>设置按照住房城乡建设行业主管部门相关规定执行</w:t>
      </w:r>
      <w:r>
        <w:rPr>
          <w:rFonts w:hint="eastAsia" w:ascii="宋体" w:hAnsi="宋体"/>
          <w:i/>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zCs w:val="21"/>
        </w:rPr>
      </w:pPr>
      <w:r>
        <w:rPr>
          <w:rFonts w:hint="eastAsia" w:ascii="宋体" w:hAnsi="宋体"/>
          <w:snapToGrid w:val="0"/>
          <w:kern w:val="0"/>
          <w:szCs w:val="21"/>
          <w:lang w:val="en-US" w:eastAsia="zh-CN"/>
        </w:rPr>
        <w:t>4</w:t>
      </w:r>
      <w:r>
        <w:rPr>
          <w:rFonts w:hint="eastAsia" w:ascii="宋体" w:hAnsi="宋体"/>
          <w:snapToGrid w:val="0"/>
          <w:kern w:val="0"/>
          <w:szCs w:val="21"/>
        </w:rPr>
        <w:t>.1.</w:t>
      </w:r>
      <w:r>
        <w:rPr>
          <w:rFonts w:hint="eastAsia" w:ascii="宋体" w:hAnsi="宋体"/>
          <w:snapToGrid w:val="0"/>
          <w:kern w:val="0"/>
          <w:szCs w:val="21"/>
          <w:lang w:val="en-US" w:eastAsia="zh-CN"/>
        </w:rPr>
        <w:t>2</w:t>
      </w:r>
      <w:r>
        <w:rPr>
          <w:rFonts w:hint="eastAsia" w:ascii="宋体" w:hAnsi="宋体"/>
          <w:snapToGrid w:val="0"/>
          <w:kern w:val="0"/>
          <w:szCs w:val="21"/>
        </w:rPr>
        <w:t xml:space="preserve"> 投标人还应在人员、</w:t>
      </w:r>
      <w:r>
        <w:rPr>
          <w:rFonts w:hint="eastAsia" w:ascii="宋体" w:hAnsi="宋体"/>
          <w:snapToGrid w:val="0"/>
          <w:kern w:val="0"/>
          <w:szCs w:val="21"/>
          <w:lang w:val="en-US" w:eastAsia="zh-CN"/>
        </w:rPr>
        <w:t>业绩、</w:t>
      </w:r>
      <w:r>
        <w:rPr>
          <w:rFonts w:hint="eastAsia" w:ascii="宋体" w:hAnsi="宋体"/>
          <w:snapToGrid w:val="0"/>
          <w:kern w:val="0"/>
          <w:szCs w:val="21"/>
        </w:rPr>
        <w:t>设备、资金等方面具有相应的施工能力，详见招标文件第二章投标人须知前附表第1.4.1项内容。</w:t>
      </w:r>
    </w:p>
    <w:p>
      <w:pPr>
        <w:tabs>
          <w:tab w:val="left" w:pos="3045"/>
          <w:tab w:val="left" w:pos="8310"/>
        </w:tabs>
        <w:autoSpaceDE w:val="0"/>
        <w:autoSpaceDN w:val="0"/>
        <w:adjustRightInd w:val="0"/>
        <w:snapToGrid w:val="0"/>
        <w:spacing w:line="460" w:lineRule="exact"/>
        <w:ind w:firstLine="420" w:firstLineChars="200"/>
        <w:rPr>
          <w:rFonts w:ascii="宋体" w:hAnsi="宋体"/>
          <w:snapToGrid w:val="0"/>
          <w:kern w:val="0"/>
          <w:szCs w:val="21"/>
        </w:rPr>
      </w:pPr>
      <w:r>
        <w:rPr>
          <w:rFonts w:hint="eastAsia" w:ascii="宋体" w:hAnsi="宋体"/>
          <w:snapToGrid w:val="0"/>
          <w:kern w:val="0"/>
          <w:szCs w:val="21"/>
          <w:lang w:val="en-US" w:eastAsia="zh-CN"/>
        </w:rPr>
        <w:t>4</w:t>
      </w:r>
      <w:r>
        <w:rPr>
          <w:rFonts w:ascii="宋体" w:hAnsi="宋体"/>
          <w:snapToGrid w:val="0"/>
          <w:kern w:val="0"/>
          <w:szCs w:val="21"/>
        </w:rPr>
        <w:t>.2  本次招标</w:t>
      </w:r>
      <w:r>
        <w:rPr>
          <w:rFonts w:hint="eastAsia" w:ascii="宋体" w:hAnsi="宋体"/>
          <w:snapToGrid w:val="0"/>
          <w:kern w:val="0"/>
          <w:szCs w:val="21"/>
        </w:rPr>
        <w:t>□接受 □不接受</w:t>
      </w:r>
      <w:r>
        <w:rPr>
          <w:rFonts w:ascii="宋体" w:hAnsi="宋体"/>
          <w:snapToGrid w:val="0"/>
          <w:kern w:val="0"/>
          <w:szCs w:val="21"/>
        </w:rPr>
        <w:t>联合体投标。联合体投标的，应满足下列要求：</w:t>
      </w:r>
      <w:r>
        <w:rPr>
          <w:rFonts w:hint="eastAsia" w:ascii="宋体" w:hAnsi="宋体"/>
          <w:snapToGrid w:val="0"/>
          <w:kern w:val="0"/>
          <w:szCs w:val="21"/>
          <w:u w:val="single"/>
        </w:rPr>
        <w:t xml:space="preserve">                 </w:t>
      </w:r>
      <w:r>
        <w:rPr>
          <w:rFonts w:ascii="宋体" w:hAnsi="宋体"/>
          <w:snapToGrid w:val="0"/>
          <w:kern w:val="0"/>
          <w:szCs w:val="21"/>
        </w:rPr>
        <w:t>。</w:t>
      </w:r>
    </w:p>
    <w:p>
      <w:pPr>
        <w:pStyle w:val="4"/>
        <w:spacing w:before="100" w:after="100" w:line="460" w:lineRule="exact"/>
        <w:rPr>
          <w:rFonts w:ascii="宋体" w:hAnsi="宋体"/>
          <w:snapToGrid w:val="0"/>
          <w:sz w:val="28"/>
          <w:szCs w:val="28"/>
        </w:rPr>
      </w:pPr>
      <w:bookmarkStart w:id="51" w:name="_Toc30530"/>
      <w:bookmarkStart w:id="52" w:name="_Toc287620670"/>
      <w:bookmarkStart w:id="53" w:name="_Toc509218695"/>
      <w:bookmarkStart w:id="54" w:name="_Toc24104"/>
      <w:bookmarkStart w:id="55" w:name="_Toc200359430"/>
      <w:bookmarkStart w:id="56" w:name="_Toc224103302"/>
      <w:bookmarkStart w:id="57" w:name="_Toc277082539"/>
      <w:bookmarkStart w:id="58" w:name="_Toc430530419"/>
      <w:bookmarkStart w:id="59" w:name="_Toc287607731"/>
      <w:bookmarkStart w:id="60" w:name="_Toc200359241"/>
      <w:r>
        <w:rPr>
          <w:rFonts w:hint="eastAsia" w:ascii="宋体" w:hAnsi="宋体"/>
          <w:snapToGrid w:val="0"/>
          <w:sz w:val="28"/>
          <w:szCs w:val="28"/>
          <w:lang w:val="en-US" w:eastAsia="zh-CN"/>
        </w:rPr>
        <w:t>5</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招标文件的获取</w:t>
      </w:r>
      <w:bookmarkEnd w:id="51"/>
      <w:bookmarkEnd w:id="52"/>
      <w:bookmarkEnd w:id="53"/>
      <w:bookmarkEnd w:id="54"/>
      <w:bookmarkEnd w:id="55"/>
      <w:bookmarkEnd w:id="56"/>
      <w:bookmarkEnd w:id="57"/>
      <w:bookmarkEnd w:id="58"/>
      <w:bookmarkEnd w:id="59"/>
      <w:bookmarkEnd w:id="60"/>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lang w:val="en-US" w:eastAsia="zh-CN"/>
        </w:rPr>
        <w:t>5</w:t>
      </w:r>
      <w:r>
        <w:rPr>
          <w:rFonts w:hint="eastAsia" w:ascii="宋体" w:hAnsi="宋体"/>
          <w:snapToGrid w:val="0"/>
          <w:kern w:val="0"/>
          <w:szCs w:val="21"/>
        </w:rPr>
        <w:t xml:space="preserve">.1  </w:t>
      </w:r>
      <w:r>
        <w:rPr>
          <w:rFonts w:ascii="宋体" w:hAnsi="宋体"/>
          <w:snapToGrid w:val="0"/>
          <w:kern w:val="0"/>
          <w:szCs w:val="21"/>
        </w:rPr>
        <w:t>本招标项目采用</w:t>
      </w:r>
      <w:r>
        <w:rPr>
          <w:rFonts w:hint="eastAsia" w:ascii="宋体" w:hAnsi="宋体"/>
          <w:snapToGrid w:val="0"/>
          <w:kern w:val="0"/>
          <w:szCs w:val="21"/>
        </w:rPr>
        <w:t>全流程电子</w:t>
      </w:r>
      <w:r>
        <w:rPr>
          <w:rFonts w:ascii="宋体" w:hAnsi="宋体"/>
          <w:snapToGrid w:val="0"/>
          <w:kern w:val="0"/>
          <w:szCs w:val="21"/>
        </w:rPr>
        <w:t>招投标，投标人在投标前可在</w:t>
      </w:r>
      <w:r>
        <w:rPr>
          <w:rFonts w:hint="eastAsia" w:ascii="宋体" w:hAnsi="宋体"/>
          <w:snapToGrid w:val="0"/>
          <w:kern w:val="0"/>
          <w:szCs w:val="21"/>
          <w:u w:val="single"/>
        </w:rPr>
        <w:t>重庆市公共资源交易网</w:t>
      </w:r>
      <w:r>
        <w:rPr>
          <w:rFonts w:hint="eastAsia" w:ascii="宋体" w:hAnsi="宋体"/>
          <w:i/>
          <w:szCs w:val="21"/>
        </w:rPr>
        <w:t>[提示：下载</w:t>
      </w:r>
      <w:r>
        <w:rPr>
          <w:rFonts w:hint="eastAsia" w:ascii="宋体" w:hAnsi="宋体"/>
          <w:i/>
          <w:szCs w:val="21"/>
          <w:lang w:val="en-US" w:eastAsia="zh-CN"/>
        </w:rPr>
        <w:t>网站</w:t>
      </w:r>
      <w:r>
        <w:rPr>
          <w:rFonts w:hint="eastAsia" w:ascii="宋体" w:hAnsi="宋体"/>
          <w:i/>
          <w:szCs w:val="21"/>
        </w:rPr>
        <w:t>采用其他</w:t>
      </w:r>
      <w:r>
        <w:rPr>
          <w:rFonts w:hint="eastAsia" w:ascii="宋体" w:hAnsi="宋体"/>
          <w:i/>
          <w:szCs w:val="21"/>
          <w:lang w:val="en-US" w:eastAsia="zh-CN"/>
        </w:rPr>
        <w:t>网站</w:t>
      </w:r>
      <w:r>
        <w:rPr>
          <w:rFonts w:hint="eastAsia" w:ascii="宋体" w:hAnsi="宋体"/>
          <w:i/>
          <w:szCs w:val="21"/>
        </w:rPr>
        <w:t>的应注明</w:t>
      </w:r>
      <w:r>
        <w:rPr>
          <w:rFonts w:hint="eastAsia" w:ascii="宋体" w:hAnsi="宋体"/>
          <w:i/>
          <w:szCs w:val="21"/>
          <w:lang w:eastAsia="zh-CN"/>
        </w:rPr>
        <w:t>。</w:t>
      </w:r>
      <w:r>
        <w:rPr>
          <w:rFonts w:hint="eastAsia" w:ascii="宋体" w:hAnsi="宋体"/>
          <w:i/>
          <w:szCs w:val="21"/>
        </w:rPr>
        <w:t>]</w:t>
      </w:r>
      <w:r>
        <w:rPr>
          <w:rFonts w:ascii="宋体" w:hAnsi="宋体"/>
          <w:snapToGrid w:val="0"/>
          <w:kern w:val="0"/>
          <w:szCs w:val="21"/>
        </w:rPr>
        <w:t>下载招标文件、工程量清单、电子图纸等资料。参与投标的投标人</w:t>
      </w:r>
      <w:r>
        <w:rPr>
          <w:rFonts w:hint="eastAsia" w:ascii="宋体" w:hAnsi="宋体"/>
          <w:snapToGrid w:val="0"/>
          <w:kern w:val="0"/>
          <w:szCs w:val="21"/>
        </w:rPr>
        <w:t>需在</w:t>
      </w:r>
      <w:r>
        <w:rPr>
          <w:rFonts w:hint="eastAsia" w:ascii="宋体" w:hAnsi="宋体"/>
          <w:snapToGrid w:val="0"/>
          <w:kern w:val="0"/>
          <w:szCs w:val="21"/>
          <w:u w:val="single"/>
        </w:rPr>
        <w:t>重庆市公共资源交易网</w:t>
      </w:r>
      <w:r>
        <w:rPr>
          <w:rFonts w:hint="eastAsia" w:ascii="宋体" w:hAnsi="宋体"/>
          <w:snapToGrid w:val="0"/>
          <w:kern w:val="0"/>
          <w:szCs w:val="21"/>
        </w:rPr>
        <w:t>完成市场主体信息登记以及 CA 数字证书办理，办理方式请参见</w:t>
      </w:r>
      <w:r>
        <w:rPr>
          <w:rFonts w:hint="eastAsia" w:ascii="宋体" w:hAnsi="宋体"/>
          <w:snapToGrid w:val="0"/>
          <w:kern w:val="0"/>
          <w:szCs w:val="21"/>
          <w:u w:val="single"/>
        </w:rPr>
        <w:t>重庆市公共资源交易网</w:t>
      </w:r>
      <w:r>
        <w:rPr>
          <w:rFonts w:hint="eastAsia" w:ascii="宋体" w:hAnsi="宋体"/>
          <w:snapToGrid w:val="0"/>
          <w:kern w:val="0"/>
          <w:szCs w:val="21"/>
        </w:rPr>
        <w:t>导航栏“主体信息”页面中“市场主体信息登记”“CA 数字证书办理”。若投标人未及时完成市场主体信息登记和 CA 数字证书办理导致无法完成全流程电子招投标的，责任自负</w:t>
      </w:r>
      <w:r>
        <w:rPr>
          <w:rFonts w:ascii="宋体" w:hAnsi="宋体"/>
          <w:snapToGrid w:val="0"/>
          <w:kern w:val="0"/>
          <w:szCs w:val="21"/>
        </w:rPr>
        <w:t>。</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lang w:val="en-US" w:eastAsia="zh-CN"/>
        </w:rPr>
        <w:t>5</w:t>
      </w:r>
      <w:r>
        <w:rPr>
          <w:rFonts w:hint="eastAsia" w:ascii="宋体" w:hAnsi="宋体"/>
          <w:snapToGrid w:val="0"/>
          <w:kern w:val="0"/>
          <w:szCs w:val="21"/>
        </w:rPr>
        <w:t>.2  投标人可在</w:t>
      </w:r>
      <w:r>
        <w:rPr>
          <w:rFonts w:hint="eastAsia" w:ascii="宋体" w:hAnsi="宋体"/>
          <w:snapToGrid w:val="0"/>
          <w:color w:val="auto"/>
          <w:kern w:val="0"/>
          <w:szCs w:val="21"/>
          <w:highlight w:val="none"/>
        </w:rPr>
        <w:t>附件招标公告规定的时限内在</w:t>
      </w:r>
      <w:r>
        <w:rPr>
          <w:rFonts w:hint="eastAsia" w:ascii="宋体" w:hAnsi="宋体"/>
          <w:snapToGrid w:val="0"/>
          <w:kern w:val="0"/>
          <w:szCs w:val="21"/>
          <w:u w:val="single"/>
        </w:rPr>
        <w:t>重庆市公共资源交易网</w:t>
      </w:r>
      <w:r>
        <w:rPr>
          <w:rFonts w:hint="eastAsia" w:ascii="宋体" w:hAnsi="宋体"/>
          <w:snapToGrid w:val="0"/>
          <w:kern w:val="0"/>
          <w:szCs w:val="21"/>
        </w:rPr>
        <w:t>本项目招标公告网页下方“我要提问”栏提出疑问。</w:t>
      </w:r>
    </w:p>
    <w:p>
      <w:pPr>
        <w:tabs>
          <w:tab w:val="left" w:pos="2420"/>
          <w:tab w:val="left" w:pos="5445"/>
        </w:tabs>
        <w:autoSpaceDE w:val="0"/>
        <w:autoSpaceDN w:val="0"/>
        <w:adjustRightInd w:val="0"/>
        <w:snapToGrid w:val="0"/>
        <w:spacing w:line="450" w:lineRule="exact"/>
        <w:ind w:firstLine="420"/>
        <w:jc w:val="left"/>
        <w:rPr>
          <w:rFonts w:ascii="宋体" w:hAnsi="宋体"/>
          <w:snapToGrid w:val="0"/>
          <w:kern w:val="0"/>
          <w:szCs w:val="21"/>
        </w:rPr>
      </w:pPr>
      <w:r>
        <w:rPr>
          <w:rFonts w:hint="eastAsia" w:ascii="宋体" w:hAnsi="宋体"/>
          <w:snapToGrid w:val="0"/>
          <w:kern w:val="0"/>
          <w:szCs w:val="21"/>
          <w:lang w:val="en-US" w:eastAsia="zh-CN"/>
        </w:rPr>
        <w:t>5</w:t>
      </w:r>
      <w:r>
        <w:rPr>
          <w:rFonts w:hint="eastAsia" w:ascii="宋体" w:hAnsi="宋体"/>
          <w:snapToGrid w:val="0"/>
          <w:kern w:val="0"/>
          <w:szCs w:val="21"/>
        </w:rPr>
        <w:t>.3  招标人应</w:t>
      </w:r>
      <w:r>
        <w:rPr>
          <w:rFonts w:hint="eastAsia" w:ascii="宋体" w:hAnsi="宋体"/>
          <w:snapToGrid w:val="0"/>
          <w:color w:val="auto"/>
          <w:kern w:val="0"/>
          <w:szCs w:val="21"/>
          <w:highlight w:val="none"/>
        </w:rPr>
        <w:t>在附件招标公告规定的时限内</w:t>
      </w:r>
      <w:r>
        <w:rPr>
          <w:rFonts w:hint="eastAsia" w:ascii="宋体" w:hAnsi="宋体"/>
          <w:snapToGrid w:val="0"/>
          <w:kern w:val="0"/>
          <w:szCs w:val="21"/>
        </w:rPr>
        <w:t>在</w:t>
      </w:r>
      <w:r>
        <w:rPr>
          <w:rFonts w:hint="eastAsia" w:ascii="宋体" w:hAnsi="宋体"/>
          <w:snapToGrid w:val="0"/>
          <w:kern w:val="0"/>
          <w:szCs w:val="21"/>
          <w:u w:val="single"/>
        </w:rPr>
        <w:t>重庆市公共资源交易网</w:t>
      </w:r>
      <w:r>
        <w:rPr>
          <w:rFonts w:hint="eastAsia" w:ascii="宋体" w:hAnsi="宋体"/>
          <w:snapToGrid w:val="0"/>
          <w:kern w:val="0"/>
          <w:szCs w:val="21"/>
        </w:rPr>
        <w:t>发布澄清</w:t>
      </w:r>
      <w:r>
        <w:rPr>
          <w:rFonts w:hint="eastAsia" w:ascii="宋体" w:hAnsi="宋体"/>
          <w:snapToGrid w:val="0"/>
          <w:kern w:val="0"/>
          <w:szCs w:val="21"/>
          <w:lang w:val="en-US" w:eastAsia="zh-CN"/>
        </w:rPr>
        <w:t>或修改</w:t>
      </w:r>
      <w:r>
        <w:rPr>
          <w:rFonts w:hint="eastAsia" w:ascii="宋体" w:hAnsi="宋体"/>
          <w:snapToGrid w:val="0"/>
          <w:kern w:val="0"/>
          <w:szCs w:val="21"/>
        </w:rPr>
        <w:t>。</w:t>
      </w:r>
    </w:p>
    <w:p>
      <w:pPr>
        <w:pStyle w:val="4"/>
        <w:spacing w:before="100" w:after="100" w:line="460" w:lineRule="exact"/>
        <w:rPr>
          <w:rFonts w:ascii="宋体" w:hAnsi="宋体"/>
          <w:snapToGrid w:val="0"/>
          <w:sz w:val="28"/>
          <w:szCs w:val="28"/>
        </w:rPr>
      </w:pPr>
      <w:bookmarkStart w:id="61" w:name="_Toc430530420"/>
      <w:bookmarkStart w:id="62" w:name="_Toc18111"/>
      <w:bookmarkStart w:id="63" w:name="_Toc224103303"/>
      <w:bookmarkStart w:id="64" w:name="_Toc200359242"/>
      <w:bookmarkStart w:id="65" w:name="_Toc509218696"/>
      <w:bookmarkStart w:id="66" w:name="_Toc28463"/>
      <w:bookmarkStart w:id="67" w:name="_Toc200359431"/>
      <w:bookmarkStart w:id="68" w:name="_Toc287620671"/>
      <w:bookmarkStart w:id="69" w:name="_Toc277082540"/>
      <w:bookmarkStart w:id="70" w:name="_Toc287607732"/>
      <w:r>
        <w:rPr>
          <w:rFonts w:hint="eastAsia" w:ascii="宋体" w:hAnsi="宋体"/>
          <w:snapToGrid w:val="0"/>
          <w:sz w:val="28"/>
          <w:szCs w:val="28"/>
          <w:lang w:val="en-US" w:eastAsia="zh-CN"/>
        </w:rPr>
        <w:t>6</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投标文件的递交</w:t>
      </w:r>
      <w:bookmarkEnd w:id="61"/>
      <w:bookmarkEnd w:id="62"/>
      <w:bookmarkEnd w:id="63"/>
      <w:bookmarkEnd w:id="64"/>
      <w:bookmarkEnd w:id="65"/>
      <w:bookmarkEnd w:id="66"/>
      <w:bookmarkEnd w:id="67"/>
      <w:bookmarkEnd w:id="68"/>
      <w:bookmarkEnd w:id="69"/>
      <w:bookmarkEnd w:id="70"/>
    </w:p>
    <w:p>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6</w:t>
      </w:r>
      <w:r>
        <w:rPr>
          <w:rFonts w:ascii="宋体" w:hAnsi="宋体"/>
          <w:snapToGrid w:val="0"/>
          <w:kern w:val="0"/>
          <w:szCs w:val="21"/>
        </w:rPr>
        <w:t>.1  投标文件递交的截止时间（投标截止时间，下同）</w:t>
      </w:r>
      <w:r>
        <w:rPr>
          <w:rFonts w:hint="eastAsia" w:ascii="宋体" w:hAnsi="宋体"/>
          <w:snapToGrid w:val="0"/>
          <w:color w:val="auto"/>
          <w:kern w:val="0"/>
          <w:szCs w:val="21"/>
          <w:highlight w:val="none"/>
        </w:rPr>
        <w:t>详见附件招标公告规定的投标截止时间</w:t>
      </w:r>
      <w:r>
        <w:rPr>
          <w:rFonts w:ascii="宋体" w:hAnsi="宋体"/>
          <w:snapToGrid w:val="0"/>
          <w:kern w:val="0"/>
          <w:szCs w:val="21"/>
        </w:rPr>
        <w:t>，</w:t>
      </w:r>
      <w:r>
        <w:rPr>
          <w:rFonts w:hint="eastAsia" w:ascii="宋体" w:hAnsi="宋体"/>
          <w:snapToGrid w:val="0"/>
          <w:kern w:val="0"/>
          <w:szCs w:val="21"/>
        </w:rPr>
        <w:t>投标人应当在投标截止时间前，通过互联网使用CA数字证书登录重庆市电子招投标系统，将加密的电子投标文件上传。</w:t>
      </w:r>
    </w:p>
    <w:p>
      <w:pPr>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snapToGrid w:val="0"/>
          <w:kern w:val="0"/>
          <w:szCs w:val="21"/>
          <w:lang w:val="en-US" w:eastAsia="zh-CN"/>
        </w:rPr>
        <w:t>6</w:t>
      </w:r>
      <w:r>
        <w:rPr>
          <w:rFonts w:ascii="宋体" w:hAnsi="宋体"/>
          <w:snapToGrid w:val="0"/>
          <w:kern w:val="0"/>
          <w:szCs w:val="21"/>
        </w:rPr>
        <w:t xml:space="preserve">.2  </w:t>
      </w:r>
      <w:r>
        <w:rPr>
          <w:rFonts w:hint="eastAsia" w:ascii="宋体" w:hAnsi="宋体"/>
          <w:snapToGrid w:val="0"/>
          <w:kern w:val="0"/>
          <w:szCs w:val="21"/>
        </w:rPr>
        <w:t>未按要求加密的电子投标文件，将无法上传至重庆市电子招投标系统，逾期未完成上传投标文件的，视为撤回投标文件。</w:t>
      </w:r>
    </w:p>
    <w:p>
      <w:pPr>
        <w:pStyle w:val="4"/>
        <w:spacing w:before="100" w:after="100" w:line="460" w:lineRule="exact"/>
        <w:rPr>
          <w:rFonts w:ascii="宋体" w:hAnsi="宋体"/>
          <w:snapToGrid w:val="0"/>
          <w:sz w:val="28"/>
          <w:szCs w:val="28"/>
        </w:rPr>
      </w:pPr>
      <w:bookmarkStart w:id="71" w:name="_Toc277082541"/>
      <w:bookmarkStart w:id="72" w:name="_Toc430530421"/>
      <w:bookmarkStart w:id="73" w:name="_Toc287607733"/>
      <w:bookmarkStart w:id="74" w:name="_Toc200359243"/>
      <w:bookmarkStart w:id="75" w:name="_Toc509218697"/>
      <w:bookmarkStart w:id="76" w:name="_Toc224103304"/>
      <w:bookmarkStart w:id="77" w:name="_Toc287620672"/>
      <w:bookmarkStart w:id="78" w:name="_Toc200359432"/>
      <w:bookmarkStart w:id="79" w:name="_Toc28442"/>
      <w:bookmarkStart w:id="80" w:name="_Toc5436"/>
      <w:r>
        <w:rPr>
          <w:rFonts w:hint="eastAsia" w:ascii="宋体" w:hAnsi="宋体"/>
          <w:snapToGrid w:val="0"/>
          <w:sz w:val="28"/>
          <w:szCs w:val="28"/>
          <w:lang w:val="en-US" w:eastAsia="zh-CN"/>
        </w:rPr>
        <w:t>7</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发布公告的媒介</w:t>
      </w:r>
      <w:bookmarkEnd w:id="71"/>
      <w:bookmarkEnd w:id="72"/>
      <w:bookmarkEnd w:id="73"/>
      <w:bookmarkEnd w:id="74"/>
      <w:bookmarkEnd w:id="75"/>
      <w:bookmarkEnd w:id="76"/>
      <w:bookmarkEnd w:id="77"/>
      <w:bookmarkEnd w:id="78"/>
      <w:bookmarkEnd w:id="79"/>
      <w:bookmarkEnd w:id="80"/>
    </w:p>
    <w:p>
      <w:pPr>
        <w:tabs>
          <w:tab w:val="left" w:pos="4950"/>
        </w:tabs>
        <w:autoSpaceDE w:val="0"/>
        <w:autoSpaceDN w:val="0"/>
        <w:adjustRightInd w:val="0"/>
        <w:snapToGrid w:val="0"/>
        <w:spacing w:line="450" w:lineRule="exact"/>
        <w:ind w:firstLine="420" w:firstLineChars="200"/>
        <w:rPr>
          <w:rFonts w:ascii="宋体" w:hAnsi="宋体"/>
          <w:snapToGrid w:val="0"/>
          <w:kern w:val="0"/>
          <w:szCs w:val="21"/>
        </w:rPr>
      </w:pPr>
      <w:r>
        <w:rPr>
          <w:rFonts w:ascii="宋体" w:hAnsi="宋体"/>
          <w:snapToGrid w:val="0"/>
          <w:kern w:val="0"/>
          <w:szCs w:val="21"/>
        </w:rPr>
        <w:t>本次招标公告同时在</w:t>
      </w:r>
      <w:r>
        <w:rPr>
          <w:rFonts w:hint="eastAsia" w:ascii="宋体" w:hAnsi="宋体"/>
          <w:snapToGrid w:val="0"/>
          <w:kern w:val="0"/>
          <w:szCs w:val="21"/>
          <w:u w:val="single"/>
        </w:rPr>
        <w:t xml:space="preserve">                 </w:t>
      </w:r>
      <w:r>
        <w:rPr>
          <w:rFonts w:ascii="宋体" w:hAnsi="宋体"/>
          <w:snapToGrid w:val="0"/>
          <w:kern w:val="0"/>
          <w:szCs w:val="21"/>
          <w:u w:val="single"/>
        </w:rPr>
        <w:t>（发布公告的媒介名称）</w:t>
      </w:r>
      <w:r>
        <w:rPr>
          <w:rFonts w:ascii="宋体" w:hAnsi="宋体"/>
          <w:snapToGrid w:val="0"/>
          <w:kern w:val="0"/>
          <w:szCs w:val="21"/>
        </w:rPr>
        <w:t>上发布。</w:t>
      </w:r>
    </w:p>
    <w:p>
      <w:pPr>
        <w:tabs>
          <w:tab w:val="left" w:pos="4950"/>
        </w:tabs>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i/>
          <w:snapToGrid w:val="0"/>
          <w:kern w:val="0"/>
          <w:szCs w:val="21"/>
        </w:rPr>
        <w:t>[提示：依法必须招标项目的招标公告，必须在重庆市公共资源交易监督网发布。]</w:t>
      </w:r>
    </w:p>
    <w:p>
      <w:pPr>
        <w:pStyle w:val="4"/>
        <w:spacing w:before="100" w:after="100" w:line="460" w:lineRule="exact"/>
        <w:rPr>
          <w:rFonts w:ascii="宋体" w:hAnsi="宋体"/>
          <w:snapToGrid w:val="0"/>
          <w:sz w:val="28"/>
          <w:szCs w:val="28"/>
        </w:rPr>
      </w:pPr>
      <w:bookmarkStart w:id="81" w:name="_Toc287620673"/>
      <w:bookmarkStart w:id="82" w:name="_Toc224103305"/>
      <w:bookmarkStart w:id="83" w:name="_Toc277082542"/>
      <w:bookmarkStart w:id="84" w:name="_Toc430530422"/>
      <w:bookmarkStart w:id="85" w:name="_Toc287607734"/>
      <w:bookmarkStart w:id="86" w:name="_Toc22857"/>
      <w:bookmarkStart w:id="87" w:name="_Toc23065"/>
      <w:bookmarkStart w:id="88" w:name="_Toc509218698"/>
      <w:r>
        <w:rPr>
          <w:rFonts w:hint="eastAsia" w:ascii="宋体" w:hAnsi="宋体"/>
          <w:snapToGrid w:val="0"/>
          <w:sz w:val="28"/>
          <w:szCs w:val="28"/>
          <w:lang w:val="en-US" w:eastAsia="zh-CN"/>
        </w:rPr>
        <w:t>8</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联系方式</w:t>
      </w:r>
      <w:bookmarkEnd w:id="81"/>
      <w:bookmarkEnd w:id="82"/>
      <w:bookmarkEnd w:id="83"/>
      <w:bookmarkEnd w:id="84"/>
      <w:bookmarkEnd w:id="85"/>
      <w:bookmarkEnd w:id="86"/>
      <w:bookmarkEnd w:id="87"/>
      <w:bookmarkEnd w:id="88"/>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招 标 人：</w:t>
      </w:r>
      <w:r>
        <w:rPr>
          <w:rFonts w:ascii="宋体" w:hAnsi="宋体"/>
          <w:snapToGrid w:val="0"/>
          <w:kern w:val="0"/>
          <w:szCs w:val="21"/>
          <w:u w:val="single"/>
        </w:rPr>
        <w:t xml:space="preserve">                             </w:t>
      </w:r>
      <w:r>
        <w:rPr>
          <w:rFonts w:ascii="宋体" w:hAnsi="宋体"/>
          <w:snapToGrid w:val="0"/>
          <w:kern w:val="0"/>
          <w:szCs w:val="21"/>
        </w:rPr>
        <w:t xml:space="preserve">     招标代理机构：</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地    址：</w:t>
      </w:r>
      <w:r>
        <w:rPr>
          <w:rFonts w:ascii="宋体" w:hAnsi="宋体"/>
          <w:snapToGrid w:val="0"/>
          <w:kern w:val="0"/>
          <w:szCs w:val="21"/>
          <w:u w:val="single"/>
        </w:rPr>
        <w:t xml:space="preserve">                             </w:t>
      </w:r>
      <w:r>
        <w:rPr>
          <w:rFonts w:ascii="宋体" w:hAnsi="宋体"/>
          <w:snapToGrid w:val="0"/>
          <w:kern w:val="0"/>
          <w:szCs w:val="21"/>
        </w:rPr>
        <w:t xml:space="preserve">     地    址：</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position w:val="-3"/>
          <w:szCs w:val="21"/>
        </w:rPr>
        <w:t>邮    编：</w:t>
      </w:r>
      <w:r>
        <w:rPr>
          <w:rFonts w:ascii="宋体" w:hAnsi="宋体"/>
          <w:snapToGrid w:val="0"/>
          <w:kern w:val="0"/>
          <w:szCs w:val="21"/>
          <w:u w:val="single"/>
        </w:rPr>
        <w:t xml:space="preserve">                             </w:t>
      </w:r>
      <w:r>
        <w:rPr>
          <w:rFonts w:ascii="宋体" w:hAnsi="宋体"/>
          <w:snapToGrid w:val="0"/>
          <w:kern w:val="0"/>
          <w:szCs w:val="21"/>
        </w:rPr>
        <w:t xml:space="preserve">     </w:t>
      </w:r>
      <w:r>
        <w:rPr>
          <w:rFonts w:ascii="宋体" w:hAnsi="宋体"/>
          <w:snapToGrid w:val="0"/>
          <w:kern w:val="0"/>
          <w:position w:val="-3"/>
          <w:szCs w:val="21"/>
        </w:rPr>
        <w:t>邮    编：</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ascii="宋体" w:hAnsi="宋体"/>
          <w:snapToGrid w:val="0"/>
          <w:kern w:val="0"/>
          <w:szCs w:val="21"/>
        </w:rPr>
        <w:t xml:space="preserve">     联 系 人：</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ascii="宋体" w:hAnsi="宋体"/>
          <w:snapToGrid w:val="0"/>
          <w:kern w:val="0"/>
          <w:szCs w:val="21"/>
        </w:rPr>
        <w:t xml:space="preserve">     电    话：</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传    真：</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电子邮件：</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开户银行：</w:t>
      </w:r>
      <w:r>
        <w:rPr>
          <w:rFonts w:ascii="宋体" w:hAnsi="宋体"/>
          <w:snapToGrid w:val="0"/>
          <w:kern w:val="0"/>
          <w:szCs w:val="21"/>
          <w:u w:val="single"/>
        </w:rPr>
        <w:t xml:space="preserve">                                </w:t>
      </w:r>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账    号：</w:t>
      </w:r>
      <w:r>
        <w:rPr>
          <w:rFonts w:ascii="宋体" w:hAnsi="宋体"/>
          <w:snapToGrid w:val="0"/>
          <w:kern w:val="0"/>
          <w:szCs w:val="21"/>
          <w:u w:val="single"/>
        </w:rPr>
        <w:t xml:space="preserve">                             </w:t>
      </w:r>
      <w:r>
        <w:rPr>
          <w:rFonts w:ascii="宋体" w:hAnsi="宋体"/>
          <w:snapToGrid w:val="0"/>
          <w:kern w:val="0"/>
          <w:szCs w:val="21"/>
        </w:rPr>
        <w:t xml:space="preserve">     账    号：</w:t>
      </w:r>
      <w:r>
        <w:rPr>
          <w:rFonts w:ascii="宋体" w:hAnsi="宋体"/>
          <w:snapToGrid w:val="0"/>
          <w:kern w:val="0"/>
          <w:szCs w:val="21"/>
          <w:u w:val="single"/>
        </w:rPr>
        <w:t xml:space="preserve">                                </w:t>
      </w:r>
    </w:p>
    <w:p>
      <w:pPr>
        <w:tabs>
          <w:tab w:val="left" w:pos="5140"/>
          <w:tab w:val="left" w:pos="8520"/>
        </w:tabs>
        <w:autoSpaceDE w:val="0"/>
        <w:autoSpaceDN w:val="0"/>
        <w:adjustRightInd w:val="0"/>
        <w:snapToGrid w:val="0"/>
        <w:spacing w:line="450" w:lineRule="exact"/>
        <w:ind w:firstLine="420" w:firstLineChars="200"/>
        <w:jc w:val="left"/>
        <w:rPr>
          <w:rFonts w:hint="eastAsia" w:ascii="宋体" w:hAnsi="宋体"/>
          <w:snapToGrid w:val="0"/>
          <w:kern w:val="0"/>
          <w:szCs w:val="21"/>
          <w:lang w:val="en-US" w:eastAsia="zh-CN"/>
        </w:rPr>
      </w:pPr>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电</w:t>
      </w:r>
      <w:r>
        <w:rPr>
          <w:rFonts w:ascii="宋体" w:hAnsi="宋体"/>
          <w:snapToGrid w:val="0"/>
          <w:kern w:val="0"/>
          <w:szCs w:val="21"/>
        </w:rPr>
        <w:t xml:space="preserve">    </w:t>
      </w:r>
      <w:r>
        <w:rPr>
          <w:rFonts w:hint="eastAsia" w:ascii="宋体" w:hAnsi="宋体"/>
          <w:snapToGrid w:val="0"/>
          <w:kern w:val="0"/>
          <w:szCs w:val="21"/>
          <w:lang w:val="en-US" w:eastAsia="zh-CN"/>
        </w:rPr>
        <w:t>话</w:t>
      </w:r>
      <w:r>
        <w:rPr>
          <w:rFonts w:ascii="宋体" w:hAnsi="宋体"/>
          <w:snapToGrid w:val="0"/>
          <w:kern w:val="0"/>
          <w:szCs w:val="21"/>
        </w:rPr>
        <w:t>：</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p>
    <w:p>
      <w:pPr>
        <w:tabs>
          <w:tab w:val="left" w:pos="5140"/>
          <w:tab w:val="left" w:pos="8420"/>
        </w:tabs>
        <w:autoSpaceDE w:val="0"/>
        <w:autoSpaceDN w:val="0"/>
        <w:adjustRightInd w:val="0"/>
        <w:snapToGrid w:val="0"/>
        <w:spacing w:line="400" w:lineRule="exact"/>
        <w:jc w:val="left"/>
        <w:rPr>
          <w:rFonts w:ascii="宋体" w:hAnsi="宋体"/>
          <w:snapToGrid w:val="0"/>
          <w:kern w:val="0"/>
          <w:szCs w:val="21"/>
          <w:u w:val="single"/>
        </w:rPr>
      </w:pPr>
    </w:p>
    <w:p>
      <w:pPr>
        <w:autoSpaceDE w:val="0"/>
        <w:autoSpaceDN w:val="0"/>
        <w:adjustRightInd w:val="0"/>
        <w:snapToGrid w:val="0"/>
        <w:spacing w:line="440" w:lineRule="exact"/>
        <w:ind w:firstLine="3906" w:firstLineChars="1860"/>
        <w:jc w:val="right"/>
        <w:rPr>
          <w:rFonts w:ascii="宋体" w:hAnsi="宋体"/>
          <w:snapToGrid w:val="0"/>
          <w:kern w:val="0"/>
          <w:sz w:val="20"/>
          <w:szCs w:val="20"/>
        </w:rPr>
      </w:pPr>
      <w:r>
        <w:rPr>
          <w:rFonts w:ascii="宋体" w:hAnsi="宋体"/>
          <w:snapToGrid w:val="0"/>
          <w:kern w:val="0"/>
          <w:szCs w:val="21"/>
          <w:u w:val="single"/>
        </w:rPr>
        <w:t xml:space="preserve">         </w:t>
      </w:r>
      <w:r>
        <w:rPr>
          <w:rFonts w:ascii="宋体" w:hAnsi="宋体"/>
          <w:snapToGrid w:val="0"/>
          <w:kern w:val="0"/>
          <w:szCs w:val="21"/>
        </w:rPr>
        <w:t>年</w:t>
      </w:r>
      <w:r>
        <w:rPr>
          <w:rFonts w:ascii="宋体" w:hAnsi="宋体"/>
          <w:snapToGrid w:val="0"/>
          <w:kern w:val="0"/>
          <w:szCs w:val="21"/>
          <w:u w:val="single"/>
        </w:rPr>
        <w:t xml:space="preserve">      </w:t>
      </w:r>
      <w:r>
        <w:rPr>
          <w:rFonts w:ascii="宋体" w:hAnsi="宋体"/>
          <w:snapToGrid w:val="0"/>
          <w:kern w:val="0"/>
          <w:szCs w:val="21"/>
        </w:rPr>
        <w:t>月</w:t>
      </w:r>
      <w:r>
        <w:rPr>
          <w:rFonts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pStyle w:val="3"/>
        <w:spacing w:before="0" w:after="0" w:line="200" w:lineRule="exact"/>
        <w:jc w:val="center"/>
        <w:rPr>
          <w:rFonts w:ascii="宋体" w:hAnsi="宋体"/>
          <w:snapToGrid w:val="0"/>
          <w:kern w:val="0"/>
          <w:szCs w:val="21"/>
        </w:rPr>
      </w:pPr>
      <w:r>
        <w:rPr>
          <w:rFonts w:ascii="宋体" w:hAnsi="宋体"/>
          <w:snapToGrid w:val="0"/>
          <w:kern w:val="0"/>
          <w:szCs w:val="21"/>
        </w:rPr>
        <w:br w:type="page"/>
      </w:r>
      <w:bookmarkStart w:id="89" w:name="_Toc430530423"/>
      <w:bookmarkStart w:id="90" w:name="_Toc287620674"/>
      <w:bookmarkStart w:id="91" w:name="_Toc287607735"/>
      <w:bookmarkStart w:id="92" w:name="_Toc224103306"/>
    </w:p>
    <w:p>
      <w:pPr>
        <w:pStyle w:val="3"/>
        <w:spacing w:line="360" w:lineRule="auto"/>
        <w:jc w:val="center"/>
        <w:rPr>
          <w:rFonts w:ascii="宋体" w:hAnsi="宋体"/>
          <w:snapToGrid w:val="0"/>
        </w:rPr>
      </w:pPr>
      <w:bookmarkStart w:id="93" w:name="_Toc3482"/>
      <w:bookmarkStart w:id="94" w:name="_Toc509218699"/>
      <w:bookmarkStart w:id="95" w:name="_Toc2934"/>
      <w:r>
        <w:rPr>
          <w:rFonts w:ascii="宋体" w:hAnsi="宋体"/>
          <w:snapToGrid w:val="0"/>
        </w:rPr>
        <w:t>第一章  投标邀请书（</w:t>
      </w:r>
      <w:r>
        <w:rPr>
          <w:rFonts w:hint="eastAsia" w:ascii="宋体" w:hAnsi="宋体"/>
          <w:snapToGrid w:val="0"/>
        </w:rPr>
        <w:t>适用于邀请招标</w:t>
      </w:r>
      <w:r>
        <w:rPr>
          <w:rFonts w:ascii="宋体" w:hAnsi="宋体"/>
          <w:snapToGrid w:val="0"/>
        </w:rPr>
        <w:t>）</w:t>
      </w:r>
      <w:bookmarkEnd w:id="89"/>
      <w:bookmarkEnd w:id="90"/>
      <w:bookmarkEnd w:id="91"/>
      <w:bookmarkEnd w:id="92"/>
      <w:bookmarkEnd w:id="93"/>
      <w:bookmarkEnd w:id="94"/>
      <w:bookmarkEnd w:id="95"/>
    </w:p>
    <w:p>
      <w:pPr>
        <w:tabs>
          <w:tab w:val="left" w:pos="3425"/>
          <w:tab w:val="left" w:pos="5520"/>
        </w:tabs>
        <w:autoSpaceDE w:val="0"/>
        <w:autoSpaceDN w:val="0"/>
        <w:adjustRightInd w:val="0"/>
        <w:snapToGrid w:val="0"/>
        <w:spacing w:line="450" w:lineRule="exact"/>
        <w:jc w:val="center"/>
        <w:rPr>
          <w:rFonts w:ascii="宋体" w:hAnsi="宋体"/>
          <w:kern w:val="0"/>
          <w:sz w:val="28"/>
          <w:szCs w:val="28"/>
        </w:rPr>
      </w:pPr>
      <w:r>
        <w:rPr>
          <w:rFonts w:hint="eastAsia" w:ascii="宋体" w:hAnsi="宋体"/>
          <w:snapToGrid w:val="0"/>
          <w:kern w:val="0"/>
          <w:szCs w:val="21"/>
          <w:u w:val="single"/>
        </w:rPr>
        <w:t xml:space="preserve">                 </w:t>
      </w:r>
      <w:r>
        <w:rPr>
          <w:rFonts w:ascii="宋体" w:hAnsi="宋体"/>
          <w:sz w:val="28"/>
          <w:szCs w:val="28"/>
          <w:u w:val="single"/>
        </w:rPr>
        <w:t>（项目名称）</w:t>
      </w:r>
      <w:r>
        <w:rPr>
          <w:rFonts w:ascii="宋体" w:hAnsi="宋体"/>
          <w:w w:val="99"/>
          <w:kern w:val="0"/>
          <w:sz w:val="28"/>
          <w:szCs w:val="28"/>
        </w:rPr>
        <w:t>投标邀请书</w:t>
      </w:r>
    </w:p>
    <w:p>
      <w:pPr>
        <w:tabs>
          <w:tab w:val="left" w:pos="2940"/>
        </w:tabs>
        <w:autoSpaceDE w:val="0"/>
        <w:autoSpaceDN w:val="0"/>
        <w:adjustRightInd w:val="0"/>
        <w:snapToGrid w:val="0"/>
        <w:spacing w:line="450" w:lineRule="exact"/>
        <w:jc w:val="left"/>
        <w:rPr>
          <w:rFonts w:ascii="宋体" w:hAnsi="宋体"/>
          <w:b/>
          <w:snapToGrid w:val="0"/>
          <w:sz w:val="28"/>
          <w:szCs w:val="28"/>
        </w:rPr>
      </w:pPr>
      <w:r>
        <w:rPr>
          <w:rFonts w:hint="eastAsia" w:ascii="宋体" w:hAnsi="宋体"/>
          <w:snapToGrid w:val="0"/>
          <w:kern w:val="0"/>
          <w:szCs w:val="21"/>
          <w:u w:val="single"/>
        </w:rPr>
        <w:t xml:space="preserve">                 </w:t>
      </w:r>
      <w:r>
        <w:rPr>
          <w:rFonts w:ascii="宋体" w:hAnsi="宋体"/>
          <w:snapToGrid w:val="0"/>
          <w:kern w:val="0"/>
          <w:szCs w:val="21"/>
          <w:u w:val="single"/>
        </w:rPr>
        <w:t>（被邀请单位名称）</w:t>
      </w:r>
      <w:r>
        <w:rPr>
          <w:rFonts w:ascii="宋体" w:hAnsi="宋体"/>
          <w:b/>
          <w:snapToGrid w:val="0"/>
          <w:kern w:val="0"/>
          <w:szCs w:val="21"/>
        </w:rPr>
        <w:t>：</w:t>
      </w:r>
    </w:p>
    <w:p>
      <w:pPr>
        <w:pStyle w:val="4"/>
        <w:spacing w:before="100" w:after="100" w:line="450" w:lineRule="exact"/>
        <w:rPr>
          <w:rFonts w:ascii="宋体" w:hAnsi="宋体"/>
          <w:snapToGrid w:val="0"/>
          <w:sz w:val="28"/>
          <w:szCs w:val="28"/>
        </w:rPr>
      </w:pPr>
      <w:bookmarkStart w:id="96" w:name="_Toc277082543"/>
      <w:bookmarkStart w:id="97" w:name="_Toc509218700"/>
      <w:bookmarkStart w:id="98" w:name="_Toc22303"/>
      <w:bookmarkStart w:id="99" w:name="_Toc287620675"/>
      <w:bookmarkStart w:id="100" w:name="_Toc430530424"/>
      <w:bookmarkStart w:id="101" w:name="_Toc29579"/>
      <w:bookmarkStart w:id="102" w:name="_Toc224103307"/>
      <w:bookmarkStart w:id="103" w:name="_Toc287607736"/>
      <w:r>
        <w:rPr>
          <w:rFonts w:ascii="宋体" w:hAnsi="宋体"/>
          <w:snapToGrid w:val="0"/>
          <w:sz w:val="28"/>
          <w:szCs w:val="28"/>
        </w:rPr>
        <w:t>1.  招标条件</w:t>
      </w:r>
      <w:bookmarkEnd w:id="96"/>
      <w:bookmarkEnd w:id="97"/>
      <w:bookmarkEnd w:id="98"/>
      <w:bookmarkEnd w:id="99"/>
      <w:bookmarkEnd w:id="100"/>
      <w:bookmarkEnd w:id="101"/>
      <w:bookmarkEnd w:id="102"/>
      <w:bookmarkEnd w:id="103"/>
    </w:p>
    <w:p>
      <w:pPr>
        <w:tabs>
          <w:tab w:val="left" w:pos="4305"/>
          <w:tab w:val="left" w:pos="4640"/>
          <w:tab w:val="left" w:pos="7240"/>
        </w:tabs>
        <w:autoSpaceDE w:val="0"/>
        <w:autoSpaceDN w:val="0"/>
        <w:adjustRightInd w:val="0"/>
        <w:snapToGrid w:val="0"/>
        <w:spacing w:line="450" w:lineRule="exact"/>
        <w:ind w:firstLine="420"/>
        <w:rPr>
          <w:rFonts w:ascii="宋体" w:hAnsi="宋体"/>
          <w:snapToGrid w:val="0"/>
          <w:kern w:val="0"/>
          <w:szCs w:val="21"/>
        </w:rPr>
      </w:pPr>
      <w:r>
        <w:rPr>
          <w:rFonts w:ascii="宋体" w:hAnsi="宋体"/>
          <w:snapToGrid w:val="0"/>
          <w:kern w:val="0"/>
          <w:szCs w:val="21"/>
        </w:rPr>
        <w:t>本招标项目</w:t>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已由</w:t>
      </w:r>
      <w:r>
        <w:rPr>
          <w:rFonts w:hint="eastAsia" w:ascii="宋体" w:hAnsi="宋体"/>
          <w:snapToGrid w:val="0"/>
          <w:kern w:val="0"/>
          <w:szCs w:val="21"/>
          <w:u w:val="single"/>
        </w:rPr>
        <w:t xml:space="preserve">                 </w:t>
      </w:r>
      <w:r>
        <w:rPr>
          <w:rFonts w:ascii="宋体" w:hAnsi="宋体"/>
          <w:snapToGrid w:val="0"/>
          <w:kern w:val="0"/>
          <w:szCs w:val="21"/>
          <w:u w:val="single"/>
        </w:rPr>
        <w:t>（项目审批</w:t>
      </w:r>
      <w:r>
        <w:rPr>
          <w:rFonts w:hint="eastAsia" w:ascii="宋体" w:hAnsi="宋体"/>
          <w:snapToGrid w:val="0"/>
          <w:kern w:val="0"/>
          <w:szCs w:val="21"/>
          <w:u w:val="single"/>
          <w:lang w:val="en-US" w:eastAsia="zh-CN"/>
        </w:rPr>
        <w:t>或</w:t>
      </w:r>
      <w:r>
        <w:rPr>
          <w:rFonts w:ascii="宋体" w:hAnsi="宋体"/>
          <w:snapToGrid w:val="0"/>
          <w:kern w:val="0"/>
          <w:szCs w:val="21"/>
          <w:u w:val="single"/>
        </w:rPr>
        <w:t>核准机关名称）</w:t>
      </w:r>
      <w:r>
        <w:rPr>
          <w:rFonts w:ascii="宋体" w:hAnsi="宋体"/>
          <w:snapToGrid w:val="0"/>
          <w:kern w:val="0"/>
          <w:szCs w:val="21"/>
        </w:rPr>
        <w:t>以</w:t>
      </w:r>
      <w:r>
        <w:rPr>
          <w:rFonts w:hint="eastAsia" w:ascii="宋体" w:hAnsi="宋体"/>
          <w:snapToGrid w:val="0"/>
          <w:kern w:val="0"/>
          <w:szCs w:val="21"/>
          <w:u w:val="single"/>
        </w:rPr>
        <w:t xml:space="preserve">                 </w:t>
      </w:r>
      <w:r>
        <w:rPr>
          <w:rFonts w:ascii="宋体" w:hAnsi="宋体"/>
          <w:snapToGrid w:val="0"/>
          <w:kern w:val="0"/>
          <w:szCs w:val="21"/>
          <w:u w:val="single"/>
        </w:rPr>
        <w:t>（批文名称及编号）</w:t>
      </w:r>
      <w:r>
        <w:rPr>
          <w:rFonts w:ascii="宋体" w:hAnsi="宋体"/>
          <w:snapToGrid w:val="0"/>
          <w:kern w:val="0"/>
          <w:szCs w:val="21"/>
        </w:rPr>
        <w:t>批准建设，项目业主为</w:t>
      </w:r>
      <w:r>
        <w:rPr>
          <w:rFonts w:hint="eastAsia" w:ascii="宋体" w:hAnsi="宋体"/>
          <w:snapToGrid w:val="0"/>
          <w:kern w:val="0"/>
          <w:szCs w:val="21"/>
          <w:u w:val="single"/>
        </w:rPr>
        <w:t xml:space="preserve">                 </w:t>
      </w:r>
      <w:r>
        <w:rPr>
          <w:rFonts w:ascii="宋体" w:hAnsi="宋体"/>
          <w:snapToGrid w:val="0"/>
          <w:kern w:val="0"/>
          <w:szCs w:val="21"/>
        </w:rPr>
        <w:t>，建设资金来自</w:t>
      </w:r>
      <w:r>
        <w:rPr>
          <w:rFonts w:hint="eastAsia" w:ascii="宋体" w:hAnsi="宋体"/>
          <w:snapToGrid w:val="0"/>
          <w:kern w:val="0"/>
          <w:szCs w:val="21"/>
          <w:u w:val="single"/>
        </w:rPr>
        <w:t xml:space="preserve">                 </w:t>
      </w:r>
      <w:r>
        <w:rPr>
          <w:rFonts w:ascii="宋体" w:hAnsi="宋体"/>
          <w:snapToGrid w:val="0"/>
          <w:kern w:val="0"/>
          <w:szCs w:val="21"/>
          <w:u w:val="single"/>
        </w:rPr>
        <w:t>（资金来源）</w:t>
      </w:r>
      <w:r>
        <w:rPr>
          <w:rFonts w:ascii="宋体" w:hAnsi="宋体"/>
          <w:snapToGrid w:val="0"/>
          <w:kern w:val="0"/>
          <w:szCs w:val="21"/>
        </w:rPr>
        <w:t>，项目出资比例为</w:t>
      </w:r>
      <w:r>
        <w:rPr>
          <w:rFonts w:hint="eastAsia" w:ascii="宋体" w:hAnsi="宋体"/>
          <w:snapToGrid w:val="0"/>
          <w:kern w:val="0"/>
          <w:szCs w:val="21"/>
          <w:u w:val="single"/>
        </w:rPr>
        <w:t xml:space="preserve">                 </w:t>
      </w:r>
      <w:r>
        <w:rPr>
          <w:rFonts w:ascii="宋体" w:hAnsi="宋体"/>
          <w:snapToGrid w:val="0"/>
          <w:kern w:val="0"/>
          <w:szCs w:val="21"/>
        </w:rPr>
        <w:t>，招标人为</w:t>
      </w:r>
      <w:r>
        <w:rPr>
          <w:rFonts w:hint="eastAsia" w:ascii="宋体" w:hAnsi="宋体"/>
          <w:snapToGrid w:val="0"/>
          <w:kern w:val="0"/>
          <w:szCs w:val="21"/>
          <w:u w:val="single"/>
        </w:rPr>
        <w:t xml:space="preserve">                 </w:t>
      </w:r>
      <w:r>
        <w:rPr>
          <w:rFonts w:ascii="宋体" w:hAnsi="宋体"/>
          <w:snapToGrid w:val="0"/>
          <w:kern w:val="0"/>
          <w:szCs w:val="21"/>
        </w:rPr>
        <w:t>。项目已具备招标条件，现邀请你单位参加</w:t>
      </w:r>
      <w:r>
        <w:rPr>
          <w:rFonts w:hint="eastAsia" w:ascii="宋体" w:hAnsi="宋体"/>
          <w:snapToGrid w:val="0"/>
          <w:kern w:val="0"/>
          <w:szCs w:val="21"/>
          <w:u w:val="single"/>
        </w:rPr>
        <w:t>该项目的施工</w:t>
      </w:r>
      <w:r>
        <w:rPr>
          <w:rFonts w:ascii="宋体" w:hAnsi="宋体"/>
          <w:snapToGrid w:val="0"/>
          <w:kern w:val="0"/>
          <w:szCs w:val="21"/>
        </w:rPr>
        <w:t>投标。</w:t>
      </w:r>
    </w:p>
    <w:p>
      <w:pPr>
        <w:pStyle w:val="4"/>
        <w:spacing w:before="100" w:after="100" w:line="450" w:lineRule="exact"/>
        <w:rPr>
          <w:rFonts w:ascii="宋体" w:hAnsi="宋体"/>
          <w:snapToGrid w:val="0"/>
          <w:sz w:val="28"/>
          <w:szCs w:val="28"/>
        </w:rPr>
      </w:pPr>
      <w:bookmarkStart w:id="104" w:name="_Toc430530425"/>
      <w:bookmarkStart w:id="105" w:name="_Toc287620676"/>
      <w:bookmarkStart w:id="106" w:name="_Toc277082544"/>
      <w:bookmarkStart w:id="107" w:name="_Toc26253"/>
      <w:bookmarkStart w:id="108" w:name="_Toc287607737"/>
      <w:bookmarkStart w:id="109" w:name="_Toc30213"/>
      <w:bookmarkStart w:id="110" w:name="_Toc509218701"/>
      <w:bookmarkStart w:id="111" w:name="_Toc224103308"/>
      <w:r>
        <w:rPr>
          <w:rFonts w:ascii="宋体" w:hAnsi="宋体"/>
          <w:snapToGrid w:val="0"/>
          <w:sz w:val="28"/>
          <w:szCs w:val="28"/>
        </w:rPr>
        <w:t>2.  项目概况与招标范围</w:t>
      </w:r>
      <w:bookmarkEnd w:id="104"/>
      <w:bookmarkEnd w:id="105"/>
      <w:bookmarkEnd w:id="106"/>
      <w:bookmarkEnd w:id="107"/>
      <w:bookmarkEnd w:id="108"/>
      <w:bookmarkEnd w:id="109"/>
      <w:bookmarkEnd w:id="110"/>
      <w:bookmarkEnd w:id="111"/>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2.2 项目概况与建设规模：</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napToGrid w:val="0"/>
          <w:kern w:val="0"/>
          <w:szCs w:val="21"/>
        </w:rPr>
      </w:pPr>
      <w:r>
        <w:rPr>
          <w:rFonts w:hint="eastAsia" w:ascii="宋体" w:hAnsi="宋体"/>
          <w:i/>
          <w:snapToGrid w:val="0"/>
          <w:kern w:val="0"/>
          <w:szCs w:val="21"/>
        </w:rPr>
        <w:t>[提示：</w:t>
      </w:r>
      <w:r>
        <w:rPr>
          <w:rFonts w:hint="eastAsia" w:asciiTheme="minorEastAsia" w:hAnsiTheme="minorEastAsia" w:eastAsiaTheme="minorEastAsia"/>
          <w:i/>
          <w:color w:val="auto"/>
          <w:szCs w:val="21"/>
          <w:highlight w:val="none"/>
        </w:rPr>
        <w:t>项目概况与建设规模</w:t>
      </w:r>
      <w:r>
        <w:rPr>
          <w:rFonts w:hint="eastAsia" w:ascii="宋体" w:hAnsi="宋体"/>
          <w:i/>
          <w:snapToGrid w:val="0"/>
          <w:kern w:val="0"/>
          <w:szCs w:val="21"/>
        </w:rPr>
        <w:t>应体现与业绩</w:t>
      </w:r>
      <w:r>
        <w:rPr>
          <w:rFonts w:hint="eastAsia" w:ascii="宋体" w:hAnsi="宋体"/>
          <w:i/>
          <w:snapToGrid w:val="0"/>
          <w:kern w:val="0"/>
          <w:szCs w:val="21"/>
          <w:lang w:val="en-US" w:eastAsia="zh-CN"/>
        </w:rPr>
        <w:t>要求</w:t>
      </w:r>
      <w:r>
        <w:rPr>
          <w:rFonts w:hint="eastAsia" w:ascii="宋体" w:hAnsi="宋体"/>
          <w:i/>
          <w:snapToGrid w:val="0"/>
          <w:kern w:val="0"/>
          <w:szCs w:val="21"/>
        </w:rPr>
        <w:t>对应的参数，包括但不限于：建筑面积、高度、长度、道路等级等。]</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2.3 □本项目工程总投资</w:t>
      </w:r>
      <w:r>
        <w:rPr>
          <w:rFonts w:hint="eastAsia" w:ascii="宋体" w:hAnsi="宋体"/>
          <w:snapToGrid w:val="0"/>
          <w:kern w:val="0"/>
          <w:szCs w:val="21"/>
          <w:lang w:val="en-US" w:eastAsia="zh-CN"/>
        </w:rPr>
        <w:t>金</w:t>
      </w:r>
      <w:r>
        <w:rPr>
          <w:rFonts w:hint="eastAsia" w:ascii="宋体" w:hAnsi="宋体"/>
          <w:snapToGrid w:val="0"/>
          <w:kern w:val="0"/>
          <w:szCs w:val="21"/>
        </w:rPr>
        <w:t>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u w:val="single"/>
        </w:rPr>
      </w:pPr>
      <w:r>
        <w:rPr>
          <w:rFonts w:hint="eastAsia" w:ascii="宋体" w:hAnsi="宋体"/>
          <w:snapToGrid w:val="0"/>
          <w:kern w:val="0"/>
          <w:szCs w:val="21"/>
        </w:rPr>
        <w:t>□本次招标项目合同估算金额：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2.4 招标范围：</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i/>
          <w:snapToGrid w:val="0"/>
          <w:kern w:val="0"/>
          <w:szCs w:val="21"/>
        </w:rPr>
        <w:t>[提示：</w:t>
      </w:r>
      <w:r>
        <w:rPr>
          <w:rFonts w:ascii="宋体" w:hAnsi="宋体"/>
          <w:i/>
          <w:szCs w:val="21"/>
        </w:rPr>
        <w:t>招标范围应准确明了，</w:t>
      </w:r>
      <w:r>
        <w:rPr>
          <w:rFonts w:hint="eastAsia" w:ascii="宋体" w:hAnsi="宋体"/>
          <w:i/>
          <w:szCs w:val="21"/>
        </w:rPr>
        <w:t>按照项目审批、核准文件</w:t>
      </w:r>
      <w:r>
        <w:rPr>
          <w:rFonts w:ascii="宋体" w:hAnsi="宋体"/>
          <w:i/>
          <w:szCs w:val="21"/>
        </w:rPr>
        <w:t>采用工程专业术语</w:t>
      </w:r>
      <w:r>
        <w:rPr>
          <w:rFonts w:hint="eastAsia" w:ascii="宋体" w:hAnsi="宋体"/>
          <w:i/>
          <w:szCs w:val="21"/>
        </w:rPr>
        <w:t>进行</w:t>
      </w:r>
      <w:r>
        <w:rPr>
          <w:rFonts w:ascii="宋体" w:hAnsi="宋体"/>
          <w:i/>
          <w:szCs w:val="21"/>
        </w:rPr>
        <w:t>填写</w:t>
      </w:r>
      <w:r>
        <w:rPr>
          <w:rFonts w:hint="eastAsia" w:ascii="宋体" w:hAnsi="宋体"/>
          <w:i/>
          <w:szCs w:val="21"/>
        </w:rPr>
        <w:t>。</w:t>
      </w:r>
      <w:r>
        <w:rPr>
          <w:rFonts w:hint="eastAsia" w:ascii="宋体" w:hAnsi="宋体"/>
          <w:i/>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2.5 工期要求：</w:t>
      </w:r>
      <w:r>
        <w:rPr>
          <w:rFonts w:hint="eastAsia" w:ascii="宋体" w:hAnsi="宋体"/>
          <w:snapToGrid w:val="0"/>
          <w:kern w:val="0"/>
          <w:szCs w:val="21"/>
          <w:u w:val="single"/>
        </w:rPr>
        <w:t xml:space="preserve">        日历天</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 xml:space="preserve">    缺陷责任期要求：</w:t>
      </w:r>
      <w:r>
        <w:rPr>
          <w:rFonts w:hint="eastAsia" w:ascii="宋体" w:hAnsi="宋体"/>
          <w:snapToGrid w:val="0"/>
          <w:kern w:val="0"/>
          <w:szCs w:val="21"/>
          <w:u w:val="single"/>
        </w:rPr>
        <w:t xml:space="preserve">        个月</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2.6 标段划分（如有）：</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2.</w:t>
      </w:r>
      <w:r>
        <w:rPr>
          <w:rFonts w:hint="default" w:ascii="宋体" w:hAnsi="宋体"/>
          <w:snapToGrid w:val="0"/>
          <w:kern w:val="0"/>
          <w:szCs w:val="21"/>
          <w:lang w:val="en-US"/>
        </w:rPr>
        <w:t>7</w:t>
      </w:r>
      <w:r>
        <w:rPr>
          <w:rFonts w:hint="eastAsia" w:ascii="宋体" w:hAnsi="宋体"/>
          <w:snapToGrid w:val="0"/>
          <w:kern w:val="0"/>
          <w:szCs w:val="21"/>
        </w:rPr>
        <w:t xml:space="preserve"> 其他：</w:t>
      </w:r>
      <w:r>
        <w:rPr>
          <w:rFonts w:hint="eastAsia" w:ascii="宋体" w:hAnsi="宋体"/>
          <w:snapToGrid w:val="0"/>
          <w:kern w:val="0"/>
          <w:szCs w:val="21"/>
          <w:u w:val="single"/>
        </w:rPr>
        <w:t xml:space="preserve">        </w:t>
      </w:r>
    </w:p>
    <w:p>
      <w:pPr>
        <w:pStyle w:val="4"/>
        <w:spacing w:before="100" w:after="100" w:line="460" w:lineRule="exact"/>
        <w:rPr>
          <w:rFonts w:hint="default" w:ascii="宋体" w:hAnsi="宋体" w:eastAsia="宋体"/>
          <w:snapToGrid w:val="0"/>
          <w:sz w:val="28"/>
          <w:szCs w:val="28"/>
          <w:lang w:val="en-US" w:eastAsia="zh-CN"/>
        </w:rPr>
      </w:pPr>
      <w:bookmarkStart w:id="112" w:name="_Toc23134"/>
      <w:r>
        <w:rPr>
          <w:rFonts w:hint="eastAsia" w:ascii="宋体" w:hAnsi="宋体"/>
          <w:snapToGrid w:val="0"/>
          <w:sz w:val="28"/>
          <w:szCs w:val="28"/>
          <w:lang w:val="en-US" w:eastAsia="zh-CN"/>
        </w:rPr>
        <w:t>3</w:t>
      </w:r>
      <w:r>
        <w:rPr>
          <w:rFonts w:ascii="宋体" w:hAnsi="宋体"/>
          <w:snapToGrid w:val="0"/>
          <w:sz w:val="28"/>
          <w:szCs w:val="28"/>
        </w:rPr>
        <w:t xml:space="preserve">. </w:t>
      </w:r>
      <w:r>
        <w:rPr>
          <w:rFonts w:hint="eastAsia" w:ascii="宋体" w:hAnsi="宋体"/>
          <w:snapToGrid w:val="0"/>
          <w:sz w:val="28"/>
          <w:szCs w:val="28"/>
        </w:rPr>
        <w:t xml:space="preserve"> </w:t>
      </w:r>
      <w:r>
        <w:rPr>
          <w:rFonts w:hint="eastAsia" w:ascii="宋体" w:hAnsi="宋体"/>
          <w:snapToGrid w:val="0"/>
          <w:sz w:val="28"/>
          <w:szCs w:val="28"/>
          <w:lang w:val="en-US" w:eastAsia="zh-CN"/>
        </w:rPr>
        <w:t>政府采购工程</w:t>
      </w:r>
      <w:bookmarkEnd w:id="112"/>
    </w:p>
    <w:p>
      <w:pPr>
        <w:tabs>
          <w:tab w:val="left" w:pos="3840"/>
          <w:tab w:val="left" w:pos="5300"/>
        </w:tabs>
        <w:autoSpaceDE w:val="0"/>
        <w:autoSpaceDN w:val="0"/>
        <w:adjustRightInd w:val="0"/>
        <w:snapToGrid w:val="0"/>
        <w:spacing w:line="460" w:lineRule="exact"/>
        <w:ind w:firstLine="420" w:firstLineChars="200"/>
        <w:jc w:val="left"/>
        <w:rPr>
          <w:rFonts w:hint="default" w:ascii="宋体" w:hAnsi="宋体"/>
          <w:snapToGrid w:val="0"/>
          <w:kern w:val="0"/>
          <w:szCs w:val="21"/>
          <w:lang w:val="en-US" w:eastAsia="zh-CN"/>
        </w:rPr>
      </w:pPr>
      <w:r>
        <w:rPr>
          <w:rFonts w:hint="eastAsia" w:ascii="宋体" w:hAnsi="宋体"/>
          <w:snapToGrid w:val="0"/>
          <w:kern w:val="0"/>
          <w:szCs w:val="21"/>
          <w:lang w:val="en-US" w:eastAsia="zh-CN"/>
        </w:rPr>
        <w:t xml:space="preserve">3.1 </w:t>
      </w:r>
      <w:r>
        <w:rPr>
          <w:rFonts w:hint="eastAsia" w:ascii="宋体" w:hAnsi="宋体"/>
          <w:snapToGrid w:val="0"/>
          <w:kern w:val="0"/>
          <w:szCs w:val="21"/>
        </w:rPr>
        <w:t>是否属于政府采购工程</w:t>
      </w:r>
      <w:r>
        <w:rPr>
          <w:rFonts w:hint="eastAsia" w:ascii="宋体" w:hAnsi="宋体"/>
          <w:snapToGrid w:val="0"/>
          <w:kern w:val="0"/>
          <w:szCs w:val="21"/>
          <w:lang w:eastAsia="zh-CN"/>
        </w:rPr>
        <w:t>：</w:t>
      </w:r>
      <w:r>
        <w:rPr>
          <w:rFonts w:hint="eastAsia" w:ascii="宋体" w:hAnsi="宋体"/>
          <w:snapToGrid w:val="0"/>
          <w:kern w:val="0"/>
          <w:szCs w:val="21"/>
        </w:rPr>
        <w:t>□是</w:t>
      </w:r>
      <w:r>
        <w:rPr>
          <w:rFonts w:hint="eastAsia" w:ascii="宋体" w:hAnsi="宋体"/>
          <w:snapToGrid w:val="0"/>
          <w:kern w:val="0"/>
          <w:szCs w:val="21"/>
          <w:lang w:val="en-US" w:eastAsia="zh-CN"/>
        </w:rPr>
        <w:t xml:space="preserve"> </w:t>
      </w:r>
      <w:r>
        <w:rPr>
          <w:rFonts w:hint="eastAsia" w:ascii="宋体" w:hAnsi="宋体"/>
          <w:snapToGrid w:val="0"/>
          <w:kern w:val="0"/>
          <w:szCs w:val="21"/>
        </w:rPr>
        <w:t>□否</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rPr>
      </w:pPr>
      <w:r>
        <w:rPr>
          <w:rFonts w:hint="eastAsia" w:ascii="宋体" w:hAnsi="宋体"/>
          <w:snapToGrid w:val="0"/>
          <w:kern w:val="0"/>
          <w:szCs w:val="21"/>
          <w:lang w:val="en-US" w:eastAsia="zh-CN"/>
        </w:rPr>
        <w:t xml:space="preserve">3.2 </w:t>
      </w:r>
      <w:r>
        <w:rPr>
          <w:rFonts w:hint="eastAsia" w:ascii="宋体" w:hAnsi="宋体"/>
          <w:snapToGrid w:val="0"/>
          <w:kern w:val="0"/>
          <w:szCs w:val="21"/>
        </w:rPr>
        <w:t>是否专门面向中小企业预留：□是</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highlight w:val="none"/>
        </w:rPr>
      </w:pPr>
      <w:r>
        <w:rPr>
          <w:rFonts w:hint="eastAsia" w:ascii="宋体" w:hAnsi="宋体"/>
          <w:snapToGrid w:val="0"/>
          <w:kern w:val="0"/>
          <w:szCs w:val="21"/>
        </w:rPr>
        <w:t>专门面向中小企业预留的实施方式：</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w:t>
      </w:r>
      <w:r>
        <w:rPr>
          <w:rFonts w:hint="eastAsia" w:ascii="宋体" w:hAnsi="宋体"/>
          <w:i/>
          <w:iCs/>
          <w:snapToGrid w:val="0"/>
          <w:kern w:val="0"/>
          <w:szCs w:val="21"/>
          <w:u w:val="none"/>
        </w:rPr>
        <w:t>不低于40%</w:t>
      </w:r>
      <w:r>
        <w:rPr>
          <w:rFonts w:hint="eastAsia" w:ascii="宋体" w:hAnsi="宋体"/>
          <w:i/>
          <w:iCs/>
          <w:snapToGrid w:val="0"/>
          <w:kern w:val="0"/>
          <w:szCs w:val="21"/>
          <w:highlight w:val="none"/>
          <w:u w:val="none"/>
        </w:rPr>
        <w:t>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rPr>
        <w:t>本项目整体面向中小企业</w:t>
      </w:r>
      <w:r>
        <w:rPr>
          <w:rFonts w:hint="eastAsia" w:ascii="宋体" w:hAnsi="宋体"/>
          <w:snapToGrid w:val="0"/>
          <w:kern w:val="0"/>
          <w:szCs w:val="21"/>
          <w:highlight w:val="non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w:t>
      </w:r>
      <w:r>
        <w:rPr>
          <w:rFonts w:hint="eastAsia" w:ascii="宋体" w:hAnsi="宋体"/>
          <w:snapToGrid w:val="0"/>
          <w:kern w:val="0"/>
          <w:szCs w:val="21"/>
        </w:rPr>
        <w:t>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□否</w:t>
      </w:r>
      <w:r>
        <w:rPr>
          <w:rFonts w:hint="eastAsia" w:ascii="宋体" w:hAnsi="宋体"/>
          <w:snapToGrid w:val="0"/>
          <w:kern w:val="0"/>
          <w:szCs w:val="21"/>
          <w:highlight w:val="none"/>
          <w:lang w:eastAsia="zh-CN"/>
        </w:rPr>
        <w:t>，</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u w:val="none"/>
          <w:lang w:val="en-US" w:eastAsia="zh-CN"/>
        </w:rPr>
        <w:t>。</w:t>
      </w:r>
      <w:r>
        <w:rPr>
          <w:rFonts w:hint="eastAsia" w:ascii="宋体" w:hAnsi="宋体"/>
          <w:i/>
          <w:iCs/>
          <w:snapToGrid w:val="0"/>
          <w:kern w:val="0"/>
          <w:szCs w:val="21"/>
          <w:u w:val="none"/>
        </w:rPr>
        <w:t>[提示：填写不专门面向中小企业采购的原因及适用条款</w:t>
      </w:r>
      <w:r>
        <w:rPr>
          <w:rFonts w:hint="eastAsia" w:ascii="宋体" w:hAnsi="宋体"/>
          <w:i/>
          <w:iCs/>
          <w:snapToGrid w:val="0"/>
          <w:kern w:val="0"/>
          <w:szCs w:val="21"/>
          <w:u w:val="none"/>
          <w:lang w:eastAsia="zh-CN"/>
        </w:rPr>
        <w:t>，</w:t>
      </w:r>
      <w:r>
        <w:rPr>
          <w:rFonts w:hint="eastAsia" w:ascii="宋体" w:hAnsi="宋体"/>
          <w:i/>
          <w:iCs/>
          <w:snapToGrid w:val="0"/>
          <w:kern w:val="0"/>
          <w:szCs w:val="21"/>
          <w:highlight w:val="none"/>
          <w:u w:val="none"/>
          <w:lang w:eastAsia="zh-CN"/>
        </w:rPr>
        <w:t>详见《政府采购促进中小企业发展管理办法》第六条。</w:t>
      </w:r>
      <w:r>
        <w:rPr>
          <w:rFonts w:hint="eastAsia" w:ascii="宋体" w:hAnsi="宋体"/>
          <w:i/>
          <w:iCs/>
          <w:snapToGrid w:val="0"/>
          <w:kern w:val="0"/>
          <w:szCs w:val="21"/>
          <w:highlight w:val="none"/>
          <w:u w:val="none"/>
        </w:rPr>
        <w:t>]</w:t>
      </w:r>
    </w:p>
    <w:p>
      <w:pPr>
        <w:pStyle w:val="4"/>
        <w:spacing w:before="100" w:after="100" w:line="450" w:lineRule="exact"/>
        <w:rPr>
          <w:rFonts w:ascii="宋体" w:hAnsi="宋体"/>
          <w:snapToGrid w:val="0"/>
          <w:sz w:val="28"/>
          <w:szCs w:val="28"/>
        </w:rPr>
      </w:pPr>
      <w:bookmarkStart w:id="113" w:name="_Toc430530426"/>
      <w:bookmarkStart w:id="114" w:name="_Toc22053"/>
      <w:bookmarkStart w:id="115" w:name="_Toc277082545"/>
      <w:bookmarkStart w:id="116" w:name="_Toc224103309"/>
      <w:bookmarkStart w:id="117" w:name="_Toc27767"/>
      <w:bookmarkStart w:id="118" w:name="_Toc509218702"/>
      <w:bookmarkStart w:id="119" w:name="_Toc287607738"/>
      <w:bookmarkStart w:id="120" w:name="_Toc287620677"/>
      <w:r>
        <w:rPr>
          <w:rFonts w:hint="eastAsia" w:ascii="宋体" w:hAnsi="宋体"/>
          <w:snapToGrid w:val="0"/>
          <w:sz w:val="28"/>
          <w:szCs w:val="28"/>
          <w:lang w:val="en-US" w:eastAsia="zh-CN"/>
        </w:rPr>
        <w:t>4</w:t>
      </w:r>
      <w:r>
        <w:rPr>
          <w:rFonts w:ascii="宋体" w:hAnsi="宋体"/>
          <w:snapToGrid w:val="0"/>
          <w:sz w:val="28"/>
          <w:szCs w:val="28"/>
        </w:rPr>
        <w:t>.  投标人资格要求</w:t>
      </w:r>
      <w:bookmarkEnd w:id="113"/>
      <w:bookmarkEnd w:id="114"/>
      <w:bookmarkEnd w:id="115"/>
      <w:bookmarkEnd w:id="116"/>
      <w:bookmarkEnd w:id="117"/>
      <w:bookmarkEnd w:id="118"/>
      <w:bookmarkEnd w:id="119"/>
      <w:bookmarkEnd w:id="120"/>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4</w:t>
      </w:r>
      <w:r>
        <w:rPr>
          <w:rFonts w:ascii="宋体" w:hAnsi="宋体"/>
          <w:snapToGrid w:val="0"/>
          <w:kern w:val="0"/>
          <w:szCs w:val="21"/>
        </w:rPr>
        <w:t>.1  本次招标要求投标人须具备</w:t>
      </w:r>
      <w:r>
        <w:rPr>
          <w:rFonts w:hint="eastAsia" w:ascii="宋体" w:hAnsi="宋体"/>
          <w:snapToGrid w:val="0"/>
          <w:kern w:val="0"/>
          <w:szCs w:val="21"/>
        </w:rPr>
        <w:t>以下条件：</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4</w:t>
      </w:r>
      <w:r>
        <w:rPr>
          <w:rFonts w:hint="eastAsia" w:ascii="宋体" w:hAnsi="宋体"/>
          <w:snapToGrid w:val="0"/>
          <w:kern w:val="0"/>
          <w:szCs w:val="21"/>
        </w:rPr>
        <w:t>.1.1 本次招标要求投标人具备的资质条件：</w:t>
      </w:r>
      <w:r>
        <w:rPr>
          <w:rFonts w:hint="eastAsia" w:ascii="宋体" w:hAnsi="宋体"/>
          <w:snapToGrid w:val="0"/>
          <w:kern w:val="0"/>
          <w:szCs w:val="21"/>
          <w:u w:val="single"/>
        </w:rPr>
        <w:t xml:space="preserve">                   </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zCs w:val="21"/>
        </w:rPr>
      </w:pPr>
      <w:r>
        <w:rPr>
          <w:rFonts w:hint="eastAsia" w:ascii="宋体" w:hAnsi="宋体"/>
          <w:i/>
          <w:szCs w:val="21"/>
        </w:rPr>
        <w:t>[提示：资质的</w:t>
      </w:r>
      <w:r>
        <w:rPr>
          <w:rFonts w:hint="eastAsia" w:ascii="宋体" w:hAnsi="宋体"/>
          <w:i/>
          <w:szCs w:val="21"/>
          <w:lang w:val="en-US" w:eastAsia="zh-CN"/>
        </w:rPr>
        <w:t>设置按照住房城乡建设行业主管部门相关规定执行</w:t>
      </w:r>
      <w:r>
        <w:rPr>
          <w:rFonts w:hint="eastAsia" w:ascii="宋体" w:hAnsi="宋体"/>
          <w:i/>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4</w:t>
      </w:r>
      <w:r>
        <w:rPr>
          <w:rFonts w:hint="eastAsia" w:ascii="宋体" w:hAnsi="宋体"/>
          <w:snapToGrid w:val="0"/>
          <w:kern w:val="0"/>
          <w:szCs w:val="21"/>
        </w:rPr>
        <w:t>.1.</w:t>
      </w:r>
      <w:r>
        <w:rPr>
          <w:rFonts w:hint="eastAsia" w:ascii="宋体" w:hAnsi="宋体"/>
          <w:snapToGrid w:val="0"/>
          <w:kern w:val="0"/>
          <w:szCs w:val="21"/>
          <w:lang w:val="en-US" w:eastAsia="zh-CN"/>
        </w:rPr>
        <w:t>2</w:t>
      </w:r>
      <w:r>
        <w:rPr>
          <w:rFonts w:hint="eastAsia" w:ascii="宋体" w:hAnsi="宋体"/>
          <w:snapToGrid w:val="0"/>
          <w:kern w:val="0"/>
          <w:szCs w:val="21"/>
        </w:rPr>
        <w:t xml:space="preserve"> 投标人还应在人员、</w:t>
      </w:r>
      <w:r>
        <w:rPr>
          <w:rFonts w:hint="eastAsia" w:ascii="宋体" w:hAnsi="宋体"/>
          <w:snapToGrid w:val="0"/>
          <w:kern w:val="0"/>
          <w:szCs w:val="21"/>
          <w:lang w:val="en-US" w:eastAsia="zh-CN"/>
        </w:rPr>
        <w:t>业绩、</w:t>
      </w:r>
      <w:r>
        <w:rPr>
          <w:rFonts w:hint="eastAsia" w:ascii="宋体" w:hAnsi="宋体"/>
          <w:snapToGrid w:val="0"/>
          <w:kern w:val="0"/>
          <w:szCs w:val="21"/>
        </w:rPr>
        <w:t>设备、资金等方面具有相应的施工能力，详见招标文件第二章投标人须知前附表第1.4.1项内容。</w:t>
      </w:r>
    </w:p>
    <w:p>
      <w:pPr>
        <w:tabs>
          <w:tab w:val="left" w:pos="2060"/>
          <w:tab w:val="left" w:pos="8205"/>
        </w:tabs>
        <w:autoSpaceDE w:val="0"/>
        <w:autoSpaceDN w:val="0"/>
        <w:adjustRightInd w:val="0"/>
        <w:snapToGrid w:val="0"/>
        <w:spacing w:line="450" w:lineRule="exact"/>
        <w:ind w:firstLine="405" w:firstLineChars="193"/>
        <w:jc w:val="left"/>
        <w:rPr>
          <w:rFonts w:ascii="宋体" w:hAnsi="宋体"/>
          <w:snapToGrid w:val="0"/>
          <w:kern w:val="0"/>
          <w:szCs w:val="21"/>
        </w:rPr>
      </w:pPr>
      <w:r>
        <w:rPr>
          <w:rFonts w:hint="eastAsia" w:ascii="宋体" w:hAnsi="宋体"/>
          <w:snapToGrid w:val="0"/>
          <w:kern w:val="0"/>
          <w:szCs w:val="21"/>
          <w:lang w:val="en-US" w:eastAsia="zh-CN"/>
        </w:rPr>
        <w:t>4</w:t>
      </w:r>
      <w:r>
        <w:rPr>
          <w:rFonts w:ascii="宋体" w:hAnsi="宋体"/>
          <w:snapToGrid w:val="0"/>
          <w:kern w:val="0"/>
          <w:szCs w:val="21"/>
        </w:rPr>
        <w:t>.2  你单位</w:t>
      </w:r>
      <w:r>
        <w:rPr>
          <w:rFonts w:hint="eastAsia" w:ascii="宋体" w:hAnsi="宋体"/>
          <w:snapToGrid w:val="0"/>
          <w:kern w:val="0"/>
          <w:szCs w:val="21"/>
        </w:rPr>
        <w:t>□可以 □不可以</w:t>
      </w:r>
      <w:r>
        <w:rPr>
          <w:rFonts w:ascii="宋体" w:hAnsi="宋体"/>
          <w:snapToGrid w:val="0"/>
          <w:kern w:val="0"/>
          <w:szCs w:val="21"/>
        </w:rPr>
        <w:t>组成联合体投标。联合体投标的，应满足下列要求：</w:t>
      </w:r>
      <w:r>
        <w:rPr>
          <w:rFonts w:hint="eastAsia" w:ascii="宋体" w:hAnsi="宋体"/>
          <w:snapToGrid w:val="0"/>
          <w:kern w:val="0"/>
          <w:szCs w:val="21"/>
          <w:u w:val="single"/>
        </w:rPr>
        <w:t xml:space="preserve">               </w:t>
      </w:r>
      <w:r>
        <w:rPr>
          <w:rFonts w:ascii="宋体" w:hAnsi="宋体"/>
          <w:snapToGrid w:val="0"/>
          <w:kern w:val="0"/>
          <w:szCs w:val="21"/>
        </w:rPr>
        <w:t>。</w:t>
      </w:r>
    </w:p>
    <w:p>
      <w:pPr>
        <w:pStyle w:val="4"/>
        <w:spacing w:before="100" w:after="100" w:line="450" w:lineRule="exact"/>
        <w:rPr>
          <w:rFonts w:ascii="宋体" w:hAnsi="宋体"/>
          <w:snapToGrid w:val="0"/>
          <w:sz w:val="28"/>
          <w:szCs w:val="28"/>
        </w:rPr>
      </w:pPr>
      <w:bookmarkStart w:id="121" w:name="_Toc287607739"/>
      <w:bookmarkStart w:id="122" w:name="_Toc277082546"/>
      <w:bookmarkStart w:id="123" w:name="_Toc287620678"/>
      <w:bookmarkStart w:id="124" w:name="_Toc430530427"/>
      <w:bookmarkStart w:id="125" w:name="_Toc509218703"/>
      <w:bookmarkStart w:id="126" w:name="_Toc25739"/>
      <w:bookmarkStart w:id="127" w:name="_Toc224103310"/>
      <w:bookmarkStart w:id="128" w:name="_Toc5524"/>
      <w:r>
        <w:rPr>
          <w:rFonts w:hint="eastAsia" w:ascii="宋体" w:hAnsi="宋体"/>
          <w:snapToGrid w:val="0"/>
          <w:sz w:val="28"/>
          <w:szCs w:val="28"/>
          <w:lang w:val="en-US" w:eastAsia="zh-CN"/>
        </w:rPr>
        <w:t>5</w:t>
      </w:r>
      <w:r>
        <w:rPr>
          <w:rFonts w:ascii="宋体" w:hAnsi="宋体"/>
          <w:snapToGrid w:val="0"/>
          <w:sz w:val="28"/>
          <w:szCs w:val="28"/>
        </w:rPr>
        <w:t>.  招标文件的获取</w:t>
      </w:r>
      <w:bookmarkEnd w:id="121"/>
      <w:bookmarkEnd w:id="122"/>
      <w:bookmarkEnd w:id="123"/>
      <w:bookmarkEnd w:id="124"/>
      <w:bookmarkEnd w:id="125"/>
      <w:bookmarkEnd w:id="126"/>
      <w:bookmarkEnd w:id="127"/>
      <w:bookmarkEnd w:id="128"/>
    </w:p>
    <w:p>
      <w:pPr>
        <w:tabs>
          <w:tab w:val="left" w:pos="525"/>
          <w:tab w:val="left" w:pos="5080"/>
        </w:tabs>
        <w:autoSpaceDE w:val="0"/>
        <w:autoSpaceDN w:val="0"/>
        <w:adjustRightInd w:val="0"/>
        <w:snapToGrid w:val="0"/>
        <w:spacing w:line="450" w:lineRule="exact"/>
        <w:ind w:firstLine="424" w:firstLineChars="202"/>
        <w:jc w:val="left"/>
        <w:rPr>
          <w:rFonts w:ascii="宋体" w:hAnsi="宋体"/>
          <w:snapToGrid w:val="0"/>
          <w:kern w:val="0"/>
          <w:szCs w:val="21"/>
        </w:rPr>
      </w:pPr>
      <w:bookmarkStart w:id="129" w:name="_Toc287607740"/>
      <w:bookmarkStart w:id="130" w:name="_Toc287620679"/>
      <w:bookmarkStart w:id="131" w:name="_Toc277082547"/>
      <w:bookmarkStart w:id="132" w:name="_Toc224103311"/>
      <w:r>
        <w:rPr>
          <w:rFonts w:hint="eastAsia" w:ascii="宋体" w:hAnsi="宋体"/>
          <w:snapToGrid w:val="0"/>
          <w:kern w:val="0"/>
          <w:szCs w:val="21"/>
          <w:lang w:val="en-US" w:eastAsia="zh-CN"/>
        </w:rPr>
        <w:t>5</w:t>
      </w:r>
      <w:r>
        <w:rPr>
          <w:rFonts w:ascii="宋体" w:hAnsi="宋体"/>
          <w:snapToGrid w:val="0"/>
          <w:kern w:val="0"/>
          <w:szCs w:val="21"/>
        </w:rPr>
        <w:t>.</w:t>
      </w:r>
      <w:r>
        <w:rPr>
          <w:rFonts w:hint="eastAsia" w:ascii="宋体" w:hAnsi="宋体"/>
          <w:snapToGrid w:val="0"/>
          <w:kern w:val="0"/>
          <w:szCs w:val="21"/>
        </w:rPr>
        <w:t>1  本招标项目采用全流程电子招投标，招标人</w:t>
      </w:r>
      <w:r>
        <w:rPr>
          <w:rFonts w:ascii="宋体" w:hAnsi="宋体"/>
          <w:snapToGrid w:val="0"/>
          <w:kern w:val="0"/>
          <w:szCs w:val="21"/>
        </w:rPr>
        <w:t>必须将招标文件</w:t>
      </w:r>
      <w:r>
        <w:rPr>
          <w:rFonts w:hint="eastAsia" w:ascii="宋体" w:hAnsi="宋体"/>
          <w:snapToGrid w:val="0"/>
          <w:kern w:val="0"/>
          <w:szCs w:val="21"/>
        </w:rPr>
        <w:t>、</w:t>
      </w:r>
      <w:r>
        <w:rPr>
          <w:rFonts w:ascii="宋体" w:hAnsi="宋体"/>
          <w:snapToGrid w:val="0"/>
          <w:kern w:val="0"/>
          <w:szCs w:val="21"/>
        </w:rPr>
        <w:t>工程量清单、图纸、澄清、修改、补充通知、最高限价通知等全部招标资料</w:t>
      </w:r>
      <w:r>
        <w:rPr>
          <w:rFonts w:hint="eastAsia" w:ascii="宋体" w:hAnsi="宋体"/>
          <w:snapToGrid w:val="0"/>
          <w:kern w:val="0"/>
          <w:szCs w:val="21"/>
        </w:rPr>
        <w:t>通过重庆市电子招投标系统</w:t>
      </w:r>
      <w:r>
        <w:rPr>
          <w:rFonts w:ascii="宋体" w:hAnsi="宋体"/>
          <w:snapToGrid w:val="0"/>
          <w:kern w:val="0"/>
          <w:szCs w:val="21"/>
        </w:rPr>
        <w:t>送达所有被邀请投标人。</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lang w:val="en-US" w:eastAsia="zh-CN"/>
        </w:rPr>
        <w:t>5</w:t>
      </w:r>
      <w:r>
        <w:rPr>
          <w:rFonts w:ascii="宋体" w:hAnsi="宋体"/>
          <w:snapToGrid w:val="0"/>
          <w:kern w:val="0"/>
          <w:szCs w:val="21"/>
        </w:rPr>
        <w:t>.</w:t>
      </w:r>
      <w:r>
        <w:rPr>
          <w:rFonts w:hint="eastAsia" w:ascii="宋体" w:hAnsi="宋体"/>
          <w:snapToGrid w:val="0"/>
          <w:kern w:val="0"/>
          <w:szCs w:val="21"/>
        </w:rPr>
        <w:t>2  投标人</w:t>
      </w:r>
      <w:r>
        <w:rPr>
          <w:rFonts w:hint="eastAsia" w:ascii="宋体" w:hAnsi="宋体"/>
          <w:snapToGrid w:val="0"/>
          <w:color w:val="auto"/>
          <w:kern w:val="0"/>
          <w:szCs w:val="21"/>
          <w:highlight w:val="none"/>
          <w:lang w:val="en-US" w:eastAsia="zh-CN"/>
        </w:rPr>
        <w:t>可在附件投标邀请书规定的时限内</w:t>
      </w:r>
      <w:r>
        <w:rPr>
          <w:rFonts w:hint="eastAsia" w:ascii="宋体" w:hAnsi="宋体"/>
          <w:snapToGrid w:val="0"/>
          <w:kern w:val="0"/>
          <w:szCs w:val="21"/>
        </w:rPr>
        <w:t>通过重庆市电子招投标系统对本项目招标文件提出疑问。</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lang w:val="en-US" w:eastAsia="zh-CN"/>
        </w:rPr>
        <w:t>5</w:t>
      </w:r>
      <w:r>
        <w:rPr>
          <w:rFonts w:ascii="宋体" w:hAnsi="宋体"/>
          <w:snapToGrid w:val="0"/>
          <w:kern w:val="0"/>
          <w:szCs w:val="21"/>
        </w:rPr>
        <w:t>.</w:t>
      </w:r>
      <w:r>
        <w:rPr>
          <w:rFonts w:hint="eastAsia" w:ascii="宋体" w:hAnsi="宋体"/>
          <w:snapToGrid w:val="0"/>
          <w:kern w:val="0"/>
          <w:szCs w:val="21"/>
        </w:rPr>
        <w:t>3 招标人应</w:t>
      </w:r>
      <w:r>
        <w:rPr>
          <w:rFonts w:hint="eastAsia" w:ascii="宋体" w:hAnsi="宋体"/>
          <w:snapToGrid w:val="0"/>
          <w:color w:val="auto"/>
          <w:kern w:val="0"/>
          <w:szCs w:val="21"/>
          <w:highlight w:val="none"/>
          <w:lang w:val="en-US" w:eastAsia="zh-CN"/>
        </w:rPr>
        <w:t>在附件投标邀请书规定的时限内</w:t>
      </w:r>
      <w:r>
        <w:rPr>
          <w:rFonts w:hint="eastAsia" w:ascii="宋体" w:hAnsi="宋体"/>
          <w:snapToGrid w:val="0"/>
          <w:kern w:val="0"/>
          <w:szCs w:val="21"/>
        </w:rPr>
        <w:t>通过重庆市电子招投标系统发布澄清</w:t>
      </w:r>
      <w:r>
        <w:rPr>
          <w:rFonts w:hint="eastAsia" w:ascii="宋体" w:hAnsi="宋体"/>
          <w:snapToGrid w:val="0"/>
          <w:kern w:val="0"/>
          <w:szCs w:val="21"/>
          <w:lang w:val="en-US" w:eastAsia="zh-CN"/>
        </w:rPr>
        <w:t>或修改</w:t>
      </w:r>
      <w:r>
        <w:rPr>
          <w:rFonts w:ascii="宋体" w:hAnsi="宋体"/>
          <w:snapToGrid w:val="0"/>
          <w:kern w:val="0"/>
          <w:szCs w:val="21"/>
        </w:rPr>
        <w:t>。</w:t>
      </w:r>
    </w:p>
    <w:p>
      <w:pPr>
        <w:pStyle w:val="4"/>
        <w:spacing w:before="100" w:after="100" w:line="450" w:lineRule="exact"/>
        <w:rPr>
          <w:rFonts w:ascii="宋体" w:hAnsi="宋体"/>
          <w:snapToGrid w:val="0"/>
          <w:sz w:val="28"/>
          <w:szCs w:val="28"/>
        </w:rPr>
      </w:pPr>
      <w:bookmarkStart w:id="133" w:name="_Toc430530428"/>
      <w:bookmarkStart w:id="134" w:name="_Toc8865"/>
      <w:bookmarkStart w:id="135" w:name="_Toc32663"/>
      <w:bookmarkStart w:id="136" w:name="_Toc509218704"/>
      <w:r>
        <w:rPr>
          <w:rFonts w:hint="eastAsia" w:ascii="宋体" w:hAnsi="宋体"/>
          <w:snapToGrid w:val="0"/>
          <w:sz w:val="28"/>
          <w:szCs w:val="28"/>
          <w:lang w:val="en-US" w:eastAsia="zh-CN"/>
        </w:rPr>
        <w:t>6</w:t>
      </w:r>
      <w:r>
        <w:rPr>
          <w:rFonts w:ascii="宋体" w:hAnsi="宋体"/>
          <w:snapToGrid w:val="0"/>
          <w:sz w:val="28"/>
          <w:szCs w:val="28"/>
        </w:rPr>
        <w:t>.  投标文件的递交</w:t>
      </w:r>
      <w:bookmarkEnd w:id="129"/>
      <w:bookmarkEnd w:id="130"/>
      <w:bookmarkEnd w:id="131"/>
      <w:bookmarkEnd w:id="132"/>
      <w:bookmarkEnd w:id="133"/>
      <w:bookmarkEnd w:id="134"/>
      <w:bookmarkEnd w:id="135"/>
      <w:bookmarkEnd w:id="136"/>
    </w:p>
    <w:p>
      <w:pPr>
        <w:tabs>
          <w:tab w:val="left" w:pos="1580"/>
          <w:tab w:val="left" w:pos="6000"/>
          <w:tab w:val="left" w:pos="6320"/>
          <w:tab w:val="left" w:pos="6887"/>
          <w:tab w:val="left" w:pos="7475"/>
        </w:tabs>
        <w:autoSpaceDE w:val="0"/>
        <w:autoSpaceDN w:val="0"/>
        <w:adjustRightInd w:val="0"/>
        <w:snapToGrid w:val="0"/>
        <w:spacing w:line="450" w:lineRule="exact"/>
        <w:ind w:firstLine="390" w:firstLineChars="186"/>
        <w:jc w:val="left"/>
        <w:rPr>
          <w:rFonts w:ascii="宋体" w:hAnsi="宋体"/>
          <w:snapToGrid w:val="0"/>
          <w:kern w:val="0"/>
          <w:szCs w:val="21"/>
        </w:rPr>
      </w:pPr>
      <w:r>
        <w:rPr>
          <w:rFonts w:hint="eastAsia" w:ascii="宋体" w:hAnsi="宋体"/>
          <w:snapToGrid w:val="0"/>
          <w:kern w:val="0"/>
          <w:szCs w:val="21"/>
          <w:lang w:val="en-US" w:eastAsia="zh-CN"/>
        </w:rPr>
        <w:t>6</w:t>
      </w:r>
      <w:r>
        <w:rPr>
          <w:rFonts w:ascii="宋体" w:hAnsi="宋体"/>
          <w:snapToGrid w:val="0"/>
          <w:kern w:val="0"/>
          <w:szCs w:val="21"/>
        </w:rPr>
        <w:t>.1  投标文件递交的截止时间（投标截止时间，下同）</w:t>
      </w:r>
      <w:r>
        <w:rPr>
          <w:rFonts w:hint="eastAsia" w:ascii="宋体" w:hAnsi="宋体"/>
          <w:snapToGrid w:val="0"/>
          <w:color w:val="auto"/>
          <w:kern w:val="0"/>
          <w:szCs w:val="21"/>
          <w:highlight w:val="none"/>
        </w:rPr>
        <w:t>详见附件</w:t>
      </w:r>
      <w:r>
        <w:rPr>
          <w:rFonts w:hint="eastAsia" w:ascii="宋体" w:hAnsi="宋体"/>
          <w:snapToGrid w:val="0"/>
          <w:color w:val="auto"/>
          <w:kern w:val="0"/>
          <w:szCs w:val="21"/>
          <w:highlight w:val="none"/>
          <w:lang w:val="en-US" w:eastAsia="zh-CN"/>
        </w:rPr>
        <w:t>投标邀请书</w:t>
      </w:r>
      <w:r>
        <w:rPr>
          <w:rFonts w:hint="eastAsia" w:ascii="宋体" w:hAnsi="宋体"/>
          <w:snapToGrid w:val="0"/>
          <w:color w:val="auto"/>
          <w:kern w:val="0"/>
          <w:szCs w:val="21"/>
          <w:highlight w:val="none"/>
        </w:rPr>
        <w:t>规定的投标截止时间</w:t>
      </w:r>
      <w:r>
        <w:rPr>
          <w:rFonts w:ascii="宋体" w:hAnsi="宋体"/>
          <w:snapToGrid w:val="0"/>
          <w:kern w:val="0"/>
          <w:szCs w:val="21"/>
        </w:rPr>
        <w:t>，</w:t>
      </w:r>
      <w:r>
        <w:rPr>
          <w:rFonts w:hint="eastAsia" w:ascii="宋体" w:hAnsi="宋体"/>
          <w:snapToGrid w:val="0"/>
          <w:kern w:val="0"/>
          <w:szCs w:val="21"/>
        </w:rPr>
        <w:t>投标人应当在投标截止时间前，通过互联网使用CA数字证书登录重庆市电子招投标系统，将加密的电子投标文件上传。</w:t>
      </w:r>
    </w:p>
    <w:p>
      <w:pPr>
        <w:autoSpaceDE w:val="0"/>
        <w:autoSpaceDN w:val="0"/>
        <w:adjustRightInd w:val="0"/>
        <w:snapToGrid w:val="0"/>
        <w:spacing w:line="450" w:lineRule="exact"/>
        <w:ind w:firstLine="390" w:firstLineChars="186"/>
        <w:jc w:val="left"/>
        <w:rPr>
          <w:rFonts w:ascii="宋体" w:hAnsi="宋体"/>
          <w:snapToGrid w:val="0"/>
          <w:kern w:val="0"/>
          <w:szCs w:val="21"/>
        </w:rPr>
      </w:pPr>
      <w:r>
        <w:rPr>
          <w:rFonts w:hint="eastAsia" w:ascii="宋体" w:hAnsi="宋体"/>
          <w:snapToGrid w:val="0"/>
          <w:kern w:val="0"/>
          <w:szCs w:val="21"/>
          <w:lang w:val="en-US" w:eastAsia="zh-CN"/>
        </w:rPr>
        <w:t>6</w:t>
      </w:r>
      <w:r>
        <w:rPr>
          <w:rFonts w:ascii="宋体" w:hAnsi="宋体"/>
          <w:snapToGrid w:val="0"/>
          <w:kern w:val="0"/>
          <w:szCs w:val="21"/>
        </w:rPr>
        <w:t xml:space="preserve">.2  </w:t>
      </w:r>
      <w:r>
        <w:rPr>
          <w:rFonts w:hint="eastAsia" w:ascii="宋体" w:hAnsi="宋体"/>
          <w:snapToGrid w:val="0"/>
          <w:kern w:val="0"/>
          <w:szCs w:val="21"/>
        </w:rPr>
        <w:t>未按要求加密的电子投标文件，将无法上传至重庆市电子招投标系统，逾期未完成上传投标文件的，视为撤回投标文件。</w:t>
      </w:r>
    </w:p>
    <w:p>
      <w:pPr>
        <w:pStyle w:val="4"/>
        <w:spacing w:before="100" w:after="100" w:line="450" w:lineRule="exact"/>
        <w:rPr>
          <w:rFonts w:ascii="宋体" w:hAnsi="宋体"/>
          <w:snapToGrid w:val="0"/>
          <w:sz w:val="28"/>
          <w:szCs w:val="28"/>
        </w:rPr>
      </w:pPr>
      <w:bookmarkStart w:id="137" w:name="_Toc14703"/>
      <w:bookmarkStart w:id="138" w:name="_Toc287607741"/>
      <w:bookmarkStart w:id="139" w:name="_Toc277082548"/>
      <w:bookmarkStart w:id="140" w:name="_Toc430530429"/>
      <w:bookmarkStart w:id="141" w:name="_Toc224103312"/>
      <w:bookmarkStart w:id="142" w:name="_Toc509218705"/>
      <w:bookmarkStart w:id="143" w:name="_Toc287620680"/>
      <w:bookmarkStart w:id="144" w:name="_Toc30591"/>
      <w:r>
        <w:rPr>
          <w:rFonts w:hint="eastAsia" w:ascii="宋体" w:hAnsi="宋体"/>
          <w:snapToGrid w:val="0"/>
          <w:sz w:val="28"/>
          <w:szCs w:val="28"/>
          <w:lang w:val="en-US" w:eastAsia="zh-CN"/>
        </w:rPr>
        <w:t>7</w:t>
      </w:r>
      <w:r>
        <w:rPr>
          <w:rFonts w:ascii="宋体" w:hAnsi="宋体"/>
          <w:snapToGrid w:val="0"/>
          <w:sz w:val="28"/>
          <w:szCs w:val="28"/>
        </w:rPr>
        <w:t>.  确认</w:t>
      </w:r>
      <w:bookmarkEnd w:id="137"/>
      <w:bookmarkEnd w:id="138"/>
      <w:bookmarkEnd w:id="139"/>
      <w:bookmarkEnd w:id="140"/>
      <w:bookmarkEnd w:id="141"/>
      <w:bookmarkEnd w:id="142"/>
      <w:bookmarkEnd w:id="143"/>
      <w:bookmarkEnd w:id="144"/>
    </w:p>
    <w:p>
      <w:pPr>
        <w:tabs>
          <w:tab w:val="left" w:pos="633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rPr>
        <w:t>本招标项目采用全流程电子招投标，被邀请投标人通过重庆市电子招投标系统确认。</w:t>
      </w:r>
    </w:p>
    <w:p>
      <w:pPr>
        <w:pStyle w:val="4"/>
        <w:spacing w:before="100" w:after="100" w:line="450" w:lineRule="exact"/>
        <w:rPr>
          <w:rFonts w:ascii="宋体" w:hAnsi="宋体"/>
          <w:snapToGrid w:val="0"/>
          <w:sz w:val="28"/>
          <w:szCs w:val="28"/>
        </w:rPr>
      </w:pPr>
      <w:bookmarkStart w:id="145" w:name="_Toc224103313"/>
      <w:bookmarkStart w:id="146" w:name="_Toc277082549"/>
      <w:bookmarkStart w:id="147" w:name="_Toc509218706"/>
      <w:bookmarkStart w:id="148" w:name="_Toc287607742"/>
      <w:bookmarkStart w:id="149" w:name="_Toc1349"/>
      <w:bookmarkStart w:id="150" w:name="_Toc430530430"/>
      <w:bookmarkStart w:id="151" w:name="_Toc4575"/>
      <w:bookmarkStart w:id="152" w:name="_Toc287620681"/>
      <w:r>
        <w:rPr>
          <w:rFonts w:hint="eastAsia" w:ascii="宋体" w:hAnsi="宋体"/>
          <w:snapToGrid w:val="0"/>
          <w:sz w:val="28"/>
          <w:szCs w:val="28"/>
          <w:lang w:val="en-US" w:eastAsia="zh-CN"/>
        </w:rPr>
        <w:t>8</w:t>
      </w:r>
      <w:r>
        <w:rPr>
          <w:rFonts w:ascii="宋体" w:hAnsi="宋体"/>
          <w:snapToGrid w:val="0"/>
          <w:sz w:val="28"/>
          <w:szCs w:val="28"/>
        </w:rPr>
        <w:t>.  联系方式</w:t>
      </w:r>
      <w:bookmarkEnd w:id="145"/>
      <w:bookmarkEnd w:id="146"/>
      <w:bookmarkEnd w:id="147"/>
      <w:bookmarkEnd w:id="148"/>
      <w:bookmarkEnd w:id="149"/>
      <w:bookmarkEnd w:id="150"/>
      <w:bookmarkEnd w:id="151"/>
      <w:bookmarkEnd w:id="152"/>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招 标 人：</w:t>
      </w:r>
      <w:r>
        <w:rPr>
          <w:rFonts w:ascii="宋体" w:hAnsi="宋体"/>
          <w:snapToGrid w:val="0"/>
          <w:kern w:val="0"/>
          <w:szCs w:val="21"/>
          <w:u w:val="single"/>
        </w:rPr>
        <w:t xml:space="preserve">                             </w:t>
      </w:r>
      <w:r>
        <w:rPr>
          <w:rFonts w:ascii="宋体" w:hAnsi="宋体"/>
          <w:snapToGrid w:val="0"/>
          <w:kern w:val="0"/>
          <w:szCs w:val="21"/>
        </w:rPr>
        <w:t xml:space="preserve">     招标代理机构：</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地    址：</w:t>
      </w:r>
      <w:r>
        <w:rPr>
          <w:rFonts w:ascii="宋体" w:hAnsi="宋体"/>
          <w:snapToGrid w:val="0"/>
          <w:kern w:val="0"/>
          <w:szCs w:val="21"/>
          <w:u w:val="single"/>
        </w:rPr>
        <w:t xml:space="preserve">                             </w:t>
      </w:r>
      <w:r>
        <w:rPr>
          <w:rFonts w:ascii="宋体" w:hAnsi="宋体"/>
          <w:snapToGrid w:val="0"/>
          <w:kern w:val="0"/>
          <w:szCs w:val="21"/>
        </w:rPr>
        <w:t xml:space="preserve">     地    址：  </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position w:val="-3"/>
          <w:szCs w:val="21"/>
        </w:rPr>
        <w:t>邮    编：</w:t>
      </w:r>
      <w:r>
        <w:rPr>
          <w:rFonts w:ascii="宋体" w:hAnsi="宋体"/>
          <w:snapToGrid w:val="0"/>
          <w:kern w:val="0"/>
          <w:szCs w:val="21"/>
          <w:u w:val="single"/>
        </w:rPr>
        <w:t xml:space="preserve">                             </w:t>
      </w:r>
      <w:r>
        <w:rPr>
          <w:rFonts w:ascii="宋体" w:hAnsi="宋体"/>
          <w:snapToGrid w:val="0"/>
          <w:kern w:val="0"/>
          <w:szCs w:val="21"/>
        </w:rPr>
        <w:t xml:space="preserve">     </w:t>
      </w:r>
      <w:r>
        <w:rPr>
          <w:rFonts w:ascii="宋体" w:hAnsi="宋体"/>
          <w:snapToGrid w:val="0"/>
          <w:kern w:val="0"/>
          <w:position w:val="-3"/>
          <w:szCs w:val="21"/>
        </w:rPr>
        <w:t>邮    编：</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ascii="宋体" w:hAnsi="宋体"/>
          <w:snapToGrid w:val="0"/>
          <w:kern w:val="0"/>
          <w:szCs w:val="21"/>
        </w:rPr>
        <w:t xml:space="preserve">     联 系 人：</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ascii="宋体" w:hAnsi="宋体"/>
          <w:snapToGrid w:val="0"/>
          <w:kern w:val="0"/>
          <w:szCs w:val="21"/>
        </w:rPr>
        <w:t xml:space="preserve">     电    话：</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传    真：</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电子邮件：</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开户银行：</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账    号：</w:t>
      </w:r>
      <w:r>
        <w:rPr>
          <w:rFonts w:ascii="宋体" w:hAnsi="宋体"/>
          <w:snapToGrid w:val="0"/>
          <w:kern w:val="0"/>
          <w:szCs w:val="21"/>
          <w:u w:val="single"/>
        </w:rPr>
        <w:t xml:space="preserve">                             </w:t>
      </w:r>
      <w:r>
        <w:rPr>
          <w:rFonts w:ascii="宋体" w:hAnsi="宋体"/>
          <w:snapToGrid w:val="0"/>
          <w:kern w:val="0"/>
          <w:szCs w:val="21"/>
        </w:rPr>
        <w:t xml:space="preserve">     账    号：</w:t>
      </w:r>
      <w:r>
        <w:rPr>
          <w:rFonts w:ascii="宋体" w:hAnsi="宋体"/>
          <w:snapToGrid w:val="0"/>
          <w:kern w:val="0"/>
          <w:szCs w:val="21"/>
          <w:u w:val="single"/>
        </w:rPr>
        <w:t xml:space="preserve">                                </w:t>
      </w:r>
    </w:p>
    <w:p>
      <w:pPr>
        <w:tabs>
          <w:tab w:val="left" w:pos="5140"/>
          <w:tab w:val="left" w:pos="8520"/>
        </w:tabs>
        <w:autoSpaceDE w:val="0"/>
        <w:autoSpaceDN w:val="0"/>
        <w:adjustRightInd w:val="0"/>
        <w:snapToGrid w:val="0"/>
        <w:spacing w:line="450" w:lineRule="exact"/>
        <w:ind w:firstLine="420" w:firstLineChars="200"/>
        <w:jc w:val="left"/>
        <w:rPr>
          <w:rFonts w:hint="eastAsia" w:ascii="宋体" w:hAnsi="宋体"/>
          <w:snapToGrid w:val="0"/>
          <w:kern w:val="0"/>
          <w:szCs w:val="21"/>
          <w:lang w:val="en-US" w:eastAsia="zh-CN"/>
        </w:rPr>
      </w:pPr>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autoSpaceDE w:val="0"/>
        <w:autoSpaceDN w:val="0"/>
        <w:adjustRightInd w:val="0"/>
        <w:snapToGrid w:val="0"/>
        <w:spacing w:line="450" w:lineRule="exact"/>
        <w:ind w:firstLine="420" w:firstLineChars="200"/>
        <w:jc w:val="both"/>
        <w:rPr>
          <w:rFonts w:ascii="宋体" w:hAnsi="宋体"/>
          <w:snapToGrid w:val="0"/>
          <w:kern w:val="0"/>
          <w:szCs w:val="21"/>
          <w:u w:val="single"/>
        </w:rPr>
      </w:pPr>
      <w:r>
        <w:rPr>
          <w:rFonts w:hint="eastAsia" w:ascii="宋体" w:hAnsi="宋体"/>
          <w:snapToGrid w:val="0"/>
          <w:kern w:val="0"/>
          <w:szCs w:val="21"/>
          <w:lang w:val="en-US" w:eastAsia="zh-CN"/>
        </w:rPr>
        <w:t>电</w:t>
      </w:r>
      <w:r>
        <w:rPr>
          <w:rFonts w:ascii="宋体" w:hAnsi="宋体"/>
          <w:snapToGrid w:val="0"/>
          <w:kern w:val="0"/>
          <w:szCs w:val="21"/>
        </w:rPr>
        <w:t xml:space="preserve">    </w:t>
      </w:r>
      <w:r>
        <w:rPr>
          <w:rFonts w:hint="eastAsia" w:ascii="宋体" w:hAnsi="宋体"/>
          <w:snapToGrid w:val="0"/>
          <w:kern w:val="0"/>
          <w:szCs w:val="21"/>
          <w:lang w:val="en-US" w:eastAsia="zh-CN"/>
        </w:rPr>
        <w:t>话</w:t>
      </w:r>
      <w:r>
        <w:rPr>
          <w:rFonts w:ascii="宋体" w:hAnsi="宋体"/>
          <w:snapToGrid w:val="0"/>
          <w:kern w:val="0"/>
          <w:szCs w:val="21"/>
        </w:rPr>
        <w:t>：</w:t>
      </w:r>
      <w:r>
        <w:rPr>
          <w:rFonts w:ascii="宋体" w:hAnsi="宋体"/>
          <w:snapToGrid w:val="0"/>
          <w:kern w:val="0"/>
          <w:szCs w:val="21"/>
          <w:u w:val="single"/>
        </w:rPr>
        <w:t xml:space="preserve">                             </w:t>
      </w:r>
    </w:p>
    <w:p>
      <w:pPr>
        <w:autoSpaceDE w:val="0"/>
        <w:autoSpaceDN w:val="0"/>
        <w:adjustRightInd w:val="0"/>
        <w:snapToGrid w:val="0"/>
        <w:spacing w:line="450" w:lineRule="exact"/>
        <w:jc w:val="right"/>
        <w:rPr>
          <w:rFonts w:ascii="宋体" w:hAnsi="宋体"/>
          <w:snapToGrid w:val="0"/>
          <w:kern w:val="0"/>
          <w:szCs w:val="21"/>
          <w:u w:val="single"/>
        </w:rPr>
      </w:pPr>
    </w:p>
    <w:p>
      <w:pPr>
        <w:autoSpaceDE w:val="0"/>
        <w:autoSpaceDN w:val="0"/>
        <w:adjustRightInd w:val="0"/>
        <w:snapToGrid w:val="0"/>
        <w:spacing w:line="450" w:lineRule="exact"/>
        <w:jc w:val="right"/>
        <w:rPr>
          <w:rFonts w:ascii="宋体" w:hAnsi="宋体"/>
          <w:snapToGrid w:val="0"/>
          <w:kern w:val="0"/>
          <w:szCs w:val="21"/>
        </w:rPr>
      </w:pPr>
      <w:r>
        <w:rPr>
          <w:rFonts w:ascii="宋体" w:hAnsi="宋体"/>
          <w:snapToGrid w:val="0"/>
          <w:kern w:val="0"/>
          <w:szCs w:val="21"/>
          <w:u w:val="single"/>
        </w:rPr>
        <w:t xml:space="preserve">         </w:t>
      </w:r>
      <w:r>
        <w:rPr>
          <w:rFonts w:ascii="宋体" w:hAnsi="宋体"/>
          <w:snapToGrid w:val="0"/>
          <w:kern w:val="0"/>
          <w:szCs w:val="21"/>
        </w:rPr>
        <w:t>年</w:t>
      </w:r>
      <w:r>
        <w:rPr>
          <w:rFonts w:ascii="宋体" w:hAnsi="宋体"/>
          <w:snapToGrid w:val="0"/>
          <w:kern w:val="0"/>
          <w:szCs w:val="21"/>
          <w:u w:val="single"/>
        </w:rPr>
        <w:t xml:space="preserve">      </w:t>
      </w:r>
      <w:r>
        <w:rPr>
          <w:rFonts w:ascii="宋体" w:hAnsi="宋体"/>
          <w:snapToGrid w:val="0"/>
          <w:kern w:val="0"/>
          <w:szCs w:val="21"/>
        </w:rPr>
        <w:t>月</w:t>
      </w:r>
      <w:r>
        <w:rPr>
          <w:rFonts w:ascii="宋体" w:hAnsi="宋体"/>
          <w:snapToGrid w:val="0"/>
          <w:kern w:val="0"/>
          <w:szCs w:val="21"/>
          <w:u w:val="single"/>
        </w:rPr>
        <w:t xml:space="preserve">      </w:t>
      </w:r>
      <w:r>
        <w:rPr>
          <w:rFonts w:ascii="宋体" w:hAnsi="宋体"/>
          <w:snapToGrid w:val="0"/>
          <w:kern w:val="0"/>
          <w:szCs w:val="21"/>
        </w:rPr>
        <w:t xml:space="preserve">日  </w:t>
      </w:r>
    </w:p>
    <w:p>
      <w:pPr>
        <w:autoSpaceDE w:val="0"/>
        <w:autoSpaceDN w:val="0"/>
        <w:adjustRightInd w:val="0"/>
        <w:snapToGrid w:val="0"/>
        <w:spacing w:line="200" w:lineRule="exact"/>
        <w:jc w:val="left"/>
        <w:rPr>
          <w:rFonts w:ascii="宋体" w:hAnsi="宋体"/>
          <w:snapToGrid w:val="0"/>
          <w:kern w:val="0"/>
          <w:sz w:val="20"/>
          <w:szCs w:val="20"/>
        </w:rPr>
      </w:pPr>
      <w:r>
        <w:rPr>
          <w:rFonts w:ascii="宋体" w:hAnsi="宋体"/>
          <w:snapToGrid w:val="0"/>
          <w:kern w:val="0"/>
          <w:szCs w:val="21"/>
        </w:rPr>
        <w:br w:type="page"/>
      </w:r>
    </w:p>
    <w:p>
      <w:pPr>
        <w:pStyle w:val="3"/>
        <w:spacing w:line="360" w:lineRule="auto"/>
        <w:rPr>
          <w:rFonts w:ascii="宋体" w:hAnsi="宋体"/>
          <w:snapToGrid w:val="0"/>
          <w:kern w:val="0"/>
        </w:rPr>
      </w:pPr>
      <w:bookmarkStart w:id="153" w:name="_Toc287607743"/>
      <w:bookmarkStart w:id="154" w:name="_Toc30082"/>
      <w:bookmarkStart w:id="155" w:name="_Toc509218707"/>
      <w:bookmarkStart w:id="156" w:name="_Toc277082550"/>
      <w:bookmarkStart w:id="157" w:name="_Toc430530431"/>
      <w:bookmarkStart w:id="158" w:name="_Toc224103314"/>
      <w:bookmarkStart w:id="159" w:name="_Toc16851"/>
      <w:bookmarkStart w:id="160" w:name="_Toc287620682"/>
      <w:r>
        <w:rPr>
          <w:rFonts w:ascii="宋体" w:hAnsi="宋体"/>
          <w:snapToGrid w:val="0"/>
          <w:kern w:val="0"/>
        </w:rPr>
        <w:t>第一章  投标邀请书（</w:t>
      </w:r>
      <w:r>
        <w:rPr>
          <w:rFonts w:hint="eastAsia" w:ascii="宋体" w:hAnsi="宋体"/>
          <w:snapToGrid w:val="0"/>
          <w:kern w:val="0"/>
        </w:rPr>
        <w:t>代资格预审通过通知书</w:t>
      </w:r>
      <w:r>
        <w:rPr>
          <w:rFonts w:ascii="宋体" w:hAnsi="宋体"/>
          <w:snapToGrid w:val="0"/>
          <w:kern w:val="0"/>
        </w:rPr>
        <w:t>）</w:t>
      </w:r>
      <w:bookmarkEnd w:id="153"/>
      <w:bookmarkEnd w:id="154"/>
      <w:bookmarkEnd w:id="155"/>
      <w:bookmarkEnd w:id="156"/>
      <w:bookmarkEnd w:id="157"/>
      <w:bookmarkEnd w:id="158"/>
      <w:bookmarkEnd w:id="159"/>
      <w:bookmarkEnd w:id="160"/>
    </w:p>
    <w:p>
      <w:pPr>
        <w:tabs>
          <w:tab w:val="left" w:pos="3370"/>
          <w:tab w:val="left" w:pos="5460"/>
        </w:tabs>
        <w:autoSpaceDE w:val="0"/>
        <w:autoSpaceDN w:val="0"/>
        <w:adjustRightInd w:val="0"/>
        <w:snapToGrid w:val="0"/>
        <w:spacing w:line="360" w:lineRule="auto"/>
        <w:jc w:val="center"/>
        <w:rPr>
          <w:rFonts w:ascii="宋体" w:hAnsi="宋体"/>
          <w:w w:val="99"/>
          <w:kern w:val="0"/>
          <w:sz w:val="28"/>
          <w:szCs w:val="28"/>
        </w:rPr>
      </w:pPr>
      <w:r>
        <w:rPr>
          <w:rFonts w:hint="eastAsia" w:ascii="宋体" w:hAnsi="宋体"/>
          <w:snapToGrid w:val="0"/>
          <w:kern w:val="0"/>
          <w:szCs w:val="21"/>
          <w:u w:val="single"/>
        </w:rPr>
        <w:t xml:space="preserve">                 </w:t>
      </w:r>
      <w:r>
        <w:rPr>
          <w:rFonts w:hint="eastAsia" w:ascii="宋体" w:hAnsi="宋体"/>
          <w:sz w:val="28"/>
          <w:szCs w:val="28"/>
          <w:u w:val="single"/>
        </w:rPr>
        <w:t>（项目名称）</w:t>
      </w:r>
      <w:r>
        <w:rPr>
          <w:rFonts w:hint="eastAsia" w:ascii="宋体" w:hAnsi="宋体"/>
          <w:w w:val="99"/>
          <w:kern w:val="0"/>
          <w:sz w:val="28"/>
          <w:szCs w:val="28"/>
        </w:rPr>
        <w:t>投标邀请书</w:t>
      </w:r>
    </w:p>
    <w:p>
      <w:pPr>
        <w:tabs>
          <w:tab w:val="left" w:pos="3370"/>
          <w:tab w:val="left" w:pos="5460"/>
        </w:tabs>
        <w:autoSpaceDE w:val="0"/>
        <w:autoSpaceDN w:val="0"/>
        <w:adjustRightInd w:val="0"/>
        <w:snapToGrid w:val="0"/>
        <w:spacing w:line="460" w:lineRule="exact"/>
        <w:jc w:val="left"/>
        <w:rPr>
          <w:rFonts w:ascii="宋体" w:hAnsi="宋体"/>
          <w:snapToGrid w:val="0"/>
          <w:kern w:val="0"/>
          <w:szCs w:val="21"/>
        </w:rPr>
      </w:pPr>
      <w:r>
        <w:rPr>
          <w:rFonts w:hint="eastAsia" w:ascii="宋体" w:hAnsi="宋体"/>
          <w:snapToGrid w:val="0"/>
          <w:kern w:val="0"/>
          <w:szCs w:val="21"/>
          <w:u w:val="single"/>
        </w:rPr>
        <w:t xml:space="preserve">                 </w:t>
      </w:r>
      <w:r>
        <w:rPr>
          <w:rFonts w:ascii="宋体" w:hAnsi="宋体"/>
          <w:snapToGrid w:val="0"/>
          <w:kern w:val="0"/>
          <w:szCs w:val="21"/>
          <w:u w:val="single"/>
        </w:rPr>
        <w:t>（被邀请单位名称）</w:t>
      </w:r>
      <w:r>
        <w:rPr>
          <w:rFonts w:ascii="宋体" w:hAnsi="宋体"/>
          <w:snapToGrid w:val="0"/>
          <w:kern w:val="0"/>
          <w:szCs w:val="21"/>
        </w:rPr>
        <w:t>：</w:t>
      </w:r>
    </w:p>
    <w:p>
      <w:pPr>
        <w:tabs>
          <w:tab w:val="left" w:pos="3370"/>
          <w:tab w:val="left" w:pos="5460"/>
        </w:tabs>
        <w:autoSpaceDE w:val="0"/>
        <w:autoSpaceDN w:val="0"/>
        <w:adjustRightInd w:val="0"/>
        <w:snapToGrid w:val="0"/>
        <w:spacing w:line="460" w:lineRule="exact"/>
        <w:ind w:firstLine="420" w:firstLineChars="200"/>
        <w:jc w:val="left"/>
        <w:rPr>
          <w:rFonts w:ascii="宋体" w:hAnsi="宋体"/>
          <w:snapToGrid w:val="0"/>
          <w:kern w:val="0"/>
          <w:szCs w:val="21"/>
        </w:rPr>
      </w:pPr>
      <w:r>
        <w:rPr>
          <w:rFonts w:ascii="宋体" w:hAnsi="宋体"/>
          <w:snapToGrid w:val="0"/>
          <w:kern w:val="0"/>
          <w:szCs w:val="21"/>
        </w:rPr>
        <w:t>你单位已通过资格预审，现邀请你单位按招标文件规定的内容，参加</w:t>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w:t>
      </w:r>
    </w:p>
    <w:p>
      <w:pPr>
        <w:tabs>
          <w:tab w:val="left" w:pos="2420"/>
          <w:tab w:val="left" w:pos="5445"/>
        </w:tabs>
        <w:autoSpaceDE w:val="0"/>
        <w:autoSpaceDN w:val="0"/>
        <w:adjustRightInd w:val="0"/>
        <w:snapToGrid w:val="0"/>
        <w:spacing w:line="460" w:lineRule="exact"/>
        <w:ind w:firstLine="420"/>
        <w:jc w:val="left"/>
        <w:rPr>
          <w:rFonts w:ascii="宋体" w:hAnsi="宋体"/>
          <w:snapToGrid w:val="0"/>
          <w:kern w:val="0"/>
          <w:szCs w:val="21"/>
        </w:rPr>
      </w:pPr>
      <w:r>
        <w:rPr>
          <w:rFonts w:hint="eastAsia" w:ascii="宋体" w:hAnsi="宋体"/>
          <w:snapToGrid w:val="0"/>
          <w:kern w:val="0"/>
          <w:szCs w:val="21"/>
        </w:rPr>
        <w:t>本招标项目采用全流程电子招投标，招标人</w:t>
      </w:r>
      <w:r>
        <w:rPr>
          <w:rFonts w:ascii="宋体" w:hAnsi="宋体"/>
          <w:snapToGrid w:val="0"/>
          <w:kern w:val="0"/>
          <w:szCs w:val="21"/>
        </w:rPr>
        <w:t>必须将招标文件</w:t>
      </w:r>
      <w:r>
        <w:rPr>
          <w:rFonts w:hint="eastAsia" w:ascii="宋体" w:hAnsi="宋体"/>
          <w:snapToGrid w:val="0"/>
          <w:kern w:val="0"/>
          <w:szCs w:val="21"/>
        </w:rPr>
        <w:t>、</w:t>
      </w:r>
      <w:r>
        <w:rPr>
          <w:rFonts w:ascii="宋体" w:hAnsi="宋体"/>
          <w:snapToGrid w:val="0"/>
          <w:kern w:val="0"/>
          <w:szCs w:val="21"/>
        </w:rPr>
        <w:t>工程量清单、图纸、澄清、修改、补充通知、最高限价通知等全部招标资料</w:t>
      </w:r>
      <w:r>
        <w:rPr>
          <w:rFonts w:hint="eastAsia" w:ascii="宋体" w:hAnsi="宋体"/>
          <w:snapToGrid w:val="0"/>
          <w:kern w:val="0"/>
          <w:szCs w:val="21"/>
        </w:rPr>
        <w:t>通过重庆市电子招投标系统</w:t>
      </w:r>
      <w:r>
        <w:rPr>
          <w:rFonts w:ascii="宋体" w:hAnsi="宋体"/>
          <w:snapToGrid w:val="0"/>
          <w:kern w:val="0"/>
          <w:szCs w:val="21"/>
        </w:rPr>
        <w:t>送达所有资格预审通过的投标人。</w:t>
      </w:r>
    </w:p>
    <w:p>
      <w:pPr>
        <w:tabs>
          <w:tab w:val="left" w:pos="2320"/>
          <w:tab w:val="left" w:pos="5780"/>
          <w:tab w:val="left" w:pos="6420"/>
        </w:tabs>
        <w:autoSpaceDE w:val="0"/>
        <w:autoSpaceDN w:val="0"/>
        <w:adjustRightInd w:val="0"/>
        <w:snapToGrid w:val="0"/>
        <w:spacing w:line="460" w:lineRule="exact"/>
        <w:ind w:firstLine="420"/>
        <w:jc w:val="left"/>
        <w:rPr>
          <w:rFonts w:ascii="宋体" w:hAnsi="宋体"/>
          <w:snapToGrid w:val="0"/>
          <w:kern w:val="0"/>
          <w:szCs w:val="21"/>
          <w:u w:val="single"/>
        </w:rPr>
      </w:pPr>
      <w:r>
        <w:rPr>
          <w:rFonts w:ascii="宋体" w:hAnsi="宋体"/>
          <w:snapToGrid w:val="0"/>
          <w:kern w:val="0"/>
          <w:szCs w:val="21"/>
        </w:rPr>
        <w:t>投标文件递交的截止时间（投标截止时间，下同）</w:t>
      </w:r>
      <w:r>
        <w:rPr>
          <w:rFonts w:hint="eastAsia" w:ascii="宋体" w:hAnsi="宋体"/>
          <w:snapToGrid w:val="0"/>
          <w:color w:val="auto"/>
          <w:kern w:val="0"/>
          <w:szCs w:val="21"/>
          <w:highlight w:val="none"/>
        </w:rPr>
        <w:t>详见附件</w:t>
      </w:r>
      <w:r>
        <w:rPr>
          <w:rFonts w:hint="eastAsia" w:ascii="宋体" w:hAnsi="宋体"/>
          <w:snapToGrid w:val="0"/>
          <w:color w:val="auto"/>
          <w:kern w:val="0"/>
          <w:szCs w:val="21"/>
          <w:highlight w:val="none"/>
          <w:lang w:val="en-US" w:eastAsia="zh-CN"/>
        </w:rPr>
        <w:t>投标邀请书</w:t>
      </w:r>
      <w:r>
        <w:rPr>
          <w:rFonts w:hint="eastAsia" w:ascii="宋体" w:hAnsi="宋体"/>
          <w:snapToGrid w:val="0"/>
          <w:color w:val="auto"/>
          <w:kern w:val="0"/>
          <w:szCs w:val="21"/>
          <w:highlight w:val="none"/>
        </w:rPr>
        <w:t>规定的投标截止时间</w:t>
      </w:r>
      <w:r>
        <w:rPr>
          <w:rFonts w:ascii="宋体" w:hAnsi="宋体"/>
          <w:snapToGrid w:val="0"/>
          <w:kern w:val="0"/>
          <w:szCs w:val="21"/>
        </w:rPr>
        <w:t>，</w:t>
      </w:r>
      <w:r>
        <w:rPr>
          <w:rFonts w:hint="eastAsia" w:ascii="宋体" w:hAnsi="宋体"/>
          <w:snapToGrid w:val="0"/>
          <w:kern w:val="0"/>
          <w:szCs w:val="21"/>
        </w:rPr>
        <w:t>投标人应当在投标截止时间前，通过互联网使用CA数字证书登录重庆市电子招投标系统，将加密的电子投标文件上传。</w:t>
      </w:r>
    </w:p>
    <w:p>
      <w:pPr>
        <w:tabs>
          <w:tab w:val="left" w:pos="2320"/>
          <w:tab w:val="left" w:pos="5780"/>
          <w:tab w:val="left" w:pos="6420"/>
        </w:tabs>
        <w:autoSpaceDE w:val="0"/>
        <w:autoSpaceDN w:val="0"/>
        <w:adjustRightInd w:val="0"/>
        <w:snapToGrid w:val="0"/>
        <w:spacing w:line="460" w:lineRule="exact"/>
        <w:ind w:firstLine="420"/>
        <w:jc w:val="left"/>
        <w:rPr>
          <w:rFonts w:ascii="宋体" w:hAnsi="宋体"/>
          <w:snapToGrid w:val="0"/>
          <w:kern w:val="0"/>
          <w:szCs w:val="21"/>
        </w:rPr>
      </w:pPr>
      <w:r>
        <w:rPr>
          <w:rFonts w:hint="eastAsia" w:ascii="宋体" w:hAnsi="宋体"/>
          <w:snapToGrid w:val="0"/>
          <w:kern w:val="0"/>
          <w:szCs w:val="21"/>
        </w:rPr>
        <w:t>未按要求加密的电子投标文件，将无法上传至重庆市电子招投标系统，逾期未完成上传投标文件的，视为撤回投标文件。</w:t>
      </w:r>
    </w:p>
    <w:p>
      <w:pPr>
        <w:tabs>
          <w:tab w:val="left" w:pos="2320"/>
          <w:tab w:val="left" w:pos="5780"/>
          <w:tab w:val="left" w:pos="6420"/>
        </w:tabs>
        <w:autoSpaceDE w:val="0"/>
        <w:autoSpaceDN w:val="0"/>
        <w:adjustRightInd w:val="0"/>
        <w:snapToGrid w:val="0"/>
        <w:spacing w:line="460" w:lineRule="exact"/>
        <w:ind w:firstLine="420"/>
        <w:jc w:val="left"/>
        <w:rPr>
          <w:rFonts w:ascii="宋体" w:hAnsi="宋体"/>
          <w:snapToGrid w:val="0"/>
          <w:kern w:val="0"/>
          <w:szCs w:val="21"/>
        </w:rPr>
      </w:pPr>
      <w:r>
        <w:rPr>
          <w:rFonts w:hint="eastAsia" w:ascii="宋体" w:hAnsi="宋体"/>
          <w:snapToGrid w:val="0"/>
          <w:kern w:val="0"/>
          <w:szCs w:val="21"/>
        </w:rPr>
        <w:t>本招标项目采用全流程电子招投标，被邀请投标人通过重庆市电子招投标系统确认。</w:t>
      </w:r>
    </w:p>
    <w:p>
      <w:pPr>
        <w:tabs>
          <w:tab w:val="left" w:pos="2320"/>
          <w:tab w:val="left" w:pos="5780"/>
          <w:tab w:val="left" w:pos="6420"/>
        </w:tabs>
        <w:autoSpaceDE w:val="0"/>
        <w:autoSpaceDN w:val="0"/>
        <w:adjustRightInd w:val="0"/>
        <w:snapToGrid w:val="0"/>
        <w:spacing w:line="360" w:lineRule="auto"/>
        <w:ind w:firstLine="420"/>
        <w:jc w:val="left"/>
        <w:rPr>
          <w:rFonts w:ascii="宋体" w:hAnsi="宋体"/>
          <w:snapToGrid w:val="0"/>
          <w:kern w:val="0"/>
          <w:szCs w:val="21"/>
        </w:rPr>
      </w:pP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szCs w:val="21"/>
        </w:rPr>
        <w:t>招</w:t>
      </w:r>
      <w:r>
        <w:rPr>
          <w:rFonts w:hint="eastAsia" w:ascii="宋体" w:hAnsi="宋体"/>
          <w:kern w:val="0"/>
          <w:szCs w:val="21"/>
        </w:rPr>
        <w:t xml:space="preserve"> </w:t>
      </w:r>
      <w:r>
        <w:rPr>
          <w:rFonts w:ascii="宋体" w:hAnsi="宋体"/>
          <w:kern w:val="0"/>
          <w:szCs w:val="21"/>
        </w:rPr>
        <w:t>标</w:t>
      </w:r>
      <w:r>
        <w:rPr>
          <w:rFonts w:hint="eastAsia" w:ascii="宋体" w:hAnsi="宋体"/>
          <w:kern w:val="0"/>
          <w:szCs w:val="21"/>
        </w:rPr>
        <w:t xml:space="preserve"> </w:t>
      </w:r>
      <w:r>
        <w:rPr>
          <w:rFonts w:ascii="宋体" w:hAnsi="宋体"/>
          <w:kern w:val="0"/>
          <w:szCs w:val="21"/>
        </w:rPr>
        <w:t>人：</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招标代理机构：</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position w:val="-3"/>
          <w:szCs w:val="21"/>
        </w:rPr>
        <w:t>邮</w:t>
      </w:r>
      <w:r>
        <w:rPr>
          <w:rFonts w:hint="eastAsia" w:ascii="宋体" w:hAnsi="宋体"/>
          <w:kern w:val="0"/>
          <w:position w:val="-3"/>
          <w:szCs w:val="21"/>
        </w:rPr>
        <w:t xml:space="preserve">    </w:t>
      </w:r>
      <w:r>
        <w:rPr>
          <w:rFonts w:ascii="宋体" w:hAnsi="宋体"/>
          <w:kern w:val="0"/>
          <w:position w:val="-3"/>
          <w:szCs w:val="21"/>
        </w:rPr>
        <w:t>编：</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position w:val="-3"/>
          <w:szCs w:val="21"/>
        </w:rPr>
        <w:t>邮</w:t>
      </w:r>
      <w:r>
        <w:rPr>
          <w:rFonts w:hint="eastAsia" w:ascii="宋体" w:hAnsi="宋体"/>
          <w:kern w:val="0"/>
          <w:position w:val="-3"/>
          <w:szCs w:val="21"/>
        </w:rPr>
        <w:t xml:space="preserve">    </w:t>
      </w:r>
      <w:r>
        <w:rPr>
          <w:rFonts w:ascii="宋体" w:hAnsi="宋体"/>
          <w:kern w:val="0"/>
          <w:position w:val="-3"/>
          <w:szCs w:val="21"/>
        </w:rPr>
        <w:t>编：</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szCs w:val="21"/>
        </w:rPr>
        <w:t>联</w:t>
      </w:r>
      <w:r>
        <w:rPr>
          <w:rFonts w:hint="eastAsia" w:ascii="宋体" w:hAnsi="宋体"/>
          <w:kern w:val="0"/>
          <w:szCs w:val="21"/>
        </w:rPr>
        <w:t xml:space="preserve"> </w:t>
      </w:r>
      <w:r>
        <w:rPr>
          <w:rFonts w:ascii="宋体" w:hAnsi="宋体"/>
          <w:kern w:val="0"/>
          <w:szCs w:val="21"/>
        </w:rPr>
        <w:t>系</w:t>
      </w:r>
      <w:r>
        <w:rPr>
          <w:rFonts w:hint="eastAsia" w:ascii="宋体" w:hAnsi="宋体"/>
          <w:kern w:val="0"/>
          <w:szCs w:val="21"/>
        </w:rPr>
        <w:t xml:space="preserve"> </w:t>
      </w:r>
      <w:r>
        <w:rPr>
          <w:rFonts w:ascii="宋体" w:hAnsi="宋体"/>
          <w:kern w:val="0"/>
          <w:szCs w:val="21"/>
        </w:rPr>
        <w:t>人：</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联</w:t>
      </w:r>
      <w:r>
        <w:rPr>
          <w:rFonts w:hint="eastAsia" w:ascii="宋体" w:hAnsi="宋体"/>
          <w:kern w:val="0"/>
          <w:szCs w:val="21"/>
        </w:rPr>
        <w:t xml:space="preserve"> </w:t>
      </w:r>
      <w:r>
        <w:rPr>
          <w:rFonts w:ascii="宋体" w:hAnsi="宋体"/>
          <w:kern w:val="0"/>
          <w:szCs w:val="21"/>
        </w:rPr>
        <w:t>系</w:t>
      </w:r>
      <w:r>
        <w:rPr>
          <w:rFonts w:hint="eastAsia" w:ascii="宋体" w:hAnsi="宋体"/>
          <w:kern w:val="0"/>
          <w:szCs w:val="21"/>
        </w:rPr>
        <w:t xml:space="preserve"> </w:t>
      </w:r>
      <w:r>
        <w:rPr>
          <w:rFonts w:ascii="宋体" w:hAnsi="宋体"/>
          <w:kern w:val="0"/>
          <w:szCs w:val="21"/>
        </w:rPr>
        <w:t>人：</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szCs w:val="21"/>
        </w:rPr>
        <w:t>电</w:t>
      </w:r>
      <w:r>
        <w:rPr>
          <w:rFonts w:hint="eastAsia" w:ascii="宋体" w:hAnsi="宋体"/>
          <w:kern w:val="0"/>
          <w:szCs w:val="21"/>
        </w:rPr>
        <w:t xml:space="preserve">    </w:t>
      </w:r>
      <w:r>
        <w:rPr>
          <w:rFonts w:ascii="宋体" w:hAnsi="宋体"/>
          <w:kern w:val="0"/>
          <w:szCs w:val="21"/>
        </w:rPr>
        <w:t>话：</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电</w:t>
      </w:r>
      <w:r>
        <w:rPr>
          <w:rFonts w:hint="eastAsia" w:ascii="宋体" w:hAnsi="宋体"/>
          <w:kern w:val="0"/>
          <w:szCs w:val="21"/>
        </w:rPr>
        <w:t xml:space="preserve">    </w:t>
      </w:r>
      <w:r>
        <w:rPr>
          <w:rFonts w:ascii="宋体" w:hAnsi="宋体"/>
          <w:kern w:val="0"/>
          <w:szCs w:val="21"/>
        </w:rPr>
        <w:t>话：</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u w:val="single"/>
        </w:rPr>
      </w:pPr>
      <w:r>
        <w:rPr>
          <w:rFonts w:ascii="宋体" w:hAnsi="宋体"/>
          <w:kern w:val="0"/>
          <w:szCs w:val="21"/>
        </w:rPr>
        <w:t>传</w:t>
      </w:r>
      <w:r>
        <w:rPr>
          <w:rFonts w:hint="eastAsia" w:ascii="宋体" w:hAnsi="宋体"/>
          <w:kern w:val="0"/>
          <w:szCs w:val="21"/>
        </w:rPr>
        <w:t xml:space="preserve">    </w:t>
      </w:r>
      <w:r>
        <w:rPr>
          <w:rFonts w:ascii="宋体" w:hAnsi="宋体"/>
          <w:kern w:val="0"/>
          <w:szCs w:val="21"/>
        </w:rPr>
        <w:t>真：</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传</w:t>
      </w:r>
      <w:r>
        <w:rPr>
          <w:rFonts w:hint="eastAsia" w:ascii="宋体" w:hAnsi="宋体"/>
          <w:kern w:val="0"/>
          <w:szCs w:val="21"/>
        </w:rPr>
        <w:t xml:space="preserve">    </w:t>
      </w:r>
      <w:r>
        <w:rPr>
          <w:rFonts w:ascii="宋体" w:hAnsi="宋体"/>
          <w:kern w:val="0"/>
          <w:szCs w:val="21"/>
        </w:rPr>
        <w:t>真：</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snapToGrid w:val="0"/>
          <w:kern w:val="0"/>
          <w:szCs w:val="21"/>
        </w:rPr>
        <w:t>电子邮件：</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snapToGrid w:val="0"/>
          <w:kern w:val="0"/>
          <w:szCs w:val="21"/>
        </w:rPr>
        <w:t>开户银行：</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5140"/>
          <w:tab w:val="left" w:pos="8520"/>
        </w:tabs>
        <w:autoSpaceDE w:val="0"/>
        <w:autoSpaceDN w:val="0"/>
        <w:adjustRightInd w:val="0"/>
        <w:snapToGrid w:val="0"/>
        <w:spacing w:line="450" w:lineRule="exact"/>
        <w:ind w:firstLine="420" w:firstLineChars="200"/>
        <w:jc w:val="left"/>
        <w:rPr>
          <w:rFonts w:hint="eastAsia" w:ascii="宋体" w:hAnsi="宋体"/>
          <w:snapToGrid w:val="0"/>
          <w:kern w:val="0"/>
          <w:szCs w:val="21"/>
          <w:lang w:val="en-US" w:eastAsia="zh-CN"/>
        </w:rPr>
      </w:pPr>
      <w:r>
        <w:rPr>
          <w:rFonts w:ascii="宋体" w:hAnsi="宋体"/>
          <w:snapToGrid w:val="0"/>
          <w:kern w:val="0"/>
          <w:szCs w:val="21"/>
        </w:rPr>
        <w:t>账    号：</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snapToGrid w:val="0"/>
          <w:kern w:val="0"/>
          <w:szCs w:val="21"/>
        </w:rPr>
        <w:t>账    号：</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5140"/>
          <w:tab w:val="left" w:pos="8520"/>
        </w:tabs>
        <w:autoSpaceDE w:val="0"/>
        <w:autoSpaceDN w:val="0"/>
        <w:adjustRightInd w:val="0"/>
        <w:snapToGrid w:val="0"/>
        <w:spacing w:line="450" w:lineRule="exact"/>
        <w:ind w:firstLine="420" w:firstLineChars="200"/>
        <w:jc w:val="left"/>
        <w:rPr>
          <w:rFonts w:hint="eastAsia" w:ascii="宋体" w:hAnsi="宋体"/>
          <w:snapToGrid w:val="0"/>
          <w:kern w:val="0"/>
          <w:szCs w:val="21"/>
          <w:lang w:val="en-US" w:eastAsia="zh-CN"/>
        </w:rPr>
      </w:pPr>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snapToGrid w:val="0"/>
          <w:kern w:val="0"/>
          <w:szCs w:val="21"/>
          <w:u w:val="single"/>
        </w:rPr>
      </w:pPr>
      <w:r>
        <w:rPr>
          <w:rFonts w:hint="eastAsia" w:ascii="宋体" w:hAnsi="宋体"/>
          <w:snapToGrid w:val="0"/>
          <w:kern w:val="0"/>
          <w:szCs w:val="21"/>
          <w:lang w:val="en-US" w:eastAsia="zh-CN"/>
        </w:rPr>
        <w:t>电</w:t>
      </w:r>
      <w:r>
        <w:rPr>
          <w:rFonts w:ascii="宋体" w:hAnsi="宋体"/>
          <w:snapToGrid w:val="0"/>
          <w:kern w:val="0"/>
          <w:szCs w:val="21"/>
        </w:rPr>
        <w:t xml:space="preserve">    </w:t>
      </w:r>
      <w:r>
        <w:rPr>
          <w:rFonts w:hint="eastAsia" w:ascii="宋体" w:hAnsi="宋体"/>
          <w:snapToGrid w:val="0"/>
          <w:kern w:val="0"/>
          <w:szCs w:val="21"/>
          <w:lang w:val="en-US" w:eastAsia="zh-CN"/>
        </w:rPr>
        <w:t>话</w:t>
      </w:r>
      <w:r>
        <w:rPr>
          <w:rFonts w:ascii="宋体" w:hAnsi="宋体"/>
          <w:snapToGrid w:val="0"/>
          <w:kern w:val="0"/>
          <w:szCs w:val="21"/>
        </w:rPr>
        <w:t>：</w:t>
      </w:r>
      <w:r>
        <w:rPr>
          <w:rFonts w:ascii="宋体" w:hAnsi="宋体"/>
          <w:snapToGrid w:val="0"/>
          <w:kern w:val="0"/>
          <w:szCs w:val="21"/>
          <w:u w:val="single"/>
        </w:rPr>
        <w:t xml:space="preserve">                             </w:t>
      </w:r>
    </w:p>
    <w:p>
      <w:pPr>
        <w:autoSpaceDE w:val="0"/>
        <w:autoSpaceDN w:val="0"/>
        <w:adjustRightInd w:val="0"/>
        <w:snapToGrid w:val="0"/>
        <w:spacing w:before="340" w:after="330" w:line="390" w:lineRule="exact"/>
        <w:jc w:val="right"/>
        <w:rPr>
          <w:rFonts w:ascii="宋体" w:hAnsi="宋体"/>
          <w:snapToGrid w:val="0"/>
          <w:kern w:val="0"/>
        </w:rPr>
      </w:pPr>
      <w:r>
        <w:rPr>
          <w:rFonts w:ascii="宋体" w:hAnsi="宋体"/>
          <w:snapToGrid w:val="0"/>
          <w:kern w:val="0"/>
        </w:rPr>
        <w:t xml:space="preserve">                                            </w:t>
      </w:r>
      <w:r>
        <w:rPr>
          <w:rFonts w:ascii="宋体" w:hAnsi="宋体"/>
          <w:snapToGrid w:val="0"/>
          <w:kern w:val="0"/>
          <w:u w:val="single"/>
        </w:rPr>
        <w:t xml:space="preserve"> </w:t>
      </w:r>
      <w:r>
        <w:rPr>
          <w:rFonts w:hint="eastAsia" w:ascii="宋体" w:hAnsi="宋体"/>
          <w:snapToGrid w:val="0"/>
          <w:kern w:val="0"/>
          <w:u w:val="single"/>
        </w:rPr>
        <w:t xml:space="preserve">      </w:t>
      </w:r>
      <w:r>
        <w:rPr>
          <w:rFonts w:ascii="宋体" w:hAnsi="宋体"/>
          <w:snapToGrid w:val="0"/>
          <w:kern w:val="0"/>
          <w:u w:val="single"/>
        </w:rPr>
        <w:t xml:space="preserve">  </w:t>
      </w:r>
      <w:r>
        <w:rPr>
          <w:rFonts w:ascii="宋体" w:hAnsi="宋体"/>
          <w:snapToGrid w:val="0"/>
          <w:kern w:val="0"/>
        </w:rPr>
        <w:t>年</w:t>
      </w:r>
      <w:r>
        <w:rPr>
          <w:rFonts w:hint="eastAsia" w:ascii="宋体" w:hAnsi="宋体"/>
          <w:snapToGrid w:val="0"/>
          <w:kern w:val="0"/>
          <w:u w:val="single"/>
        </w:rPr>
        <w:t xml:space="preserve">    </w:t>
      </w:r>
      <w:r>
        <w:rPr>
          <w:rFonts w:ascii="宋体" w:hAnsi="宋体"/>
          <w:snapToGrid w:val="0"/>
          <w:kern w:val="0"/>
          <w:u w:val="single"/>
        </w:rPr>
        <w:t xml:space="preserve">  </w:t>
      </w:r>
      <w:r>
        <w:rPr>
          <w:rFonts w:ascii="宋体" w:hAnsi="宋体"/>
          <w:snapToGrid w:val="0"/>
          <w:kern w:val="0"/>
        </w:rPr>
        <w:t>月</w:t>
      </w:r>
      <w:r>
        <w:rPr>
          <w:rFonts w:hint="eastAsia" w:ascii="宋体" w:hAnsi="宋体"/>
          <w:snapToGrid w:val="0"/>
          <w:kern w:val="0"/>
          <w:u w:val="single"/>
        </w:rPr>
        <w:t xml:space="preserve">    </w:t>
      </w:r>
      <w:r>
        <w:rPr>
          <w:rFonts w:ascii="宋体" w:hAnsi="宋体"/>
          <w:snapToGrid w:val="0"/>
          <w:kern w:val="0"/>
          <w:u w:val="single"/>
        </w:rPr>
        <w:t xml:space="preserve">  </w:t>
      </w:r>
      <w:r>
        <w:rPr>
          <w:rFonts w:ascii="宋体" w:hAnsi="宋体"/>
          <w:snapToGrid w:val="0"/>
          <w:kern w:val="0"/>
        </w:rPr>
        <w:t>日</w:t>
      </w:r>
      <w:bookmarkStart w:id="161" w:name="_Toc287607744"/>
      <w:bookmarkStart w:id="162" w:name="_Toc224103315"/>
      <w:bookmarkStart w:id="163" w:name="_Toc430530432"/>
      <w:bookmarkStart w:id="164" w:name="_Toc287620683"/>
    </w:p>
    <w:p>
      <w:pPr>
        <w:pStyle w:val="3"/>
        <w:spacing w:line="360" w:lineRule="auto"/>
        <w:jc w:val="center"/>
        <w:rPr>
          <w:rFonts w:ascii="宋体" w:hAnsi="宋体"/>
          <w:bCs w:val="0"/>
          <w:snapToGrid w:val="0"/>
          <w:kern w:val="0"/>
        </w:rPr>
      </w:pPr>
      <w:r>
        <w:rPr>
          <w:rFonts w:ascii="宋体" w:hAnsi="宋体"/>
          <w:bCs w:val="0"/>
          <w:snapToGrid w:val="0"/>
          <w:kern w:val="0"/>
        </w:rPr>
        <w:br w:type="page"/>
      </w:r>
      <w:bookmarkStart w:id="165" w:name="_Toc23562"/>
      <w:bookmarkStart w:id="166" w:name="_Toc25754"/>
      <w:r>
        <w:rPr>
          <w:rFonts w:ascii="宋体" w:hAnsi="宋体"/>
          <w:snapToGrid w:val="0"/>
          <w:kern w:val="0"/>
        </w:rPr>
        <w:t>第二章  投标人须知</w:t>
      </w:r>
      <w:bookmarkEnd w:id="161"/>
      <w:bookmarkEnd w:id="162"/>
      <w:bookmarkEnd w:id="163"/>
      <w:bookmarkEnd w:id="164"/>
      <w:bookmarkEnd w:id="165"/>
      <w:bookmarkEnd w:id="166"/>
      <w:bookmarkStart w:id="167" w:name="_Toc287620684"/>
      <w:bookmarkStart w:id="168" w:name="_Toc287607745"/>
      <w:bookmarkStart w:id="169" w:name="_Toc224103316"/>
      <w:bookmarkStart w:id="170" w:name="_Toc430530433"/>
      <w:bookmarkStart w:id="171" w:name="_Toc277082551"/>
    </w:p>
    <w:p>
      <w:pPr>
        <w:pStyle w:val="4"/>
        <w:spacing w:before="100" w:after="100" w:line="360" w:lineRule="auto"/>
        <w:rPr>
          <w:rFonts w:ascii="宋体" w:hAnsi="宋体"/>
        </w:rPr>
      </w:pPr>
      <w:bookmarkStart w:id="172" w:name="_Toc14054"/>
      <w:bookmarkStart w:id="173" w:name="_Toc2321"/>
      <w:bookmarkStart w:id="174" w:name="_Toc509218708"/>
      <w:r>
        <w:rPr>
          <w:rFonts w:hint="eastAsia" w:ascii="宋体" w:hAnsi="宋体"/>
        </w:rPr>
        <w:t>投标人须知前附表</w:t>
      </w:r>
      <w:bookmarkEnd w:id="167"/>
      <w:bookmarkEnd w:id="168"/>
      <w:bookmarkEnd w:id="169"/>
      <w:bookmarkEnd w:id="170"/>
      <w:bookmarkEnd w:id="171"/>
      <w:bookmarkEnd w:id="172"/>
      <w:bookmarkEnd w:id="173"/>
      <w:bookmarkEnd w:id="174"/>
    </w:p>
    <w:p>
      <w:pPr>
        <w:spacing w:line="360" w:lineRule="auto"/>
        <w:ind w:firstLine="420" w:firstLineChars="200"/>
        <w:rPr>
          <w:rFonts w:ascii="宋体" w:hAnsi="宋体"/>
          <w:szCs w:val="21"/>
        </w:rPr>
      </w:pPr>
      <w:r>
        <w:rPr>
          <w:rFonts w:ascii="宋体" w:hAnsi="宋体"/>
          <w:szCs w:val="21"/>
        </w:rPr>
        <w:t>正文内容不允许修改。若投标人须知前附表与正文不一致的地方，以投标人须知前附表为准。</w:t>
      </w:r>
    </w:p>
    <w:tbl>
      <w:tblPr>
        <w:tblStyle w:val="45"/>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4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snapToGrid w:val="0"/>
              <w:spacing w:line="400" w:lineRule="exact"/>
              <w:jc w:val="center"/>
              <w:rPr>
                <w:rFonts w:ascii="宋体" w:hAnsi="宋体"/>
                <w:b/>
                <w:kern w:val="0"/>
                <w:szCs w:val="21"/>
              </w:rPr>
            </w:pPr>
            <w:r>
              <w:rPr>
                <w:rFonts w:ascii="宋体" w:hAnsi="宋体"/>
                <w:b/>
                <w:kern w:val="0"/>
                <w:szCs w:val="21"/>
              </w:rPr>
              <w:t>条 款 号</w:t>
            </w:r>
          </w:p>
        </w:tc>
        <w:tc>
          <w:tcPr>
            <w:tcW w:w="1644" w:type="dxa"/>
            <w:vAlign w:val="center"/>
          </w:tcPr>
          <w:p>
            <w:pPr>
              <w:snapToGrid w:val="0"/>
              <w:spacing w:line="400" w:lineRule="exact"/>
              <w:jc w:val="center"/>
              <w:rPr>
                <w:rFonts w:ascii="宋体" w:hAnsi="宋体"/>
                <w:b/>
                <w:kern w:val="0"/>
                <w:szCs w:val="21"/>
              </w:rPr>
            </w:pPr>
            <w:r>
              <w:rPr>
                <w:rFonts w:ascii="宋体" w:hAnsi="宋体"/>
                <w:b/>
                <w:kern w:val="0"/>
                <w:szCs w:val="21"/>
              </w:rPr>
              <w:t>条款名称</w:t>
            </w:r>
          </w:p>
        </w:tc>
        <w:tc>
          <w:tcPr>
            <w:tcW w:w="6490" w:type="dxa"/>
            <w:vAlign w:val="center"/>
          </w:tcPr>
          <w:p>
            <w:pPr>
              <w:snapToGrid w:val="0"/>
              <w:spacing w:line="400" w:lineRule="exact"/>
              <w:jc w:val="center"/>
              <w:rPr>
                <w:rFonts w:ascii="宋体" w:hAnsi="宋体"/>
                <w:b/>
                <w:kern w:val="0"/>
                <w:szCs w:val="21"/>
              </w:rPr>
            </w:pPr>
            <w:r>
              <w:rPr>
                <w:rFonts w:ascii="宋体" w:hAnsi="宋体"/>
                <w:b/>
                <w:kern w:val="0"/>
                <w:szCs w:val="21"/>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招标人</w:t>
            </w:r>
          </w:p>
        </w:tc>
        <w:tc>
          <w:tcPr>
            <w:tcW w:w="6490" w:type="dxa"/>
            <w:vAlign w:val="center"/>
          </w:tcPr>
          <w:p>
            <w:pPr>
              <w:snapToGrid w:val="0"/>
              <w:spacing w:line="400" w:lineRule="exact"/>
              <w:rPr>
                <w:rFonts w:ascii="宋体" w:hAnsi="宋体"/>
                <w:kern w:val="0"/>
                <w:szCs w:val="21"/>
              </w:rPr>
            </w:pPr>
            <w:r>
              <w:rPr>
                <w:rFonts w:ascii="宋体" w:hAnsi="宋体"/>
                <w:kern w:val="0"/>
                <w:szCs w:val="21"/>
              </w:rPr>
              <w:t>名称：</w:t>
            </w:r>
            <w:r>
              <w:rPr>
                <w:rFonts w:hint="eastAsia" w:asciiTheme="minorEastAsia" w:hAnsiTheme="minorEastAsia" w:eastAsiaTheme="minorEastAsia" w:cstheme="minorEastAsia"/>
                <w:color w:val="auto"/>
                <w:szCs w:val="21"/>
                <w:highlight w:val="none"/>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地址：</w:t>
            </w:r>
            <w:r>
              <w:rPr>
                <w:rFonts w:hint="eastAsia" w:asciiTheme="minorEastAsia" w:hAnsiTheme="minorEastAsia" w:eastAsiaTheme="minorEastAsia" w:cstheme="minorEastAsia"/>
                <w:color w:val="auto"/>
                <w:szCs w:val="21"/>
                <w:highlight w:val="none"/>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联系人：</w:t>
            </w:r>
            <w:r>
              <w:rPr>
                <w:rFonts w:hint="eastAsia" w:asciiTheme="minorEastAsia" w:hAnsiTheme="minorEastAsia" w:eastAsiaTheme="minorEastAsia" w:cstheme="minorEastAsia"/>
                <w:color w:val="auto"/>
                <w:szCs w:val="21"/>
                <w:highlight w:val="none"/>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电话：</w:t>
            </w: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招标代理机构</w:t>
            </w:r>
          </w:p>
        </w:tc>
        <w:tc>
          <w:tcPr>
            <w:tcW w:w="6490" w:type="dxa"/>
            <w:vAlign w:val="center"/>
          </w:tcPr>
          <w:p>
            <w:pPr>
              <w:snapToGrid w:val="0"/>
              <w:spacing w:line="400" w:lineRule="exact"/>
              <w:rPr>
                <w:rFonts w:ascii="宋体" w:hAnsi="宋体"/>
                <w:kern w:val="0"/>
                <w:szCs w:val="21"/>
              </w:rPr>
            </w:pPr>
            <w:r>
              <w:rPr>
                <w:rFonts w:ascii="宋体" w:hAnsi="宋体"/>
                <w:kern w:val="0"/>
                <w:szCs w:val="21"/>
              </w:rPr>
              <w:t>名称：</w:t>
            </w:r>
            <w:r>
              <w:rPr>
                <w:rFonts w:hint="eastAsia" w:asciiTheme="minorEastAsia" w:hAnsiTheme="minorEastAsia" w:eastAsiaTheme="minorEastAsia" w:cstheme="minorEastAsia"/>
                <w:color w:val="auto"/>
                <w:szCs w:val="21"/>
                <w:highlight w:val="none"/>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地址：</w:t>
            </w:r>
            <w:r>
              <w:rPr>
                <w:rFonts w:hint="eastAsia" w:asciiTheme="minorEastAsia" w:hAnsiTheme="minorEastAsia" w:eastAsiaTheme="minorEastAsia" w:cstheme="minorEastAsia"/>
                <w:color w:val="auto"/>
                <w:szCs w:val="21"/>
                <w:highlight w:val="none"/>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联系人：</w:t>
            </w:r>
            <w:r>
              <w:rPr>
                <w:rFonts w:hint="eastAsia" w:asciiTheme="minorEastAsia" w:hAnsiTheme="minorEastAsia" w:eastAsiaTheme="minorEastAsia" w:cstheme="minorEastAsia"/>
                <w:color w:val="auto"/>
                <w:szCs w:val="21"/>
                <w:highlight w:val="none"/>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电话：</w:t>
            </w: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1.1.4</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项目名称</w:t>
            </w:r>
          </w:p>
        </w:tc>
        <w:tc>
          <w:tcPr>
            <w:tcW w:w="6490" w:type="dxa"/>
            <w:vAlign w:val="center"/>
          </w:tcPr>
          <w:p>
            <w:pPr>
              <w:snapToGrid w:val="0"/>
              <w:spacing w:line="400" w:lineRule="exact"/>
              <w:ind w:firstLine="420" w:firstLineChars="200"/>
              <w:jc w:val="left"/>
              <w:rPr>
                <w:rFonts w:ascii="宋体" w:hAnsi="宋体"/>
                <w:szCs w:val="21"/>
              </w:rPr>
            </w:pP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1.1.5</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建设地点</w:t>
            </w:r>
          </w:p>
        </w:tc>
        <w:tc>
          <w:tcPr>
            <w:tcW w:w="6490" w:type="dxa"/>
            <w:vAlign w:val="center"/>
          </w:tcPr>
          <w:p>
            <w:pPr>
              <w:snapToGrid w:val="0"/>
              <w:spacing w:line="400" w:lineRule="exact"/>
              <w:ind w:firstLine="420" w:firstLineChars="200"/>
              <w:jc w:val="left"/>
              <w:rPr>
                <w:rFonts w:ascii="宋体" w:hAnsi="宋体"/>
                <w:szCs w:val="21"/>
              </w:rPr>
            </w:pP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1.1.6</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建设规模</w:t>
            </w:r>
          </w:p>
        </w:tc>
        <w:tc>
          <w:tcPr>
            <w:tcW w:w="6490" w:type="dxa"/>
            <w:vAlign w:val="center"/>
          </w:tcPr>
          <w:p>
            <w:pPr>
              <w:tabs>
                <w:tab w:val="left" w:pos="3840"/>
                <w:tab w:val="left" w:pos="5300"/>
              </w:tabs>
              <w:autoSpaceDE w:val="0"/>
              <w:autoSpaceDN w:val="0"/>
              <w:adjustRightInd w:val="0"/>
              <w:snapToGrid w:val="0"/>
              <w:spacing w:line="460" w:lineRule="exact"/>
              <w:ind w:firstLine="420" w:firstLineChars="200"/>
              <w:rPr>
                <w:rFonts w:ascii="宋体" w:hAnsi="宋体"/>
                <w:snapToGrid w:val="0"/>
                <w:kern w:val="0"/>
                <w:szCs w:val="21"/>
              </w:rPr>
            </w:pP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rPr>
                <w:rFonts w:ascii="宋体" w:hAnsi="宋体"/>
                <w:i/>
                <w:snapToGrid w:val="0"/>
                <w:kern w:val="0"/>
                <w:szCs w:val="21"/>
              </w:rPr>
            </w:pPr>
            <w:r>
              <w:rPr>
                <w:rFonts w:hint="eastAsia" w:ascii="宋体" w:hAnsi="宋体"/>
                <w:i/>
                <w:snapToGrid w:val="0"/>
                <w:kern w:val="0"/>
                <w:szCs w:val="21"/>
              </w:rPr>
              <w:t>[提示：与招标公告保持一致。]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1.2.1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资金来源</w:t>
            </w:r>
          </w:p>
        </w:tc>
        <w:tc>
          <w:tcPr>
            <w:tcW w:w="6490" w:type="dxa"/>
            <w:vAlign w:val="center"/>
          </w:tcPr>
          <w:p>
            <w:pPr>
              <w:tabs>
                <w:tab w:val="left" w:pos="3840"/>
                <w:tab w:val="left" w:pos="5300"/>
              </w:tabs>
              <w:autoSpaceDE w:val="0"/>
              <w:autoSpaceDN w:val="0"/>
              <w:adjustRightInd w:val="0"/>
              <w:snapToGrid w:val="0"/>
              <w:spacing w:line="460" w:lineRule="exact"/>
              <w:ind w:firstLine="420" w:firstLineChars="200"/>
              <w:rPr>
                <w:rFonts w:ascii="宋体" w:hAnsi="宋体"/>
                <w:snapToGrid w:val="0"/>
                <w:kern w:val="0"/>
                <w:szCs w:val="21"/>
              </w:rPr>
            </w:pPr>
            <w:r>
              <w:rPr>
                <w:rFonts w:hint="eastAsia" w:ascii="宋体" w:hAnsi="宋体"/>
                <w:snapToGrid w:val="0"/>
                <w:kern w:val="0"/>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1.2.2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出资比例</w:t>
            </w:r>
          </w:p>
        </w:tc>
        <w:tc>
          <w:tcPr>
            <w:tcW w:w="6490" w:type="dxa"/>
            <w:vAlign w:val="center"/>
          </w:tcPr>
          <w:p>
            <w:pPr>
              <w:snapToGrid w:val="0"/>
              <w:spacing w:line="400" w:lineRule="exact"/>
              <w:ind w:firstLine="420" w:firstLineChars="200"/>
              <w:jc w:val="left"/>
              <w:rPr>
                <w:rFonts w:ascii="宋体" w:hAnsi="宋体"/>
                <w:szCs w:val="21"/>
                <w:u w:val="single"/>
              </w:rPr>
            </w:pPr>
            <w:r>
              <w:rPr>
                <w:rFonts w:hint="eastAsia" w:ascii="宋体" w:hAnsi="宋体"/>
                <w:szCs w:val="21"/>
                <w:u w:val="single"/>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1.2.3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资金落实情况</w:t>
            </w:r>
          </w:p>
        </w:tc>
        <w:tc>
          <w:tcPr>
            <w:tcW w:w="6490" w:type="dxa"/>
            <w:vAlign w:val="center"/>
          </w:tcPr>
          <w:p>
            <w:pPr>
              <w:snapToGrid w:val="0"/>
              <w:spacing w:line="400" w:lineRule="exact"/>
              <w:ind w:firstLine="420" w:firstLineChars="200"/>
              <w:jc w:val="left"/>
              <w:rPr>
                <w:rFonts w:ascii="宋体" w:hAnsi="宋体"/>
                <w:szCs w:val="21"/>
                <w:u w:val="single"/>
              </w:rPr>
            </w:pPr>
            <w:r>
              <w:rPr>
                <w:rFonts w:hint="eastAsia" w:ascii="宋体" w:hAnsi="宋体"/>
                <w:szCs w:val="21"/>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1.3.1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招标范围</w:t>
            </w:r>
          </w:p>
        </w:tc>
        <w:tc>
          <w:tcPr>
            <w:tcW w:w="6490" w:type="dxa"/>
            <w:vAlign w:val="center"/>
          </w:tcPr>
          <w:p>
            <w:pPr>
              <w:snapToGrid w:val="0"/>
              <w:spacing w:line="400" w:lineRule="exact"/>
              <w:ind w:firstLine="420" w:firstLineChars="200"/>
              <w:rPr>
                <w:rFonts w:ascii="宋体" w:hAnsi="宋体"/>
                <w:szCs w:val="21"/>
              </w:rPr>
            </w:pPr>
            <w:r>
              <w:rPr>
                <w:rFonts w:hint="eastAsia" w:ascii="宋体" w:hAnsi="宋体"/>
                <w:szCs w:val="21"/>
                <w:u w:val="single"/>
              </w:rPr>
              <w:t xml:space="preserve">        </w:t>
            </w:r>
          </w:p>
          <w:p>
            <w:pPr>
              <w:snapToGrid w:val="0"/>
              <w:spacing w:line="400" w:lineRule="exact"/>
              <w:ind w:firstLine="420" w:firstLineChars="200"/>
              <w:rPr>
                <w:rFonts w:ascii="宋体" w:hAnsi="宋体"/>
                <w:i/>
                <w:szCs w:val="21"/>
              </w:rPr>
            </w:pPr>
            <w:r>
              <w:rPr>
                <w:rFonts w:ascii="宋体" w:hAnsi="宋体"/>
                <w:i/>
                <w:szCs w:val="21"/>
              </w:rPr>
              <w:t>[提示：</w:t>
            </w:r>
            <w:r>
              <w:rPr>
                <w:rFonts w:hint="eastAsia" w:asciiTheme="minorEastAsia" w:hAnsiTheme="minorEastAsia" w:eastAsiaTheme="minorEastAsia" w:cstheme="minorEastAsia"/>
                <w:i/>
                <w:snapToGrid w:val="0"/>
                <w:color w:val="auto"/>
                <w:kern w:val="0"/>
                <w:szCs w:val="21"/>
                <w:highlight w:val="none"/>
              </w:rPr>
              <w:t>与招标公告保持一致</w:t>
            </w:r>
            <w:r>
              <w:rPr>
                <w:rFonts w:hint="eastAsia" w:ascii="宋体" w:hAnsi="宋体"/>
                <w:i/>
                <w:szCs w:val="21"/>
              </w:rPr>
              <w:t>。</w:t>
            </w:r>
            <w:r>
              <w:rPr>
                <w:rFonts w:ascii="宋体" w:hAnsi="宋体"/>
                <w:i/>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1.3.2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计划工期</w:t>
            </w:r>
          </w:p>
          <w:p>
            <w:pPr>
              <w:snapToGrid w:val="0"/>
              <w:spacing w:line="400" w:lineRule="exact"/>
              <w:jc w:val="center"/>
              <w:rPr>
                <w:rFonts w:ascii="宋体" w:hAnsi="宋体"/>
                <w:kern w:val="0"/>
                <w:szCs w:val="21"/>
              </w:rPr>
            </w:pPr>
            <w:r>
              <w:rPr>
                <w:rFonts w:hint="eastAsia" w:ascii="宋体" w:hAnsi="宋体"/>
                <w:kern w:val="0"/>
                <w:szCs w:val="21"/>
              </w:rPr>
              <w:t>缺陷责任期</w:t>
            </w:r>
          </w:p>
        </w:tc>
        <w:tc>
          <w:tcPr>
            <w:tcW w:w="6490" w:type="dxa"/>
            <w:vAlign w:val="center"/>
          </w:tcPr>
          <w:p>
            <w:pPr>
              <w:snapToGrid w:val="0"/>
              <w:spacing w:line="400" w:lineRule="exact"/>
              <w:ind w:firstLine="420" w:firstLineChars="200"/>
              <w:rPr>
                <w:rFonts w:ascii="宋体" w:hAnsi="宋体"/>
                <w:snapToGrid w:val="0"/>
                <w:kern w:val="0"/>
                <w:szCs w:val="21"/>
                <w:u w:val="single"/>
              </w:rPr>
            </w:pPr>
            <w:r>
              <w:rPr>
                <w:rFonts w:hint="eastAsia" w:ascii="宋体" w:hAnsi="宋体"/>
                <w:kern w:val="0"/>
                <w:szCs w:val="21"/>
              </w:rPr>
              <w:t>工期：</w:t>
            </w:r>
            <w:r>
              <w:rPr>
                <w:rFonts w:hint="eastAsia" w:ascii="宋体" w:hAnsi="宋体"/>
                <w:snapToGrid w:val="0"/>
                <w:kern w:val="0"/>
                <w:szCs w:val="21"/>
                <w:u w:val="single"/>
              </w:rPr>
              <w:t xml:space="preserve">        日历天</w:t>
            </w:r>
          </w:p>
          <w:p>
            <w:pPr>
              <w:snapToGrid w:val="0"/>
              <w:spacing w:line="400" w:lineRule="exact"/>
              <w:ind w:firstLine="420" w:firstLineChars="200"/>
              <w:rPr>
                <w:rFonts w:ascii="宋体" w:hAnsi="宋体"/>
                <w:kern w:val="0"/>
                <w:szCs w:val="21"/>
              </w:rPr>
            </w:pPr>
            <w:r>
              <w:rPr>
                <w:rFonts w:hint="eastAsia" w:ascii="宋体" w:hAnsi="宋体"/>
                <w:kern w:val="0"/>
                <w:szCs w:val="21"/>
              </w:rPr>
              <w:t>缺陷责任期：</w:t>
            </w:r>
            <w:r>
              <w:rPr>
                <w:rFonts w:hint="eastAsia" w:ascii="宋体" w:hAnsi="宋体"/>
                <w:snapToGrid w:val="0"/>
                <w:kern w:val="0"/>
                <w:szCs w:val="21"/>
                <w:u w:val="single"/>
              </w:rPr>
              <w:t xml:space="preserve">        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1.3.3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质量要求</w:t>
            </w:r>
          </w:p>
        </w:tc>
        <w:tc>
          <w:tcPr>
            <w:tcW w:w="6490" w:type="dxa"/>
            <w:vAlign w:val="center"/>
          </w:tcPr>
          <w:p>
            <w:pPr>
              <w:snapToGrid w:val="0"/>
              <w:spacing w:line="400" w:lineRule="exact"/>
              <w:ind w:firstLine="420" w:firstLineChars="200"/>
              <w:rPr>
                <w:rFonts w:ascii="宋体" w:hAnsi="宋体"/>
                <w:szCs w:val="21"/>
              </w:rPr>
            </w:pPr>
            <w:r>
              <w:rPr>
                <w:rFonts w:hint="eastAsia" w:ascii="宋体" w:hAnsi="宋体"/>
                <w:szCs w:val="21"/>
              </w:rPr>
              <w:t>符合强制性质量标准，</w:t>
            </w:r>
            <w:r>
              <w:rPr>
                <w:rFonts w:hint="eastAsia" w:ascii="宋体" w:hAnsi="宋体"/>
                <w:szCs w:val="21"/>
                <w:u w:val="single"/>
              </w:rPr>
              <w:t>符合</w:t>
            </w:r>
            <w:r>
              <w:rPr>
                <w:rFonts w:ascii="宋体" w:hAnsi="宋体"/>
                <w:szCs w:val="21"/>
                <w:u w:val="single"/>
              </w:rPr>
              <w:t>国家和重庆市现行有关施工质量验收规范要求，并达到合格标准</w:t>
            </w:r>
            <w:r>
              <w:rPr>
                <w:rFonts w:ascii="宋体" w:hAnsi="宋体"/>
                <w:szCs w:val="21"/>
              </w:rPr>
              <w:t>。</w:t>
            </w:r>
          </w:p>
          <w:p>
            <w:pPr>
              <w:snapToGrid w:val="0"/>
              <w:spacing w:line="400" w:lineRule="exact"/>
              <w:ind w:firstLine="420" w:firstLineChars="200"/>
              <w:rPr>
                <w:rFonts w:ascii="宋体" w:hAnsi="宋体"/>
                <w:szCs w:val="21"/>
              </w:rPr>
            </w:pPr>
            <w:r>
              <w:rPr>
                <w:rFonts w:hint="eastAsia" w:ascii="宋体" w:hAnsi="宋体"/>
                <w:i/>
                <w:szCs w:val="21"/>
              </w:rPr>
              <w:t>[提示：根据工程实际情况确定合理的质量要求。]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1.4.1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1.4.1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1.4.1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1.4.1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tc>
        <w:tc>
          <w:tcPr>
            <w:tcW w:w="1644" w:type="dxa"/>
            <w:vAlign w:val="center"/>
          </w:tcPr>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投标人资质条件、能力和信誉</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tc>
        <w:tc>
          <w:tcPr>
            <w:tcW w:w="6490" w:type="dxa"/>
            <w:vAlign w:val="center"/>
          </w:tcPr>
          <w:p>
            <w:pPr>
              <w:autoSpaceDE w:val="0"/>
              <w:autoSpaceDN w:val="0"/>
              <w:adjustRightInd w:val="0"/>
              <w:snapToGrid w:val="0"/>
              <w:spacing w:before="62" w:beforeLines="20" w:line="400" w:lineRule="exact"/>
              <w:ind w:firstLine="420" w:firstLineChars="200"/>
              <w:rPr>
                <w:rFonts w:ascii="宋体" w:hAnsi="宋体"/>
                <w:i/>
                <w:szCs w:val="21"/>
              </w:rPr>
            </w:pPr>
            <w:r>
              <w:rPr>
                <w:rFonts w:ascii="宋体" w:hAnsi="宋体"/>
                <w:i/>
                <w:szCs w:val="21"/>
              </w:rPr>
              <w:t>[提示：适用于</w:t>
            </w:r>
            <w:r>
              <w:rPr>
                <w:rFonts w:hint="eastAsia" w:ascii="宋体" w:hAnsi="宋体"/>
                <w:i/>
                <w:szCs w:val="21"/>
              </w:rPr>
              <w:t>未进行资格预审</w:t>
            </w:r>
            <w:r>
              <w:rPr>
                <w:rFonts w:ascii="宋体" w:hAnsi="宋体"/>
                <w:i/>
                <w:szCs w:val="21"/>
              </w:rPr>
              <w:t>的项目，</w:t>
            </w:r>
            <w:r>
              <w:rPr>
                <w:rFonts w:hint="eastAsia" w:ascii="宋体" w:hAnsi="宋体"/>
                <w:i/>
                <w:szCs w:val="21"/>
              </w:rPr>
              <w:t>第1、4、5、6项必须具备；</w:t>
            </w:r>
            <w:r>
              <w:rPr>
                <w:rFonts w:ascii="宋体" w:hAnsi="宋体"/>
                <w:i/>
                <w:szCs w:val="21"/>
              </w:rPr>
              <w:t>第2、3项由招标人根据项目情况选设</w:t>
            </w:r>
            <w:r>
              <w:rPr>
                <w:rFonts w:hint="eastAsia" w:ascii="宋体" w:hAnsi="宋体"/>
                <w:i/>
                <w:szCs w:val="21"/>
              </w:rPr>
              <w:t>。</w:t>
            </w:r>
            <w:r>
              <w:rPr>
                <w:rFonts w:ascii="宋体" w:hAnsi="宋体"/>
                <w:i/>
                <w:szCs w:val="21"/>
              </w:rPr>
              <w:t>]</w:t>
            </w:r>
          </w:p>
          <w:p>
            <w:pPr>
              <w:autoSpaceDE w:val="0"/>
              <w:autoSpaceDN w:val="0"/>
              <w:adjustRightInd w:val="0"/>
              <w:snapToGrid w:val="0"/>
              <w:spacing w:line="400" w:lineRule="exact"/>
              <w:ind w:firstLine="420" w:firstLineChars="200"/>
              <w:rPr>
                <w:rFonts w:ascii="宋体" w:hAnsi="宋体"/>
                <w:szCs w:val="21"/>
              </w:rPr>
            </w:pPr>
            <w:bookmarkStart w:id="175" w:name="OLE_LINK1"/>
            <w:r>
              <w:rPr>
                <w:rFonts w:ascii="宋体" w:hAnsi="宋体"/>
                <w:szCs w:val="21"/>
              </w:rPr>
              <w:t>本工程施工招标实行资格后审，投标人应</w:t>
            </w:r>
            <w:bookmarkStart w:id="176" w:name="一是"/>
            <w:bookmarkEnd w:id="176"/>
            <w:r>
              <w:rPr>
                <w:rFonts w:ascii="宋体" w:hAnsi="宋体"/>
                <w:szCs w:val="21"/>
              </w:rPr>
              <w:t>具备以下资格条件：</w:t>
            </w:r>
          </w:p>
          <w:bookmarkEnd w:id="175"/>
          <w:p>
            <w:pPr>
              <w:autoSpaceDE w:val="0"/>
              <w:autoSpaceDN w:val="0"/>
              <w:adjustRightInd w:val="0"/>
              <w:snapToGrid w:val="0"/>
              <w:spacing w:line="400" w:lineRule="exact"/>
              <w:ind w:firstLine="421" w:firstLineChars="200"/>
              <w:rPr>
                <w:rFonts w:ascii="宋体" w:hAnsi="宋体"/>
                <w:b/>
                <w:szCs w:val="21"/>
              </w:rPr>
            </w:pPr>
            <w:r>
              <w:rPr>
                <w:rFonts w:ascii="宋体" w:hAnsi="宋体"/>
                <w:b/>
                <w:szCs w:val="21"/>
              </w:rPr>
              <w:t>1.资质条件、</w:t>
            </w:r>
            <w:r>
              <w:rPr>
                <w:rFonts w:hint="eastAsia" w:ascii="宋体" w:hAnsi="宋体"/>
                <w:b/>
                <w:szCs w:val="21"/>
                <w:lang w:eastAsia="zh-CN"/>
              </w:rPr>
              <w:t>独立法人资格</w:t>
            </w:r>
            <w:r>
              <w:rPr>
                <w:rFonts w:ascii="宋体" w:hAnsi="宋体"/>
                <w:b/>
                <w:szCs w:val="21"/>
              </w:rPr>
              <w:t>及安全生产条件</w:t>
            </w:r>
          </w:p>
          <w:p>
            <w:pPr>
              <w:autoSpaceDE w:val="0"/>
              <w:autoSpaceDN w:val="0"/>
              <w:adjustRightInd w:val="0"/>
              <w:snapToGrid w:val="0"/>
              <w:spacing w:line="400" w:lineRule="exact"/>
              <w:ind w:firstLine="420" w:firstLineChars="200"/>
              <w:rPr>
                <w:rFonts w:ascii="宋体" w:hAnsi="宋体"/>
                <w:i/>
                <w:szCs w:val="21"/>
              </w:rPr>
            </w:pPr>
            <w:r>
              <w:rPr>
                <w:rFonts w:hint="eastAsia" w:ascii="宋体" w:hAnsi="宋体"/>
                <w:i/>
                <w:szCs w:val="21"/>
              </w:rPr>
              <w:t>[</w:t>
            </w:r>
            <w:r>
              <w:rPr>
                <w:rFonts w:ascii="宋体" w:hAnsi="宋体"/>
                <w:i/>
                <w:szCs w:val="21"/>
              </w:rPr>
              <w:t>提示</w:t>
            </w:r>
            <w:r>
              <w:rPr>
                <w:rFonts w:hint="eastAsia" w:ascii="宋体" w:hAnsi="宋体"/>
                <w:i/>
                <w:szCs w:val="21"/>
              </w:rPr>
              <w:t>：</w:t>
            </w:r>
            <w:r>
              <w:rPr>
                <w:rFonts w:ascii="宋体" w:hAnsi="宋体"/>
                <w:i/>
                <w:szCs w:val="21"/>
              </w:rPr>
              <w:t>资质</w:t>
            </w:r>
            <w:r>
              <w:rPr>
                <w:rFonts w:hint="eastAsia" w:ascii="宋体" w:hAnsi="宋体"/>
                <w:i/>
                <w:szCs w:val="21"/>
                <w:lang w:val="en-US" w:eastAsia="zh-CN"/>
              </w:rPr>
              <w:t>的</w:t>
            </w:r>
            <w:r>
              <w:rPr>
                <w:rFonts w:ascii="宋体" w:hAnsi="宋体"/>
                <w:i/>
                <w:szCs w:val="21"/>
              </w:rPr>
              <w:t>设置按照</w:t>
            </w:r>
            <w:r>
              <w:rPr>
                <w:rFonts w:hint="eastAsia" w:ascii="宋体" w:hAnsi="宋体"/>
                <w:i/>
                <w:szCs w:val="21"/>
                <w:lang w:val="en-US" w:eastAsia="zh-CN"/>
              </w:rPr>
              <w:t>住房城乡建设行业主管部门相关规定执行</w:t>
            </w:r>
            <w:r>
              <w:rPr>
                <w:rFonts w:ascii="宋体" w:hAnsi="宋体"/>
                <w:i/>
                <w:szCs w:val="21"/>
              </w:rPr>
              <w:t>。</w:t>
            </w:r>
          </w:p>
          <w:p>
            <w:pPr>
              <w:autoSpaceDE w:val="0"/>
              <w:autoSpaceDN w:val="0"/>
              <w:adjustRightInd w:val="0"/>
              <w:snapToGrid w:val="0"/>
              <w:spacing w:line="400" w:lineRule="exact"/>
              <w:ind w:firstLine="420" w:firstLineChars="200"/>
              <w:rPr>
                <w:rFonts w:ascii="宋体" w:hAnsi="宋体"/>
                <w:i/>
                <w:szCs w:val="21"/>
              </w:rPr>
            </w:pPr>
            <w:r>
              <w:rPr>
                <w:rFonts w:hint="eastAsia" w:ascii="宋体" w:hAnsi="宋体"/>
                <w:i/>
                <w:szCs w:val="21"/>
              </w:rPr>
              <w:t>施工总承包工程应设定施工总承包资质；设有专业承包资质的专业工程单独发包时，应由取得相应专业承包资质的企业承担，设有专业承包资质的两个及以上专业工程同时发包时，应当允许联合体投标；施工总承包工程中有施工总承包资质不能涵盖的工作内容的，应当允许联合体投标或分包。设置施工总承包资质的同时，不得再设置施工总承包已涵盖的任何专业承包资质。]</w:t>
            </w:r>
          </w:p>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（1）具备建设行政主管部门颁发的有效的</w:t>
            </w:r>
            <w:r>
              <w:rPr>
                <w:rFonts w:hint="eastAsia" w:ascii="宋体" w:hAnsi="宋体"/>
                <w:u w:val="single"/>
              </w:rPr>
              <w:t xml:space="preserve">        </w:t>
            </w:r>
            <w:r>
              <w:rPr>
                <w:rFonts w:ascii="宋体" w:hAnsi="宋体"/>
                <w:szCs w:val="21"/>
                <w:u w:val="single"/>
              </w:rPr>
              <w:t>及以上</w:t>
            </w:r>
            <w:r>
              <w:rPr>
                <w:rFonts w:hint="eastAsia" w:ascii="宋体" w:hAnsi="宋体"/>
                <w:szCs w:val="21"/>
              </w:rPr>
              <w:t>资质</w:t>
            </w:r>
            <w:r>
              <w:rPr>
                <w:rFonts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提供</w:t>
            </w:r>
            <w:r>
              <w:rPr>
                <w:rFonts w:hint="eastAsia" w:ascii="宋体" w:hAnsi="宋体"/>
                <w:szCs w:val="21"/>
                <w:lang w:eastAsia="zh-CN"/>
              </w:rPr>
              <w:t>：</w:t>
            </w:r>
            <w:r>
              <w:rPr>
                <w:rFonts w:hint="eastAsia" w:ascii="宋体" w:hAnsi="宋体"/>
                <w:szCs w:val="21"/>
              </w:rPr>
              <w:t>有效的资质证书</w:t>
            </w:r>
            <w:r>
              <w:rPr>
                <w:rFonts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rPr>
              <w:t>□联合体投标的，</w:t>
            </w:r>
            <w:r>
              <w:rPr>
                <w:rFonts w:hint="eastAsia" w:ascii="宋体" w:hAnsi="宋体"/>
                <w:lang w:val="en-US" w:eastAsia="zh-CN"/>
              </w:rPr>
              <w:t>须提供共同投标协议，并</w:t>
            </w:r>
            <w:r>
              <w:rPr>
                <w:rFonts w:hint="eastAsia" w:ascii="宋体" w:hAnsi="宋体"/>
              </w:rPr>
              <w:t>按</w:t>
            </w:r>
            <w:r>
              <w:rPr>
                <w:rFonts w:hint="eastAsia" w:ascii="宋体" w:hAnsi="宋体"/>
                <w:lang w:val="en-US" w:eastAsia="zh-CN"/>
              </w:rPr>
              <w:t>共同投标协议</w:t>
            </w:r>
            <w:r>
              <w:rPr>
                <w:rFonts w:hint="eastAsia" w:ascii="宋体" w:hAnsi="宋体"/>
              </w:rPr>
              <w:t>约定的分工提供。</w:t>
            </w:r>
          </w:p>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（2）具备</w:t>
            </w:r>
            <w:r>
              <w:rPr>
                <w:rFonts w:hint="eastAsia" w:ascii="宋体" w:hAnsi="宋体"/>
                <w:szCs w:val="21"/>
                <w:lang w:val="en-US" w:eastAsia="zh-CN"/>
              </w:rPr>
              <w:t>独立法人资格</w:t>
            </w:r>
            <w:r>
              <w:rPr>
                <w:rFonts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提供</w:t>
            </w:r>
            <w:r>
              <w:rPr>
                <w:rFonts w:hint="eastAsia" w:ascii="宋体" w:hAnsi="宋体"/>
                <w:szCs w:val="21"/>
                <w:lang w:eastAsia="zh-CN"/>
              </w:rPr>
              <w:t>：</w:t>
            </w:r>
            <w:r>
              <w:rPr>
                <w:rFonts w:ascii="宋体" w:hAnsi="宋体"/>
                <w:szCs w:val="21"/>
              </w:rPr>
              <w:t>有效的营业执照。</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rPr>
              <w:t>□联合体投标的，联合体各方均</w:t>
            </w:r>
            <w:r>
              <w:rPr>
                <w:rFonts w:hint="eastAsia" w:ascii="宋体" w:hAnsi="宋体"/>
                <w:lang w:val="en-US" w:eastAsia="zh-CN"/>
              </w:rPr>
              <w:t>须满足并</w:t>
            </w:r>
            <w:r>
              <w:rPr>
                <w:rFonts w:hint="eastAsia" w:ascii="宋体" w:hAnsi="宋体"/>
              </w:rPr>
              <w:t>提供。</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注：不得将投标人营业执照记载的经营范围作为评审因素。</w:t>
            </w:r>
          </w:p>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（3）具备建设行政主管部门颁发的有效的安全生产许可证，企业</w:t>
            </w:r>
            <w:r>
              <w:rPr>
                <w:rFonts w:hint="eastAsia" w:ascii="宋体" w:hAnsi="宋体"/>
                <w:szCs w:val="21"/>
              </w:rPr>
              <w:t>主要</w:t>
            </w:r>
            <w:r>
              <w:rPr>
                <w:rFonts w:ascii="宋体" w:hAnsi="宋体"/>
                <w:szCs w:val="21"/>
              </w:rPr>
              <w:t>负责人、</w:t>
            </w:r>
            <w:r>
              <w:rPr>
                <w:rFonts w:hint="eastAsia" w:ascii="宋体" w:hAnsi="宋体"/>
                <w:szCs w:val="21"/>
                <w:lang w:val="en-US" w:eastAsia="zh-CN"/>
              </w:rPr>
              <w:t>拟派</w:t>
            </w:r>
            <w:r>
              <w:rPr>
                <w:rFonts w:ascii="宋体" w:hAnsi="宋体"/>
                <w:szCs w:val="21"/>
              </w:rPr>
              <w:t>项目经理具备相应的由建设行政主管部门颁发的有效的安全生产考核合格证书</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提供</w:t>
            </w:r>
            <w:r>
              <w:rPr>
                <w:rFonts w:hint="eastAsia" w:ascii="宋体" w:hAnsi="宋体"/>
                <w:szCs w:val="21"/>
                <w:lang w:eastAsia="zh-CN"/>
              </w:rPr>
              <w:t>：</w:t>
            </w:r>
            <w:r>
              <w:rPr>
                <w:rFonts w:hint="eastAsia" w:ascii="宋体" w:hAnsi="宋体"/>
                <w:szCs w:val="21"/>
              </w:rPr>
              <w:t>有效的安全生产许可证</w:t>
            </w:r>
            <w:r>
              <w:rPr>
                <w:rFonts w:ascii="宋体" w:hAnsi="宋体"/>
                <w:szCs w:val="21"/>
              </w:rPr>
              <w:t>及安全生产考核合格证书。</w:t>
            </w:r>
          </w:p>
          <w:p>
            <w:pPr>
              <w:autoSpaceDE w:val="0"/>
              <w:autoSpaceDN w:val="0"/>
              <w:adjustRightInd w:val="0"/>
              <w:snapToGrid w:val="0"/>
              <w:spacing w:line="400" w:lineRule="exact"/>
              <w:ind w:firstLine="420" w:firstLineChars="200"/>
              <w:rPr>
                <w:rFonts w:ascii="宋体" w:hAnsi="宋体"/>
                <w:b/>
                <w:szCs w:val="21"/>
              </w:rPr>
            </w:pPr>
            <w:r>
              <w:rPr>
                <w:rFonts w:hint="eastAsia" w:ascii="宋体" w:hAnsi="宋体"/>
              </w:rPr>
              <w:t>□联合体投标的，</w:t>
            </w:r>
            <w:r>
              <w:rPr>
                <w:rFonts w:hint="eastAsia" w:ascii="宋体" w:hAnsi="宋体"/>
                <w:lang w:val="en-US" w:eastAsia="zh-CN"/>
              </w:rPr>
              <w:t>根据共同投标协议承担施工任务的</w:t>
            </w:r>
            <w:r>
              <w:rPr>
                <w:rFonts w:hint="eastAsia" w:ascii="宋体" w:hAnsi="宋体"/>
              </w:rPr>
              <w:t>联合体</w:t>
            </w:r>
            <w:r>
              <w:rPr>
                <w:rFonts w:hint="eastAsia" w:ascii="宋体" w:hAnsi="宋体"/>
                <w:lang w:val="en-US" w:eastAsia="zh-CN"/>
              </w:rPr>
              <w:t>成员</w:t>
            </w:r>
            <w:r>
              <w:rPr>
                <w:rFonts w:hint="eastAsia" w:ascii="宋体" w:hAnsi="宋体"/>
              </w:rPr>
              <w:t>均</w:t>
            </w:r>
            <w:r>
              <w:rPr>
                <w:rFonts w:hint="eastAsia" w:ascii="宋体" w:hAnsi="宋体"/>
                <w:lang w:val="en-US" w:eastAsia="zh-CN"/>
              </w:rPr>
              <w:t>须满足并提供</w:t>
            </w:r>
            <w:r>
              <w:rPr>
                <w:rFonts w:hint="eastAsia" w:ascii="宋体" w:hAnsi="宋体"/>
              </w:rPr>
              <w:t>。</w:t>
            </w:r>
          </w:p>
          <w:p>
            <w:pPr>
              <w:autoSpaceDE w:val="0"/>
              <w:autoSpaceDN w:val="0"/>
              <w:adjustRightInd w:val="0"/>
              <w:snapToGrid w:val="0"/>
              <w:spacing w:line="400" w:lineRule="exact"/>
              <w:ind w:firstLine="421" w:firstLineChars="200"/>
              <w:rPr>
                <w:rFonts w:ascii="宋体" w:hAnsi="宋体"/>
                <w:b/>
                <w:szCs w:val="21"/>
              </w:rPr>
            </w:pPr>
            <w:r>
              <w:rPr>
                <w:rFonts w:hint="eastAsia" w:ascii="宋体" w:hAnsi="宋体"/>
                <w:b/>
                <w:szCs w:val="21"/>
              </w:rPr>
              <w:t>□</w:t>
            </w:r>
            <w:r>
              <w:rPr>
                <w:rFonts w:ascii="宋体" w:hAnsi="宋体"/>
                <w:b/>
                <w:szCs w:val="21"/>
              </w:rPr>
              <w:t>2.财务要求</w:t>
            </w:r>
          </w:p>
          <w:p>
            <w:pPr>
              <w:snapToGrid w:val="0"/>
              <w:spacing w:line="400" w:lineRule="exact"/>
              <w:ind w:firstLine="420" w:firstLineChars="200"/>
              <w:rPr>
                <w:rFonts w:ascii="宋体" w:hAnsi="宋体"/>
                <w:kern w:val="0"/>
                <w:szCs w:val="21"/>
              </w:rPr>
            </w:pPr>
            <w:r>
              <w:rPr>
                <w:rFonts w:hint="eastAsia" w:ascii="宋体" w:hAnsi="宋体"/>
                <w:i/>
                <w:kern w:val="0"/>
                <w:szCs w:val="21"/>
              </w:rPr>
              <w:t>[提示：招标人</w:t>
            </w:r>
            <w:r>
              <w:rPr>
                <w:rFonts w:hint="eastAsia" w:ascii="宋体" w:hAnsi="宋体"/>
                <w:i/>
                <w:kern w:val="0"/>
                <w:szCs w:val="21"/>
                <w:lang w:val="en-US" w:eastAsia="zh-CN"/>
              </w:rPr>
              <w:t>可选择以下三种方式之一，</w:t>
            </w:r>
            <w:r>
              <w:rPr>
                <w:rFonts w:hint="eastAsia" w:ascii="宋体" w:hAnsi="宋体"/>
                <w:i/>
                <w:kern w:val="0"/>
                <w:szCs w:val="21"/>
              </w:rPr>
              <w:t>可</w:t>
            </w:r>
            <w:r>
              <w:rPr>
                <w:rFonts w:hint="eastAsia" w:ascii="宋体" w:hAnsi="宋体"/>
                <w:i/>
                <w:kern w:val="0"/>
                <w:szCs w:val="21"/>
                <w:lang w:val="en-US" w:eastAsia="zh-CN"/>
              </w:rPr>
              <w:t>设置近</w:t>
            </w:r>
            <w:r>
              <w:rPr>
                <w:rFonts w:hint="eastAsia" w:ascii="宋体" w:hAnsi="宋体"/>
                <w:i/>
                <w:kern w:val="0"/>
                <w:szCs w:val="21"/>
              </w:rPr>
              <w:t>1至3年的年度财务要求。]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u w:val="single"/>
                <w:lang w:val="en-US"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szCs w:val="21"/>
                <w:highlight w:val="none"/>
                <w:u w:val="none"/>
                <w:lang w:val="en-US" w:eastAsia="zh-CN"/>
              </w:rPr>
              <w:t>方式一</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年的</w:t>
            </w:r>
            <w:r>
              <w:rPr>
                <w:rFonts w:hint="eastAsia" w:asciiTheme="minorEastAsia" w:hAnsiTheme="minorEastAsia" w:eastAsiaTheme="minorEastAsia" w:cstheme="minorEastAsia"/>
                <w:color w:val="auto"/>
                <w:kern w:val="0"/>
                <w:szCs w:val="21"/>
                <w:highlight w:val="none"/>
                <w:lang w:eastAsia="zh-CN"/>
              </w:rPr>
              <w:t>各</w:t>
            </w:r>
            <w:r>
              <w:rPr>
                <w:rFonts w:hint="eastAsia" w:asciiTheme="minorEastAsia" w:hAnsiTheme="minorEastAsia" w:eastAsiaTheme="minorEastAsia" w:cstheme="minorEastAsia"/>
                <w:color w:val="auto"/>
                <w:kern w:val="0"/>
                <w:szCs w:val="21"/>
                <w:highlight w:val="none"/>
              </w:rPr>
              <w:t>年度财务状况不亏损。</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u w:val="single"/>
                <w:lang w:val="en-US"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szCs w:val="21"/>
                <w:highlight w:val="none"/>
                <w:u w:val="none"/>
                <w:lang w:val="en-US" w:eastAsia="zh-CN"/>
              </w:rPr>
              <w:t>方式二</w:t>
            </w:r>
          </w:p>
          <w:p>
            <w:pPr>
              <w:snapToGrid w:val="0"/>
              <w:spacing w:line="400" w:lineRule="exact"/>
              <w:ind w:left="0" w:leftChars="0" w:firstLine="420" w:firstLineChars="200"/>
              <w:rPr>
                <w:rFonts w:hint="eastAsia" w:asciiTheme="minorEastAsia" w:hAnsiTheme="minorEastAsia" w:eastAsiaTheme="minorEastAsia" w:cstheme="minorEastAsia"/>
                <w:color w:val="auto"/>
                <w:kern w:val="0"/>
                <w:szCs w:val="21"/>
                <w:highlight w:val="none"/>
                <w:lang w:val="en-US" w:eastAsia="zh-CN"/>
              </w:rPr>
            </w:pP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lang w:val="en-US" w:eastAsia="zh-CN"/>
              </w:rPr>
              <w:t>的年度财务状况累计不亏损。</w:t>
            </w:r>
          </w:p>
          <w:p>
            <w:pPr>
              <w:snapToGrid w:val="0"/>
              <w:spacing w:line="400" w:lineRule="exact"/>
              <w:ind w:left="399" w:leftChars="190" w:firstLine="0" w:firstLineChars="0"/>
              <w:rPr>
                <w:rFonts w:hint="eastAsia" w:asciiTheme="minorEastAsia" w:hAnsiTheme="minorEastAsia" w:eastAsiaTheme="minorEastAsia" w:cstheme="minorEastAsia"/>
                <w:color w:val="auto"/>
                <w:kern w:val="0"/>
                <w:szCs w:val="21"/>
                <w:highlight w:val="none"/>
                <w:lang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szCs w:val="21"/>
                <w:highlight w:val="none"/>
                <w:lang w:eastAsia="zh-CN"/>
              </w:rPr>
              <w:t>方式</w:t>
            </w:r>
            <w:r>
              <w:rPr>
                <w:rFonts w:hint="eastAsia" w:asciiTheme="minorEastAsia" w:hAnsiTheme="minorEastAsia" w:eastAsiaTheme="minorEastAsia" w:cstheme="minorEastAsia"/>
                <w:color w:val="auto"/>
                <w:kern w:val="0"/>
                <w:szCs w:val="21"/>
                <w:highlight w:val="none"/>
                <w:lang w:val="en-US" w:eastAsia="zh-CN"/>
              </w:rPr>
              <w:t>三</w:t>
            </w:r>
          </w:p>
          <w:p>
            <w:pPr>
              <w:autoSpaceDE w:val="0"/>
              <w:autoSpaceDN w:val="0"/>
              <w:adjustRightInd w:val="0"/>
              <w:snapToGrid w:val="0"/>
              <w:spacing w:line="400" w:lineRule="exact"/>
              <w:ind w:firstLine="420" w:firstLineChars="200"/>
              <w:rPr>
                <w:rFonts w:ascii="宋体" w:hAnsi="宋体"/>
                <w:kern w:val="0"/>
                <w:szCs w:val="21"/>
              </w:rPr>
            </w:pP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lang w:eastAsia="zh-CN"/>
              </w:rPr>
              <w:t>的</w:t>
            </w:r>
            <w:r>
              <w:rPr>
                <w:rFonts w:hint="eastAsia" w:asciiTheme="minorEastAsia" w:hAnsiTheme="minorEastAsia" w:eastAsiaTheme="minorEastAsia" w:cstheme="minorEastAsia"/>
                <w:color w:val="auto"/>
                <w:kern w:val="0"/>
                <w:szCs w:val="21"/>
                <w:highlight w:val="none"/>
                <w:lang w:val="en-US" w:eastAsia="zh-CN"/>
              </w:rPr>
              <w:t>年度</w:t>
            </w:r>
            <w:r>
              <w:rPr>
                <w:rFonts w:hint="eastAsia" w:asciiTheme="minorEastAsia" w:hAnsiTheme="minorEastAsia" w:eastAsiaTheme="minorEastAsia" w:cstheme="minorEastAsia"/>
                <w:color w:val="auto"/>
                <w:kern w:val="0"/>
                <w:szCs w:val="21"/>
                <w:highlight w:val="none"/>
                <w:lang w:eastAsia="zh-CN"/>
              </w:rPr>
              <w:t>财务状况未出现连续亏损</w:t>
            </w:r>
            <w:r>
              <w:rPr>
                <w:rFonts w:hint="eastAsia" w:ascii="宋体" w:hAnsi="宋体"/>
                <w:kern w:val="0"/>
                <w:szCs w:val="21"/>
              </w:rPr>
              <w:t>。</w:t>
            </w:r>
          </w:p>
          <w:p>
            <w:pPr>
              <w:snapToGrid w:val="0"/>
              <w:spacing w:line="400" w:lineRule="exact"/>
              <w:ind w:firstLine="420" w:firstLineChars="200"/>
              <w:rPr>
                <w:rFonts w:ascii="宋体" w:hAnsi="宋体"/>
                <w:kern w:val="0"/>
                <w:szCs w:val="21"/>
              </w:rPr>
            </w:pPr>
            <w:r>
              <w:rPr>
                <w:rFonts w:hint="eastAsia" w:ascii="宋体" w:hAnsi="宋体"/>
                <w:kern w:val="0"/>
                <w:szCs w:val="21"/>
              </w:rPr>
              <w:t>提供</w:t>
            </w:r>
            <w:r>
              <w:rPr>
                <w:rFonts w:hint="eastAsia" w:ascii="宋体" w:hAnsi="宋体"/>
                <w:kern w:val="0"/>
                <w:szCs w:val="21"/>
                <w:lang w:eastAsia="zh-CN"/>
              </w:rPr>
              <w:t>：</w:t>
            </w:r>
            <w:r>
              <w:rPr>
                <w:rFonts w:hint="eastAsia" w:ascii="宋体" w:hAnsi="宋体"/>
                <w:kern w:val="0"/>
                <w:szCs w:val="21"/>
              </w:rPr>
              <w:t>会计师事务所或审计机构出具的合法有效的财务审计报告及财务报表，财务报表须至少包括现金流量表、资产负债表、利润表。</w:t>
            </w:r>
          </w:p>
          <w:p>
            <w:pPr>
              <w:autoSpaceDE w:val="0"/>
              <w:autoSpaceDN w:val="0"/>
              <w:adjustRightInd w:val="0"/>
              <w:snapToGrid w:val="0"/>
              <w:spacing w:line="400" w:lineRule="exact"/>
              <w:ind w:firstLine="420" w:firstLineChars="200"/>
              <w:rPr>
                <w:rFonts w:ascii="宋体" w:hAnsi="宋体"/>
                <w:b/>
                <w:szCs w:val="21"/>
              </w:rPr>
            </w:pPr>
            <w:r>
              <w:rPr>
                <w:rFonts w:hint="eastAsia" w:ascii="宋体" w:hAnsi="宋体"/>
                <w:szCs w:val="21"/>
              </w:rPr>
              <w:t>□联合体投标的，联合体各方均</w:t>
            </w:r>
            <w:r>
              <w:rPr>
                <w:rFonts w:hint="eastAsia" w:ascii="宋体" w:hAnsi="宋体"/>
                <w:szCs w:val="21"/>
                <w:lang w:val="en-US" w:eastAsia="zh-CN"/>
              </w:rPr>
              <w:t>须</w:t>
            </w:r>
            <w:r>
              <w:rPr>
                <w:rFonts w:hint="eastAsia" w:ascii="宋体" w:hAnsi="宋体"/>
                <w:szCs w:val="21"/>
              </w:rPr>
              <w:t>满足</w:t>
            </w:r>
            <w:r>
              <w:rPr>
                <w:rFonts w:hint="eastAsia" w:ascii="宋体" w:hAnsi="宋体"/>
                <w:szCs w:val="21"/>
                <w:lang w:val="en-US" w:eastAsia="zh-CN"/>
              </w:rPr>
              <w:t>并提供</w:t>
            </w:r>
            <w:r>
              <w:rPr>
                <w:rFonts w:hint="eastAsia" w:ascii="宋体" w:hAnsi="宋体"/>
                <w:szCs w:val="21"/>
              </w:rPr>
              <w:t>。</w:t>
            </w:r>
          </w:p>
          <w:p>
            <w:pPr>
              <w:autoSpaceDE w:val="0"/>
              <w:autoSpaceDN w:val="0"/>
              <w:adjustRightInd w:val="0"/>
              <w:snapToGrid w:val="0"/>
              <w:spacing w:line="400" w:lineRule="exact"/>
              <w:ind w:firstLine="421" w:firstLineChars="200"/>
              <w:rPr>
                <w:rFonts w:ascii="宋体" w:hAnsi="宋体"/>
                <w:b/>
                <w:szCs w:val="21"/>
              </w:rPr>
            </w:pPr>
            <w:r>
              <w:rPr>
                <w:rFonts w:hint="eastAsia" w:ascii="宋体" w:hAnsi="宋体"/>
                <w:b/>
                <w:szCs w:val="21"/>
              </w:rPr>
              <w:t>□</w:t>
            </w:r>
            <w:r>
              <w:rPr>
                <w:rFonts w:ascii="宋体" w:hAnsi="宋体"/>
                <w:b/>
                <w:szCs w:val="21"/>
              </w:rPr>
              <w:t>3.业绩要求</w:t>
            </w:r>
          </w:p>
          <w:p>
            <w:pPr>
              <w:adjustRightInd w:val="0"/>
              <w:snapToGrid w:val="0"/>
              <w:spacing w:line="400" w:lineRule="exact"/>
              <w:ind w:firstLine="420" w:firstLineChars="200"/>
              <w:rPr>
                <w:rFonts w:hint="default" w:ascii="宋体" w:hAnsi="宋体" w:eastAsia="宋体"/>
                <w:i/>
                <w:szCs w:val="21"/>
                <w:highlight w:val="none"/>
                <w:lang w:val="en-US" w:eastAsia="zh-CN"/>
              </w:rPr>
            </w:pPr>
            <w:r>
              <w:rPr>
                <w:rFonts w:hint="eastAsia" w:ascii="宋体" w:hAnsi="宋体"/>
                <w:i/>
                <w:szCs w:val="21"/>
                <w:highlight w:val="none"/>
                <w:lang w:val="en-US" w:eastAsia="zh-CN"/>
              </w:rPr>
              <w:t>[提示：设置的业绩指标不得超过本项目对应指标。]</w:t>
            </w:r>
          </w:p>
          <w:p>
            <w:pPr>
              <w:autoSpaceDE w:val="0"/>
              <w:autoSpaceDN w:val="0"/>
              <w:adjustRightInd w:val="0"/>
              <w:snapToGrid w:val="0"/>
              <w:spacing w:line="400" w:lineRule="exact"/>
              <w:ind w:firstLine="420" w:firstLineChars="200"/>
              <w:rPr>
                <w:rFonts w:ascii="宋体" w:hAnsi="宋体"/>
                <w:szCs w:val="21"/>
                <w:highlight w:val="none"/>
                <w:u w:val="single"/>
              </w:rPr>
            </w:pPr>
            <w:r>
              <w:rPr>
                <w:rFonts w:hint="eastAsia" w:asciiTheme="minorEastAsia" w:hAnsiTheme="minorEastAsia" w:eastAsiaTheme="minorEastAsia" w:cstheme="minorEastAsia"/>
                <w:kern w:val="0"/>
                <w:sz w:val="21"/>
                <w:szCs w:val="21"/>
                <w:highlight w:val="none"/>
                <w:lang w:eastAsia="zh-CN"/>
              </w:rPr>
              <w:t>投标人</w:t>
            </w:r>
            <w:r>
              <w:rPr>
                <w:rFonts w:hint="eastAsia" w:asciiTheme="minorEastAsia" w:hAnsiTheme="minorEastAsia" w:eastAsiaTheme="minorEastAsia" w:cstheme="minorEastAsia"/>
                <w:snapToGrid/>
                <w:sz w:val="21"/>
                <w:szCs w:val="21"/>
                <w:highlight w:val="none"/>
                <w:u w:val="none"/>
                <w:lang w:val="en-US" w:eastAsia="zh-CN"/>
              </w:rPr>
              <w:t>自</w:t>
            </w:r>
            <w:r>
              <w:rPr>
                <w:rFonts w:hint="eastAsia" w:asciiTheme="minorEastAsia" w:hAnsiTheme="minorEastAsia" w:eastAsiaTheme="minorEastAsia" w:cstheme="minorEastAsia"/>
                <w:snapToGrid/>
                <w:sz w:val="21"/>
                <w:szCs w:val="21"/>
                <w:highlight w:val="none"/>
                <w:u w:val="single"/>
                <w:lang w:eastAsia="zh-CN"/>
              </w:rPr>
              <w:t xml:space="preserve">    </w:t>
            </w:r>
            <w:r>
              <w:rPr>
                <w:rFonts w:hint="eastAsia" w:asciiTheme="minorEastAsia" w:hAnsiTheme="minorEastAsia" w:eastAsiaTheme="minorEastAsia" w:cstheme="minorEastAsia"/>
                <w:snapToGrid/>
                <w:sz w:val="21"/>
                <w:szCs w:val="21"/>
                <w:highlight w:val="none"/>
                <w:u w:val="none"/>
                <w:lang w:eastAsia="zh-CN"/>
              </w:rPr>
              <w:t>年1月1日起</w:t>
            </w:r>
            <w:r>
              <w:rPr>
                <w:rFonts w:hint="eastAsia" w:asciiTheme="minorEastAsia" w:hAnsiTheme="minorEastAsia" w:eastAsiaTheme="minorEastAsia" w:cstheme="minorEastAsia"/>
                <w:i/>
                <w:iCs/>
                <w:snapToGrid/>
                <w:sz w:val="21"/>
                <w:szCs w:val="21"/>
                <w:highlight w:val="none"/>
                <w:u w:val="none"/>
                <w:lang w:val="en-US" w:eastAsia="zh-CN"/>
              </w:rPr>
              <w:t>[</w:t>
            </w:r>
            <w:r>
              <w:rPr>
                <w:rFonts w:hint="eastAsia" w:asciiTheme="minorEastAsia" w:hAnsiTheme="minorEastAsia" w:eastAsiaTheme="minorEastAsia" w:cstheme="minorEastAsia"/>
                <w:i/>
                <w:iCs/>
                <w:snapToGrid/>
                <w:sz w:val="21"/>
                <w:szCs w:val="21"/>
                <w:highlight w:val="none"/>
                <w:u w:val="none"/>
                <w:lang w:eastAsia="zh-CN"/>
              </w:rPr>
              <w:t>提示：指投标截止日前3年</w:t>
            </w:r>
            <w:r>
              <w:rPr>
                <w:rFonts w:hint="eastAsia" w:asciiTheme="minorEastAsia" w:hAnsiTheme="minorEastAsia" w:eastAsiaTheme="minorEastAsia" w:cstheme="minorEastAsia"/>
                <w:i/>
                <w:iCs/>
                <w:snapToGrid/>
                <w:sz w:val="21"/>
                <w:szCs w:val="21"/>
                <w:highlight w:val="none"/>
                <w:u w:val="none"/>
                <w:lang w:val="en-US" w:eastAsia="zh-CN"/>
              </w:rPr>
              <w:t>及以上</w:t>
            </w:r>
            <w:r>
              <w:rPr>
                <w:rFonts w:hint="eastAsia" w:asciiTheme="minorEastAsia" w:hAnsiTheme="minorEastAsia" w:eastAsiaTheme="minorEastAsia" w:cstheme="minorEastAsia"/>
                <w:i/>
                <w:iCs/>
                <w:snapToGrid/>
                <w:sz w:val="21"/>
                <w:szCs w:val="21"/>
                <w:highlight w:val="none"/>
                <w:u w:val="none"/>
                <w:lang w:eastAsia="zh-CN"/>
              </w:rPr>
              <w:t>，不包含投标截止日当年]</w:t>
            </w:r>
            <w:r>
              <w:rPr>
                <w:rFonts w:hint="eastAsia" w:ascii="宋体" w:hAnsi="宋体"/>
                <w:szCs w:val="21"/>
                <w:highlight w:val="none"/>
              </w:rPr>
              <w:t>至投标截止日止（以竣工时间为准）</w:t>
            </w:r>
            <w:r>
              <w:rPr>
                <w:rFonts w:hint="eastAsia" w:ascii="宋体" w:hAnsi="宋体"/>
                <w:szCs w:val="21"/>
                <w:highlight w:val="none"/>
                <w:lang w:eastAsia="zh-CN"/>
              </w:rPr>
              <w:t>，</w:t>
            </w:r>
            <w:r>
              <w:rPr>
                <w:rFonts w:hint="eastAsia" w:ascii="宋体" w:hAnsi="宋体"/>
                <w:szCs w:val="21"/>
                <w:highlight w:val="none"/>
                <w:lang w:val="en-US" w:eastAsia="zh-CN"/>
              </w:rPr>
              <w:t>完成过</w:t>
            </w:r>
            <w:r>
              <w:rPr>
                <w:rFonts w:hint="eastAsia" w:ascii="宋体" w:hAnsi="宋体"/>
                <w:szCs w:val="21"/>
                <w:highlight w:val="none"/>
              </w:rPr>
              <w:t>1个</w:t>
            </w:r>
            <w:r>
              <w:rPr>
                <w:rFonts w:hint="eastAsia" w:ascii="宋体" w:hAnsi="宋体"/>
                <w:szCs w:val="21"/>
                <w:highlight w:val="none"/>
                <w:u w:val="single"/>
                <w:lang w:eastAsia="zh-CN"/>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none"/>
                <w:lang w:val="en-US" w:eastAsia="zh-CN"/>
              </w:rPr>
              <w:t>施工</w:t>
            </w:r>
            <w:r>
              <w:rPr>
                <w:rFonts w:hint="eastAsia" w:ascii="宋体" w:hAnsi="宋体"/>
                <w:szCs w:val="21"/>
                <w:highlight w:val="none"/>
              </w:rPr>
              <w:t>业绩。</w:t>
            </w:r>
          </w:p>
          <w:p>
            <w:pPr>
              <w:autoSpaceDE w:val="0"/>
              <w:autoSpaceDN w:val="0"/>
              <w:adjustRightInd w:val="0"/>
              <w:snapToGrid w:val="0"/>
              <w:spacing w:line="400" w:lineRule="exact"/>
              <w:ind w:firstLine="415" w:firstLineChars="198"/>
              <w:rPr>
                <w:rFonts w:hint="default" w:ascii="宋体" w:hAnsi="宋体"/>
                <w:szCs w:val="21"/>
                <w:highlight w:val="none"/>
                <w:lang w:val="en-US"/>
              </w:rPr>
            </w:pPr>
            <w:r>
              <w:rPr>
                <w:rFonts w:hint="eastAsia" w:ascii="宋体" w:hAnsi="宋体"/>
                <w:szCs w:val="21"/>
                <w:highlight w:val="none"/>
              </w:rPr>
              <w:t>提供</w:t>
            </w:r>
            <w:r>
              <w:rPr>
                <w:rFonts w:hint="eastAsia" w:ascii="宋体" w:hAnsi="宋体"/>
                <w:szCs w:val="21"/>
                <w:highlight w:val="none"/>
                <w:lang w:eastAsia="zh-CN"/>
              </w:rPr>
              <w:t>：</w:t>
            </w:r>
            <w:r>
              <w:rPr>
                <w:rFonts w:hint="eastAsia" w:ascii="宋体" w:hAnsi="宋体"/>
                <w:szCs w:val="21"/>
                <w:highlight w:val="none"/>
              </w:rPr>
              <w:t>该业绩的合同协议书和工程竣工验收合格的证明材料。若</w:t>
            </w:r>
            <w:r>
              <w:rPr>
                <w:rFonts w:hint="eastAsia" w:ascii="宋体" w:hAnsi="宋体"/>
                <w:szCs w:val="21"/>
                <w:highlight w:val="none"/>
                <w:lang w:val="en-US" w:eastAsia="zh-CN"/>
              </w:rPr>
              <w:t>提供的业绩证明材料不能</w:t>
            </w:r>
            <w:r>
              <w:rPr>
                <w:rFonts w:hint="eastAsia" w:ascii="宋体" w:hAnsi="宋体"/>
                <w:szCs w:val="21"/>
                <w:highlight w:val="none"/>
              </w:rPr>
              <w:t>体现</w:t>
            </w:r>
            <w:r>
              <w:rPr>
                <w:rFonts w:hint="eastAsia" w:ascii="宋体" w:hAnsi="宋体"/>
                <w:szCs w:val="21"/>
                <w:highlight w:val="none"/>
                <w:lang w:val="en-US" w:eastAsia="zh-CN"/>
              </w:rPr>
              <w:t>上述业绩指标</w:t>
            </w:r>
            <w:r>
              <w:rPr>
                <w:rFonts w:hint="eastAsia" w:ascii="宋体" w:hAnsi="宋体"/>
                <w:szCs w:val="21"/>
                <w:highlight w:val="none"/>
              </w:rPr>
              <w:t>的，应补充提供</w:t>
            </w:r>
            <w:r>
              <w:rPr>
                <w:rFonts w:hint="eastAsia" w:ascii="宋体" w:hAnsi="宋体"/>
                <w:szCs w:val="21"/>
                <w:highlight w:val="none"/>
                <w:u w:val="none"/>
                <w:lang w:eastAsia="zh-CN"/>
              </w:rPr>
              <w:t>业主证明</w:t>
            </w:r>
            <w:r>
              <w:rPr>
                <w:rFonts w:hint="eastAsia" w:ascii="宋体" w:hAnsi="宋体"/>
                <w:szCs w:val="21"/>
                <w:highlight w:val="none"/>
                <w:u w:val="none"/>
                <w:lang w:val="en-US" w:eastAsia="zh-CN"/>
              </w:rPr>
              <w:t>。</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□联合体投标的，按</w:t>
            </w:r>
            <w:r>
              <w:rPr>
                <w:rFonts w:hint="eastAsia" w:ascii="宋体" w:hAnsi="宋体"/>
                <w:lang w:val="en-US" w:eastAsia="zh-CN"/>
              </w:rPr>
              <w:t>共同投标协议</w:t>
            </w:r>
            <w:r>
              <w:rPr>
                <w:rFonts w:hint="eastAsia" w:ascii="宋体" w:hAnsi="宋体"/>
                <w:szCs w:val="21"/>
              </w:rPr>
              <w:t>约定的</w:t>
            </w:r>
            <w:r>
              <w:rPr>
                <w:rFonts w:hint="eastAsia" w:ascii="宋体" w:hAnsi="宋体"/>
                <w:szCs w:val="21"/>
                <w:highlight w:val="none"/>
              </w:rPr>
              <w:t>分工提供</w:t>
            </w:r>
            <w:r>
              <w:rPr>
                <w:rFonts w:hint="eastAsia" w:ascii="宋体" w:hAnsi="宋体"/>
                <w:szCs w:val="21"/>
              </w:rPr>
              <w:t>。</w:t>
            </w:r>
          </w:p>
          <w:p>
            <w:pPr>
              <w:autoSpaceDE w:val="0"/>
              <w:autoSpaceDN w:val="0"/>
              <w:adjustRightInd w:val="0"/>
              <w:snapToGrid w:val="0"/>
              <w:spacing w:line="400" w:lineRule="exact"/>
              <w:ind w:firstLine="415" w:firstLineChars="198"/>
              <w:rPr>
                <w:rFonts w:hint="eastAsia" w:ascii="宋体" w:hAnsi="宋体"/>
                <w:szCs w:val="21"/>
              </w:rPr>
            </w:pPr>
            <w:r>
              <w:rPr>
                <w:rFonts w:hint="eastAsia" w:ascii="宋体" w:hAnsi="宋体"/>
                <w:szCs w:val="21"/>
              </w:rPr>
              <w:t>注：</w:t>
            </w: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当上述</w:t>
            </w:r>
            <w:r>
              <w:rPr>
                <w:rFonts w:hint="eastAsia" w:ascii="宋体" w:hAnsi="宋体"/>
                <w:szCs w:val="21"/>
                <w:lang w:val="en-US" w:eastAsia="zh-CN"/>
              </w:rPr>
              <w:t>业绩证明材料</w:t>
            </w:r>
            <w:r>
              <w:rPr>
                <w:rFonts w:hint="eastAsia" w:ascii="宋体" w:hAnsi="宋体"/>
                <w:szCs w:val="21"/>
              </w:rPr>
              <w:t>中针对同一指标存在不一致时，以工程竣工验收合格的证明材料为准。</w:t>
            </w:r>
          </w:p>
          <w:p>
            <w:pPr>
              <w:autoSpaceDE w:val="0"/>
              <w:autoSpaceDN w:val="0"/>
              <w:adjustRightInd w:val="0"/>
              <w:snapToGrid w:val="0"/>
              <w:spacing w:line="400" w:lineRule="exact"/>
              <w:ind w:firstLine="415" w:firstLineChars="198"/>
              <w:rPr>
                <w:rFonts w:hint="eastAsia" w:ascii="宋体" w:hAnsi="宋体" w:eastAsia="宋体"/>
                <w:szCs w:val="21"/>
                <w:lang w:eastAsia="zh-CN"/>
              </w:rPr>
            </w:pPr>
            <w:r>
              <w:rPr>
                <w:rFonts w:hint="eastAsia" w:ascii="宋体" w:hAnsi="宋体"/>
                <w:szCs w:val="21"/>
              </w:rPr>
              <w:t>（2）投标人提供的业绩为联合体业绩的，其在该业绩中的工作分工应与本项目承担的工作一致</w:t>
            </w:r>
            <w:r>
              <w:rPr>
                <w:rFonts w:hint="eastAsia" w:ascii="宋体" w:hAnsi="宋体"/>
                <w:szCs w:val="21"/>
                <w:lang w:eastAsia="zh-CN"/>
              </w:rPr>
              <w:t>。</w:t>
            </w:r>
          </w:p>
          <w:p>
            <w:pPr>
              <w:adjustRightInd w:val="0"/>
              <w:snapToGrid w:val="0"/>
              <w:spacing w:line="400" w:lineRule="exact"/>
              <w:ind w:firstLine="421" w:firstLineChars="200"/>
              <w:rPr>
                <w:rFonts w:ascii="宋体" w:hAnsi="宋体"/>
                <w:b/>
                <w:szCs w:val="21"/>
              </w:rPr>
            </w:pPr>
            <w:r>
              <w:rPr>
                <w:rFonts w:ascii="宋体" w:hAnsi="宋体"/>
                <w:b/>
                <w:szCs w:val="21"/>
              </w:rPr>
              <w:t>4.投标截止日投标资格情况</w:t>
            </w:r>
          </w:p>
          <w:p>
            <w:pPr>
              <w:snapToGrid w:val="0"/>
              <w:spacing w:line="400" w:lineRule="exact"/>
              <w:ind w:firstLine="420" w:firstLineChars="200"/>
              <w:rPr>
                <w:rFonts w:ascii="宋体" w:hAnsi="宋体"/>
                <w:szCs w:val="21"/>
              </w:rPr>
            </w:pPr>
            <w:r>
              <w:rPr>
                <w:rFonts w:hint="eastAsia" w:ascii="宋体" w:hAnsi="宋体"/>
                <w:szCs w:val="21"/>
              </w:rPr>
              <w:t>投标人不得存在下列情形之一：</w:t>
            </w:r>
          </w:p>
          <w:p>
            <w:pPr>
              <w:snapToGrid w:val="0"/>
              <w:spacing w:line="400" w:lineRule="exact"/>
              <w:ind w:firstLine="420" w:firstLineChars="200"/>
              <w:jc w:val="left"/>
              <w:rPr>
                <w:rFonts w:ascii="宋体" w:hAnsi="宋体"/>
                <w:szCs w:val="21"/>
              </w:rPr>
            </w:pPr>
            <w:r>
              <w:rPr>
                <w:rFonts w:hint="eastAsia" w:ascii="宋体" w:hAnsi="宋体"/>
                <w:szCs w:val="21"/>
              </w:rPr>
              <w:t>（1）被人民法院列入失信被执行人名单且在被执行期内；</w:t>
            </w:r>
          </w:p>
          <w:p>
            <w:pPr>
              <w:snapToGrid w:val="0"/>
              <w:spacing w:line="400" w:lineRule="exact"/>
              <w:ind w:firstLine="420" w:firstLineChars="200"/>
              <w:rPr>
                <w:rFonts w:ascii="宋体" w:hAnsi="宋体"/>
                <w:szCs w:val="21"/>
              </w:rPr>
            </w:pPr>
            <w:r>
              <w:rPr>
                <w:rFonts w:hint="eastAsia" w:ascii="宋体" w:hAnsi="宋体"/>
                <w:szCs w:val="21"/>
              </w:rPr>
              <w:t>（2）被列入《重庆市工程建设领域招标投标信用管理暂行办法》规定的重点关注名单且记分达到12分且在记分有效期内；</w:t>
            </w:r>
          </w:p>
          <w:p>
            <w:pPr>
              <w:snapToGrid w:val="0"/>
              <w:spacing w:line="400" w:lineRule="exact"/>
              <w:ind w:firstLine="420" w:firstLineChars="200"/>
              <w:rPr>
                <w:rFonts w:ascii="宋体" w:hAnsi="宋体"/>
                <w:szCs w:val="21"/>
              </w:rPr>
            </w:pPr>
            <w:r>
              <w:rPr>
                <w:rFonts w:hint="eastAsia" w:ascii="宋体" w:hAnsi="宋体"/>
                <w:szCs w:val="21"/>
              </w:rPr>
              <w:t>（3）被列入《重庆市工程建设领域招标投标信用管理暂行办法》规定的重庆市工程建设领域招标投标失信惩戒对象名单（以下称黑名单）且在记分有效期内；</w:t>
            </w:r>
          </w:p>
          <w:p>
            <w:pPr>
              <w:snapToGrid w:val="0"/>
              <w:spacing w:line="400" w:lineRule="exact"/>
              <w:ind w:firstLine="420" w:firstLineChars="200"/>
              <w:rPr>
                <w:rFonts w:hint="eastAsia" w:ascii="宋体" w:hAnsi="宋体"/>
                <w:szCs w:val="21"/>
              </w:rPr>
            </w:pPr>
            <w:r>
              <w:rPr>
                <w:rFonts w:hint="eastAsia" w:ascii="宋体" w:hAnsi="宋体"/>
                <w:szCs w:val="21"/>
              </w:rPr>
              <w:t>（4）被国家、重庆市（含市或任意区县）有关行政部门处以暂停投标资格行政处罚</w:t>
            </w:r>
            <w:r>
              <w:rPr>
                <w:rFonts w:hint="eastAsia" w:ascii="宋体" w:hAnsi="宋体" w:eastAsia="宋体" w:cs="Times New Roman"/>
                <w:color w:val="auto"/>
                <w:sz w:val="21"/>
                <w:szCs w:val="21"/>
                <w:highlight w:val="none"/>
                <w:lang w:val="en-US" w:eastAsia="zh-CN"/>
              </w:rPr>
              <w:t>或暂停在渝承揽新业务</w:t>
            </w:r>
            <w:r>
              <w:rPr>
                <w:rFonts w:hint="eastAsia" w:ascii="宋体" w:hAnsi="宋体"/>
                <w:szCs w:val="21"/>
                <w:lang w:eastAsia="zh-CN"/>
              </w:rPr>
              <w:t>，</w:t>
            </w:r>
            <w:r>
              <w:rPr>
                <w:rFonts w:hint="eastAsia" w:ascii="宋体" w:hAnsi="宋体"/>
                <w:szCs w:val="21"/>
                <w:lang w:val="en-US" w:eastAsia="zh-CN"/>
              </w:rPr>
              <w:t>且在暂停期限内</w:t>
            </w:r>
            <w:r>
              <w:rPr>
                <w:rFonts w:hint="eastAsia" w:ascii="宋体" w:hAnsi="宋体"/>
                <w:szCs w:val="21"/>
              </w:rPr>
              <w:t>。</w:t>
            </w:r>
          </w:p>
          <w:p>
            <w:pPr>
              <w:spacing w:line="400" w:lineRule="exact"/>
              <w:ind w:firstLine="420" w:firstLineChars="200"/>
            </w:pPr>
            <w:r>
              <w:rPr>
                <w:rFonts w:hint="eastAsia"/>
              </w:rPr>
              <w:t>提供</w:t>
            </w:r>
            <w:r>
              <w:rPr>
                <w:rFonts w:hint="eastAsia"/>
                <w:lang w:eastAsia="zh-CN"/>
              </w:rPr>
              <w:t>：</w:t>
            </w:r>
            <w:r>
              <w:rPr>
                <w:rFonts w:hint="eastAsia"/>
              </w:rPr>
              <w:t>承诺</w:t>
            </w:r>
            <w:r>
              <w:rPr>
                <w:rFonts w:hint="eastAsia"/>
                <w:lang w:eastAsia="zh-CN"/>
              </w:rPr>
              <w:t>（</w:t>
            </w:r>
            <w:r>
              <w:rPr>
                <w:rFonts w:hint="eastAsia" w:asciiTheme="minorEastAsia" w:hAnsiTheme="minorEastAsia" w:eastAsiaTheme="minorEastAsia" w:cstheme="minorEastAsia"/>
                <w:color w:val="auto"/>
                <w:szCs w:val="21"/>
                <w:highlight w:val="none"/>
                <w:lang w:val="en-US" w:eastAsia="zh-CN"/>
              </w:rPr>
              <w:t>格式见第八章投标文件格式</w:t>
            </w:r>
            <w:r>
              <w:rPr>
                <w:rFonts w:hint="eastAsia"/>
                <w:lang w:eastAsia="zh-CN"/>
              </w:rPr>
              <w:t>）</w:t>
            </w:r>
            <w:r>
              <w:rPr>
                <w:rFonts w:hint="eastAsia"/>
              </w:rPr>
              <w:t>。</w:t>
            </w:r>
          </w:p>
          <w:p>
            <w:pPr>
              <w:snapToGrid w:val="0"/>
              <w:spacing w:line="400" w:lineRule="exact"/>
              <w:ind w:firstLine="420" w:firstLineChars="200"/>
              <w:rPr>
                <w:rFonts w:ascii="宋体" w:hAnsi="宋体"/>
                <w:b/>
                <w:szCs w:val="21"/>
              </w:rPr>
            </w:pPr>
            <w:r>
              <w:rPr>
                <w:rFonts w:hint="eastAsia"/>
              </w:rPr>
              <w:t>□联合体投标的，联合体</w:t>
            </w:r>
            <w:r>
              <w:rPr>
                <w:rFonts w:hint="eastAsia"/>
                <w:lang w:val="en-US" w:eastAsia="zh-CN"/>
              </w:rPr>
              <w:t>各方</w:t>
            </w:r>
            <w:r>
              <w:rPr>
                <w:rFonts w:hint="eastAsia"/>
              </w:rPr>
              <w:t>均不得存在以上情形之一，由联合体牵头人代表联合体各成员进行承诺。</w:t>
            </w:r>
          </w:p>
          <w:p>
            <w:pPr>
              <w:spacing w:line="400" w:lineRule="exact"/>
              <w:ind w:firstLine="420" w:firstLineChars="200"/>
            </w:pPr>
            <w:r>
              <w:rPr>
                <w:rFonts w:hint="eastAsia" w:ascii="宋体" w:hAnsi="宋体" w:eastAsia="宋体" w:cs="宋体"/>
              </w:rPr>
              <w:t>注：上述第（2）、（3）款信用状况在开标环节进行查询，以开标环节信用状况查询结果为准。若投标人针对上述第（2）、（3）款的承诺内容与查询结果不符，由评标委员会作否决投标处理。联合体投标的，任一成员单位出现被限制投标的情形，该联合体将被否决投标</w:t>
            </w:r>
            <w:r>
              <w:rPr>
                <w:rFonts w:hint="eastAsia"/>
              </w:rPr>
              <w:t>。</w:t>
            </w:r>
          </w:p>
          <w:p>
            <w:pPr>
              <w:snapToGrid w:val="0"/>
              <w:spacing w:line="400" w:lineRule="exact"/>
              <w:ind w:firstLine="421" w:firstLineChars="200"/>
              <w:rPr>
                <w:rFonts w:ascii="宋体" w:hAnsi="宋体"/>
                <w:b/>
                <w:szCs w:val="21"/>
              </w:rPr>
            </w:pPr>
            <w:r>
              <w:rPr>
                <w:rFonts w:ascii="宋体" w:hAnsi="宋体"/>
                <w:b/>
                <w:szCs w:val="21"/>
              </w:rPr>
              <w:t>5.项目经理资格要求</w:t>
            </w:r>
          </w:p>
          <w:p>
            <w:pPr>
              <w:snapToGrid w:val="0"/>
              <w:spacing w:line="400" w:lineRule="exact"/>
              <w:ind w:firstLine="420" w:firstLineChars="200"/>
              <w:rPr>
                <w:rFonts w:ascii="宋体" w:hAnsi="宋体"/>
                <w:szCs w:val="21"/>
              </w:rPr>
            </w:pPr>
            <w:r>
              <w:rPr>
                <w:rFonts w:hint="eastAsia" w:ascii="宋体" w:hAnsi="宋体"/>
                <w:szCs w:val="21"/>
              </w:rPr>
              <w:t>5.1</w:t>
            </w:r>
            <w:r>
              <w:rPr>
                <w:rFonts w:hint="eastAsia"/>
                <w:szCs w:val="21"/>
              </w:rPr>
              <w:t>投标人拟派的</w:t>
            </w:r>
            <w:r>
              <w:rPr>
                <w:szCs w:val="21"/>
              </w:rPr>
              <w:t>项目经理须</w:t>
            </w:r>
            <w:r>
              <w:rPr>
                <w:rFonts w:hint="eastAsia"/>
                <w:szCs w:val="21"/>
                <w:lang w:val="en-US" w:eastAsia="zh-CN"/>
              </w:rPr>
              <w:t>是投标单位人员，</w:t>
            </w:r>
            <w:r>
              <w:rPr>
                <w:szCs w:val="21"/>
              </w:rPr>
              <w:t>应</w:t>
            </w:r>
            <w:r>
              <w:rPr>
                <w:rFonts w:hint="eastAsia"/>
                <w:szCs w:val="21"/>
                <w:lang w:val="en-US" w:eastAsia="zh-CN"/>
              </w:rPr>
              <w:t>具备</w:t>
            </w:r>
            <w:r>
              <w:rPr>
                <w:rFonts w:hint="eastAsia"/>
                <w:szCs w:val="21"/>
                <w:u w:val="single"/>
              </w:rPr>
              <w:t xml:space="preserve">    </w:t>
            </w:r>
            <w:r>
              <w:rPr>
                <w:rFonts w:hint="eastAsia"/>
                <w:i/>
                <w:szCs w:val="21"/>
                <w:u w:val="single"/>
              </w:rPr>
              <w:t xml:space="preserve">  </w:t>
            </w:r>
            <w:r>
              <w:rPr>
                <w:rFonts w:hint="eastAsia"/>
                <w:szCs w:val="21"/>
              </w:rPr>
              <w:t>专业</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级及以上</w:t>
            </w:r>
            <w:r>
              <w:rPr>
                <w:szCs w:val="21"/>
              </w:rPr>
              <w:t>注册建造师执业</w:t>
            </w:r>
            <w:r>
              <w:rPr>
                <w:rFonts w:ascii="宋体" w:hAnsi="宋体"/>
                <w:szCs w:val="21"/>
              </w:rPr>
              <w:t>资格</w:t>
            </w:r>
            <w:r>
              <w:rPr>
                <w:rFonts w:hint="eastAsia" w:ascii="宋体" w:hAnsi="宋体"/>
                <w:szCs w:val="21"/>
                <w:lang w:val="en-US" w:eastAsia="zh-CN"/>
              </w:rPr>
              <w:t>并在投标单位注册</w:t>
            </w:r>
            <w:r>
              <w:rPr>
                <w:rFonts w:hint="eastAsia" w:ascii="宋体" w:hAnsi="宋体"/>
                <w:szCs w:val="21"/>
              </w:rPr>
              <w:t>。</w:t>
            </w:r>
            <w:r>
              <w:rPr>
                <w:rFonts w:hint="eastAsia"/>
                <w:i/>
                <w:szCs w:val="21"/>
                <w:u w:val="single"/>
              </w:rPr>
              <w:t>[提示：按</w:t>
            </w:r>
            <w:r>
              <w:rPr>
                <w:rFonts w:hint="eastAsia"/>
                <w:i/>
                <w:szCs w:val="21"/>
                <w:u w:val="single"/>
                <w:lang w:val="en-US" w:eastAsia="zh-CN"/>
              </w:rPr>
              <w:t>照住房城乡建设行业主管部门相关规定执行</w:t>
            </w:r>
            <w:r>
              <w:rPr>
                <w:rFonts w:hint="eastAsia"/>
                <w:i/>
                <w:szCs w:val="21"/>
                <w:u w:val="single"/>
              </w:rPr>
              <w:t>。]</w:t>
            </w:r>
          </w:p>
          <w:p>
            <w:pPr>
              <w:snapToGrid w:val="0"/>
              <w:spacing w:line="400" w:lineRule="exact"/>
              <w:ind w:firstLine="420" w:firstLineChars="200"/>
              <w:jc w:val="left"/>
              <w:rPr>
                <w:rFonts w:ascii="宋体" w:hAnsi="宋体"/>
                <w:szCs w:val="21"/>
              </w:rPr>
            </w:pPr>
            <w:r>
              <w:rPr>
                <w:rFonts w:hint="eastAsia" w:ascii="宋体" w:hAnsi="宋体"/>
                <w:szCs w:val="21"/>
              </w:rPr>
              <w:t>5.2项目经理要求：投标人须承诺拟派项目经理按注册建造师的相关规定到岗履职和未被禁止参与投标。</w:t>
            </w:r>
          </w:p>
          <w:p>
            <w:pPr>
              <w:snapToGrid w:val="0"/>
              <w:spacing w:line="400" w:lineRule="exact"/>
              <w:ind w:firstLine="420" w:firstLineChars="200"/>
              <w:rPr>
                <w:rFonts w:ascii="宋体" w:hAnsi="宋体"/>
                <w:color w:val="000000"/>
              </w:rPr>
            </w:pPr>
            <w:r>
              <w:rPr>
                <w:rFonts w:ascii="宋体" w:hAnsi="宋体"/>
                <w:color w:val="000000"/>
              </w:rPr>
              <w:t>5.2.1到岗履职要求：承诺拟派项目经理中标后在本项目任职，签订合同时拟派的项目经理必须与投标文件中的项目经理一致，并满足办理施工许可手续的相关要求。不能按承诺到岗</w:t>
            </w:r>
            <w:r>
              <w:rPr>
                <w:rFonts w:hint="eastAsia" w:ascii="宋体" w:hAnsi="宋体"/>
                <w:color w:val="000000"/>
                <w:lang w:val="en-US" w:eastAsia="zh-CN"/>
              </w:rPr>
              <w:t>履职</w:t>
            </w:r>
            <w:r>
              <w:rPr>
                <w:rFonts w:ascii="宋体" w:hAnsi="宋体"/>
                <w:color w:val="000000"/>
              </w:rPr>
              <w:t>的，</w:t>
            </w:r>
            <w:r>
              <w:rPr>
                <w:rFonts w:hint="eastAsia" w:ascii="宋体" w:hAnsi="宋体"/>
                <w:color w:val="000000"/>
                <w:lang w:val="en-US" w:eastAsia="zh-CN"/>
              </w:rPr>
              <w:t>招标人</w:t>
            </w:r>
            <w:r>
              <w:rPr>
                <w:rFonts w:ascii="宋体" w:hAnsi="宋体"/>
                <w:color w:val="000000"/>
              </w:rPr>
              <w:t>按合同相关条款</w:t>
            </w:r>
            <w:r>
              <w:rPr>
                <w:rFonts w:hint="eastAsia" w:ascii="宋体" w:hAnsi="宋体"/>
                <w:color w:val="000000"/>
                <w:lang w:val="en-US" w:eastAsia="zh-CN"/>
              </w:rPr>
              <w:t>要求投标人承担责任</w:t>
            </w:r>
            <w:r>
              <w:rPr>
                <w:rFonts w:ascii="宋体" w:hAnsi="宋体"/>
                <w:color w:val="000000"/>
              </w:rPr>
              <w:t>并上报行政主管部门，给招标人造成损失的，投标人依法承担赔偿责任</w:t>
            </w:r>
            <w:r>
              <w:rPr>
                <w:rFonts w:hint="eastAsia" w:ascii="宋体" w:hAnsi="宋体"/>
                <w:color w:val="000000"/>
                <w:lang w:val="en-US" w:eastAsia="zh-CN"/>
              </w:rPr>
              <w:t>或违约责任</w:t>
            </w:r>
            <w:r>
              <w:rPr>
                <w:rFonts w:ascii="宋体" w:hAnsi="宋体"/>
                <w:color w:val="000000"/>
              </w:rPr>
              <w:t>。拟派项目经理中标后不得随意更换。</w:t>
            </w:r>
          </w:p>
          <w:p>
            <w:pPr>
              <w:snapToGrid w:val="0"/>
              <w:spacing w:line="400" w:lineRule="exact"/>
              <w:ind w:firstLine="420" w:firstLineChars="200"/>
              <w:rPr>
                <w:rFonts w:ascii="宋体" w:hAnsi="宋体"/>
                <w:color w:val="000000"/>
              </w:rPr>
            </w:pPr>
            <w:r>
              <w:rPr>
                <w:rFonts w:ascii="宋体" w:hAnsi="宋体"/>
                <w:color w:val="000000"/>
              </w:rPr>
              <w:t>5.2.2未被禁止参与投标要求：承诺拟派项目经理未被</w:t>
            </w:r>
            <w:r>
              <w:rPr>
                <w:rFonts w:hint="eastAsia" w:ascii="宋体" w:hAnsi="宋体"/>
                <w:color w:val="000000"/>
                <w:lang w:val="en-US" w:eastAsia="zh-CN"/>
              </w:rPr>
              <w:t>有关</w:t>
            </w:r>
            <w:r>
              <w:rPr>
                <w:rFonts w:ascii="宋体" w:hAnsi="宋体"/>
                <w:color w:val="000000"/>
              </w:rPr>
              <w:t>部门暂停</w:t>
            </w:r>
            <w:r>
              <w:rPr>
                <w:rFonts w:hint="eastAsia" w:ascii="宋体" w:hAnsi="宋体"/>
                <w:color w:val="000000"/>
                <w:lang w:val="en-US" w:eastAsia="zh-CN"/>
              </w:rPr>
              <w:t>其</w:t>
            </w:r>
            <w:r>
              <w:rPr>
                <w:rFonts w:ascii="宋体" w:hAnsi="宋体"/>
                <w:color w:val="000000"/>
              </w:rPr>
              <w:t>在渝承揽</w:t>
            </w:r>
            <w:r>
              <w:rPr>
                <w:rFonts w:hint="eastAsia" w:ascii="宋体" w:hAnsi="宋体"/>
                <w:color w:val="000000"/>
                <w:lang w:val="en-US" w:eastAsia="zh-CN"/>
              </w:rPr>
              <w:t>的</w:t>
            </w:r>
            <w:r>
              <w:rPr>
                <w:rFonts w:ascii="宋体" w:hAnsi="宋体"/>
                <w:color w:val="000000"/>
              </w:rPr>
              <w:t>新业务</w:t>
            </w:r>
            <w:r>
              <w:rPr>
                <w:rFonts w:hint="eastAsia" w:ascii="宋体" w:hAnsi="宋体"/>
                <w:color w:val="000000"/>
                <w:lang w:val="en-US" w:eastAsia="zh-CN"/>
              </w:rPr>
              <w:t>中任职</w:t>
            </w:r>
            <w:r>
              <w:rPr>
                <w:rFonts w:ascii="宋体" w:hAnsi="宋体"/>
                <w:color w:val="000000"/>
              </w:rPr>
              <w:t>。若</w:t>
            </w:r>
            <w:r>
              <w:rPr>
                <w:rFonts w:hint="eastAsia" w:ascii="宋体" w:hAnsi="宋体"/>
                <w:color w:val="000000"/>
                <w:lang w:val="en-US" w:eastAsia="zh-CN"/>
              </w:rPr>
              <w:t>其</w:t>
            </w:r>
            <w:r>
              <w:rPr>
                <w:rFonts w:ascii="宋体" w:hAnsi="宋体"/>
                <w:color w:val="000000"/>
              </w:rPr>
              <w:t>被暂停在渝承揽</w:t>
            </w:r>
            <w:r>
              <w:rPr>
                <w:rFonts w:hint="eastAsia" w:ascii="宋体" w:hAnsi="宋体"/>
                <w:color w:val="000000"/>
                <w:lang w:val="en-US" w:eastAsia="zh-CN"/>
              </w:rPr>
              <w:t>的</w:t>
            </w:r>
            <w:r>
              <w:rPr>
                <w:rFonts w:ascii="宋体" w:hAnsi="宋体"/>
                <w:color w:val="000000"/>
              </w:rPr>
              <w:t>新业务</w:t>
            </w:r>
            <w:r>
              <w:rPr>
                <w:rFonts w:hint="eastAsia" w:ascii="宋体" w:hAnsi="宋体"/>
                <w:color w:val="000000"/>
                <w:lang w:val="en-US" w:eastAsia="zh-CN"/>
              </w:rPr>
              <w:t>中任职</w:t>
            </w:r>
            <w:r>
              <w:rPr>
                <w:rFonts w:ascii="宋体" w:hAnsi="宋体"/>
                <w:color w:val="000000"/>
              </w:rPr>
              <w:t>但仍参加投标，将被否决投标；已取得中标候选人资格或中标资格的，招标人有权取消</w:t>
            </w:r>
            <w:r>
              <w:rPr>
                <w:rFonts w:hint="eastAsia" w:ascii="宋体" w:hAnsi="宋体"/>
                <w:color w:val="000000"/>
                <w:lang w:val="en-US" w:eastAsia="zh-CN"/>
              </w:rPr>
              <w:t>投标人的</w:t>
            </w:r>
            <w:r>
              <w:rPr>
                <w:rFonts w:ascii="宋体" w:hAnsi="宋体"/>
                <w:color w:val="000000"/>
              </w:rPr>
              <w:t>中标候选人资格或中标资格；给招标人造成损失的，投标人依法承担赔偿责任</w:t>
            </w:r>
            <w:r>
              <w:rPr>
                <w:rFonts w:hint="eastAsia" w:ascii="宋体" w:hAnsi="宋体"/>
                <w:color w:val="000000"/>
                <w:lang w:val="en-US" w:eastAsia="zh-CN"/>
              </w:rPr>
              <w:t>或违约责任</w:t>
            </w:r>
            <w:r>
              <w:rPr>
                <w:rFonts w:ascii="宋体" w:hAnsi="宋体"/>
                <w:color w:val="000000"/>
              </w:rPr>
              <w:t>。</w:t>
            </w:r>
          </w:p>
          <w:p>
            <w:pPr>
              <w:snapToGrid w:val="0"/>
              <w:spacing w:line="400" w:lineRule="exact"/>
              <w:ind w:firstLine="420" w:firstLineChars="200"/>
              <w:rPr>
                <w:rFonts w:ascii="宋体" w:hAnsi="宋体"/>
                <w:color w:val="000000"/>
              </w:rPr>
            </w:pPr>
            <w:r>
              <w:rPr>
                <w:rFonts w:ascii="宋体" w:hAnsi="宋体"/>
                <w:color w:val="000000"/>
              </w:rPr>
              <w:t>5.2.3项目经理的其它要求：为保证</w:t>
            </w:r>
            <w:r>
              <w:rPr>
                <w:rFonts w:hint="eastAsia" w:ascii="宋体" w:hAnsi="宋体"/>
                <w:color w:val="000000"/>
              </w:rPr>
              <w:t>投标人</w:t>
            </w:r>
            <w:r>
              <w:rPr>
                <w:rFonts w:ascii="宋体" w:hAnsi="宋体"/>
                <w:color w:val="000000"/>
              </w:rPr>
              <w:t>拟派的项目经理到本项目到岗履职，</w:t>
            </w:r>
            <w:r>
              <w:rPr>
                <w:rFonts w:hint="eastAsia" w:ascii="宋体" w:hAnsi="宋体"/>
                <w:color w:val="000000"/>
              </w:rPr>
              <w:t>投标人</w:t>
            </w:r>
            <w:r>
              <w:rPr>
                <w:rFonts w:ascii="宋体" w:hAnsi="宋体"/>
                <w:color w:val="000000"/>
              </w:rPr>
              <w:t>还需承诺：</w:t>
            </w:r>
          </w:p>
          <w:p>
            <w:pPr>
              <w:snapToGrid w:val="0"/>
              <w:spacing w:line="400" w:lineRule="exact"/>
              <w:ind w:firstLine="420" w:firstLineChars="200"/>
              <w:rPr>
                <w:rFonts w:ascii="宋体" w:hAnsi="宋体"/>
                <w:color w:val="000000"/>
              </w:rPr>
            </w:pPr>
            <w:r>
              <w:rPr>
                <w:rFonts w:ascii="宋体" w:hAnsi="宋体"/>
                <w:color w:val="000000"/>
              </w:rPr>
              <w:t>若</w:t>
            </w:r>
            <w:r>
              <w:rPr>
                <w:rFonts w:hint="eastAsia" w:ascii="宋体" w:hAnsi="宋体"/>
                <w:color w:val="000000"/>
              </w:rPr>
              <w:t>投标人</w:t>
            </w:r>
            <w:r>
              <w:rPr>
                <w:rFonts w:ascii="宋体" w:hAnsi="宋体"/>
                <w:color w:val="000000"/>
              </w:rPr>
              <w:t>拟派本项目的项目经理有在其他项目任职的情形的（或有在其他项目中标或拟中标的情形的），应在收到中标通知书后</w:t>
            </w:r>
            <w:r>
              <w:rPr>
                <w:rFonts w:ascii="宋体" w:hAnsi="宋体"/>
                <w:color w:val="000000"/>
                <w:u w:val="single"/>
              </w:rPr>
              <w:t xml:space="preserve"> 14 </w:t>
            </w:r>
            <w:r>
              <w:rPr>
                <w:rFonts w:ascii="宋体" w:hAnsi="宋体"/>
                <w:color w:val="000000"/>
              </w:rPr>
              <w:t>日</w:t>
            </w:r>
            <w:r>
              <w:rPr>
                <w:rFonts w:hint="eastAsia" w:ascii="宋体" w:hAnsi="宋体"/>
                <w:i/>
                <w:iCs/>
                <w:color w:val="000000"/>
                <w:lang w:val="en-US" w:eastAsia="zh-CN"/>
              </w:rPr>
              <w:t>[提示：</w:t>
            </w:r>
            <w:r>
              <w:rPr>
                <w:rFonts w:ascii="宋体" w:hAnsi="宋体"/>
                <w:i/>
                <w:iCs/>
                <w:color w:val="000000"/>
              </w:rPr>
              <w:t>7～30日</w:t>
            </w:r>
            <w:r>
              <w:rPr>
                <w:rFonts w:hint="eastAsia" w:ascii="宋体" w:hAnsi="宋体"/>
                <w:i/>
                <w:iCs/>
                <w:color w:val="000000"/>
                <w:lang w:val="en-US" w:eastAsia="zh-CN"/>
              </w:rPr>
              <w:t>]</w:t>
            </w:r>
            <w:r>
              <w:rPr>
                <w:rFonts w:ascii="宋体" w:hAnsi="宋体"/>
                <w:color w:val="000000"/>
              </w:rPr>
              <w:t>内，办理完成放弃在其他项目任职的手续（或办理完成放弃在其他项目中标</w:t>
            </w:r>
            <w:r>
              <w:rPr>
                <w:rFonts w:hint="eastAsia" w:ascii="宋体" w:hAnsi="宋体"/>
                <w:color w:val="000000"/>
              </w:rPr>
              <w:t>或拟中标</w:t>
            </w:r>
            <w:r>
              <w:rPr>
                <w:rFonts w:ascii="宋体" w:hAnsi="宋体"/>
                <w:color w:val="000000"/>
              </w:rPr>
              <w:t>的手续），招标人在合同签订前有权对</w:t>
            </w:r>
            <w:r>
              <w:rPr>
                <w:rFonts w:hint="eastAsia" w:ascii="宋体" w:hAnsi="宋体"/>
                <w:color w:val="000000"/>
              </w:rPr>
              <w:t>投标人</w:t>
            </w:r>
            <w:r>
              <w:rPr>
                <w:rFonts w:ascii="宋体" w:hAnsi="宋体"/>
                <w:color w:val="000000"/>
              </w:rPr>
              <w:t>拟派项目经理在其他项目的任职情形（或在其他项目的中标或拟中标情形）进行核查，若与</w:t>
            </w:r>
            <w:r>
              <w:rPr>
                <w:rFonts w:hint="eastAsia" w:ascii="宋体" w:hAnsi="宋体"/>
                <w:color w:val="000000"/>
              </w:rPr>
              <w:t>投标人</w:t>
            </w:r>
            <w:r>
              <w:rPr>
                <w:rFonts w:ascii="宋体" w:hAnsi="宋体"/>
                <w:color w:val="000000"/>
              </w:rPr>
              <w:t>承诺内容不符或</w:t>
            </w:r>
            <w:r>
              <w:rPr>
                <w:rFonts w:hint="eastAsia" w:ascii="宋体" w:hAnsi="宋体"/>
                <w:color w:val="000000"/>
              </w:rPr>
              <w:t>投标人</w:t>
            </w:r>
            <w:r>
              <w:rPr>
                <w:rFonts w:ascii="宋体" w:hAnsi="宋体"/>
                <w:color w:val="000000"/>
              </w:rPr>
              <w:t>未在上述时间内按照招标文件规定递交放弃在其他项目任职、中标或拟中标的相关资料，视为</w:t>
            </w:r>
            <w:r>
              <w:rPr>
                <w:rFonts w:hint="eastAsia" w:ascii="宋体" w:hAnsi="宋体"/>
                <w:color w:val="000000"/>
              </w:rPr>
              <w:t>投标人</w:t>
            </w:r>
            <w:r>
              <w:rPr>
                <w:rFonts w:ascii="宋体" w:hAnsi="宋体"/>
                <w:color w:val="000000"/>
              </w:rPr>
              <w:t>放弃中标资格，招标人不退还其投标保证金。在合同签订时，</w:t>
            </w:r>
            <w:r>
              <w:rPr>
                <w:rFonts w:hint="eastAsia" w:ascii="宋体" w:hAnsi="宋体"/>
                <w:color w:val="000000"/>
              </w:rPr>
              <w:t>投标人</w:t>
            </w:r>
            <w:r>
              <w:rPr>
                <w:rFonts w:ascii="宋体" w:hAnsi="宋体"/>
                <w:color w:val="000000"/>
              </w:rPr>
              <w:t>需确保拟派项目经理符合《建筑施工企业项目经理资质管理办法》规定的项目经理任职条件，否则视为</w:t>
            </w:r>
            <w:r>
              <w:rPr>
                <w:rFonts w:hint="eastAsia" w:ascii="宋体" w:hAnsi="宋体"/>
                <w:color w:val="000000"/>
              </w:rPr>
              <w:t>投标人</w:t>
            </w:r>
            <w:r>
              <w:rPr>
                <w:rFonts w:ascii="宋体" w:hAnsi="宋体"/>
                <w:color w:val="000000"/>
              </w:rPr>
              <w:t>放弃中标资格，招标人不退还其投标保证金。</w:t>
            </w:r>
          </w:p>
          <w:p>
            <w:pPr>
              <w:snapToGrid w:val="0"/>
              <w:spacing w:line="400" w:lineRule="exact"/>
              <w:ind w:firstLine="420" w:firstLineChars="200"/>
              <w:rPr>
                <w:rFonts w:ascii="宋体" w:hAnsi="宋体"/>
                <w:color w:val="000000"/>
              </w:rPr>
            </w:pPr>
            <w:r>
              <w:rPr>
                <w:rFonts w:ascii="宋体" w:hAnsi="宋体"/>
                <w:color w:val="000000"/>
              </w:rPr>
              <w:t>放弃在其他项目任职的需提供</w:t>
            </w:r>
            <w:r>
              <w:rPr>
                <w:rFonts w:hint="eastAsia" w:ascii="宋体" w:hAnsi="宋体"/>
                <w:color w:val="000000"/>
              </w:rPr>
              <w:t>：</w:t>
            </w:r>
            <w:r>
              <w:rPr>
                <w:rFonts w:ascii="宋体" w:hAnsi="宋体"/>
                <w:color w:val="000000"/>
              </w:rPr>
              <w:t>①</w:t>
            </w:r>
            <w:r>
              <w:rPr>
                <w:rFonts w:hint="eastAsia" w:ascii="宋体" w:hAnsi="宋体"/>
                <w:color w:val="000000"/>
              </w:rPr>
              <w:t>经</w:t>
            </w:r>
            <w:r>
              <w:rPr>
                <w:rFonts w:ascii="宋体" w:hAnsi="宋体"/>
                <w:color w:val="000000"/>
              </w:rPr>
              <w:t>业主或建设单位同意任职变更的文件；②负责项目监管的行业行政主管部门出具同意任职变更的证明材料。</w:t>
            </w:r>
          </w:p>
          <w:p>
            <w:pPr>
              <w:snapToGrid w:val="0"/>
              <w:spacing w:line="400" w:lineRule="exact"/>
              <w:ind w:firstLine="420" w:firstLineChars="200"/>
              <w:rPr>
                <w:rFonts w:ascii="宋体" w:hAnsi="宋体"/>
                <w:color w:val="000000"/>
              </w:rPr>
            </w:pPr>
            <w:r>
              <w:rPr>
                <w:rFonts w:ascii="宋体" w:hAnsi="宋体"/>
                <w:color w:val="000000"/>
              </w:rPr>
              <w:t>放弃在其他项目中标或拟中标的需提供</w:t>
            </w:r>
            <w:r>
              <w:rPr>
                <w:rFonts w:hint="eastAsia" w:ascii="宋体" w:hAnsi="宋体"/>
                <w:color w:val="000000"/>
              </w:rPr>
              <w:t>：</w:t>
            </w:r>
            <w:r>
              <w:rPr>
                <w:rFonts w:ascii="宋体" w:hAnsi="宋体"/>
                <w:color w:val="000000"/>
              </w:rPr>
              <w:t>①经中标或拟中标的其他项目建设单位同意的放弃中标函</w:t>
            </w:r>
            <w:r>
              <w:rPr>
                <w:rFonts w:hint="eastAsia" w:ascii="宋体" w:hAnsi="宋体"/>
                <w:color w:val="000000"/>
              </w:rPr>
              <w:t>。</w:t>
            </w:r>
          </w:p>
          <w:p>
            <w:pPr>
              <w:snapToGrid w:val="0"/>
              <w:spacing w:line="400" w:lineRule="exact"/>
              <w:ind w:firstLine="420" w:firstLineChars="200"/>
              <w:rPr>
                <w:rFonts w:hint="eastAsia" w:ascii="宋体" w:hAnsi="宋体"/>
                <w:kern w:val="0"/>
                <w:szCs w:val="21"/>
              </w:rPr>
            </w:pPr>
            <w:r>
              <w:rPr>
                <w:rFonts w:hint="eastAsia" w:ascii="宋体" w:hAnsi="宋体"/>
                <w:kern w:val="0"/>
                <w:szCs w:val="21"/>
              </w:rPr>
              <w:t>提供</w:t>
            </w:r>
            <w:r>
              <w:rPr>
                <w:rFonts w:hint="eastAsia" w:ascii="宋体" w:hAnsi="宋体"/>
                <w:kern w:val="0"/>
                <w:szCs w:val="21"/>
                <w:lang w:eastAsia="zh-CN"/>
              </w:rPr>
              <w:t>：</w:t>
            </w:r>
            <w:r>
              <w:rPr>
                <w:rFonts w:hint="eastAsia" w:ascii="宋体" w:hAnsi="宋体"/>
                <w:kern w:val="0"/>
                <w:szCs w:val="21"/>
              </w:rPr>
              <w:t>拟派项目经理</w:t>
            </w:r>
            <w:r>
              <w:rPr>
                <w:rFonts w:hint="eastAsia" w:ascii="宋体" w:hAnsi="宋体"/>
                <w:kern w:val="0"/>
                <w:szCs w:val="21"/>
                <w:lang w:val="en-US" w:eastAsia="zh-CN"/>
              </w:rPr>
              <w:t>有效的</w:t>
            </w:r>
            <w:r>
              <w:rPr>
                <w:rFonts w:hint="eastAsia" w:ascii="宋体" w:hAnsi="宋体"/>
                <w:kern w:val="0"/>
                <w:szCs w:val="21"/>
              </w:rPr>
              <w:t>身份证、建造师注册证、投标人为其缴纳的养老保险证明材料</w:t>
            </w:r>
            <w:r>
              <w:rPr>
                <w:rFonts w:hint="eastAsia" w:ascii="宋体" w:hAnsi="宋体"/>
                <w:kern w:val="0"/>
                <w:szCs w:val="21"/>
                <w:lang w:eastAsia="zh-CN"/>
              </w:rPr>
              <w:t>、</w:t>
            </w:r>
            <w:r>
              <w:rPr>
                <w:rFonts w:hint="eastAsia" w:ascii="宋体" w:hAnsi="宋体"/>
                <w:kern w:val="0"/>
                <w:szCs w:val="21"/>
              </w:rPr>
              <w:t>承诺（格式见第八章投标文件格式）。</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□联合体投标的，由联合体牵头人提供。</w:t>
            </w:r>
          </w:p>
          <w:p>
            <w:pPr>
              <w:snapToGrid w:val="0"/>
              <w:spacing w:line="400" w:lineRule="exact"/>
              <w:ind w:firstLine="420" w:firstLineChars="200"/>
              <w:rPr>
                <w:rFonts w:hint="eastAsia" w:ascii="宋体" w:hAnsi="宋体"/>
                <w:kern w:val="0"/>
                <w:szCs w:val="21"/>
              </w:rPr>
            </w:pPr>
            <w:r>
              <w:rPr>
                <w:rFonts w:hint="eastAsia" w:ascii="宋体" w:hAnsi="宋体"/>
                <w:kern w:val="0"/>
                <w:szCs w:val="21"/>
              </w:rPr>
              <w:t>注：</w:t>
            </w:r>
            <w:r>
              <w:rPr>
                <w:rFonts w:hint="eastAsia" w:ascii="宋体" w:hAnsi="宋体"/>
                <w:kern w:val="0"/>
                <w:szCs w:val="21"/>
                <w:lang w:eastAsia="zh-CN"/>
              </w:rPr>
              <w:t>（</w:t>
            </w:r>
            <w:r>
              <w:rPr>
                <w:rFonts w:hint="eastAsia" w:ascii="宋体" w:hAnsi="宋体"/>
                <w:kern w:val="0"/>
                <w:szCs w:val="21"/>
                <w:lang w:val="en-US" w:eastAsia="zh-CN"/>
              </w:rPr>
              <w:t>1</w:t>
            </w:r>
            <w:r>
              <w:rPr>
                <w:rFonts w:hint="eastAsia" w:ascii="宋体" w:hAnsi="宋体"/>
                <w:kern w:val="0"/>
                <w:szCs w:val="21"/>
                <w:lang w:eastAsia="zh-CN"/>
              </w:rPr>
              <w:t>）</w:t>
            </w:r>
            <w:r>
              <w:rPr>
                <w:rFonts w:hint="eastAsia" w:ascii="宋体" w:hAnsi="宋体"/>
                <w:kern w:val="0"/>
                <w:szCs w:val="21"/>
              </w:rPr>
              <w:t>提供拟派的项目经理为一级建造师或重庆市二级建造师注册人员的，必须提供建造师电子注册证书，且该建造师电子注册证书须由建造师本人在个人签名处手写本人签名。</w:t>
            </w:r>
          </w:p>
          <w:p>
            <w:pPr>
              <w:snapToGrid w:val="0"/>
              <w:spacing w:line="400" w:lineRule="exact"/>
              <w:ind w:firstLine="420" w:firstLineChars="200"/>
              <w:rPr>
                <w:rFonts w:hint="eastAsia" w:ascii="宋体" w:hAnsi="宋体"/>
                <w:kern w:val="0"/>
                <w:szCs w:val="21"/>
              </w:rPr>
            </w:pPr>
            <w:r>
              <w:rPr>
                <w:rFonts w:hint="eastAsia" w:ascii="宋体" w:hAnsi="宋体"/>
                <w:kern w:val="0"/>
                <w:szCs w:val="21"/>
                <w:lang w:eastAsia="zh-CN"/>
              </w:rPr>
              <w:t>（</w:t>
            </w:r>
            <w:r>
              <w:rPr>
                <w:rFonts w:hint="eastAsia" w:ascii="宋体" w:hAnsi="宋体"/>
                <w:kern w:val="0"/>
                <w:szCs w:val="21"/>
                <w:lang w:val="en-US" w:eastAsia="zh-CN"/>
              </w:rPr>
              <w:t>2</w:t>
            </w:r>
            <w:r>
              <w:rPr>
                <w:rFonts w:hint="eastAsia" w:ascii="宋体" w:hAnsi="宋体"/>
                <w:kern w:val="0"/>
                <w:szCs w:val="21"/>
                <w:lang w:eastAsia="zh-CN"/>
              </w:rPr>
              <w:t>）</w:t>
            </w:r>
            <w:r>
              <w:rPr>
                <w:rFonts w:hint="eastAsia" w:ascii="宋体" w:hAnsi="宋体"/>
                <w:kern w:val="0"/>
                <w:szCs w:val="21"/>
              </w:rPr>
              <w:t>重庆市以外的省级住房城乡建设主管部门对二级建造师电子注册证书使用有明确规定的，从其规定。未规定使用电子注册证书的，可提供纸质证书扫描件。</w:t>
            </w:r>
          </w:p>
          <w:p>
            <w:pPr>
              <w:snapToGrid w:val="0"/>
              <w:spacing w:line="400" w:lineRule="exact"/>
              <w:ind w:firstLine="420" w:firstLineChars="200"/>
              <w:rPr>
                <w:rFonts w:ascii="宋体" w:hAnsi="宋体"/>
                <w:szCs w:val="21"/>
              </w:rPr>
            </w:pPr>
            <w:r>
              <w:rPr>
                <w:rFonts w:hint="eastAsia" w:ascii="宋体" w:hAnsi="宋体"/>
                <w:kern w:val="0"/>
                <w:szCs w:val="21"/>
                <w:lang w:eastAsia="zh-CN"/>
              </w:rPr>
              <w:t>（</w:t>
            </w:r>
            <w:r>
              <w:rPr>
                <w:rFonts w:hint="eastAsia" w:ascii="宋体" w:hAnsi="宋体"/>
                <w:kern w:val="0"/>
                <w:szCs w:val="21"/>
                <w:lang w:val="en-US" w:eastAsia="zh-CN"/>
              </w:rPr>
              <w:t>3</w:t>
            </w:r>
            <w:r>
              <w:rPr>
                <w:rFonts w:hint="eastAsia" w:ascii="宋体" w:hAnsi="宋体"/>
                <w:kern w:val="0"/>
                <w:szCs w:val="21"/>
                <w:lang w:eastAsia="zh-CN"/>
              </w:rPr>
              <w:t>）</w:t>
            </w:r>
            <w:r>
              <w:rPr>
                <w:rFonts w:hint="eastAsia" w:ascii="宋体" w:hAnsi="宋体"/>
                <w:kern w:val="0"/>
                <w:szCs w:val="21"/>
              </w:rPr>
              <w:t>建造师电子注册证书本人手写签名与签名图像笔迹是否一致不作为否决投标的情形。</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□5.3项目经理业绩</w:t>
            </w:r>
          </w:p>
          <w:p>
            <w:pPr>
              <w:autoSpaceDE w:val="0"/>
              <w:autoSpaceDN w:val="0"/>
              <w:adjustRightInd w:val="0"/>
              <w:snapToGrid w:val="0"/>
              <w:spacing w:line="400" w:lineRule="exact"/>
              <w:ind w:firstLine="420" w:firstLineChars="200"/>
              <w:rPr>
                <w:rFonts w:hint="eastAsia" w:ascii="宋体" w:hAnsi="宋体"/>
                <w:i/>
                <w:iCs/>
                <w:szCs w:val="21"/>
                <w:highlight w:val="none"/>
                <w:lang w:val="en-US" w:eastAsia="zh-CN"/>
              </w:rPr>
            </w:pPr>
            <w:r>
              <w:rPr>
                <w:rFonts w:hint="eastAsia" w:ascii="宋体" w:hAnsi="宋体"/>
                <w:i/>
                <w:iCs/>
                <w:szCs w:val="21"/>
                <w:highlight w:val="none"/>
                <w:lang w:val="en-US" w:eastAsia="zh-CN"/>
              </w:rPr>
              <w:t>[提示：设置的人员业绩指标不得超过本项目对应指标。]</w:t>
            </w:r>
          </w:p>
          <w:p>
            <w:pPr>
              <w:autoSpaceDE w:val="0"/>
              <w:autoSpaceDN w:val="0"/>
              <w:adjustRightInd w:val="0"/>
              <w:snapToGrid w:val="0"/>
              <w:spacing w:line="400" w:lineRule="exact"/>
              <w:ind w:firstLine="420" w:firstLineChars="200"/>
              <w:rPr>
                <w:rFonts w:ascii="宋体" w:hAnsi="宋体"/>
                <w:szCs w:val="21"/>
                <w:u w:val="single"/>
              </w:rPr>
            </w:pPr>
            <w:r>
              <w:rPr>
                <w:rFonts w:hint="eastAsia" w:asciiTheme="minorEastAsia" w:hAnsiTheme="minorEastAsia" w:eastAsiaTheme="minorEastAsia" w:cstheme="minorEastAsia"/>
                <w:kern w:val="0"/>
                <w:sz w:val="21"/>
                <w:szCs w:val="21"/>
                <w:lang w:eastAsia="zh-CN"/>
              </w:rPr>
              <w:t>投标人</w:t>
            </w:r>
            <w:r>
              <w:rPr>
                <w:rFonts w:hint="eastAsia" w:asciiTheme="minorEastAsia" w:hAnsiTheme="minorEastAsia" w:eastAsiaTheme="minorEastAsia" w:cstheme="minorEastAsia"/>
                <w:kern w:val="0"/>
                <w:sz w:val="21"/>
                <w:szCs w:val="21"/>
                <w:lang w:val="en-US" w:eastAsia="zh-CN"/>
              </w:rPr>
              <w:t>拟派的项目经理</w:t>
            </w:r>
            <w:r>
              <w:rPr>
                <w:rFonts w:hint="eastAsia" w:asciiTheme="minorEastAsia" w:hAnsiTheme="minorEastAsia" w:eastAsiaTheme="minorEastAsia" w:cstheme="minorEastAsia"/>
                <w:snapToGrid/>
                <w:sz w:val="21"/>
                <w:szCs w:val="21"/>
                <w:u w:val="none"/>
                <w:lang w:val="en-US" w:eastAsia="zh-CN"/>
              </w:rPr>
              <w:t>自</w:t>
            </w:r>
            <w:r>
              <w:rPr>
                <w:rFonts w:hint="eastAsia" w:asciiTheme="minorEastAsia" w:hAnsiTheme="minorEastAsia" w:eastAsiaTheme="minorEastAsia" w:cstheme="minorEastAsia"/>
                <w:snapToGrid/>
                <w:sz w:val="21"/>
                <w:szCs w:val="21"/>
                <w:u w:val="single"/>
                <w:lang w:eastAsia="zh-CN"/>
              </w:rPr>
              <w:t xml:space="preserve">    </w:t>
            </w:r>
            <w:r>
              <w:rPr>
                <w:rFonts w:hint="eastAsia" w:asciiTheme="minorEastAsia" w:hAnsiTheme="minorEastAsia" w:eastAsiaTheme="minorEastAsia" w:cstheme="minorEastAsia"/>
                <w:snapToGrid/>
                <w:sz w:val="21"/>
                <w:szCs w:val="21"/>
                <w:u w:val="none"/>
                <w:lang w:eastAsia="zh-CN"/>
              </w:rPr>
              <w:t>年1月1日起</w:t>
            </w:r>
            <w:r>
              <w:rPr>
                <w:rFonts w:hint="eastAsia" w:asciiTheme="minorEastAsia" w:hAnsiTheme="minorEastAsia" w:eastAsiaTheme="minorEastAsia" w:cstheme="minorEastAsia"/>
                <w:i/>
                <w:iCs/>
                <w:snapToGrid/>
                <w:sz w:val="21"/>
                <w:szCs w:val="21"/>
                <w:u w:val="none"/>
                <w:lang w:val="en-US" w:eastAsia="zh-CN"/>
              </w:rPr>
              <w:t>[</w:t>
            </w:r>
            <w:r>
              <w:rPr>
                <w:rFonts w:hint="eastAsia" w:asciiTheme="minorEastAsia" w:hAnsiTheme="minorEastAsia" w:eastAsiaTheme="minorEastAsia" w:cstheme="minorEastAsia"/>
                <w:i/>
                <w:iCs/>
                <w:snapToGrid/>
                <w:sz w:val="21"/>
                <w:szCs w:val="21"/>
                <w:u w:val="none"/>
                <w:lang w:eastAsia="zh-CN"/>
              </w:rPr>
              <w:t>提示：指投标截止日前3年</w:t>
            </w:r>
            <w:r>
              <w:rPr>
                <w:rFonts w:hint="eastAsia" w:asciiTheme="minorEastAsia" w:hAnsiTheme="minorEastAsia" w:eastAsiaTheme="minorEastAsia" w:cstheme="minorEastAsia"/>
                <w:i/>
                <w:iCs/>
                <w:snapToGrid/>
                <w:sz w:val="21"/>
                <w:szCs w:val="21"/>
                <w:u w:val="none"/>
                <w:lang w:val="en-US" w:eastAsia="zh-CN"/>
              </w:rPr>
              <w:t>及以上</w:t>
            </w:r>
            <w:r>
              <w:rPr>
                <w:rFonts w:hint="eastAsia" w:asciiTheme="minorEastAsia" w:hAnsiTheme="minorEastAsia" w:eastAsiaTheme="minorEastAsia" w:cstheme="minorEastAsia"/>
                <w:i/>
                <w:iCs/>
                <w:snapToGrid/>
                <w:sz w:val="21"/>
                <w:szCs w:val="21"/>
                <w:u w:val="none"/>
                <w:lang w:eastAsia="zh-CN"/>
              </w:rPr>
              <w:t>，不包含投标截止日当年</w:t>
            </w:r>
            <w:r>
              <w:rPr>
                <w:rFonts w:hint="eastAsia" w:asciiTheme="minorEastAsia" w:hAnsiTheme="minorEastAsia" w:eastAsiaTheme="minorEastAsia" w:cstheme="minorEastAsia"/>
                <w:i/>
                <w:iCs/>
                <w:snapToGrid/>
                <w:sz w:val="21"/>
                <w:szCs w:val="21"/>
                <w:u w:val="none"/>
                <w:lang w:val="en-US" w:eastAsia="zh-CN"/>
              </w:rPr>
              <w:t>]</w:t>
            </w:r>
            <w:r>
              <w:rPr>
                <w:rFonts w:hint="eastAsia" w:ascii="宋体" w:hAnsi="宋体" w:cs="宋体"/>
                <w:kern w:val="0"/>
                <w:szCs w:val="21"/>
              </w:rPr>
              <w:t>至</w:t>
            </w:r>
            <w:r>
              <w:rPr>
                <w:rFonts w:hint="eastAsia" w:ascii="宋体" w:hAnsi="宋体"/>
                <w:kern w:val="0"/>
                <w:szCs w:val="21"/>
              </w:rPr>
              <w:t>投标截止日止（以竣工时间为准）</w:t>
            </w:r>
            <w:r>
              <w:rPr>
                <w:rFonts w:hint="eastAsia" w:ascii="宋体" w:hAnsi="宋体"/>
                <w:kern w:val="0"/>
                <w:szCs w:val="21"/>
                <w:lang w:eastAsia="zh-CN"/>
              </w:rPr>
              <w:t>，</w:t>
            </w:r>
            <w:r>
              <w:rPr>
                <w:rFonts w:hint="eastAsia" w:ascii="宋体" w:hAnsi="宋体"/>
                <w:kern w:val="0"/>
                <w:szCs w:val="21"/>
                <w:highlight w:val="none"/>
                <w:lang w:val="en-US" w:eastAsia="zh-CN"/>
              </w:rPr>
              <w:t>完成</w:t>
            </w:r>
            <w:r>
              <w:rPr>
                <w:rFonts w:hint="eastAsia" w:ascii="宋体" w:hAnsi="宋体"/>
                <w:szCs w:val="21"/>
                <w:highlight w:val="none"/>
                <w:lang w:val="en-US" w:eastAsia="zh-CN"/>
              </w:rPr>
              <w:t>过</w:t>
            </w:r>
            <w:r>
              <w:rPr>
                <w:rFonts w:hint="eastAsia" w:ascii="宋体" w:hAnsi="宋体"/>
                <w:szCs w:val="21"/>
                <w:highlight w:val="none"/>
              </w:rPr>
              <w:t>1个</w:t>
            </w:r>
            <w:r>
              <w:rPr>
                <w:rFonts w:hint="eastAsia" w:ascii="宋体" w:hAnsi="宋体"/>
                <w:szCs w:val="21"/>
                <w:highlight w:val="none"/>
                <w:u w:val="single"/>
                <w:lang w:eastAsia="zh-CN"/>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none"/>
                <w:lang w:val="en-US" w:eastAsia="zh-CN"/>
              </w:rPr>
              <w:t>施工</w:t>
            </w:r>
            <w:r>
              <w:rPr>
                <w:rFonts w:hint="eastAsia" w:ascii="宋体" w:hAnsi="宋体"/>
                <w:szCs w:val="21"/>
                <w:highlight w:val="none"/>
              </w:rPr>
              <w:t>业绩</w:t>
            </w:r>
            <w:r>
              <w:rPr>
                <w:rFonts w:hint="eastAsia" w:ascii="宋体" w:hAnsi="宋体"/>
                <w:szCs w:val="21"/>
                <w:highlight w:val="none"/>
                <w:lang w:eastAsia="zh-CN"/>
              </w:rPr>
              <w:t>，</w:t>
            </w:r>
            <w:r>
              <w:rPr>
                <w:rFonts w:hint="eastAsia" w:ascii="宋体" w:hAnsi="宋体"/>
                <w:szCs w:val="21"/>
                <w:highlight w:val="none"/>
                <w:lang w:val="en-US" w:eastAsia="zh-CN"/>
              </w:rPr>
              <w:t>并在该业绩中担任</w:t>
            </w:r>
            <w:r>
              <w:rPr>
                <w:rFonts w:hint="eastAsia" w:ascii="宋体" w:hAnsi="宋体"/>
                <w:szCs w:val="21"/>
                <w:highlight w:val="none"/>
                <w:u w:val="single"/>
                <w:lang w:val="en-US" w:eastAsia="zh-CN"/>
              </w:rPr>
              <w:t>项目经理</w:t>
            </w:r>
            <w:r>
              <w:rPr>
                <w:rFonts w:hint="eastAsia" w:ascii="宋体" w:hAnsi="宋体"/>
                <w:szCs w:val="21"/>
                <w:highlight w:val="none"/>
              </w:rPr>
              <w:t>。</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提供</w:t>
            </w:r>
            <w:r>
              <w:rPr>
                <w:rFonts w:hint="eastAsia" w:ascii="宋体" w:hAnsi="宋体"/>
                <w:szCs w:val="21"/>
                <w:lang w:eastAsia="zh-CN"/>
              </w:rPr>
              <w:t>：</w:t>
            </w:r>
            <w:r>
              <w:rPr>
                <w:rFonts w:hint="eastAsia" w:ascii="宋体" w:hAnsi="宋体"/>
                <w:szCs w:val="21"/>
              </w:rPr>
              <w:t>该业绩的合同协议书和工程竣工验收合格的证明材料。若</w:t>
            </w:r>
            <w:r>
              <w:rPr>
                <w:rFonts w:hint="eastAsia" w:ascii="宋体" w:hAnsi="宋体"/>
                <w:szCs w:val="21"/>
                <w:lang w:val="en-US" w:eastAsia="zh-CN"/>
              </w:rPr>
              <w:t>提供的业绩证明材料不能</w:t>
            </w:r>
            <w:r>
              <w:rPr>
                <w:rFonts w:hint="eastAsia" w:ascii="宋体" w:hAnsi="宋体"/>
                <w:szCs w:val="21"/>
              </w:rPr>
              <w:t>体现</w:t>
            </w:r>
            <w:r>
              <w:rPr>
                <w:rFonts w:hint="eastAsia" w:ascii="宋体" w:hAnsi="宋体"/>
                <w:szCs w:val="21"/>
                <w:lang w:val="en-US" w:eastAsia="zh-CN"/>
              </w:rPr>
              <w:t>上述业绩指标</w:t>
            </w:r>
            <w:r>
              <w:rPr>
                <w:rFonts w:hint="eastAsia" w:ascii="宋体" w:hAnsi="宋体"/>
                <w:szCs w:val="21"/>
              </w:rPr>
              <w:t>的，应补充提供</w:t>
            </w:r>
            <w:r>
              <w:rPr>
                <w:rFonts w:hint="eastAsia" w:ascii="宋体" w:hAnsi="宋体"/>
                <w:szCs w:val="21"/>
                <w:highlight w:val="none"/>
                <w:u w:val="none"/>
                <w:lang w:eastAsia="zh-CN"/>
              </w:rPr>
              <w:t>业主证明</w:t>
            </w:r>
            <w:r>
              <w:rPr>
                <w:rFonts w:hint="eastAsia" w:ascii="宋体" w:hAnsi="宋体"/>
                <w:szCs w:val="21"/>
              </w:rPr>
              <w:t>。</w:t>
            </w:r>
          </w:p>
          <w:p>
            <w:pPr>
              <w:snapToGrid w:val="0"/>
              <w:spacing w:line="400" w:lineRule="exact"/>
              <w:ind w:firstLine="420" w:firstLineChars="200"/>
              <w:rPr>
                <w:rFonts w:ascii="宋体" w:hAnsi="宋体"/>
                <w:szCs w:val="21"/>
              </w:rPr>
            </w:pPr>
            <w:r>
              <w:rPr>
                <w:rFonts w:hint="eastAsia" w:ascii="宋体" w:hAnsi="宋体"/>
                <w:szCs w:val="21"/>
              </w:rPr>
              <w:t>□联合体投标的，由联合体牵头人提供。</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注：当上述</w:t>
            </w:r>
            <w:r>
              <w:rPr>
                <w:rFonts w:hint="eastAsia" w:ascii="宋体" w:hAnsi="宋体"/>
                <w:szCs w:val="21"/>
                <w:lang w:val="en-US" w:eastAsia="zh-CN"/>
              </w:rPr>
              <w:t>业绩证明材料</w:t>
            </w:r>
            <w:r>
              <w:rPr>
                <w:rFonts w:hint="eastAsia" w:ascii="宋体" w:hAnsi="宋体"/>
                <w:szCs w:val="21"/>
              </w:rPr>
              <w:t>中针对同一指标存在不一致时，以工程竣工验收合格的证明材料为准。</w:t>
            </w:r>
          </w:p>
          <w:p>
            <w:pPr>
              <w:autoSpaceDE w:val="0"/>
              <w:autoSpaceDN w:val="0"/>
              <w:adjustRightInd w:val="0"/>
              <w:snapToGrid w:val="0"/>
              <w:spacing w:line="400" w:lineRule="exact"/>
              <w:ind w:firstLine="421" w:firstLineChars="200"/>
              <w:rPr>
                <w:rFonts w:ascii="宋体" w:hAnsi="宋体"/>
                <w:b/>
                <w:szCs w:val="21"/>
              </w:rPr>
            </w:pPr>
            <w:r>
              <w:rPr>
                <w:rFonts w:ascii="宋体" w:hAnsi="宋体"/>
                <w:b/>
                <w:szCs w:val="21"/>
              </w:rPr>
              <w:t>6.其他要求</w:t>
            </w:r>
          </w:p>
          <w:p>
            <w:pPr>
              <w:snapToGrid w:val="0"/>
              <w:spacing w:line="400" w:lineRule="exact"/>
              <w:ind w:firstLine="420" w:firstLineChars="200"/>
              <w:rPr>
                <w:rFonts w:ascii="宋体" w:hAnsi="宋体"/>
                <w:szCs w:val="21"/>
              </w:rPr>
            </w:pPr>
            <w:r>
              <w:rPr>
                <w:rFonts w:ascii="宋体" w:hAnsi="宋体"/>
                <w:kern w:val="0"/>
                <w:szCs w:val="21"/>
              </w:rPr>
              <w:t>（1）</w:t>
            </w:r>
            <w:r>
              <w:rPr>
                <w:rFonts w:ascii="宋体" w:hAnsi="宋体"/>
                <w:szCs w:val="21"/>
              </w:rPr>
              <w:t>项目技术负责人：</w:t>
            </w:r>
          </w:p>
          <w:p>
            <w:pPr>
              <w:snapToGrid w:val="0"/>
              <w:spacing w:line="400" w:lineRule="exact"/>
              <w:ind w:firstLine="420" w:firstLineChars="200"/>
              <w:rPr>
                <w:rFonts w:hint="eastAsia" w:ascii="宋体" w:hAnsi="宋体" w:eastAsia="宋体"/>
                <w:szCs w:val="21"/>
                <w:lang w:eastAsia="zh-CN"/>
              </w:rPr>
            </w:pPr>
            <w:r>
              <w:rPr>
                <w:rFonts w:hint="eastAsia" w:ascii="宋体" w:hAnsi="宋体"/>
                <w:szCs w:val="21"/>
                <w:lang w:val="en-US" w:eastAsia="zh-CN"/>
              </w:rPr>
              <w:t>投标人拟派的技术负责人须是投标单位人员，具备</w:t>
            </w:r>
            <w:r>
              <w:rPr>
                <w:rFonts w:hint="eastAsia" w:ascii="宋体" w:hAnsi="宋体"/>
                <w:szCs w:val="21"/>
                <w:u w:val="single"/>
              </w:rPr>
              <w:t xml:space="preserve">工程类    </w:t>
            </w:r>
            <w:r>
              <w:rPr>
                <w:rFonts w:ascii="宋体" w:hAnsi="宋体"/>
                <w:szCs w:val="21"/>
                <w:u w:val="single"/>
              </w:rPr>
              <w:t>级及以上</w:t>
            </w:r>
            <w:r>
              <w:rPr>
                <w:rFonts w:ascii="宋体" w:hAnsi="宋体"/>
                <w:szCs w:val="21"/>
              </w:rPr>
              <w:t>职称</w:t>
            </w:r>
            <w:r>
              <w:rPr>
                <w:rFonts w:hint="eastAsia" w:ascii="宋体" w:hAnsi="宋体"/>
                <w:szCs w:val="21"/>
                <w:lang w:eastAsia="zh-CN"/>
              </w:rPr>
              <w:t>。</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提供</w:t>
            </w:r>
            <w:r>
              <w:rPr>
                <w:rFonts w:hint="eastAsia" w:ascii="宋体" w:hAnsi="宋体"/>
                <w:kern w:val="0"/>
                <w:szCs w:val="21"/>
                <w:lang w:eastAsia="zh-CN"/>
              </w:rPr>
              <w:t>：</w:t>
            </w:r>
            <w:r>
              <w:rPr>
                <w:rFonts w:hint="eastAsia" w:ascii="宋体" w:hAnsi="宋体"/>
                <w:kern w:val="0"/>
                <w:szCs w:val="21"/>
              </w:rPr>
              <w:t>拟派技术负责人</w:t>
            </w:r>
            <w:r>
              <w:rPr>
                <w:rFonts w:hint="eastAsia" w:ascii="宋体" w:hAnsi="宋体"/>
                <w:kern w:val="0"/>
                <w:szCs w:val="21"/>
                <w:lang w:val="en-US" w:eastAsia="zh-CN"/>
              </w:rPr>
              <w:t>有效的</w:t>
            </w:r>
            <w:r>
              <w:rPr>
                <w:rFonts w:hint="eastAsia" w:ascii="宋体" w:hAnsi="宋体"/>
                <w:kern w:val="0"/>
                <w:szCs w:val="21"/>
              </w:rPr>
              <w:t>身份证、职称证及投标人本单位为其缴纳的养老保险证明材料。</w:t>
            </w:r>
          </w:p>
          <w:p>
            <w:pPr>
              <w:autoSpaceDE w:val="0"/>
              <w:autoSpaceDN w:val="0"/>
              <w:adjustRightInd w:val="0"/>
              <w:snapToGrid w:val="0"/>
              <w:spacing w:line="400" w:lineRule="exact"/>
              <w:ind w:firstLine="420" w:firstLineChars="200"/>
              <w:rPr>
                <w:rFonts w:ascii="宋体" w:hAnsi="宋体"/>
                <w:spacing w:val="-24"/>
                <w:kern w:val="0"/>
                <w:szCs w:val="21"/>
              </w:rPr>
            </w:pPr>
            <w:r>
              <w:rPr>
                <w:rFonts w:hint="eastAsia" w:ascii="宋体" w:hAnsi="宋体"/>
                <w:kern w:val="0"/>
                <w:szCs w:val="21"/>
              </w:rPr>
              <w:t>□联合体投标的，由联合体牵头人提供。</w:t>
            </w:r>
          </w:p>
          <w:p>
            <w:pPr>
              <w:autoSpaceDE w:val="0"/>
              <w:autoSpaceDN w:val="0"/>
              <w:adjustRightInd w:val="0"/>
              <w:snapToGrid w:val="0"/>
              <w:spacing w:line="400" w:lineRule="exact"/>
              <w:ind w:firstLine="420" w:firstLineChars="200"/>
              <w:rPr>
                <w:rFonts w:ascii="宋体" w:hAnsi="宋体"/>
                <w:szCs w:val="21"/>
              </w:rPr>
            </w:pPr>
            <w:r>
              <w:rPr>
                <w:rFonts w:ascii="宋体" w:hAnsi="宋体"/>
                <w:kern w:val="0"/>
                <w:szCs w:val="21"/>
              </w:rPr>
              <w:t>（2）</w:t>
            </w:r>
            <w:r>
              <w:rPr>
                <w:rFonts w:ascii="宋体" w:hAnsi="宋体"/>
                <w:szCs w:val="21"/>
              </w:rPr>
              <w:t>主要管理人员：</w:t>
            </w:r>
          </w:p>
          <w:p>
            <w:pPr>
              <w:autoSpaceDE w:val="0"/>
              <w:autoSpaceDN w:val="0"/>
              <w:adjustRightInd w:val="0"/>
              <w:spacing w:line="400" w:lineRule="exact"/>
              <w:ind w:firstLine="420" w:firstLineChars="200"/>
              <w:rPr>
                <w:rFonts w:ascii="宋体" w:hAnsi="宋体"/>
                <w:szCs w:val="21"/>
              </w:rPr>
            </w:pPr>
            <w:r>
              <w:rPr>
                <w:rFonts w:hint="eastAsia" w:ascii="宋体" w:hAnsi="宋体"/>
                <w:szCs w:val="21"/>
              </w:rPr>
              <w:t>投标人</w:t>
            </w:r>
            <w:r>
              <w:rPr>
                <w:rFonts w:hint="eastAsia" w:ascii="宋体" w:hAnsi="宋体"/>
                <w:szCs w:val="21"/>
                <w:lang w:val="en-US" w:eastAsia="zh-CN"/>
              </w:rPr>
              <w:t>在</w:t>
            </w:r>
            <w:r>
              <w:rPr>
                <w:rFonts w:hint="eastAsia" w:ascii="宋体" w:hAnsi="宋体"/>
                <w:szCs w:val="21"/>
              </w:rPr>
              <w:t>中标后签订合同之前，须按照建设行政主管部门的要求组建施工项目部，配置项目管理班子，出具任命文件。任命文件应当明确施工项目部的职责、岗位设置、人员配备，并书面通知</w:t>
            </w:r>
            <w:r>
              <w:rPr>
                <w:rFonts w:hint="eastAsia" w:ascii="宋体" w:hAnsi="宋体"/>
                <w:szCs w:val="21"/>
                <w:lang w:val="en-US" w:eastAsia="zh-CN"/>
              </w:rPr>
              <w:t>招标人</w:t>
            </w:r>
            <w:r>
              <w:rPr>
                <w:rFonts w:hint="eastAsia" w:ascii="宋体" w:hAnsi="宋体"/>
                <w:szCs w:val="21"/>
              </w:rPr>
              <w:t>。相关岗位管理人员应持有建设行政主管部门要求的岗位证书，并提供投标人为其缴纳的养老保险证明材料。中标后不能满足该要求的，招标人可取消</w:t>
            </w:r>
            <w:r>
              <w:rPr>
                <w:rFonts w:hint="eastAsia" w:ascii="宋体" w:hAnsi="宋体"/>
                <w:szCs w:val="21"/>
                <w:lang w:val="en-US" w:eastAsia="zh-CN"/>
              </w:rPr>
              <w:t>投标人</w:t>
            </w:r>
            <w:r>
              <w:rPr>
                <w:rFonts w:hint="eastAsia" w:ascii="宋体" w:hAnsi="宋体"/>
                <w:szCs w:val="21"/>
              </w:rPr>
              <w:t>中标资格</w:t>
            </w:r>
            <w:r>
              <w:rPr>
                <w:rFonts w:hint="eastAsia" w:asciiTheme="minorEastAsia" w:hAnsiTheme="minorEastAsia" w:eastAsiaTheme="minorEastAsia" w:cstheme="minorEastAsia"/>
                <w:color w:val="auto"/>
                <w:szCs w:val="21"/>
                <w:highlight w:val="none"/>
              </w:rPr>
              <w:t>；签订合同后不满足该要求的，</w:t>
            </w:r>
            <w:r>
              <w:rPr>
                <w:rFonts w:hint="eastAsia" w:asciiTheme="minorEastAsia" w:hAnsiTheme="minorEastAsia" w:eastAsiaTheme="minorEastAsia" w:cstheme="minorEastAsia"/>
                <w:color w:val="auto"/>
                <w:szCs w:val="21"/>
                <w:highlight w:val="none"/>
                <w:lang w:val="en-US" w:eastAsia="zh-CN"/>
              </w:rPr>
              <w:t>招标人</w:t>
            </w:r>
            <w:r>
              <w:rPr>
                <w:rFonts w:hint="eastAsia" w:asciiTheme="minorEastAsia" w:hAnsiTheme="minorEastAsia" w:eastAsiaTheme="minorEastAsia" w:cstheme="minorEastAsia"/>
                <w:color w:val="auto"/>
                <w:szCs w:val="21"/>
                <w:highlight w:val="none"/>
              </w:rPr>
              <w:t>按合同相关条款</w:t>
            </w:r>
            <w:r>
              <w:rPr>
                <w:rFonts w:hint="eastAsia" w:asciiTheme="minorEastAsia" w:hAnsiTheme="minorEastAsia" w:eastAsiaTheme="minorEastAsia" w:cstheme="minorEastAsia"/>
                <w:color w:val="auto"/>
                <w:szCs w:val="21"/>
                <w:highlight w:val="none"/>
                <w:lang w:val="en-US" w:eastAsia="zh-CN"/>
              </w:rPr>
              <w:t>要求投标人承担责任</w:t>
            </w:r>
            <w:r>
              <w:rPr>
                <w:rFonts w:hint="eastAsia" w:asciiTheme="minorEastAsia" w:hAnsiTheme="minorEastAsia" w:eastAsiaTheme="minorEastAsia" w:cstheme="minorEastAsia"/>
                <w:color w:val="auto"/>
                <w:szCs w:val="21"/>
                <w:highlight w:val="none"/>
              </w:rPr>
              <w:t>并上报行政主管部门；</w:t>
            </w:r>
            <w:r>
              <w:rPr>
                <w:rFonts w:hint="eastAsia" w:ascii="宋体" w:hAnsi="宋体"/>
                <w:szCs w:val="21"/>
              </w:rPr>
              <w:t>给招标人造成损失的，投标人依法承担赔偿责任</w:t>
            </w:r>
            <w:r>
              <w:rPr>
                <w:rFonts w:hint="eastAsia" w:ascii="宋体" w:hAnsi="宋体"/>
                <w:szCs w:val="21"/>
                <w:lang w:val="en-US" w:eastAsia="zh-CN"/>
              </w:rPr>
              <w:t>或违约责任</w:t>
            </w:r>
            <w:r>
              <w:rPr>
                <w:rFonts w:hint="eastAsia" w:ascii="宋体" w:hAnsi="宋体"/>
                <w:szCs w:val="21"/>
              </w:rPr>
              <w:t>。</w:t>
            </w:r>
          </w:p>
          <w:p>
            <w:pPr>
              <w:autoSpaceDE w:val="0"/>
              <w:autoSpaceDN w:val="0"/>
              <w:adjustRightInd w:val="0"/>
              <w:spacing w:line="400" w:lineRule="exact"/>
              <w:ind w:firstLine="420" w:firstLineChars="200"/>
              <w:rPr>
                <w:rFonts w:hint="eastAsia" w:ascii="宋体" w:hAnsi="宋体"/>
                <w:szCs w:val="21"/>
              </w:rPr>
            </w:pPr>
            <w:r>
              <w:rPr>
                <w:rFonts w:hint="eastAsia" w:ascii="宋体" w:hAnsi="宋体"/>
                <w:szCs w:val="21"/>
              </w:rPr>
              <w:t>提供</w:t>
            </w:r>
            <w:r>
              <w:rPr>
                <w:rFonts w:hint="eastAsia" w:ascii="宋体" w:hAnsi="宋体"/>
                <w:szCs w:val="21"/>
                <w:lang w:eastAsia="zh-CN"/>
              </w:rPr>
              <w:t>：</w:t>
            </w:r>
            <w:r>
              <w:rPr>
                <w:rFonts w:hint="eastAsia" w:ascii="宋体" w:hAnsi="宋体"/>
                <w:szCs w:val="21"/>
              </w:rPr>
              <w:t>承诺（格式见第八章投标文件格式）。</w:t>
            </w:r>
          </w:p>
          <w:p>
            <w:pPr>
              <w:autoSpaceDE w:val="0"/>
              <w:autoSpaceDN w:val="0"/>
              <w:adjustRightInd w:val="0"/>
              <w:spacing w:line="400" w:lineRule="exact"/>
              <w:ind w:firstLine="420" w:firstLineChars="200"/>
              <w:rPr>
                <w:rFonts w:ascii="宋体" w:hAnsi="宋体"/>
                <w:szCs w:val="21"/>
              </w:rPr>
            </w:pPr>
            <w:r>
              <w:rPr>
                <w:rFonts w:hint="eastAsia" w:ascii="宋体" w:hAnsi="宋体"/>
                <w:kern w:val="0"/>
                <w:szCs w:val="21"/>
              </w:rPr>
              <w:t>□联合体投标的，</w:t>
            </w:r>
            <w:r>
              <w:rPr>
                <w:rFonts w:hint="eastAsia" w:asciiTheme="minorEastAsia" w:hAnsiTheme="minorEastAsia" w:eastAsiaTheme="minorEastAsia" w:cstheme="minorEastAsia"/>
                <w:color w:val="auto"/>
                <w:kern w:val="0"/>
                <w:szCs w:val="21"/>
                <w:highlight w:val="none"/>
              </w:rPr>
              <w:t>由联合体牵头人代表联合体各成员进行承诺</w:t>
            </w:r>
            <w:r>
              <w:rPr>
                <w:rFonts w:hint="eastAsia" w:ascii="宋体" w:hAnsi="宋体"/>
                <w:kern w:val="0"/>
                <w:szCs w:val="21"/>
                <w:lang w:val="en-US" w:eastAsia="zh-CN"/>
              </w:rPr>
              <w:t>。</w:t>
            </w:r>
          </w:p>
          <w:p>
            <w:pPr>
              <w:autoSpaceDE w:val="0"/>
              <w:autoSpaceDN w:val="0"/>
              <w:adjustRightInd w:val="0"/>
              <w:snapToGrid w:val="0"/>
              <w:spacing w:line="400" w:lineRule="exact"/>
              <w:ind w:firstLine="420" w:firstLineChars="200"/>
              <w:rPr>
                <w:rFonts w:ascii="宋体" w:hAnsi="宋体"/>
                <w:kern w:val="0"/>
                <w:szCs w:val="21"/>
              </w:rPr>
            </w:pPr>
            <w:r>
              <w:rPr>
                <w:rFonts w:ascii="宋体" w:hAnsi="宋体"/>
                <w:kern w:val="0"/>
                <w:szCs w:val="21"/>
              </w:rPr>
              <w:t>（</w:t>
            </w:r>
            <w:r>
              <w:rPr>
                <w:rFonts w:hint="eastAsia" w:ascii="宋体" w:hAnsi="宋体"/>
                <w:kern w:val="0"/>
                <w:szCs w:val="21"/>
              </w:rPr>
              <w:t>3</w:t>
            </w:r>
            <w:r>
              <w:rPr>
                <w:rFonts w:ascii="宋体" w:hAnsi="宋体"/>
                <w:kern w:val="0"/>
                <w:szCs w:val="21"/>
              </w:rPr>
              <w:t>）</w:t>
            </w:r>
            <w:r>
              <w:rPr>
                <w:rFonts w:hint="eastAsia" w:ascii="宋体" w:hAnsi="宋体"/>
                <w:kern w:val="0"/>
                <w:szCs w:val="21"/>
                <w:lang w:val="en-US" w:eastAsia="zh-CN"/>
              </w:rPr>
              <w:t>法定代表人或</w:t>
            </w:r>
            <w:r>
              <w:rPr>
                <w:rFonts w:ascii="宋体" w:hAnsi="宋体"/>
                <w:kern w:val="0"/>
                <w:szCs w:val="21"/>
              </w:rPr>
              <w:t>委托代理人</w:t>
            </w:r>
            <w:r>
              <w:rPr>
                <w:rFonts w:hint="eastAsia" w:ascii="宋体" w:hAnsi="宋体"/>
                <w:kern w:val="0"/>
                <w:szCs w:val="21"/>
              </w:rPr>
              <w:t>：</w:t>
            </w:r>
          </w:p>
          <w:p>
            <w:pPr>
              <w:autoSpaceDE w:val="0"/>
              <w:autoSpaceDN w:val="0"/>
              <w:adjustRightInd w:val="0"/>
              <w:snapToGrid w:val="0"/>
              <w:spacing w:line="400" w:lineRule="exact"/>
              <w:ind w:firstLine="420" w:firstLineChars="200"/>
              <w:rPr>
                <w:rFonts w:hint="eastAsia" w:ascii="宋体" w:hAnsi="宋体" w:eastAsia="宋体"/>
                <w:kern w:val="0"/>
                <w:szCs w:val="21"/>
                <w:highlight w:val="none"/>
                <w:lang w:val="en-US" w:eastAsia="zh-CN"/>
              </w:rPr>
            </w:pPr>
            <w:r>
              <w:rPr>
                <w:rFonts w:hint="eastAsia" w:ascii="宋体" w:hAnsi="宋体"/>
                <w:kern w:val="0"/>
                <w:szCs w:val="21"/>
                <w:highlight w:val="none"/>
                <w:lang w:val="en-US" w:eastAsia="zh-CN"/>
              </w:rPr>
              <w:t>法定代表人或</w:t>
            </w:r>
            <w:r>
              <w:rPr>
                <w:rFonts w:hint="eastAsia" w:ascii="宋体" w:hAnsi="宋体"/>
                <w:i w:val="0"/>
                <w:iCs/>
                <w:color w:val="auto"/>
                <w:kern w:val="0"/>
                <w:szCs w:val="21"/>
                <w:highlight w:val="none"/>
              </w:rPr>
              <w:t>委托代理人</w:t>
            </w:r>
            <w:r>
              <w:rPr>
                <w:rFonts w:hint="eastAsia" w:ascii="宋体" w:hAnsi="宋体"/>
                <w:i w:val="0"/>
                <w:iCs/>
                <w:color w:val="auto"/>
                <w:kern w:val="0"/>
                <w:szCs w:val="21"/>
                <w:highlight w:val="none"/>
                <w:lang w:val="en-US" w:eastAsia="zh-CN"/>
              </w:rPr>
              <w:t>代表</w:t>
            </w:r>
            <w:r>
              <w:rPr>
                <w:rFonts w:hint="eastAsia" w:ascii="宋体" w:hAnsi="宋体"/>
                <w:i w:val="0"/>
                <w:iCs/>
                <w:color w:val="auto"/>
                <w:kern w:val="0"/>
                <w:szCs w:val="21"/>
                <w:highlight w:val="none"/>
              </w:rPr>
              <w:t>投标人签署、澄清、说明、补正、递交、撤回、修改本项目投标文件、签订合同和处理有关事宜，其法律后果由投标人承担。</w:t>
            </w:r>
            <w:r>
              <w:rPr>
                <w:rFonts w:ascii="宋体" w:hAnsi="宋体"/>
                <w:kern w:val="0"/>
                <w:szCs w:val="21"/>
              </w:rPr>
              <w:t>委托代理人</w:t>
            </w:r>
            <w:r>
              <w:rPr>
                <w:rFonts w:hint="eastAsia" w:ascii="宋体" w:hAnsi="宋体"/>
                <w:kern w:val="0"/>
                <w:szCs w:val="21"/>
                <w:lang w:val="en-US" w:eastAsia="zh-CN"/>
              </w:rPr>
              <w:t>须是</w:t>
            </w:r>
            <w:r>
              <w:rPr>
                <w:rFonts w:ascii="宋体" w:hAnsi="宋体"/>
                <w:kern w:val="0"/>
                <w:szCs w:val="21"/>
              </w:rPr>
              <w:t>投标单位</w:t>
            </w:r>
            <w:r>
              <w:rPr>
                <w:rFonts w:hint="eastAsia" w:ascii="宋体" w:hAnsi="宋体"/>
                <w:kern w:val="0"/>
                <w:szCs w:val="21"/>
              </w:rPr>
              <w:t>人员</w:t>
            </w:r>
            <w:r>
              <w:rPr>
                <w:rFonts w:hint="eastAsia" w:ascii="宋体" w:hAnsi="宋体"/>
                <w:kern w:val="0"/>
                <w:szCs w:val="21"/>
                <w:lang w:eastAsia="zh-CN"/>
              </w:rPr>
              <w:t>。</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highlight w:val="none"/>
                <w:lang w:val="en-US" w:eastAsia="zh-CN"/>
              </w:rPr>
              <w:t>提供：</w:t>
            </w:r>
            <w:r>
              <w:rPr>
                <w:rFonts w:hint="eastAsia" w:ascii="宋体" w:hAnsi="宋体"/>
                <w:kern w:val="0"/>
                <w:szCs w:val="21"/>
                <w:highlight w:val="none"/>
              </w:rPr>
              <w:t>法定代表人身份证明</w:t>
            </w:r>
            <w:r>
              <w:rPr>
                <w:rFonts w:hint="eastAsia" w:ascii="宋体" w:hAnsi="宋体"/>
                <w:szCs w:val="21"/>
                <w:highlight w:val="none"/>
              </w:rPr>
              <w:t>（格式见第八章投标文件格式）</w:t>
            </w:r>
            <w:r>
              <w:rPr>
                <w:rFonts w:hint="eastAsia" w:ascii="宋体" w:hAnsi="宋体"/>
                <w:kern w:val="0"/>
                <w:szCs w:val="21"/>
                <w:highlight w:val="none"/>
                <w:lang w:eastAsia="zh-CN"/>
              </w:rPr>
              <w:t>。</w:t>
            </w:r>
            <w:r>
              <w:rPr>
                <w:rFonts w:hint="eastAsia" w:ascii="宋体" w:hAnsi="宋体"/>
                <w:kern w:val="0"/>
                <w:szCs w:val="21"/>
                <w:highlight w:val="none"/>
                <w:lang w:val="en-US" w:eastAsia="zh-CN"/>
              </w:rPr>
              <w:t>法定代表人委托代理人投标的，还须提供</w:t>
            </w:r>
            <w:r>
              <w:rPr>
                <w:rFonts w:hint="eastAsia" w:ascii="宋体" w:hAnsi="宋体"/>
                <w:kern w:val="0"/>
                <w:szCs w:val="21"/>
                <w:highlight w:val="none"/>
              </w:rPr>
              <w:t>授权委托书</w:t>
            </w:r>
            <w:r>
              <w:rPr>
                <w:rFonts w:hint="eastAsia" w:ascii="宋体" w:hAnsi="宋体"/>
                <w:szCs w:val="21"/>
                <w:highlight w:val="none"/>
              </w:rPr>
              <w:t>（格式见第八章投标文件格式）</w:t>
            </w:r>
            <w:r>
              <w:rPr>
                <w:rFonts w:hint="eastAsia" w:ascii="宋体" w:hAnsi="宋体"/>
                <w:kern w:val="0"/>
                <w:szCs w:val="21"/>
                <w:highlight w:val="none"/>
                <w:lang w:eastAsia="zh-CN"/>
              </w:rPr>
              <w:t>、</w:t>
            </w:r>
            <w:r>
              <w:rPr>
                <w:rFonts w:hint="eastAsia" w:ascii="宋体" w:hAnsi="宋体"/>
                <w:kern w:val="0"/>
                <w:szCs w:val="21"/>
                <w:highlight w:val="none"/>
              </w:rPr>
              <w:t>投标人为该</w:t>
            </w:r>
            <w:r>
              <w:rPr>
                <w:rFonts w:ascii="宋体" w:hAnsi="宋体"/>
                <w:kern w:val="0"/>
                <w:szCs w:val="21"/>
                <w:highlight w:val="none"/>
              </w:rPr>
              <w:t>委托代理人</w:t>
            </w:r>
            <w:r>
              <w:rPr>
                <w:rFonts w:hint="eastAsia" w:ascii="宋体" w:hAnsi="宋体"/>
                <w:kern w:val="0"/>
                <w:szCs w:val="21"/>
                <w:highlight w:val="none"/>
              </w:rPr>
              <w:t>缴纳的养老保险证明</w:t>
            </w:r>
            <w:r>
              <w:rPr>
                <w:rFonts w:hint="eastAsia" w:ascii="宋体" w:hAnsi="宋体"/>
                <w:kern w:val="0"/>
                <w:szCs w:val="21"/>
              </w:rPr>
              <w:t>。</w:t>
            </w:r>
          </w:p>
          <w:p>
            <w:pPr>
              <w:autoSpaceDE w:val="0"/>
              <w:autoSpaceDN w:val="0"/>
              <w:adjustRightInd w:val="0"/>
              <w:snapToGrid w:val="0"/>
              <w:spacing w:line="400" w:lineRule="exact"/>
              <w:ind w:firstLine="420" w:firstLineChars="200"/>
              <w:rPr>
                <w:rFonts w:hint="eastAsia" w:ascii="宋体" w:hAnsi="宋体"/>
                <w:kern w:val="0"/>
                <w:szCs w:val="21"/>
              </w:rPr>
            </w:pPr>
            <w:r>
              <w:rPr>
                <w:rFonts w:hint="eastAsia" w:ascii="宋体" w:hAnsi="宋体"/>
              </w:rPr>
              <w:t>□</w:t>
            </w:r>
            <w:r>
              <w:rPr>
                <w:rFonts w:hint="eastAsia" w:ascii="宋体" w:hAnsi="宋体"/>
                <w:kern w:val="0"/>
                <w:szCs w:val="21"/>
              </w:rPr>
              <w:t>联合体投标的，由联合体牵头人委派</w:t>
            </w:r>
            <w:r>
              <w:rPr>
                <w:rFonts w:hint="eastAsia" w:ascii="宋体" w:hAnsi="宋体"/>
                <w:kern w:val="0"/>
                <w:szCs w:val="21"/>
                <w:lang w:val="en-US" w:eastAsia="zh-CN"/>
              </w:rPr>
              <w:t>本单位人员作为委托</w:t>
            </w:r>
            <w:r>
              <w:rPr>
                <w:rFonts w:hint="eastAsia" w:ascii="宋体" w:hAnsi="宋体"/>
                <w:kern w:val="0"/>
                <w:szCs w:val="21"/>
              </w:rPr>
              <w:t>代理人。</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w:t>
            </w:r>
            <w:r>
              <w:rPr>
                <w:rFonts w:hint="eastAsia" w:ascii="宋体" w:hAnsi="宋体"/>
                <w:snapToGrid w:val="0"/>
                <w:kern w:val="0"/>
                <w:szCs w:val="21"/>
                <w:highlight w:val="none"/>
                <w:lang w:val="en-US" w:eastAsia="zh-CN"/>
              </w:rPr>
              <w:t>4</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专门面向中小企业预留的实施方式：</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2025年、2026年执行不低于40%的比例，之后年度执行不低于30%的比例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highlight w:val="none"/>
                <w:lang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highlight w:val="none"/>
              </w:rPr>
              <w:t>本项目整体面向中小企业</w:t>
            </w:r>
            <w:r>
              <w:rPr>
                <w:rFonts w:hint="eastAsia" w:ascii="宋体" w:hAnsi="宋体"/>
                <w:snapToGrid w:val="0"/>
                <w:kern w:val="0"/>
                <w:szCs w:val="21"/>
                <w:highlight w:val="non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highlight w:val="none"/>
                <w:lang w:eastAsia="zh-CN"/>
              </w:rPr>
            </w:pPr>
            <w:r>
              <w:rPr>
                <w:rFonts w:hint="eastAsia" w:ascii="宋体" w:hAnsi="宋体"/>
                <w:snapToGrid w:val="0"/>
                <w:kern w:val="0"/>
                <w:szCs w:val="21"/>
                <w:highlight w:val="none"/>
                <w:lang w:val="en-US" w:eastAsia="zh-CN"/>
              </w:rPr>
              <w:t>提供：</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中小企业声明函</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w:t>
            </w:r>
            <w:r>
              <w:rPr>
                <w:rFonts w:hint="eastAsia" w:ascii="宋体" w:hAnsi="宋体"/>
                <w:szCs w:val="21"/>
                <w:highlight w:val="none"/>
              </w:rPr>
              <w:t>格式见第八章投标文件格式）</w:t>
            </w:r>
            <w:r>
              <w:rPr>
                <w:rFonts w:hint="eastAsia" w:ascii="宋体" w:hAnsi="宋体"/>
                <w:snapToGrid w:val="0"/>
                <w:kern w:val="0"/>
                <w:szCs w:val="21"/>
                <w:highlight w:val="non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lang w:eastAsia="zh-CN"/>
              </w:rPr>
              <w:t>□联合体投标的，由联合体</w:t>
            </w:r>
            <w:r>
              <w:rPr>
                <w:rFonts w:hint="eastAsia" w:ascii="宋体" w:hAnsi="宋体"/>
                <w:snapToGrid w:val="0"/>
                <w:kern w:val="0"/>
                <w:szCs w:val="21"/>
                <w:highlight w:val="none"/>
                <w:lang w:val="en-US" w:eastAsia="zh-CN"/>
              </w:rPr>
              <w:t>各成员分别</w:t>
            </w:r>
            <w:r>
              <w:rPr>
                <w:rFonts w:hint="eastAsia" w:ascii="宋体" w:hAnsi="宋体"/>
                <w:snapToGrid w:val="0"/>
                <w:kern w:val="0"/>
                <w:szCs w:val="21"/>
                <w:highlight w:val="none"/>
                <w:lang w:eastAsia="zh-CN"/>
              </w:rPr>
              <w:t>提供。</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highlight w:val="none"/>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highlight w:val="none"/>
              </w:rPr>
            </w:pPr>
            <w:r>
              <w:rPr>
                <w:rFonts w:hint="eastAsia" w:ascii="宋体" w:hAnsi="宋体"/>
                <w:snapToGrid w:val="0"/>
                <w:kern w:val="0"/>
                <w:szCs w:val="21"/>
                <w:highlight w:val="none"/>
                <w:lang w:val="en-US" w:eastAsia="zh-CN"/>
              </w:rPr>
              <w:t>提供：</w:t>
            </w:r>
            <w:r>
              <w:rPr>
                <w:rFonts w:hint="eastAsia" w:ascii="宋体" w:hAnsi="宋体"/>
                <w:snapToGrid w:val="0"/>
                <w:kern w:val="0"/>
                <w:szCs w:val="21"/>
                <w:highlight w:val="none"/>
              </w:rPr>
              <w:t>联合体中的中小企业</w:t>
            </w:r>
            <w:r>
              <w:rPr>
                <w:rFonts w:hint="eastAsia" w:ascii="宋体" w:hAnsi="宋体"/>
                <w:snapToGrid w:val="0"/>
                <w:kern w:val="0"/>
                <w:szCs w:val="21"/>
                <w:highlight w:val="none"/>
                <w:lang w:val="en-US" w:eastAsia="zh-CN"/>
              </w:rPr>
              <w:t>出具的</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中小企业声明函</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w:t>
            </w:r>
            <w:r>
              <w:rPr>
                <w:rFonts w:hint="eastAsia" w:ascii="宋体" w:hAnsi="宋体"/>
                <w:snapToGrid w:val="0"/>
                <w:kern w:val="0"/>
                <w:szCs w:val="21"/>
                <w:highlight w:val="none"/>
                <w:lang w:val="en-US" w:eastAsia="zh-CN"/>
              </w:rPr>
              <w:t>以及联合体牵头人出具的</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中小企业承担合同份额承诺函</w:t>
            </w:r>
            <w:r>
              <w:rPr>
                <w:rFonts w:hint="eastAsia" w:ascii="宋体" w:hAnsi="宋体"/>
                <w:snapToGrid w:val="0"/>
                <w:kern w:val="0"/>
                <w:szCs w:val="21"/>
                <w:highlight w:val="none"/>
                <w:lang w:eastAsia="zh-CN"/>
              </w:rPr>
              <w:t>》（</w:t>
            </w:r>
            <w:r>
              <w:rPr>
                <w:rFonts w:hint="eastAsia" w:ascii="宋体" w:hAnsi="宋体"/>
                <w:szCs w:val="21"/>
                <w:highlight w:val="none"/>
              </w:rPr>
              <w:t>格式见第八章投标文件格式）</w:t>
            </w:r>
            <w:r>
              <w:rPr>
                <w:rFonts w:hint="eastAsia" w:ascii="宋体" w:hAnsi="宋体"/>
                <w:snapToGrid w:val="0"/>
                <w:kern w:val="0"/>
                <w:szCs w:val="21"/>
                <w:highlight w:val="none"/>
              </w:rPr>
              <w:t>。</w:t>
            </w:r>
          </w:p>
          <w:p>
            <w:pPr>
              <w:autoSpaceDE w:val="0"/>
              <w:autoSpaceDN w:val="0"/>
              <w:adjustRightInd w:val="0"/>
              <w:snapToGrid w:val="0"/>
              <w:spacing w:line="400" w:lineRule="exact"/>
              <w:ind w:firstLine="420" w:firstLineChars="200"/>
              <w:rPr>
                <w:rFonts w:hint="eastAsia" w:ascii="宋体" w:hAnsi="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autoSpaceDE w:val="0"/>
              <w:autoSpaceDN w:val="0"/>
              <w:adjustRightInd w:val="0"/>
              <w:snapToGrid w:val="0"/>
              <w:spacing w:line="400" w:lineRule="exact"/>
              <w:ind w:firstLine="420" w:firstLineChars="200"/>
              <w:rPr>
                <w:rFonts w:hint="eastAsia" w:ascii="宋体" w:hAnsi="宋体"/>
                <w:snapToGrid w:val="0"/>
                <w:kern w:val="0"/>
                <w:szCs w:val="21"/>
                <w:highlight w:val="none"/>
                <w:lang w:val="en-US" w:eastAsia="zh-CN"/>
              </w:rPr>
            </w:pPr>
            <w:r>
              <w:rPr>
                <w:rFonts w:hint="eastAsia" w:ascii="宋体" w:hAnsi="宋体"/>
                <w:snapToGrid w:val="0"/>
                <w:kern w:val="0"/>
                <w:szCs w:val="21"/>
                <w:highlight w:val="none"/>
                <w:lang w:val="en-US" w:eastAsia="zh-CN"/>
              </w:rPr>
              <w:t>投标人不是中小企业的，应提供《分包承诺函》；投标人是中小企业的，应提供《中小企业声明函》</w:t>
            </w:r>
            <w:r>
              <w:rPr>
                <w:rFonts w:hint="eastAsia" w:ascii="宋体" w:hAnsi="宋体"/>
                <w:snapToGrid w:val="0"/>
                <w:kern w:val="0"/>
                <w:szCs w:val="21"/>
                <w:highlight w:val="none"/>
                <w:lang w:eastAsia="zh-CN"/>
              </w:rPr>
              <w:t>（</w:t>
            </w:r>
            <w:r>
              <w:rPr>
                <w:rFonts w:hint="eastAsia" w:ascii="宋体" w:hAnsi="宋体"/>
                <w:szCs w:val="21"/>
                <w:highlight w:val="none"/>
              </w:rPr>
              <w:t>格式见第八章投标文件格式）</w:t>
            </w:r>
            <w:r>
              <w:rPr>
                <w:rFonts w:hint="eastAsia" w:ascii="宋体" w:hAnsi="宋体"/>
                <w:snapToGrid w:val="0"/>
                <w:kern w:val="0"/>
                <w:szCs w:val="21"/>
                <w:highlight w:val="none"/>
                <w:lang w:val="en-US" w:eastAsia="zh-CN"/>
              </w:rPr>
              <w:t>。</w:t>
            </w:r>
          </w:p>
          <w:p>
            <w:pPr>
              <w:autoSpaceDE w:val="0"/>
              <w:autoSpaceDN w:val="0"/>
              <w:adjustRightInd w:val="0"/>
              <w:snapToGrid w:val="0"/>
              <w:spacing w:line="400" w:lineRule="exact"/>
              <w:ind w:firstLine="420" w:firstLineChars="200"/>
              <w:rPr>
                <w:rFonts w:hint="eastAsia" w:ascii="宋体" w:hAnsi="宋体"/>
                <w:snapToGrid w:val="0"/>
                <w:kern w:val="0"/>
                <w:szCs w:val="21"/>
                <w:highlight w:val="none"/>
                <w:lang w:val="en-US" w:eastAsia="zh-CN"/>
              </w:rPr>
            </w:pPr>
            <w:r>
              <w:rPr>
                <w:rFonts w:hint="eastAsia" w:ascii="宋体" w:hAnsi="宋体"/>
                <w:snapToGrid w:val="0"/>
                <w:kern w:val="0"/>
                <w:szCs w:val="21"/>
                <w:highlight w:val="none"/>
                <w:lang w:val="en-US" w:eastAsia="zh-CN"/>
              </w:rPr>
              <w:t>□联合体投标的，《分包承诺函》由联合体牵头人提供，《中小企业声明函》由联合体成员中的中小企业提供。</w:t>
            </w:r>
          </w:p>
          <w:p>
            <w:pPr>
              <w:autoSpaceDE w:val="0"/>
              <w:autoSpaceDN w:val="0"/>
              <w:adjustRightInd w:val="0"/>
              <w:snapToGrid w:val="0"/>
              <w:spacing w:line="400" w:lineRule="exact"/>
              <w:ind w:firstLine="420" w:firstLineChars="200"/>
              <w:rPr>
                <w:rFonts w:hint="eastAsia" w:ascii="宋体" w:hAnsi="宋体"/>
                <w:kern w:val="0"/>
                <w:szCs w:val="21"/>
                <w:lang w:val="en-US" w:eastAsia="zh-CN"/>
              </w:rPr>
            </w:pPr>
            <w:r>
              <w:rPr>
                <w:rFonts w:hint="eastAsia" w:ascii="宋体" w:hAnsi="宋体"/>
                <w:kern w:val="0"/>
                <w:szCs w:val="21"/>
                <w:lang w:eastAsia="zh-CN"/>
              </w:rPr>
              <w:t>（</w:t>
            </w:r>
            <w:r>
              <w:rPr>
                <w:rFonts w:hint="eastAsia" w:ascii="宋体" w:hAnsi="宋体"/>
                <w:kern w:val="0"/>
                <w:szCs w:val="21"/>
                <w:lang w:val="en-US" w:eastAsia="zh-CN"/>
              </w:rPr>
              <w:t>5</w:t>
            </w:r>
            <w:r>
              <w:rPr>
                <w:rFonts w:hint="eastAsia" w:ascii="宋体" w:hAnsi="宋体"/>
                <w:kern w:val="0"/>
                <w:szCs w:val="21"/>
                <w:lang w:eastAsia="zh-CN"/>
              </w:rPr>
              <w:t>）</w:t>
            </w:r>
            <w:r>
              <w:rPr>
                <w:rFonts w:hint="eastAsia" w:ascii="宋体" w:hAnsi="宋体"/>
                <w:kern w:val="0"/>
                <w:szCs w:val="21"/>
                <w:lang w:val="en-US" w:eastAsia="zh-CN"/>
              </w:rPr>
              <w:t>投标文件真实性：</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投标文件中的所有内容</w:t>
            </w:r>
            <w:r>
              <w:rPr>
                <w:rFonts w:hint="eastAsia" w:asciiTheme="minorEastAsia" w:hAnsiTheme="minorEastAsia" w:eastAsiaTheme="minorEastAsia" w:cstheme="minorEastAsia"/>
                <w:color w:val="auto"/>
                <w:kern w:val="0"/>
                <w:szCs w:val="21"/>
                <w:highlight w:val="none"/>
                <w:lang w:val="en-US" w:eastAsia="zh-CN"/>
              </w:rPr>
              <w:t>须</w:t>
            </w:r>
            <w:r>
              <w:rPr>
                <w:rFonts w:hint="eastAsia" w:asciiTheme="minorEastAsia" w:hAnsiTheme="minorEastAsia" w:eastAsiaTheme="minorEastAsia" w:cstheme="minorEastAsia"/>
                <w:color w:val="auto"/>
                <w:kern w:val="0"/>
                <w:szCs w:val="21"/>
                <w:highlight w:val="none"/>
              </w:rPr>
              <w:t>真实有效，不存在弄虚作假情形。</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提供</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rPr>
              <w:t>承诺（</w:t>
            </w:r>
            <w:r>
              <w:rPr>
                <w:rFonts w:hint="eastAsia" w:asciiTheme="minorEastAsia" w:hAnsiTheme="minorEastAsia" w:eastAsiaTheme="minorEastAsia" w:cstheme="minorEastAsia"/>
                <w:color w:val="auto"/>
                <w:szCs w:val="21"/>
                <w:highlight w:val="none"/>
              </w:rPr>
              <w:t>格式见第</w:t>
            </w:r>
            <w:r>
              <w:rPr>
                <w:rFonts w:hint="eastAsia" w:asciiTheme="minorEastAsia" w:hAnsiTheme="minorEastAsia" w:eastAsiaTheme="minorEastAsia" w:cstheme="minorEastAsia"/>
                <w:color w:val="auto"/>
                <w:szCs w:val="21"/>
                <w:highlight w:val="none"/>
                <w:lang w:val="en-US" w:eastAsia="zh-CN"/>
              </w:rPr>
              <w:t>八</w:t>
            </w:r>
            <w:r>
              <w:rPr>
                <w:rFonts w:hint="eastAsia" w:asciiTheme="minorEastAsia" w:hAnsiTheme="minorEastAsia" w:eastAsiaTheme="minorEastAsia" w:cstheme="minorEastAsia"/>
                <w:color w:val="auto"/>
                <w:szCs w:val="21"/>
                <w:highlight w:val="none"/>
              </w:rPr>
              <w:t>章投标文件格式</w:t>
            </w:r>
            <w:r>
              <w:rPr>
                <w:rFonts w:hint="eastAsia" w:asciiTheme="minorEastAsia" w:hAnsiTheme="minorEastAsia" w:eastAsiaTheme="minorEastAsia" w:cstheme="minorEastAsia"/>
                <w:color w:val="auto"/>
                <w:kern w:val="0"/>
                <w:szCs w:val="21"/>
                <w:highlight w:val="none"/>
              </w:rPr>
              <w:t>）。</w:t>
            </w:r>
          </w:p>
          <w:p>
            <w:pPr>
              <w:autoSpaceDE w:val="0"/>
              <w:autoSpaceDN w:val="0"/>
              <w:adjustRightInd w:val="0"/>
              <w:snapToGrid w:val="0"/>
              <w:spacing w:line="400" w:lineRule="exact"/>
              <w:ind w:firstLine="420" w:firstLineChars="200"/>
              <w:rPr>
                <w:rFonts w:hint="eastAsia" w:ascii="宋体" w:hAnsi="宋体" w:eastAsia="宋体"/>
                <w:kern w:val="0"/>
                <w:szCs w:val="21"/>
                <w:lang w:eastAsia="zh-CN"/>
              </w:rPr>
            </w:pPr>
            <w:r>
              <w:rPr>
                <w:rFonts w:hint="eastAsia" w:asciiTheme="minorEastAsia" w:hAnsiTheme="minorEastAsia" w:eastAsiaTheme="minorEastAsia" w:cstheme="minorEastAsia"/>
                <w:color w:val="auto"/>
                <w:kern w:val="0"/>
                <w:szCs w:val="21"/>
                <w:highlight w:val="none"/>
              </w:rPr>
              <w:t>□联合体投标的，由联合体牵头人代表联合体各成员进行承诺</w:t>
            </w:r>
            <w:r>
              <w:rPr>
                <w:rFonts w:hint="eastAsia" w:asciiTheme="minorEastAsia" w:hAnsiTheme="minorEastAsia" w:eastAsiaTheme="minorEastAsia" w:cstheme="minorEastAsia"/>
                <w:color w:val="auto"/>
                <w:kern w:val="0"/>
                <w:szCs w:val="21"/>
                <w:highlight w:val="none"/>
                <w:lang w:eastAsia="zh-CN"/>
              </w:rPr>
              <w:t>。</w:t>
            </w:r>
          </w:p>
          <w:p>
            <w:pPr>
              <w:autoSpaceDE w:val="0"/>
              <w:autoSpaceDN w:val="0"/>
              <w:adjustRightInd w:val="0"/>
              <w:snapToGrid w:val="0"/>
              <w:spacing w:line="400" w:lineRule="exact"/>
              <w:ind w:firstLine="417" w:firstLineChars="198"/>
              <w:rPr>
                <w:rFonts w:ascii="宋体" w:hAnsi="宋体" w:cs="宋体"/>
                <w:b/>
                <w:szCs w:val="21"/>
              </w:rPr>
            </w:pPr>
            <w:r>
              <w:rPr>
                <w:rFonts w:hint="eastAsia" w:ascii="宋体" w:hAnsi="宋体" w:cs="宋体"/>
                <w:b/>
                <w:szCs w:val="21"/>
              </w:rPr>
              <w:t>特别说明：</w:t>
            </w:r>
          </w:p>
          <w:p>
            <w:pPr>
              <w:autoSpaceDE w:val="0"/>
              <w:autoSpaceDN w:val="0"/>
              <w:adjustRightInd w:val="0"/>
              <w:snapToGrid w:val="0"/>
              <w:spacing w:line="400" w:lineRule="exact"/>
              <w:ind w:firstLine="415" w:firstLineChars="198"/>
              <w:rPr>
                <w:rFonts w:ascii="宋体" w:hAnsi="宋体" w:cs="宋体"/>
                <w:kern w:val="0"/>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上述要求须</w:t>
            </w:r>
            <w:r>
              <w:rPr>
                <w:rFonts w:hint="eastAsia" w:ascii="宋体" w:hAnsi="宋体" w:cs="宋体"/>
                <w:szCs w:val="21"/>
                <w:lang w:val="en-US" w:eastAsia="zh-CN"/>
              </w:rPr>
              <w:t>提供</w:t>
            </w:r>
            <w:r>
              <w:rPr>
                <w:rFonts w:hint="eastAsia" w:ascii="宋体" w:hAnsi="宋体" w:cs="宋体"/>
                <w:szCs w:val="21"/>
              </w:rPr>
              <w:t>的相关证明材料均为扫描件（原件或复印件的扫描件均可），扫描件须清晰可辨，</w:t>
            </w:r>
            <w:r>
              <w:rPr>
                <w:rFonts w:hint="eastAsia" w:ascii="宋体" w:hAnsi="宋体" w:cs="宋体"/>
                <w:kern w:val="0"/>
                <w:szCs w:val="21"/>
              </w:rPr>
              <w:t>有一条不满足，则投标文件由评标委员会</w:t>
            </w:r>
            <w:r>
              <w:rPr>
                <w:rFonts w:hint="eastAsia" w:ascii="宋体" w:hAnsi="宋体" w:cs="宋体"/>
                <w:szCs w:val="21"/>
              </w:rPr>
              <w:t>作否决投标处理</w:t>
            </w:r>
            <w:r>
              <w:rPr>
                <w:rFonts w:hint="eastAsia" w:ascii="宋体" w:hAnsi="宋体" w:cs="宋体"/>
                <w:kern w:val="0"/>
                <w:szCs w:val="21"/>
              </w:rPr>
              <w:t>。</w:t>
            </w:r>
          </w:p>
          <w:p>
            <w:pPr>
              <w:autoSpaceDE w:val="0"/>
              <w:autoSpaceDN w:val="0"/>
              <w:adjustRightInd w:val="0"/>
              <w:snapToGrid w:val="0"/>
              <w:spacing w:line="400" w:lineRule="exact"/>
              <w:ind w:firstLine="415" w:firstLineChars="198"/>
              <w:rPr>
                <w:rFonts w:ascii="宋体" w:hAnsi="宋体" w:cs="宋体"/>
                <w:szCs w:val="21"/>
              </w:rPr>
            </w:pPr>
            <w:r>
              <w:rPr>
                <w:rFonts w:hint="eastAsia" w:ascii="宋体" w:hAnsi="宋体" w:cs="宋体"/>
                <w:szCs w:val="21"/>
              </w:rPr>
              <w:t>（2A）</w:t>
            </w:r>
            <w:r>
              <w:rPr>
                <w:rFonts w:hint="eastAsia" w:ascii="宋体" w:hAnsi="宋体" w:cs="宋体"/>
                <w:szCs w:val="21"/>
                <w:u w:val="none"/>
              </w:rPr>
              <w:t>招标人有权对投标人提供的资料进行核实，若发现弄虚作假，</w:t>
            </w:r>
            <w:r>
              <w:rPr>
                <w:rFonts w:hint="eastAsia" w:asciiTheme="minorEastAsia" w:hAnsiTheme="minorEastAsia" w:eastAsiaTheme="minorEastAsia" w:cstheme="minorEastAsia"/>
                <w:color w:val="auto"/>
                <w:szCs w:val="21"/>
                <w:highlight w:val="none"/>
                <w:u w:val="none"/>
                <w:lang w:val="en-US" w:eastAsia="zh-CN"/>
              </w:rPr>
              <w:t>按相关规定</w:t>
            </w:r>
            <w:r>
              <w:rPr>
                <w:rFonts w:hint="eastAsia" w:ascii="宋体" w:hAnsi="宋体" w:cs="宋体"/>
                <w:szCs w:val="21"/>
                <w:u w:val="none"/>
              </w:rPr>
              <w:t>取消其中标资格，并按相关法律法规报招标投标监督部门，其投标保证金</w:t>
            </w:r>
            <w:r>
              <w:rPr>
                <w:rFonts w:hint="eastAsia" w:asciiTheme="minorEastAsia" w:hAnsiTheme="minorEastAsia" w:eastAsiaTheme="minorEastAsia" w:cstheme="minorEastAsia"/>
                <w:color w:val="auto"/>
                <w:szCs w:val="21"/>
                <w:highlight w:val="none"/>
                <w:u w:val="none"/>
                <w:lang w:val="en-US" w:eastAsia="zh-CN"/>
              </w:rPr>
              <w:t>以现金形式交纳的</w:t>
            </w:r>
            <w:r>
              <w:rPr>
                <w:rFonts w:hint="eastAsia" w:ascii="宋体" w:hAnsi="宋体" w:cs="宋体"/>
                <w:szCs w:val="21"/>
                <w:u w:val="none"/>
              </w:rPr>
              <w:t>不予退还</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rPr>
              <w:t>以保函形式交纳的由保函开立人支付保函担保的与投标保证金等额的款项</w:t>
            </w:r>
            <w:r>
              <w:rPr>
                <w:rFonts w:hint="eastAsia" w:ascii="宋体" w:hAnsi="宋体" w:cs="宋体"/>
                <w:szCs w:val="21"/>
                <w:u w:val="none"/>
              </w:rPr>
              <w:t>，投标人承担因此造成的相关责任并赔偿相应损失</w:t>
            </w:r>
            <w:r>
              <w:rPr>
                <w:rFonts w:hint="eastAsia" w:ascii="宋体" w:hAnsi="宋体" w:cs="宋体"/>
                <w:szCs w:val="21"/>
              </w:rPr>
              <w:t>。</w:t>
            </w:r>
          </w:p>
          <w:p>
            <w:pPr>
              <w:autoSpaceDE w:val="0"/>
              <w:autoSpaceDN w:val="0"/>
              <w:adjustRightInd w:val="0"/>
              <w:snapToGrid w:val="0"/>
              <w:spacing w:line="400" w:lineRule="exact"/>
              <w:ind w:firstLine="415" w:firstLineChars="198"/>
              <w:rPr>
                <w:rFonts w:ascii="宋体" w:hAnsi="宋体" w:cs="宋体"/>
                <w:kern w:val="0"/>
                <w:szCs w:val="21"/>
              </w:rPr>
            </w:pPr>
            <w:r>
              <w:rPr>
                <w:rFonts w:hint="eastAsia" w:ascii="宋体" w:hAnsi="宋体" w:cs="宋体"/>
                <w:i/>
                <w:kern w:val="0"/>
                <w:szCs w:val="21"/>
              </w:rPr>
              <w:t>[提示：适用于未进行资格预审的项目。]</w:t>
            </w:r>
          </w:p>
          <w:p>
            <w:pPr>
              <w:autoSpaceDE w:val="0"/>
              <w:autoSpaceDN w:val="0"/>
              <w:adjustRightInd w:val="0"/>
              <w:snapToGrid w:val="0"/>
              <w:spacing w:line="400" w:lineRule="exact"/>
              <w:ind w:firstLine="415" w:firstLineChars="198"/>
              <w:rPr>
                <w:rFonts w:ascii="宋体" w:hAnsi="宋体" w:cs="宋体"/>
                <w:kern w:val="0"/>
                <w:szCs w:val="21"/>
              </w:rPr>
            </w:pPr>
            <w:r>
              <w:rPr>
                <w:rFonts w:hint="eastAsia" w:ascii="宋体" w:hAnsi="宋体" w:cs="宋体"/>
                <w:kern w:val="0"/>
                <w:szCs w:val="21"/>
              </w:rPr>
              <w:t>（2B）本工程已进行资格预审，投标人应是收到招标人发出投标邀请书的单位。投标人在编制投标文件时，如其涉及资格审查部分的有关情况发生变化，则应按本标段资格预审文件第三章“资格审查办法”详细评审标准，更新或补充其在申请资格预审时提供的资料。要求：</w:t>
            </w:r>
          </w:p>
          <w:p>
            <w:pPr>
              <w:autoSpaceDE w:val="0"/>
              <w:autoSpaceDN w:val="0"/>
              <w:adjustRightInd w:val="0"/>
              <w:snapToGrid w:val="0"/>
              <w:spacing w:line="400" w:lineRule="exact"/>
              <w:ind w:firstLine="415" w:firstLineChars="198"/>
              <w:rPr>
                <w:rFonts w:ascii="宋体" w:hAnsi="宋体" w:cs="宋体"/>
                <w:kern w:val="0"/>
                <w:szCs w:val="21"/>
              </w:rPr>
            </w:pPr>
            <w:r>
              <w:rPr>
                <w:rFonts w:hint="eastAsia" w:ascii="宋体" w:hAnsi="宋体" w:cs="宋体"/>
                <w:kern w:val="0"/>
                <w:szCs w:val="21"/>
              </w:rPr>
              <w:t>①通过资格预审后，投标人发生合法重组等变更名称的，应提供相关部门的合法批件及企业法人营业执照和资质证书的副本变更记录。</w:t>
            </w:r>
          </w:p>
          <w:p>
            <w:pPr>
              <w:autoSpaceDE w:val="0"/>
              <w:autoSpaceDN w:val="0"/>
              <w:adjustRightInd w:val="0"/>
              <w:snapToGrid w:val="0"/>
              <w:spacing w:line="400" w:lineRule="exact"/>
              <w:ind w:firstLine="415" w:firstLineChars="198"/>
              <w:rPr>
                <w:rFonts w:ascii="宋体" w:hAnsi="宋体" w:cs="宋体"/>
                <w:kern w:val="0"/>
                <w:szCs w:val="21"/>
              </w:rPr>
            </w:pPr>
            <w:r>
              <w:rPr>
                <w:rFonts w:hint="eastAsia" w:ascii="宋体" w:hAnsi="宋体" w:cs="宋体"/>
                <w:kern w:val="0"/>
                <w:szCs w:val="21"/>
              </w:rPr>
              <w:t>②投标人投标时的资格条件相比资格预审时应没有实质性下降，投标文件仍然满足资格预审中的强制性标准。</w:t>
            </w:r>
          </w:p>
          <w:p>
            <w:pPr>
              <w:autoSpaceDE w:val="0"/>
              <w:autoSpaceDN w:val="0"/>
              <w:adjustRightInd w:val="0"/>
              <w:snapToGrid w:val="0"/>
              <w:spacing w:line="400" w:lineRule="exact"/>
              <w:ind w:firstLine="415" w:firstLineChars="198"/>
              <w:rPr>
                <w:rFonts w:ascii="宋体" w:hAnsi="宋体" w:cs="宋体"/>
                <w:i/>
                <w:kern w:val="0"/>
                <w:szCs w:val="21"/>
              </w:rPr>
            </w:pPr>
            <w:r>
              <w:rPr>
                <w:rFonts w:hint="eastAsia" w:ascii="宋体" w:hAnsi="宋体" w:cs="宋体"/>
                <w:i/>
                <w:kern w:val="0"/>
                <w:szCs w:val="21"/>
              </w:rPr>
              <w:t>[提示：适用于已进行资格预审的项目，没有变化的不提供。]</w:t>
            </w:r>
          </w:p>
          <w:p>
            <w:pPr>
              <w:spacing w:line="400" w:lineRule="exact"/>
              <w:ind w:firstLine="420" w:firstLineChars="200"/>
              <w:rPr>
                <w:rFonts w:ascii="宋体" w:hAnsi="宋体"/>
                <w:bCs/>
                <w:kern w:val="0"/>
                <w:szCs w:val="21"/>
              </w:rPr>
            </w:pPr>
            <w:r>
              <w:rPr>
                <w:rFonts w:hint="eastAsia" w:ascii="宋体" w:hAnsi="宋体"/>
                <w:bCs/>
                <w:kern w:val="0"/>
                <w:szCs w:val="21"/>
              </w:rPr>
              <w:t>（3）</w:t>
            </w:r>
            <w:r>
              <w:rPr>
                <w:rFonts w:ascii="宋体" w:hAnsi="宋体"/>
                <w:bCs/>
                <w:kern w:val="0"/>
                <w:szCs w:val="21"/>
              </w:rPr>
              <w:t>本招标文件中所要求的人员</w:t>
            </w:r>
            <w:r>
              <w:rPr>
                <w:rFonts w:hint="eastAsia" w:ascii="宋体" w:hAnsi="宋体"/>
                <w:bCs/>
                <w:kern w:val="0"/>
                <w:szCs w:val="21"/>
              </w:rPr>
              <w:t>养老保险</w:t>
            </w:r>
            <w:r>
              <w:rPr>
                <w:rFonts w:ascii="宋体" w:hAnsi="宋体"/>
                <w:bCs/>
                <w:kern w:val="0"/>
                <w:szCs w:val="21"/>
              </w:rPr>
              <w:t>证明要求如下：</w:t>
            </w:r>
          </w:p>
          <w:p>
            <w:pPr>
              <w:spacing w:line="400" w:lineRule="exact"/>
              <w:ind w:firstLine="420" w:firstLineChars="200"/>
              <w:rPr>
                <w:rFonts w:ascii="宋体" w:hAnsi="宋体"/>
                <w:bCs/>
                <w:kern w:val="0"/>
                <w:szCs w:val="21"/>
              </w:rPr>
            </w:pPr>
            <w:r>
              <w:rPr>
                <w:rFonts w:ascii="宋体" w:hAnsi="宋体"/>
                <w:bCs/>
                <w:kern w:val="0"/>
                <w:szCs w:val="21"/>
              </w:rPr>
              <w:t>①</w:t>
            </w:r>
            <w:r>
              <w:rPr>
                <w:rFonts w:hint="eastAsia" w:ascii="宋体" w:hAnsi="宋体"/>
                <w:bCs/>
                <w:kern w:val="0"/>
                <w:szCs w:val="21"/>
                <w:lang w:val="en-US" w:eastAsia="zh-CN"/>
              </w:rPr>
              <w:t>企业</w:t>
            </w:r>
            <w:r>
              <w:rPr>
                <w:rFonts w:ascii="宋体" w:hAnsi="宋体"/>
                <w:bCs/>
                <w:kern w:val="0"/>
                <w:szCs w:val="21"/>
              </w:rPr>
              <w:t>提供</w:t>
            </w:r>
            <w:r>
              <w:rPr>
                <w:rFonts w:hint="eastAsia" w:ascii="宋体" w:hAnsi="宋体"/>
                <w:bCs/>
                <w:kern w:val="0"/>
                <w:szCs w:val="21"/>
              </w:rPr>
              <w:t>养老保险</w:t>
            </w:r>
            <w:r>
              <w:rPr>
                <w:rFonts w:ascii="宋体" w:hAnsi="宋体"/>
                <w:bCs/>
                <w:kern w:val="0"/>
                <w:szCs w:val="21"/>
              </w:rPr>
              <w:t>证明，事业单位提供</w:t>
            </w:r>
            <w:r>
              <w:rPr>
                <w:rFonts w:hint="eastAsia" w:ascii="宋体" w:hAnsi="宋体"/>
                <w:bCs/>
                <w:kern w:val="0"/>
                <w:szCs w:val="21"/>
              </w:rPr>
              <w:t>养老保险</w:t>
            </w:r>
            <w:r>
              <w:rPr>
                <w:rFonts w:ascii="宋体" w:hAnsi="宋体"/>
                <w:bCs/>
                <w:kern w:val="0"/>
                <w:szCs w:val="21"/>
              </w:rPr>
              <w:t>证明或行政主管部门在编证明。</w:t>
            </w:r>
          </w:p>
          <w:p>
            <w:pPr>
              <w:spacing w:line="400" w:lineRule="exact"/>
              <w:ind w:firstLine="420" w:firstLineChars="200"/>
              <w:rPr>
                <w:rFonts w:ascii="宋体" w:hAnsi="宋体"/>
                <w:bCs/>
                <w:snapToGrid w:val="0"/>
                <w:kern w:val="0"/>
                <w:szCs w:val="21"/>
              </w:rPr>
            </w:pPr>
            <w:r>
              <w:rPr>
                <w:rFonts w:ascii="宋体" w:hAnsi="宋体"/>
                <w:bCs/>
                <w:kern w:val="0"/>
                <w:szCs w:val="21"/>
              </w:rPr>
              <w:t>②</w:t>
            </w:r>
            <w:r>
              <w:rPr>
                <w:rFonts w:hint="eastAsia" w:ascii="宋体" w:hAnsi="宋体"/>
                <w:bCs/>
                <w:snapToGrid w:val="0"/>
                <w:kern w:val="0"/>
                <w:szCs w:val="21"/>
                <w:highlight w:val="none"/>
                <w:lang w:val="en-US" w:eastAsia="zh-CN"/>
              </w:rPr>
              <w:t>拟派人员</w:t>
            </w:r>
            <w:r>
              <w:rPr>
                <w:rFonts w:ascii="宋体" w:hAnsi="宋体"/>
                <w:bCs/>
                <w:snapToGrid w:val="0"/>
                <w:kern w:val="0"/>
                <w:szCs w:val="21"/>
              </w:rPr>
              <w:t>的</w:t>
            </w:r>
            <w:r>
              <w:rPr>
                <w:rFonts w:hint="eastAsia" w:ascii="宋体" w:hAnsi="宋体"/>
                <w:bCs/>
                <w:snapToGrid w:val="0"/>
                <w:kern w:val="0"/>
                <w:szCs w:val="21"/>
              </w:rPr>
              <w:t>连续养老保险</w:t>
            </w:r>
            <w:r>
              <w:rPr>
                <w:rFonts w:ascii="宋体" w:hAnsi="宋体"/>
                <w:bCs/>
                <w:snapToGrid w:val="0"/>
                <w:kern w:val="0"/>
                <w:szCs w:val="21"/>
              </w:rPr>
              <w:t>证明期限</w:t>
            </w:r>
            <w:r>
              <w:rPr>
                <w:rFonts w:hint="eastAsia" w:ascii="宋体" w:hAnsi="宋体"/>
                <w:bCs/>
                <w:snapToGrid w:val="0"/>
                <w:kern w:val="0"/>
                <w:szCs w:val="21"/>
                <w:lang w:val="en-US" w:eastAsia="zh-CN"/>
              </w:rPr>
              <w:t>须包含</w:t>
            </w:r>
            <w:r>
              <w:rPr>
                <w:rFonts w:hint="eastAsia" w:ascii="宋体" w:hAnsi="宋体"/>
                <w:bCs/>
                <w:snapToGrid w:val="0"/>
                <w:kern w:val="0"/>
                <w:szCs w:val="21"/>
                <w:u w:val="single"/>
              </w:rPr>
              <w:t xml:space="preserve">    </w:t>
            </w:r>
            <w:r>
              <w:rPr>
                <w:rFonts w:ascii="宋体" w:hAnsi="宋体"/>
                <w:bCs/>
                <w:snapToGrid w:val="0"/>
                <w:kern w:val="0"/>
                <w:szCs w:val="21"/>
              </w:rPr>
              <w:t>年</w:t>
            </w:r>
            <w:r>
              <w:rPr>
                <w:rFonts w:hint="eastAsia" w:ascii="宋体" w:hAnsi="宋体"/>
                <w:bCs/>
                <w:snapToGrid w:val="0"/>
                <w:kern w:val="0"/>
                <w:szCs w:val="21"/>
                <w:u w:val="single"/>
              </w:rPr>
              <w:t xml:space="preserve">  </w:t>
            </w:r>
            <w:r>
              <w:rPr>
                <w:rFonts w:ascii="宋体" w:hAnsi="宋体"/>
                <w:bCs/>
                <w:snapToGrid w:val="0"/>
                <w:kern w:val="0"/>
                <w:szCs w:val="21"/>
              </w:rPr>
              <w:t>月至</w:t>
            </w:r>
          </w:p>
          <w:p>
            <w:pPr>
              <w:spacing w:line="400" w:lineRule="exact"/>
              <w:ind w:firstLine="0" w:firstLineChars="0"/>
              <w:rPr>
                <w:rFonts w:ascii="宋体" w:hAnsi="宋体"/>
                <w:bCs/>
                <w:szCs w:val="21"/>
              </w:rPr>
            </w:pPr>
            <w:r>
              <w:rPr>
                <w:rFonts w:hint="eastAsia" w:ascii="宋体" w:hAnsi="宋体"/>
                <w:bCs/>
                <w:snapToGrid w:val="0"/>
                <w:kern w:val="0"/>
                <w:szCs w:val="21"/>
                <w:u w:val="single"/>
              </w:rPr>
              <w:t xml:space="preserve">    </w:t>
            </w:r>
            <w:r>
              <w:rPr>
                <w:rFonts w:ascii="宋体" w:hAnsi="宋体"/>
                <w:bCs/>
                <w:snapToGrid w:val="0"/>
                <w:kern w:val="0"/>
                <w:szCs w:val="21"/>
              </w:rPr>
              <w:t>年</w:t>
            </w:r>
            <w:r>
              <w:rPr>
                <w:rFonts w:hint="eastAsia" w:ascii="宋体" w:hAnsi="宋体"/>
                <w:bCs/>
                <w:snapToGrid w:val="0"/>
                <w:kern w:val="0"/>
                <w:szCs w:val="21"/>
                <w:u w:val="single"/>
              </w:rPr>
              <w:t xml:space="preserve">  </w:t>
            </w:r>
            <w:r>
              <w:rPr>
                <w:rFonts w:ascii="宋体" w:hAnsi="宋体"/>
                <w:bCs/>
                <w:snapToGrid w:val="0"/>
                <w:kern w:val="0"/>
                <w:szCs w:val="21"/>
              </w:rPr>
              <w:t>月</w:t>
            </w:r>
            <w:r>
              <w:rPr>
                <w:rFonts w:hint="eastAsia" w:ascii="宋体" w:hAnsi="宋体"/>
                <w:bCs/>
                <w:szCs w:val="21"/>
              </w:rPr>
              <w:t>。提供的养老保险参保证明须体现</w:t>
            </w:r>
            <w:r>
              <w:rPr>
                <w:rFonts w:hint="eastAsia" w:ascii="宋体" w:hAnsi="宋体"/>
                <w:bCs/>
                <w:szCs w:val="21"/>
                <w:lang w:val="en-US" w:eastAsia="zh-CN"/>
              </w:rPr>
              <w:t>拟派</w:t>
            </w:r>
            <w:r>
              <w:rPr>
                <w:rFonts w:hint="eastAsia" w:ascii="宋体" w:hAnsi="宋体"/>
                <w:bCs/>
                <w:szCs w:val="21"/>
              </w:rPr>
              <w:t>人员的姓名、身份证号（或社保号）、单位名称、</w:t>
            </w:r>
            <w:r>
              <w:rPr>
                <w:rFonts w:hint="eastAsia" w:ascii="宋体" w:hAnsi="宋体"/>
                <w:bCs/>
                <w:szCs w:val="21"/>
                <w:highlight w:val="none"/>
                <w:lang w:val="en-US" w:eastAsia="zh-CN"/>
              </w:rPr>
              <w:t>在</w:t>
            </w:r>
            <w:r>
              <w:rPr>
                <w:rFonts w:hint="eastAsia" w:ascii="宋体" w:hAnsi="宋体"/>
                <w:bCs/>
                <w:szCs w:val="21"/>
              </w:rPr>
              <w:t>本单位参保时间（或起始参保时间），并带有社保部门公章或社保部门的有效电子印章。</w:t>
            </w:r>
          </w:p>
          <w:p>
            <w:pPr>
              <w:spacing w:line="400" w:lineRule="exact"/>
              <w:ind w:firstLine="420" w:firstLineChars="200"/>
              <w:rPr>
                <w:rFonts w:ascii="宋体" w:hAnsi="宋体"/>
                <w:bCs/>
                <w:snapToGrid w:val="0"/>
                <w:kern w:val="0"/>
                <w:szCs w:val="21"/>
              </w:rPr>
            </w:pPr>
            <w:r>
              <w:rPr>
                <w:rFonts w:hint="eastAsia" w:ascii="宋体" w:hAnsi="宋体"/>
                <w:bCs/>
                <w:i/>
                <w:szCs w:val="21"/>
              </w:rPr>
              <w:t>[提示：</w:t>
            </w:r>
            <w:r>
              <w:rPr>
                <w:rFonts w:hint="eastAsia" w:ascii="宋体" w:hAnsi="宋体"/>
                <w:bCs/>
                <w:i/>
                <w:szCs w:val="21"/>
                <w:highlight w:val="none"/>
                <w:lang w:val="en-US" w:eastAsia="zh-CN"/>
              </w:rPr>
              <w:t>拟派人员</w:t>
            </w:r>
            <w:r>
              <w:rPr>
                <w:rFonts w:hint="eastAsia" w:ascii="宋体" w:hAnsi="宋体"/>
                <w:bCs/>
                <w:i/>
                <w:szCs w:val="21"/>
                <w:lang w:val="en-US" w:eastAsia="zh-CN"/>
              </w:rPr>
              <w:t>提供</w:t>
            </w:r>
            <w:r>
              <w:rPr>
                <w:rFonts w:hint="eastAsia" w:ascii="宋体" w:hAnsi="宋体"/>
                <w:bCs/>
                <w:i/>
                <w:szCs w:val="21"/>
              </w:rPr>
              <w:t xml:space="preserve">的养老保险时间段必须一致；从招标公告发布之日前一月起算，养老保险时间段建议为6个月。]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1.4.2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是否接受联合体投标</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不接受</w:t>
            </w:r>
          </w:p>
          <w:p>
            <w:pPr>
              <w:snapToGrid w:val="0"/>
              <w:spacing w:after="15" w:afterLines="5"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接受，应满足下列要求：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1.9.1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踏勘现场</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不组织</w:t>
            </w:r>
          </w:p>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组织，</w:t>
            </w:r>
            <w:r>
              <w:rPr>
                <w:rFonts w:hint="eastAsia" w:ascii="宋体" w:hAnsi="宋体"/>
                <w:kern w:val="0"/>
                <w:szCs w:val="21"/>
              </w:rPr>
              <w:t>集中</w:t>
            </w:r>
            <w:r>
              <w:rPr>
                <w:rFonts w:ascii="宋体" w:hAnsi="宋体"/>
                <w:kern w:val="0"/>
                <w:szCs w:val="21"/>
              </w:rPr>
              <w:t>踏勘时间：</w:t>
            </w:r>
          </w:p>
          <w:p>
            <w:pPr>
              <w:snapToGrid w:val="0"/>
              <w:spacing w:line="400" w:lineRule="exact"/>
              <w:ind w:firstLine="1260" w:firstLineChars="600"/>
              <w:rPr>
                <w:rFonts w:ascii="宋体" w:hAnsi="宋体"/>
                <w:kern w:val="0"/>
                <w:szCs w:val="21"/>
              </w:rPr>
            </w:pPr>
            <w:r>
              <w:rPr>
                <w:rFonts w:ascii="宋体" w:hAnsi="宋体"/>
                <w:kern w:val="0"/>
                <w:szCs w:val="21"/>
              </w:rPr>
              <w:t>集中踏勘地点：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1.10.1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投标预备会</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不召开</w:t>
            </w:r>
          </w:p>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召开，召开时间：</w:t>
            </w:r>
          </w:p>
          <w:p>
            <w:pPr>
              <w:snapToGrid w:val="0"/>
              <w:spacing w:after="15" w:afterLines="5" w:line="400" w:lineRule="exact"/>
              <w:ind w:firstLine="1260" w:firstLineChars="600"/>
              <w:rPr>
                <w:rFonts w:ascii="宋体" w:hAnsi="宋体"/>
                <w:kern w:val="0"/>
                <w:szCs w:val="21"/>
              </w:rPr>
            </w:pPr>
            <w:r>
              <w:rPr>
                <w:rFonts w:ascii="宋体" w:hAnsi="宋体"/>
                <w:kern w:val="0"/>
                <w:szCs w:val="21"/>
              </w:rPr>
              <w:t>召开地点：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分包</w:t>
            </w:r>
          </w:p>
        </w:tc>
        <w:tc>
          <w:tcPr>
            <w:tcW w:w="6490" w:type="dxa"/>
            <w:vAlign w:val="center"/>
          </w:tcPr>
          <w:p>
            <w:pPr>
              <w:snapToGrid w:val="0"/>
              <w:spacing w:line="400" w:lineRule="exact"/>
              <w:ind w:firstLine="420" w:firstLineChars="200"/>
            </w:pPr>
            <w:r>
              <w:rPr>
                <w:rFonts w:hint="eastAsia"/>
              </w:rPr>
              <w:t>□</w:t>
            </w:r>
            <w:r>
              <w:t>不允许</w:t>
            </w:r>
          </w:p>
          <w:p>
            <w:pPr>
              <w:snapToGrid w:val="0"/>
              <w:spacing w:line="400" w:lineRule="exact"/>
              <w:ind w:firstLine="420" w:firstLineChars="200"/>
            </w:pPr>
            <w:r>
              <w:rPr>
                <w:rFonts w:hint="eastAsia"/>
              </w:rPr>
              <w:t>□</w:t>
            </w:r>
            <w:r>
              <w:t>允许，分包内容要求：</w:t>
            </w:r>
          </w:p>
          <w:p>
            <w:pPr>
              <w:snapToGrid w:val="0"/>
              <w:spacing w:line="400" w:lineRule="exact"/>
              <w:ind w:firstLine="1260" w:firstLineChars="600"/>
            </w:pPr>
            <w:r>
              <w:t>分包金额要求：</w:t>
            </w:r>
          </w:p>
          <w:p>
            <w:pPr>
              <w:snapToGrid w:val="0"/>
              <w:spacing w:after="15" w:afterLines="5" w:line="400" w:lineRule="exact"/>
            </w:pPr>
            <w:r>
              <w:t>接受分包的第三人资质要求：</w:t>
            </w:r>
          </w:p>
          <w:p>
            <w:pPr>
              <w:pStyle w:val="2"/>
            </w:pPr>
            <w:r>
              <w:rPr>
                <w:rFonts w:hint="eastAsia"/>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2.1</w:t>
            </w:r>
          </w:p>
        </w:tc>
        <w:tc>
          <w:tcPr>
            <w:tcW w:w="1644" w:type="dxa"/>
            <w:vAlign w:val="center"/>
          </w:tcPr>
          <w:p>
            <w:pPr>
              <w:snapToGrid w:val="0"/>
              <w:spacing w:after="15" w:afterLines="5" w:line="400" w:lineRule="exact"/>
              <w:jc w:val="center"/>
              <w:rPr>
                <w:rFonts w:ascii="宋体" w:hAnsi="宋体"/>
                <w:kern w:val="0"/>
                <w:szCs w:val="21"/>
              </w:rPr>
            </w:pPr>
            <w:r>
              <w:rPr>
                <w:rFonts w:ascii="宋体" w:hAnsi="宋体"/>
                <w:kern w:val="0"/>
                <w:szCs w:val="21"/>
              </w:rPr>
              <w:t>构成招标文件的其他材料</w:t>
            </w:r>
          </w:p>
        </w:tc>
        <w:tc>
          <w:tcPr>
            <w:tcW w:w="6490" w:type="dxa"/>
            <w:vAlign w:val="center"/>
          </w:tcPr>
          <w:p>
            <w:pPr>
              <w:snapToGrid w:val="0"/>
              <w:spacing w:line="400" w:lineRule="exact"/>
              <w:ind w:firstLine="420" w:firstLineChars="200"/>
              <w:rPr>
                <w:rFonts w:ascii="宋体" w:hAnsi="宋体"/>
                <w:szCs w:val="21"/>
              </w:rPr>
            </w:pPr>
            <w:r>
              <w:rPr>
                <w:rFonts w:ascii="宋体" w:hAnsi="宋体"/>
                <w:szCs w:val="21"/>
              </w:rPr>
              <w:t>招标人发出的</w:t>
            </w:r>
            <w:r>
              <w:rPr>
                <w:rFonts w:hint="eastAsia" w:ascii="宋体" w:hAnsi="宋体"/>
                <w:szCs w:val="21"/>
              </w:rPr>
              <w:t>澄清</w:t>
            </w:r>
            <w:r>
              <w:rPr>
                <w:rFonts w:ascii="宋体" w:hAnsi="宋体"/>
                <w:szCs w:val="21"/>
              </w:rPr>
              <w:t>及</w:t>
            </w:r>
            <w:r>
              <w:rPr>
                <w:rFonts w:hint="eastAsia" w:ascii="宋体" w:hAnsi="宋体"/>
                <w:szCs w:val="21"/>
              </w:rPr>
              <w:t>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2</w:t>
            </w:r>
            <w:r>
              <w:rPr>
                <w:rFonts w:ascii="宋体" w:hAnsi="宋体"/>
                <w:kern w:val="0"/>
                <w:szCs w:val="21"/>
              </w:rPr>
              <w:t>.</w:t>
            </w:r>
            <w:r>
              <w:rPr>
                <w:rFonts w:hint="eastAsia" w:ascii="宋体" w:hAnsi="宋体"/>
                <w:kern w:val="0"/>
                <w:szCs w:val="21"/>
              </w:rPr>
              <w:t>2</w:t>
            </w:r>
            <w:r>
              <w:rPr>
                <w:rFonts w:ascii="宋体" w:hAnsi="宋体"/>
                <w:kern w:val="0"/>
                <w:szCs w:val="21"/>
              </w:rPr>
              <w:t>.</w:t>
            </w:r>
            <w:r>
              <w:rPr>
                <w:rFonts w:hint="eastAsia" w:ascii="宋体" w:hAnsi="宋体"/>
                <w:kern w:val="0"/>
                <w:szCs w:val="21"/>
              </w:rPr>
              <w:t>1</w:t>
            </w:r>
          </w:p>
        </w:tc>
        <w:tc>
          <w:tcPr>
            <w:tcW w:w="1644" w:type="dxa"/>
            <w:tcBorders>
              <w:bottom w:val="single" w:color="auto" w:sz="4" w:space="0"/>
            </w:tcBorders>
            <w:vAlign w:val="center"/>
          </w:tcPr>
          <w:p>
            <w:pPr>
              <w:snapToGrid w:val="0"/>
              <w:spacing w:line="400" w:lineRule="exact"/>
              <w:jc w:val="center"/>
              <w:rPr>
                <w:rFonts w:ascii="宋体" w:hAnsi="宋体"/>
                <w:kern w:val="0"/>
                <w:szCs w:val="21"/>
              </w:rPr>
            </w:pPr>
            <w:r>
              <w:rPr>
                <w:rFonts w:ascii="宋体" w:hAnsi="宋体"/>
                <w:kern w:val="0"/>
                <w:szCs w:val="21"/>
              </w:rPr>
              <w:t>投标人对招标文件提出</w:t>
            </w:r>
            <w:r>
              <w:rPr>
                <w:rFonts w:hint="eastAsia" w:ascii="宋体" w:hAnsi="宋体"/>
                <w:kern w:val="0"/>
                <w:szCs w:val="21"/>
              </w:rPr>
              <w:t>疑问</w:t>
            </w:r>
            <w:r>
              <w:rPr>
                <w:rFonts w:ascii="宋体" w:hAnsi="宋体"/>
                <w:kern w:val="0"/>
                <w:szCs w:val="21"/>
              </w:rPr>
              <w:t>的截止时间</w:t>
            </w:r>
          </w:p>
        </w:tc>
        <w:tc>
          <w:tcPr>
            <w:tcW w:w="6490"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投标人应仔细</w:t>
            </w:r>
            <w:r>
              <w:rPr>
                <w:rFonts w:hint="eastAsia" w:ascii="宋体" w:hAnsi="宋体"/>
                <w:kern w:val="0"/>
                <w:szCs w:val="21"/>
              </w:rPr>
              <w:t>阅读</w:t>
            </w:r>
            <w:r>
              <w:rPr>
                <w:rFonts w:ascii="宋体" w:hAnsi="宋体"/>
                <w:kern w:val="0"/>
                <w:szCs w:val="21"/>
              </w:rPr>
              <w:t>招标文件</w:t>
            </w:r>
            <w:r>
              <w:rPr>
                <w:rFonts w:hint="eastAsia" w:ascii="宋体" w:hAnsi="宋体"/>
                <w:kern w:val="0"/>
                <w:szCs w:val="21"/>
              </w:rPr>
              <w:t>及附件</w:t>
            </w:r>
            <w:r>
              <w:rPr>
                <w:rFonts w:ascii="宋体" w:hAnsi="宋体"/>
                <w:kern w:val="0"/>
                <w:szCs w:val="21"/>
              </w:rPr>
              <w:t>的所有内容，如有文字表述不清，图纸尺寸标注不明以及存在错、漏、缺、概念模糊和有可能出现歧义或理解上的偏差的内容等应</w:t>
            </w:r>
            <w:r>
              <w:rPr>
                <w:rFonts w:hint="eastAsia" w:ascii="宋体" w:hAnsi="宋体" w:cs="宋体"/>
                <w:kern w:val="0"/>
                <w:szCs w:val="21"/>
              </w:rPr>
              <w:t>在招标公告规定的时间</w:t>
            </w:r>
            <w:r>
              <w:rPr>
                <w:rFonts w:ascii="宋体" w:hAnsi="宋体"/>
                <w:kern w:val="0"/>
                <w:szCs w:val="21"/>
              </w:rPr>
              <w:t>前</w:t>
            </w:r>
            <w:r>
              <w:rPr>
                <w:rFonts w:hint="eastAsia" w:ascii="宋体" w:hAnsi="宋体"/>
                <w:kern w:val="0"/>
                <w:szCs w:val="21"/>
              </w:rPr>
              <w:t>在本项目招标公告网页下方“我要提问”栏</w:t>
            </w:r>
            <w:r>
              <w:rPr>
                <w:rFonts w:ascii="宋体" w:hAnsi="宋体"/>
                <w:kern w:val="0"/>
                <w:szCs w:val="21"/>
              </w:rPr>
              <w:t>提交。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Merge w:val="restart"/>
            <w:vAlign w:val="center"/>
          </w:tcPr>
          <w:p>
            <w:pPr>
              <w:snapToGrid w:val="0"/>
              <w:spacing w:line="400" w:lineRule="exact"/>
              <w:jc w:val="center"/>
              <w:rPr>
                <w:rFonts w:ascii="宋体" w:hAnsi="宋体"/>
                <w:kern w:val="0"/>
                <w:szCs w:val="21"/>
              </w:rPr>
            </w:pPr>
            <w:r>
              <w:rPr>
                <w:rFonts w:ascii="宋体" w:hAnsi="宋体"/>
                <w:kern w:val="0"/>
                <w:szCs w:val="21"/>
              </w:rPr>
              <w:t>2.2.2</w:t>
            </w:r>
          </w:p>
        </w:tc>
        <w:tc>
          <w:tcPr>
            <w:tcW w:w="1644" w:type="dxa"/>
            <w:tcBorders>
              <w:top w:val="single" w:color="auto" w:sz="4" w:space="0"/>
            </w:tcBorders>
            <w:vAlign w:val="center"/>
          </w:tcPr>
          <w:p>
            <w:pPr>
              <w:snapToGrid w:val="0"/>
              <w:spacing w:line="400" w:lineRule="exact"/>
              <w:jc w:val="center"/>
              <w:rPr>
                <w:rFonts w:ascii="宋体" w:hAnsi="宋体"/>
                <w:kern w:val="0"/>
                <w:szCs w:val="21"/>
              </w:rPr>
            </w:pPr>
            <w:r>
              <w:rPr>
                <w:rFonts w:ascii="宋体" w:hAnsi="宋体"/>
                <w:kern w:val="0"/>
                <w:szCs w:val="21"/>
              </w:rPr>
              <w:t>招标人对招标文件澄清的截止时间</w:t>
            </w:r>
          </w:p>
        </w:tc>
        <w:tc>
          <w:tcPr>
            <w:tcW w:w="6490" w:type="dxa"/>
            <w:vAlign w:val="center"/>
          </w:tcPr>
          <w:p>
            <w:pPr>
              <w:snapToGrid w:val="0"/>
              <w:spacing w:line="400" w:lineRule="exact"/>
              <w:ind w:firstLine="420" w:firstLineChars="200"/>
              <w:rPr>
                <w:rFonts w:ascii="宋体" w:hAnsi="宋体"/>
                <w:snapToGrid w:val="0"/>
                <w:kern w:val="0"/>
                <w:szCs w:val="21"/>
              </w:rPr>
            </w:pPr>
            <w:r>
              <w:rPr>
                <w:rFonts w:hint="eastAsia" w:ascii="宋体" w:hAnsi="宋体"/>
                <w:szCs w:val="21"/>
              </w:rPr>
              <w:t>招标人应在招标公告规定的时间前</w:t>
            </w:r>
            <w:r>
              <w:rPr>
                <w:rFonts w:ascii="宋体" w:hAnsi="宋体"/>
                <w:szCs w:val="21"/>
              </w:rPr>
              <w:t>，</w:t>
            </w:r>
            <w:r>
              <w:rPr>
                <w:rFonts w:ascii="宋体" w:hAnsi="宋体"/>
                <w:kern w:val="0"/>
                <w:szCs w:val="21"/>
              </w:rPr>
              <w:t>在</w:t>
            </w:r>
            <w:r>
              <w:rPr>
                <w:rFonts w:hint="eastAsia" w:ascii="宋体" w:hAnsi="宋体"/>
                <w:kern w:val="0"/>
                <w:szCs w:val="21"/>
                <w:u w:val="single"/>
              </w:rPr>
              <w:t>重庆市公共资源交易网</w:t>
            </w:r>
            <w:r>
              <w:rPr>
                <w:rFonts w:ascii="宋体" w:hAnsi="宋体"/>
                <w:kern w:val="0"/>
                <w:szCs w:val="21"/>
              </w:rPr>
              <w:t>发布</w:t>
            </w:r>
            <w:r>
              <w:rPr>
                <w:rFonts w:hint="eastAsia" w:ascii="宋体" w:hAnsi="宋体"/>
                <w:kern w:val="0"/>
                <w:szCs w:val="21"/>
              </w:rPr>
              <w:t>澄清</w:t>
            </w:r>
            <w:r>
              <w:rPr>
                <w:rFonts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5" w:type="dxa"/>
            <w:vMerge w:val="continue"/>
            <w:vAlign w:val="center"/>
          </w:tcPr>
          <w:p>
            <w:pPr>
              <w:snapToGrid w:val="0"/>
              <w:spacing w:line="400" w:lineRule="exact"/>
              <w:jc w:val="center"/>
              <w:rPr>
                <w:rFonts w:ascii="宋体" w:hAnsi="宋体"/>
                <w:kern w:val="0"/>
                <w:szCs w:val="21"/>
              </w:rPr>
            </w:pP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投标截止时间</w:t>
            </w:r>
          </w:p>
        </w:tc>
        <w:tc>
          <w:tcPr>
            <w:tcW w:w="6490" w:type="dxa"/>
            <w:vAlign w:val="center"/>
          </w:tcPr>
          <w:p>
            <w:pPr>
              <w:snapToGrid w:val="0"/>
              <w:spacing w:line="400" w:lineRule="exact"/>
              <w:ind w:firstLine="420" w:firstLineChars="200"/>
              <w:rPr>
                <w:rFonts w:ascii="宋体" w:hAnsi="宋体"/>
                <w:szCs w:val="21"/>
                <w:u w:val="single"/>
              </w:rPr>
            </w:pPr>
            <w:r>
              <w:rPr>
                <w:rFonts w:hint="eastAsia" w:ascii="宋体" w:hAnsi="宋体"/>
                <w:szCs w:val="21"/>
              </w:rPr>
              <w:t>详见招标公告规定的投标截止时间。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2.2.3</w:t>
            </w:r>
          </w:p>
        </w:tc>
        <w:tc>
          <w:tcPr>
            <w:tcW w:w="1644" w:type="dxa"/>
            <w:vAlign w:val="center"/>
          </w:tcPr>
          <w:p>
            <w:pPr>
              <w:snapToGrid w:val="0"/>
              <w:spacing w:after="15" w:afterLines="5" w:line="400" w:lineRule="exact"/>
              <w:jc w:val="center"/>
              <w:rPr>
                <w:rFonts w:ascii="宋体" w:hAnsi="宋体"/>
                <w:kern w:val="0"/>
                <w:szCs w:val="21"/>
              </w:rPr>
            </w:pPr>
            <w:r>
              <w:rPr>
                <w:rFonts w:ascii="宋体" w:hAnsi="宋体"/>
                <w:kern w:val="0"/>
                <w:szCs w:val="21"/>
              </w:rPr>
              <w:t>招标人对招标文件进行</w:t>
            </w:r>
            <w:r>
              <w:rPr>
                <w:rFonts w:hint="eastAsia" w:ascii="宋体" w:hAnsi="宋体"/>
                <w:kern w:val="0"/>
                <w:szCs w:val="21"/>
              </w:rPr>
              <w:t>修改</w:t>
            </w:r>
            <w:r>
              <w:rPr>
                <w:rFonts w:ascii="宋体" w:hAnsi="宋体"/>
                <w:kern w:val="0"/>
                <w:szCs w:val="21"/>
              </w:rPr>
              <w:t>的时间</w:t>
            </w:r>
          </w:p>
        </w:tc>
        <w:tc>
          <w:tcPr>
            <w:tcW w:w="6490" w:type="dxa"/>
            <w:vAlign w:val="center"/>
          </w:tcPr>
          <w:p>
            <w:pPr>
              <w:snapToGrid w:val="0"/>
              <w:spacing w:line="400" w:lineRule="exact"/>
              <w:ind w:firstLine="420" w:firstLineChars="200"/>
              <w:rPr>
                <w:rFonts w:ascii="宋体" w:hAnsi="宋体"/>
                <w:szCs w:val="21"/>
              </w:rPr>
            </w:pPr>
            <w:r>
              <w:rPr>
                <w:rFonts w:hint="eastAsia" w:ascii="宋体" w:hAnsi="宋体"/>
                <w:snapToGrid w:val="0"/>
                <w:kern w:val="0"/>
                <w:szCs w:val="21"/>
              </w:rPr>
              <w:t>修改</w:t>
            </w:r>
            <w:r>
              <w:rPr>
                <w:rFonts w:ascii="宋体" w:hAnsi="宋体"/>
                <w:snapToGrid w:val="0"/>
                <w:kern w:val="0"/>
                <w:szCs w:val="21"/>
              </w:rPr>
              <w:t>内容可能影响投标文件编制的，须在投标截止时间15日前发布，发布时间至投标截止时间不足15日的，须相应延后投标截止时间。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2.2.4</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投标人对招标文件及澄清修改提出异议的截止时间</w:t>
            </w:r>
          </w:p>
        </w:tc>
        <w:tc>
          <w:tcPr>
            <w:tcW w:w="6490" w:type="dxa"/>
            <w:vAlign w:val="center"/>
          </w:tcPr>
          <w:p>
            <w:pPr>
              <w:snapToGrid w:val="0"/>
              <w:spacing w:line="400" w:lineRule="exact"/>
              <w:ind w:firstLine="420" w:firstLineChars="200"/>
              <w:rPr>
                <w:rFonts w:ascii="宋体" w:hAnsi="宋体"/>
                <w:snapToGrid w:val="0"/>
                <w:kern w:val="0"/>
                <w:szCs w:val="21"/>
              </w:rPr>
            </w:pPr>
            <w:r>
              <w:rPr>
                <w:rFonts w:ascii="宋体" w:hAnsi="宋体"/>
                <w:snapToGrid w:val="0"/>
                <w:kern w:val="0"/>
                <w:szCs w:val="21"/>
              </w:rPr>
              <w:t>投标人对招标文件和</w:t>
            </w:r>
            <w:r>
              <w:rPr>
                <w:rFonts w:hint="eastAsia" w:ascii="宋体" w:hAnsi="宋体"/>
                <w:snapToGrid w:val="0"/>
                <w:kern w:val="0"/>
                <w:szCs w:val="21"/>
              </w:rPr>
              <w:t>澄清修改</w:t>
            </w:r>
            <w:r>
              <w:rPr>
                <w:rFonts w:ascii="宋体" w:hAnsi="宋体"/>
                <w:snapToGrid w:val="0"/>
                <w:kern w:val="0"/>
                <w:szCs w:val="21"/>
              </w:rPr>
              <w:t>有异议的，应当在投标截止时间10日前，</w:t>
            </w:r>
            <w:bookmarkStart w:id="177" w:name="OLE_LINK7"/>
            <w:r>
              <w:rPr>
                <w:rFonts w:hint="eastAsia" w:ascii="宋体" w:hAnsi="宋体"/>
                <w:snapToGrid w:val="0"/>
                <w:kern w:val="0"/>
                <w:szCs w:val="21"/>
              </w:rPr>
              <w:t>以书面形式</w:t>
            </w:r>
            <w:r>
              <w:rPr>
                <w:rFonts w:hint="eastAsia" w:ascii="宋体" w:hAnsi="宋体"/>
                <w:snapToGrid w:val="0"/>
                <w:kern w:val="0"/>
                <w:szCs w:val="21"/>
                <w:lang w:val="en-US" w:eastAsia="zh-CN"/>
              </w:rPr>
              <w:t>向</w:t>
            </w:r>
            <w:r>
              <w:rPr>
                <w:rFonts w:hint="eastAsia" w:ascii="宋体" w:hAnsi="宋体"/>
                <w:snapToGrid w:val="0"/>
                <w:kern w:val="0"/>
                <w:szCs w:val="21"/>
              </w:rPr>
              <w:t>招标人或招标代理机构</w:t>
            </w:r>
            <w:r>
              <w:rPr>
                <w:rFonts w:hint="eastAsia" w:ascii="宋体" w:hAnsi="宋体"/>
                <w:snapToGrid w:val="0"/>
                <w:kern w:val="0"/>
                <w:szCs w:val="21"/>
                <w:lang w:val="en-US" w:eastAsia="zh-CN"/>
              </w:rPr>
              <w:t>提出</w:t>
            </w:r>
            <w:bookmarkEnd w:id="177"/>
            <w:r>
              <w:rPr>
                <w:rFonts w:ascii="宋体" w:hAnsi="宋体"/>
                <w:snapToGrid w:val="0"/>
                <w:kern w:val="0"/>
                <w:szCs w:val="21"/>
              </w:rPr>
              <w:t>。招标人应当自收到异议之日起3日内做出答复，</w:t>
            </w:r>
            <w:r>
              <w:rPr>
                <w:rFonts w:hint="eastAsia" w:ascii="宋体" w:hAnsi="宋体"/>
                <w:snapToGrid w:val="0"/>
                <w:kern w:val="0"/>
                <w:szCs w:val="21"/>
              </w:rPr>
              <w:t>答复内容可能影响投标文件编制的，将以修改的形式于投标截止时间15日前在</w:t>
            </w:r>
            <w:r>
              <w:rPr>
                <w:rFonts w:hint="eastAsia" w:ascii="宋体" w:hAnsi="宋体"/>
                <w:snapToGrid w:val="0"/>
                <w:kern w:val="0"/>
                <w:szCs w:val="21"/>
                <w:u w:val="single"/>
              </w:rPr>
              <w:t>重庆市公共资源交易网</w:t>
            </w:r>
            <w:r>
              <w:rPr>
                <w:rFonts w:hint="eastAsia" w:ascii="宋体" w:hAnsi="宋体"/>
                <w:snapToGrid w:val="0"/>
                <w:kern w:val="0"/>
                <w:szCs w:val="21"/>
              </w:rPr>
              <w:t>澄清修改区发布，发布时间至投标截止时间不足15日的，须相应延后投标截止时间。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3.1.1</w:t>
            </w:r>
          </w:p>
        </w:tc>
        <w:tc>
          <w:tcPr>
            <w:tcW w:w="1644" w:type="dxa"/>
            <w:vAlign w:val="center"/>
          </w:tcPr>
          <w:p>
            <w:pPr>
              <w:snapToGrid w:val="0"/>
              <w:spacing w:after="31" w:afterLines="10" w:line="400" w:lineRule="exact"/>
              <w:jc w:val="center"/>
              <w:rPr>
                <w:rFonts w:ascii="宋体" w:hAnsi="宋体"/>
                <w:kern w:val="0"/>
                <w:szCs w:val="21"/>
              </w:rPr>
            </w:pPr>
            <w:r>
              <w:rPr>
                <w:rFonts w:ascii="宋体" w:hAnsi="宋体"/>
                <w:kern w:val="0"/>
                <w:szCs w:val="21"/>
              </w:rPr>
              <w:t>构成投标文件的其他材料</w:t>
            </w:r>
          </w:p>
        </w:tc>
        <w:tc>
          <w:tcPr>
            <w:tcW w:w="6490" w:type="dxa"/>
            <w:vAlign w:val="center"/>
          </w:tcPr>
          <w:p>
            <w:pPr>
              <w:snapToGrid w:val="0"/>
              <w:spacing w:line="400" w:lineRule="exact"/>
              <w:ind w:firstLine="420" w:firstLineChars="200"/>
              <w:rPr>
                <w:rFonts w:ascii="宋体" w:hAnsi="宋体"/>
                <w:szCs w:val="21"/>
              </w:rPr>
            </w:pPr>
            <w:r>
              <w:rPr>
                <w:rFonts w:ascii="宋体" w:hAnsi="宋体"/>
                <w:szCs w:val="21"/>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3.2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投标报价</w:t>
            </w:r>
          </w:p>
        </w:tc>
        <w:tc>
          <w:tcPr>
            <w:tcW w:w="6490" w:type="dxa"/>
            <w:vAlign w:val="center"/>
          </w:tcPr>
          <w:p>
            <w:pPr>
              <w:pStyle w:val="2"/>
              <w:tabs>
                <w:tab w:val="left" w:pos="546"/>
                <w:tab w:val="left" w:pos="711"/>
              </w:tabs>
              <w:snapToGrid w:val="0"/>
              <w:spacing w:after="0" w:line="400" w:lineRule="exact"/>
              <w:ind w:firstLine="420" w:firstLineChars="200"/>
              <w:rPr>
                <w:rFonts w:ascii="宋体" w:hAnsi="宋体" w:cs="宋体"/>
                <w:szCs w:val="21"/>
              </w:rPr>
            </w:pPr>
            <w:r>
              <w:rPr>
                <w:rFonts w:ascii="宋体" w:hAnsi="宋体"/>
                <w:szCs w:val="21"/>
              </w:rPr>
              <w:t>1.</w:t>
            </w:r>
            <w:r>
              <w:rPr>
                <w:rFonts w:hint="eastAsia" w:ascii="宋体" w:hAnsi="宋体" w:cs="宋体"/>
                <w:szCs w:val="21"/>
              </w:rPr>
              <w:t>使用</w:t>
            </w:r>
            <w:r>
              <w:rPr>
                <w:rFonts w:hint="eastAsia" w:ascii="宋体" w:hAnsi="宋体" w:cs="宋体"/>
                <w:szCs w:val="21"/>
                <w:lang w:val="en-US" w:eastAsia="zh-CN"/>
              </w:rPr>
              <w:t>财政资金或</w:t>
            </w:r>
            <w:r>
              <w:rPr>
                <w:rFonts w:hint="eastAsia" w:ascii="宋体" w:hAnsi="宋体" w:cs="宋体"/>
                <w:szCs w:val="21"/>
              </w:rPr>
              <w:t>国有资金投资的建设工程，</w:t>
            </w:r>
            <w:r>
              <w:rPr>
                <w:rFonts w:hint="eastAsia" w:ascii="宋体" w:hAnsi="宋体" w:cs="宋体"/>
                <w:szCs w:val="21"/>
                <w:lang w:val="en-US" w:eastAsia="zh-CN"/>
              </w:rPr>
              <w:t>应按国家及行业工程量计算标准编制工程量清单</w:t>
            </w:r>
            <w:r>
              <w:rPr>
                <w:rFonts w:hint="eastAsia" w:ascii="宋体" w:hAnsi="宋体" w:cs="宋体"/>
                <w:szCs w:val="21"/>
                <w:lang w:eastAsia="zh-CN"/>
              </w:rPr>
              <w:t>，</w:t>
            </w:r>
            <w:r>
              <w:rPr>
                <w:rFonts w:hint="eastAsia" w:ascii="宋体" w:hAnsi="宋体" w:cs="宋体"/>
                <w:szCs w:val="21"/>
                <w:lang w:val="en-US" w:eastAsia="zh-CN"/>
              </w:rPr>
              <w:t>采用工程量清单计价</w:t>
            </w:r>
            <w:r>
              <w:rPr>
                <w:rFonts w:hint="eastAsia" w:ascii="宋体" w:hAnsi="宋体" w:cs="宋体"/>
                <w:szCs w:val="21"/>
              </w:rPr>
              <w:t>。</w:t>
            </w:r>
          </w:p>
          <w:p>
            <w:pPr>
              <w:pStyle w:val="2"/>
              <w:tabs>
                <w:tab w:val="left" w:pos="546"/>
                <w:tab w:val="left" w:pos="711"/>
              </w:tabs>
              <w:snapToGrid w:val="0"/>
              <w:spacing w:after="0" w:line="400" w:lineRule="exact"/>
              <w:ind w:left="6" w:leftChars="3" w:firstLine="420" w:firstLineChars="200"/>
              <w:rPr>
                <w:rFonts w:ascii="宋体" w:hAnsi="宋体" w:cs="宋体"/>
                <w:szCs w:val="21"/>
              </w:rPr>
            </w:pPr>
            <w:r>
              <w:rPr>
                <w:rFonts w:ascii="宋体" w:hAnsi="宋体" w:cs="宋体"/>
                <w:szCs w:val="21"/>
              </w:rPr>
              <w:t>2.</w:t>
            </w:r>
            <w:r>
              <w:rPr>
                <w:rFonts w:hint="eastAsia" w:ascii="宋体" w:hAnsi="宋体" w:cs="宋体"/>
                <w:szCs w:val="21"/>
              </w:rPr>
              <w:t>投标人应按</w:t>
            </w:r>
            <w:r>
              <w:rPr>
                <w:rFonts w:hint="eastAsia" w:ascii="宋体" w:hAnsi="宋体" w:cs="宋体"/>
                <w:szCs w:val="21"/>
                <w:lang w:val="en-US" w:eastAsia="zh-CN"/>
              </w:rPr>
              <w:t>照住房城乡建设行业主管部门相关规定</w:t>
            </w:r>
            <w:r>
              <w:rPr>
                <w:rFonts w:hint="eastAsia" w:ascii="宋体" w:hAnsi="宋体" w:cs="宋体"/>
                <w:szCs w:val="21"/>
              </w:rPr>
              <w:t>和第五章“工程量清单”的要求填写相应清单表格。投标人的投标报价应是本章投标人须知前附表第1.3.1项中所述的本工程合同段招标范围内的全部工程的投标报价，并以投标人在工程量清单中提出的单价或总价为依据。</w:t>
            </w:r>
          </w:p>
          <w:p>
            <w:pPr>
              <w:tabs>
                <w:tab w:val="left" w:pos="546"/>
                <w:tab w:val="left" w:pos="711"/>
              </w:tabs>
              <w:snapToGrid w:val="0"/>
              <w:spacing w:line="400" w:lineRule="exact"/>
              <w:ind w:left="6" w:leftChars="3" w:firstLine="420" w:firstLineChars="200"/>
              <w:rPr>
                <w:rFonts w:ascii="宋体" w:hAnsi="宋体"/>
                <w:szCs w:val="21"/>
              </w:rPr>
            </w:pPr>
            <w:r>
              <w:rPr>
                <w:rFonts w:ascii="宋体" w:hAnsi="宋体" w:cs="宋体"/>
                <w:szCs w:val="21"/>
              </w:rPr>
              <w:t>3.</w:t>
            </w:r>
            <w:r>
              <w:rPr>
                <w:rFonts w:hint="eastAsia" w:ascii="宋体" w:hAnsi="宋体" w:cs="宋体"/>
                <w:szCs w:val="21"/>
              </w:rPr>
              <w:t>投标人应认真填写工程量清单中所列的本合同各工程子目的单价或总价。投标人没有填入单价或总价的工程子目，招标人将认为该子目的价款已包括在工程量清单其他子目的单价和总价中。投标人必须按招标工程量清单填报价格。项目编码、项目名称、项目特征、计量单位、工程量必须与招标工程量清单一致。否则由评标委员会作</w:t>
            </w:r>
            <w:r>
              <w:rPr>
                <w:rFonts w:hint="eastAsia" w:ascii="宋体" w:hAnsi="宋体"/>
                <w:szCs w:val="21"/>
              </w:rPr>
              <w:t>否决投标处理。</w:t>
            </w:r>
          </w:p>
          <w:p>
            <w:pPr>
              <w:tabs>
                <w:tab w:val="left" w:pos="546"/>
                <w:tab w:val="left" w:pos="711"/>
              </w:tabs>
              <w:snapToGrid w:val="0"/>
              <w:spacing w:line="400" w:lineRule="exact"/>
              <w:ind w:left="6" w:leftChars="3" w:firstLine="420" w:firstLineChars="200"/>
              <w:rPr>
                <w:rFonts w:ascii="宋体" w:hAnsi="宋体"/>
                <w:szCs w:val="21"/>
              </w:rPr>
            </w:pPr>
            <w:r>
              <w:rPr>
                <w:rFonts w:hint="eastAsia" w:ascii="宋体" w:hAnsi="宋体"/>
                <w:szCs w:val="21"/>
              </w:rPr>
              <w:t>注：评标过程中，评标委员会可以运用评标系统辅助工具对投标人投标工程量清单进行清标。当清标结果显红时，评标委员会应深入了解显红的原因后，对照招标文件否决投标情况一览表的规定，对确实不满足招标文件相关要求的，方可作否决投标处理。</w:t>
            </w:r>
          </w:p>
          <w:p>
            <w:pPr>
              <w:tabs>
                <w:tab w:val="left" w:pos="546"/>
                <w:tab w:val="left" w:pos="711"/>
              </w:tabs>
              <w:snapToGrid w:val="0"/>
              <w:spacing w:line="400" w:lineRule="exact"/>
              <w:ind w:left="6" w:leftChars="3" w:firstLine="420" w:firstLineChars="200"/>
              <w:rPr>
                <w:rFonts w:ascii="宋体" w:hAnsi="宋体" w:cs="宋体"/>
                <w:szCs w:val="21"/>
              </w:rPr>
            </w:pPr>
            <w:r>
              <w:rPr>
                <w:rFonts w:ascii="宋体" w:hAnsi="宋体" w:cs="宋体"/>
                <w:szCs w:val="21"/>
              </w:rPr>
              <w:t>4.</w:t>
            </w:r>
            <w:r>
              <w:rPr>
                <w:rFonts w:hint="eastAsia" w:ascii="宋体" w:hAnsi="宋体" w:cs="宋体"/>
                <w:szCs w:val="21"/>
              </w:rPr>
              <w:t>投标函中的总报价与已标价工程量清单总报价</w:t>
            </w:r>
            <w:r>
              <w:rPr>
                <w:rFonts w:hint="eastAsia" w:ascii="宋体" w:hAnsi="宋体" w:cs="宋体"/>
                <w:szCs w:val="21"/>
                <w:lang w:val="en-US" w:eastAsia="zh-CN"/>
              </w:rPr>
              <w:t>不</w:t>
            </w:r>
            <w:r>
              <w:rPr>
                <w:rFonts w:hint="eastAsia" w:ascii="宋体" w:hAnsi="宋体" w:cs="宋体"/>
                <w:szCs w:val="21"/>
              </w:rPr>
              <w:t>一致</w:t>
            </w:r>
            <w:r>
              <w:rPr>
                <w:rFonts w:hint="eastAsia" w:ascii="宋体" w:hAnsi="宋体" w:cs="宋体"/>
                <w:szCs w:val="21"/>
                <w:lang w:eastAsia="zh-CN"/>
              </w:rPr>
              <w:t>，</w:t>
            </w:r>
            <w:r>
              <w:rPr>
                <w:rFonts w:hint="eastAsia" w:ascii="宋体" w:hAnsi="宋体" w:cs="宋体"/>
                <w:szCs w:val="21"/>
                <w:lang w:val="en-US" w:eastAsia="zh-CN"/>
              </w:rPr>
              <w:t>或</w:t>
            </w:r>
            <w:r>
              <w:rPr>
                <w:rFonts w:hint="eastAsia" w:ascii="宋体" w:hAnsi="宋体" w:cs="宋体"/>
                <w:szCs w:val="21"/>
              </w:rPr>
              <w:t>工程量清单总报价与依据单价、工程数量、分部分项工程合价计算出的结果</w:t>
            </w:r>
            <w:r>
              <w:rPr>
                <w:rFonts w:hint="eastAsia" w:ascii="宋体" w:hAnsi="宋体" w:cs="宋体"/>
                <w:szCs w:val="21"/>
                <w:lang w:val="en-US" w:eastAsia="zh-CN"/>
              </w:rPr>
              <w:t>不</w:t>
            </w:r>
            <w:r>
              <w:rPr>
                <w:rFonts w:hint="eastAsia" w:ascii="宋体" w:hAnsi="宋体" w:cs="宋体"/>
                <w:szCs w:val="21"/>
              </w:rPr>
              <w:t>一致，由评标委员会作否决投标处理</w:t>
            </w:r>
            <w:r>
              <w:rPr>
                <w:rFonts w:hint="eastAsia" w:ascii="宋体" w:hAnsi="宋体" w:cs="宋体"/>
                <w:szCs w:val="21"/>
                <w:lang w:eastAsia="zh-CN"/>
              </w:rPr>
              <w:t>（</w:t>
            </w:r>
            <w:r>
              <w:rPr>
                <w:rFonts w:hint="eastAsia" w:ascii="宋体" w:hAnsi="宋体" w:cs="宋体"/>
                <w:szCs w:val="21"/>
                <w:lang w:val="en-US" w:eastAsia="zh-CN"/>
              </w:rPr>
              <w:t>如有</w:t>
            </w:r>
            <w:r>
              <w:rPr>
                <w:rFonts w:hint="eastAsia" w:ascii="宋体" w:hAnsi="宋体" w:cs="宋体"/>
                <w:szCs w:val="21"/>
                <w:lang w:eastAsia="zh-CN"/>
              </w:rPr>
              <w:t>）</w:t>
            </w:r>
            <w:r>
              <w:rPr>
                <w:rFonts w:hint="eastAsia" w:ascii="宋体" w:hAnsi="宋体" w:cs="宋体"/>
                <w:szCs w:val="21"/>
              </w:rPr>
              <w:t>。</w:t>
            </w:r>
          </w:p>
          <w:p>
            <w:pPr>
              <w:pStyle w:val="2"/>
              <w:tabs>
                <w:tab w:val="left" w:pos="546"/>
                <w:tab w:val="left" w:pos="711"/>
              </w:tabs>
              <w:snapToGrid w:val="0"/>
              <w:spacing w:after="0" w:line="400" w:lineRule="exact"/>
              <w:ind w:left="6" w:leftChars="3" w:firstLine="420" w:firstLineChars="200"/>
              <w:rPr>
                <w:rFonts w:ascii="宋体" w:hAnsi="宋体" w:cs="宋体"/>
                <w:szCs w:val="21"/>
              </w:rPr>
            </w:pPr>
            <w:r>
              <w:rPr>
                <w:rFonts w:ascii="宋体" w:hAnsi="宋体" w:cs="宋体"/>
                <w:szCs w:val="21"/>
              </w:rPr>
              <w:t>5.</w:t>
            </w:r>
            <w:r>
              <w:rPr>
                <w:rFonts w:hint="eastAsia" w:ascii="宋体" w:hAnsi="宋体" w:cs="宋体"/>
                <w:szCs w:val="21"/>
                <w:u w:val="single"/>
              </w:rPr>
              <w:t>（1）在合同实施期间，单价和总价按专用合同条款第11条的规定可调整。</w:t>
            </w:r>
          </w:p>
          <w:p>
            <w:pPr>
              <w:pStyle w:val="2"/>
              <w:tabs>
                <w:tab w:val="left" w:pos="546"/>
                <w:tab w:val="left" w:pos="711"/>
              </w:tabs>
              <w:snapToGrid w:val="0"/>
              <w:spacing w:after="0" w:line="400" w:lineRule="exact"/>
              <w:ind w:left="6" w:leftChars="3" w:firstLine="420" w:firstLineChars="200"/>
              <w:rPr>
                <w:rFonts w:ascii="宋体" w:hAnsi="宋体" w:cs="宋体"/>
                <w:szCs w:val="21"/>
              </w:rPr>
            </w:pPr>
            <w:r>
              <w:rPr>
                <w:rFonts w:hint="eastAsia" w:ascii="宋体" w:hAnsi="宋体" w:cs="宋体"/>
                <w:szCs w:val="21"/>
              </w:rPr>
              <w:t>（2）增值税计税方法由招标人依据国家税法规定选择：</w:t>
            </w:r>
          </w:p>
          <w:p>
            <w:pPr>
              <w:pStyle w:val="2"/>
              <w:tabs>
                <w:tab w:val="left" w:pos="546"/>
                <w:tab w:val="left" w:pos="711"/>
              </w:tabs>
              <w:snapToGrid w:val="0"/>
              <w:spacing w:after="0" w:line="400" w:lineRule="exact"/>
              <w:ind w:left="6" w:leftChars="3" w:firstLine="420" w:firstLineChars="200"/>
              <w:rPr>
                <w:rFonts w:ascii="宋体" w:hAnsi="宋体" w:cs="宋体"/>
                <w:szCs w:val="21"/>
              </w:rPr>
            </w:pPr>
            <w:r>
              <w:rPr>
                <w:rFonts w:hint="eastAsia" w:ascii="宋体" w:hAnsi="宋体" w:cs="宋体"/>
                <w:szCs w:val="21"/>
              </w:rPr>
              <w:t>□一般计税法</w:t>
            </w:r>
          </w:p>
          <w:p>
            <w:pPr>
              <w:pStyle w:val="2"/>
              <w:tabs>
                <w:tab w:val="left" w:pos="546"/>
                <w:tab w:val="left" w:pos="711"/>
              </w:tabs>
              <w:snapToGrid w:val="0"/>
              <w:spacing w:after="0" w:line="400" w:lineRule="exact"/>
              <w:ind w:left="6" w:leftChars="3" w:firstLine="420" w:firstLineChars="200"/>
              <w:rPr>
                <w:rFonts w:ascii="宋体" w:hAnsi="宋体" w:cs="宋体"/>
                <w:szCs w:val="21"/>
              </w:rPr>
            </w:pPr>
            <w:r>
              <w:rPr>
                <w:rFonts w:hint="eastAsia" w:ascii="宋体" w:hAnsi="宋体" w:cs="宋体"/>
                <w:szCs w:val="21"/>
              </w:rPr>
              <w:t>□简易计税法</w:t>
            </w:r>
          </w:p>
          <w:p>
            <w:pPr>
              <w:pStyle w:val="2"/>
              <w:tabs>
                <w:tab w:val="left" w:pos="546"/>
                <w:tab w:val="left" w:pos="711"/>
              </w:tabs>
              <w:snapToGrid w:val="0"/>
              <w:spacing w:after="0" w:line="400" w:lineRule="exact"/>
              <w:ind w:left="6" w:leftChars="3" w:firstLine="420" w:firstLineChars="200"/>
              <w:rPr>
                <w:rFonts w:ascii="宋体" w:hAnsi="宋体" w:cs="宋体"/>
                <w:i/>
                <w:szCs w:val="21"/>
              </w:rPr>
            </w:pPr>
            <w:r>
              <w:rPr>
                <w:rFonts w:hint="eastAsia" w:ascii="宋体" w:hAnsi="宋体" w:cs="宋体"/>
                <w:i/>
                <w:szCs w:val="21"/>
              </w:rPr>
              <w:t>[提示：招标人在编制招标文件时增值税计算方法选其一。]</w:t>
            </w:r>
          </w:p>
          <w:p>
            <w:pPr>
              <w:pStyle w:val="2"/>
              <w:tabs>
                <w:tab w:val="left" w:pos="546"/>
                <w:tab w:val="left" w:pos="711"/>
              </w:tabs>
              <w:snapToGrid w:val="0"/>
              <w:spacing w:after="0" w:line="400" w:lineRule="exact"/>
              <w:ind w:left="6" w:leftChars="3" w:firstLine="420" w:firstLineChars="200"/>
              <w:rPr>
                <w:rFonts w:ascii="宋体" w:hAnsi="宋体" w:cs="宋体"/>
                <w:szCs w:val="21"/>
              </w:rPr>
            </w:pPr>
            <w:r>
              <w:rPr>
                <w:rFonts w:ascii="宋体" w:hAnsi="宋体" w:cs="宋体"/>
                <w:szCs w:val="21"/>
              </w:rPr>
              <w:t>6.</w:t>
            </w:r>
            <w:r>
              <w:rPr>
                <w:rFonts w:hint="eastAsia" w:ascii="宋体" w:hAnsi="宋体" w:cs="宋体"/>
                <w:szCs w:val="21"/>
              </w:rPr>
              <w:t>如发现工程量清单中的数量与图纸中数量不一致，应于本须知第2.2.1项中规定的时间前书面通知招标人核查，除非招标人以修改的形式予以更正，否则，应以工程量清单中列出的数量为准。</w:t>
            </w:r>
          </w:p>
          <w:p>
            <w:pPr>
              <w:tabs>
                <w:tab w:val="left" w:pos="546"/>
                <w:tab w:val="left" w:pos="711"/>
              </w:tabs>
              <w:snapToGrid w:val="0"/>
              <w:spacing w:line="400" w:lineRule="exact"/>
              <w:ind w:firstLine="420" w:firstLineChars="200"/>
              <w:rPr>
                <w:rFonts w:ascii="宋体" w:hAnsi="宋体"/>
                <w:szCs w:val="21"/>
              </w:rPr>
            </w:pPr>
            <w:r>
              <w:rPr>
                <w:rFonts w:ascii="宋体" w:hAnsi="宋体" w:cs="宋体"/>
                <w:szCs w:val="21"/>
              </w:rPr>
              <w:t>7.</w:t>
            </w:r>
            <w:r>
              <w:rPr>
                <w:rFonts w:hint="eastAsia" w:ascii="宋体" w:hAnsi="宋体" w:cs="宋体"/>
                <w:szCs w:val="21"/>
              </w:rPr>
              <w:t>招标人在工程量清单中所列出的暂列金额、暂估价等暂定金额，投标人不得修改</w:t>
            </w:r>
            <w:r>
              <w:rPr>
                <w:rFonts w:hint="eastAsia" w:ascii="宋体" w:hAnsi="宋体"/>
                <w:szCs w:val="21"/>
              </w:rPr>
              <w:t>，否则由评标委员会作否决投标处理。</w:t>
            </w:r>
          </w:p>
          <w:p>
            <w:pPr>
              <w:tabs>
                <w:tab w:val="left" w:pos="546"/>
                <w:tab w:val="left" w:pos="711"/>
              </w:tabs>
              <w:snapToGrid w:val="0"/>
              <w:spacing w:line="400" w:lineRule="exact"/>
              <w:ind w:firstLine="420" w:firstLineChars="200"/>
              <w:rPr>
                <w:rFonts w:ascii="宋体" w:hAnsi="宋体"/>
                <w:szCs w:val="21"/>
              </w:rPr>
            </w:pPr>
            <w:r>
              <w:rPr>
                <w:rFonts w:ascii="宋体" w:hAnsi="宋体" w:cs="宋体"/>
                <w:szCs w:val="21"/>
              </w:rPr>
              <w:t>8.</w:t>
            </w:r>
            <w:r>
              <w:rPr>
                <w:rFonts w:hint="eastAsia" w:ascii="宋体" w:hAnsi="宋体" w:cs="宋体"/>
                <w:szCs w:val="21"/>
              </w:rPr>
              <w:t>本工程招标将设置投标总报价最高限价，投标总报价最高限价</w:t>
            </w:r>
            <w:r>
              <w:rPr>
                <w:rFonts w:hint="eastAsia" w:ascii="宋体" w:hAnsi="宋体" w:cs="宋体"/>
                <w:szCs w:val="21"/>
                <w:u w:val="single"/>
              </w:rPr>
              <w:t>最迟应于投标截止日15日前</w:t>
            </w:r>
            <w:r>
              <w:rPr>
                <w:rFonts w:hint="eastAsia" w:ascii="宋体" w:hAnsi="宋体" w:cs="宋体"/>
                <w:szCs w:val="21"/>
              </w:rPr>
              <w:t>发布，投标人的投标总报价不得超过投标总报价最高限价，否则由评标委员会作</w:t>
            </w:r>
            <w:r>
              <w:rPr>
                <w:rFonts w:hint="eastAsia" w:ascii="宋体" w:hAnsi="宋体"/>
                <w:szCs w:val="21"/>
              </w:rPr>
              <w:t>否决投标处理。</w:t>
            </w:r>
          </w:p>
          <w:p>
            <w:pPr>
              <w:tabs>
                <w:tab w:val="left" w:pos="546"/>
                <w:tab w:val="left" w:pos="711"/>
              </w:tabs>
              <w:snapToGrid w:val="0"/>
              <w:spacing w:line="400" w:lineRule="exact"/>
              <w:ind w:firstLine="420" w:firstLineChars="200"/>
              <w:rPr>
                <w:rFonts w:ascii="宋体" w:hAnsi="宋体" w:cs="宋体"/>
                <w:szCs w:val="21"/>
              </w:rPr>
            </w:pPr>
            <w:r>
              <w:rPr>
                <w:rFonts w:hint="eastAsia" w:ascii="宋体" w:hAnsi="宋体" w:cs="宋体"/>
                <w:szCs w:val="21"/>
              </w:rPr>
              <w:t>本工程招标将设置全部清单综合单价最高限价，全部清单综合单价最高限价</w:t>
            </w:r>
            <w:r>
              <w:rPr>
                <w:rFonts w:hint="eastAsia" w:ascii="宋体" w:hAnsi="宋体" w:cs="宋体"/>
                <w:szCs w:val="21"/>
                <w:u w:val="single"/>
              </w:rPr>
              <w:t>最迟应于投标截止日15日前</w:t>
            </w:r>
            <w:r>
              <w:rPr>
                <w:rFonts w:hint="eastAsia" w:ascii="宋体" w:hAnsi="宋体" w:cs="宋体"/>
                <w:szCs w:val="21"/>
              </w:rPr>
              <w:t>发布，投标人的每项清单综合单价报价不得超过每项清单综合单价最高限价，否则由评标委员会作否决投标处理。</w:t>
            </w:r>
          </w:p>
          <w:p>
            <w:pPr>
              <w:pStyle w:val="2"/>
              <w:tabs>
                <w:tab w:val="left" w:pos="546"/>
                <w:tab w:val="left" w:pos="711"/>
              </w:tabs>
              <w:snapToGrid w:val="0"/>
              <w:spacing w:after="0" w:line="400" w:lineRule="exact"/>
              <w:ind w:firstLine="420" w:firstLineChars="200"/>
              <w:rPr>
                <w:rFonts w:ascii="宋体" w:hAnsi="宋体" w:cs="宋体"/>
                <w:i/>
                <w:szCs w:val="21"/>
              </w:rPr>
            </w:pPr>
            <w:r>
              <w:rPr>
                <w:rFonts w:hint="eastAsia" w:ascii="宋体" w:hAnsi="宋体" w:cs="宋体"/>
                <w:i/>
                <w:szCs w:val="21"/>
              </w:rPr>
              <w:t>[提示：</w:t>
            </w:r>
            <w:r>
              <w:rPr>
                <w:rFonts w:hint="eastAsia" w:ascii="宋体" w:hAnsi="宋体" w:cs="宋体"/>
                <w:i/>
                <w:szCs w:val="21"/>
                <w:lang w:val="en-US" w:eastAsia="zh-CN"/>
              </w:rPr>
              <w:t>建设工程招标设有最高限价的，应按国家有关规定编制最高限价，并在发布招标文件时公布最高限价及编制依据</w:t>
            </w:r>
            <w:r>
              <w:rPr>
                <w:rFonts w:hint="eastAsia" w:ascii="宋体" w:hAnsi="宋体" w:cs="宋体"/>
                <w:i/>
                <w:szCs w:val="21"/>
              </w:rPr>
              <w:t>；不设最高限价的，编制招标文件时取消本条。]</w:t>
            </w:r>
          </w:p>
          <w:p>
            <w:pPr>
              <w:pStyle w:val="2"/>
              <w:spacing w:after="0" w:line="400" w:lineRule="exact"/>
              <w:ind w:firstLine="420" w:firstLineChars="200"/>
              <w:rPr>
                <w:rFonts w:ascii="宋体" w:hAnsi="宋体" w:cs="宋体"/>
                <w:szCs w:val="21"/>
              </w:rPr>
            </w:pPr>
            <w:r>
              <w:rPr>
                <w:rFonts w:ascii="宋体" w:hAnsi="宋体" w:cs="宋体"/>
                <w:szCs w:val="21"/>
              </w:rPr>
              <w:t>9.安全文明施工费：</w:t>
            </w:r>
          </w:p>
          <w:p>
            <w:pPr>
              <w:pStyle w:val="2"/>
              <w:tabs>
                <w:tab w:val="left" w:pos="546"/>
                <w:tab w:val="left" w:pos="711"/>
              </w:tabs>
              <w:snapToGrid w:val="0"/>
              <w:spacing w:after="0" w:line="400" w:lineRule="exact"/>
              <w:ind w:firstLine="420" w:firstLineChars="200"/>
              <w:rPr>
                <w:rFonts w:ascii="宋体" w:hAnsi="宋体" w:cs="宋体"/>
                <w:szCs w:val="21"/>
              </w:rPr>
            </w:pPr>
            <w:r>
              <w:rPr>
                <w:rFonts w:ascii="宋体" w:hAnsi="宋体" w:cs="宋体"/>
                <w:szCs w:val="21"/>
              </w:rPr>
              <w:t>9.1</w:t>
            </w:r>
            <w:r>
              <w:rPr>
                <w:rFonts w:hint="eastAsia" w:ascii="宋体" w:hAnsi="宋体" w:cs="宋体"/>
                <w:szCs w:val="21"/>
              </w:rPr>
              <w:t>根据</w:t>
            </w:r>
            <w:r>
              <w:rPr>
                <w:rFonts w:hint="eastAsia" w:ascii="宋体" w:hAnsi="宋体" w:cs="宋体"/>
                <w:szCs w:val="21"/>
                <w:lang w:val="en-US" w:eastAsia="zh-CN"/>
              </w:rPr>
              <w:t>住房城乡建设行业主管部门相关</w:t>
            </w:r>
            <w:r>
              <w:rPr>
                <w:rFonts w:hint="eastAsia" w:ascii="宋体" w:hAnsi="宋体" w:cs="宋体"/>
                <w:szCs w:val="21"/>
              </w:rPr>
              <w:t>规定，安全文明施工费由安全施工费、文明施工费、环境保护费及临时设施费组成。</w:t>
            </w:r>
          </w:p>
          <w:p>
            <w:pPr>
              <w:pStyle w:val="84"/>
              <w:spacing w:line="400" w:lineRule="exact"/>
              <w:ind w:firstLineChars="200"/>
              <w:rPr>
                <w:sz w:val="21"/>
                <w:szCs w:val="21"/>
              </w:rPr>
            </w:pPr>
            <w:r>
              <w:rPr>
                <w:sz w:val="21"/>
                <w:szCs w:val="21"/>
              </w:rPr>
              <w:t>9.2本工程安全文明施工费由招标人根据</w:t>
            </w:r>
            <w:r>
              <w:rPr>
                <w:rFonts w:hint="eastAsia"/>
                <w:sz w:val="21"/>
                <w:szCs w:val="21"/>
              </w:rPr>
              <w:t>住房城乡建设行业主管部门</w:t>
            </w:r>
            <w:r>
              <w:rPr>
                <w:sz w:val="21"/>
                <w:szCs w:val="21"/>
              </w:rPr>
              <w:t>相关规定和费用标准单列计算，安全文明施工费为暂定金额，与最高限价一起公布。《投标函》中的安全文明施工费</w:t>
            </w:r>
            <w:r>
              <w:rPr>
                <w:rFonts w:hint="eastAsia"/>
                <w:sz w:val="21"/>
                <w:szCs w:val="21"/>
                <w:lang w:val="en-US" w:eastAsia="zh-CN"/>
              </w:rPr>
              <w:t>金额或工程量清单中安全文明施工费的汇总金额未</w:t>
            </w:r>
            <w:r>
              <w:rPr>
                <w:sz w:val="21"/>
                <w:szCs w:val="21"/>
              </w:rPr>
              <w:t>按照招标人给出的暂定金额填报</w:t>
            </w:r>
            <w:r>
              <w:rPr>
                <w:rFonts w:hint="eastAsia"/>
                <w:sz w:val="21"/>
                <w:szCs w:val="21"/>
                <w:lang w:val="en-US" w:eastAsia="zh-CN"/>
              </w:rPr>
              <w:t>的</w:t>
            </w:r>
            <w:r>
              <w:rPr>
                <w:sz w:val="21"/>
                <w:szCs w:val="21"/>
              </w:rPr>
              <w:t>，视为对招标文件不作实质性响应，其投标文件</w:t>
            </w:r>
            <w:r>
              <w:rPr>
                <w:rFonts w:hint="eastAsia"/>
                <w:sz w:val="21"/>
                <w:szCs w:val="21"/>
              </w:rPr>
              <w:t>由评标委员会</w:t>
            </w:r>
            <w:r>
              <w:rPr>
                <w:sz w:val="21"/>
                <w:szCs w:val="21"/>
              </w:rPr>
              <w:t>作否决投标处理。</w:t>
            </w:r>
            <w:r>
              <w:rPr>
                <w:rFonts w:hint="eastAsia"/>
                <w:sz w:val="21"/>
                <w:szCs w:val="21"/>
              </w:rPr>
              <w:t>注：采用全费用清单计价的项目，安全文明施工费仅针对《投标函》中的安全文明施工费进行评审。</w:t>
            </w:r>
          </w:p>
          <w:p>
            <w:pPr>
              <w:tabs>
                <w:tab w:val="left" w:pos="546"/>
                <w:tab w:val="left" w:pos="711"/>
              </w:tabs>
              <w:snapToGrid w:val="0"/>
              <w:spacing w:line="400" w:lineRule="exact"/>
              <w:ind w:firstLine="420" w:firstLineChars="200"/>
              <w:rPr>
                <w:rFonts w:ascii="宋体" w:hAnsi="宋体" w:cs="宋体"/>
                <w:szCs w:val="21"/>
              </w:rPr>
            </w:pPr>
            <w:r>
              <w:rPr>
                <w:rFonts w:ascii="宋体" w:hAnsi="宋体"/>
                <w:szCs w:val="21"/>
              </w:rPr>
              <w:t>10.</w:t>
            </w:r>
            <w:r>
              <w:rPr>
                <w:rFonts w:hint="eastAsia" w:ascii="宋体" w:hAnsi="宋体"/>
                <w:szCs w:val="21"/>
              </w:rPr>
              <w:t>本工程所需材料（含设备）价格由投标人参照</w:t>
            </w:r>
            <w:r>
              <w:rPr>
                <w:rFonts w:hint="eastAsia" w:ascii="宋体" w:hAnsi="宋体" w:cs="宋体"/>
                <w:szCs w:val="21"/>
              </w:rPr>
              <w:t>工程造价管理机构发布的工程造价信息（造价信息引用时限为招标公告发布日期前一期），并结合市场行情及自身实力进行自主报价。</w:t>
            </w:r>
          </w:p>
          <w:p>
            <w:pPr>
              <w:pStyle w:val="2"/>
              <w:tabs>
                <w:tab w:val="left" w:pos="546"/>
                <w:tab w:val="left" w:pos="711"/>
              </w:tabs>
              <w:snapToGrid w:val="0"/>
              <w:spacing w:after="0" w:line="400" w:lineRule="exact"/>
              <w:ind w:firstLine="420" w:firstLineChars="200"/>
              <w:rPr>
                <w:rFonts w:ascii="宋体" w:hAnsi="宋体" w:cs="宋体"/>
                <w:szCs w:val="21"/>
                <w:u w:val="single"/>
              </w:rPr>
            </w:pPr>
            <w:r>
              <w:rPr>
                <w:rFonts w:hint="eastAsia" w:ascii="宋体" w:hAnsi="宋体" w:cs="宋体"/>
                <w:szCs w:val="21"/>
              </w:rPr>
              <w:t>11.本项目建筑安装材料价格风险按照住房城乡建设行业主管部门相关</w:t>
            </w:r>
            <w:r>
              <w:rPr>
                <w:rFonts w:hint="eastAsia" w:ascii="宋体" w:hAnsi="宋体" w:cs="宋体"/>
                <w:szCs w:val="21"/>
                <w:lang w:val="en-US" w:eastAsia="zh-CN"/>
              </w:rPr>
              <w:t>规定</w:t>
            </w:r>
            <w:r>
              <w:rPr>
                <w:rFonts w:hint="eastAsia" w:ascii="宋体" w:hAnsi="宋体" w:cs="宋体"/>
                <w:szCs w:val="21"/>
              </w:rPr>
              <w:t>执行。本项目主要材料及设备价格风险内容、范围及调整方法为：</w:t>
            </w:r>
            <w:r>
              <w:rPr>
                <w:rFonts w:hint="eastAsia" w:ascii="宋体" w:hAnsi="宋体" w:cs="宋体"/>
                <w:szCs w:val="21"/>
                <w:u w:val="single"/>
              </w:rPr>
              <w:t xml:space="preserve">        </w:t>
            </w:r>
          </w:p>
          <w:p>
            <w:pPr>
              <w:pStyle w:val="2"/>
              <w:tabs>
                <w:tab w:val="left" w:pos="546"/>
                <w:tab w:val="left" w:pos="711"/>
              </w:tabs>
              <w:snapToGrid w:val="0"/>
              <w:spacing w:after="0" w:line="400" w:lineRule="exact"/>
              <w:ind w:firstLine="420" w:firstLineChars="200"/>
              <w:rPr>
                <w:rFonts w:ascii="宋体" w:hAnsi="宋体" w:cs="宋体"/>
                <w:szCs w:val="21"/>
              </w:rPr>
            </w:pPr>
            <w:r>
              <w:rPr>
                <w:rFonts w:ascii="宋体" w:hAnsi="宋体" w:cs="宋体"/>
                <w:szCs w:val="21"/>
              </w:rPr>
              <w:t>1</w:t>
            </w:r>
            <w:r>
              <w:rPr>
                <w:rFonts w:hint="eastAsia" w:ascii="宋体" w:hAnsi="宋体" w:cs="宋体"/>
                <w:szCs w:val="21"/>
              </w:rPr>
              <w:t>2</w:t>
            </w:r>
            <w:r>
              <w:rPr>
                <w:rFonts w:ascii="宋体" w:hAnsi="宋体" w:cs="宋体"/>
                <w:szCs w:val="21"/>
              </w:rPr>
              <w:t>.</w:t>
            </w:r>
            <w:r>
              <w:rPr>
                <w:rFonts w:hint="eastAsia" w:ascii="宋体" w:hAnsi="宋体" w:cs="宋体"/>
                <w:szCs w:val="21"/>
              </w:rPr>
              <w:t>本项目所采用技术、工艺和产品等按照住房城乡建设行业主管部门相关</w:t>
            </w:r>
            <w:r>
              <w:rPr>
                <w:rFonts w:hint="eastAsia" w:ascii="宋体" w:hAnsi="宋体" w:cs="宋体"/>
                <w:szCs w:val="21"/>
                <w:lang w:val="en-US" w:eastAsia="zh-CN"/>
              </w:rPr>
              <w:t>规定</w:t>
            </w:r>
            <w:r>
              <w:rPr>
                <w:rFonts w:hint="eastAsia" w:ascii="宋体" w:hAnsi="宋体" w:cs="宋体"/>
                <w:szCs w:val="21"/>
              </w:rPr>
              <w:t>执行。</w:t>
            </w:r>
          </w:p>
          <w:p>
            <w:pPr>
              <w:pStyle w:val="2"/>
              <w:tabs>
                <w:tab w:val="left" w:pos="546"/>
                <w:tab w:val="left" w:pos="711"/>
              </w:tabs>
              <w:snapToGrid w:val="0"/>
              <w:spacing w:after="0" w:line="400" w:lineRule="exact"/>
              <w:ind w:firstLine="420" w:firstLineChars="200"/>
              <w:rPr>
                <w:rFonts w:ascii="宋体" w:hAnsi="宋体" w:cs="宋体"/>
                <w:szCs w:val="21"/>
              </w:rPr>
            </w:pPr>
            <w:r>
              <w:rPr>
                <w:rFonts w:ascii="宋体" w:hAnsi="宋体" w:cs="宋体"/>
                <w:szCs w:val="21"/>
              </w:rPr>
              <w:t>1</w:t>
            </w:r>
            <w:r>
              <w:rPr>
                <w:rFonts w:hint="eastAsia" w:ascii="宋体" w:hAnsi="宋体" w:cs="宋体"/>
                <w:szCs w:val="21"/>
              </w:rPr>
              <w:t>3</w:t>
            </w:r>
            <w:r>
              <w:rPr>
                <w:rFonts w:ascii="宋体" w:hAnsi="宋体" w:cs="宋体"/>
                <w:szCs w:val="21"/>
              </w:rPr>
              <w:t>.</w:t>
            </w:r>
            <w:r>
              <w:rPr>
                <w:rFonts w:hint="eastAsia" w:ascii="宋体" w:hAnsi="宋体" w:cs="宋体"/>
                <w:szCs w:val="21"/>
              </w:rPr>
              <w:t>本工程主体结构若需混凝土，则必须使用商品混凝土，不得自建搅拌站。</w:t>
            </w:r>
          </w:p>
          <w:p>
            <w:pPr>
              <w:pStyle w:val="2"/>
              <w:tabs>
                <w:tab w:val="left" w:pos="546"/>
                <w:tab w:val="left" w:pos="711"/>
              </w:tabs>
              <w:snapToGrid w:val="0"/>
              <w:spacing w:after="0" w:line="400" w:lineRule="exact"/>
              <w:ind w:firstLine="420" w:firstLineChars="200"/>
              <w:rPr>
                <w:rFonts w:hint="eastAsia" w:ascii="宋体" w:hAnsi="宋体" w:cs="宋体"/>
                <w:i w:val="0"/>
                <w:iCs w:val="0"/>
                <w:szCs w:val="21"/>
                <w:u w:val="none"/>
                <w:lang w:val="en-US" w:eastAsia="zh-CN"/>
              </w:rPr>
            </w:pPr>
            <w:r>
              <w:rPr>
                <w:rFonts w:hint="eastAsia" w:ascii="宋体" w:hAnsi="宋体" w:cs="宋体"/>
                <w:szCs w:val="21"/>
                <w:lang w:val="en-US" w:eastAsia="zh-CN"/>
              </w:rPr>
              <w:t>□14.异常低价警戒线要求</w:t>
            </w:r>
            <w:r>
              <w:rPr>
                <w:rFonts w:hint="eastAsia" w:ascii="宋体" w:hAnsi="宋体" w:cs="宋体"/>
                <w:szCs w:val="21"/>
              </w:rPr>
              <w:t>：</w:t>
            </w:r>
            <w:r>
              <w:rPr>
                <w:rFonts w:hint="eastAsia" w:ascii="宋体" w:hAnsi="宋体" w:cs="宋体"/>
                <w:szCs w:val="21"/>
                <w:u w:val="none"/>
                <w:lang w:val="en-US" w:eastAsia="zh-CN"/>
              </w:rPr>
              <w:t>最高限价的</w:t>
            </w:r>
            <w:r>
              <w:rPr>
                <w:rFonts w:hint="eastAsia" w:ascii="宋体" w:hAnsi="宋体" w:cs="宋体"/>
                <w:szCs w:val="21"/>
                <w:u w:val="single"/>
                <w:lang w:val="en-US" w:eastAsia="zh-CN"/>
              </w:rPr>
              <w:t xml:space="preserve">    %</w:t>
            </w:r>
            <w:r>
              <w:rPr>
                <w:rFonts w:hint="eastAsia" w:ascii="宋体" w:hAnsi="宋体" w:cs="宋体"/>
                <w:i w:val="0"/>
                <w:iCs w:val="0"/>
                <w:szCs w:val="21"/>
                <w:u w:val="none"/>
                <w:lang w:val="en-US" w:eastAsia="zh-CN"/>
              </w:rPr>
              <w:t>。</w:t>
            </w:r>
            <w:r>
              <w:rPr>
                <w:rFonts w:hint="eastAsia" w:ascii="宋体" w:hAnsi="宋体" w:cs="宋体"/>
                <w:i/>
                <w:iCs/>
                <w:szCs w:val="21"/>
                <w:highlight w:val="none"/>
                <w:u w:val="none"/>
                <w:lang w:val="en-US" w:eastAsia="zh-CN"/>
              </w:rPr>
              <w:t>[提示：</w:t>
            </w:r>
            <w:r>
              <w:rPr>
                <w:rFonts w:hint="eastAsia" w:ascii="宋体" w:hAnsi="宋体" w:cs="宋体"/>
                <w:i/>
                <w:iCs/>
                <w:szCs w:val="21"/>
                <w:highlight w:val="none"/>
                <w:u w:val="none"/>
              </w:rPr>
              <w:t>采用经评审的最低投标价法的，应当设置异常低价警戒线。采用综合评估法的，可以设置异常低价警戒线</w:t>
            </w:r>
            <w:r>
              <w:rPr>
                <w:rFonts w:hint="eastAsia" w:ascii="宋体" w:hAnsi="宋体" w:cs="宋体"/>
                <w:i/>
                <w:iCs/>
                <w:szCs w:val="21"/>
                <w:highlight w:val="none"/>
                <w:u w:val="none"/>
                <w:lang w:eastAsia="zh-CN"/>
              </w:rPr>
              <w:t>。设置的异常低价警戒线应综合考虑项目的建设、使用、维护、拆除、更新等各环节支出成本以及</w:t>
            </w:r>
            <w:r>
              <w:rPr>
                <w:rFonts w:hint="eastAsia" w:ascii="宋体" w:hAnsi="宋体" w:cs="宋体"/>
                <w:i/>
                <w:iCs/>
                <w:szCs w:val="21"/>
                <w:highlight w:val="none"/>
                <w:u w:val="none"/>
                <w:lang w:val="en-US" w:eastAsia="zh-CN"/>
              </w:rPr>
              <w:t>社会</w:t>
            </w:r>
            <w:r>
              <w:rPr>
                <w:rFonts w:hint="eastAsia" w:ascii="宋体" w:hAnsi="宋体" w:cs="宋体"/>
                <w:i/>
                <w:iCs/>
                <w:szCs w:val="21"/>
                <w:highlight w:val="none"/>
                <w:u w:val="none"/>
                <w:lang w:eastAsia="zh-CN"/>
              </w:rPr>
              <w:t>平均成本。</w:t>
            </w:r>
            <w:r>
              <w:rPr>
                <w:rFonts w:hint="eastAsia" w:ascii="宋体" w:hAnsi="宋体" w:cs="宋体"/>
                <w:i/>
                <w:iCs/>
                <w:szCs w:val="21"/>
                <w:highlight w:val="none"/>
                <w:u w:val="none"/>
                <w:lang w:val="en-US" w:eastAsia="zh-CN"/>
              </w:rPr>
              <w:t>]</w:t>
            </w:r>
          </w:p>
          <w:p>
            <w:pPr>
              <w:pStyle w:val="2"/>
              <w:tabs>
                <w:tab w:val="left" w:pos="546"/>
                <w:tab w:val="left" w:pos="711"/>
              </w:tabs>
              <w:snapToGrid w:val="0"/>
              <w:spacing w:after="0" w:line="400" w:lineRule="exact"/>
              <w:ind w:firstLine="420" w:firstLineChars="200"/>
              <w:rPr>
                <w:rFonts w:hint="default" w:ascii="宋体" w:hAnsi="宋体" w:cs="宋体"/>
                <w:i w:val="0"/>
                <w:iCs w:val="0"/>
                <w:szCs w:val="21"/>
                <w:u w:val="single"/>
                <w:lang w:val="en-US" w:eastAsia="zh-CN"/>
              </w:rPr>
            </w:pPr>
            <w:r>
              <w:rPr>
                <w:rFonts w:hint="eastAsia" w:ascii="宋体" w:hAnsi="宋体" w:cs="宋体"/>
                <w:i w:val="0"/>
                <w:iCs w:val="0"/>
                <w:szCs w:val="21"/>
                <w:u w:val="none"/>
                <w:lang w:val="en-US" w:eastAsia="zh-CN"/>
              </w:rPr>
              <w:t>□</w:t>
            </w:r>
            <w:r>
              <w:rPr>
                <w:rFonts w:hint="eastAsia" w:ascii="宋体" w:hAnsi="宋体" w:cs="宋体"/>
                <w:i w:val="0"/>
                <w:iCs w:val="0"/>
                <w:szCs w:val="21"/>
                <w:u w:val="single"/>
                <w:lang w:val="en-US" w:eastAsia="zh-CN"/>
              </w:rPr>
              <w:t xml:space="preserve">        </w:t>
            </w:r>
            <w:r>
              <w:rPr>
                <w:rFonts w:hint="eastAsia" w:ascii="宋体" w:hAnsi="宋体" w:cs="宋体"/>
                <w:i/>
                <w:iCs/>
                <w:szCs w:val="21"/>
                <w:u w:val="none"/>
                <w:lang w:val="en-US" w:eastAsia="zh-CN"/>
              </w:rPr>
              <w:t>[提示：招标人对单项报价有异常低价警戒线要求的，可自行列举部分单项进行约定。]</w:t>
            </w:r>
          </w:p>
          <w:p>
            <w:pPr>
              <w:pStyle w:val="2"/>
              <w:tabs>
                <w:tab w:val="left" w:pos="546"/>
                <w:tab w:val="left" w:pos="711"/>
              </w:tabs>
              <w:snapToGrid w:val="0"/>
              <w:spacing w:after="0" w:line="400" w:lineRule="exact"/>
              <w:ind w:firstLine="420" w:firstLineChars="200"/>
              <w:rPr>
                <w:rFonts w:hint="eastAsia" w:ascii="宋体" w:hAnsi="宋体" w:cs="宋体"/>
                <w:i w:val="0"/>
                <w:iCs w:val="0"/>
                <w:szCs w:val="21"/>
                <w:u w:val="none"/>
                <w:lang w:val="en-US" w:eastAsia="zh-CN"/>
              </w:rPr>
            </w:pPr>
            <w:r>
              <w:rPr>
                <w:rFonts w:hint="eastAsia" w:ascii="宋体" w:hAnsi="宋体" w:cs="宋体"/>
                <w:i w:val="0"/>
                <w:iCs w:val="0"/>
                <w:szCs w:val="21"/>
                <w:u w:val="none"/>
                <w:lang w:val="en-US" w:eastAsia="zh-CN"/>
              </w:rPr>
              <w:t>投标人投标总报价或者部分单项报价低于招标文件规定的对应的异常低价警戒线的，应提供报价合理性说明，</w:t>
            </w:r>
            <w:r>
              <w:rPr>
                <w:rFonts w:hint="eastAsia" w:ascii="宋体" w:hAnsi="宋体" w:cs="宋体"/>
                <w:szCs w:val="21"/>
              </w:rPr>
              <w:t>并提供必要的证明材料</w:t>
            </w:r>
            <w:r>
              <w:rPr>
                <w:rFonts w:hint="eastAsia" w:ascii="宋体" w:hAnsi="宋体" w:cs="宋体"/>
                <w:i w:val="0"/>
                <w:iCs w:val="0"/>
                <w:szCs w:val="21"/>
                <w:u w:val="none"/>
                <w:lang w:val="en-US" w:eastAsia="zh-CN"/>
              </w:rPr>
              <w:t>。投标人提供的说明不得降低或者改变原设计方案、技术工艺、施工标准，不得影响项目的质量、安全、工期、结算等正常履约。</w:t>
            </w:r>
          </w:p>
          <w:p>
            <w:pPr>
              <w:pStyle w:val="2"/>
              <w:tabs>
                <w:tab w:val="left" w:pos="546"/>
                <w:tab w:val="left" w:pos="711"/>
              </w:tabs>
              <w:snapToGrid w:val="0"/>
              <w:spacing w:after="0" w:line="400" w:lineRule="exact"/>
              <w:ind w:firstLine="420" w:firstLineChars="200"/>
              <w:rPr>
                <w:rFonts w:hint="eastAsia" w:ascii="宋体" w:hAnsi="宋体" w:cs="宋体"/>
                <w:szCs w:val="21"/>
              </w:rPr>
            </w:pPr>
            <w:r>
              <w:rPr>
                <w:rFonts w:hint="eastAsia" w:ascii="宋体" w:hAnsi="宋体" w:cs="宋体"/>
                <w:i w:val="0"/>
                <w:iCs w:val="0"/>
                <w:szCs w:val="21"/>
                <w:u w:val="none"/>
                <w:lang w:val="en-US" w:eastAsia="zh-CN"/>
              </w:rPr>
              <w:t>投标人投标总报价或者部分单项报价</w:t>
            </w:r>
            <w:r>
              <w:rPr>
                <w:rFonts w:hint="eastAsia" w:ascii="宋体" w:hAnsi="宋体" w:cs="宋体"/>
                <w:szCs w:val="21"/>
              </w:rPr>
              <w:t>低于招标文件</w:t>
            </w:r>
            <w:r>
              <w:rPr>
                <w:rFonts w:hint="eastAsia" w:ascii="宋体" w:hAnsi="宋体" w:cs="宋体"/>
                <w:i w:val="0"/>
                <w:iCs w:val="0"/>
                <w:szCs w:val="21"/>
                <w:u w:val="none"/>
                <w:lang w:val="en-US" w:eastAsia="zh-CN"/>
              </w:rPr>
              <w:t>规定的对应的异常低价警戒线的</w:t>
            </w:r>
            <w:r>
              <w:rPr>
                <w:rFonts w:hint="eastAsia" w:ascii="宋体" w:hAnsi="宋体" w:cs="宋体"/>
                <w:szCs w:val="21"/>
              </w:rPr>
              <w:t>，投标人未提供</w:t>
            </w:r>
            <w:r>
              <w:rPr>
                <w:rFonts w:hint="eastAsia" w:ascii="宋体" w:hAnsi="宋体" w:cs="宋体"/>
                <w:szCs w:val="21"/>
                <w:lang w:val="en-US" w:eastAsia="zh-CN"/>
              </w:rPr>
              <w:t>报价合理性</w:t>
            </w:r>
            <w:r>
              <w:rPr>
                <w:rFonts w:hint="eastAsia" w:ascii="宋体" w:hAnsi="宋体" w:cs="宋体"/>
                <w:szCs w:val="21"/>
              </w:rPr>
              <w:t>说明或者提供的说明不能证明其报价合理性的，</w:t>
            </w:r>
            <w:r>
              <w:rPr>
                <w:rFonts w:hint="eastAsia"/>
              </w:rPr>
              <w:t>由评标委员会作否决投标处理</w:t>
            </w:r>
            <w:r>
              <w:rPr>
                <w:rFonts w:hint="eastAsia" w:ascii="宋体" w:hAnsi="宋体" w:cs="宋体"/>
                <w:szCs w:val="21"/>
              </w:rPr>
              <w:t>。</w:t>
            </w:r>
          </w:p>
          <w:p>
            <w:pPr>
              <w:pStyle w:val="2"/>
              <w:tabs>
                <w:tab w:val="left" w:pos="546"/>
                <w:tab w:val="left" w:pos="711"/>
              </w:tabs>
              <w:snapToGrid w:val="0"/>
              <w:spacing w:after="0" w:line="400" w:lineRule="exact"/>
              <w:ind w:firstLine="420" w:firstLineChars="200"/>
              <w:rPr>
                <w:rFonts w:hint="eastAsia" w:ascii="宋体" w:hAnsi="宋体" w:eastAsia="宋体" w:cs="宋体"/>
                <w:i/>
                <w:iCs/>
                <w:szCs w:val="21"/>
                <w:lang w:val="en-US" w:eastAsia="zh-CN"/>
              </w:rPr>
            </w:pPr>
            <w:r>
              <w:rPr>
                <w:rFonts w:hint="eastAsia" w:ascii="宋体" w:hAnsi="宋体" w:cs="宋体"/>
                <w:szCs w:val="21"/>
                <w:lang w:val="en-US" w:eastAsia="zh-CN"/>
              </w:rPr>
              <w:t>15.</w:t>
            </w:r>
            <w:r>
              <w:rPr>
                <w:rFonts w:hint="default" w:ascii="宋体" w:hAnsi="宋体"/>
                <w:kern w:val="0"/>
                <w:szCs w:val="21"/>
                <w:u w:val="none"/>
              </w:rPr>
              <w:t>投标人的</w:t>
            </w:r>
            <w:r>
              <w:rPr>
                <w:rFonts w:hint="eastAsia" w:ascii="宋体" w:hAnsi="宋体"/>
                <w:kern w:val="0"/>
                <w:szCs w:val="21"/>
                <w:u w:val="none"/>
                <w:lang w:val="en-US" w:eastAsia="zh-CN"/>
              </w:rPr>
              <w:t>工程量清单单项报价</w:t>
            </w:r>
            <w:r>
              <w:rPr>
                <w:rFonts w:hint="default" w:ascii="宋体" w:hAnsi="宋体"/>
                <w:kern w:val="0"/>
                <w:szCs w:val="21"/>
                <w:u w:val="none"/>
              </w:rPr>
              <w:t>不得</w:t>
            </w:r>
            <w:r>
              <w:rPr>
                <w:rFonts w:hint="eastAsia" w:ascii="宋体" w:hAnsi="宋体"/>
                <w:kern w:val="0"/>
                <w:szCs w:val="21"/>
                <w:u w:val="none"/>
                <w:lang w:val="en-US" w:eastAsia="zh-CN"/>
              </w:rPr>
              <w:t>为零报价或者负数报价，否则</w:t>
            </w:r>
            <w:r>
              <w:rPr>
                <w:rFonts w:hint="eastAsia"/>
              </w:rPr>
              <w:t>由评标委员会作否决投标处理</w:t>
            </w:r>
            <w:r>
              <w:rPr>
                <w:rFonts w:hint="eastAsia"/>
                <w:lang w:eastAsia="zh-CN"/>
              </w:rPr>
              <w:t>。</w:t>
            </w:r>
          </w:p>
          <w:p>
            <w:pPr>
              <w:pStyle w:val="2"/>
              <w:tabs>
                <w:tab w:val="left" w:pos="546"/>
                <w:tab w:val="left" w:pos="711"/>
              </w:tabs>
              <w:snapToGrid w:val="0"/>
              <w:spacing w:after="0" w:line="400" w:lineRule="exact"/>
              <w:ind w:firstLine="420" w:firstLineChars="200"/>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16</w:t>
            </w:r>
            <w:r>
              <w:rPr>
                <w:rFonts w:ascii="宋体" w:hAnsi="宋体" w:cs="宋体"/>
                <w:szCs w:val="21"/>
              </w:rPr>
              <w:t>.</w:t>
            </w:r>
            <w:r>
              <w:rPr>
                <w:rFonts w:hint="eastAsia" w:ascii="宋体" w:hAnsi="宋体" w:cs="宋体"/>
                <w:szCs w:val="21"/>
              </w:rPr>
              <w:t>本工程存在跨越既有城市道路的桥梁施工，要求采用无支架施工技术，其技术方案和投标报价按照无支架施工编、报。</w:t>
            </w:r>
          </w:p>
          <w:p>
            <w:pPr>
              <w:pStyle w:val="2"/>
              <w:tabs>
                <w:tab w:val="left" w:pos="546"/>
                <w:tab w:val="left" w:pos="711"/>
              </w:tabs>
              <w:snapToGrid w:val="0"/>
              <w:spacing w:after="0" w:line="400" w:lineRule="exact"/>
              <w:ind w:firstLine="420" w:firstLineChars="200"/>
              <w:rPr>
                <w:rFonts w:ascii="宋体" w:hAnsi="宋体" w:cs="宋体"/>
                <w:i/>
                <w:szCs w:val="21"/>
              </w:rPr>
            </w:pPr>
            <w:r>
              <w:rPr>
                <w:rFonts w:hint="eastAsia" w:ascii="宋体" w:hAnsi="宋体" w:cs="宋体"/>
                <w:i/>
                <w:szCs w:val="21"/>
              </w:rPr>
              <w:t>[提示：存在跨越既有城市道路的桥梁施工项目招标须使用此条</w:t>
            </w:r>
            <w:r>
              <w:rPr>
                <w:rFonts w:hint="eastAsia" w:ascii="宋体" w:hAnsi="宋体" w:cs="宋体"/>
                <w:i/>
                <w:szCs w:val="21"/>
                <w:lang w:eastAsia="zh-CN"/>
              </w:rPr>
              <w:t>。</w:t>
            </w:r>
            <w:r>
              <w:rPr>
                <w:rFonts w:hint="eastAsia" w:ascii="宋体" w:hAnsi="宋体" w:cs="宋体"/>
                <w:i/>
                <w:szCs w:val="21"/>
              </w:rPr>
              <w:t>]</w:t>
            </w:r>
          </w:p>
          <w:p>
            <w:pPr>
              <w:tabs>
                <w:tab w:val="left" w:pos="546"/>
                <w:tab w:val="left" w:pos="711"/>
              </w:tabs>
              <w:snapToGrid w:val="0"/>
              <w:spacing w:line="400" w:lineRule="exact"/>
              <w:ind w:firstLine="420" w:firstLineChars="200"/>
              <w:rPr>
                <w:rFonts w:ascii="宋体" w:hAnsi="宋体"/>
                <w:szCs w:val="21"/>
              </w:rPr>
            </w:pPr>
            <w:r>
              <w:rPr>
                <w:rFonts w:hint="eastAsia" w:ascii="宋体" w:hAnsi="宋体" w:cs="宋体"/>
                <w:i/>
                <w:szCs w:val="21"/>
              </w:rPr>
              <w:t>[提示：招标人在编制招标文件时，可根据实际情况在3.2款中予以增加</w:t>
            </w:r>
            <w:r>
              <w:rPr>
                <w:rFonts w:hint="eastAsia" w:ascii="宋体" w:hAnsi="宋体" w:cs="宋体"/>
                <w:i/>
                <w:szCs w:val="21"/>
                <w:lang w:val="en-US" w:eastAsia="zh-CN"/>
              </w:rPr>
              <w:t>或修改</w:t>
            </w:r>
            <w:r>
              <w:rPr>
                <w:rFonts w:hint="eastAsia" w:ascii="宋体" w:hAnsi="宋体" w:cs="宋体"/>
                <w:i/>
                <w:szCs w:val="21"/>
              </w:rPr>
              <w:t>相关内容，但增加</w:t>
            </w:r>
            <w:r>
              <w:rPr>
                <w:rFonts w:hint="eastAsia" w:ascii="宋体" w:hAnsi="宋体" w:cs="宋体"/>
                <w:i/>
                <w:szCs w:val="21"/>
                <w:lang w:val="en-US" w:eastAsia="zh-CN"/>
              </w:rPr>
              <w:t>或修改</w:t>
            </w:r>
            <w:r>
              <w:rPr>
                <w:rFonts w:hint="eastAsia" w:ascii="宋体" w:hAnsi="宋体" w:cs="宋体"/>
                <w:i/>
                <w:szCs w:val="21"/>
              </w:rPr>
              <w:t>的内容不得违背法律、法规及规范性文件的规定。</w:t>
            </w:r>
            <w:r>
              <w:rPr>
                <w:rFonts w:hint="eastAsia" w:ascii="宋体" w:hAnsi="宋体" w:cs="宋体"/>
                <w:i/>
                <w:szCs w:val="21"/>
                <w:lang w:val="en-US" w:eastAsia="zh-CN"/>
              </w:rPr>
              <w:t>引用的规范性文件若有更新，以最新文件为准。</w:t>
            </w:r>
            <w:r>
              <w:rPr>
                <w:rFonts w:hint="eastAsia" w:ascii="宋体" w:hAnsi="宋体" w:cs="宋体"/>
                <w:i/>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3.3.1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投标有效期</w:t>
            </w:r>
          </w:p>
        </w:tc>
        <w:tc>
          <w:tcPr>
            <w:tcW w:w="6490" w:type="dxa"/>
            <w:vAlign w:val="center"/>
          </w:tcPr>
          <w:p>
            <w:pPr>
              <w:snapToGrid w:val="0"/>
              <w:spacing w:line="400" w:lineRule="exact"/>
              <w:ind w:firstLine="420" w:firstLineChars="200"/>
              <w:rPr>
                <w:rFonts w:ascii="宋体" w:hAnsi="宋体"/>
                <w:szCs w:val="21"/>
              </w:rPr>
            </w:pPr>
            <w:r>
              <w:rPr>
                <w:rFonts w:ascii="宋体" w:hAnsi="宋体"/>
                <w:szCs w:val="21"/>
                <w:u w:val="single"/>
              </w:rPr>
              <w:t xml:space="preserve">       </w:t>
            </w:r>
            <w:r>
              <w:rPr>
                <w:rFonts w:ascii="宋体" w:hAnsi="宋体"/>
                <w:szCs w:val="21"/>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3.4</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投标保证金</w:t>
            </w:r>
          </w:p>
        </w:tc>
        <w:tc>
          <w:tcPr>
            <w:tcW w:w="6490" w:type="dxa"/>
            <w:vAlign w:val="center"/>
          </w:tcPr>
          <w:p>
            <w:pPr>
              <w:snapToGrid w:val="0"/>
              <w:spacing w:line="400" w:lineRule="exact"/>
              <w:ind w:firstLine="420" w:firstLineChars="200"/>
            </w:pPr>
            <w:r>
              <w:rPr>
                <w:rFonts w:hint="eastAsia"/>
              </w:rPr>
              <w:t>投标保证金的交纳方式：投标人可选择以下三种方式之一。</w:t>
            </w:r>
          </w:p>
          <w:p>
            <w:pPr>
              <w:snapToGrid w:val="0"/>
              <w:spacing w:line="400" w:lineRule="exact"/>
              <w:ind w:firstLine="420" w:firstLineChars="200"/>
            </w:pPr>
            <w:r>
              <w:rPr>
                <w:rFonts w:hint="eastAsia"/>
              </w:rPr>
              <w:t>方式一</w:t>
            </w:r>
          </w:p>
          <w:p>
            <w:pPr>
              <w:snapToGrid w:val="0"/>
              <w:spacing w:line="400" w:lineRule="exact"/>
              <w:ind w:firstLine="420" w:firstLineChars="200"/>
            </w:pPr>
            <w:r>
              <w:t>一、</w:t>
            </w:r>
            <w:r>
              <w:rPr>
                <w:rFonts w:hint="eastAsia"/>
              </w:rPr>
              <w:t>以电子投标保函形式交纳投标保证金</w:t>
            </w:r>
          </w:p>
          <w:p>
            <w:pPr>
              <w:snapToGrid w:val="0"/>
              <w:spacing w:line="400" w:lineRule="exact"/>
              <w:ind w:firstLine="420" w:firstLineChars="200"/>
            </w:pPr>
            <w:r>
              <w:rPr>
                <w:rFonts w:hint="eastAsia"/>
              </w:rPr>
              <w:t>1. 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snapToGrid w:val="0"/>
              <w:spacing w:line="400" w:lineRule="exact"/>
              <w:ind w:firstLine="420" w:firstLineChars="200"/>
            </w:pPr>
            <w:r>
              <w:rPr>
                <w:rFonts w:hint="eastAsia"/>
              </w:rPr>
              <w:t>若投标截止时间延期，则电子投标保函提交的截止时间和投标截止时间应当保持一致。</w:t>
            </w:r>
          </w:p>
          <w:p>
            <w:pPr>
              <w:snapToGrid w:val="0"/>
              <w:spacing w:line="400" w:lineRule="exact"/>
              <w:ind w:firstLine="420" w:firstLineChars="200"/>
            </w:pPr>
            <w:r>
              <w:rPr>
                <w:rFonts w:hint="eastAsia" w:ascii="宋体" w:hAnsi="宋体"/>
                <w:kern w:val="0"/>
                <w:szCs w:val="21"/>
              </w:rPr>
              <w:t>不满足上述要求的电子</w:t>
            </w:r>
            <w:r>
              <w:rPr>
                <w:rFonts w:ascii="宋体" w:hAnsi="宋体"/>
                <w:kern w:val="0"/>
                <w:szCs w:val="21"/>
              </w:rPr>
              <w:t>投标保函</w:t>
            </w:r>
            <w:r>
              <w:rPr>
                <w:rFonts w:hint="eastAsia" w:ascii="宋体" w:hAnsi="宋体"/>
                <w:kern w:val="0"/>
                <w:szCs w:val="21"/>
                <w:lang w:eastAsia="zh-CN"/>
              </w:rPr>
              <w:t>视为</w:t>
            </w:r>
            <w:r>
              <w:rPr>
                <w:rFonts w:ascii="宋体" w:hAnsi="宋体"/>
                <w:kern w:val="0"/>
                <w:szCs w:val="21"/>
              </w:rPr>
              <w:t>无效。</w:t>
            </w:r>
          </w:p>
          <w:p>
            <w:pPr>
              <w:snapToGrid w:val="0"/>
              <w:spacing w:line="400" w:lineRule="exact"/>
              <w:ind w:firstLine="420" w:firstLineChars="200"/>
            </w:pPr>
            <w:r>
              <w:t>2</w:t>
            </w:r>
            <w:r>
              <w:rPr>
                <w:rFonts w:hint="eastAsia"/>
              </w:rPr>
              <w:t>. 以电子投标保函形式担保的</w:t>
            </w:r>
            <w:r>
              <w:t>投标保证金的金额：</w:t>
            </w:r>
            <w:r>
              <w:rPr>
                <w:u w:val="single"/>
              </w:rPr>
              <w:t xml:space="preserve">    </w:t>
            </w:r>
            <w:r>
              <w:rPr>
                <w:rFonts w:hint="eastAsia"/>
                <w:u w:val="single"/>
              </w:rPr>
              <w:t xml:space="preserve">  </w:t>
            </w:r>
            <w:r>
              <w:t>万元整（人民币）</w:t>
            </w:r>
            <w:r>
              <w:rPr>
                <w:rFonts w:hint="eastAsia"/>
              </w:rPr>
              <w:t>，重庆市工程建设领域招标投标守信激励对象名单（以下简称红名单）中的投标人按所属红名单类别享受优惠政策，其投标保证金金额为应缴纳金额的50%，其中非联合体投标的，须投标人所属红名单类别包含在招标范围内；联合体投标的，须联合体牵头人在红名单中，并且按照</w:t>
            </w:r>
            <w:r>
              <w:rPr>
                <w:rFonts w:hint="eastAsia" w:ascii="宋体" w:hAnsi="宋体"/>
                <w:lang w:val="en-US" w:eastAsia="zh-CN"/>
              </w:rPr>
              <w:t>共同投标协议</w:t>
            </w:r>
            <w:r>
              <w:rPr>
                <w:rFonts w:hint="eastAsia"/>
              </w:rPr>
              <w:t>牵头人所属红名单类别包含在其工作范围内。投标人是否属于红名单，以开标环节信用状况查询结果为准。</w:t>
            </w:r>
          </w:p>
          <w:p>
            <w:pPr>
              <w:snapToGrid w:val="0"/>
              <w:spacing w:line="400" w:lineRule="exact"/>
              <w:ind w:firstLine="420" w:firstLineChars="200"/>
            </w:pPr>
            <w:r>
              <w:rPr>
                <w:rFonts w:hint="eastAsia"/>
                <w:i/>
                <w:iCs/>
              </w:rPr>
              <w:t>[提示：投标保证金金额不超过该招标项目估算价或经批准的概算金额或最高限价的2%。]</w:t>
            </w:r>
          </w:p>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jc w:val="left"/>
              <w:rPr>
                <w:rFonts w:hint="eastAsia" w:ascii="宋体" w:hAnsi="宋体" w:cs="宋体"/>
              </w:rPr>
            </w:pPr>
            <w:r>
              <w:rPr>
                <w:rFonts w:hint="eastAsia" w:ascii="宋体" w:hAnsi="宋体" w:cs="宋体"/>
                <w:i/>
                <w:iCs/>
              </w:rPr>
              <w:t>[提示： 招标人可自行决定是否设置上述条款，若需要设置，则在上述选项中只可选择其中一项进行设置]。</w:t>
            </w:r>
          </w:p>
          <w:p>
            <w:pPr>
              <w:snapToGrid w:val="0"/>
              <w:spacing w:line="400" w:lineRule="exact"/>
              <w:ind w:firstLine="420" w:firstLineChars="200"/>
            </w:pPr>
            <w:r>
              <w:rPr>
                <w:rFonts w:hint="eastAsia"/>
              </w:rPr>
              <w:t>3. 电子投标保函</w:t>
            </w:r>
          </w:p>
          <w:p>
            <w:pPr>
              <w:snapToGrid w:val="0"/>
              <w:spacing w:line="400" w:lineRule="exact"/>
              <w:ind w:firstLine="420" w:firstLineChars="200"/>
            </w:pPr>
            <w:r>
              <w:rPr>
                <w:rFonts w:hint="eastAsia"/>
              </w:rPr>
              <w:t>以</w:t>
            </w:r>
            <w:r>
              <w:rPr>
                <w:rFonts w:hint="eastAsia"/>
                <w:u w:val="single"/>
              </w:rPr>
              <w:t>重庆市公共资源交易中心</w:t>
            </w:r>
            <w:r>
              <w:rPr>
                <w:rFonts w:hint="eastAsia"/>
              </w:rPr>
              <w:t>开标现场展示的电子投标保函交纳情况为准，投标人在投标时无须再提供电子投标保函的相关资料。</w:t>
            </w:r>
          </w:p>
          <w:p>
            <w:pPr>
              <w:snapToGrid w:val="0"/>
              <w:spacing w:line="400" w:lineRule="exact"/>
              <w:ind w:firstLine="420" w:firstLineChars="200"/>
            </w:pPr>
            <w:r>
              <w:rPr>
                <w:rFonts w:hint="eastAsia"/>
              </w:rPr>
              <w:t>4.</w:t>
            </w:r>
            <w:r>
              <w:t xml:space="preserve"> </w:t>
            </w:r>
            <w:r>
              <w:rPr>
                <w:rFonts w:hint="eastAsia"/>
              </w:rPr>
              <w:t>若投标人为联合体，则由联合体牵头人提供电子投标保函。</w:t>
            </w:r>
          </w:p>
          <w:p>
            <w:pPr>
              <w:snapToGrid w:val="0"/>
              <w:spacing w:line="400" w:lineRule="exact"/>
              <w:ind w:firstLine="420" w:firstLineChars="200"/>
            </w:pPr>
            <w:r>
              <w:t>二、</w:t>
            </w:r>
            <w:r>
              <w:rPr>
                <w:rFonts w:hint="eastAsia"/>
              </w:rPr>
              <w:t>电子</w:t>
            </w:r>
            <w:r>
              <w:t>投标保函的</w:t>
            </w:r>
            <w:r>
              <w:rPr>
                <w:rFonts w:hint="eastAsia"/>
              </w:rPr>
              <w:t>注销</w:t>
            </w:r>
          </w:p>
          <w:p>
            <w:pPr>
              <w:snapToGrid w:val="0"/>
              <w:spacing w:line="400" w:lineRule="exact"/>
              <w:ind w:firstLine="420" w:firstLineChars="200"/>
              <w:rPr>
                <w:rFonts w:hint="eastAsia" w:ascii="宋体" w:hAnsi="宋体" w:eastAsia="宋体" w:cs="宋体"/>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，向除中标人以外的投标人退还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r>
              <w:rPr>
                <w:rFonts w:hint="eastAsia" w:ascii="宋体" w:hAnsi="宋体" w:eastAsia="宋体" w:cs="宋体"/>
              </w:rPr>
              <w:t>。</w:t>
            </w:r>
          </w:p>
          <w:p>
            <w:pPr>
              <w:spacing w:line="400" w:lineRule="exact"/>
              <w:ind w:firstLine="420" w:firstLineChars="200"/>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，向中标人退还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r>
              <w:rPr>
                <w:rFonts w:hint="eastAsia"/>
              </w:rPr>
              <w:t>。</w:t>
            </w:r>
          </w:p>
          <w:p>
            <w:pPr>
              <w:snapToGrid w:val="0"/>
              <w:spacing w:line="400" w:lineRule="exact"/>
              <w:ind w:firstLine="420" w:firstLineChars="200"/>
            </w:pPr>
          </w:p>
          <w:p>
            <w:pPr>
              <w:snapToGrid w:val="0"/>
              <w:spacing w:line="400" w:lineRule="exact"/>
              <w:ind w:firstLine="420" w:firstLineChars="200"/>
            </w:pPr>
            <w:r>
              <w:rPr>
                <w:rFonts w:hint="eastAsia"/>
              </w:rPr>
              <w:t>方式二</w:t>
            </w:r>
          </w:p>
          <w:p>
            <w:pPr>
              <w:snapToGrid w:val="0"/>
              <w:spacing w:line="400" w:lineRule="exact"/>
              <w:ind w:firstLine="420" w:firstLineChars="200"/>
            </w:pPr>
            <w:r>
              <w:rPr>
                <w:rFonts w:hint="eastAsia"/>
              </w:rPr>
              <w:t>一、以转账支票或电汇形式交纳投标保证金</w:t>
            </w:r>
          </w:p>
          <w:p>
            <w:pPr>
              <w:snapToGrid w:val="0"/>
              <w:spacing w:line="400" w:lineRule="exact"/>
              <w:ind w:firstLine="420" w:firstLineChars="200"/>
            </w:pPr>
            <w:r>
              <w:rPr>
                <w:rFonts w:hint="eastAsia"/>
              </w:rPr>
              <w:t>1</w:t>
            </w:r>
            <w:r>
              <w:rPr>
                <w:rFonts w:hint="eastAsia"/>
                <w:lang w:val="en-US" w:eastAsia="zh-CN"/>
              </w:rPr>
              <w:t xml:space="preserve">. </w:t>
            </w:r>
            <w:r>
              <w:rPr>
                <w:rFonts w:hint="eastAsia"/>
              </w:rPr>
              <w:t>投标保证金交款形式及要求：投标人从企业的基本账户（开户行）在投标截止时间前通过转账支票直接划付或以电汇方式直接划付至指定的投标保证金账户。若投标截止时间延期，则投标保证金提交的截止时间和投标截止时间应当保持一致。</w:t>
            </w:r>
            <w:r>
              <w:rPr>
                <w:rFonts w:hint="eastAsia" w:ascii="宋体" w:hAnsi="宋体"/>
                <w:kern w:val="0"/>
                <w:szCs w:val="21"/>
              </w:rPr>
              <w:t>不满足上述要求的投标保证金</w:t>
            </w:r>
            <w:r>
              <w:rPr>
                <w:rFonts w:hint="eastAsia" w:ascii="宋体" w:hAnsi="宋体"/>
                <w:kern w:val="0"/>
                <w:szCs w:val="21"/>
                <w:lang w:eastAsia="zh-CN"/>
              </w:rPr>
              <w:t>视为</w:t>
            </w:r>
            <w:r>
              <w:rPr>
                <w:rFonts w:ascii="宋体" w:hAnsi="宋体"/>
                <w:kern w:val="0"/>
                <w:szCs w:val="21"/>
              </w:rPr>
              <w:t>无效。</w:t>
            </w:r>
          </w:p>
          <w:p>
            <w:pPr>
              <w:snapToGrid w:val="0"/>
              <w:spacing w:line="400" w:lineRule="exact"/>
              <w:ind w:firstLine="420" w:firstLineChars="200"/>
            </w:pPr>
            <w:r>
              <w:rPr>
                <w:rFonts w:hint="eastAsia"/>
              </w:rPr>
              <w:t>投标人自行考虑汇入时间风险，如同城汇入、异地汇入、跨行汇入的时间要求。</w:t>
            </w:r>
          </w:p>
          <w:p>
            <w:pPr>
              <w:snapToGrid w:val="0"/>
              <w:spacing w:line="400" w:lineRule="exact"/>
              <w:ind w:firstLine="420" w:firstLineChars="200"/>
            </w:pPr>
            <w:r>
              <w:rPr>
                <w:rFonts w:hint="eastAsia"/>
              </w:rPr>
              <w:t>2</w:t>
            </w:r>
            <w:r>
              <w:rPr>
                <w:rFonts w:hint="eastAsia"/>
                <w:lang w:val="en-US" w:eastAsia="zh-CN"/>
              </w:rPr>
              <w:t xml:space="preserve">. </w:t>
            </w:r>
            <w:r>
              <w:rPr>
                <w:rFonts w:hint="eastAsia"/>
              </w:rPr>
              <w:t>以转账支票或电汇形式提交投标保证金的金额：</w:t>
            </w:r>
            <w:r>
              <w:rPr>
                <w:rFonts w:hint="eastAsia"/>
                <w:u w:val="single"/>
              </w:rPr>
              <w:t xml:space="preserve">    </w:t>
            </w:r>
            <w:r>
              <w:rPr>
                <w:rFonts w:hint="eastAsia"/>
              </w:rPr>
              <w:t>万元整（人民币）</w:t>
            </w:r>
            <w:r>
              <w:rPr>
                <w:rFonts w:hint="eastAsia" w:ascii="宋体" w:hAnsi="宋体"/>
                <w:kern w:val="0"/>
                <w:szCs w:val="21"/>
              </w:rPr>
              <w:t>，红名单</w:t>
            </w:r>
            <w:r>
              <w:rPr>
                <w:rFonts w:hint="eastAsia"/>
              </w:rPr>
              <w:t>中的投标人按所属红名单类别享受优惠政策，其投标保证金金额为应缴纳金额的50%，其中非联合体投标的，须投标人所属红名单类别包含在招标范围内；联合体投标的，须联合体牵头人在红名单中，并且按照</w:t>
            </w:r>
            <w:r>
              <w:rPr>
                <w:rFonts w:hint="eastAsia" w:ascii="宋体" w:hAnsi="宋体"/>
                <w:lang w:val="en-US" w:eastAsia="zh-CN"/>
              </w:rPr>
              <w:t>共同投标协议</w:t>
            </w:r>
            <w:r>
              <w:rPr>
                <w:rFonts w:hint="eastAsia"/>
              </w:rPr>
              <w:t>牵头人所属红名单类别包含在其工作范围内。投标人是否属于红名单，以开标环节信用状况查询结果为准。</w:t>
            </w:r>
          </w:p>
          <w:p>
            <w:pPr>
              <w:spacing w:line="400" w:lineRule="exact"/>
              <w:ind w:firstLine="420" w:firstLineChars="200"/>
            </w:pPr>
            <w:r>
              <w:rPr>
                <w:rFonts w:hint="eastAsia"/>
                <w:i/>
                <w:iCs/>
              </w:rPr>
              <w:t>[提示：投标保证金金额不超过该招标项目估算价或经批准的概算金额或最高限价的2%。]</w:t>
            </w:r>
          </w:p>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rPr>
                <w:rFonts w:hint="eastAsia" w:ascii="宋体" w:hAnsi="宋体" w:cs="宋体"/>
                <w:i/>
                <w:iCs/>
              </w:rPr>
            </w:pPr>
            <w:r>
              <w:rPr>
                <w:rFonts w:hint="eastAsia" w:ascii="宋体" w:hAnsi="宋体" w:cs="宋体"/>
                <w:i/>
                <w:iCs/>
              </w:rPr>
              <w:t>[提示： 招标人可自行决定是否设置上述条款，若需要设置，则在上述选项中只可选择其中一项进行设置]。</w:t>
            </w:r>
          </w:p>
          <w:p>
            <w:pPr>
              <w:snapToGrid w:val="0"/>
              <w:spacing w:line="400" w:lineRule="exact"/>
              <w:ind w:firstLine="420" w:firstLineChars="200"/>
            </w:pPr>
            <w:r>
              <w:rPr>
                <w:rFonts w:hint="eastAsia"/>
              </w:rPr>
              <w:t>3</w:t>
            </w:r>
            <w:r>
              <w:rPr>
                <w:rFonts w:hint="eastAsia"/>
                <w:lang w:val="en-US" w:eastAsia="zh-CN"/>
              </w:rPr>
              <w:t xml:space="preserve">. </w:t>
            </w:r>
            <w:r>
              <w:rPr>
                <w:rFonts w:hint="eastAsia"/>
              </w:rPr>
              <w:t>投标保证金账户及账号（任选其一）：</w:t>
            </w:r>
          </w:p>
          <w:p>
            <w:pPr>
              <w:snapToGrid w:val="0"/>
              <w:spacing w:line="400" w:lineRule="exact"/>
              <w:ind w:firstLine="420" w:firstLineChars="200"/>
            </w:pPr>
            <w:r>
              <w:rPr>
                <w:rFonts w:hint="eastAsia"/>
              </w:rPr>
              <w:t>详见</w:t>
            </w:r>
            <w:r>
              <w:rPr>
                <w:rFonts w:hint="eastAsia"/>
                <w:u w:val="single"/>
              </w:rPr>
              <w:t>重庆市公共资源交易网</w:t>
            </w:r>
            <w:r>
              <w:rPr>
                <w:rFonts w:hint="eastAsia"/>
              </w:rPr>
              <w:t>对应本项目招标公告信息栏中的保证金信息。</w:t>
            </w:r>
          </w:p>
          <w:p>
            <w:pPr>
              <w:snapToGrid w:val="0"/>
              <w:spacing w:line="400" w:lineRule="exact"/>
              <w:ind w:firstLine="420" w:firstLineChars="200"/>
            </w:pPr>
            <w:r>
              <w:rPr>
                <w:rFonts w:hint="eastAsia"/>
              </w:rPr>
              <w:t>投标保证金以</w:t>
            </w:r>
            <w:r>
              <w:rPr>
                <w:rFonts w:hint="eastAsia"/>
                <w:u w:val="single"/>
              </w:rPr>
              <w:t>重庆市公共资源交易中心</w:t>
            </w:r>
            <w:r>
              <w:rPr>
                <w:rFonts w:hint="eastAsia"/>
              </w:rPr>
              <w:t>开标现场展示的保证金交纳情况为准。投标人须在投标文件资格审查部分</w:t>
            </w:r>
            <w:r>
              <w:rPr>
                <w:rFonts w:hint="eastAsia" w:ascii="宋体" w:hAnsi="宋体"/>
                <w:kern w:val="0"/>
                <w:szCs w:val="21"/>
              </w:rPr>
              <w:t>“其他资料”中</w:t>
            </w:r>
            <w:r>
              <w:rPr>
                <w:rFonts w:hint="eastAsia"/>
              </w:rPr>
              <w:t>提供企业基本账户开户证明文件。</w:t>
            </w:r>
          </w:p>
          <w:p>
            <w:pPr>
              <w:snapToGrid w:val="0"/>
              <w:spacing w:line="400" w:lineRule="exact"/>
              <w:ind w:firstLine="420" w:firstLineChars="200"/>
              <w:rPr>
                <w:u w:val="single"/>
              </w:rPr>
            </w:pPr>
            <w:r>
              <w:rPr>
                <w:rFonts w:hint="eastAsia"/>
              </w:rPr>
              <w:t>4</w:t>
            </w:r>
            <w:r>
              <w:rPr>
                <w:rFonts w:hint="eastAsia"/>
                <w:lang w:val="en-US" w:eastAsia="zh-CN"/>
              </w:rPr>
              <w:t xml:space="preserve">. </w:t>
            </w:r>
            <w:r>
              <w:rPr>
                <w:rFonts w:hint="eastAsia"/>
              </w:rPr>
              <w:t>投标人必须在付款凭证备注栏中注明是“</w:t>
            </w:r>
            <w:r>
              <w:rPr>
                <w:rFonts w:hint="eastAsia"/>
                <w:u w:val="single"/>
              </w:rPr>
              <w:t xml:space="preserve">        </w:t>
            </w:r>
            <w:r>
              <w:rPr>
                <w:rFonts w:hint="eastAsia"/>
              </w:rPr>
              <w:t>项目投标保证金”。项目名称可简写成：</w:t>
            </w:r>
            <w:r>
              <w:rPr>
                <w:rFonts w:hint="eastAsia"/>
                <w:u w:val="single"/>
              </w:rPr>
              <w:t xml:space="preserve">        </w:t>
            </w:r>
            <w:r>
              <w:rPr>
                <w:rFonts w:hint="eastAsia"/>
              </w:rPr>
              <w:t>。</w:t>
            </w:r>
          </w:p>
          <w:p>
            <w:pPr>
              <w:snapToGrid w:val="0"/>
              <w:spacing w:line="400" w:lineRule="exact"/>
              <w:ind w:firstLine="420" w:firstLineChars="200"/>
            </w:pPr>
            <w:r>
              <w:rPr>
                <w:rFonts w:hint="eastAsia"/>
              </w:rPr>
              <w:t>5</w:t>
            </w:r>
            <w:r>
              <w:rPr>
                <w:rFonts w:hint="eastAsia"/>
                <w:lang w:val="en-US" w:eastAsia="zh-CN"/>
              </w:rPr>
              <w:t xml:space="preserve">. </w:t>
            </w:r>
            <w:r>
              <w:rPr>
                <w:rFonts w:hint="eastAsia"/>
              </w:rPr>
              <w:t>投标保证金有效期与投标有效期一致。</w:t>
            </w:r>
          </w:p>
          <w:p>
            <w:pPr>
              <w:snapToGrid w:val="0"/>
              <w:spacing w:line="400" w:lineRule="exact"/>
              <w:ind w:firstLine="420" w:firstLineChars="200"/>
            </w:pPr>
            <w:r>
              <w:rPr>
                <w:rFonts w:hint="eastAsia"/>
                <w:u w:val="single"/>
              </w:rPr>
              <w:t>6</w:t>
            </w:r>
            <w:r>
              <w:rPr>
                <w:rFonts w:hint="eastAsia"/>
                <w:u w:val="single"/>
                <w:lang w:val="en-US" w:eastAsia="zh-CN"/>
              </w:rPr>
              <w:t xml:space="preserve">. </w:t>
            </w:r>
            <w:r>
              <w:rPr>
                <w:rFonts w:hint="eastAsia"/>
                <w:u w:val="single"/>
              </w:rPr>
              <w:t>根据重庆市公共资源交易中心《关于开展公共资源交易市场主体信息登记工作的公告》的要求，投标人在开标前需在重庆市公共资源交易网办理市场主体信息登记手续。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snapToGrid w:val="0"/>
              <w:spacing w:line="400" w:lineRule="exact"/>
              <w:ind w:firstLine="420" w:firstLineChars="200"/>
            </w:pPr>
            <w:r>
              <w:rPr>
                <w:rFonts w:hint="eastAsia"/>
              </w:rPr>
              <w:t>7</w:t>
            </w:r>
            <w:r>
              <w:rPr>
                <w:rFonts w:hint="eastAsia"/>
                <w:lang w:val="en-US" w:eastAsia="zh-CN"/>
              </w:rPr>
              <w:t xml:space="preserve">. </w:t>
            </w:r>
            <w:r>
              <w:rPr>
                <w:rFonts w:hint="eastAsia"/>
              </w:rPr>
              <w:t>若投标人为联合体，则由联合体牵头人提交投标保证金。</w:t>
            </w:r>
          </w:p>
          <w:p>
            <w:pPr>
              <w:snapToGrid w:val="0"/>
              <w:spacing w:line="400" w:lineRule="exact"/>
              <w:ind w:firstLine="420" w:firstLineChars="200"/>
            </w:pPr>
            <w:r>
              <w:rPr>
                <w:rFonts w:hint="eastAsia"/>
              </w:rPr>
              <w:t>二、投标保证金的退还</w:t>
            </w:r>
          </w:p>
          <w:p>
            <w:pPr>
              <w:snapToGrid w:val="0"/>
              <w:spacing w:line="400" w:lineRule="exact"/>
              <w:ind w:firstLine="420" w:firstLineChars="200"/>
              <w:rPr>
                <w:rFonts w:hint="eastAsia" w:ascii="宋体" w:hAnsi="宋体" w:eastAsia="宋体" w:cs="宋体"/>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向除中标人以外的投标人，退还投标保证金及银行同期活期存款利息</w:t>
            </w:r>
            <w:r>
              <w:rPr>
                <w:rFonts w:hint="eastAsia" w:ascii="宋体" w:hAnsi="宋体" w:eastAsia="宋体" w:cs="宋体"/>
              </w:rPr>
              <w:t>。</w:t>
            </w:r>
          </w:p>
          <w:p>
            <w:pPr>
              <w:snapToGrid w:val="0"/>
              <w:spacing w:line="400" w:lineRule="exact"/>
              <w:ind w:firstLine="420" w:firstLineChars="200"/>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日内，向中标人退还投标保证金及银行同期活期存款利息</w:t>
            </w:r>
            <w:r>
              <w:rPr>
                <w:rFonts w:hint="eastAsia"/>
              </w:rPr>
              <w:t>。</w:t>
            </w:r>
          </w:p>
          <w:p>
            <w:pPr>
              <w:snapToGrid w:val="0"/>
              <w:spacing w:line="400" w:lineRule="exact"/>
              <w:ind w:firstLine="420" w:firstLineChars="200"/>
              <w:jc w:val="left"/>
            </w:pPr>
            <w:r>
              <w:rPr>
                <w:rFonts w:hint="eastAsia"/>
              </w:rPr>
              <w:t>投标保证金专用账户由</w:t>
            </w:r>
            <w:r>
              <w:rPr>
                <w:rFonts w:hint="eastAsia"/>
                <w:u w:val="single"/>
              </w:rPr>
              <w:t>重庆市公共资源交易中心</w:t>
            </w:r>
            <w:r>
              <w:rPr>
                <w:rFonts w:hint="eastAsia"/>
                <w:lang w:val="en-US" w:eastAsia="zh-CN"/>
              </w:rPr>
              <w:t>指定</w:t>
            </w:r>
            <w:r>
              <w:rPr>
                <w:rFonts w:hint="eastAsia"/>
              </w:rPr>
              <w:t>，关于保证金相关情况的问题请咨询</w:t>
            </w:r>
            <w:r>
              <w:rPr>
                <w:rFonts w:hint="eastAsia"/>
                <w:u w:val="single"/>
              </w:rPr>
              <w:t>重庆市公共资源交易中心</w:t>
            </w:r>
            <w:r>
              <w:rPr>
                <w:rFonts w:hint="eastAsia"/>
              </w:rPr>
              <w:t>，联系电话023-</w:t>
            </w:r>
            <w:r>
              <w:rPr>
                <w:rFonts w:hint="eastAsia"/>
                <w:u w:val="single"/>
              </w:rPr>
              <w:t xml:space="preserve">     </w:t>
            </w:r>
            <w:r>
              <w:rPr>
                <w:rFonts w:hint="eastAsia"/>
              </w:rPr>
              <w:t>。</w:t>
            </w:r>
          </w:p>
          <w:p>
            <w:pPr>
              <w:snapToGrid w:val="0"/>
              <w:spacing w:line="400" w:lineRule="exact"/>
              <w:ind w:firstLine="420" w:firstLineChars="200"/>
              <w:rPr>
                <w:rFonts w:ascii="宋体" w:hAnsi="宋体" w:cs="MingLiU"/>
                <w:bCs/>
                <w:kern w:val="0"/>
                <w:szCs w:val="21"/>
              </w:rPr>
            </w:pPr>
          </w:p>
          <w:p>
            <w:pPr>
              <w:snapToGrid w:val="0"/>
              <w:spacing w:line="400" w:lineRule="exact"/>
              <w:ind w:firstLine="420" w:firstLineChars="200"/>
              <w:rPr>
                <w:rFonts w:ascii="宋体" w:hAnsi="宋体" w:cs="MingLiU"/>
                <w:bCs/>
                <w:kern w:val="0"/>
                <w:szCs w:val="21"/>
              </w:rPr>
            </w:pPr>
            <w:r>
              <w:rPr>
                <w:rFonts w:hint="eastAsia" w:ascii="宋体" w:hAnsi="宋体" w:cs="MingLiU"/>
                <w:bCs/>
                <w:kern w:val="0"/>
                <w:szCs w:val="21"/>
              </w:rPr>
              <w:t>方式三</w:t>
            </w:r>
          </w:p>
          <w:p>
            <w:pPr>
              <w:snapToGrid w:val="0"/>
              <w:spacing w:line="400" w:lineRule="exact"/>
              <w:ind w:firstLine="420" w:firstLineChars="200"/>
              <w:rPr>
                <w:rFonts w:ascii="宋体" w:hAnsi="宋体"/>
                <w:kern w:val="0"/>
                <w:szCs w:val="21"/>
              </w:rPr>
            </w:pPr>
            <w:r>
              <w:rPr>
                <w:rFonts w:ascii="宋体" w:hAnsi="宋体"/>
                <w:kern w:val="0"/>
                <w:szCs w:val="21"/>
              </w:rPr>
              <w:t>一、</w:t>
            </w:r>
            <w:r>
              <w:rPr>
                <w:rFonts w:hint="eastAsia" w:ascii="宋体" w:hAnsi="宋体"/>
                <w:kern w:val="0"/>
                <w:szCs w:val="21"/>
              </w:rPr>
              <w:t>以纸质投标保函形式交纳投标保证金</w:t>
            </w:r>
          </w:p>
          <w:p>
            <w:pPr>
              <w:snapToGrid w:val="0"/>
              <w:spacing w:line="400" w:lineRule="exact"/>
              <w:ind w:firstLine="420" w:firstLineChars="200"/>
              <w:rPr>
                <w:rFonts w:ascii="宋体" w:hAnsi="宋体"/>
                <w:kern w:val="0"/>
                <w:szCs w:val="21"/>
              </w:rPr>
            </w:pPr>
            <w:r>
              <w:rPr>
                <w:rFonts w:ascii="宋体" w:hAnsi="宋体"/>
                <w:kern w:val="0"/>
                <w:szCs w:val="21"/>
              </w:rPr>
              <w:t>1</w:t>
            </w:r>
            <w:r>
              <w:rPr>
                <w:rFonts w:hint="eastAsia" w:ascii="宋体" w:hAnsi="宋体"/>
                <w:kern w:val="0"/>
                <w:szCs w:val="21"/>
              </w:rPr>
              <w:t>. 纸质投标保函</w:t>
            </w:r>
            <w:r>
              <w:rPr>
                <w:rFonts w:ascii="宋体" w:hAnsi="宋体"/>
                <w:kern w:val="0"/>
                <w:szCs w:val="21"/>
              </w:rPr>
              <w:t>交纳形式及要求：</w:t>
            </w:r>
          </w:p>
          <w:p>
            <w:pPr>
              <w:snapToGrid w:val="0"/>
              <w:spacing w:line="400" w:lineRule="exact"/>
              <w:ind w:firstLine="420" w:firstLineChars="200"/>
              <w:rPr>
                <w:rFonts w:ascii="宋体" w:hAnsi="宋体"/>
                <w:kern w:val="0"/>
                <w:szCs w:val="21"/>
              </w:rPr>
            </w:pPr>
            <w:r>
              <w:rPr>
                <w:rFonts w:ascii="宋体" w:hAnsi="宋体"/>
                <w:kern w:val="0"/>
                <w:szCs w:val="21"/>
              </w:rPr>
              <w:t>（1）缴纳形式：</w:t>
            </w:r>
            <w:r>
              <w:rPr>
                <w:rFonts w:hint="eastAsia" w:ascii="宋体" w:hAnsi="宋体"/>
                <w:kern w:val="0"/>
                <w:szCs w:val="21"/>
                <w:lang w:val="en-US" w:eastAsia="zh-CN"/>
              </w:rPr>
              <w:t>纸质投标保函</w:t>
            </w:r>
            <w:r>
              <w:rPr>
                <w:rFonts w:hint="eastAsia" w:ascii="宋体" w:hAnsi="宋体"/>
                <w:kern w:val="0"/>
                <w:szCs w:val="21"/>
              </w:rPr>
              <w:t>包括银行保函</w:t>
            </w:r>
            <w:r>
              <w:rPr>
                <w:rFonts w:hint="eastAsia" w:ascii="宋体" w:hAnsi="宋体"/>
                <w:kern w:val="0"/>
                <w:szCs w:val="21"/>
                <w:lang w:eastAsia="zh-CN"/>
              </w:rPr>
              <w:t>、</w:t>
            </w:r>
            <w:r>
              <w:rPr>
                <w:rFonts w:hint="eastAsia" w:ascii="宋体" w:hAnsi="宋体"/>
                <w:kern w:val="0"/>
                <w:szCs w:val="21"/>
              </w:rPr>
              <w:t>保证保险和担保保函</w:t>
            </w:r>
            <w:r>
              <w:rPr>
                <w:rFonts w:hint="eastAsia" w:ascii="宋体" w:hAnsi="宋体"/>
                <w:kern w:val="0"/>
                <w:szCs w:val="21"/>
                <w:lang w:eastAsia="zh-CN"/>
              </w:rPr>
              <w:t>，</w:t>
            </w:r>
            <w:r>
              <w:rPr>
                <w:rFonts w:hint="eastAsia" w:ascii="宋体" w:hAnsi="宋体"/>
                <w:kern w:val="0"/>
                <w:szCs w:val="21"/>
                <w:lang w:val="en-US" w:eastAsia="zh-CN"/>
              </w:rPr>
              <w:t>其示范文本详见第八章投标文件格式。投标人提交的纸质投标保函应</w:t>
            </w:r>
            <w:r>
              <w:rPr>
                <w:rFonts w:hint="eastAsia" w:ascii="宋体" w:hAnsi="宋体"/>
                <w:kern w:val="0"/>
                <w:szCs w:val="21"/>
              </w:rPr>
              <w:t>严格执行</w:t>
            </w:r>
            <w:r>
              <w:rPr>
                <w:rFonts w:hint="eastAsia" w:ascii="宋体" w:hAnsi="宋体"/>
                <w:kern w:val="0"/>
                <w:szCs w:val="21"/>
                <w:lang w:val="en-US" w:eastAsia="zh-CN"/>
              </w:rPr>
              <w:t>其</w:t>
            </w:r>
            <w:r>
              <w:rPr>
                <w:rFonts w:hint="eastAsia" w:ascii="宋体" w:hAnsi="宋体"/>
                <w:kern w:val="0"/>
                <w:szCs w:val="21"/>
              </w:rPr>
              <w:t>示范文本，不得对示范文本中的实质性内容进行修改</w:t>
            </w:r>
            <w:r>
              <w:rPr>
                <w:rFonts w:hint="eastAsia" w:ascii="宋体" w:hAnsi="宋体"/>
                <w:kern w:val="0"/>
                <w:szCs w:val="21"/>
                <w:lang w:eastAsia="zh-CN"/>
              </w:rPr>
              <w:t>。</w:t>
            </w:r>
          </w:p>
          <w:p>
            <w:pPr>
              <w:snapToGrid w:val="0"/>
              <w:spacing w:line="400" w:lineRule="exact"/>
              <w:ind w:firstLine="420" w:firstLineChars="200"/>
              <w:rPr>
                <w:rFonts w:hint="eastAsia" w:ascii="宋体" w:hAnsi="宋体"/>
                <w:kern w:val="0"/>
                <w:szCs w:val="21"/>
                <w:lang w:val="en-US" w:eastAsia="zh-CN"/>
              </w:rPr>
            </w:pPr>
            <w:r>
              <w:rPr>
                <w:rFonts w:ascii="宋体" w:hAnsi="宋体"/>
                <w:kern w:val="0"/>
                <w:szCs w:val="21"/>
              </w:rPr>
              <w:t>（</w:t>
            </w:r>
            <w:r>
              <w:rPr>
                <w:rFonts w:hint="default" w:ascii="宋体" w:hAnsi="宋体"/>
                <w:kern w:val="0"/>
                <w:szCs w:val="21"/>
                <w:lang w:val="en-US"/>
              </w:rPr>
              <w:t>2</w:t>
            </w:r>
            <w:r>
              <w:rPr>
                <w:rFonts w:ascii="宋体" w:hAnsi="宋体"/>
                <w:kern w:val="0"/>
                <w:szCs w:val="21"/>
              </w:rPr>
              <w:t>）具体要求：</w:t>
            </w:r>
            <w:r>
              <w:rPr>
                <w:rFonts w:hint="eastAsia" w:ascii="宋体" w:hAnsi="宋体"/>
                <w:kern w:val="0"/>
                <w:szCs w:val="21"/>
                <w:lang w:val="en-US" w:eastAsia="zh-CN"/>
              </w:rPr>
              <w:t>纸质投标</w:t>
            </w:r>
            <w:r>
              <w:rPr>
                <w:rFonts w:hint="eastAsia" w:ascii="宋体" w:hAnsi="宋体"/>
                <w:kern w:val="0"/>
                <w:szCs w:val="21"/>
              </w:rPr>
              <w:t>保函的开立人应当是具有相应资格的银行、保险机构、融资担保公司，其信用资质、履约能力、担保能力、赔付流程、安全保密等应符合工程保函业务条件</w:t>
            </w:r>
            <w:r>
              <w:rPr>
                <w:rFonts w:hint="eastAsia" w:ascii="宋体" w:hAnsi="宋体"/>
                <w:kern w:val="0"/>
                <w:szCs w:val="21"/>
                <w:lang w:eastAsia="zh-CN"/>
              </w:rPr>
              <w:t>。</w:t>
            </w:r>
            <w:r>
              <w:rPr>
                <w:rFonts w:hint="eastAsia" w:ascii="宋体" w:hAnsi="宋体"/>
                <w:kern w:val="0"/>
                <w:szCs w:val="21"/>
                <w:lang w:val="en-US" w:eastAsia="zh-CN"/>
              </w:rPr>
              <w:t>纸质投标</w:t>
            </w:r>
            <w:r>
              <w:rPr>
                <w:rFonts w:hint="eastAsia" w:ascii="宋体" w:hAnsi="宋体"/>
                <w:kern w:val="0"/>
                <w:szCs w:val="21"/>
                <w:lang w:eastAsia="zh-CN"/>
              </w:rPr>
              <w:t>保函应合法合规，符合招投标行政监督部门、行业主管部门和金融监管部门的相关规定，满足招标文件约定要求。</w:t>
            </w:r>
            <w:r>
              <w:rPr>
                <w:rFonts w:hint="eastAsia" w:ascii="宋体" w:hAnsi="宋体"/>
                <w:kern w:val="0"/>
                <w:szCs w:val="21"/>
                <w:lang w:val="en-US" w:eastAsia="zh-CN"/>
              </w:rPr>
              <w:t>投标人</w:t>
            </w:r>
            <w:r>
              <w:rPr>
                <w:rFonts w:hint="eastAsia" w:ascii="宋体" w:hAnsi="宋体"/>
                <w:kern w:val="0"/>
                <w:szCs w:val="21"/>
              </w:rPr>
              <w:t>应选择在渝依法设立总部或者设有分支机构的金融机构开具</w:t>
            </w:r>
            <w:r>
              <w:rPr>
                <w:rFonts w:hint="eastAsia" w:ascii="宋体" w:hAnsi="宋体"/>
                <w:kern w:val="0"/>
                <w:szCs w:val="21"/>
                <w:lang w:val="en-US" w:eastAsia="zh-CN"/>
              </w:rPr>
              <w:t>纸质投标</w:t>
            </w:r>
            <w:r>
              <w:rPr>
                <w:rFonts w:hint="eastAsia" w:ascii="宋体" w:hAnsi="宋体"/>
                <w:kern w:val="0"/>
                <w:szCs w:val="21"/>
              </w:rPr>
              <w:t>保函</w:t>
            </w:r>
            <w:r>
              <w:rPr>
                <w:rFonts w:hint="eastAsia" w:ascii="宋体" w:hAnsi="宋体"/>
                <w:kern w:val="0"/>
                <w:szCs w:val="21"/>
                <w:lang w:eastAsia="zh-CN"/>
              </w:rPr>
              <w:t>。</w:t>
            </w:r>
            <w:r>
              <w:rPr>
                <w:rFonts w:hint="eastAsia" w:ascii="宋体" w:hAnsi="宋体"/>
                <w:kern w:val="0"/>
                <w:szCs w:val="21"/>
                <w:lang w:val="en-US" w:eastAsia="zh-CN"/>
              </w:rPr>
              <w:t>投标人对所提交的纸质投标保函的真实性、合法性、有效性负责。</w:t>
            </w:r>
          </w:p>
          <w:p>
            <w:pPr>
              <w:snapToGrid w:val="0"/>
              <w:spacing w:line="400" w:lineRule="exact"/>
              <w:ind w:firstLine="420" w:firstLineChars="200"/>
              <w:rPr>
                <w:rFonts w:hint="eastAsia" w:ascii="宋体" w:hAnsi="宋体"/>
                <w:kern w:val="0"/>
                <w:szCs w:val="21"/>
              </w:rPr>
            </w:pPr>
            <w:r>
              <w:rPr>
                <w:rFonts w:ascii="宋体" w:hAnsi="宋体"/>
                <w:kern w:val="0"/>
                <w:szCs w:val="21"/>
              </w:rPr>
              <w:t>投标人</w:t>
            </w:r>
            <w:r>
              <w:rPr>
                <w:rFonts w:hint="eastAsia" w:ascii="宋体" w:hAnsi="宋体"/>
                <w:kern w:val="0"/>
                <w:szCs w:val="21"/>
              </w:rPr>
              <w:t>须在投标文件资格审查部分“其他资料”中</w:t>
            </w:r>
            <w:r>
              <w:rPr>
                <w:rFonts w:ascii="宋体" w:hAnsi="宋体"/>
                <w:kern w:val="0"/>
                <w:szCs w:val="21"/>
              </w:rPr>
              <w:t>提供</w:t>
            </w:r>
            <w:r>
              <w:rPr>
                <w:rFonts w:hint="eastAsia" w:ascii="宋体" w:hAnsi="宋体"/>
                <w:kern w:val="0"/>
                <w:szCs w:val="21"/>
              </w:rPr>
              <w:t>纸质</w:t>
            </w:r>
            <w:r>
              <w:rPr>
                <w:rFonts w:ascii="宋体" w:hAnsi="宋体"/>
                <w:kern w:val="0"/>
                <w:szCs w:val="21"/>
              </w:rPr>
              <w:t>投标保函</w:t>
            </w:r>
            <w:r>
              <w:rPr>
                <w:rFonts w:hint="eastAsia" w:ascii="宋体" w:hAnsi="宋体"/>
                <w:kern w:val="0"/>
                <w:szCs w:val="21"/>
              </w:rPr>
              <w:t>扫描件，纸质</w:t>
            </w:r>
            <w:r>
              <w:rPr>
                <w:rFonts w:ascii="宋体" w:hAnsi="宋体"/>
                <w:kern w:val="0"/>
                <w:szCs w:val="21"/>
              </w:rPr>
              <w:t>投标保函</w:t>
            </w:r>
            <w:r>
              <w:rPr>
                <w:rFonts w:hint="eastAsia" w:ascii="宋体" w:hAnsi="宋体"/>
                <w:kern w:val="0"/>
                <w:szCs w:val="21"/>
              </w:rPr>
              <w:t>原件应当于投标截止时间前在开标现场递交招标人保管。</w:t>
            </w:r>
          </w:p>
          <w:p>
            <w:pPr>
              <w:snapToGrid w:val="0"/>
              <w:spacing w:line="400" w:lineRule="exact"/>
              <w:ind w:firstLine="420" w:firstLineChars="200"/>
            </w:pPr>
            <w:r>
              <w:rPr>
                <w:rFonts w:hint="eastAsia"/>
              </w:rPr>
              <w:t>若投标截止时间延期，则纸质投标保函递交的截止时间和投标截止时间保持一致。</w:t>
            </w:r>
          </w:p>
          <w:p>
            <w:pPr>
              <w:snapToGrid w:val="0"/>
              <w:spacing w:line="400" w:lineRule="exact"/>
              <w:ind w:firstLine="420" w:firstLineChars="200"/>
            </w:pPr>
            <w:r>
              <w:rPr>
                <w:rFonts w:hint="eastAsia" w:ascii="宋体" w:hAnsi="宋体"/>
                <w:kern w:val="0"/>
                <w:szCs w:val="21"/>
              </w:rPr>
              <w:t>不满足上述要求的纸质</w:t>
            </w:r>
            <w:r>
              <w:rPr>
                <w:rFonts w:ascii="宋体" w:hAnsi="宋体"/>
                <w:kern w:val="0"/>
                <w:szCs w:val="21"/>
              </w:rPr>
              <w:t>投标保函</w:t>
            </w:r>
            <w:r>
              <w:rPr>
                <w:rFonts w:hint="eastAsia" w:ascii="宋体" w:hAnsi="宋体"/>
                <w:kern w:val="0"/>
                <w:szCs w:val="21"/>
                <w:lang w:eastAsia="zh-CN"/>
              </w:rPr>
              <w:t>视为</w:t>
            </w:r>
            <w:r>
              <w:rPr>
                <w:rFonts w:ascii="宋体" w:hAnsi="宋体"/>
                <w:kern w:val="0"/>
                <w:szCs w:val="21"/>
              </w:rPr>
              <w:t>无效。</w:t>
            </w:r>
          </w:p>
          <w:p>
            <w:pPr>
              <w:snapToGrid w:val="0"/>
              <w:spacing w:line="400" w:lineRule="exact"/>
              <w:ind w:firstLine="420" w:firstLineChars="200"/>
            </w:pPr>
            <w:r>
              <w:rPr>
                <w:rFonts w:ascii="宋体" w:hAnsi="宋体"/>
                <w:kern w:val="0"/>
                <w:szCs w:val="21"/>
              </w:rPr>
              <w:t>2</w:t>
            </w:r>
            <w:r>
              <w:rPr>
                <w:rFonts w:hint="eastAsia" w:ascii="宋体" w:hAnsi="宋体"/>
                <w:kern w:val="0"/>
                <w:szCs w:val="21"/>
              </w:rPr>
              <w:t xml:space="preserve">. </w:t>
            </w:r>
            <w:r>
              <w:rPr>
                <w:rFonts w:hint="eastAsia"/>
              </w:rPr>
              <w:t>以纸质投标保函形式担保的</w:t>
            </w:r>
            <w:r>
              <w:t>投标保证金的金额</w:t>
            </w:r>
            <w:r>
              <w:rPr>
                <w:rFonts w:ascii="宋体" w:hAnsi="宋体"/>
                <w:kern w:val="0"/>
                <w:szCs w:val="21"/>
              </w:rPr>
              <w:t>：</w:t>
            </w:r>
            <w:r>
              <w:rPr>
                <w:rFonts w:ascii="宋体" w:hAnsi="宋体"/>
                <w:kern w:val="0"/>
                <w:szCs w:val="21"/>
                <w:u w:val="single"/>
              </w:rPr>
              <w:t xml:space="preserve">    </w:t>
            </w:r>
            <w:r>
              <w:rPr>
                <w:rFonts w:ascii="宋体" w:hAnsi="宋体"/>
                <w:kern w:val="0"/>
                <w:szCs w:val="21"/>
              </w:rPr>
              <w:t>万元整（人民币）</w:t>
            </w:r>
            <w:r>
              <w:rPr>
                <w:rFonts w:hint="eastAsia" w:ascii="宋体" w:hAnsi="宋体"/>
                <w:kern w:val="0"/>
                <w:szCs w:val="21"/>
              </w:rPr>
              <w:t>，红名单</w:t>
            </w:r>
            <w:r>
              <w:rPr>
                <w:rFonts w:hint="eastAsia"/>
              </w:rPr>
              <w:t>中的投标人</w:t>
            </w:r>
            <w:r>
              <w:rPr>
                <w:rFonts w:hint="eastAsia" w:ascii="宋体" w:hAnsi="宋体"/>
                <w:iCs/>
                <w:kern w:val="0"/>
                <w:szCs w:val="21"/>
              </w:rPr>
              <w:t>按所属红名单类别享受优惠政策，其</w:t>
            </w:r>
            <w:r>
              <w:rPr>
                <w:rFonts w:hint="eastAsia"/>
              </w:rPr>
              <w:t>投标保证金金额为应缴纳金额的50%</w:t>
            </w:r>
            <w:r>
              <w:rPr>
                <w:rFonts w:hint="eastAsia" w:ascii="宋体" w:hAnsi="宋体"/>
                <w:kern w:val="0"/>
                <w:szCs w:val="21"/>
              </w:rPr>
              <w:t>，其中非联合体投标的，须投标人所属红名单类别包含在招标范围内</w:t>
            </w:r>
            <w:r>
              <w:rPr>
                <w:rFonts w:hint="eastAsia"/>
              </w:rPr>
              <w:t>；联合体投标的，须联合体牵头人在红名单中</w:t>
            </w:r>
            <w:r>
              <w:rPr>
                <w:rFonts w:hint="eastAsia" w:ascii="宋体" w:hAnsi="宋体"/>
                <w:iCs/>
                <w:kern w:val="0"/>
                <w:szCs w:val="21"/>
              </w:rPr>
              <w:t>，并且按照</w:t>
            </w:r>
            <w:r>
              <w:rPr>
                <w:rFonts w:hint="eastAsia" w:ascii="宋体" w:hAnsi="宋体"/>
                <w:lang w:val="en-US" w:eastAsia="zh-CN"/>
              </w:rPr>
              <w:t>共同投标协议</w:t>
            </w:r>
            <w:r>
              <w:rPr>
                <w:rFonts w:hint="eastAsia" w:ascii="宋体" w:hAnsi="宋体"/>
                <w:iCs/>
                <w:kern w:val="0"/>
                <w:szCs w:val="21"/>
              </w:rPr>
              <w:t>牵头人所属红名单类别包含在其工作范围内</w:t>
            </w:r>
            <w:r>
              <w:rPr>
                <w:rFonts w:hint="eastAsia"/>
              </w:rPr>
              <w:t>。投标人是否属于红名单，以开标环节信用状况查询结果为准。</w:t>
            </w:r>
          </w:p>
          <w:p>
            <w:pPr>
              <w:spacing w:line="400" w:lineRule="exact"/>
              <w:ind w:firstLine="420" w:firstLineChars="200"/>
              <w:rPr>
                <w:rFonts w:ascii="宋体" w:hAnsi="宋体"/>
                <w:i/>
                <w:kern w:val="0"/>
                <w:szCs w:val="21"/>
              </w:rPr>
            </w:pPr>
            <w:r>
              <w:rPr>
                <w:rFonts w:hint="eastAsia"/>
                <w:i/>
                <w:iCs/>
              </w:rPr>
              <w:t>[提示：投标保证金金额不超过该招标项目估算价或经批准的概算金额或最高限价的2%。]</w:t>
            </w:r>
          </w:p>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rPr>
                <w:rFonts w:hint="eastAsia" w:ascii="宋体" w:hAnsi="宋体" w:cs="宋体"/>
              </w:rPr>
            </w:pPr>
            <w:r>
              <w:rPr>
                <w:rFonts w:hint="eastAsia" w:ascii="宋体" w:hAnsi="宋体" w:cs="宋体"/>
                <w:i/>
                <w:iCs/>
              </w:rPr>
              <w:t>[提示： 招标人可自行决定是否设置上述条款，若需要设置，则在上述选项中只可选择其中一项进行设置]。</w:t>
            </w:r>
          </w:p>
          <w:p>
            <w:pPr>
              <w:snapToGrid w:val="0"/>
              <w:spacing w:line="400" w:lineRule="exact"/>
              <w:ind w:firstLine="420" w:firstLineChars="200"/>
              <w:rPr>
                <w:rFonts w:ascii="宋体" w:hAnsi="宋体"/>
                <w:kern w:val="0"/>
                <w:szCs w:val="21"/>
              </w:rPr>
            </w:pPr>
            <w:r>
              <w:rPr>
                <w:rFonts w:hint="eastAsia" w:ascii="宋体" w:hAnsi="宋体"/>
                <w:kern w:val="0"/>
                <w:szCs w:val="21"/>
              </w:rPr>
              <w:t xml:space="preserve">3. </w:t>
            </w:r>
            <w:r>
              <w:rPr>
                <w:rFonts w:ascii="宋体" w:hAnsi="宋体"/>
                <w:kern w:val="0"/>
                <w:szCs w:val="21"/>
              </w:rPr>
              <w:t>投标人须</w:t>
            </w:r>
            <w:r>
              <w:rPr>
                <w:rFonts w:hint="eastAsia"/>
              </w:rPr>
              <w:t>在</w:t>
            </w:r>
            <w:r>
              <w:rPr>
                <w:rFonts w:hint="eastAsia" w:ascii="宋体" w:hAnsi="宋体"/>
                <w:kern w:val="0"/>
                <w:szCs w:val="21"/>
              </w:rPr>
              <w:t>纸质投标保函</w:t>
            </w:r>
            <w:r>
              <w:rPr>
                <w:rFonts w:hint="eastAsia" w:ascii="宋体" w:hAnsi="宋体"/>
                <w:kern w:val="0"/>
                <w:szCs w:val="21"/>
                <w:lang w:val="en-US" w:eastAsia="zh-CN"/>
              </w:rPr>
              <w:t>中注明</w:t>
            </w:r>
            <w:r>
              <w:rPr>
                <w:rFonts w:hint="eastAsia" w:ascii="宋体" w:hAnsi="宋体"/>
                <w:kern w:val="0"/>
                <w:szCs w:val="21"/>
              </w:rPr>
              <w:t>在重庆市辖区范围内的核验</w:t>
            </w:r>
            <w:r>
              <w:rPr>
                <w:rFonts w:hint="eastAsia" w:ascii="宋体" w:hAnsi="宋体"/>
                <w:kern w:val="0"/>
                <w:szCs w:val="21"/>
                <w:lang w:val="en-US" w:eastAsia="zh-CN"/>
              </w:rPr>
              <w:t>地址和核验方式，并</w:t>
            </w:r>
            <w:r>
              <w:rPr>
                <w:rFonts w:hint="eastAsia" w:ascii="宋体" w:hAnsi="宋体"/>
                <w:kern w:val="0"/>
                <w:szCs w:val="21"/>
              </w:rPr>
              <w:t>确保其递交的纸质</w:t>
            </w:r>
            <w:r>
              <w:rPr>
                <w:rFonts w:ascii="宋体" w:hAnsi="宋体"/>
                <w:kern w:val="0"/>
                <w:szCs w:val="21"/>
              </w:rPr>
              <w:t>投标保函能在</w:t>
            </w:r>
            <w:r>
              <w:rPr>
                <w:rFonts w:hint="eastAsia" w:ascii="宋体" w:hAnsi="宋体"/>
                <w:kern w:val="0"/>
                <w:szCs w:val="21"/>
                <w:lang w:val="en-US" w:eastAsia="zh-CN"/>
              </w:rPr>
              <w:t>开立人在渝的总部或者分支机构进行</w:t>
            </w:r>
            <w:r>
              <w:rPr>
                <w:rFonts w:hint="eastAsia" w:ascii="宋体" w:hAnsi="宋体"/>
                <w:kern w:val="0"/>
                <w:szCs w:val="21"/>
              </w:rPr>
              <w:t>核验。</w:t>
            </w:r>
          </w:p>
          <w:p>
            <w:pPr>
              <w:snapToGrid w:val="0"/>
              <w:spacing w:line="400" w:lineRule="exact"/>
              <w:ind w:firstLine="420" w:firstLineChars="200"/>
              <w:rPr>
                <w:rFonts w:ascii="宋体" w:hAnsi="宋体"/>
                <w:kern w:val="0"/>
                <w:szCs w:val="21"/>
              </w:rPr>
            </w:pPr>
            <w:r>
              <w:rPr>
                <w:rFonts w:hint="eastAsia" w:ascii="宋体" w:hAnsi="宋体"/>
                <w:kern w:val="0"/>
                <w:szCs w:val="21"/>
              </w:rPr>
              <w:t>4. 投标人在开标现场递交的纸质投标保函原件应与投标文件中提供的纸质投标保函扫描件一致，否则由评标委员会作否决投标处理。</w:t>
            </w:r>
          </w:p>
          <w:p>
            <w:pPr>
              <w:snapToGrid w:val="0"/>
              <w:spacing w:line="400" w:lineRule="exact"/>
              <w:ind w:firstLine="420" w:firstLineChars="200"/>
              <w:rPr>
                <w:rFonts w:ascii="宋体" w:hAnsi="宋体"/>
                <w:kern w:val="0"/>
                <w:szCs w:val="21"/>
              </w:rPr>
            </w:pPr>
            <w:r>
              <w:rPr>
                <w:rFonts w:hint="eastAsia" w:ascii="宋体" w:hAnsi="宋体"/>
                <w:kern w:val="0"/>
                <w:szCs w:val="21"/>
              </w:rPr>
              <w:t>5. 在发出中标通知书前，招标人应当对投标人（至少中标候选人或中标人）</w:t>
            </w:r>
            <w:r>
              <w:rPr>
                <w:rFonts w:hint="eastAsia" w:ascii="宋体" w:hAnsi="宋体"/>
                <w:kern w:val="0"/>
                <w:szCs w:val="21"/>
                <w:lang w:val="en-US" w:eastAsia="zh-CN"/>
              </w:rPr>
              <w:t>递交</w:t>
            </w:r>
            <w:r>
              <w:rPr>
                <w:rFonts w:hint="eastAsia" w:ascii="宋体" w:hAnsi="宋体"/>
                <w:kern w:val="0"/>
                <w:szCs w:val="21"/>
              </w:rPr>
              <w:t>的纸质投标保函</w:t>
            </w:r>
            <w:r>
              <w:rPr>
                <w:rFonts w:hint="eastAsia" w:ascii="宋体" w:hAnsi="宋体"/>
                <w:kern w:val="0"/>
                <w:szCs w:val="21"/>
                <w:lang w:val="en-US" w:eastAsia="zh-CN"/>
              </w:rPr>
              <w:t>的真实性、合法性、有效性进行核验，对核验不合格或无法按纸质投标保函注明的核验地点、核验方式进行核验的，视为投标人未提交纸质投标保函</w:t>
            </w:r>
            <w:r>
              <w:rPr>
                <w:rFonts w:hint="eastAsia" w:ascii="宋体" w:hAnsi="宋体"/>
                <w:kern w:val="0"/>
                <w:szCs w:val="21"/>
              </w:rPr>
              <w:t>，对</w:t>
            </w:r>
            <w:r>
              <w:rPr>
                <w:rFonts w:hint="eastAsia" w:ascii="宋体" w:hAnsi="宋体"/>
                <w:szCs w:val="21"/>
              </w:rPr>
              <w:t>已取得中标候选人资格或中标资格的投标人，</w:t>
            </w:r>
            <w:r>
              <w:rPr>
                <w:rFonts w:hint="eastAsia" w:asciiTheme="minorEastAsia" w:hAnsiTheme="minorEastAsia" w:eastAsiaTheme="minorEastAsia" w:cstheme="minorEastAsia"/>
                <w:color w:val="auto"/>
                <w:szCs w:val="21"/>
                <w:highlight w:val="none"/>
                <w:lang w:val="en-US" w:eastAsia="zh-CN"/>
              </w:rPr>
              <w:t>按相关规定</w:t>
            </w:r>
            <w:r>
              <w:rPr>
                <w:rFonts w:hint="eastAsia" w:ascii="宋体" w:hAnsi="宋体"/>
                <w:szCs w:val="21"/>
              </w:rPr>
              <w:t>取消中标候选人资格或中标资格</w:t>
            </w:r>
            <w:r>
              <w:rPr>
                <w:rFonts w:hint="eastAsia" w:ascii="宋体" w:hAnsi="宋体"/>
                <w:kern w:val="0"/>
                <w:szCs w:val="21"/>
              </w:rPr>
              <w:t>，</w:t>
            </w:r>
            <w:r>
              <w:rPr>
                <w:rFonts w:hint="eastAsia" w:ascii="宋体" w:hAnsi="宋体"/>
                <w:szCs w:val="21"/>
              </w:rPr>
              <w:t>给招标人造成损失的，投标人依法承担赔偿责任。</w:t>
            </w:r>
            <w:r>
              <w:rPr>
                <w:rFonts w:hint="eastAsia" w:ascii="宋体" w:hAnsi="宋体"/>
                <w:kern w:val="0"/>
                <w:szCs w:val="21"/>
                <w:lang w:val="en-US" w:eastAsia="zh-CN"/>
              </w:rPr>
              <w:t>投标人提交的纸质投标</w:t>
            </w:r>
            <w:r>
              <w:rPr>
                <w:rFonts w:hint="eastAsia" w:ascii="宋体" w:hAnsi="宋体"/>
                <w:szCs w:val="21"/>
              </w:rPr>
              <w:t>保函涉及弄虚作假或其他违法违规</w:t>
            </w:r>
            <w:r>
              <w:rPr>
                <w:rFonts w:hint="eastAsia" w:ascii="宋体" w:hAnsi="宋体"/>
                <w:szCs w:val="21"/>
                <w:lang w:val="en-US" w:eastAsia="zh-CN"/>
              </w:rPr>
              <w:t>情形</w:t>
            </w:r>
            <w:r>
              <w:rPr>
                <w:rFonts w:hint="eastAsia" w:ascii="宋体" w:hAnsi="宋体"/>
                <w:szCs w:val="21"/>
              </w:rPr>
              <w:t>的，移送相关部门处理</w:t>
            </w:r>
            <w:r>
              <w:rPr>
                <w:rFonts w:ascii="宋体" w:hAnsi="宋体"/>
                <w:kern w:val="0"/>
                <w:szCs w:val="21"/>
              </w:rPr>
              <w:t>。</w:t>
            </w:r>
          </w:p>
          <w:p>
            <w:pPr>
              <w:snapToGrid w:val="0"/>
              <w:spacing w:line="400" w:lineRule="exact"/>
              <w:ind w:firstLine="420" w:firstLineChars="200"/>
              <w:rPr>
                <w:rFonts w:ascii="宋体" w:hAnsi="宋体"/>
                <w:kern w:val="0"/>
                <w:szCs w:val="21"/>
              </w:rPr>
            </w:pPr>
            <w:r>
              <w:rPr>
                <w:rFonts w:hint="eastAsia" w:ascii="宋体" w:hAnsi="宋体"/>
                <w:kern w:val="0"/>
                <w:szCs w:val="21"/>
              </w:rPr>
              <w:t>6. 若投标人为联合体，则由联合体牵头人提供纸质投标保函。</w:t>
            </w:r>
          </w:p>
          <w:p>
            <w:pPr>
              <w:snapToGrid w:val="0"/>
              <w:spacing w:line="400" w:lineRule="exact"/>
              <w:ind w:firstLine="420" w:firstLineChars="200"/>
              <w:rPr>
                <w:rFonts w:ascii="宋体" w:hAnsi="宋体"/>
                <w:kern w:val="0"/>
                <w:szCs w:val="21"/>
              </w:rPr>
            </w:pPr>
            <w:r>
              <w:rPr>
                <w:rFonts w:ascii="宋体" w:hAnsi="宋体"/>
                <w:kern w:val="0"/>
                <w:szCs w:val="21"/>
              </w:rPr>
              <w:t>二、</w:t>
            </w:r>
            <w:r>
              <w:rPr>
                <w:rFonts w:hint="eastAsia" w:ascii="宋体" w:hAnsi="宋体"/>
                <w:kern w:val="0"/>
                <w:szCs w:val="21"/>
              </w:rPr>
              <w:t>纸质</w:t>
            </w:r>
            <w:r>
              <w:rPr>
                <w:rFonts w:ascii="宋体" w:hAnsi="宋体"/>
                <w:kern w:val="0"/>
                <w:szCs w:val="21"/>
              </w:rPr>
              <w:t>投标保函的</w:t>
            </w:r>
            <w:r>
              <w:rPr>
                <w:rFonts w:hint="eastAsia" w:ascii="宋体" w:hAnsi="宋体"/>
                <w:kern w:val="0"/>
                <w:szCs w:val="21"/>
              </w:rPr>
              <w:t>退还、注销</w:t>
            </w:r>
          </w:p>
          <w:p>
            <w:pPr>
              <w:snapToGrid w:val="0"/>
              <w:spacing w:line="400" w:lineRule="exact"/>
              <w:ind w:firstLine="420" w:firstLineChars="200"/>
              <w:rPr>
                <w:rFonts w:hint="eastAsia" w:ascii="宋体" w:hAnsi="宋体" w:eastAsia="宋体" w:cs="宋体"/>
                <w:kern w:val="0"/>
                <w:szCs w:val="21"/>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向除中标人以外的其他投标人退还纸质投标保函正本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p>
          <w:p>
            <w:pPr>
              <w:snapToGrid w:val="0"/>
              <w:spacing w:line="400" w:lineRule="exact"/>
              <w:ind w:firstLine="420" w:firstLineChars="200"/>
              <w:jc w:val="left"/>
              <w:rPr>
                <w:rFonts w:ascii="宋体" w:hAnsi="宋体"/>
                <w:kern w:val="0"/>
                <w:szCs w:val="21"/>
              </w:rPr>
            </w:pPr>
            <w:r>
              <w:rPr>
                <w:rFonts w:hint="eastAsia" w:ascii="宋体" w:hAnsi="宋体" w:eastAsia="宋体" w:cs="宋体"/>
                <w:color w:val="auto"/>
                <w:highlight w:val="none"/>
              </w:rPr>
              <w:t>招标人应当在法定时间内和中标人签订合同。招标人或者招标投标交易场所运行服务机构应当在招标人与中标人签订合同后5日内，</w:t>
            </w:r>
            <w:r>
              <w:rPr>
                <w:rFonts w:hint="eastAsia" w:ascii="宋体" w:hAnsi="宋体" w:eastAsia="宋体" w:cs="宋体"/>
                <w:color w:val="auto"/>
                <w:highlight w:val="none"/>
                <w:lang w:eastAsia="zh-CN"/>
              </w:rPr>
              <w:t>向</w:t>
            </w:r>
            <w:r>
              <w:rPr>
                <w:rFonts w:hint="eastAsia" w:ascii="宋体" w:hAnsi="宋体" w:eastAsia="宋体" w:cs="宋体"/>
                <w:color w:val="auto"/>
                <w:highlight w:val="none"/>
              </w:rPr>
              <w:t>中标人退还纸质投标保函正本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r>
              <w:rPr>
                <w:color w:val="auto"/>
                <w:highlight w:val="none"/>
              </w:rPr>
              <w:t>。</w:t>
            </w:r>
          </w:p>
          <w:p>
            <w:pPr>
              <w:snapToGrid w:val="0"/>
              <w:spacing w:line="400" w:lineRule="exact"/>
              <w:ind w:firstLine="420" w:firstLineChars="200"/>
              <w:jc w:val="left"/>
              <w:rPr>
                <w:rFonts w:ascii="宋体" w:hAnsi="宋体"/>
                <w:kern w:val="0"/>
                <w:szCs w:val="21"/>
              </w:rPr>
            </w:pPr>
          </w:p>
          <w:p>
            <w:pPr>
              <w:snapToGrid w:val="0"/>
              <w:spacing w:line="400" w:lineRule="exact"/>
              <w:ind w:firstLine="420" w:firstLineChars="200"/>
              <w:jc w:val="left"/>
              <w:rPr>
                <w:rFonts w:hint="eastAsia" w:ascii="宋体" w:hAnsi="宋体" w:cs="宋体"/>
              </w:rPr>
            </w:pPr>
            <w:r>
              <w:rPr>
                <w:rFonts w:hint="eastAsia" w:ascii="宋体" w:hAnsi="宋体" w:cs="宋体"/>
              </w:rPr>
              <w:t>□说明：1.中小微企业投标人如需免除投标保证金，须在投标文件资格审查部分“其他资料”中提供《</w:t>
            </w:r>
            <w:r>
              <w:rPr>
                <w:rFonts w:hint="eastAsia" w:ascii="宋体" w:hAnsi="宋体" w:cs="宋体"/>
                <w:lang w:eastAsia="zh-CN"/>
              </w:rPr>
              <w:t>中小企业</w:t>
            </w:r>
            <w:r>
              <w:rPr>
                <w:rFonts w:hint="eastAsia" w:ascii="宋体" w:hAnsi="宋体" w:cs="宋体"/>
              </w:rPr>
              <w:t>声明函》（格式详见第八章）。以联合体形式参与投标的，符合中小微企业认定标准的联合体成员单位需提供《</w:t>
            </w:r>
            <w:r>
              <w:rPr>
                <w:rFonts w:hint="eastAsia" w:ascii="宋体" w:hAnsi="宋体" w:cs="宋体"/>
                <w:lang w:eastAsia="zh-CN"/>
              </w:rPr>
              <w:t>中小企业</w:t>
            </w:r>
            <w:r>
              <w:rPr>
                <w:rFonts w:hint="eastAsia" w:ascii="宋体" w:hAnsi="宋体" w:cs="宋体"/>
              </w:rPr>
              <w:t>声明函》（格式详见第八章）。</w:t>
            </w:r>
          </w:p>
          <w:p>
            <w:pPr>
              <w:snapToGrid w:val="0"/>
              <w:spacing w:line="400" w:lineRule="exact"/>
              <w:ind w:firstLine="420" w:firstLineChars="200"/>
              <w:jc w:val="left"/>
              <w:rPr>
                <w:rFonts w:ascii="宋体" w:hAnsi="宋体" w:cs="宋体"/>
                <w:kern w:val="0"/>
                <w:szCs w:val="21"/>
              </w:rPr>
            </w:pPr>
            <w:r>
              <w:rPr>
                <w:rFonts w:hint="eastAsia" w:ascii="宋体" w:hAnsi="宋体" w:cs="宋体"/>
              </w:rPr>
              <w:t>2.提供了《</w:t>
            </w:r>
            <w:r>
              <w:rPr>
                <w:rFonts w:hint="eastAsia" w:ascii="宋体" w:hAnsi="宋体" w:cs="宋体"/>
                <w:lang w:eastAsia="zh-CN"/>
              </w:rPr>
              <w:t>中小企业</w:t>
            </w:r>
            <w:r>
              <w:rPr>
                <w:rFonts w:hint="eastAsia" w:ascii="宋体" w:hAnsi="宋体" w:cs="宋体"/>
              </w:rPr>
              <w:t>声明函》且未在规定时间内足额递交投标保证金的中标候选人，经查实不属于中小微企业的，将依照相关法律法规进行处理。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3.6</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是否允许递交</w:t>
            </w:r>
          </w:p>
          <w:p>
            <w:pPr>
              <w:snapToGrid w:val="0"/>
              <w:spacing w:after="93" w:afterLines="30" w:line="400" w:lineRule="exact"/>
              <w:jc w:val="center"/>
              <w:rPr>
                <w:rFonts w:ascii="宋体" w:hAnsi="宋体"/>
                <w:kern w:val="0"/>
                <w:szCs w:val="21"/>
              </w:rPr>
            </w:pPr>
            <w:r>
              <w:rPr>
                <w:rFonts w:ascii="宋体" w:hAnsi="宋体"/>
                <w:kern w:val="0"/>
                <w:szCs w:val="21"/>
              </w:rPr>
              <w:t>备选投标方案</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不允许</w:t>
            </w:r>
          </w:p>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3.7.1</w:t>
            </w:r>
          </w:p>
        </w:tc>
        <w:tc>
          <w:tcPr>
            <w:tcW w:w="1644" w:type="dxa"/>
            <w:vAlign w:val="center"/>
          </w:tcPr>
          <w:p>
            <w:pPr>
              <w:snapToGrid w:val="0"/>
              <w:spacing w:after="93" w:afterLines="30" w:line="400" w:lineRule="exact"/>
              <w:jc w:val="center"/>
              <w:rPr>
                <w:rFonts w:ascii="宋体" w:hAnsi="宋体"/>
                <w:kern w:val="0"/>
                <w:szCs w:val="21"/>
              </w:rPr>
            </w:pPr>
            <w:r>
              <w:rPr>
                <w:rFonts w:hint="eastAsia" w:ascii="宋体" w:hAnsi="宋体"/>
                <w:kern w:val="0"/>
                <w:szCs w:val="21"/>
              </w:rPr>
              <w:t>投标文件格式要求</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编制投标文件时不得对第八章“投标文件格式”的相应要素作实质性修改，否则视为重大偏差，由评标委员会作否决投标处理。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3.7.3</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签名</w:t>
            </w:r>
            <w:r>
              <w:rPr>
                <w:rFonts w:ascii="宋体" w:hAnsi="宋体"/>
                <w:kern w:val="0"/>
                <w:szCs w:val="21"/>
              </w:rPr>
              <w:t>盖章要求</w:t>
            </w:r>
          </w:p>
        </w:tc>
        <w:tc>
          <w:tcPr>
            <w:tcW w:w="6490" w:type="dxa"/>
            <w:vAlign w:val="center"/>
          </w:tcPr>
          <w:p>
            <w:pPr>
              <w:snapToGrid w:val="0"/>
              <w:spacing w:line="400" w:lineRule="exact"/>
              <w:ind w:firstLine="420" w:firstLineChars="200"/>
              <w:rPr>
                <w:rFonts w:ascii="宋体" w:hAnsi="宋体"/>
                <w:szCs w:val="21"/>
              </w:rPr>
            </w:pPr>
            <w:r>
              <w:rPr>
                <w:rFonts w:hint="eastAsia" w:ascii="宋体" w:hAnsi="宋体"/>
                <w:szCs w:val="21"/>
              </w:rPr>
              <w:t>投标文件应使用专用的“新点投标文件制作软件（重庆版）”编制而成。第八章 投标文件格式要求法定代表人</w:t>
            </w:r>
            <w:r>
              <w:rPr>
                <w:rFonts w:hint="eastAsia" w:ascii="宋体" w:hAnsi="宋体"/>
                <w:szCs w:val="21"/>
                <w:lang w:eastAsia="zh-CN"/>
              </w:rPr>
              <w:t>（</w:t>
            </w:r>
            <w:r>
              <w:rPr>
                <w:rFonts w:hint="eastAsia" w:ascii="宋体" w:hAnsi="宋体"/>
                <w:szCs w:val="21"/>
              </w:rPr>
              <w:t>或其委托代理人</w:t>
            </w:r>
            <w:r>
              <w:rPr>
                <w:rFonts w:hint="eastAsia" w:ascii="宋体" w:hAnsi="宋体"/>
                <w:szCs w:val="21"/>
                <w:lang w:eastAsia="zh-CN"/>
              </w:rPr>
              <w:t>）</w:t>
            </w:r>
            <w:r>
              <w:rPr>
                <w:rFonts w:hint="eastAsia" w:ascii="宋体" w:hAnsi="宋体"/>
                <w:kern w:val="0"/>
                <w:szCs w:val="21"/>
              </w:rPr>
              <w:t>签名</w:t>
            </w:r>
            <w:r>
              <w:rPr>
                <w:rFonts w:hint="eastAsia" w:ascii="宋体" w:hAnsi="宋体"/>
                <w:szCs w:val="21"/>
              </w:rPr>
              <w:t>（或盖章）的须齐全，</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szCs w:val="21"/>
                <w:highlight w:val="none"/>
              </w:rPr>
              <w:t>签名采用手写签名</w:t>
            </w:r>
            <w:r>
              <w:rPr>
                <w:rFonts w:hint="eastAsia" w:asciiTheme="minorEastAsia" w:hAnsiTheme="minorEastAsia" w:eastAsiaTheme="minorEastAsia" w:cstheme="minorEastAsia"/>
                <w:color w:val="auto"/>
                <w:szCs w:val="21"/>
                <w:highlight w:val="none"/>
                <w:lang w:val="en-US" w:eastAsia="zh-CN"/>
              </w:rPr>
              <w:t>或签章</w:t>
            </w:r>
            <w:r>
              <w:rPr>
                <w:rFonts w:hint="eastAsia" w:asciiTheme="minorEastAsia" w:hAnsiTheme="minorEastAsia" w:eastAsiaTheme="minorEastAsia" w:cstheme="minorEastAsia"/>
                <w:color w:val="auto"/>
                <w:szCs w:val="21"/>
                <w:highlight w:val="none"/>
              </w:rPr>
              <w:t>或加盖CA数字证书均可</w:t>
            </w:r>
            <w:r>
              <w:rPr>
                <w:rFonts w:hint="eastAsia" w:asciiTheme="minorEastAsia" w:hAnsiTheme="minorEastAsia" w:eastAsiaTheme="minorEastAsia" w:cstheme="minorEastAsia"/>
                <w:color w:val="auto"/>
                <w:szCs w:val="21"/>
                <w:highlight w:val="none"/>
                <w:lang w:eastAsia="zh-CN"/>
              </w:rPr>
              <w:t>，</w:t>
            </w:r>
            <w:r>
              <w:rPr>
                <w:rFonts w:hint="eastAsia" w:ascii="宋体" w:hAnsi="宋体"/>
                <w:szCs w:val="21"/>
              </w:rPr>
              <w:t>要求加盖单位法人章的，应使用 CA 数字证书加盖投标人的单位电子印章。</w:t>
            </w:r>
          </w:p>
          <w:p>
            <w:pPr>
              <w:snapToGrid w:val="0"/>
              <w:spacing w:line="400" w:lineRule="exact"/>
              <w:ind w:firstLine="420" w:firstLineChars="200"/>
              <w:rPr>
                <w:rFonts w:ascii="宋体" w:hAnsi="宋体"/>
                <w:szCs w:val="21"/>
              </w:rPr>
            </w:pPr>
            <w:r>
              <w:rPr>
                <w:rFonts w:hint="eastAsia" w:ascii="宋体" w:hAnsi="宋体"/>
                <w:szCs w:val="21"/>
              </w:rPr>
              <w:t>若投标单位为联合体，则</w:t>
            </w:r>
            <w:r>
              <w:rPr>
                <w:rFonts w:hint="eastAsia" w:ascii="宋体" w:hAnsi="宋体"/>
                <w:lang w:val="en-US" w:eastAsia="zh-CN"/>
              </w:rPr>
              <w:t>共同投标协议</w:t>
            </w:r>
            <w:r>
              <w:rPr>
                <w:rFonts w:hint="eastAsia" w:ascii="宋体" w:hAnsi="宋体"/>
                <w:szCs w:val="21"/>
              </w:rPr>
              <w:t>中各联合体成员单位</w:t>
            </w:r>
            <w:r>
              <w:rPr>
                <w:rFonts w:hint="eastAsia" w:ascii="宋体" w:hAnsi="宋体"/>
                <w:kern w:val="0"/>
                <w:szCs w:val="21"/>
              </w:rPr>
              <w:t>签名</w:t>
            </w:r>
            <w:r>
              <w:rPr>
                <w:rFonts w:hint="eastAsia" w:ascii="宋体" w:hAnsi="宋体"/>
                <w:szCs w:val="21"/>
              </w:rPr>
              <w:t>（或盖章）须齐全，要求各联合体成员盖单位法人章的，各联合体成员盖章须齐全；</w:t>
            </w:r>
            <w:r>
              <w:rPr>
                <w:rFonts w:hint="eastAsia" w:ascii="宋体" w:hAnsi="宋体"/>
                <w:lang w:val="en-US" w:eastAsia="zh-CN"/>
              </w:rPr>
              <w:t>共同投标协议</w:t>
            </w:r>
            <w:r>
              <w:rPr>
                <w:rFonts w:hint="eastAsia" w:ascii="宋体" w:hAnsi="宋体"/>
                <w:szCs w:val="21"/>
              </w:rPr>
              <w:t>以外的投标文件格式中，要求法定代表人</w:t>
            </w:r>
            <w:r>
              <w:rPr>
                <w:rFonts w:hint="eastAsia" w:ascii="宋体" w:hAnsi="宋体"/>
                <w:szCs w:val="21"/>
                <w:lang w:eastAsia="zh-CN"/>
              </w:rPr>
              <w:t>（</w:t>
            </w:r>
            <w:r>
              <w:rPr>
                <w:rFonts w:hint="eastAsia" w:ascii="宋体" w:hAnsi="宋体"/>
                <w:szCs w:val="21"/>
              </w:rPr>
              <w:t>或其委托代理人</w:t>
            </w:r>
            <w:r>
              <w:rPr>
                <w:rFonts w:hint="eastAsia" w:ascii="宋体" w:hAnsi="宋体"/>
                <w:szCs w:val="21"/>
                <w:lang w:eastAsia="zh-CN"/>
              </w:rPr>
              <w:t>）</w:t>
            </w:r>
            <w:r>
              <w:rPr>
                <w:rFonts w:hint="eastAsia" w:ascii="宋体" w:hAnsi="宋体"/>
                <w:kern w:val="0"/>
                <w:szCs w:val="21"/>
              </w:rPr>
              <w:t>签名</w:t>
            </w:r>
            <w:r>
              <w:rPr>
                <w:rFonts w:hint="eastAsia" w:ascii="宋体" w:hAnsi="宋体"/>
                <w:szCs w:val="21"/>
              </w:rPr>
              <w:t>（或盖章）的均由联合体牵头人法定代表人</w:t>
            </w:r>
            <w:r>
              <w:rPr>
                <w:rFonts w:hint="eastAsia" w:ascii="宋体" w:hAnsi="宋体"/>
                <w:szCs w:val="21"/>
                <w:lang w:eastAsia="zh-CN"/>
              </w:rPr>
              <w:t>（</w:t>
            </w:r>
            <w:r>
              <w:rPr>
                <w:rFonts w:hint="eastAsia" w:ascii="宋体" w:hAnsi="宋体"/>
                <w:szCs w:val="21"/>
              </w:rPr>
              <w:t>或其委托代理人</w:t>
            </w:r>
            <w:r>
              <w:rPr>
                <w:rFonts w:hint="eastAsia" w:ascii="宋体" w:hAnsi="宋体"/>
                <w:szCs w:val="21"/>
                <w:lang w:eastAsia="zh-CN"/>
              </w:rPr>
              <w:t>）</w:t>
            </w:r>
            <w:r>
              <w:rPr>
                <w:rFonts w:hint="eastAsia" w:ascii="宋体" w:hAnsi="宋体"/>
                <w:kern w:val="0"/>
                <w:szCs w:val="21"/>
              </w:rPr>
              <w:t>签名</w:t>
            </w:r>
            <w:r>
              <w:rPr>
                <w:rFonts w:hint="eastAsia" w:ascii="宋体" w:hAnsi="宋体"/>
                <w:szCs w:val="21"/>
              </w:rPr>
              <w:t>（或盖章），要求投标人加盖单位法人章的，均由联合体牵头人使用 CA 数字证书加盖其单位电子印章。</w:t>
            </w:r>
          </w:p>
          <w:p>
            <w:pPr>
              <w:snapToGrid w:val="0"/>
              <w:spacing w:line="400" w:lineRule="exact"/>
              <w:ind w:firstLine="420" w:firstLineChars="200"/>
              <w:rPr>
                <w:rFonts w:ascii="宋体" w:hAnsi="宋体"/>
                <w:szCs w:val="21"/>
              </w:rPr>
            </w:pPr>
            <w:r>
              <w:rPr>
                <w:rFonts w:hint="eastAsia" w:ascii="宋体" w:hAnsi="宋体"/>
                <w:szCs w:val="21"/>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3.7.4</w:t>
            </w:r>
          </w:p>
        </w:tc>
        <w:tc>
          <w:tcPr>
            <w:tcW w:w="1644" w:type="dxa"/>
            <w:vAlign w:val="center"/>
          </w:tcPr>
          <w:p>
            <w:pPr>
              <w:snapToGrid w:val="0"/>
              <w:spacing w:line="400" w:lineRule="exact"/>
              <w:rPr>
                <w:rFonts w:ascii="宋体" w:hAnsi="宋体"/>
                <w:spacing w:val="-6"/>
                <w:kern w:val="0"/>
                <w:szCs w:val="21"/>
              </w:rPr>
            </w:pPr>
            <w:r>
              <w:rPr>
                <w:rFonts w:ascii="宋体" w:hAnsi="宋体"/>
                <w:spacing w:val="-6"/>
                <w:kern w:val="0"/>
                <w:szCs w:val="21"/>
              </w:rPr>
              <w:t>投标文件的份数</w:t>
            </w:r>
          </w:p>
        </w:tc>
        <w:tc>
          <w:tcPr>
            <w:tcW w:w="6490" w:type="dxa"/>
            <w:vAlign w:val="center"/>
          </w:tcPr>
          <w:p>
            <w:pPr>
              <w:autoSpaceDE w:val="0"/>
              <w:autoSpaceDN w:val="0"/>
              <w:adjustRightInd w:val="0"/>
              <w:snapToGrid w:val="0"/>
              <w:spacing w:after="93" w:afterLines="30" w:line="400" w:lineRule="exact"/>
              <w:ind w:firstLine="420" w:firstLineChars="200"/>
              <w:rPr>
                <w:rFonts w:ascii="宋体" w:hAnsi="宋体"/>
                <w:i/>
                <w:kern w:val="0"/>
                <w:szCs w:val="21"/>
              </w:rPr>
            </w:pPr>
            <w:r>
              <w:rPr>
                <w:rFonts w:hint="eastAsia" w:ascii="宋体" w:hAnsi="宋体"/>
                <w:kern w:val="0"/>
                <w:szCs w:val="21"/>
              </w:rPr>
              <w:t>本工程采用全流程电子招标投标，投标人提供的投标文件为：加密电子投标文件（网上递交）一份。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3.7.5</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编制</w:t>
            </w:r>
            <w:r>
              <w:rPr>
                <w:rFonts w:ascii="宋体" w:hAnsi="宋体"/>
                <w:kern w:val="0"/>
                <w:szCs w:val="21"/>
              </w:rPr>
              <w:t>要求</w:t>
            </w:r>
          </w:p>
        </w:tc>
        <w:tc>
          <w:tcPr>
            <w:tcW w:w="6490" w:type="dxa"/>
            <w:vAlign w:val="center"/>
          </w:tcPr>
          <w:p>
            <w:pPr>
              <w:adjustRightInd w:val="0"/>
              <w:snapToGrid w:val="0"/>
              <w:spacing w:line="400" w:lineRule="exact"/>
              <w:ind w:firstLine="420" w:firstLineChars="200"/>
              <w:rPr>
                <w:rFonts w:ascii="宋体" w:hAnsi="宋体"/>
                <w:i/>
                <w:szCs w:val="21"/>
              </w:rPr>
            </w:pPr>
            <w:r>
              <w:rPr>
                <w:rFonts w:ascii="宋体" w:hAnsi="宋体"/>
                <w:i/>
                <w:szCs w:val="21"/>
              </w:rPr>
              <w:t>[提示：适用于电子标暗标</w:t>
            </w:r>
            <w:r>
              <w:rPr>
                <w:rFonts w:hint="eastAsia" w:ascii="宋体" w:hAnsi="宋体"/>
                <w:i/>
                <w:szCs w:val="21"/>
              </w:rPr>
              <w:t>编制</w:t>
            </w:r>
            <w:r>
              <w:rPr>
                <w:rFonts w:ascii="宋体" w:hAnsi="宋体"/>
                <w:i/>
                <w:szCs w:val="21"/>
              </w:rPr>
              <w:t>要求]</w:t>
            </w:r>
          </w:p>
          <w:p>
            <w:pPr>
              <w:adjustRightInd w:val="0"/>
              <w:snapToGrid w:val="0"/>
              <w:spacing w:line="400" w:lineRule="exact"/>
              <w:ind w:firstLine="420" w:firstLineChars="200"/>
              <w:rPr>
                <w:rFonts w:ascii="宋体" w:hAnsi="宋体"/>
                <w:szCs w:val="21"/>
              </w:rPr>
            </w:pPr>
            <w:r>
              <w:rPr>
                <w:rFonts w:hint="eastAsia" w:ascii="宋体" w:hAnsi="宋体"/>
                <w:szCs w:val="21"/>
              </w:rPr>
              <w:t>具体要求：</w:t>
            </w:r>
          </w:p>
          <w:p>
            <w:pPr>
              <w:adjustRightInd w:val="0"/>
              <w:snapToGrid w:val="0"/>
              <w:spacing w:line="400" w:lineRule="exact"/>
              <w:ind w:firstLine="420" w:firstLineChars="200"/>
              <w:rPr>
                <w:rFonts w:ascii="宋体" w:hAnsi="宋体"/>
                <w:szCs w:val="21"/>
              </w:rPr>
            </w:pPr>
            <w:r>
              <w:rPr>
                <w:rFonts w:hint="eastAsia" w:ascii="宋体" w:hAnsi="宋体"/>
                <w:szCs w:val="21"/>
              </w:rPr>
              <w:t>（1）投标函部分</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应按照第八章规定格式排版，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szCs w:val="21"/>
              </w:rPr>
              <w:t>应编制目录</w:t>
            </w:r>
            <w:r>
              <w:rPr>
                <w:rFonts w:hint="eastAsia" w:asciiTheme="minorEastAsia" w:hAnsiTheme="minorEastAsia" w:eastAsiaTheme="minorEastAsia" w:cstheme="minorEastAsia"/>
                <w:szCs w:val="21"/>
              </w:rPr>
              <w:t>，但不得将目录编制作为评审因素</w:t>
            </w:r>
            <w:r>
              <w:rPr>
                <w:rFonts w:hint="eastAsia" w:ascii="宋体" w:hAnsi="宋体"/>
                <w:szCs w:val="21"/>
              </w:rPr>
              <w:t>。</w:t>
            </w:r>
          </w:p>
          <w:p>
            <w:pPr>
              <w:adjustRightInd w:val="0"/>
              <w:snapToGrid w:val="0"/>
              <w:spacing w:line="400" w:lineRule="exact"/>
              <w:ind w:firstLine="420" w:firstLineChars="200"/>
              <w:rPr>
                <w:rFonts w:ascii="宋体" w:hAnsi="宋体"/>
                <w:szCs w:val="21"/>
              </w:rPr>
            </w:pPr>
            <w:r>
              <w:rPr>
                <w:rFonts w:hint="eastAsia" w:ascii="宋体" w:hAnsi="宋体"/>
                <w:szCs w:val="21"/>
              </w:rPr>
              <w:t>（2）</w:t>
            </w:r>
            <w:r>
              <w:rPr>
                <w:rFonts w:hint="eastAsia" w:ascii="宋体" w:hAnsi="宋体"/>
                <w:szCs w:val="21"/>
                <w:lang w:val="en-US" w:eastAsia="zh-CN"/>
              </w:rPr>
              <w:t>报价</w:t>
            </w:r>
            <w:r>
              <w:rPr>
                <w:rFonts w:hint="eastAsia" w:ascii="宋体" w:hAnsi="宋体"/>
                <w:szCs w:val="21"/>
              </w:rPr>
              <w:t>部分</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应按照第八章规定格式排版，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szCs w:val="21"/>
              </w:rPr>
              <w:t>应编制目录</w:t>
            </w:r>
            <w:r>
              <w:rPr>
                <w:rFonts w:hint="eastAsia" w:asciiTheme="minorEastAsia" w:hAnsiTheme="minorEastAsia" w:eastAsiaTheme="minorEastAsia" w:cstheme="minorEastAsia"/>
                <w:szCs w:val="21"/>
              </w:rPr>
              <w:t>，但不得将目录编制作为评审因素</w:t>
            </w:r>
            <w:r>
              <w:rPr>
                <w:rFonts w:hint="eastAsia" w:ascii="宋体" w:hAnsi="宋体"/>
                <w:szCs w:val="21"/>
              </w:rPr>
              <w:t>。</w:t>
            </w:r>
          </w:p>
          <w:p>
            <w:pPr>
              <w:adjustRightInd w:val="0"/>
              <w:snapToGrid w:val="0"/>
              <w:spacing w:line="400" w:lineRule="exact"/>
              <w:ind w:firstLine="420" w:firstLineChars="200"/>
              <w:rPr>
                <w:rFonts w:hint="eastAsia" w:ascii="宋体" w:hAnsi="宋体"/>
                <w:szCs w:val="21"/>
                <w:lang w:val="en-US" w:eastAsia="zh-CN"/>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hint="eastAsia" w:ascii="宋体" w:hAnsi="宋体"/>
                <w:szCs w:val="21"/>
                <w:lang w:val="en-US" w:eastAsia="zh-CN"/>
              </w:rPr>
              <w:t>商务部分（如有）</w:t>
            </w:r>
          </w:p>
          <w:p>
            <w:pPr>
              <w:adjustRightInd w:val="0"/>
              <w:snapToGrid w:val="0"/>
              <w:spacing w:line="400" w:lineRule="exact"/>
              <w:ind w:firstLine="420" w:firstLineChars="200"/>
              <w:rPr>
                <w:rFonts w:hint="eastAsia" w:ascii="宋体" w:hAnsi="宋体"/>
                <w:szCs w:val="21"/>
              </w:rPr>
            </w:pPr>
            <w:r>
              <w:rPr>
                <w:rFonts w:hint="eastAsia" w:ascii="宋体" w:hAnsi="宋体"/>
                <w:szCs w:val="21"/>
              </w:rPr>
              <w:t>应按照第</w:t>
            </w:r>
            <w:r>
              <w:rPr>
                <w:rFonts w:hint="eastAsia" w:ascii="宋体" w:hAnsi="宋体"/>
                <w:szCs w:val="21"/>
                <w:lang w:val="en-US" w:eastAsia="zh-CN"/>
              </w:rPr>
              <w:t>八</w:t>
            </w:r>
            <w:r>
              <w:rPr>
                <w:rFonts w:hint="eastAsia" w:ascii="宋体" w:hAnsi="宋体"/>
                <w:szCs w:val="21"/>
              </w:rPr>
              <w:t>章规定格式排版，原则上应编制目录，但不得将目录编制作为评审因素。</w:t>
            </w:r>
          </w:p>
          <w:p>
            <w:pPr>
              <w:adjustRightInd w:val="0"/>
              <w:snapToGrid w:val="0"/>
              <w:spacing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4</w:t>
            </w:r>
            <w:r>
              <w:rPr>
                <w:rFonts w:hint="eastAsia" w:ascii="宋体" w:hAnsi="宋体"/>
                <w:szCs w:val="21"/>
              </w:rPr>
              <w:t>）技术部分</w:t>
            </w:r>
            <w:r>
              <w:rPr>
                <w:rFonts w:hint="eastAsia" w:ascii="宋体" w:hAnsi="宋体"/>
                <w:iCs/>
                <w:szCs w:val="21"/>
              </w:rPr>
              <w:t>（如有）</w:t>
            </w:r>
          </w:p>
          <w:p>
            <w:pPr>
              <w:adjustRightInd w:val="0"/>
              <w:snapToGrid w:val="0"/>
              <w:spacing w:line="400" w:lineRule="exact"/>
              <w:ind w:firstLine="420" w:firstLineChars="200"/>
              <w:rPr>
                <w:rFonts w:ascii="宋体" w:hAnsi="宋体"/>
                <w:szCs w:val="21"/>
              </w:rPr>
            </w:pPr>
            <w:r>
              <w:rPr>
                <w:rFonts w:hint="eastAsia" w:ascii="宋体" w:hAnsi="宋体"/>
                <w:szCs w:val="21"/>
              </w:rPr>
              <w:t>电子投标文件技术暗标不设封面，整个《技术方案》均不得出现白页和倒页；不得出现与本工程无关的内容；不得显示与投标人企业有关的任何信息；《技术方案》文本部分的文字采用四号仿宋字体，文本部分采用A4页面；图表内的字体、字号大小不限，图表部分采用A3或A4页面；文字、图表不得使用彩色和不得编制页码。违反上述任何一项，采用经评审的最低投标价法的其投标文件《技术方案》符合性评审不合格，由评标委员会作否决投标处理；采用综合评估法的其投标文件《技术方案》部分为零分。</w:t>
            </w:r>
          </w:p>
          <w:p>
            <w:pPr>
              <w:adjustRightInd w:val="0"/>
              <w:snapToGrid w:val="0"/>
              <w:spacing w:line="400" w:lineRule="exact"/>
              <w:ind w:firstLine="420" w:firstLineChars="200"/>
              <w:rPr>
                <w:rStyle w:val="54"/>
              </w:rPr>
            </w:pPr>
            <w:r>
              <w:rPr>
                <w:rFonts w:hint="eastAsia" w:ascii="宋体" w:hAnsi="宋体"/>
                <w:szCs w:val="21"/>
              </w:rPr>
              <w:t>（技术方案原则上不超过</w:t>
            </w:r>
            <w:r>
              <w:rPr>
                <w:rFonts w:hint="eastAsia" w:ascii="宋体" w:hAnsi="宋体"/>
                <w:szCs w:val="21"/>
                <w:u w:val="single"/>
              </w:rPr>
              <w:t xml:space="preserve">    </w:t>
            </w:r>
            <w:r>
              <w:rPr>
                <w:rFonts w:hint="eastAsia" w:ascii="宋体" w:hAnsi="宋体"/>
                <w:szCs w:val="21"/>
              </w:rPr>
              <w:t>页</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但不得将页数作为评审因素</w:t>
            </w:r>
            <w:r>
              <w:rPr>
                <w:rFonts w:hint="eastAsia" w:ascii="宋体" w:hAnsi="宋体"/>
                <w:szCs w:val="21"/>
              </w:rPr>
              <w:t>。）</w:t>
            </w:r>
          </w:p>
          <w:p>
            <w:pPr>
              <w:adjustRightInd w:val="0"/>
              <w:snapToGrid w:val="0"/>
              <w:spacing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）资格审查部分</w:t>
            </w:r>
          </w:p>
          <w:p>
            <w:pPr>
              <w:adjustRightInd w:val="0"/>
              <w:snapToGrid w:val="0"/>
              <w:spacing w:line="400" w:lineRule="exact"/>
              <w:ind w:firstLine="420" w:firstLineChars="200"/>
              <w:rPr>
                <w:rFonts w:hint="eastAsia" w:ascii="宋体" w:hAnsi="宋体"/>
                <w:szCs w:val="21"/>
              </w:rPr>
            </w:pPr>
            <w:r>
              <w:rPr>
                <w:rFonts w:hint="eastAsia" w:ascii="宋体" w:hAnsi="宋体"/>
                <w:szCs w:val="21"/>
              </w:rPr>
              <w:t>应按照第八章规定格式排版，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szCs w:val="21"/>
              </w:rPr>
              <w:t>应编制目录</w:t>
            </w:r>
            <w:r>
              <w:rPr>
                <w:rFonts w:hint="eastAsia" w:asciiTheme="minorEastAsia" w:hAnsiTheme="minorEastAsia" w:eastAsiaTheme="minorEastAsia" w:cstheme="minorEastAsia"/>
                <w:szCs w:val="21"/>
              </w:rPr>
              <w:t>，但不得将目录编制作为评审因素</w:t>
            </w:r>
            <w:r>
              <w:rPr>
                <w:rFonts w:hint="eastAsia" w:ascii="宋体" w:hAnsi="宋体"/>
                <w:szCs w:val="21"/>
              </w:rPr>
              <w:t>。</w:t>
            </w:r>
          </w:p>
          <w:p>
            <w:pPr>
              <w:adjustRightInd w:val="0"/>
              <w:snapToGrid w:val="0"/>
              <w:spacing w:line="400" w:lineRule="exact"/>
              <w:ind w:firstLine="420" w:firstLineChars="200"/>
              <w:rPr>
                <w:rStyle w:val="54"/>
              </w:rPr>
            </w:pPr>
            <w:r>
              <w:rPr>
                <w:rFonts w:hint="eastAsia" w:ascii="宋体" w:hAnsi="宋体"/>
                <w:szCs w:val="21"/>
                <w:lang w:val="en-US" w:eastAsia="zh-CN"/>
              </w:rPr>
              <w:t>注：投标人应按照招标文件要求，在投标文件的对应部分提供相关资料（如在资格审查部分提供招标文件</w:t>
            </w:r>
            <w:r>
              <w:rPr>
                <w:rFonts w:hint="eastAsia" w:ascii="宋体" w:hAnsi="宋体"/>
                <w:szCs w:val="21"/>
              </w:rPr>
              <w:t>第二章投标人须知前附表第1.4.1项</w:t>
            </w:r>
            <w:r>
              <w:rPr>
                <w:rFonts w:hint="eastAsia" w:ascii="宋体" w:hAnsi="宋体"/>
                <w:szCs w:val="21"/>
                <w:lang w:val="en-US" w:eastAsia="zh-CN"/>
              </w:rPr>
              <w:t>和</w:t>
            </w:r>
            <w:r>
              <w:rPr>
                <w:rFonts w:hint="eastAsia" w:ascii="宋体" w:hAnsi="宋体"/>
                <w:szCs w:val="21"/>
              </w:rPr>
              <w:t>第3.4款要求提供的资料</w:t>
            </w:r>
            <w:r>
              <w:rPr>
                <w:rFonts w:hint="eastAsia" w:ascii="宋体" w:hAnsi="宋体"/>
                <w:szCs w:val="21"/>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3.7.5</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编制要求</w:t>
            </w:r>
          </w:p>
        </w:tc>
        <w:tc>
          <w:tcPr>
            <w:tcW w:w="6490" w:type="dxa"/>
            <w:vAlign w:val="center"/>
          </w:tcPr>
          <w:p>
            <w:pPr>
              <w:adjustRightInd w:val="0"/>
              <w:snapToGrid w:val="0"/>
              <w:spacing w:line="400" w:lineRule="exact"/>
              <w:ind w:firstLine="420" w:firstLineChars="200"/>
              <w:rPr>
                <w:rFonts w:ascii="宋体" w:hAnsi="宋体"/>
                <w:i/>
                <w:szCs w:val="21"/>
              </w:rPr>
            </w:pPr>
            <w:r>
              <w:rPr>
                <w:rFonts w:ascii="宋体" w:hAnsi="宋体"/>
                <w:i/>
                <w:szCs w:val="21"/>
              </w:rPr>
              <w:t>[提示：适用于电子标明标</w:t>
            </w:r>
            <w:r>
              <w:rPr>
                <w:rFonts w:hint="eastAsia" w:ascii="宋体" w:hAnsi="宋体"/>
                <w:i/>
                <w:szCs w:val="21"/>
              </w:rPr>
              <w:t>编制</w:t>
            </w:r>
            <w:r>
              <w:rPr>
                <w:rFonts w:ascii="宋体" w:hAnsi="宋体"/>
                <w:i/>
                <w:szCs w:val="21"/>
              </w:rPr>
              <w:t>要求]</w:t>
            </w:r>
          </w:p>
          <w:p>
            <w:pPr>
              <w:adjustRightInd w:val="0"/>
              <w:snapToGrid w:val="0"/>
              <w:spacing w:line="400" w:lineRule="exact"/>
              <w:ind w:firstLine="420" w:firstLineChars="200"/>
              <w:rPr>
                <w:rFonts w:ascii="宋体" w:hAnsi="宋体"/>
                <w:szCs w:val="21"/>
              </w:rPr>
            </w:pPr>
            <w:r>
              <w:rPr>
                <w:rFonts w:hint="eastAsia" w:ascii="宋体" w:hAnsi="宋体"/>
                <w:szCs w:val="21"/>
              </w:rPr>
              <w:t>具体要求：</w:t>
            </w:r>
          </w:p>
          <w:p>
            <w:pPr>
              <w:adjustRightInd w:val="0"/>
              <w:snapToGrid w:val="0"/>
              <w:spacing w:line="400" w:lineRule="exact"/>
              <w:ind w:firstLine="420" w:firstLineChars="200"/>
              <w:rPr>
                <w:rFonts w:ascii="宋体" w:hAnsi="宋体"/>
                <w:szCs w:val="21"/>
              </w:rPr>
            </w:pPr>
            <w:r>
              <w:rPr>
                <w:rFonts w:hint="eastAsia" w:ascii="宋体" w:hAnsi="宋体"/>
                <w:szCs w:val="21"/>
              </w:rPr>
              <w:t>（1）投标函部分</w:t>
            </w:r>
          </w:p>
          <w:p>
            <w:pPr>
              <w:adjustRightInd w:val="0"/>
              <w:snapToGrid w:val="0"/>
              <w:spacing w:line="400" w:lineRule="exact"/>
              <w:ind w:firstLine="420" w:firstLineChars="200"/>
              <w:rPr>
                <w:rFonts w:ascii="宋体" w:hAnsi="宋体"/>
                <w:szCs w:val="21"/>
              </w:rPr>
            </w:pPr>
            <w:r>
              <w:rPr>
                <w:rFonts w:hint="eastAsia" w:ascii="宋体" w:hAnsi="宋体"/>
                <w:szCs w:val="21"/>
              </w:rPr>
              <w:t>应按照第八章规定格式排版，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szCs w:val="21"/>
              </w:rPr>
              <w:t>应编制目录</w:t>
            </w:r>
            <w:r>
              <w:rPr>
                <w:rFonts w:hint="eastAsia" w:asciiTheme="minorEastAsia" w:hAnsiTheme="minorEastAsia" w:eastAsiaTheme="minorEastAsia" w:cstheme="minorEastAsia"/>
                <w:szCs w:val="21"/>
              </w:rPr>
              <w:t>，但不得将目录编制作为评审因素</w:t>
            </w:r>
            <w:r>
              <w:rPr>
                <w:rFonts w:hint="eastAsia" w:ascii="宋体" w:hAnsi="宋体"/>
                <w:szCs w:val="21"/>
              </w:rPr>
              <w:t>。</w:t>
            </w:r>
          </w:p>
          <w:p>
            <w:pPr>
              <w:adjustRightInd w:val="0"/>
              <w:snapToGrid w:val="0"/>
              <w:spacing w:line="400" w:lineRule="exact"/>
              <w:ind w:firstLine="420" w:firstLineChars="200"/>
              <w:rPr>
                <w:rFonts w:ascii="宋体" w:hAnsi="宋体"/>
                <w:szCs w:val="21"/>
              </w:rPr>
            </w:pPr>
            <w:r>
              <w:rPr>
                <w:rFonts w:hint="eastAsia" w:ascii="宋体" w:hAnsi="宋体"/>
                <w:szCs w:val="21"/>
              </w:rPr>
              <w:t>（2）</w:t>
            </w:r>
            <w:r>
              <w:rPr>
                <w:rFonts w:hint="eastAsia" w:ascii="宋体" w:hAnsi="宋体"/>
                <w:szCs w:val="21"/>
                <w:lang w:val="en-US" w:eastAsia="zh-CN"/>
              </w:rPr>
              <w:t>报价</w:t>
            </w:r>
            <w:r>
              <w:rPr>
                <w:rFonts w:hint="eastAsia" w:ascii="宋体" w:hAnsi="宋体"/>
                <w:szCs w:val="21"/>
              </w:rPr>
              <w:t>部分</w:t>
            </w:r>
          </w:p>
          <w:p>
            <w:pPr>
              <w:adjustRightInd w:val="0"/>
              <w:snapToGrid w:val="0"/>
              <w:spacing w:line="400" w:lineRule="exact"/>
              <w:ind w:firstLine="420" w:firstLineChars="200"/>
              <w:rPr>
                <w:rFonts w:hint="eastAsia" w:ascii="宋体" w:hAnsi="宋体"/>
                <w:szCs w:val="21"/>
              </w:rPr>
            </w:pPr>
            <w:r>
              <w:rPr>
                <w:rFonts w:hint="eastAsia" w:ascii="宋体" w:hAnsi="宋体"/>
                <w:szCs w:val="21"/>
              </w:rPr>
              <w:t>应按照第八章规定格式排版，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szCs w:val="21"/>
              </w:rPr>
              <w:t>应编制目录</w:t>
            </w:r>
            <w:r>
              <w:rPr>
                <w:rFonts w:hint="eastAsia" w:asciiTheme="minorEastAsia" w:hAnsiTheme="minorEastAsia" w:eastAsiaTheme="minorEastAsia" w:cstheme="minorEastAsia"/>
                <w:szCs w:val="21"/>
              </w:rPr>
              <w:t>，但不得将目录编制作为评审因素</w:t>
            </w:r>
            <w:r>
              <w:rPr>
                <w:rFonts w:hint="eastAsia" w:ascii="宋体" w:hAnsi="宋体"/>
                <w:szCs w:val="21"/>
              </w:rPr>
              <w:t>。</w:t>
            </w:r>
          </w:p>
          <w:p>
            <w:pPr>
              <w:adjustRightInd w:val="0"/>
              <w:snapToGrid w:val="0"/>
              <w:spacing w:line="400" w:lineRule="exact"/>
              <w:ind w:firstLine="420" w:firstLineChars="200"/>
              <w:rPr>
                <w:rFonts w:hint="eastAsia" w:ascii="宋体" w:hAnsi="宋体"/>
                <w:szCs w:val="21"/>
                <w:lang w:val="en-US" w:eastAsia="zh-CN"/>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hint="eastAsia" w:ascii="宋体" w:hAnsi="宋体"/>
                <w:szCs w:val="21"/>
                <w:lang w:val="en-US" w:eastAsia="zh-CN"/>
              </w:rPr>
              <w:t>商务部分（如有）</w:t>
            </w:r>
          </w:p>
          <w:p>
            <w:pPr>
              <w:adjustRightInd w:val="0"/>
              <w:snapToGrid w:val="0"/>
              <w:spacing w:line="400" w:lineRule="exact"/>
              <w:ind w:firstLine="420" w:firstLineChars="200"/>
              <w:rPr>
                <w:rFonts w:ascii="宋体" w:hAnsi="宋体"/>
                <w:szCs w:val="21"/>
              </w:rPr>
            </w:pPr>
            <w:r>
              <w:rPr>
                <w:rFonts w:hint="eastAsia" w:ascii="宋体" w:hAnsi="宋体"/>
                <w:szCs w:val="21"/>
              </w:rPr>
              <w:t>应按照第</w:t>
            </w:r>
            <w:r>
              <w:rPr>
                <w:rFonts w:hint="eastAsia" w:ascii="宋体" w:hAnsi="宋体"/>
                <w:szCs w:val="21"/>
                <w:lang w:val="en-US" w:eastAsia="zh-CN"/>
              </w:rPr>
              <w:t>八</w:t>
            </w:r>
            <w:r>
              <w:rPr>
                <w:rFonts w:hint="eastAsia" w:ascii="宋体" w:hAnsi="宋体"/>
                <w:szCs w:val="21"/>
              </w:rPr>
              <w:t>章规定格式排版，原则上应编制目录，但不得将目录编制作为评审因素。</w:t>
            </w:r>
          </w:p>
          <w:p>
            <w:pPr>
              <w:adjustRightInd w:val="0"/>
              <w:snapToGrid w:val="0"/>
              <w:spacing w:line="400" w:lineRule="exact"/>
              <w:ind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4</w:t>
            </w:r>
            <w:r>
              <w:rPr>
                <w:rFonts w:hint="eastAsia" w:ascii="宋体" w:hAnsi="宋体"/>
                <w:szCs w:val="21"/>
                <w:lang w:eastAsia="zh-CN"/>
              </w:rPr>
              <w:t>）</w:t>
            </w:r>
            <w:r>
              <w:rPr>
                <w:rFonts w:hint="eastAsia" w:ascii="宋体" w:hAnsi="宋体"/>
                <w:szCs w:val="21"/>
              </w:rPr>
              <w:t>技术部分</w:t>
            </w:r>
            <w:r>
              <w:rPr>
                <w:rFonts w:hint="eastAsia" w:ascii="宋体" w:hAnsi="宋体"/>
                <w:iCs/>
                <w:szCs w:val="21"/>
              </w:rPr>
              <w:t>（如有）</w:t>
            </w:r>
          </w:p>
          <w:p>
            <w:pPr>
              <w:adjustRightInd w:val="0"/>
              <w:snapToGrid w:val="0"/>
              <w:spacing w:line="400" w:lineRule="exact"/>
              <w:ind w:firstLine="420" w:firstLineChars="200"/>
              <w:rPr>
                <w:rFonts w:hint="default" w:ascii="宋体" w:hAnsi="宋体" w:eastAsia="宋体"/>
                <w:szCs w:val="21"/>
                <w:lang w:val="en-US" w:eastAsia="zh-CN"/>
              </w:rPr>
            </w:pPr>
            <w:r>
              <w:rPr>
                <w:rFonts w:hint="eastAsia" w:ascii="宋体" w:hAnsi="宋体"/>
                <w:szCs w:val="21"/>
              </w:rPr>
              <w:t>电子投标文件技术明标不设封面，应按照第八章规定格式排版，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szCs w:val="21"/>
              </w:rPr>
              <w:t>应编制目录</w:t>
            </w:r>
            <w:r>
              <w:rPr>
                <w:rFonts w:hint="eastAsia" w:asciiTheme="minorEastAsia" w:hAnsiTheme="minorEastAsia" w:eastAsiaTheme="minorEastAsia" w:cstheme="minorEastAsia"/>
                <w:szCs w:val="21"/>
              </w:rPr>
              <w:t>，但不得将</w:t>
            </w:r>
            <w:r>
              <w:rPr>
                <w:rFonts w:hint="eastAsia" w:asciiTheme="minorEastAsia" w:hAnsiTheme="minorEastAsia" w:eastAsiaTheme="minorEastAsia" w:cstheme="minorEastAsia"/>
                <w:szCs w:val="21"/>
                <w:lang w:val="en-US" w:eastAsia="zh-CN"/>
              </w:rPr>
              <w:t>封面设置、</w:t>
            </w:r>
            <w:r>
              <w:rPr>
                <w:rFonts w:hint="eastAsia" w:asciiTheme="minorEastAsia" w:hAnsiTheme="minorEastAsia" w:eastAsiaTheme="minorEastAsia" w:cstheme="minorEastAsia"/>
                <w:szCs w:val="21"/>
              </w:rPr>
              <w:t>目录编制作为评审因素</w:t>
            </w:r>
            <w:r>
              <w:rPr>
                <w:rFonts w:hint="eastAsia" w:ascii="宋体" w:hAnsi="宋体"/>
                <w:szCs w:val="21"/>
              </w:rPr>
              <w:t>。</w:t>
            </w:r>
            <w:r>
              <w:rPr>
                <w:rFonts w:hint="eastAsia" w:ascii="宋体" w:hAnsi="宋体"/>
                <w:szCs w:val="21"/>
                <w:lang w:val="en-US" w:eastAsia="zh-CN"/>
              </w:rPr>
              <w:t>注：技术部分采用明标评审时，不因形式问题（包括但不限于封面、页码、目录、字体、格式等）而被否决投标。</w:t>
            </w:r>
          </w:p>
          <w:p>
            <w:pPr>
              <w:adjustRightInd w:val="0"/>
              <w:snapToGrid w:val="0"/>
              <w:spacing w:line="400" w:lineRule="exact"/>
              <w:ind w:firstLine="420" w:firstLineChars="200"/>
              <w:rPr>
                <w:rFonts w:ascii="宋体" w:hAnsi="宋体"/>
                <w:szCs w:val="21"/>
              </w:rPr>
            </w:pPr>
            <w:r>
              <w:rPr>
                <w:rFonts w:hint="eastAsia" w:ascii="宋体" w:hAnsi="宋体"/>
                <w:szCs w:val="21"/>
              </w:rPr>
              <w:t>（技术方案原则上不超过</w:t>
            </w:r>
            <w:r>
              <w:rPr>
                <w:rFonts w:hint="eastAsia" w:ascii="宋体" w:hAnsi="宋体"/>
                <w:szCs w:val="21"/>
                <w:u w:val="single"/>
              </w:rPr>
              <w:t xml:space="preserve">    </w:t>
            </w:r>
            <w:r>
              <w:rPr>
                <w:rFonts w:hint="eastAsia" w:ascii="宋体" w:hAnsi="宋体"/>
                <w:szCs w:val="21"/>
              </w:rPr>
              <w:t>页</w:t>
            </w:r>
            <w:r>
              <w:rPr>
                <w:rFonts w:hint="eastAsia" w:asciiTheme="minorEastAsia" w:hAnsiTheme="minorEastAsia" w:eastAsiaTheme="minorEastAsia" w:cstheme="minorEastAsia"/>
                <w:szCs w:val="21"/>
              </w:rPr>
              <w:t>，但不得将页数作为评审因素</w:t>
            </w:r>
            <w:r>
              <w:rPr>
                <w:rFonts w:hint="eastAsia" w:ascii="宋体" w:hAnsi="宋体"/>
                <w:szCs w:val="21"/>
              </w:rPr>
              <w:t>。）</w:t>
            </w:r>
          </w:p>
          <w:p>
            <w:pPr>
              <w:adjustRightInd w:val="0"/>
              <w:snapToGrid w:val="0"/>
              <w:spacing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）资格审查部分</w:t>
            </w:r>
          </w:p>
          <w:p>
            <w:pPr>
              <w:adjustRightInd w:val="0"/>
              <w:snapToGrid w:val="0"/>
              <w:spacing w:line="400" w:lineRule="exact"/>
              <w:ind w:firstLine="420" w:firstLineChars="200"/>
              <w:rPr>
                <w:rFonts w:hint="eastAsia" w:ascii="宋体" w:hAnsi="宋体"/>
                <w:szCs w:val="21"/>
                <w:lang w:val="en-US" w:eastAsia="zh-CN"/>
              </w:rPr>
            </w:pPr>
            <w:r>
              <w:rPr>
                <w:rFonts w:hint="eastAsia" w:ascii="宋体" w:hAnsi="宋体"/>
                <w:szCs w:val="21"/>
              </w:rPr>
              <w:t>应按照第八章规定格式排版，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szCs w:val="21"/>
              </w:rPr>
              <w:t>应编制目录</w:t>
            </w:r>
            <w:r>
              <w:rPr>
                <w:rFonts w:hint="eastAsia" w:asciiTheme="minorEastAsia" w:hAnsiTheme="minorEastAsia" w:eastAsiaTheme="minorEastAsia" w:cstheme="minorEastAsia"/>
                <w:szCs w:val="21"/>
              </w:rPr>
              <w:t>，但不得将目录编制作为评审因素</w:t>
            </w:r>
            <w:r>
              <w:rPr>
                <w:rFonts w:hint="eastAsia" w:ascii="宋体" w:hAnsi="宋体"/>
                <w:szCs w:val="21"/>
                <w:lang w:val="en-US" w:eastAsia="zh-CN"/>
              </w:rPr>
              <w:t>。</w:t>
            </w:r>
          </w:p>
          <w:p>
            <w:pPr>
              <w:adjustRightInd w:val="0"/>
              <w:snapToGrid w:val="0"/>
              <w:spacing w:line="400" w:lineRule="exact"/>
              <w:ind w:firstLine="420" w:firstLineChars="200"/>
              <w:rPr>
                <w:rFonts w:ascii="宋体" w:hAnsi="宋体"/>
                <w:szCs w:val="21"/>
              </w:rPr>
            </w:pPr>
            <w:r>
              <w:rPr>
                <w:rFonts w:hint="eastAsia" w:ascii="宋体" w:hAnsi="宋体"/>
                <w:szCs w:val="21"/>
                <w:lang w:val="en-US" w:eastAsia="zh-CN"/>
              </w:rPr>
              <w:t>注：投标人应按照招标文件要求，在投标文件的对应部分提供相关资料（如在资格审查部分提供招标文件</w:t>
            </w:r>
            <w:r>
              <w:rPr>
                <w:rFonts w:hint="eastAsia" w:ascii="宋体" w:hAnsi="宋体"/>
                <w:szCs w:val="21"/>
              </w:rPr>
              <w:t>第二章投标人须知前附表第1.4.1项</w:t>
            </w:r>
            <w:r>
              <w:rPr>
                <w:rFonts w:hint="eastAsia" w:ascii="宋体" w:hAnsi="宋体"/>
                <w:szCs w:val="21"/>
                <w:lang w:val="en-US" w:eastAsia="zh-CN"/>
              </w:rPr>
              <w:t>和</w:t>
            </w:r>
            <w:r>
              <w:rPr>
                <w:rFonts w:hint="eastAsia" w:ascii="宋体" w:hAnsi="宋体"/>
                <w:szCs w:val="21"/>
              </w:rPr>
              <w:t>第3.4款要求提供的资料</w:t>
            </w:r>
            <w:r>
              <w:rPr>
                <w:rFonts w:hint="eastAsia" w:ascii="宋体" w:hAnsi="宋体"/>
                <w:szCs w:val="21"/>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4.1.1</w:t>
            </w:r>
          </w:p>
        </w:tc>
        <w:tc>
          <w:tcPr>
            <w:tcW w:w="1644" w:type="dxa"/>
            <w:vAlign w:val="center"/>
          </w:tcPr>
          <w:p>
            <w:pPr>
              <w:snapToGrid w:val="0"/>
              <w:spacing w:line="400" w:lineRule="exact"/>
              <w:jc w:val="center"/>
              <w:rPr>
                <w:rFonts w:ascii="宋体" w:hAnsi="宋体"/>
                <w:spacing w:val="-6"/>
                <w:kern w:val="0"/>
                <w:szCs w:val="21"/>
              </w:rPr>
            </w:pPr>
            <w:r>
              <w:rPr>
                <w:rFonts w:ascii="宋体" w:hAnsi="宋体"/>
                <w:spacing w:val="-6"/>
                <w:kern w:val="0"/>
                <w:szCs w:val="21"/>
              </w:rPr>
              <w:t>投标文件的密封</w:t>
            </w:r>
          </w:p>
        </w:tc>
        <w:tc>
          <w:tcPr>
            <w:tcW w:w="6490" w:type="dxa"/>
            <w:vAlign w:val="center"/>
          </w:tcPr>
          <w:p>
            <w:pPr>
              <w:spacing w:line="400" w:lineRule="exact"/>
              <w:ind w:firstLine="420" w:firstLineChars="200"/>
              <w:rPr>
                <w:rFonts w:ascii="宋体" w:hAnsi="宋体"/>
                <w:szCs w:val="21"/>
              </w:rPr>
            </w:pPr>
            <w:r>
              <w:rPr>
                <w:rFonts w:hint="eastAsia" w:ascii="宋体" w:hAnsi="宋体"/>
                <w:szCs w:val="21"/>
              </w:rPr>
              <w:t>电子投标文件的加密</w:t>
            </w:r>
          </w:p>
          <w:p>
            <w:pPr>
              <w:spacing w:line="400" w:lineRule="exact"/>
              <w:ind w:firstLine="420" w:firstLineChars="200"/>
              <w:rPr>
                <w:rFonts w:ascii="宋体" w:hAnsi="宋体"/>
                <w:szCs w:val="21"/>
              </w:rPr>
            </w:pPr>
            <w:r>
              <w:rPr>
                <w:rFonts w:hint="eastAsia" w:ascii="宋体" w:hAnsi="宋体"/>
                <w:szCs w:val="21"/>
              </w:rPr>
              <w:t>加密的电子投标文件应按照本章第4.1.3项要求制作并加密，未按要求加密的电子投标文件，将无法上传至重庆市电子招投标系统，逾期未完成上传投标文件的，视为撤回投标文件。</w:t>
            </w:r>
          </w:p>
          <w:p>
            <w:pPr>
              <w:adjustRightInd w:val="0"/>
              <w:snapToGrid w:val="0"/>
              <w:spacing w:line="400" w:lineRule="exact"/>
              <w:ind w:firstLine="420" w:firstLineChars="200"/>
              <w:rPr>
                <w:rFonts w:ascii="宋体" w:hAnsi="宋体"/>
                <w:szCs w:val="21"/>
              </w:rPr>
            </w:pPr>
            <w:r>
              <w:rPr>
                <w:rFonts w:hint="eastAsia" w:ascii="宋体" w:hAnsi="宋体"/>
                <w:szCs w:val="21"/>
              </w:rPr>
              <w:t>投标人如需递交不加密电子投标文件，应用“投标文件”袋单独封装，并在封口处加盖投标人单位法人章，同时“投标文件”袋应按本表第4.1.2项的规定写明相应内容。“投标文件”袋未按要求密封的，招标人或代理机构</w:t>
            </w:r>
            <w:r>
              <w:rPr>
                <w:rFonts w:hint="eastAsia" w:ascii="宋体" w:hAnsi="宋体"/>
                <w:szCs w:val="21"/>
                <w:lang w:val="en-US" w:eastAsia="zh-CN"/>
              </w:rPr>
              <w:t>应当</w:t>
            </w:r>
            <w:r>
              <w:rPr>
                <w:rFonts w:hint="eastAsia" w:ascii="宋体" w:hAnsi="宋体"/>
                <w:szCs w:val="21"/>
              </w:rPr>
              <w:t>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4.1.2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封套上写明</w:t>
            </w:r>
          </w:p>
        </w:tc>
        <w:tc>
          <w:tcPr>
            <w:tcW w:w="6490"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应在</w:t>
            </w:r>
            <w:r>
              <w:rPr>
                <w:rFonts w:ascii="宋体" w:hAnsi="宋体"/>
                <w:szCs w:val="21"/>
              </w:rPr>
              <w:t xml:space="preserve"> </w:t>
            </w:r>
            <w:r>
              <w:rPr>
                <w:rFonts w:ascii="宋体" w:hAnsi="宋体"/>
                <w:kern w:val="0"/>
                <w:szCs w:val="21"/>
              </w:rPr>
              <w:t>“投标文件”袋封套上写明如下内容：</w:t>
            </w:r>
          </w:p>
          <w:p>
            <w:pPr>
              <w:snapToGrid w:val="0"/>
              <w:spacing w:line="400" w:lineRule="exact"/>
              <w:ind w:firstLine="420" w:firstLineChars="200"/>
              <w:rPr>
                <w:rFonts w:ascii="宋体" w:hAnsi="宋体"/>
                <w:kern w:val="0"/>
                <w:szCs w:val="21"/>
                <w:u w:val="single"/>
              </w:rPr>
            </w:pPr>
            <w:r>
              <w:rPr>
                <w:rFonts w:ascii="宋体" w:hAnsi="宋体"/>
                <w:kern w:val="0"/>
                <w:szCs w:val="21"/>
              </w:rPr>
              <w:t>招标人名称：</w:t>
            </w:r>
            <w:r>
              <w:rPr>
                <w:rFonts w:hint="eastAsia" w:ascii="宋体" w:hAnsi="宋体"/>
                <w:kern w:val="0"/>
                <w:szCs w:val="21"/>
                <w:u w:val="single"/>
              </w:rPr>
              <w:t xml:space="preserve">            </w:t>
            </w:r>
          </w:p>
          <w:p>
            <w:pPr>
              <w:snapToGrid w:val="0"/>
              <w:spacing w:line="400" w:lineRule="exact"/>
              <w:ind w:firstLine="420" w:firstLineChars="200"/>
              <w:rPr>
                <w:rFonts w:ascii="宋体" w:hAnsi="宋体"/>
                <w:kern w:val="0"/>
                <w:szCs w:val="21"/>
                <w:u w:val="single"/>
              </w:rPr>
            </w:pPr>
            <w:r>
              <w:rPr>
                <w:rFonts w:hint="eastAsia" w:ascii="宋体" w:hAnsi="宋体"/>
                <w:kern w:val="0"/>
                <w:szCs w:val="21"/>
              </w:rPr>
              <w:t>投标人名称：</w:t>
            </w:r>
            <w:r>
              <w:rPr>
                <w:rFonts w:hint="eastAsia" w:ascii="宋体" w:hAnsi="宋体"/>
                <w:kern w:val="0"/>
                <w:szCs w:val="21"/>
                <w:u w:val="single"/>
              </w:rPr>
              <w:t xml:space="preserve">            </w:t>
            </w:r>
          </w:p>
          <w:p>
            <w:pPr>
              <w:snapToGrid w:val="0"/>
              <w:spacing w:line="400" w:lineRule="exact"/>
              <w:ind w:firstLine="420" w:firstLineChars="200"/>
              <w:rPr>
                <w:rFonts w:ascii="宋体" w:hAnsi="宋体"/>
                <w:kern w:val="0"/>
                <w:szCs w:val="21"/>
              </w:rPr>
            </w:pPr>
            <w:r>
              <w:rPr>
                <w:rFonts w:ascii="宋体" w:hAnsi="宋体"/>
                <w:kern w:val="0"/>
                <w:szCs w:val="21"/>
                <w:u w:val="single"/>
              </w:rPr>
              <w:t xml:space="preserve">                （项目名称）</w:t>
            </w:r>
            <w:r>
              <w:rPr>
                <w:rFonts w:ascii="宋体" w:hAnsi="宋体"/>
                <w:kern w:val="0"/>
                <w:szCs w:val="21"/>
              </w:rPr>
              <w:t>投标文件</w:t>
            </w:r>
          </w:p>
          <w:p>
            <w:pPr>
              <w:snapToGrid w:val="0"/>
              <w:spacing w:line="400" w:lineRule="exact"/>
              <w:ind w:firstLine="420" w:firstLineChars="200"/>
              <w:rPr>
                <w:rFonts w:ascii="宋体" w:hAnsi="宋体"/>
                <w:szCs w:val="21"/>
              </w:rPr>
            </w:pPr>
            <w:r>
              <w:rPr>
                <w:rFonts w:ascii="宋体" w:hAnsi="宋体"/>
                <w:kern w:val="0"/>
                <w:szCs w:val="21"/>
              </w:rPr>
              <w:t>在</w:t>
            </w: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r>
              <w:rPr>
                <w:rFonts w:hint="eastAsia" w:ascii="宋体" w:hAnsi="宋体"/>
                <w:kern w:val="0"/>
                <w:szCs w:val="21"/>
                <w:u w:val="single"/>
              </w:rPr>
              <w:t xml:space="preserve">    </w:t>
            </w:r>
            <w:r>
              <w:rPr>
                <w:rFonts w:ascii="宋体" w:hAnsi="宋体"/>
                <w:kern w:val="0"/>
                <w:szCs w:val="21"/>
              </w:rPr>
              <w:t>时</w:t>
            </w:r>
            <w:r>
              <w:rPr>
                <w:rFonts w:hint="eastAsia" w:ascii="宋体" w:hAnsi="宋体"/>
                <w:kern w:val="0"/>
                <w:szCs w:val="21"/>
                <w:u w:val="single"/>
              </w:rPr>
              <w:t xml:space="preserve">    </w:t>
            </w:r>
            <w:r>
              <w:rPr>
                <w:rFonts w:ascii="宋体" w:hAnsi="宋体"/>
                <w:kern w:val="0"/>
                <w:szCs w:val="21"/>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4.2.2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递交投标文件地点</w:t>
            </w:r>
          </w:p>
        </w:tc>
        <w:tc>
          <w:tcPr>
            <w:tcW w:w="6490" w:type="dxa"/>
            <w:vAlign w:val="center"/>
          </w:tcPr>
          <w:p>
            <w:pPr>
              <w:snapToGrid w:val="0"/>
              <w:spacing w:line="400" w:lineRule="exact"/>
              <w:ind w:firstLine="420" w:firstLineChars="200"/>
              <w:rPr>
                <w:rFonts w:ascii="宋体" w:hAnsi="宋体"/>
                <w:bCs/>
                <w:szCs w:val="21"/>
              </w:rPr>
            </w:pPr>
            <w:r>
              <w:rPr>
                <w:rFonts w:hint="eastAsia" w:ascii="宋体" w:hAnsi="宋体"/>
                <w:bCs/>
                <w:szCs w:val="21"/>
              </w:rPr>
              <w:t>投标人应当在投标截止时间前，通过互联网使用CA数字证书登录重庆市电子招投标系统，将加密的电子投标文件上传。</w:t>
            </w:r>
          </w:p>
          <w:p>
            <w:pPr>
              <w:snapToGrid w:val="0"/>
              <w:spacing w:line="400" w:lineRule="exact"/>
              <w:ind w:firstLine="420" w:firstLineChars="200"/>
              <w:rPr>
                <w:rFonts w:ascii="宋体" w:hAnsi="宋体"/>
                <w:bCs/>
                <w:szCs w:val="21"/>
              </w:rPr>
            </w:pPr>
            <w:r>
              <w:rPr>
                <w:rFonts w:hint="eastAsia" w:ascii="宋体" w:hAnsi="宋体"/>
                <w:bCs/>
                <w:szCs w:val="21"/>
              </w:rPr>
              <w:t>特别注意：投标人如需现场递交不加密电子投标文件（光盘备份）等备用资料，则须在投标截止时间前递交，递交地点为</w:t>
            </w:r>
            <w:r>
              <w:rPr>
                <w:rFonts w:hint="eastAsia" w:ascii="宋体" w:hAnsi="宋体"/>
                <w:bCs/>
                <w:szCs w:val="21"/>
                <w:u w:val="single"/>
              </w:rPr>
              <w:t>重庆市公共资源交易中心</w:t>
            </w:r>
            <w:r>
              <w:rPr>
                <w:rFonts w:hint="eastAsia" w:ascii="宋体" w:hAnsi="宋体"/>
                <w:bCs/>
                <w:szCs w:val="21"/>
              </w:rPr>
              <w:t>开标区（具体请登陆</w:t>
            </w:r>
            <w:r>
              <w:rPr>
                <w:rFonts w:hint="eastAsia" w:ascii="宋体" w:hAnsi="宋体"/>
                <w:bCs/>
                <w:szCs w:val="21"/>
                <w:u w:val="single"/>
              </w:rPr>
              <w:t>重庆市公共资源交易网</w:t>
            </w:r>
            <w:r>
              <w:rPr>
                <w:rFonts w:hint="eastAsia" w:ascii="宋体" w:hAnsi="宋体"/>
                <w:bCs/>
                <w:szCs w:val="21"/>
              </w:rPr>
              <w:t>查询或递交文件当日见交易中心大厅电子显示屏）。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4.2.3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是否退还投标文件</w:t>
            </w:r>
          </w:p>
        </w:tc>
        <w:tc>
          <w:tcPr>
            <w:tcW w:w="6490"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5.1</w:t>
            </w:r>
            <w:r>
              <w:rPr>
                <w:rFonts w:hint="eastAsia" w:ascii="宋体" w:hAnsi="宋体"/>
                <w:kern w:val="0"/>
                <w:szCs w:val="21"/>
              </w:rPr>
              <w:t>.1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开标时间和</w:t>
            </w:r>
          </w:p>
          <w:p>
            <w:pPr>
              <w:snapToGrid w:val="0"/>
              <w:spacing w:line="400" w:lineRule="exact"/>
              <w:jc w:val="center"/>
              <w:rPr>
                <w:rFonts w:ascii="宋体" w:hAnsi="宋体"/>
                <w:kern w:val="0"/>
                <w:szCs w:val="21"/>
              </w:rPr>
            </w:pPr>
            <w:r>
              <w:rPr>
                <w:rFonts w:ascii="宋体" w:hAnsi="宋体"/>
                <w:kern w:val="0"/>
                <w:szCs w:val="21"/>
              </w:rPr>
              <w:t>地点</w:t>
            </w:r>
          </w:p>
        </w:tc>
        <w:tc>
          <w:tcPr>
            <w:tcW w:w="6490"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开标时间：同投标截止时间</w:t>
            </w:r>
          </w:p>
          <w:p>
            <w:pPr>
              <w:snapToGrid w:val="0"/>
              <w:spacing w:line="400" w:lineRule="exact"/>
              <w:ind w:firstLine="420" w:firstLineChars="200"/>
              <w:rPr>
                <w:rFonts w:ascii="宋体" w:hAnsi="宋体"/>
                <w:bCs/>
                <w:szCs w:val="21"/>
              </w:rPr>
            </w:pPr>
            <w:r>
              <w:rPr>
                <w:rFonts w:ascii="宋体" w:hAnsi="宋体"/>
                <w:kern w:val="0"/>
                <w:szCs w:val="21"/>
              </w:rPr>
              <w:t>开标地点：</w:t>
            </w:r>
            <w:r>
              <w:rPr>
                <w:rFonts w:ascii="宋体" w:hAnsi="宋体"/>
                <w:bCs/>
                <w:szCs w:val="21"/>
                <w:u w:val="single"/>
              </w:rPr>
              <w:t>重庆市</w:t>
            </w:r>
            <w:r>
              <w:rPr>
                <w:rFonts w:hint="eastAsia" w:ascii="宋体" w:hAnsi="宋体"/>
                <w:bCs/>
                <w:szCs w:val="21"/>
                <w:u w:val="single"/>
              </w:rPr>
              <w:t>公共资源</w:t>
            </w:r>
            <w:r>
              <w:rPr>
                <w:rFonts w:ascii="宋体" w:hAnsi="宋体"/>
                <w:bCs/>
                <w:szCs w:val="21"/>
                <w:u w:val="single"/>
              </w:rPr>
              <w:t>交易中心</w:t>
            </w:r>
            <w:r>
              <w:rPr>
                <w:rFonts w:ascii="宋体" w:hAnsi="宋体"/>
                <w:bCs/>
                <w:szCs w:val="21"/>
              </w:rPr>
              <w:t>开标室（具体请登陆</w:t>
            </w:r>
            <w:r>
              <w:rPr>
                <w:rFonts w:hint="eastAsia" w:ascii="宋体" w:hAnsi="宋体"/>
                <w:bCs/>
                <w:szCs w:val="21"/>
                <w:u w:val="single"/>
              </w:rPr>
              <w:t>重庆市公共资源交易网</w:t>
            </w:r>
            <w:r>
              <w:rPr>
                <w:rFonts w:ascii="宋体" w:hAnsi="宋体"/>
                <w:bCs/>
                <w:szCs w:val="21"/>
              </w:rPr>
              <w:t>查询或递交文件当日见交易中心大厅电子显示屏）。</w:t>
            </w:r>
          </w:p>
          <w:p>
            <w:pPr>
              <w:snapToGrid w:val="0"/>
              <w:spacing w:line="400" w:lineRule="exact"/>
              <w:ind w:firstLine="420" w:firstLineChars="200"/>
              <w:rPr>
                <w:rFonts w:hint="eastAsia" w:ascii="宋体" w:hAnsi="宋体"/>
                <w:bCs/>
                <w:szCs w:val="21"/>
              </w:rPr>
            </w:pPr>
            <w:r>
              <w:rPr>
                <w:rFonts w:hint="eastAsia" w:ascii="宋体" w:hAnsi="宋体"/>
                <w:bCs/>
                <w:szCs w:val="21"/>
              </w:rPr>
              <w:t>特别注意：</w:t>
            </w:r>
            <w:r>
              <w:rPr>
                <w:rFonts w:hint="eastAsia" w:ascii="宋体" w:hAnsi="宋体"/>
                <w:bCs/>
                <w:szCs w:val="21"/>
                <w:lang w:val="en-US" w:eastAsia="zh-CN"/>
              </w:rPr>
              <w:t>1、</w:t>
            </w:r>
            <w:r>
              <w:rPr>
                <w:rFonts w:hint="eastAsia" w:ascii="宋体" w:hAnsi="宋体"/>
                <w:bCs/>
                <w:szCs w:val="21"/>
              </w:rPr>
              <w:t>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pPr>
              <w:snapToGrid w:val="0"/>
              <w:spacing w:line="400" w:lineRule="exact"/>
              <w:ind w:firstLine="420" w:firstLineChars="200"/>
              <w:rPr>
                <w:rFonts w:ascii="宋体" w:hAnsi="宋体"/>
                <w:bCs/>
                <w:szCs w:val="21"/>
              </w:rPr>
            </w:pPr>
            <w:r>
              <w:rPr>
                <w:rFonts w:hint="eastAsia" w:asciiTheme="minorEastAsia" w:hAnsiTheme="minorEastAsia" w:eastAsiaTheme="minorEastAsia" w:cstheme="minorEastAsia"/>
                <w:bCs/>
                <w:color w:val="auto"/>
                <w:szCs w:val="21"/>
                <w:highlight w:val="none"/>
              </w:rPr>
              <w:t>2</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rPr>
              <w:t>本项目开标</w:t>
            </w:r>
            <w:r>
              <w:rPr>
                <w:rFonts w:hint="eastAsia" w:asciiTheme="minorEastAsia" w:hAnsiTheme="minorEastAsia" w:eastAsiaTheme="minorEastAsia" w:cstheme="minorEastAsia"/>
                <w:bCs/>
                <w:color w:val="auto"/>
                <w:szCs w:val="21"/>
                <w:highlight w:val="none"/>
                <w:lang w:val="en-US" w:eastAsia="zh-CN"/>
              </w:rPr>
              <w:t>采用</w:t>
            </w:r>
            <w:r>
              <w:rPr>
                <w:rFonts w:hint="eastAsia" w:asciiTheme="minorEastAsia" w:hAnsiTheme="minorEastAsia" w:eastAsiaTheme="minorEastAsia" w:cstheme="minorEastAsia"/>
                <w:bCs/>
                <w:color w:val="auto"/>
                <w:szCs w:val="21"/>
                <w:highlight w:val="none"/>
              </w:rPr>
              <w:t>“重庆市工程建设项目不见面开标系统”</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lang w:val="en-US" w:eastAsia="zh-CN"/>
              </w:rPr>
              <w:t>以下简称：</w:t>
            </w:r>
            <w:r>
              <w:rPr>
                <w:rFonts w:hint="eastAsia" w:asciiTheme="minorEastAsia" w:hAnsiTheme="minorEastAsia" w:eastAsiaTheme="minorEastAsia" w:cstheme="minorEastAsia"/>
                <w:bCs/>
                <w:color w:val="auto"/>
                <w:szCs w:val="21"/>
                <w:highlight w:val="none"/>
              </w:rPr>
              <w:t>不见面开标系统</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rPr>
              <w:t>。不出席现场开标的投标人也可登录不见面开标系统参与全过程开标活动。开标活动信息以</w:t>
            </w:r>
            <w:r>
              <w:rPr>
                <w:rFonts w:hint="eastAsia" w:asciiTheme="minorEastAsia" w:hAnsiTheme="minorEastAsia" w:eastAsiaTheme="minorEastAsia" w:cstheme="minorEastAsia"/>
                <w:bCs/>
                <w:color w:val="auto"/>
                <w:szCs w:val="21"/>
                <w:highlight w:val="none"/>
                <w:lang w:val="en-US" w:eastAsia="zh-CN"/>
              </w:rPr>
              <w:t>开标现场或</w:t>
            </w:r>
            <w:r>
              <w:rPr>
                <w:rFonts w:hint="eastAsia" w:asciiTheme="minorEastAsia" w:hAnsiTheme="minorEastAsia" w:eastAsiaTheme="minorEastAsia" w:cstheme="minorEastAsia"/>
                <w:bCs/>
                <w:color w:val="auto"/>
                <w:szCs w:val="21"/>
                <w:highlight w:val="none"/>
              </w:rPr>
              <w:t>不见面开标系统收到并展示的信息为准。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5.1.2</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解密时间</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解密时长为 30 分钟。</w:t>
            </w:r>
          </w:p>
          <w:p>
            <w:pPr>
              <w:snapToGrid w:val="0"/>
              <w:spacing w:line="400" w:lineRule="exact"/>
              <w:ind w:firstLine="420" w:firstLineChars="200"/>
              <w:rPr>
                <w:rFonts w:ascii="宋体" w:hAnsi="宋体"/>
                <w:kern w:val="0"/>
                <w:szCs w:val="21"/>
              </w:rPr>
            </w:pPr>
            <w:r>
              <w:rPr>
                <w:rFonts w:hint="eastAsia" w:ascii="宋体" w:hAnsi="宋体"/>
                <w:kern w:val="0"/>
                <w:szCs w:val="21"/>
              </w:rPr>
              <w:t>特别注意：因电子招标投标系统原因影响解密时间的，招标人可根据现场实际情况延长解密时间；因投标人原因未完成解密工作的，视为撤销其投标文件，其投标保证金</w:t>
            </w:r>
            <w:r>
              <w:rPr>
                <w:rFonts w:hint="eastAsia" w:asciiTheme="minorEastAsia" w:hAnsiTheme="minorEastAsia" w:eastAsiaTheme="minorEastAsia" w:cstheme="minorEastAsia"/>
                <w:color w:val="auto"/>
                <w:kern w:val="0"/>
                <w:szCs w:val="21"/>
                <w:highlight w:val="none"/>
              </w:rPr>
              <w:t>以现金形式交纳的</w:t>
            </w:r>
            <w:r>
              <w:rPr>
                <w:rFonts w:hint="eastAsia" w:ascii="宋体" w:hAnsi="宋体"/>
                <w:kern w:val="0"/>
                <w:szCs w:val="21"/>
              </w:rPr>
              <w:t>不予退还</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rPr>
              <w:t>以保函形式交纳的由保函开立人支付保函担保的与投标保证金等额的款项</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szCs w:val="21"/>
              </w:rPr>
            </w:pPr>
            <w:r>
              <w:rPr>
                <w:rFonts w:hint="eastAsia" w:ascii="宋体" w:hAnsi="宋体"/>
                <w:szCs w:val="21"/>
              </w:rPr>
              <w:t>5.2</w:t>
            </w:r>
          </w:p>
        </w:tc>
        <w:tc>
          <w:tcPr>
            <w:tcW w:w="1644" w:type="dxa"/>
            <w:vAlign w:val="center"/>
          </w:tcPr>
          <w:p>
            <w:pPr>
              <w:snapToGrid w:val="0"/>
              <w:spacing w:line="400" w:lineRule="exact"/>
              <w:jc w:val="center"/>
              <w:rPr>
                <w:rFonts w:ascii="宋体" w:hAnsi="宋体"/>
                <w:szCs w:val="21"/>
              </w:rPr>
            </w:pPr>
            <w:r>
              <w:rPr>
                <w:rFonts w:hint="eastAsia" w:ascii="宋体" w:hAnsi="宋体"/>
                <w:szCs w:val="21"/>
              </w:rPr>
              <w:t>开标程序</w:t>
            </w:r>
          </w:p>
        </w:tc>
        <w:tc>
          <w:tcPr>
            <w:tcW w:w="6490" w:type="dxa"/>
            <w:vAlign w:val="center"/>
          </w:tcPr>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主持人按下列程序进行开标：</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1. 开标时间（应与投标截止时间一致），交易系统自动提取所有在投标截止时间前成功递交的投标文件，系统自动展示投标人数量是否大于（等于）3家，经招标人或代理机构确认达到法定开标条件的，系统进入开标环节。</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2. 投标文件提取完成，经招标人或代理机构确认开始解密环节，系统提示投标人在招标文件规定的时间内自行解密其经加密的电子投标文件。</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在规定的时间内投标人未成功解密投标文件的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4. 汇总投标保证金交纳情况</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4.2 展示以电子转账方式递交投标保证金的情况，展示内容应至少包含投标人名称、金额、投标保证金打入指定账户的时间等，异常情况在开标记录表“异常情况”栏中记录并交由评标委员会评审。</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4.3 展示以纸质投标保函方式递交投标保证金的情况，并记录在“纸质投标保函递交情况一览表”中，异常情况在开标记录表“异常情况”栏中记录。</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4.4 打印所有投标人的投标保证金交纳</w:t>
            </w:r>
            <w:r>
              <w:rPr>
                <w:rFonts w:hint="eastAsia" w:ascii="宋体" w:hAnsi="宋体"/>
                <w:szCs w:val="21"/>
                <w:lang w:eastAsia="zh-CN"/>
              </w:rPr>
              <w:t>情况</w:t>
            </w:r>
            <w:r>
              <w:rPr>
                <w:rFonts w:hint="eastAsia" w:ascii="宋体" w:hAnsi="宋体"/>
                <w:szCs w:val="21"/>
              </w:rPr>
              <w:t>，并由招标人代表、监标人、记录人</w:t>
            </w:r>
            <w:r>
              <w:rPr>
                <w:rFonts w:hint="eastAsia" w:ascii="宋体" w:hAnsi="宋体"/>
                <w:szCs w:val="21"/>
                <w:lang w:eastAsia="zh-CN"/>
              </w:rPr>
              <w:t>签名</w:t>
            </w:r>
            <w:r>
              <w:rPr>
                <w:rFonts w:hint="eastAsia" w:ascii="宋体" w:hAnsi="宋体"/>
                <w:szCs w:val="21"/>
              </w:rPr>
              <w:t>确认。</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5. 公布最高限价</w:t>
            </w:r>
            <w:r>
              <w:rPr>
                <w:rFonts w:hint="eastAsia" w:asciiTheme="minorEastAsia" w:hAnsiTheme="minorEastAsia" w:eastAsiaTheme="minorEastAsia" w:cstheme="minorEastAsia"/>
                <w:szCs w:val="21"/>
                <w:lang w:eastAsia="zh-CN"/>
              </w:rPr>
              <w:t>。</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6. 公布投标人名称、投标报价、质量目标、工期及其他内容。</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□7. 对采用综合评估法的项目，需要抽取</w:t>
            </w:r>
            <w:r>
              <w:rPr>
                <w:rFonts w:hint="eastAsia" w:ascii="宋体" w:hAnsi="宋体"/>
                <w:szCs w:val="21"/>
                <w:lang w:val="en-US" w:eastAsia="zh-CN"/>
              </w:rPr>
              <w:t>下浮系数N</w:t>
            </w:r>
            <w:r>
              <w:rPr>
                <w:rFonts w:hint="eastAsia" w:ascii="宋体" w:hAnsi="宋体"/>
                <w:szCs w:val="21"/>
              </w:rPr>
              <w:t>的，在开标现场完成抽取，抽取结果记入开标记录表。相关系数抽取方式如下：</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①</w:t>
            </w:r>
            <w:r>
              <w:rPr>
                <w:rFonts w:hint="eastAsia" w:ascii="宋体" w:hAnsi="宋体"/>
                <w:szCs w:val="21"/>
                <w:u w:val="single"/>
              </w:rPr>
              <w:t xml:space="preserve">                         </w:t>
            </w:r>
            <w:r>
              <w:rPr>
                <w:rFonts w:hint="eastAsia" w:ascii="宋体" w:hAnsi="宋体"/>
                <w:szCs w:val="21"/>
              </w:rPr>
              <w:t>。</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②</w:t>
            </w:r>
            <w:r>
              <w:rPr>
                <w:rFonts w:hint="eastAsia" w:ascii="宋体" w:hAnsi="宋体"/>
                <w:szCs w:val="21"/>
                <w:u w:val="single"/>
              </w:rPr>
              <w:t xml:space="preserve">                         </w:t>
            </w:r>
            <w:r>
              <w:rPr>
                <w:rFonts w:hint="eastAsia" w:ascii="宋体" w:hAnsi="宋体"/>
                <w:szCs w:val="21"/>
              </w:rPr>
              <w:t>。</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③……</w:t>
            </w:r>
          </w:p>
          <w:p>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8.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9.投标人对开标有异议的，应当场或在线（不见面开标适用）提出，由招标人或代理机构当场或在线（不见面开标适用）答复，并记录到开标记录表中。异议处理完毕后，汇总开标情况，打印开标记录表。</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10. 投标人代表、招标人代表、监标人、主持人、记录人等有关人员在开标记录上</w:t>
            </w:r>
            <w:r>
              <w:rPr>
                <w:rFonts w:hint="eastAsia" w:ascii="宋体" w:hAnsi="宋体"/>
                <w:szCs w:val="21"/>
                <w:lang w:eastAsia="zh-CN"/>
              </w:rPr>
              <w:t>签名</w:t>
            </w:r>
            <w:r>
              <w:rPr>
                <w:rFonts w:hint="eastAsia" w:ascii="宋体" w:hAnsi="宋体"/>
                <w:szCs w:val="21"/>
              </w:rPr>
              <w:t>确认。因其他原因未能</w:t>
            </w:r>
            <w:r>
              <w:rPr>
                <w:rFonts w:hint="eastAsia" w:ascii="宋体" w:hAnsi="宋体"/>
                <w:szCs w:val="21"/>
                <w:lang w:eastAsia="zh-CN"/>
              </w:rPr>
              <w:t>签名</w:t>
            </w:r>
            <w:r>
              <w:rPr>
                <w:rFonts w:hint="eastAsia" w:ascii="宋体" w:hAnsi="宋体"/>
                <w:szCs w:val="21"/>
              </w:rPr>
              <w:t>的，视为默认开标结果。</w:t>
            </w:r>
          </w:p>
          <w:p>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纸质投标保函原件、投标保证金缴纳情况表、开标记录表、投标人信用情况汇总表一并交由评标委员会评审。</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11.主持人宣布开标结束。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6.1.1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评标委员会的组建</w:t>
            </w:r>
          </w:p>
        </w:tc>
        <w:tc>
          <w:tcPr>
            <w:tcW w:w="6490" w:type="dxa"/>
            <w:vAlign w:val="center"/>
          </w:tcPr>
          <w:p>
            <w:pPr>
              <w:autoSpaceDE w:val="0"/>
              <w:autoSpaceDN w:val="0"/>
              <w:adjustRightInd w:val="0"/>
              <w:snapToGrid w:val="0"/>
              <w:spacing w:line="400" w:lineRule="exact"/>
              <w:ind w:firstLine="436" w:firstLineChars="200"/>
              <w:rPr>
                <w:rFonts w:ascii="宋体" w:hAnsi="宋体"/>
                <w:kern w:val="0"/>
                <w:szCs w:val="21"/>
              </w:rPr>
            </w:pPr>
            <w:r>
              <w:rPr>
                <w:rFonts w:hint="eastAsia" w:ascii="宋体" w:hAnsi="宋体"/>
                <w:spacing w:val="4"/>
                <w:kern w:val="0"/>
                <w:szCs w:val="21"/>
              </w:rPr>
              <w:t>由招标人按法律法规及相关规定依法组建评标委员会</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7.1</w:t>
            </w:r>
          </w:p>
        </w:tc>
        <w:tc>
          <w:tcPr>
            <w:tcW w:w="1644" w:type="dxa"/>
            <w:vAlign w:val="center"/>
          </w:tcPr>
          <w:p>
            <w:pPr>
              <w:snapToGrid w:val="0"/>
              <w:spacing w:after="62" w:afterLines="20" w:line="400" w:lineRule="exact"/>
              <w:jc w:val="center"/>
              <w:rPr>
                <w:rFonts w:ascii="宋体" w:hAnsi="宋体"/>
                <w:kern w:val="0"/>
                <w:szCs w:val="21"/>
              </w:rPr>
            </w:pPr>
            <w:r>
              <w:rPr>
                <w:rFonts w:ascii="宋体" w:hAnsi="宋体"/>
                <w:kern w:val="0"/>
                <w:szCs w:val="21"/>
              </w:rPr>
              <w:t>是否授权评标委员会确定中标人</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是</w:t>
            </w:r>
          </w:p>
          <w:p>
            <w:pPr>
              <w:snapToGrid w:val="0"/>
              <w:spacing w:line="400" w:lineRule="exact"/>
              <w:ind w:firstLine="420" w:firstLineChars="200"/>
              <w:rPr>
                <w:rFonts w:ascii="宋体" w:hAnsi="宋体"/>
                <w:kern w:val="0"/>
                <w:szCs w:val="21"/>
              </w:rPr>
            </w:pPr>
            <w:r>
              <w:rPr>
                <w:rFonts w:hint="eastAsia" w:ascii="宋体" w:hAnsi="宋体"/>
                <w:kern w:val="0"/>
                <w:szCs w:val="21"/>
              </w:rPr>
              <w:t>□A</w:t>
            </w:r>
            <w:r>
              <w:rPr>
                <w:rFonts w:ascii="宋体" w:hAnsi="宋体"/>
                <w:kern w:val="0"/>
                <w:szCs w:val="21"/>
              </w:rPr>
              <w:t>否，推荐经评审合格的</w:t>
            </w:r>
            <w:r>
              <w:rPr>
                <w:rFonts w:hint="eastAsia" w:ascii="宋体" w:hAnsi="宋体"/>
                <w:kern w:val="0"/>
                <w:szCs w:val="21"/>
              </w:rPr>
              <w:t>报价</w:t>
            </w:r>
            <w:r>
              <w:rPr>
                <w:rFonts w:ascii="宋体" w:hAnsi="宋体"/>
                <w:kern w:val="0"/>
                <w:szCs w:val="21"/>
              </w:rPr>
              <w:t>由低到高排名前</w:t>
            </w:r>
            <w:r>
              <w:rPr>
                <w:rFonts w:hint="eastAsia" w:ascii="宋体" w:hAnsi="宋体"/>
                <w:kern w:val="0"/>
                <w:szCs w:val="21"/>
                <w:lang w:val="en-US" w:eastAsia="zh-CN"/>
              </w:rPr>
              <w:t>3</w:t>
            </w:r>
            <w:r>
              <w:rPr>
                <w:rFonts w:ascii="宋体" w:hAnsi="宋体"/>
                <w:kern w:val="0"/>
                <w:szCs w:val="21"/>
              </w:rPr>
              <w:t>名为中标候选人</w:t>
            </w:r>
            <w:r>
              <w:rPr>
                <w:rFonts w:hint="eastAsia" w:ascii="宋体" w:hAnsi="宋体"/>
                <w:kern w:val="0"/>
                <w:szCs w:val="21"/>
              </w:rPr>
              <w:t>，若有效投标人少于</w:t>
            </w:r>
            <w:r>
              <w:rPr>
                <w:rFonts w:hint="eastAsia" w:ascii="宋体" w:hAnsi="宋体"/>
                <w:kern w:val="0"/>
                <w:szCs w:val="21"/>
                <w:u w:val="single"/>
              </w:rPr>
              <w:t>3</w:t>
            </w:r>
            <w:r>
              <w:rPr>
                <w:rFonts w:hint="eastAsia" w:ascii="宋体" w:hAnsi="宋体"/>
                <w:kern w:val="0"/>
                <w:szCs w:val="21"/>
              </w:rPr>
              <w:t>个的则按实际数量推荐</w:t>
            </w:r>
            <w:r>
              <w:rPr>
                <w:rFonts w:ascii="宋体" w:hAnsi="宋体"/>
                <w:kern w:val="0"/>
                <w:szCs w:val="21"/>
              </w:rPr>
              <w:t>。</w:t>
            </w:r>
          </w:p>
          <w:p>
            <w:pPr>
              <w:snapToGrid w:val="0"/>
              <w:spacing w:line="400" w:lineRule="exact"/>
              <w:ind w:firstLine="420" w:firstLineChars="200"/>
              <w:rPr>
                <w:rFonts w:ascii="宋体" w:hAnsi="宋体"/>
                <w:i/>
                <w:kern w:val="0"/>
                <w:szCs w:val="21"/>
              </w:rPr>
            </w:pPr>
            <w:r>
              <w:rPr>
                <w:rFonts w:hint="eastAsia" w:ascii="宋体" w:hAnsi="宋体"/>
                <w:i/>
                <w:kern w:val="0"/>
                <w:szCs w:val="21"/>
              </w:rPr>
              <w:t>[提示：经评审的最低投标价法适用]</w:t>
            </w:r>
          </w:p>
          <w:p>
            <w:pPr>
              <w:snapToGrid w:val="0"/>
              <w:spacing w:line="400" w:lineRule="exact"/>
              <w:ind w:firstLine="420" w:firstLineChars="200"/>
              <w:rPr>
                <w:rFonts w:ascii="宋体" w:hAnsi="宋体"/>
                <w:kern w:val="0"/>
                <w:szCs w:val="21"/>
              </w:rPr>
            </w:pPr>
            <w:r>
              <w:rPr>
                <w:rFonts w:hint="eastAsia" w:ascii="宋体" w:hAnsi="宋体"/>
                <w:kern w:val="0"/>
                <w:szCs w:val="21"/>
              </w:rPr>
              <w:t>□B</w:t>
            </w:r>
            <w:r>
              <w:rPr>
                <w:rFonts w:ascii="宋体" w:hAnsi="宋体"/>
                <w:kern w:val="0"/>
                <w:szCs w:val="21"/>
              </w:rPr>
              <w:t>否，推荐经评审综合得分由高到低排名前</w:t>
            </w:r>
            <w:r>
              <w:rPr>
                <w:rFonts w:hint="eastAsia" w:ascii="宋体" w:hAnsi="宋体"/>
                <w:kern w:val="0"/>
                <w:szCs w:val="21"/>
                <w:lang w:val="en-US" w:eastAsia="zh-CN"/>
              </w:rPr>
              <w:t>3</w:t>
            </w:r>
            <w:r>
              <w:rPr>
                <w:rFonts w:ascii="宋体" w:hAnsi="宋体"/>
                <w:kern w:val="0"/>
                <w:szCs w:val="21"/>
              </w:rPr>
              <w:t>名为中标候选人</w:t>
            </w:r>
            <w:r>
              <w:rPr>
                <w:rFonts w:hint="eastAsia" w:ascii="宋体" w:hAnsi="宋体"/>
                <w:kern w:val="0"/>
                <w:szCs w:val="21"/>
              </w:rPr>
              <w:t>，若有效投标人少于</w:t>
            </w:r>
            <w:r>
              <w:rPr>
                <w:rFonts w:hint="eastAsia" w:ascii="宋体" w:hAnsi="宋体"/>
                <w:kern w:val="0"/>
                <w:szCs w:val="21"/>
                <w:u w:val="single"/>
              </w:rPr>
              <w:t>3</w:t>
            </w:r>
            <w:r>
              <w:rPr>
                <w:rFonts w:hint="eastAsia" w:ascii="宋体" w:hAnsi="宋体"/>
                <w:kern w:val="0"/>
                <w:szCs w:val="21"/>
              </w:rPr>
              <w:t>个的则按实际数量推荐</w:t>
            </w:r>
            <w:r>
              <w:rPr>
                <w:rFonts w:ascii="宋体" w:hAnsi="宋体"/>
                <w:kern w:val="0"/>
                <w:szCs w:val="21"/>
              </w:rPr>
              <w:t>。</w:t>
            </w:r>
          </w:p>
          <w:p>
            <w:pPr>
              <w:snapToGrid w:val="0"/>
              <w:spacing w:line="400" w:lineRule="exact"/>
              <w:ind w:firstLine="420" w:firstLineChars="200"/>
              <w:rPr>
                <w:rFonts w:ascii="宋体" w:hAnsi="宋体"/>
                <w:i/>
                <w:kern w:val="0"/>
                <w:szCs w:val="21"/>
              </w:rPr>
            </w:pPr>
            <w:r>
              <w:rPr>
                <w:rFonts w:hint="eastAsia" w:ascii="宋体" w:hAnsi="宋体"/>
                <w:i/>
                <w:kern w:val="0"/>
                <w:szCs w:val="21"/>
              </w:rPr>
              <w:t>[提示：综合评估法适用]</w:t>
            </w:r>
            <w:r>
              <w:rPr>
                <w:rFonts w:ascii="宋体" w:hAnsi="宋体"/>
                <w:i/>
                <w:kern w:val="0"/>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snapToGrid w:val="0"/>
              <w:spacing w:line="400" w:lineRule="exact"/>
              <w:jc w:val="center"/>
              <w:rPr>
                <w:rFonts w:ascii="宋体" w:hAnsi="宋体"/>
                <w:kern w:val="0"/>
                <w:szCs w:val="21"/>
              </w:rPr>
            </w:pPr>
            <w:r>
              <w:rPr>
                <w:rFonts w:hint="eastAsia" w:ascii="宋体" w:hAnsi="宋体"/>
                <w:kern w:val="0"/>
                <w:szCs w:val="21"/>
              </w:rPr>
              <w:t>7.2</w:t>
            </w:r>
          </w:p>
        </w:tc>
        <w:tc>
          <w:tcPr>
            <w:tcW w:w="1644" w:type="dxa"/>
            <w:vAlign w:val="center"/>
          </w:tcPr>
          <w:p>
            <w:pPr>
              <w:snapToGrid w:val="0"/>
              <w:spacing w:after="62" w:afterLines="20" w:line="400" w:lineRule="exact"/>
              <w:jc w:val="center"/>
              <w:rPr>
                <w:rFonts w:ascii="宋体" w:hAnsi="宋体"/>
                <w:kern w:val="0"/>
                <w:szCs w:val="21"/>
              </w:rPr>
            </w:pPr>
            <w:r>
              <w:rPr>
                <w:rFonts w:ascii="宋体" w:hAnsi="宋体"/>
                <w:kern w:val="0"/>
                <w:szCs w:val="21"/>
              </w:rPr>
              <w:t>中标</w:t>
            </w:r>
            <w:r>
              <w:rPr>
                <w:rFonts w:hint="eastAsia" w:ascii="宋体" w:hAnsi="宋体"/>
                <w:kern w:val="0"/>
                <w:szCs w:val="21"/>
                <w:lang w:val="en-US" w:eastAsia="zh-CN"/>
              </w:rPr>
              <w:t>候选人</w:t>
            </w:r>
            <w:r>
              <w:rPr>
                <w:rFonts w:ascii="宋体" w:hAnsi="宋体"/>
                <w:kern w:val="0"/>
                <w:szCs w:val="21"/>
              </w:rPr>
              <w:t>公示</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cs="宋体"/>
                <w:szCs w:val="21"/>
              </w:rPr>
              <w:t>招标人在收到评标报告后3日内将评标结果在</w:t>
            </w:r>
            <w:r>
              <w:rPr>
                <w:rFonts w:hint="eastAsia" w:ascii="宋体" w:hAnsi="宋体" w:cs="宋体"/>
                <w:szCs w:val="21"/>
                <w:u w:val="single"/>
              </w:rPr>
              <w:t xml:space="preserve">    （相应网站）  </w:t>
            </w:r>
            <w:r>
              <w:rPr>
                <w:rFonts w:hint="eastAsia" w:ascii="宋体" w:hAnsi="宋体" w:cs="宋体"/>
                <w:szCs w:val="21"/>
              </w:rPr>
              <w:t>上进行公示，公示期</w:t>
            </w:r>
            <w:r>
              <w:rPr>
                <w:rFonts w:hint="eastAsia" w:ascii="宋体" w:hAnsi="宋体" w:cs="宋体"/>
                <w:szCs w:val="21"/>
                <w:lang w:eastAsia="zh-CN"/>
              </w:rPr>
              <w:t>不少于</w:t>
            </w:r>
            <w:r>
              <w:rPr>
                <w:rFonts w:hint="eastAsia" w:ascii="宋体" w:hAnsi="宋体" w:cs="宋体"/>
                <w:szCs w:val="21"/>
              </w:rPr>
              <w:t>3日。为深化信息公开，接受社会监督，本项目将按照《招标公告和公示信息发布管理办法》（国家发改委令第10号）的要求，公示内容包括中标候选人名称、排序、投标报价、质量、工期；中标候选人资质、投标业绩名称</w:t>
            </w:r>
            <w:r>
              <w:rPr>
                <w:rFonts w:hint="eastAsia" w:ascii="宋体" w:hAnsi="宋体" w:cs="宋体"/>
                <w:szCs w:val="21"/>
                <w:lang w:eastAsia="zh-CN"/>
              </w:rPr>
              <w:t>（如有）</w:t>
            </w:r>
            <w:r>
              <w:rPr>
                <w:rFonts w:hint="eastAsia" w:ascii="宋体" w:hAnsi="宋体" w:cs="宋体"/>
                <w:szCs w:val="21"/>
              </w:rPr>
              <w:t>，中标候选人项目经理姓名及其相关证书名称和编号、投标业绩名称</w:t>
            </w:r>
            <w:r>
              <w:rPr>
                <w:rFonts w:hint="eastAsia" w:ascii="宋体" w:hAnsi="宋体" w:cs="宋体"/>
                <w:szCs w:val="21"/>
                <w:lang w:eastAsia="zh-CN"/>
              </w:rPr>
              <w:t>（如有）</w:t>
            </w:r>
            <w:r>
              <w:rPr>
                <w:rFonts w:hint="eastAsia" w:ascii="宋体" w:hAnsi="宋体" w:cs="宋体"/>
                <w:szCs w:val="21"/>
              </w:rPr>
              <w:t>；</w:t>
            </w:r>
            <w:r>
              <w:rPr>
                <w:rFonts w:hint="eastAsia" w:ascii="宋体" w:hAnsi="宋体"/>
                <w:kern w:val="0"/>
                <w:szCs w:val="21"/>
              </w:rPr>
              <w:t>□</w:t>
            </w:r>
            <w:r>
              <w:rPr>
                <w:rFonts w:hint="eastAsia" w:ascii="宋体" w:hAnsi="宋体" w:cs="宋体"/>
                <w:szCs w:val="21"/>
              </w:rPr>
              <w:t>未递交投标保证金且提交了《</w:t>
            </w:r>
            <w:r>
              <w:rPr>
                <w:rFonts w:hint="eastAsia" w:ascii="宋体" w:hAnsi="宋体" w:cs="宋体"/>
                <w:szCs w:val="21"/>
                <w:lang w:eastAsia="zh-CN"/>
              </w:rPr>
              <w:t>中小企业</w:t>
            </w:r>
            <w:r>
              <w:rPr>
                <w:rFonts w:hint="eastAsia" w:ascii="宋体" w:hAnsi="宋体" w:cs="宋体"/>
                <w:szCs w:val="21"/>
              </w:rPr>
              <w:t>声明函》的中标候选人名单</w:t>
            </w:r>
            <w:r>
              <w:rPr>
                <w:rFonts w:hint="eastAsia" w:ascii="宋体" w:hAnsi="宋体" w:cs="宋体"/>
                <w:szCs w:val="21"/>
                <w:lang w:eastAsia="zh-CN"/>
              </w:rPr>
              <w:t>；</w:t>
            </w:r>
            <w:r>
              <w:rPr>
                <w:rFonts w:hint="eastAsia" w:ascii="宋体" w:hAnsi="宋体"/>
                <w:kern w:val="0"/>
                <w:szCs w:val="21"/>
              </w:rPr>
              <w:t>□</w:t>
            </w:r>
            <w:r>
              <w:rPr>
                <w:rFonts w:hint="eastAsia" w:ascii="宋体" w:hAnsi="宋体"/>
                <w:kern w:val="0"/>
                <w:szCs w:val="21"/>
                <w:lang w:val="en-US" w:eastAsia="zh-CN"/>
              </w:rPr>
              <w:t>中标候选人</w:t>
            </w:r>
            <w:r>
              <w:rPr>
                <w:rFonts w:hint="eastAsia" w:ascii="宋体" w:hAnsi="宋体" w:cs="宋体"/>
                <w:szCs w:val="21"/>
              </w:rPr>
              <w:t>提交</w:t>
            </w:r>
            <w:r>
              <w:rPr>
                <w:rFonts w:hint="eastAsia" w:ascii="宋体" w:hAnsi="宋体" w:cs="宋体"/>
                <w:szCs w:val="21"/>
                <w:lang w:val="en-US" w:eastAsia="zh-CN"/>
              </w:rPr>
              <w:t>的</w:t>
            </w:r>
            <w:r>
              <w:rPr>
                <w:rFonts w:hint="eastAsia" w:ascii="宋体" w:hAnsi="宋体" w:cs="宋体"/>
                <w:szCs w:val="21"/>
              </w:rPr>
              <w:t>《中小企业声明函》（属于政府采购工程时适用）；否决投标情况及理由；</w:t>
            </w:r>
            <w:r>
              <w:rPr>
                <w:rFonts w:hint="eastAsia" w:ascii="宋体" w:hAnsi="宋体" w:cs="宋体"/>
                <w:szCs w:val="21"/>
                <w:highlight w:val="none"/>
              </w:rPr>
              <w:t>投标人撤销投标文件或者部分投标被否决导致有效投标人不足三个的竞争性论证结果</w:t>
            </w:r>
            <w:r>
              <w:rPr>
                <w:rFonts w:hint="eastAsia" w:ascii="宋体" w:hAnsi="宋体" w:cs="宋体"/>
                <w:szCs w:val="21"/>
                <w:highlight w:val="none"/>
                <w:lang w:eastAsia="zh-CN"/>
              </w:rPr>
              <w:t>（</w:t>
            </w:r>
            <w:r>
              <w:rPr>
                <w:rFonts w:hint="eastAsia" w:ascii="宋体" w:hAnsi="宋体" w:cs="宋体"/>
                <w:szCs w:val="21"/>
                <w:highlight w:val="none"/>
                <w:lang w:val="en-US" w:eastAsia="zh-CN"/>
              </w:rPr>
              <w:t>如有</w:t>
            </w:r>
            <w:r>
              <w:rPr>
                <w:rFonts w:hint="eastAsia" w:ascii="宋体" w:hAnsi="宋体" w:cs="宋体"/>
                <w:szCs w:val="21"/>
                <w:highlight w:val="none"/>
                <w:lang w:eastAsia="zh-CN"/>
              </w:rPr>
              <w:t>）；</w:t>
            </w:r>
            <w:r>
              <w:rPr>
                <w:rFonts w:hint="eastAsia" w:ascii="宋体" w:hAnsi="宋体" w:cs="宋体"/>
                <w:szCs w:val="21"/>
              </w:rPr>
              <w:t>提出异议、投诉的渠道和方式。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snapToGrid w:val="0"/>
              <w:spacing w:line="400" w:lineRule="exact"/>
              <w:jc w:val="center"/>
              <w:rPr>
                <w:rFonts w:hint="eastAsia" w:ascii="宋体" w:hAnsi="宋体"/>
                <w:kern w:val="0"/>
                <w:szCs w:val="21"/>
              </w:rPr>
            </w:pPr>
          </w:p>
        </w:tc>
        <w:tc>
          <w:tcPr>
            <w:tcW w:w="1644" w:type="dxa"/>
            <w:vAlign w:val="center"/>
          </w:tcPr>
          <w:p>
            <w:pPr>
              <w:snapToGrid w:val="0"/>
              <w:spacing w:after="62" w:afterLines="20" w:line="400" w:lineRule="exact"/>
              <w:jc w:val="center"/>
              <w:rPr>
                <w:rFonts w:hint="default" w:ascii="宋体" w:hAnsi="宋体" w:eastAsia="宋体"/>
                <w:kern w:val="0"/>
                <w:szCs w:val="21"/>
                <w:lang w:val="en-US" w:eastAsia="zh-CN"/>
              </w:rPr>
            </w:pPr>
            <w:r>
              <w:rPr>
                <w:rFonts w:hint="eastAsia" w:ascii="宋体" w:hAnsi="宋体"/>
                <w:kern w:val="0"/>
                <w:szCs w:val="21"/>
                <w:lang w:val="en-US" w:eastAsia="zh-CN"/>
              </w:rPr>
              <w:t>中标结果公告</w:t>
            </w:r>
          </w:p>
        </w:tc>
        <w:tc>
          <w:tcPr>
            <w:tcW w:w="6490" w:type="dxa"/>
            <w:vAlign w:val="center"/>
          </w:tcPr>
          <w:p>
            <w:pPr>
              <w:snapToGrid w:val="0"/>
              <w:spacing w:line="400" w:lineRule="exact"/>
              <w:ind w:firstLine="420" w:firstLineChars="200"/>
              <w:rPr>
                <w:rFonts w:hint="eastAsia" w:ascii="宋体" w:hAnsi="宋体" w:eastAsia="宋体" w:cs="宋体"/>
                <w:szCs w:val="21"/>
                <w:lang w:eastAsia="zh-CN"/>
              </w:rPr>
            </w:pPr>
            <w:r>
              <w:rPr>
                <w:rFonts w:hint="eastAsia" w:ascii="宋体" w:hAnsi="宋体" w:cs="宋体"/>
                <w:szCs w:val="21"/>
              </w:rPr>
              <w:t>招标人自中标通知书发出之日起三日内，在招标公告发布媒介上公告招标人及法定代表人名称，招标代理机构及法定代表人名称，中标人及法定代表人名称、中标价格等中标结果，评标委员会组建方式、成员名单、评标意见等信息</w:t>
            </w:r>
            <w:r>
              <w:rPr>
                <w:rFonts w:hint="eastAsia" w:ascii="宋体" w:hAnsi="宋体" w:cs="宋体"/>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7.3.1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履约担保</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1、中标人是否提供履约担保：</w:t>
            </w:r>
            <w:r>
              <w:rPr>
                <w:rFonts w:hint="eastAsia" w:ascii="宋体" w:hAnsi="宋体"/>
                <w:kern w:val="0"/>
                <w:szCs w:val="21"/>
                <w:u w:val="single"/>
              </w:rPr>
              <w:t>提供</w:t>
            </w:r>
            <w:r>
              <w:rPr>
                <w:rFonts w:hint="eastAsia" w:ascii="宋体" w:hAnsi="宋体"/>
                <w:kern w:val="0"/>
                <w:szCs w:val="21"/>
              </w:rPr>
              <w:t>。</w:t>
            </w:r>
            <w:r>
              <w:rPr>
                <w:rFonts w:hint="eastAsia" w:ascii="宋体" w:hAnsi="宋体"/>
                <w:i/>
                <w:kern w:val="0"/>
                <w:szCs w:val="21"/>
              </w:rPr>
              <w:t>[提示：招标人要求中标人提供履约担保的，应向中标人提供相应的支付担保。]</w:t>
            </w:r>
          </w:p>
          <w:p>
            <w:pPr>
              <w:snapToGrid w:val="0"/>
              <w:spacing w:line="400" w:lineRule="exact"/>
              <w:ind w:firstLine="420" w:firstLineChars="200"/>
              <w:rPr>
                <w:rFonts w:ascii="宋体" w:hAnsi="宋体"/>
                <w:kern w:val="0"/>
                <w:szCs w:val="21"/>
              </w:rPr>
            </w:pPr>
            <w:r>
              <w:rPr>
                <w:rFonts w:hint="eastAsia"/>
              </w:rPr>
              <w:t>□联合体投标的</w:t>
            </w:r>
            <w:r>
              <w:rPr>
                <w:rFonts w:hint="eastAsia" w:ascii="宋体" w:hAnsi="宋体"/>
                <w:kern w:val="0"/>
                <w:szCs w:val="21"/>
              </w:rPr>
              <w:t>，由联合体牵头人或按照</w:t>
            </w:r>
            <w:r>
              <w:rPr>
                <w:rFonts w:hint="eastAsia" w:ascii="宋体" w:hAnsi="宋体"/>
                <w:lang w:val="en-US" w:eastAsia="zh-CN"/>
              </w:rPr>
              <w:t>共同投标协议</w:t>
            </w:r>
            <w:r>
              <w:rPr>
                <w:rFonts w:hint="eastAsia" w:ascii="宋体" w:hAnsi="宋体"/>
                <w:kern w:val="0"/>
                <w:szCs w:val="21"/>
              </w:rPr>
              <w:t>的约定提交履约担保。</w:t>
            </w:r>
          </w:p>
          <w:p>
            <w:pPr>
              <w:snapToGrid w:val="0"/>
              <w:spacing w:line="400" w:lineRule="exact"/>
              <w:ind w:firstLine="420" w:firstLineChars="200"/>
              <w:rPr>
                <w:rFonts w:ascii="宋体" w:hAnsi="宋体"/>
                <w:kern w:val="0"/>
                <w:szCs w:val="21"/>
              </w:rPr>
            </w:pPr>
            <w:r>
              <w:rPr>
                <w:rFonts w:hint="eastAsia" w:ascii="宋体" w:hAnsi="宋体"/>
                <w:kern w:val="0"/>
                <w:szCs w:val="21"/>
              </w:rPr>
              <w:t>2、中标人提供履约担保的形式、金额及期限：</w:t>
            </w:r>
          </w:p>
          <w:p>
            <w:pPr>
              <w:snapToGrid w:val="0"/>
              <w:spacing w:line="400" w:lineRule="exact"/>
              <w:ind w:firstLine="420" w:firstLineChars="200"/>
              <w:rPr>
                <w:rFonts w:hint="eastAsia" w:ascii="宋体" w:hAnsi="宋体"/>
                <w:kern w:val="0"/>
                <w:szCs w:val="21"/>
                <w:lang w:val="en-US" w:eastAsia="zh-CN"/>
              </w:rPr>
            </w:pPr>
            <w:r>
              <w:rPr>
                <w:rFonts w:hint="eastAsia" w:ascii="宋体" w:hAnsi="宋体"/>
                <w:kern w:val="0"/>
                <w:szCs w:val="21"/>
              </w:rPr>
              <w:t>（1）履约担保的形式：现金或</w:t>
            </w:r>
            <w:r>
              <w:rPr>
                <w:rFonts w:hint="eastAsia" w:ascii="宋体" w:hAnsi="宋体"/>
                <w:kern w:val="0"/>
                <w:szCs w:val="21"/>
                <w:lang w:val="en-US" w:eastAsia="zh-CN"/>
              </w:rPr>
              <w:t>履约</w:t>
            </w:r>
            <w:r>
              <w:rPr>
                <w:rFonts w:hint="eastAsia" w:ascii="宋体" w:hAnsi="宋体"/>
                <w:kern w:val="0"/>
                <w:szCs w:val="21"/>
              </w:rPr>
              <w:t>保函或现金+</w:t>
            </w:r>
            <w:r>
              <w:rPr>
                <w:rFonts w:hint="eastAsia" w:ascii="宋体" w:hAnsi="宋体"/>
                <w:kern w:val="0"/>
                <w:szCs w:val="21"/>
                <w:lang w:val="en-US" w:eastAsia="zh-CN"/>
              </w:rPr>
              <w:t>履约</w:t>
            </w:r>
            <w:r>
              <w:rPr>
                <w:rFonts w:hint="eastAsia" w:ascii="宋体" w:hAnsi="宋体"/>
                <w:kern w:val="0"/>
                <w:szCs w:val="21"/>
              </w:rPr>
              <w:t>保函的组合</w:t>
            </w:r>
            <w:r>
              <w:rPr>
                <w:rFonts w:hint="eastAsia" w:ascii="宋体" w:hAnsi="宋体"/>
                <w:kern w:val="0"/>
                <w:szCs w:val="21"/>
                <w:lang w:eastAsia="zh-CN"/>
              </w:rPr>
              <w:t>，履约</w:t>
            </w:r>
            <w:r>
              <w:rPr>
                <w:rFonts w:hint="eastAsia" w:ascii="宋体" w:hAnsi="宋体"/>
                <w:kern w:val="0"/>
                <w:szCs w:val="21"/>
              </w:rPr>
              <w:t>保函包括银行保函、保证保险和担保保函</w:t>
            </w:r>
            <w:r>
              <w:rPr>
                <w:rFonts w:hint="eastAsia" w:ascii="宋体" w:hAnsi="宋体"/>
                <w:kern w:val="0"/>
                <w:szCs w:val="21"/>
                <w:lang w:eastAsia="zh-CN"/>
              </w:rPr>
              <w:t>，</w:t>
            </w:r>
            <w:r>
              <w:rPr>
                <w:rFonts w:hint="eastAsia" w:ascii="宋体" w:hAnsi="宋体"/>
                <w:kern w:val="0"/>
                <w:szCs w:val="21"/>
                <w:lang w:val="en-US" w:eastAsia="zh-CN"/>
              </w:rPr>
              <w:t>其示范文本详见第四章合同条款及格式附件</w:t>
            </w:r>
            <w:r>
              <w:rPr>
                <w:rFonts w:hint="eastAsia" w:ascii="宋体" w:hAnsi="宋体"/>
                <w:kern w:val="0"/>
                <w:szCs w:val="21"/>
                <w:lang w:eastAsia="zh-CN"/>
              </w:rPr>
              <w:t>。</w:t>
            </w:r>
            <w:r>
              <w:rPr>
                <w:rFonts w:hint="eastAsia" w:ascii="宋体" w:hAnsi="宋体"/>
                <w:kern w:val="0"/>
                <w:szCs w:val="21"/>
                <w:lang w:val="en-US" w:eastAsia="zh-CN"/>
              </w:rPr>
              <w:t>中标人提交的履约保函应</w:t>
            </w:r>
            <w:r>
              <w:rPr>
                <w:rFonts w:hint="eastAsia" w:ascii="宋体" w:hAnsi="宋体"/>
                <w:kern w:val="0"/>
                <w:szCs w:val="21"/>
              </w:rPr>
              <w:t>严格执行</w:t>
            </w:r>
            <w:r>
              <w:rPr>
                <w:rFonts w:hint="eastAsia" w:ascii="宋体" w:hAnsi="宋体"/>
                <w:kern w:val="0"/>
                <w:szCs w:val="21"/>
                <w:lang w:val="en-US" w:eastAsia="zh-CN"/>
              </w:rPr>
              <w:t>其</w:t>
            </w:r>
            <w:r>
              <w:rPr>
                <w:rFonts w:hint="eastAsia" w:ascii="宋体" w:hAnsi="宋体"/>
                <w:kern w:val="0"/>
                <w:szCs w:val="21"/>
              </w:rPr>
              <w:t>示范文本，不得对示范文本中的实质性内容进行修改</w:t>
            </w:r>
            <w:r>
              <w:rPr>
                <w:rFonts w:hint="eastAsia" w:ascii="宋体" w:hAnsi="宋体"/>
                <w:szCs w:val="21"/>
                <w:lang w:val="en-US" w:eastAsia="zh-CN"/>
              </w:rPr>
              <w:t>。</w:t>
            </w:r>
          </w:p>
          <w:p>
            <w:pPr>
              <w:snapToGrid w:val="0"/>
              <w:spacing w:line="400" w:lineRule="exact"/>
              <w:ind w:firstLine="420" w:firstLineChars="200"/>
              <w:rPr>
                <w:rFonts w:hint="default" w:ascii="宋体" w:hAnsi="宋体" w:eastAsia="宋体"/>
                <w:kern w:val="0"/>
                <w:szCs w:val="21"/>
                <w:lang w:val="en-US" w:eastAsia="zh-CN"/>
              </w:rPr>
            </w:pPr>
            <w:r>
              <w:rPr>
                <w:rFonts w:hint="eastAsia" w:ascii="宋体" w:hAnsi="宋体"/>
                <w:kern w:val="0"/>
                <w:szCs w:val="21"/>
                <w:lang w:val="en-US" w:eastAsia="zh-CN"/>
              </w:rPr>
              <w:t>（2）具体要求：履约保函</w:t>
            </w:r>
            <w:r>
              <w:rPr>
                <w:rFonts w:hint="eastAsia" w:ascii="宋体" w:hAnsi="宋体"/>
                <w:kern w:val="0"/>
                <w:szCs w:val="21"/>
              </w:rPr>
              <w:t>的开立人应当是具有相应资格的银行、保险机构、融资担保公司，其信用资质、履约能力、担保能力、赔付流程、安全保密等应符合</w:t>
            </w:r>
            <w:r>
              <w:rPr>
                <w:rFonts w:hint="eastAsia" w:ascii="宋体" w:hAnsi="宋体"/>
                <w:kern w:val="0"/>
                <w:szCs w:val="21"/>
                <w:lang w:eastAsia="zh-CN"/>
              </w:rPr>
              <w:t>履约</w:t>
            </w:r>
            <w:r>
              <w:rPr>
                <w:rFonts w:hint="eastAsia" w:ascii="宋体" w:hAnsi="宋体"/>
                <w:kern w:val="0"/>
                <w:szCs w:val="21"/>
              </w:rPr>
              <w:t>保函业务条件</w:t>
            </w:r>
            <w:r>
              <w:rPr>
                <w:rFonts w:hint="eastAsia" w:ascii="宋体" w:hAnsi="宋体"/>
                <w:kern w:val="0"/>
                <w:szCs w:val="21"/>
                <w:lang w:eastAsia="zh-CN"/>
              </w:rPr>
              <w:t>。</w:t>
            </w:r>
            <w:r>
              <w:rPr>
                <w:rFonts w:hint="eastAsia" w:ascii="宋体" w:hAnsi="宋体"/>
                <w:kern w:val="0"/>
                <w:szCs w:val="21"/>
                <w:lang w:val="en-US" w:eastAsia="zh-CN"/>
              </w:rPr>
              <w:t>履约保函</w:t>
            </w:r>
            <w:r>
              <w:rPr>
                <w:rFonts w:hint="eastAsia" w:ascii="宋体" w:hAnsi="宋体"/>
                <w:kern w:val="0"/>
                <w:szCs w:val="21"/>
                <w:lang w:eastAsia="zh-CN"/>
              </w:rPr>
              <w:t>应合法合规，符合招投标行政监督部门、行业主管部门和金融监管部门的相关规定，满足招标文件约定要求。</w:t>
            </w:r>
            <w:r>
              <w:rPr>
                <w:rFonts w:hint="eastAsia" w:ascii="宋体" w:hAnsi="宋体"/>
                <w:kern w:val="0"/>
                <w:szCs w:val="21"/>
                <w:lang w:val="en-US" w:eastAsia="zh-CN"/>
              </w:rPr>
              <w:t>中标人</w:t>
            </w:r>
            <w:r>
              <w:rPr>
                <w:rFonts w:hint="eastAsia" w:ascii="宋体" w:hAnsi="宋体"/>
                <w:kern w:val="0"/>
                <w:szCs w:val="21"/>
              </w:rPr>
              <w:t>应选择在渝依法设立总部或者设有分支机构的金融机构开具</w:t>
            </w:r>
            <w:r>
              <w:rPr>
                <w:rFonts w:hint="eastAsia" w:ascii="宋体" w:hAnsi="宋体"/>
                <w:kern w:val="0"/>
                <w:szCs w:val="21"/>
                <w:lang w:val="en-US" w:eastAsia="zh-CN"/>
              </w:rPr>
              <w:t>履约保函（包括纸质保函或电子保函）</w:t>
            </w:r>
            <w:r>
              <w:rPr>
                <w:rFonts w:hint="eastAsia" w:ascii="宋体" w:hAnsi="宋体"/>
                <w:kern w:val="0"/>
                <w:szCs w:val="21"/>
                <w:lang w:eastAsia="zh-CN"/>
              </w:rPr>
              <w:t>。</w:t>
            </w:r>
            <w:r>
              <w:rPr>
                <w:rFonts w:hint="eastAsia" w:ascii="宋体" w:hAnsi="宋体"/>
                <w:kern w:val="0"/>
                <w:szCs w:val="21"/>
                <w:lang w:val="en-US" w:eastAsia="zh-CN"/>
              </w:rPr>
              <w:t>履约保函为纸质保函的，纸质保函应注明在</w:t>
            </w:r>
            <w:r>
              <w:rPr>
                <w:rFonts w:hint="eastAsia" w:ascii="宋体" w:hAnsi="宋体"/>
                <w:kern w:val="0"/>
                <w:szCs w:val="21"/>
              </w:rPr>
              <w:t>重庆市辖区范围内的核验地址和核验方式</w:t>
            </w:r>
            <w:r>
              <w:rPr>
                <w:rFonts w:hint="eastAsia" w:ascii="宋体" w:hAnsi="宋体"/>
                <w:kern w:val="0"/>
                <w:szCs w:val="21"/>
                <w:lang w:eastAsia="zh-CN"/>
              </w:rPr>
              <w:t>，</w:t>
            </w:r>
            <w:r>
              <w:rPr>
                <w:rFonts w:hint="eastAsia" w:ascii="宋体" w:hAnsi="宋体"/>
                <w:kern w:val="0"/>
                <w:szCs w:val="21"/>
                <w:lang w:val="en-US" w:eastAsia="zh-CN"/>
              </w:rPr>
              <w:t>并确保该纸质保函能在开立人在渝的总部或者分支机构进行核验</w:t>
            </w:r>
            <w:r>
              <w:rPr>
                <w:rFonts w:hint="eastAsia" w:ascii="宋体" w:hAnsi="宋体"/>
                <w:kern w:val="0"/>
                <w:szCs w:val="21"/>
                <w:lang w:eastAsia="zh-CN"/>
              </w:rPr>
              <w:t>。</w:t>
            </w:r>
            <w:r>
              <w:rPr>
                <w:rFonts w:hint="eastAsia" w:ascii="宋体" w:hAnsi="宋体"/>
                <w:kern w:val="0"/>
                <w:szCs w:val="21"/>
                <w:lang w:val="en-US" w:eastAsia="zh-CN"/>
              </w:rPr>
              <w:t>中标人对所提交的履约保函的真实性、合法性、有效性负责。</w:t>
            </w:r>
          </w:p>
          <w:p>
            <w:pPr>
              <w:snapToGrid w:val="0"/>
              <w:spacing w:line="400" w:lineRule="exact"/>
              <w:ind w:firstLine="420" w:firstLineChars="200"/>
              <w:rPr>
                <w:rFonts w:hint="eastAsia" w:ascii="宋体" w:hAnsi="宋体"/>
                <w:kern w:val="0"/>
                <w:szCs w:val="21"/>
              </w:rPr>
            </w:pPr>
            <w:r>
              <w:rPr>
                <w:rFonts w:hint="eastAsia" w:ascii="宋体" w:hAnsi="宋体"/>
                <w:kern w:val="0"/>
                <w:szCs w:val="21"/>
              </w:rPr>
              <w:t>（</w:t>
            </w:r>
            <w:r>
              <w:rPr>
                <w:rFonts w:hint="eastAsia" w:ascii="宋体" w:hAnsi="宋体"/>
                <w:kern w:val="0"/>
                <w:szCs w:val="21"/>
                <w:lang w:val="en-US" w:eastAsia="zh-CN"/>
              </w:rPr>
              <w:t>3</w:t>
            </w:r>
            <w:r>
              <w:rPr>
                <w:rFonts w:hint="eastAsia" w:ascii="宋体" w:hAnsi="宋体"/>
                <w:kern w:val="0"/>
                <w:szCs w:val="21"/>
              </w:rPr>
              <w:t>）履约担保的金额：</w:t>
            </w:r>
            <w:r>
              <w:rPr>
                <w:rFonts w:hint="eastAsia" w:ascii="宋体" w:hAnsi="宋体"/>
                <w:kern w:val="0"/>
                <w:szCs w:val="21"/>
                <w:u w:val="single"/>
              </w:rPr>
              <w:t xml:space="preserve">                  </w:t>
            </w:r>
            <w:r>
              <w:rPr>
                <w:rFonts w:hint="eastAsia" w:ascii="宋体" w:hAnsi="宋体"/>
                <w:kern w:val="0"/>
                <w:szCs w:val="21"/>
              </w:rPr>
              <w:t>。</w:t>
            </w:r>
            <w:r>
              <w:rPr>
                <w:rFonts w:hint="eastAsia" w:ascii="宋体" w:hAnsi="宋体"/>
                <w:i/>
                <w:iCs/>
                <w:kern w:val="0"/>
                <w:szCs w:val="21"/>
              </w:rPr>
              <w:t>[提示：不超过中标合同金额的10%。]</w:t>
            </w:r>
          </w:p>
          <w:p>
            <w:pPr>
              <w:snapToGrid w:val="0"/>
              <w:spacing w:line="400" w:lineRule="exact"/>
              <w:ind w:firstLine="420" w:firstLineChars="200"/>
              <w:rPr>
                <w:rFonts w:hint="eastAsia" w:ascii="宋体" w:hAnsi="宋体"/>
                <w:kern w:val="0"/>
                <w:szCs w:val="21"/>
              </w:rPr>
            </w:pPr>
            <w:r>
              <w:rPr>
                <w:rFonts w:hint="eastAsia" w:ascii="宋体" w:hAnsi="宋体"/>
                <w:kern w:val="0"/>
                <w:szCs w:val="21"/>
              </w:rPr>
              <w:t>①红名单优惠：红名单中的中标人履约担保金额为应缴纳金额的</w:t>
            </w:r>
          </w:p>
          <w:p>
            <w:pPr>
              <w:snapToGrid w:val="0"/>
              <w:spacing w:line="400" w:lineRule="exact"/>
              <w:ind w:firstLine="0" w:firstLineChars="0"/>
              <w:rPr>
                <w:rFonts w:hint="eastAsia" w:ascii="宋体" w:hAnsi="宋体"/>
                <w:kern w:val="0"/>
                <w:szCs w:val="21"/>
                <w:lang w:eastAsia="zh-CN"/>
              </w:rPr>
            </w:pPr>
            <w:r>
              <w:rPr>
                <w:rFonts w:hint="eastAsia"/>
                <w:u w:val="single"/>
              </w:rPr>
              <w:t xml:space="preserve">      </w:t>
            </w:r>
            <w:r>
              <w:rPr>
                <w:rFonts w:hint="eastAsia"/>
              </w:rPr>
              <w:t>（50%～80%）</w:t>
            </w:r>
            <w:r>
              <w:rPr>
                <w:rFonts w:hint="eastAsia" w:ascii="宋体" w:hAnsi="宋体"/>
                <w:kern w:val="0"/>
                <w:szCs w:val="21"/>
                <w:lang w:eastAsia="zh-CN"/>
              </w:rPr>
              <w:t>。</w:t>
            </w:r>
          </w:p>
          <w:p>
            <w:pPr>
              <w:snapToGrid w:val="0"/>
              <w:spacing w:line="400" w:lineRule="exact"/>
              <w:ind w:firstLine="420" w:firstLineChars="200"/>
              <w:rPr>
                <w:rFonts w:hint="eastAsia" w:ascii="宋体" w:hAnsi="宋体"/>
                <w:kern w:val="0"/>
                <w:szCs w:val="21"/>
              </w:rPr>
            </w:pPr>
            <w:r>
              <w:rPr>
                <w:rFonts w:hint="eastAsia" w:ascii="宋体" w:hAnsi="宋体"/>
                <w:kern w:val="0"/>
                <w:szCs w:val="21"/>
              </w:rPr>
              <w:t>②红名单认定标准：</w:t>
            </w:r>
          </w:p>
          <w:p>
            <w:pPr>
              <w:snapToGrid w:val="0"/>
              <w:spacing w:line="400" w:lineRule="exact"/>
              <w:ind w:firstLine="420" w:firstLineChars="200"/>
              <w:rPr>
                <w:rFonts w:ascii="宋体" w:hAnsi="宋体"/>
                <w:kern w:val="0"/>
                <w:szCs w:val="21"/>
              </w:rPr>
            </w:pPr>
            <w:r>
              <w:rPr>
                <w:rFonts w:hint="eastAsia" w:ascii="宋体" w:hAnsi="宋体"/>
                <w:kern w:val="0"/>
                <w:szCs w:val="21"/>
              </w:rPr>
              <w:t>□方式一：非联合体中标的，须中标人所属红名单类别包含在招标范围内；联合体中标的，须联合体牵头人在红名单中，并且按照</w:t>
            </w:r>
            <w:r>
              <w:rPr>
                <w:rFonts w:hint="eastAsia" w:ascii="宋体" w:hAnsi="宋体"/>
                <w:lang w:val="en-US" w:eastAsia="zh-CN"/>
              </w:rPr>
              <w:t>共同投标协议</w:t>
            </w:r>
            <w:r>
              <w:rPr>
                <w:rFonts w:hint="eastAsia" w:ascii="宋体" w:hAnsi="宋体"/>
                <w:kern w:val="0"/>
                <w:szCs w:val="21"/>
              </w:rPr>
              <w:t>牵头人所属红名单类别包含在其工作范围内。中标人是否属于红名单，以</w:t>
            </w:r>
            <w:r>
              <w:rPr>
                <w:rFonts w:hint="eastAsia" w:ascii="宋体" w:hAnsi="宋体"/>
                <w:kern w:val="0"/>
                <w:szCs w:val="21"/>
                <w:u w:val="single"/>
              </w:rPr>
              <w:t xml:space="preserve">    </w:t>
            </w:r>
            <w:r>
              <w:rPr>
                <w:rFonts w:hint="eastAsia" w:ascii="宋体" w:hAnsi="宋体"/>
                <w:kern w:val="0"/>
                <w:szCs w:val="21"/>
              </w:rPr>
              <w:t>为准。</w:t>
            </w:r>
            <w:r>
              <w:rPr>
                <w:rFonts w:hint="eastAsia" w:ascii="宋体" w:hAnsi="宋体"/>
                <w:i/>
                <w:iCs/>
                <w:kern w:val="0"/>
                <w:szCs w:val="21"/>
              </w:rPr>
              <w:t>[提示：以开标环节信用状况查询结果为准或者以中标通知书落款时间当日信用状况查询结果为准或者由招标人自行明确其他方式。]</w:t>
            </w:r>
          </w:p>
          <w:p>
            <w:pPr>
              <w:snapToGrid w:val="0"/>
              <w:spacing w:line="400" w:lineRule="exact"/>
              <w:ind w:firstLine="420" w:firstLineChars="200"/>
              <w:rPr>
                <w:rFonts w:ascii="宋体" w:hAnsi="宋体"/>
                <w:i/>
                <w:kern w:val="0"/>
                <w:szCs w:val="21"/>
              </w:rPr>
            </w:pPr>
            <w:r>
              <w:rPr>
                <w:rFonts w:hint="eastAsia" w:ascii="宋体" w:hAnsi="宋体"/>
                <w:i w:val="0"/>
                <w:iCs w:val="0"/>
                <w:kern w:val="0"/>
                <w:szCs w:val="21"/>
              </w:rPr>
              <w:t>□方式二：</w:t>
            </w:r>
            <w:r>
              <w:rPr>
                <w:rFonts w:hint="eastAsia" w:ascii="宋体" w:hAnsi="宋体"/>
                <w:i w:val="0"/>
                <w:iCs w:val="0"/>
                <w:kern w:val="0"/>
                <w:szCs w:val="21"/>
                <w:u w:val="single"/>
              </w:rPr>
              <w:t xml:space="preserve">     </w:t>
            </w:r>
            <w:r>
              <w:rPr>
                <w:rFonts w:hint="eastAsia" w:ascii="宋体" w:hAnsi="宋体"/>
                <w:i/>
                <w:iCs/>
                <w:kern w:val="0"/>
                <w:szCs w:val="21"/>
              </w:rPr>
              <w:t>[提示：由招标人自行明确认定标准]</w:t>
            </w:r>
            <w:r>
              <w:rPr>
                <w:rFonts w:hint="eastAsia" w:ascii="宋体" w:hAnsi="宋体"/>
                <w:i w:val="0"/>
                <w:iCs w:val="0"/>
                <w:kern w:val="0"/>
                <w:szCs w:val="21"/>
              </w:rPr>
              <w:t>。中标人是否属于红名单，以</w:t>
            </w:r>
            <w:r>
              <w:rPr>
                <w:rFonts w:hint="eastAsia" w:ascii="宋体" w:hAnsi="宋体"/>
                <w:i w:val="0"/>
                <w:iCs w:val="0"/>
                <w:kern w:val="0"/>
                <w:szCs w:val="21"/>
                <w:u w:val="single"/>
              </w:rPr>
              <w:t xml:space="preserve">    </w:t>
            </w:r>
            <w:r>
              <w:rPr>
                <w:rFonts w:hint="eastAsia" w:ascii="宋体" w:hAnsi="宋体"/>
                <w:i w:val="0"/>
                <w:iCs w:val="0"/>
                <w:kern w:val="0"/>
                <w:szCs w:val="21"/>
              </w:rPr>
              <w:t>为准。</w:t>
            </w:r>
            <w:r>
              <w:rPr>
                <w:rFonts w:hint="eastAsia" w:ascii="宋体" w:hAnsi="宋体"/>
                <w:i/>
                <w:iCs/>
                <w:kern w:val="0"/>
                <w:szCs w:val="21"/>
              </w:rPr>
              <w:t>[提示：以开标环节信用状况查询结果为准或者以中标通知书落款时间当日信用状况查询结果为准或者由招标人自行明确其他方式。]</w:t>
            </w:r>
          </w:p>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hint="eastAsia" w:ascii="宋体" w:hAnsi="宋体"/>
                <w:kern w:val="0"/>
                <w:szCs w:val="21"/>
                <w:lang w:val="en-US" w:eastAsia="zh-CN"/>
              </w:rPr>
              <w:t>4</w:t>
            </w:r>
            <w:r>
              <w:rPr>
                <w:rFonts w:hint="eastAsia" w:ascii="宋体" w:hAnsi="宋体"/>
                <w:kern w:val="0"/>
                <w:szCs w:val="21"/>
              </w:rPr>
              <w:t>）履约担保的提交时间：见专用合同条款。</w:t>
            </w:r>
          </w:p>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hint="eastAsia" w:ascii="宋体" w:hAnsi="宋体"/>
                <w:kern w:val="0"/>
                <w:szCs w:val="21"/>
                <w:lang w:val="en-US" w:eastAsia="zh-CN"/>
              </w:rPr>
              <w:t>5</w:t>
            </w:r>
            <w:r>
              <w:rPr>
                <w:rFonts w:hint="eastAsia" w:ascii="宋体" w:hAnsi="宋体"/>
                <w:kern w:val="0"/>
                <w:szCs w:val="21"/>
              </w:rPr>
              <w:t>）履约担保的期限：见专用合同条款。</w:t>
            </w:r>
          </w:p>
          <w:p>
            <w:pPr>
              <w:snapToGrid w:val="0"/>
              <w:spacing w:after="62" w:afterLines="20" w:line="400" w:lineRule="exact"/>
              <w:ind w:firstLine="420" w:firstLineChars="200"/>
              <w:rPr>
                <w:rFonts w:ascii="宋体" w:hAnsi="宋体"/>
                <w:kern w:val="0"/>
                <w:szCs w:val="21"/>
              </w:rPr>
            </w:pPr>
            <w:r>
              <w:rPr>
                <w:rFonts w:hint="eastAsia" w:ascii="宋体" w:hAnsi="宋体"/>
                <w:kern w:val="0"/>
                <w:szCs w:val="21"/>
              </w:rPr>
              <w:t>（</w:t>
            </w:r>
            <w:r>
              <w:rPr>
                <w:rFonts w:hint="eastAsia" w:ascii="宋体" w:hAnsi="宋体"/>
                <w:kern w:val="0"/>
                <w:szCs w:val="21"/>
                <w:lang w:val="en-US" w:eastAsia="zh-CN"/>
              </w:rPr>
              <w:t>6</w:t>
            </w:r>
            <w:r>
              <w:rPr>
                <w:rFonts w:hint="eastAsia" w:ascii="宋体" w:hAnsi="宋体"/>
                <w:kern w:val="0"/>
                <w:szCs w:val="21"/>
              </w:rPr>
              <w:t>）履约担保的退还时间：见专用合同条款。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7.4.1</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签订合同</w:t>
            </w:r>
          </w:p>
        </w:tc>
        <w:tc>
          <w:tcPr>
            <w:tcW w:w="6490" w:type="dxa"/>
            <w:vAlign w:val="center"/>
          </w:tcPr>
          <w:p>
            <w:pPr>
              <w:snapToGrid w:val="0"/>
              <w:spacing w:after="62" w:afterLines="20" w:line="400" w:lineRule="exact"/>
              <w:ind w:firstLine="420" w:firstLineChars="200"/>
              <w:rPr>
                <w:rFonts w:ascii="宋体" w:hAnsi="宋体"/>
                <w:kern w:val="0"/>
                <w:szCs w:val="21"/>
              </w:rPr>
            </w:pPr>
            <w:r>
              <w:rPr>
                <w:rFonts w:hint="eastAsia" w:ascii="宋体" w:hAnsi="宋体"/>
                <w:kern w:val="0"/>
                <w:szCs w:val="21"/>
              </w:rPr>
              <w:t>依法必须进行招标的项目，中标候选人有《</w:t>
            </w:r>
            <w:r>
              <w:rPr>
                <w:rFonts w:hint="eastAsia" w:asciiTheme="minorEastAsia" w:hAnsiTheme="minorEastAsia" w:eastAsiaTheme="minorEastAsia" w:cstheme="minorEastAsia"/>
                <w:color w:val="auto"/>
                <w:kern w:val="0"/>
                <w:szCs w:val="21"/>
                <w:highlight w:val="none"/>
              </w:rPr>
              <w:t>中华人民共和国</w:t>
            </w:r>
            <w:r>
              <w:rPr>
                <w:rFonts w:hint="eastAsia" w:ascii="宋体" w:hAnsi="宋体"/>
                <w:kern w:val="0"/>
                <w:szCs w:val="21"/>
              </w:rPr>
              <w:t>招标投标法实施条例》第七十四条规定行为的，视为特别严重信用不良行为且情节特别严重，按信用记分上限一次性记12分，纳入黑名单管理；中标人有《</w:t>
            </w:r>
            <w:r>
              <w:rPr>
                <w:rFonts w:hint="eastAsia" w:asciiTheme="minorEastAsia" w:hAnsiTheme="minorEastAsia" w:eastAsiaTheme="minorEastAsia" w:cstheme="minorEastAsia"/>
                <w:color w:val="auto"/>
                <w:kern w:val="0"/>
                <w:szCs w:val="21"/>
                <w:highlight w:val="none"/>
              </w:rPr>
              <w:t>中华人民共和国</w:t>
            </w:r>
            <w:r>
              <w:rPr>
                <w:rFonts w:hint="eastAsia" w:ascii="宋体" w:hAnsi="宋体"/>
                <w:kern w:val="0"/>
                <w:szCs w:val="21"/>
              </w:rPr>
              <w:t>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8.1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重新招标</w:t>
            </w:r>
            <w:r>
              <w:rPr>
                <w:rFonts w:hint="eastAsia" w:ascii="宋体" w:hAnsi="宋体"/>
                <w:kern w:val="0"/>
                <w:szCs w:val="21"/>
              </w:rPr>
              <w:t>的情形</w:t>
            </w:r>
          </w:p>
        </w:tc>
        <w:tc>
          <w:tcPr>
            <w:tcW w:w="6490"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1.按投标人须知第8.1（1）执行；</w:t>
            </w:r>
          </w:p>
          <w:p>
            <w:pPr>
              <w:snapToGrid w:val="0"/>
              <w:spacing w:line="400" w:lineRule="exact"/>
              <w:ind w:firstLine="420" w:firstLineChars="200"/>
              <w:rPr>
                <w:rFonts w:ascii="宋体" w:hAnsi="宋体"/>
                <w:kern w:val="0"/>
                <w:szCs w:val="21"/>
              </w:rPr>
            </w:pPr>
            <w:r>
              <w:rPr>
                <w:rFonts w:ascii="宋体" w:hAnsi="宋体"/>
                <w:kern w:val="0"/>
                <w:szCs w:val="21"/>
              </w:rPr>
              <w:t>2.按投标人须知第8.1（2）执行；</w:t>
            </w:r>
          </w:p>
          <w:p>
            <w:pPr>
              <w:snapToGrid w:val="0"/>
              <w:spacing w:line="400" w:lineRule="exact"/>
              <w:ind w:firstLine="420" w:firstLineChars="200"/>
              <w:rPr>
                <w:rFonts w:ascii="宋体" w:hAnsi="宋体"/>
                <w:kern w:val="0"/>
                <w:szCs w:val="21"/>
              </w:rPr>
            </w:pPr>
            <w:r>
              <w:rPr>
                <w:rFonts w:ascii="宋体" w:hAnsi="宋体"/>
                <w:snapToGrid w:val="0"/>
                <w:kern w:val="0"/>
                <w:szCs w:val="21"/>
              </w:rPr>
              <w:t>3.</w:t>
            </w:r>
            <w:r>
              <w:rPr>
                <w:rFonts w:ascii="宋体" w:hAnsi="宋体"/>
                <w:kern w:val="0"/>
                <w:szCs w:val="21"/>
              </w:rPr>
              <w:t>按投标人须知第8.1（3）执行；</w:t>
            </w:r>
          </w:p>
          <w:p>
            <w:pPr>
              <w:snapToGrid w:val="0"/>
              <w:spacing w:line="400" w:lineRule="exact"/>
              <w:ind w:firstLine="420" w:firstLineChars="200"/>
              <w:rPr>
                <w:rFonts w:ascii="宋体" w:hAnsi="宋体"/>
                <w:kern w:val="0"/>
                <w:szCs w:val="21"/>
              </w:rPr>
            </w:pPr>
            <w:r>
              <w:rPr>
                <w:rFonts w:ascii="宋体" w:hAnsi="宋体"/>
                <w:snapToGrid w:val="0"/>
                <w:kern w:val="0"/>
                <w:szCs w:val="21"/>
              </w:rPr>
              <w:t>4.</w:t>
            </w:r>
            <w:r>
              <w:rPr>
                <w:rFonts w:ascii="宋体" w:hAnsi="宋体"/>
                <w:kern w:val="0"/>
                <w:szCs w:val="21"/>
              </w:rPr>
              <w:t>按投标人须知第8.1（4）执行</w:t>
            </w:r>
            <w:r>
              <w:rPr>
                <w:rFonts w:hint="eastAsia" w:ascii="宋体" w:hAnsi="宋体"/>
                <w:kern w:val="0"/>
                <w:szCs w:val="21"/>
              </w:rPr>
              <w:t>。</w:t>
            </w:r>
          </w:p>
          <w:p>
            <w:pPr>
              <w:snapToGrid w:val="0"/>
              <w:spacing w:line="400" w:lineRule="exact"/>
              <w:ind w:firstLine="420" w:firstLineChars="200"/>
              <w:rPr>
                <w:rFonts w:ascii="宋体" w:hAnsi="宋体"/>
                <w:kern w:val="0"/>
                <w:szCs w:val="21"/>
              </w:rPr>
            </w:pPr>
            <w:r>
              <w:rPr>
                <w:rFonts w:hint="eastAsia" w:ascii="宋体" w:hAnsi="宋体"/>
                <w:kern w:val="0"/>
                <w:szCs w:val="21"/>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8.2</w:t>
            </w:r>
          </w:p>
        </w:tc>
        <w:tc>
          <w:tcPr>
            <w:tcW w:w="1644" w:type="dxa"/>
            <w:vAlign w:val="center"/>
          </w:tcPr>
          <w:p>
            <w:pPr>
              <w:snapToGrid w:val="0"/>
              <w:spacing w:line="400" w:lineRule="exact"/>
              <w:jc w:val="center"/>
            </w:pPr>
            <w:bookmarkStart w:id="178" w:name="_Toc509218709"/>
            <w:bookmarkStart w:id="179" w:name="_Toc430530434"/>
            <w:bookmarkStart w:id="180" w:name="_Toc536628250"/>
            <w:bookmarkStart w:id="181" w:name="_Toc13210670"/>
            <w:bookmarkStart w:id="182" w:name="_Toc16930431"/>
            <w:r>
              <w:rPr>
                <w:rFonts w:hint="eastAsia" w:ascii="宋体" w:hAnsi="宋体"/>
                <w:kern w:val="0"/>
                <w:szCs w:val="21"/>
              </w:rPr>
              <w:t>重新</w:t>
            </w:r>
            <w:r>
              <w:rPr>
                <w:rFonts w:ascii="宋体" w:hAnsi="宋体"/>
                <w:kern w:val="0"/>
                <w:szCs w:val="21"/>
              </w:rPr>
              <w:t>招标和不再招标</w:t>
            </w:r>
            <w:bookmarkEnd w:id="178"/>
            <w:bookmarkEnd w:id="179"/>
            <w:bookmarkEnd w:id="180"/>
            <w:bookmarkEnd w:id="181"/>
            <w:bookmarkEnd w:id="182"/>
          </w:p>
        </w:tc>
        <w:tc>
          <w:tcPr>
            <w:tcW w:w="6490" w:type="dxa"/>
            <w:vAlign w:val="center"/>
          </w:tcPr>
          <w:p>
            <w:pPr>
              <w:autoSpaceDE w:val="0"/>
              <w:autoSpaceDN w:val="0"/>
              <w:adjustRightInd w:val="0"/>
              <w:snapToGrid w:val="0"/>
              <w:spacing w:after="62" w:afterLines="20" w:line="400" w:lineRule="exact"/>
              <w:ind w:firstLine="420" w:firstLineChars="200"/>
              <w:rPr>
                <w:rFonts w:ascii="宋体" w:hAnsi="宋体"/>
                <w:snapToGrid w:val="0"/>
                <w:kern w:val="0"/>
                <w:szCs w:val="21"/>
              </w:rPr>
            </w:pPr>
            <w:r>
              <w:rPr>
                <w:rFonts w:hint="eastAsia" w:ascii="宋体" w:hAnsi="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r>
              <w:rPr>
                <w:rFonts w:ascii="宋体" w:hAnsi="宋体"/>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10</w:t>
            </w:r>
          </w:p>
        </w:tc>
        <w:tc>
          <w:tcPr>
            <w:tcW w:w="8134" w:type="dxa"/>
            <w:gridSpan w:val="2"/>
            <w:vAlign w:val="center"/>
          </w:tcPr>
          <w:p>
            <w:pPr>
              <w:snapToGrid w:val="0"/>
              <w:spacing w:line="400" w:lineRule="exact"/>
              <w:jc w:val="center"/>
              <w:rPr>
                <w:rFonts w:ascii="宋体" w:hAnsi="宋体"/>
                <w:kern w:val="0"/>
                <w:szCs w:val="21"/>
              </w:rPr>
            </w:pPr>
            <w:r>
              <w:rPr>
                <w:rFonts w:ascii="宋体" w:hAnsi="宋体"/>
                <w:kern w:val="0"/>
                <w:szCs w:val="21"/>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10.1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支付担保</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招标人应按第四章合同专用条款约定向中标人提供相应的支付担保</w:t>
            </w:r>
            <w:r>
              <w:rPr>
                <w:rFonts w:ascii="宋体" w:hAnsi="宋体"/>
                <w:kern w:val="0"/>
                <w:szCs w:val="21"/>
              </w:rPr>
              <w:t>。</w:t>
            </w:r>
          </w:p>
          <w:p>
            <w:pPr>
              <w:snapToGrid w:val="0"/>
              <w:spacing w:after="124" w:afterLines="40" w:line="400" w:lineRule="exact"/>
              <w:ind w:firstLine="420" w:firstLineChars="200"/>
              <w:rPr>
                <w:rFonts w:ascii="宋体" w:hAnsi="宋体"/>
                <w:kern w:val="0"/>
                <w:szCs w:val="21"/>
              </w:rPr>
            </w:pPr>
            <w:r>
              <w:rPr>
                <w:rFonts w:ascii="宋体" w:hAnsi="宋体"/>
                <w:kern w:val="0"/>
                <w:szCs w:val="21"/>
              </w:rPr>
              <w:t>招标人将在</w:t>
            </w:r>
            <w:r>
              <w:rPr>
                <w:rFonts w:hint="eastAsia" w:ascii="宋体" w:hAnsi="宋体"/>
                <w:kern w:val="0"/>
                <w:szCs w:val="21"/>
              </w:rPr>
              <w:t>中标人</w:t>
            </w:r>
            <w:r>
              <w:rPr>
                <w:rFonts w:ascii="宋体" w:hAnsi="宋体"/>
                <w:kern w:val="0"/>
                <w:szCs w:val="21"/>
              </w:rPr>
              <w:t>提供履约担保后，签订合同协议书之前向中标人提交支付担保。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kern w:val="0"/>
                <w:szCs w:val="21"/>
                <w:lang w:eastAsia="zh-CN"/>
              </w:rPr>
            </w:pPr>
            <w:r>
              <w:rPr>
                <w:rFonts w:ascii="宋体" w:hAnsi="宋体"/>
                <w:kern w:val="0"/>
                <w:szCs w:val="21"/>
              </w:rPr>
              <w:t>10.</w:t>
            </w:r>
            <w:r>
              <w:rPr>
                <w:rFonts w:hint="eastAsia" w:ascii="宋体" w:hAnsi="宋体"/>
                <w:kern w:val="0"/>
                <w:szCs w:val="21"/>
                <w:lang w:val="en-US" w:eastAsia="zh-CN"/>
              </w:rPr>
              <w:t>2</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异议、</w:t>
            </w:r>
            <w:r>
              <w:rPr>
                <w:rFonts w:ascii="宋体" w:hAnsi="宋体"/>
                <w:kern w:val="0"/>
                <w:szCs w:val="21"/>
              </w:rPr>
              <w:t>投诉处理</w:t>
            </w:r>
          </w:p>
        </w:tc>
        <w:tc>
          <w:tcPr>
            <w:tcW w:w="6490" w:type="dxa"/>
            <w:vAlign w:val="center"/>
          </w:tcPr>
          <w:p>
            <w:pPr>
              <w:widowControl/>
              <w:spacing w:line="400" w:lineRule="exact"/>
              <w:ind w:firstLine="420" w:firstLineChars="200"/>
              <w:rPr>
                <w:rFonts w:ascii="宋体" w:hAnsi="宋体"/>
                <w:kern w:val="0"/>
                <w:szCs w:val="21"/>
              </w:rPr>
            </w:pPr>
            <w:r>
              <w:rPr>
                <w:rFonts w:ascii="宋体" w:hAnsi="宋体"/>
                <w:kern w:val="0"/>
                <w:szCs w:val="21"/>
              </w:rPr>
              <w:t>1.</w:t>
            </w:r>
            <w:r>
              <w:rPr>
                <w:rFonts w:hint="eastAsia" w:ascii="宋体" w:hAnsi="宋体"/>
                <w:kern w:val="0"/>
                <w:szCs w:val="21"/>
              </w:rPr>
              <w:t xml:space="preserve"> </w:t>
            </w:r>
            <w:r>
              <w:rPr>
                <w:rFonts w:ascii="宋体" w:hAnsi="宋体"/>
                <w:kern w:val="0"/>
                <w:szCs w:val="21"/>
              </w:rPr>
              <w:t>投标人或者其他利害关系人就本项目的招标文件</w:t>
            </w:r>
            <w:r>
              <w:rPr>
                <w:rFonts w:hint="eastAsia" w:ascii="宋体" w:hAnsi="宋体"/>
                <w:kern w:val="0"/>
                <w:szCs w:val="21"/>
              </w:rPr>
              <w:t>（含澄清修改）、开标情况、</w:t>
            </w:r>
            <w:r>
              <w:rPr>
                <w:rFonts w:ascii="宋体" w:hAnsi="宋体"/>
                <w:kern w:val="0"/>
                <w:szCs w:val="21"/>
              </w:rPr>
              <w:t>评标结果等事项提出投诉</w:t>
            </w:r>
            <w:r>
              <w:rPr>
                <w:rFonts w:hint="eastAsia" w:ascii="宋体" w:hAnsi="宋体"/>
                <w:kern w:val="0"/>
                <w:szCs w:val="21"/>
              </w:rPr>
              <w:t>的</w:t>
            </w:r>
            <w:r>
              <w:rPr>
                <w:rFonts w:ascii="宋体" w:hAnsi="宋体"/>
                <w:kern w:val="0"/>
                <w:szCs w:val="21"/>
              </w:rPr>
              <w:t>，应当先向招标人提出异议；招标人应当在规定时间内答复；对招标人的答复不满意，可向行政监督部门投诉。</w:t>
            </w:r>
          </w:p>
          <w:p>
            <w:pPr>
              <w:widowControl/>
              <w:spacing w:line="400" w:lineRule="exact"/>
              <w:ind w:firstLine="420" w:firstLineChars="200"/>
              <w:rPr>
                <w:rFonts w:ascii="宋体" w:hAnsi="宋体"/>
                <w:kern w:val="0"/>
                <w:szCs w:val="21"/>
              </w:rPr>
            </w:pPr>
            <w:r>
              <w:rPr>
                <w:rFonts w:hint="eastAsia" w:ascii="宋体" w:hAnsi="宋体"/>
                <w:kern w:val="0"/>
                <w:szCs w:val="21"/>
              </w:rPr>
              <w:t>提出异议或投诉时应当包括下列内容：</w:t>
            </w:r>
          </w:p>
          <w:p>
            <w:pPr>
              <w:widowControl/>
              <w:spacing w:line="400" w:lineRule="exact"/>
              <w:ind w:firstLine="420" w:firstLineChars="200"/>
              <w:rPr>
                <w:rFonts w:ascii="宋体" w:hAnsi="宋体"/>
                <w:kern w:val="0"/>
                <w:szCs w:val="21"/>
              </w:rPr>
            </w:pPr>
            <w:r>
              <w:rPr>
                <w:rFonts w:hint="eastAsia" w:ascii="宋体" w:hAnsi="宋体"/>
                <w:kern w:val="0"/>
                <w:szCs w:val="21"/>
              </w:rPr>
              <w:t>（1）异议</w:t>
            </w:r>
            <w:r>
              <w:rPr>
                <w:rFonts w:hint="eastAsia" w:ascii="宋体" w:hAnsi="宋体"/>
                <w:kern w:val="0"/>
                <w:szCs w:val="21"/>
                <w:lang w:val="en-US" w:eastAsia="zh-CN"/>
              </w:rPr>
              <w:t>人</w:t>
            </w:r>
            <w:r>
              <w:rPr>
                <w:rFonts w:hint="eastAsia" w:ascii="宋体" w:hAnsi="宋体"/>
                <w:kern w:val="0"/>
                <w:szCs w:val="21"/>
              </w:rPr>
              <w:t>或投诉人的</w:t>
            </w:r>
            <w:r>
              <w:rPr>
                <w:rFonts w:hint="eastAsia" w:ascii="宋体" w:hAnsi="宋体"/>
                <w:kern w:val="0"/>
                <w:szCs w:val="21"/>
                <w:lang w:eastAsia="zh-CN"/>
              </w:rPr>
              <w:t>姓名</w:t>
            </w:r>
            <w:r>
              <w:rPr>
                <w:rFonts w:hint="eastAsia" w:ascii="宋体" w:hAnsi="宋体"/>
                <w:kern w:val="0"/>
                <w:szCs w:val="21"/>
                <w:lang w:val="en-US" w:eastAsia="zh-CN"/>
              </w:rPr>
              <w:t>/</w:t>
            </w:r>
            <w:r>
              <w:rPr>
                <w:rFonts w:hint="eastAsia" w:ascii="宋体" w:hAnsi="宋体"/>
                <w:kern w:val="0"/>
                <w:szCs w:val="21"/>
              </w:rPr>
              <w:t>名称、地址及有效联系方式；</w:t>
            </w:r>
          </w:p>
          <w:p>
            <w:pPr>
              <w:widowControl/>
              <w:spacing w:line="400" w:lineRule="exact"/>
              <w:ind w:firstLine="420" w:firstLineChars="200"/>
              <w:rPr>
                <w:rFonts w:ascii="宋体" w:hAnsi="宋体"/>
                <w:kern w:val="0"/>
                <w:szCs w:val="21"/>
              </w:rPr>
            </w:pPr>
            <w:r>
              <w:rPr>
                <w:rFonts w:hint="eastAsia" w:ascii="宋体" w:hAnsi="宋体"/>
                <w:kern w:val="0"/>
                <w:szCs w:val="21"/>
              </w:rPr>
              <w:t>（2）被异议</w:t>
            </w:r>
            <w:r>
              <w:rPr>
                <w:rFonts w:hint="eastAsia" w:ascii="宋体" w:hAnsi="宋体"/>
                <w:kern w:val="0"/>
                <w:szCs w:val="21"/>
                <w:lang w:val="en-US" w:eastAsia="zh-CN"/>
              </w:rPr>
              <w:t>人</w:t>
            </w:r>
            <w:r>
              <w:rPr>
                <w:rFonts w:hint="eastAsia" w:ascii="宋体" w:hAnsi="宋体"/>
                <w:kern w:val="0"/>
                <w:szCs w:val="21"/>
              </w:rPr>
              <w:t>或</w:t>
            </w:r>
            <w:r>
              <w:rPr>
                <w:rFonts w:hint="eastAsia" w:ascii="宋体" w:hAnsi="宋体"/>
                <w:kern w:val="0"/>
                <w:szCs w:val="21"/>
                <w:lang w:val="en-US" w:eastAsia="zh-CN"/>
              </w:rPr>
              <w:t>被</w:t>
            </w:r>
            <w:r>
              <w:rPr>
                <w:rFonts w:hint="eastAsia" w:ascii="宋体" w:hAnsi="宋体"/>
                <w:kern w:val="0"/>
                <w:szCs w:val="21"/>
              </w:rPr>
              <w:t>投诉人的名称、地址及有效联系方式；</w:t>
            </w:r>
          </w:p>
          <w:p>
            <w:pPr>
              <w:widowControl/>
              <w:spacing w:line="400" w:lineRule="exact"/>
              <w:ind w:firstLine="420" w:firstLineChars="200"/>
              <w:rPr>
                <w:rFonts w:ascii="宋体" w:hAnsi="宋体"/>
                <w:kern w:val="0"/>
                <w:szCs w:val="21"/>
              </w:rPr>
            </w:pPr>
            <w:r>
              <w:rPr>
                <w:rFonts w:hint="eastAsia" w:ascii="宋体" w:hAnsi="宋体"/>
                <w:kern w:val="0"/>
                <w:szCs w:val="21"/>
              </w:rPr>
              <w:t>（3）异议或投诉事项的基本事实；</w:t>
            </w:r>
          </w:p>
          <w:p>
            <w:pPr>
              <w:widowControl/>
              <w:spacing w:line="400" w:lineRule="exact"/>
              <w:ind w:firstLine="420" w:firstLineChars="200"/>
              <w:rPr>
                <w:rFonts w:ascii="宋体" w:hAnsi="宋体"/>
                <w:kern w:val="0"/>
                <w:szCs w:val="21"/>
              </w:rPr>
            </w:pPr>
            <w:r>
              <w:rPr>
                <w:rFonts w:hint="eastAsia" w:ascii="宋体" w:hAnsi="宋体"/>
                <w:kern w:val="0"/>
                <w:szCs w:val="21"/>
              </w:rPr>
              <w:t>（4）请求及主张；</w:t>
            </w:r>
          </w:p>
          <w:p>
            <w:pPr>
              <w:widowControl/>
              <w:spacing w:line="400" w:lineRule="exact"/>
              <w:ind w:firstLine="420" w:firstLineChars="200"/>
              <w:rPr>
                <w:rFonts w:ascii="宋体" w:hAnsi="宋体"/>
                <w:kern w:val="0"/>
                <w:szCs w:val="21"/>
              </w:rPr>
            </w:pPr>
            <w:r>
              <w:rPr>
                <w:rFonts w:hint="eastAsia" w:ascii="宋体" w:hAnsi="宋体"/>
                <w:kern w:val="0"/>
                <w:szCs w:val="21"/>
              </w:rPr>
              <w:t>（5）涉及事项的证据、证明材料。</w:t>
            </w:r>
          </w:p>
          <w:p>
            <w:pPr>
              <w:widowControl/>
              <w:spacing w:line="400" w:lineRule="exact"/>
              <w:ind w:firstLine="420" w:firstLineChars="200"/>
              <w:rPr>
                <w:rFonts w:ascii="宋体" w:hAnsi="宋体"/>
                <w:kern w:val="0"/>
                <w:szCs w:val="21"/>
              </w:rPr>
            </w:pPr>
            <w:r>
              <w:rPr>
                <w:rFonts w:hint="eastAsia" w:ascii="宋体" w:hAnsi="宋体"/>
                <w:kern w:val="0"/>
                <w:szCs w:val="21"/>
              </w:rPr>
              <w:t>异议人或投诉人是法人的，异议书或投诉书必须由其法定代表人或者委托代理人签名并加盖单位</w:t>
            </w:r>
            <w:r>
              <w:rPr>
                <w:rFonts w:hint="eastAsia" w:ascii="宋体" w:hAnsi="宋体"/>
                <w:kern w:val="0"/>
                <w:szCs w:val="21"/>
                <w:lang w:val="en-US" w:eastAsia="zh-CN"/>
              </w:rPr>
              <w:t>法人</w:t>
            </w:r>
            <w:r>
              <w:rPr>
                <w:rFonts w:hint="eastAsia" w:ascii="宋体" w:hAnsi="宋体"/>
                <w:kern w:val="0"/>
                <w:szCs w:val="21"/>
              </w:rPr>
              <w:t>章；异议人或投诉人是其他组织或者自然人的，异议书或投诉书必须由其主要负责人签名或者异议人（或投诉人）本人签名，并附有效身份证明。如有关材料是外文，应当同时提供中文译本。</w:t>
            </w:r>
          </w:p>
          <w:p>
            <w:pPr>
              <w:widowControl/>
              <w:spacing w:line="400" w:lineRule="exact"/>
              <w:ind w:firstLine="420" w:firstLineChars="200"/>
              <w:rPr>
                <w:rFonts w:ascii="宋体" w:hAnsi="宋体"/>
                <w:kern w:val="0"/>
                <w:szCs w:val="21"/>
              </w:rPr>
            </w:pPr>
            <w:r>
              <w:rPr>
                <w:rFonts w:ascii="宋体" w:hAnsi="宋体"/>
                <w:kern w:val="0"/>
                <w:szCs w:val="21"/>
              </w:rPr>
              <w:t>2.</w:t>
            </w:r>
            <w:r>
              <w:rPr>
                <w:rFonts w:hint="eastAsia" w:ascii="宋体" w:hAnsi="宋体"/>
                <w:kern w:val="0"/>
                <w:szCs w:val="21"/>
              </w:rPr>
              <w:t xml:space="preserve"> </w:t>
            </w:r>
            <w:r>
              <w:rPr>
                <w:rFonts w:ascii="宋体" w:hAnsi="宋体"/>
                <w:kern w:val="0"/>
                <w:szCs w:val="21"/>
              </w:rPr>
              <w:t>行政监督部门依照</w:t>
            </w:r>
            <w:r>
              <w:rPr>
                <w:rFonts w:hint="eastAsia" w:ascii="宋体" w:hAnsi="宋体"/>
                <w:kern w:val="0"/>
                <w:szCs w:val="21"/>
                <w:lang w:val="en-US" w:eastAsia="zh-CN"/>
              </w:rPr>
              <w:t>相关</w:t>
            </w:r>
            <w:r>
              <w:rPr>
                <w:rFonts w:ascii="宋体" w:hAnsi="宋体"/>
                <w:kern w:val="0"/>
                <w:szCs w:val="21"/>
              </w:rPr>
              <w:t>法律法规文件处理投诉。</w:t>
            </w:r>
          </w:p>
          <w:p>
            <w:pPr>
              <w:snapToGrid w:val="0"/>
              <w:spacing w:line="400" w:lineRule="exact"/>
              <w:ind w:firstLine="420" w:firstLineChars="200"/>
              <w:rPr>
                <w:rFonts w:ascii="宋体" w:hAnsi="宋体"/>
                <w:kern w:val="0"/>
                <w:szCs w:val="21"/>
              </w:rPr>
            </w:pPr>
            <w:r>
              <w:rPr>
                <w:rFonts w:hint="eastAsia" w:ascii="宋体" w:hAnsi="宋体"/>
                <w:kern w:val="0"/>
                <w:szCs w:val="21"/>
              </w:rPr>
              <w:t>3. 根据《重庆市工程建设领域招标投标信用管理暂行办法》的规定，投标人捏造事实、伪造材料，或者以非法手段获取证明材料进行质疑或者投诉的，将被列入黑名单管理；</w:t>
            </w:r>
            <w:r>
              <w:rPr>
                <w:rFonts w:ascii="宋体" w:hAnsi="宋体"/>
                <w:kern w:val="0"/>
                <w:szCs w:val="21"/>
              </w:rPr>
              <w:t>给他人造成损失的，依法承担赔偿责任。</w:t>
            </w:r>
          </w:p>
          <w:p>
            <w:pPr>
              <w:snapToGrid w:val="0"/>
              <w:spacing w:line="400" w:lineRule="exact"/>
              <w:ind w:firstLine="420" w:firstLineChars="200"/>
              <w:rPr>
                <w:rFonts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异议受理单位：</w:t>
            </w:r>
            <w:r>
              <w:rPr>
                <w:rFonts w:hint="eastAsia" w:asciiTheme="minorEastAsia" w:hAnsiTheme="minorEastAsia" w:eastAsiaTheme="minorEastAsia" w:cstheme="minorEastAsia"/>
                <w:color w:val="auto"/>
                <w:kern w:val="0"/>
                <w:szCs w:val="21"/>
                <w:highlight w:val="none"/>
                <w:u w:val="single"/>
                <w:lang w:val="en-US" w:eastAsia="zh-CN"/>
              </w:rPr>
              <w:t xml:space="preserve">        </w:t>
            </w:r>
          </w:p>
          <w:p>
            <w:pPr>
              <w:snapToGrid w:val="0"/>
              <w:spacing w:line="400" w:lineRule="exact"/>
              <w:ind w:firstLine="420" w:firstLineChars="200"/>
              <w:rPr>
                <w:rFonts w:ascii="宋体" w:hAnsi="宋体"/>
                <w:kern w:val="0"/>
                <w:szCs w:val="21"/>
              </w:rPr>
            </w:pPr>
            <w:r>
              <w:rPr>
                <w:rFonts w:hint="eastAsia" w:ascii="宋体" w:hAnsi="宋体"/>
                <w:kern w:val="0"/>
                <w:szCs w:val="21"/>
              </w:rPr>
              <w:t>联系电话：</w:t>
            </w:r>
            <w:r>
              <w:rPr>
                <w:rFonts w:hint="eastAsia" w:asciiTheme="minorEastAsia" w:hAnsiTheme="minorEastAsia" w:eastAsiaTheme="minorEastAsia" w:cstheme="minorEastAsia"/>
                <w:color w:val="auto"/>
                <w:kern w:val="0"/>
                <w:szCs w:val="21"/>
                <w:highlight w:val="none"/>
                <w:u w:val="single"/>
                <w:lang w:val="en-US" w:eastAsia="zh-CN"/>
              </w:rPr>
              <w:t xml:space="preserve">        </w:t>
            </w:r>
          </w:p>
          <w:p>
            <w:pPr>
              <w:snapToGrid w:val="0"/>
              <w:spacing w:line="400" w:lineRule="exact"/>
              <w:ind w:firstLine="420" w:firstLineChars="200"/>
              <w:rPr>
                <w:rFonts w:ascii="宋体" w:hAnsi="宋体"/>
                <w:kern w:val="0"/>
                <w:szCs w:val="21"/>
              </w:rPr>
            </w:pPr>
            <w:r>
              <w:rPr>
                <w:rFonts w:hint="eastAsia" w:ascii="宋体" w:hAnsi="宋体"/>
                <w:kern w:val="0"/>
                <w:szCs w:val="21"/>
              </w:rPr>
              <w:t>投诉受理部门：</w:t>
            </w:r>
            <w:r>
              <w:rPr>
                <w:rFonts w:hint="eastAsia" w:asciiTheme="minorEastAsia" w:hAnsiTheme="minorEastAsia" w:eastAsiaTheme="minorEastAsia" w:cstheme="minorEastAsia"/>
                <w:color w:val="auto"/>
                <w:kern w:val="0"/>
                <w:szCs w:val="21"/>
                <w:highlight w:val="none"/>
                <w:u w:val="single"/>
                <w:lang w:val="en-US" w:eastAsia="zh-CN"/>
              </w:rPr>
              <w:t xml:space="preserve">        </w:t>
            </w:r>
          </w:p>
          <w:p>
            <w:pPr>
              <w:snapToGrid w:val="0"/>
              <w:spacing w:line="400" w:lineRule="exact"/>
              <w:ind w:firstLine="420" w:firstLineChars="200"/>
              <w:rPr>
                <w:rFonts w:ascii="宋体" w:hAnsi="宋体"/>
                <w:kern w:val="0"/>
                <w:szCs w:val="21"/>
              </w:rPr>
            </w:pPr>
            <w:r>
              <w:rPr>
                <w:rFonts w:hint="eastAsia" w:ascii="宋体" w:hAnsi="宋体"/>
                <w:kern w:val="0"/>
                <w:szCs w:val="21"/>
              </w:rPr>
              <w:t>联系电话：</w:t>
            </w:r>
            <w:r>
              <w:rPr>
                <w:rFonts w:hint="eastAsia" w:asciiTheme="minorEastAsia" w:hAnsiTheme="minorEastAsia" w:eastAsiaTheme="minorEastAsia" w:cstheme="minorEastAsia"/>
                <w:color w:val="auto"/>
                <w:kern w:val="0"/>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kern w:val="0"/>
                <w:szCs w:val="21"/>
                <w:lang w:eastAsia="zh-CN"/>
              </w:rPr>
            </w:pPr>
            <w:r>
              <w:rPr>
                <w:rFonts w:hint="eastAsia" w:ascii="宋体" w:hAnsi="宋体"/>
                <w:kern w:val="0"/>
                <w:szCs w:val="21"/>
              </w:rPr>
              <w:t>10.</w:t>
            </w:r>
            <w:r>
              <w:rPr>
                <w:rFonts w:hint="eastAsia" w:ascii="宋体" w:hAnsi="宋体"/>
                <w:kern w:val="0"/>
                <w:szCs w:val="21"/>
                <w:lang w:val="en-US" w:eastAsia="zh-CN"/>
              </w:rPr>
              <w:t>3</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工程量清单</w:t>
            </w:r>
          </w:p>
          <w:p>
            <w:pPr>
              <w:snapToGrid w:val="0"/>
              <w:spacing w:line="400" w:lineRule="exact"/>
              <w:jc w:val="center"/>
              <w:rPr>
                <w:rFonts w:ascii="宋体" w:hAnsi="宋体"/>
                <w:kern w:val="0"/>
                <w:szCs w:val="21"/>
              </w:rPr>
            </w:pPr>
            <w:r>
              <w:rPr>
                <w:rFonts w:hint="eastAsia" w:ascii="宋体" w:hAnsi="宋体"/>
                <w:kern w:val="0"/>
                <w:szCs w:val="21"/>
              </w:rPr>
              <w:t>编制说明</w:t>
            </w:r>
          </w:p>
        </w:tc>
        <w:tc>
          <w:tcPr>
            <w:tcW w:w="6490" w:type="dxa"/>
            <w:vAlign w:val="center"/>
          </w:tcPr>
          <w:p>
            <w:pPr>
              <w:widowControl/>
              <w:spacing w:line="400" w:lineRule="exact"/>
              <w:ind w:firstLine="420" w:firstLineChars="200"/>
              <w:rPr>
                <w:rFonts w:ascii="宋体" w:hAnsi="宋体"/>
                <w:kern w:val="0"/>
                <w:szCs w:val="21"/>
              </w:rPr>
            </w:pPr>
            <w:r>
              <w:rPr>
                <w:rFonts w:hint="eastAsia" w:ascii="宋体" w:hAnsi="宋体"/>
                <w:i/>
                <w:kern w:val="0"/>
                <w:szCs w:val="21"/>
              </w:rPr>
              <w:t>[提示：由招标人根据项目实际情况，自行编制。工程量清单编制说明中不得有违背相关法律法规及规范性文件规定的内容，若有涉及否决投标的规定必须集中在后文“否决投标情况一览表”中，否则以“否决投标情况一览表”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kern w:val="0"/>
                <w:szCs w:val="21"/>
                <w:lang w:eastAsia="zh-CN"/>
              </w:rPr>
            </w:pPr>
            <w:r>
              <w:rPr>
                <w:rFonts w:hint="eastAsia" w:ascii="宋体" w:hAnsi="宋体"/>
                <w:kern w:val="0"/>
                <w:szCs w:val="21"/>
              </w:rPr>
              <w:t>10.</w:t>
            </w:r>
            <w:r>
              <w:rPr>
                <w:rFonts w:hint="eastAsia" w:ascii="宋体" w:hAnsi="宋体"/>
                <w:kern w:val="0"/>
                <w:szCs w:val="21"/>
                <w:lang w:val="en-US" w:eastAsia="zh-CN"/>
              </w:rPr>
              <w:t>4</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建筑</w:t>
            </w:r>
            <w:r>
              <w:rPr>
                <w:rFonts w:ascii="宋体" w:hAnsi="宋体"/>
                <w:kern w:val="0"/>
                <w:szCs w:val="21"/>
              </w:rPr>
              <w:t>领域实施农民工工资专用账户相关</w:t>
            </w:r>
            <w:r>
              <w:rPr>
                <w:rFonts w:hint="eastAsia" w:ascii="宋体" w:hAnsi="宋体"/>
                <w:kern w:val="0"/>
                <w:szCs w:val="21"/>
              </w:rPr>
              <w:t>要求</w:t>
            </w:r>
          </w:p>
        </w:tc>
        <w:tc>
          <w:tcPr>
            <w:tcW w:w="6490" w:type="dxa"/>
            <w:vAlign w:val="center"/>
          </w:tcPr>
          <w:p>
            <w:pPr>
              <w:widowControl/>
              <w:spacing w:line="400" w:lineRule="exact"/>
              <w:ind w:firstLine="420" w:firstLineChars="200"/>
              <w:rPr>
                <w:rFonts w:ascii="宋体" w:hAnsi="宋体"/>
                <w:kern w:val="0"/>
                <w:szCs w:val="21"/>
              </w:rPr>
            </w:pPr>
            <w:r>
              <w:rPr>
                <w:rFonts w:hint="eastAsia" w:ascii="宋体" w:hAnsi="宋体"/>
                <w:kern w:val="0"/>
                <w:szCs w:val="21"/>
              </w:rPr>
              <w:t>本项目在</w:t>
            </w:r>
            <w:r>
              <w:rPr>
                <w:rFonts w:ascii="宋体" w:hAnsi="宋体"/>
                <w:kern w:val="0"/>
                <w:szCs w:val="21"/>
              </w:rPr>
              <w:t>实施过程中</w:t>
            </w:r>
            <w:r>
              <w:rPr>
                <w:rFonts w:hint="eastAsia" w:ascii="宋体" w:hAnsi="宋体"/>
                <w:kern w:val="0"/>
                <w:szCs w:val="21"/>
              </w:rPr>
              <w:t>，中标人</w:t>
            </w:r>
            <w:r>
              <w:rPr>
                <w:rFonts w:ascii="宋体" w:hAnsi="宋体"/>
                <w:kern w:val="0"/>
                <w:szCs w:val="21"/>
              </w:rPr>
              <w:t>必须执行</w:t>
            </w:r>
            <w:r>
              <w:rPr>
                <w:rFonts w:hint="eastAsia" w:ascii="宋体" w:hAnsi="宋体"/>
                <w:kern w:val="0"/>
                <w:szCs w:val="21"/>
                <w:u w:val="single"/>
              </w:rPr>
              <w:t>《保障农民工工资支付条例》（中华人民共和国国务院令第724号）</w:t>
            </w:r>
            <w:r>
              <w:rPr>
                <w:rFonts w:hint="eastAsia" w:ascii="宋体" w:hAnsi="宋体"/>
                <w:kern w:val="0"/>
                <w:szCs w:val="21"/>
                <w:highlight w:val="none"/>
                <w:u w:val="single"/>
                <w:lang w:val="en-US" w:eastAsia="zh-CN"/>
              </w:rPr>
              <w:t>及国家</w:t>
            </w:r>
            <w:r>
              <w:rPr>
                <w:rFonts w:ascii="宋体" w:hAnsi="宋体"/>
                <w:szCs w:val="21"/>
                <w:highlight w:val="none"/>
                <w:u w:val="single"/>
              </w:rPr>
              <w:t>和重庆市现行有关</w:t>
            </w:r>
            <w:r>
              <w:rPr>
                <w:rFonts w:ascii="宋体" w:hAnsi="宋体"/>
                <w:kern w:val="0"/>
                <w:szCs w:val="21"/>
                <w:highlight w:val="none"/>
              </w:rPr>
              <w:t>农民工工资</w:t>
            </w:r>
            <w:r>
              <w:rPr>
                <w:rFonts w:hint="eastAsia" w:ascii="宋体" w:hAnsi="宋体"/>
                <w:kern w:val="0"/>
                <w:szCs w:val="21"/>
                <w:highlight w:val="none"/>
                <w:lang w:val="en-US" w:eastAsia="zh-CN"/>
              </w:rPr>
              <w:t>支付规定</w:t>
            </w:r>
            <w:r>
              <w:rPr>
                <w:rFonts w:hint="eastAsia" w:ascii="宋体" w:hAnsi="宋体"/>
                <w:kern w:val="0"/>
                <w:szCs w:val="21"/>
                <w:highlight w:val="none"/>
              </w:rPr>
              <w:t>，明确农民工工资保证金、实名制、专用账户、银行代发等保障农民工工资支付内容以及违约责任</w:t>
            </w:r>
            <w:r>
              <w:rPr>
                <w:rFonts w:hint="eastAsia" w:ascii="宋体" w:hAnsi="宋体"/>
                <w:kern w:val="0"/>
                <w:szCs w:val="21"/>
              </w:rPr>
              <w:t>，填报相应的网络管理系统。</w:t>
            </w:r>
          </w:p>
          <w:p>
            <w:pPr>
              <w:widowControl/>
              <w:spacing w:line="400" w:lineRule="exact"/>
              <w:ind w:firstLine="420" w:firstLineChars="200"/>
              <w:rPr>
                <w:rFonts w:ascii="宋体" w:hAnsi="宋体"/>
                <w:kern w:val="0"/>
                <w:szCs w:val="21"/>
              </w:rPr>
            </w:pPr>
            <w:r>
              <w:rPr>
                <w:rFonts w:hint="eastAsia" w:ascii="宋体" w:hAnsi="宋体"/>
                <w:kern w:val="0"/>
                <w:szCs w:val="21"/>
              </w:rPr>
              <w:t>投标人中标后，在与发包人签订的合同中，必须明确在</w:t>
            </w:r>
            <w:r>
              <w:rPr>
                <w:rFonts w:hint="eastAsia" w:ascii="宋体" w:hAnsi="宋体"/>
                <w:kern w:val="0"/>
                <w:szCs w:val="21"/>
                <w:lang w:val="en-US" w:eastAsia="zh-CN"/>
              </w:rPr>
              <w:t>重庆市</w:t>
            </w:r>
            <w:r>
              <w:rPr>
                <w:rFonts w:hint="eastAsia" w:ascii="宋体" w:hAnsi="宋体"/>
                <w:kern w:val="0"/>
                <w:szCs w:val="21"/>
              </w:rPr>
              <w:t>的农民工工资专用账户信息、人工费（工资款）支付比例；在项目开工后，为农民工办理平安卡和工资卡，委托银行通过农民工工资专用账户直接将农民工工资发放至工资卡，并按照有关规定在“工资专户管理网络系统”中填报相关信息</w:t>
            </w:r>
            <w:r>
              <w:rPr>
                <w:rFonts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kern w:val="0"/>
                <w:szCs w:val="21"/>
                <w:lang w:eastAsia="zh-CN"/>
              </w:rPr>
            </w:pPr>
            <w:r>
              <w:rPr>
                <w:rFonts w:hint="eastAsia" w:ascii="宋体" w:hAnsi="宋体"/>
                <w:kern w:val="0"/>
                <w:szCs w:val="21"/>
              </w:rPr>
              <w:t>10.</w:t>
            </w:r>
            <w:r>
              <w:rPr>
                <w:rFonts w:hint="eastAsia" w:ascii="宋体" w:hAnsi="宋体"/>
                <w:kern w:val="0"/>
                <w:szCs w:val="21"/>
                <w:lang w:val="en-US" w:eastAsia="zh-CN"/>
              </w:rPr>
              <w:t>5</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关于对招标文件及投标争议的解释</w:t>
            </w:r>
          </w:p>
        </w:tc>
        <w:tc>
          <w:tcPr>
            <w:tcW w:w="6490" w:type="dxa"/>
            <w:vAlign w:val="center"/>
          </w:tcPr>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对资格预审文件或者招标文件中的条款理解有争议的，应当作出不利于招标人的解释；对投标文件理解有争议的，应当作出不利于投标人的解释。但是，违背国家利益、社会公共利益的除外。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kern w:val="0"/>
                <w:szCs w:val="21"/>
                <w:lang w:eastAsia="zh-CN"/>
              </w:rPr>
            </w:pPr>
            <w:r>
              <w:rPr>
                <w:rFonts w:hint="eastAsia" w:ascii="宋体" w:hAnsi="宋体"/>
                <w:kern w:val="0"/>
                <w:szCs w:val="21"/>
              </w:rPr>
              <w:t>10.</w:t>
            </w:r>
            <w:r>
              <w:rPr>
                <w:rFonts w:hint="eastAsia" w:ascii="宋体" w:hAnsi="宋体"/>
                <w:kern w:val="0"/>
                <w:szCs w:val="21"/>
                <w:lang w:val="en-US" w:eastAsia="zh-CN"/>
              </w:rPr>
              <w:t>6</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投标人注意事项</w:t>
            </w:r>
          </w:p>
        </w:tc>
        <w:tc>
          <w:tcPr>
            <w:tcW w:w="6490" w:type="dxa"/>
            <w:vAlign w:val="center"/>
          </w:tcPr>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1. 本次投标采用全流程电子开评标模式，第一次参与投标的单位务必在</w:t>
            </w:r>
            <w:r>
              <w:rPr>
                <w:rFonts w:hint="eastAsia" w:ascii="宋体" w:hAnsi="宋体"/>
                <w:kern w:val="0"/>
                <w:szCs w:val="21"/>
                <w:u w:val="single"/>
              </w:rPr>
              <w:t>重庆市公共资源交易网</w:t>
            </w:r>
            <w:r>
              <w:rPr>
                <w:rFonts w:hint="eastAsia" w:ascii="宋体" w:hAnsi="宋体"/>
                <w:kern w:val="0"/>
                <w:szCs w:val="21"/>
              </w:rPr>
              <w:t>完成市场主体信息登记以及 CA 数字证书办理，并且下载新点投标文件制作软件（重庆版）制作投标文件。</w:t>
            </w:r>
          </w:p>
          <w:p>
            <w:pPr>
              <w:autoSpaceDE w:val="0"/>
              <w:autoSpaceDN w:val="0"/>
              <w:adjustRightInd w:val="0"/>
              <w:snapToGrid w:val="0"/>
              <w:spacing w:line="400" w:lineRule="exact"/>
              <w:ind w:firstLine="420" w:firstLineChars="200"/>
              <w:jc w:val="left"/>
              <w:rPr>
                <w:rFonts w:ascii="宋体" w:hAnsi="宋体"/>
                <w:kern w:val="0"/>
                <w:szCs w:val="21"/>
              </w:rPr>
            </w:pPr>
            <w:r>
              <w:rPr>
                <w:rFonts w:hint="eastAsia" w:ascii="宋体" w:hAnsi="宋体"/>
                <w:kern w:val="0"/>
                <w:szCs w:val="21"/>
              </w:rPr>
              <w:t>2. 制作投标文件需要使用CA 数字证书加密，并且加盖电子印章，CA 数字证书购买及办理方式请参见</w:t>
            </w:r>
            <w:r>
              <w:rPr>
                <w:rFonts w:hint="eastAsia" w:ascii="宋体" w:hAnsi="宋体"/>
                <w:kern w:val="0"/>
                <w:szCs w:val="21"/>
                <w:u w:val="single"/>
              </w:rPr>
              <w:t>重庆市公共资源交易网</w:t>
            </w:r>
            <w:r>
              <w:rPr>
                <w:rFonts w:hint="eastAsia" w:ascii="宋体" w:hAnsi="宋体"/>
                <w:kern w:val="0"/>
                <w:szCs w:val="21"/>
              </w:rPr>
              <w:t>导航栏“主体信息”页面中“市场主体信息登记”“CA数字证书办理”。</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3. 投标人应当在投标截止时间前，通过互联网使用CA数字证书登录重庆市电子招投标系统，将加密的电子投标文件上传，未按规定加密将无法上传。投标人应充分考虑上传文件时的不可预见因素，逾期未完成上传投标文件的，视为撤回投标文件。</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4.</w:t>
            </w:r>
            <w:r>
              <w:rPr>
                <w:rFonts w:hint="eastAsia" w:asciiTheme="minorEastAsia" w:hAnsiTheme="minorEastAsia" w:eastAsiaTheme="minorEastAsia" w:cstheme="minorEastAsia"/>
                <w:color w:val="auto"/>
                <w:kern w:val="0"/>
                <w:szCs w:val="21"/>
                <w:highlight w:val="none"/>
                <w:lang w:val="en-US" w:eastAsia="zh-CN"/>
              </w:rPr>
              <w:t xml:space="preserve"> </w:t>
            </w:r>
            <w:r>
              <w:rPr>
                <w:rFonts w:hint="eastAsia" w:asciiTheme="minorEastAsia" w:hAnsiTheme="minorEastAsia" w:eastAsiaTheme="minorEastAsia" w:cstheme="minorEastAsia"/>
                <w:color w:val="auto"/>
                <w:kern w:val="0"/>
                <w:szCs w:val="21"/>
                <w:highlight w:val="none"/>
              </w:rPr>
              <w:t>开标活动由招标人主持，邀请所有投标人参加。投标人未在开标现场提出异议，或者不见面开标系统未收到投标人异议的（采用不见面开标方式时适用），视为投标人默认开标结果。</w:t>
            </w:r>
          </w:p>
          <w:p>
            <w:pPr>
              <w:autoSpaceDE w:val="0"/>
              <w:autoSpaceDN w:val="0"/>
              <w:adjustRightInd w:val="0"/>
              <w:snapToGrid w:val="0"/>
              <w:spacing w:line="400" w:lineRule="exact"/>
              <w:ind w:firstLine="420" w:firstLineChars="200"/>
              <w:rPr>
                <w:rFonts w:hint="eastAsia" w:ascii="宋体" w:hAnsi="宋体"/>
                <w:kern w:val="0"/>
                <w:szCs w:val="21"/>
              </w:rPr>
            </w:pPr>
            <w:r>
              <w:rPr>
                <w:rFonts w:hint="eastAsia" w:ascii="宋体" w:hAnsi="宋体"/>
                <w:kern w:val="0"/>
                <w:szCs w:val="21"/>
                <w:lang w:val="en-US" w:eastAsia="zh-CN"/>
              </w:rPr>
              <w:t>5</w:t>
            </w:r>
            <w:r>
              <w:rPr>
                <w:rFonts w:hint="eastAsia" w:ascii="宋体" w:hAnsi="宋体"/>
                <w:kern w:val="0"/>
                <w:szCs w:val="21"/>
              </w:rPr>
              <w:t>. 投标人应按时解密，在评标结束前应在线或在现场关注项目进展情况，确保通讯联系正常。如评标委员会要求投标人澄清的，投标人应确保及时回复，否则视为拒绝按评标委员会要求澄清、说明或补正。</w:t>
            </w:r>
          </w:p>
          <w:p>
            <w:pPr>
              <w:autoSpaceDE w:val="0"/>
              <w:autoSpaceDN w:val="0"/>
              <w:adjustRightInd w:val="0"/>
              <w:snapToGrid w:val="0"/>
              <w:spacing w:line="400" w:lineRule="exact"/>
              <w:ind w:firstLine="420" w:firstLineChars="200"/>
              <w:rPr>
                <w:rFonts w:hint="eastAsia" w:ascii="宋体" w:hAnsi="宋体"/>
                <w:kern w:val="0"/>
                <w:szCs w:val="21"/>
              </w:rPr>
            </w:pPr>
            <w:r>
              <w:rPr>
                <w:rFonts w:hint="eastAsia" w:ascii="宋体" w:hAnsi="宋体"/>
                <w:kern w:val="0"/>
                <w:szCs w:val="21"/>
              </w:rPr>
              <w:t>6</w:t>
            </w:r>
            <w:r>
              <w:rPr>
                <w:rFonts w:hint="eastAsia" w:ascii="宋体" w:hAnsi="宋体"/>
                <w:kern w:val="0"/>
                <w:szCs w:val="21"/>
                <w:lang w:val="en-US" w:eastAsia="zh-CN"/>
              </w:rPr>
              <w:t xml:space="preserve">. </w:t>
            </w:r>
            <w:r>
              <w:rPr>
                <w:rFonts w:hint="eastAsia" w:ascii="宋体" w:hAnsi="宋体"/>
                <w:kern w:val="0"/>
                <w:szCs w:val="21"/>
              </w:rPr>
              <w:t>电子投标文件制作</w:t>
            </w:r>
          </w:p>
          <w:p>
            <w:pPr>
              <w:autoSpaceDE w:val="0"/>
              <w:autoSpaceDN w:val="0"/>
              <w:adjustRightInd w:val="0"/>
              <w:snapToGrid w:val="0"/>
              <w:spacing w:line="400" w:lineRule="exact"/>
              <w:ind w:firstLine="420" w:firstLineChars="200"/>
              <w:rPr>
                <w:rFonts w:hint="eastAsia" w:ascii="宋体" w:hAnsi="宋体"/>
                <w:kern w:val="0"/>
                <w:szCs w:val="21"/>
              </w:rPr>
            </w:pPr>
            <w:r>
              <w:rPr>
                <w:rFonts w:hint="eastAsia" w:ascii="宋体" w:hAnsi="宋体"/>
                <w:kern w:val="0"/>
                <w:szCs w:val="21"/>
              </w:rPr>
              <w:t>（1）电子投标文件由投标人使用专用的“新点投标文件制作软件（重庆版）”制作生成。</w:t>
            </w:r>
          </w:p>
          <w:p>
            <w:pPr>
              <w:autoSpaceDE w:val="0"/>
              <w:autoSpaceDN w:val="0"/>
              <w:adjustRightInd w:val="0"/>
              <w:snapToGrid w:val="0"/>
              <w:spacing w:line="400" w:lineRule="exact"/>
              <w:ind w:firstLine="420" w:firstLineChars="200"/>
              <w:rPr>
                <w:rFonts w:hint="eastAsia" w:ascii="宋体" w:hAnsi="宋体"/>
                <w:kern w:val="0"/>
                <w:szCs w:val="21"/>
              </w:rPr>
            </w:pPr>
            <w:r>
              <w:rPr>
                <w:rFonts w:hint="eastAsia" w:ascii="宋体" w:hAnsi="宋体"/>
                <w:kern w:val="0"/>
                <w:szCs w:val="21"/>
              </w:rPr>
              <w:t>（2）投标人在编制电子投标文件时应当建立分级目录，并按照标签提示导入相关内容。</w:t>
            </w:r>
          </w:p>
          <w:p>
            <w:pPr>
              <w:autoSpaceDE w:val="0"/>
              <w:autoSpaceDN w:val="0"/>
              <w:adjustRightInd w:val="0"/>
              <w:snapToGrid w:val="0"/>
              <w:spacing w:line="400" w:lineRule="exact"/>
              <w:ind w:firstLine="420" w:firstLineChars="200"/>
              <w:rPr>
                <w:rFonts w:hint="eastAsia" w:ascii="宋体" w:hAnsi="宋体"/>
                <w:kern w:val="0"/>
                <w:szCs w:val="21"/>
              </w:rPr>
            </w:pPr>
            <w:r>
              <w:rPr>
                <w:rFonts w:hint="eastAsia" w:ascii="宋体" w:hAnsi="宋体"/>
                <w:kern w:val="0"/>
                <w:szCs w:val="21"/>
              </w:rPr>
              <w:t>（3）第八章 投标文件格式要求法定代表人或其委托代理人签名（或盖章）的须齐全，要求签名的，签名采用手写签名或签章或加盖CA数字证书均可，要求加盖单位法人章的，应使用 CA 数字证书加盖投标人的单位电子印章。</w:t>
            </w:r>
          </w:p>
          <w:p>
            <w:pPr>
              <w:autoSpaceDE w:val="0"/>
              <w:autoSpaceDN w:val="0"/>
              <w:adjustRightInd w:val="0"/>
              <w:snapToGrid w:val="0"/>
              <w:spacing w:line="400" w:lineRule="exact"/>
              <w:ind w:firstLine="420" w:firstLineChars="200"/>
              <w:rPr>
                <w:rFonts w:hint="eastAsia" w:ascii="宋体" w:hAnsi="宋体"/>
                <w:kern w:val="0"/>
                <w:szCs w:val="21"/>
              </w:rPr>
            </w:pPr>
            <w:r>
              <w:rPr>
                <w:rFonts w:hint="eastAsia" w:ascii="宋体" w:hAnsi="宋体"/>
                <w:kern w:val="0"/>
                <w:szCs w:val="21"/>
              </w:rPr>
              <w:t>（4）电子投标文件制作完成后，将生成一份加密的电子投标文件（后缀名为.CQTF）和一份不加密的电子投标文件（后缀名为.nCQTF）。</w:t>
            </w:r>
          </w:p>
          <w:p>
            <w:pPr>
              <w:autoSpaceDE w:val="0"/>
              <w:autoSpaceDN w:val="0"/>
              <w:adjustRightInd w:val="0"/>
              <w:snapToGrid w:val="0"/>
              <w:spacing w:line="400" w:lineRule="exact"/>
              <w:ind w:firstLine="420" w:firstLineChars="200"/>
              <w:rPr>
                <w:rFonts w:hint="eastAsia" w:ascii="宋体" w:hAnsi="宋体"/>
                <w:kern w:val="0"/>
                <w:szCs w:val="21"/>
              </w:rPr>
            </w:pPr>
            <w:r>
              <w:rPr>
                <w:rFonts w:hint="eastAsia" w:ascii="宋体" w:hAnsi="宋体"/>
                <w:kern w:val="0"/>
                <w:szCs w:val="21"/>
              </w:rPr>
              <w:t>（5）投标人如需递交不加密电子投标文件的，应将不加密的电子投标文件复制到一张光盘中，光盘表面粘贴标签贴，并将招标项目名称、投标人名称等信息填写在标签贴上。</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（6）电子投标文件制作的具体方法详见“新点投标文件制作软件（重庆版）”中的帮助文档。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default" w:ascii="宋体" w:hAnsi="宋体" w:eastAsia="宋体"/>
                <w:kern w:val="0"/>
                <w:szCs w:val="21"/>
                <w:lang w:val="en-US" w:eastAsia="zh-CN"/>
              </w:rPr>
            </w:pPr>
            <w:r>
              <w:rPr>
                <w:rFonts w:hint="eastAsia" w:ascii="宋体" w:hAnsi="宋体"/>
                <w:kern w:val="0"/>
                <w:szCs w:val="21"/>
              </w:rPr>
              <w:t>10.</w:t>
            </w:r>
            <w:r>
              <w:rPr>
                <w:rFonts w:hint="eastAsia" w:ascii="宋体" w:hAnsi="宋体"/>
                <w:kern w:val="0"/>
                <w:szCs w:val="21"/>
                <w:lang w:val="en-US" w:eastAsia="zh-CN"/>
              </w:rPr>
              <w:t>7</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其他</w:t>
            </w:r>
          </w:p>
        </w:tc>
        <w:tc>
          <w:tcPr>
            <w:tcW w:w="6490" w:type="dxa"/>
            <w:vAlign w:val="center"/>
          </w:tcPr>
          <w:p>
            <w:pPr>
              <w:autoSpaceDE w:val="0"/>
              <w:autoSpaceDN w:val="0"/>
              <w:adjustRightInd w:val="0"/>
              <w:snapToGrid w:val="0"/>
              <w:spacing w:line="400" w:lineRule="exact"/>
              <w:ind w:firstLine="420"/>
              <w:rPr>
                <w:rFonts w:ascii="宋体" w:hAnsi="宋体"/>
                <w:i/>
                <w:kern w:val="0"/>
                <w:szCs w:val="21"/>
              </w:rPr>
            </w:pPr>
            <w:r>
              <w:rPr>
                <w:rFonts w:hint="eastAsia" w:ascii="宋体" w:hAnsi="宋体"/>
                <w:i/>
                <w:kern w:val="0"/>
                <w:szCs w:val="21"/>
              </w:rPr>
              <w:t>[提示：招标人认为需要增加的，且与本表前述条款不重复的，不涉及资格和否决投标的内容]</w:t>
            </w:r>
          </w:p>
        </w:tc>
      </w:tr>
    </w:tbl>
    <w:p>
      <w:pPr>
        <w:pStyle w:val="4"/>
        <w:spacing w:before="0" w:after="0" w:line="20" w:lineRule="exact"/>
        <w:rPr>
          <w:rFonts w:ascii="宋体" w:hAnsi="宋体"/>
          <w:b w:val="0"/>
          <w:snapToGrid w:val="0"/>
        </w:rPr>
      </w:pPr>
      <w:bookmarkStart w:id="183" w:name="_Toc287607746"/>
      <w:bookmarkStart w:id="184" w:name="_Toc430530435"/>
      <w:bookmarkStart w:id="185" w:name="_Toc200513126"/>
      <w:bookmarkStart w:id="186" w:name="_Toc224103317"/>
      <w:bookmarkStart w:id="187" w:name="_Toc287620685"/>
      <w:bookmarkStart w:id="188" w:name="_Toc277082552"/>
    </w:p>
    <w:p>
      <w:pPr>
        <w:pStyle w:val="4"/>
        <w:spacing w:before="0" w:after="0" w:line="200" w:lineRule="exact"/>
        <w:rPr>
          <w:rFonts w:ascii="宋体" w:hAnsi="宋体"/>
          <w:b w:val="0"/>
          <w:snapToGrid w:val="0"/>
        </w:rPr>
      </w:pPr>
      <w:r>
        <w:rPr>
          <w:rFonts w:ascii="宋体" w:hAnsi="宋体"/>
          <w:b w:val="0"/>
          <w:snapToGrid w:val="0"/>
        </w:rPr>
        <w:br w:type="page"/>
      </w:r>
    </w:p>
    <w:p>
      <w:pPr>
        <w:pStyle w:val="4"/>
        <w:spacing w:before="0" w:after="0" w:line="360" w:lineRule="auto"/>
        <w:rPr>
          <w:rFonts w:ascii="宋体" w:hAnsi="宋体"/>
          <w:b w:val="0"/>
          <w:snapToGrid w:val="0"/>
        </w:rPr>
      </w:pPr>
      <w:bookmarkStart w:id="189" w:name="_Toc509218710"/>
      <w:bookmarkStart w:id="190" w:name="_Toc7788"/>
      <w:bookmarkStart w:id="191" w:name="_Toc18233"/>
      <w:r>
        <w:rPr>
          <w:rFonts w:ascii="宋体" w:hAnsi="宋体"/>
          <w:b w:val="0"/>
          <w:snapToGrid w:val="0"/>
        </w:rPr>
        <w:t>1.  总则</w:t>
      </w:r>
      <w:bookmarkEnd w:id="183"/>
      <w:bookmarkEnd w:id="184"/>
      <w:bookmarkEnd w:id="185"/>
      <w:bookmarkEnd w:id="186"/>
      <w:bookmarkEnd w:id="187"/>
      <w:bookmarkEnd w:id="188"/>
      <w:bookmarkEnd w:id="189"/>
      <w:bookmarkEnd w:id="190"/>
      <w:bookmarkEnd w:id="191"/>
    </w:p>
    <w:p>
      <w:pPr>
        <w:pStyle w:val="5"/>
        <w:snapToGrid w:val="0"/>
        <w:spacing w:before="0" w:after="0" w:line="360" w:lineRule="auto"/>
        <w:rPr>
          <w:rFonts w:ascii="宋体" w:hAnsi="宋体"/>
          <w:b w:val="0"/>
          <w:snapToGrid w:val="0"/>
          <w:sz w:val="24"/>
          <w:szCs w:val="24"/>
        </w:rPr>
      </w:pPr>
      <w:bookmarkStart w:id="192" w:name="_Toc509218711"/>
      <w:bookmarkStart w:id="193" w:name="_Toc430530436"/>
      <w:bookmarkStart w:id="194" w:name="_Toc200513127"/>
      <w:bookmarkStart w:id="195" w:name="_Toc287620686"/>
      <w:bookmarkStart w:id="196" w:name="_Toc287607747"/>
      <w:bookmarkStart w:id="197" w:name="_Toc21822"/>
      <w:bookmarkStart w:id="198" w:name="_Toc21579"/>
      <w:bookmarkStart w:id="199" w:name="_Toc224103318"/>
      <w:bookmarkStart w:id="200" w:name="_Toc277082553"/>
      <w:r>
        <w:rPr>
          <w:rFonts w:ascii="宋体" w:hAnsi="宋体"/>
          <w:b w:val="0"/>
          <w:snapToGrid w:val="0"/>
          <w:sz w:val="24"/>
          <w:szCs w:val="24"/>
        </w:rPr>
        <w:t>1.1  项目概况</w:t>
      </w:r>
      <w:bookmarkEnd w:id="192"/>
      <w:bookmarkEnd w:id="193"/>
      <w:bookmarkEnd w:id="194"/>
      <w:bookmarkEnd w:id="195"/>
      <w:bookmarkEnd w:id="196"/>
      <w:bookmarkEnd w:id="197"/>
      <w:bookmarkEnd w:id="198"/>
      <w:bookmarkEnd w:id="199"/>
      <w:bookmarkEnd w:id="20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1.1.1  根据《中华人民共和国招标投标法》等有关法律、法规和规章的规定，本招标项目已具备招标条件，现对本</w:t>
      </w:r>
      <w:r>
        <w:rPr>
          <w:rFonts w:hint="eastAsia" w:ascii="宋体" w:hAnsi="宋体"/>
          <w:snapToGrid w:val="0"/>
          <w:kern w:val="0"/>
          <w:szCs w:val="21"/>
        </w:rPr>
        <w:t>项目</w:t>
      </w:r>
      <w:r>
        <w:rPr>
          <w:rFonts w:ascii="宋体" w:hAnsi="宋体"/>
          <w:snapToGrid w:val="0"/>
          <w:kern w:val="0"/>
          <w:szCs w:val="21"/>
        </w:rPr>
        <w:t>施工进行招标。</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  本招标项目招标人：见投标人须知前附表。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1.1.3  本招标项目招标代理机构：见投标人须知前附表。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r>
        <w:rPr>
          <w:rFonts w:hint="eastAsia" w:ascii="宋体" w:hAnsi="宋体"/>
          <w:snapToGrid w:val="0"/>
          <w:kern w:val="0"/>
          <w:szCs w:val="21"/>
        </w:rPr>
        <w:t>4</w:t>
      </w:r>
      <w:r>
        <w:rPr>
          <w:rFonts w:ascii="宋体" w:hAnsi="宋体"/>
          <w:snapToGrid w:val="0"/>
          <w:kern w:val="0"/>
          <w:szCs w:val="21"/>
        </w:rPr>
        <w:t xml:space="preserve">  本招标项目名称：见投标人须知前附表。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1.1.5  本招标项目建设地点：见投标人须知前附表。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1.1.6  本招标项目建设规模：见投标人须知前附表。</w:t>
      </w:r>
    </w:p>
    <w:p>
      <w:pPr>
        <w:pStyle w:val="5"/>
        <w:snapToGrid w:val="0"/>
        <w:spacing w:before="0" w:after="0" w:line="360" w:lineRule="auto"/>
        <w:rPr>
          <w:rFonts w:ascii="宋体" w:hAnsi="宋体"/>
          <w:b w:val="0"/>
          <w:snapToGrid w:val="0"/>
          <w:sz w:val="24"/>
          <w:szCs w:val="24"/>
        </w:rPr>
      </w:pPr>
      <w:bookmarkStart w:id="201" w:name="_Toc200513128"/>
      <w:bookmarkStart w:id="202" w:name="_Toc277082554"/>
      <w:bookmarkStart w:id="203" w:name="_Toc287607748"/>
      <w:bookmarkStart w:id="204" w:name="_Toc509218712"/>
      <w:bookmarkStart w:id="205" w:name="_Toc287620687"/>
      <w:bookmarkStart w:id="206" w:name="_Toc224103319"/>
      <w:bookmarkStart w:id="207" w:name="_Toc10126"/>
      <w:bookmarkStart w:id="208" w:name="_Toc430530437"/>
      <w:bookmarkStart w:id="209" w:name="_Toc14311"/>
      <w:r>
        <w:rPr>
          <w:rFonts w:ascii="宋体" w:hAnsi="宋体"/>
          <w:b w:val="0"/>
          <w:snapToGrid w:val="0"/>
          <w:sz w:val="24"/>
          <w:szCs w:val="24"/>
        </w:rPr>
        <w:t>1.2  资金来源和落实情况</w:t>
      </w:r>
      <w:bookmarkEnd w:id="201"/>
      <w:bookmarkEnd w:id="202"/>
      <w:bookmarkEnd w:id="203"/>
      <w:bookmarkEnd w:id="204"/>
      <w:bookmarkEnd w:id="205"/>
      <w:bookmarkEnd w:id="206"/>
      <w:bookmarkEnd w:id="207"/>
      <w:bookmarkEnd w:id="208"/>
      <w:bookmarkEnd w:id="209"/>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1.2.1  本招标项目的资金来源：见投标人须知前附表。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1.2.2  本招标项目的出资比例：见投标人须知前附表。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1.2.3  本招标项目的资金落实情况：见投标人须知前附表。</w:t>
      </w:r>
    </w:p>
    <w:p>
      <w:pPr>
        <w:pStyle w:val="5"/>
        <w:snapToGrid w:val="0"/>
        <w:spacing w:before="0" w:after="0" w:line="360" w:lineRule="auto"/>
        <w:rPr>
          <w:rFonts w:ascii="宋体" w:hAnsi="宋体"/>
          <w:b w:val="0"/>
          <w:snapToGrid w:val="0"/>
          <w:sz w:val="24"/>
          <w:szCs w:val="24"/>
        </w:rPr>
      </w:pPr>
      <w:bookmarkStart w:id="210" w:name="_Toc20343"/>
      <w:bookmarkStart w:id="211" w:name="_Toc430530438"/>
      <w:bookmarkStart w:id="212" w:name="_Toc509218713"/>
      <w:bookmarkStart w:id="213" w:name="_Toc2122"/>
      <w:bookmarkStart w:id="214" w:name="_Toc287607749"/>
      <w:bookmarkStart w:id="215" w:name="_Toc200513129"/>
      <w:bookmarkStart w:id="216" w:name="_Toc277082555"/>
      <w:bookmarkStart w:id="217" w:name="_Toc287620688"/>
      <w:bookmarkStart w:id="218" w:name="_Toc224103320"/>
      <w:r>
        <w:rPr>
          <w:rFonts w:ascii="宋体" w:hAnsi="宋体"/>
          <w:b w:val="0"/>
          <w:snapToGrid w:val="0"/>
          <w:sz w:val="24"/>
          <w:szCs w:val="24"/>
        </w:rPr>
        <w:t>1.3  招标范围、计划工期和质量要求</w:t>
      </w:r>
      <w:bookmarkEnd w:id="210"/>
      <w:bookmarkEnd w:id="211"/>
      <w:bookmarkEnd w:id="212"/>
      <w:bookmarkEnd w:id="213"/>
      <w:bookmarkEnd w:id="214"/>
      <w:bookmarkEnd w:id="215"/>
      <w:bookmarkEnd w:id="216"/>
      <w:bookmarkEnd w:id="217"/>
      <w:bookmarkEnd w:id="21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1.3.1  招标范围：见投标人须知前附表。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1.3.2  计划工期：见投标人须知前附表。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1.3.3  质量要求：见投标人须知前附表。</w:t>
      </w:r>
    </w:p>
    <w:p>
      <w:pPr>
        <w:pStyle w:val="5"/>
        <w:snapToGrid w:val="0"/>
        <w:spacing w:before="0" w:after="0" w:line="360" w:lineRule="auto"/>
        <w:rPr>
          <w:rFonts w:ascii="宋体" w:hAnsi="宋体"/>
          <w:b w:val="0"/>
          <w:snapToGrid w:val="0"/>
          <w:sz w:val="24"/>
          <w:szCs w:val="24"/>
        </w:rPr>
      </w:pPr>
      <w:bookmarkStart w:id="219" w:name="_Toc4719"/>
      <w:bookmarkStart w:id="220" w:name="_Toc200513130"/>
      <w:bookmarkStart w:id="221" w:name="_Toc287607750"/>
      <w:bookmarkStart w:id="222" w:name="_Toc12701"/>
      <w:bookmarkStart w:id="223" w:name="_Toc509218714"/>
      <w:bookmarkStart w:id="224" w:name="_Toc430530439"/>
      <w:bookmarkStart w:id="225" w:name="_Toc224103321"/>
      <w:bookmarkStart w:id="226" w:name="_Toc277082556"/>
      <w:bookmarkStart w:id="227" w:name="_Toc287620689"/>
      <w:r>
        <w:rPr>
          <w:rFonts w:ascii="宋体" w:hAnsi="宋体"/>
          <w:b w:val="0"/>
          <w:snapToGrid w:val="0"/>
          <w:sz w:val="24"/>
          <w:szCs w:val="24"/>
        </w:rPr>
        <w:t>1.4</w:t>
      </w:r>
      <w:r>
        <w:rPr>
          <w:rFonts w:hint="eastAsia" w:ascii="宋体" w:hAnsi="宋体"/>
          <w:b w:val="0"/>
          <w:snapToGrid w:val="0"/>
          <w:sz w:val="24"/>
          <w:szCs w:val="24"/>
        </w:rPr>
        <w:t>A</w:t>
      </w:r>
      <w:r>
        <w:rPr>
          <w:rFonts w:ascii="宋体" w:hAnsi="宋体"/>
          <w:b w:val="0"/>
          <w:snapToGrid w:val="0"/>
          <w:sz w:val="24"/>
          <w:szCs w:val="24"/>
        </w:rPr>
        <w:t xml:space="preserve">  投标人资格要求（</w:t>
      </w:r>
      <w:r>
        <w:rPr>
          <w:rFonts w:hint="eastAsia" w:ascii="宋体" w:hAnsi="宋体"/>
          <w:b w:val="0"/>
          <w:snapToGrid w:val="0"/>
          <w:sz w:val="24"/>
          <w:szCs w:val="24"/>
        </w:rPr>
        <w:t>适用于已进行资格预审的</w:t>
      </w:r>
      <w:r>
        <w:rPr>
          <w:rFonts w:ascii="宋体" w:hAnsi="宋体"/>
          <w:b w:val="0"/>
          <w:snapToGrid w:val="0"/>
          <w:sz w:val="24"/>
          <w:szCs w:val="24"/>
        </w:rPr>
        <w:t>）</w:t>
      </w:r>
      <w:bookmarkEnd w:id="219"/>
      <w:bookmarkEnd w:id="220"/>
      <w:bookmarkEnd w:id="221"/>
      <w:bookmarkEnd w:id="222"/>
      <w:bookmarkEnd w:id="223"/>
      <w:bookmarkEnd w:id="224"/>
      <w:bookmarkEnd w:id="225"/>
      <w:bookmarkEnd w:id="226"/>
      <w:bookmarkEnd w:id="227"/>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投标人应是收到招标人发出投标邀请书的单位。</w:t>
      </w:r>
    </w:p>
    <w:p>
      <w:pPr>
        <w:pStyle w:val="5"/>
        <w:snapToGrid w:val="0"/>
        <w:spacing w:before="0" w:after="0" w:line="360" w:lineRule="auto"/>
        <w:rPr>
          <w:rFonts w:ascii="宋体" w:hAnsi="宋体"/>
          <w:b w:val="0"/>
          <w:snapToGrid w:val="0"/>
          <w:sz w:val="24"/>
          <w:szCs w:val="24"/>
        </w:rPr>
      </w:pPr>
      <w:bookmarkStart w:id="228" w:name="_Toc277082557"/>
      <w:bookmarkStart w:id="229" w:name="_Toc287620690"/>
      <w:bookmarkStart w:id="230" w:name="_Toc31561"/>
      <w:bookmarkStart w:id="231" w:name="_Toc224103322"/>
      <w:bookmarkStart w:id="232" w:name="_Toc6715"/>
      <w:bookmarkStart w:id="233" w:name="_Toc509218715"/>
      <w:bookmarkStart w:id="234" w:name="_Toc430530440"/>
      <w:bookmarkStart w:id="235" w:name="_Toc287607751"/>
      <w:bookmarkStart w:id="236" w:name="_Toc200513131"/>
      <w:r>
        <w:rPr>
          <w:rFonts w:ascii="宋体" w:hAnsi="宋体"/>
          <w:b w:val="0"/>
          <w:snapToGrid w:val="0"/>
          <w:sz w:val="24"/>
          <w:szCs w:val="24"/>
        </w:rPr>
        <w:t>1.4</w:t>
      </w:r>
      <w:r>
        <w:rPr>
          <w:rFonts w:hint="eastAsia" w:ascii="宋体" w:hAnsi="宋体"/>
          <w:b w:val="0"/>
          <w:snapToGrid w:val="0"/>
          <w:sz w:val="24"/>
          <w:szCs w:val="24"/>
        </w:rPr>
        <w:t>B</w:t>
      </w:r>
      <w:r>
        <w:rPr>
          <w:rFonts w:ascii="宋体" w:hAnsi="宋体"/>
          <w:b w:val="0"/>
          <w:snapToGrid w:val="0"/>
          <w:sz w:val="24"/>
          <w:szCs w:val="24"/>
        </w:rPr>
        <w:t xml:space="preserve">  投标人资格要求（</w:t>
      </w:r>
      <w:r>
        <w:rPr>
          <w:rFonts w:hint="eastAsia" w:ascii="宋体" w:hAnsi="宋体"/>
          <w:b w:val="0"/>
          <w:snapToGrid w:val="0"/>
          <w:sz w:val="24"/>
          <w:szCs w:val="24"/>
        </w:rPr>
        <w:t>适用于未进行资格预审的</w:t>
      </w:r>
      <w:r>
        <w:rPr>
          <w:rFonts w:ascii="宋体" w:hAnsi="宋体"/>
          <w:b w:val="0"/>
          <w:snapToGrid w:val="0"/>
          <w:sz w:val="24"/>
          <w:szCs w:val="24"/>
        </w:rPr>
        <w:t>）</w:t>
      </w:r>
      <w:bookmarkEnd w:id="228"/>
      <w:bookmarkEnd w:id="229"/>
      <w:bookmarkEnd w:id="230"/>
      <w:bookmarkEnd w:id="231"/>
      <w:bookmarkEnd w:id="232"/>
      <w:bookmarkEnd w:id="233"/>
      <w:bookmarkEnd w:id="234"/>
      <w:bookmarkEnd w:id="235"/>
      <w:bookmarkEnd w:id="23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1.4.1 投标人应具备承担本标段施工的资质条件、能力和信誉。</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ascii="宋体" w:hAnsi="宋体"/>
          <w:szCs w:val="21"/>
        </w:rPr>
        <w:t>资质条件、</w:t>
      </w:r>
      <w:r>
        <w:rPr>
          <w:rFonts w:hint="eastAsia" w:ascii="宋体" w:hAnsi="宋体"/>
          <w:szCs w:val="21"/>
          <w:lang w:eastAsia="zh-CN"/>
        </w:rPr>
        <w:t>独立法人资格</w:t>
      </w:r>
      <w:r>
        <w:rPr>
          <w:rFonts w:ascii="宋体" w:hAnsi="宋体"/>
          <w:szCs w:val="21"/>
        </w:rPr>
        <w:t>及安全生产条件</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（2）财务要求：见投标人须知前附表；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（3）业绩要求：见投标人须知前附表；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投标截止日投标资格情况</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（5）项目经理资格</w:t>
      </w:r>
      <w:r>
        <w:rPr>
          <w:rFonts w:hint="eastAsia" w:ascii="宋体" w:hAnsi="宋体"/>
          <w:snapToGrid w:val="0"/>
          <w:kern w:val="0"/>
          <w:szCs w:val="21"/>
        </w:rPr>
        <w:t>要求</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（6）其他要求：见投标人须知前附表。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1.4.2  投标人须知前附表规定接受联合体投标的，除应符合本章第1.4.1项和投标人须知前附表的要求外，还应遵守以下规定：</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（1）联合体各方应按招标文件提供的格式签订</w:t>
      </w:r>
      <w:r>
        <w:rPr>
          <w:rFonts w:hint="eastAsia" w:ascii="宋体" w:hAnsi="宋体"/>
          <w:lang w:val="en-US" w:eastAsia="zh-CN"/>
        </w:rPr>
        <w:t>共同投标协议</w:t>
      </w:r>
      <w:r>
        <w:rPr>
          <w:rFonts w:ascii="宋体" w:hAnsi="宋体"/>
          <w:snapToGrid w:val="0"/>
          <w:kern w:val="0"/>
          <w:szCs w:val="21"/>
        </w:rPr>
        <w:t>，明确联合体牵头人和各方权利义务</w:t>
      </w:r>
      <w:r>
        <w:rPr>
          <w:rFonts w:hint="eastAsia" w:ascii="宋体" w:hAnsi="宋体"/>
          <w:snapToGrid w:val="0"/>
          <w:kern w:val="0"/>
          <w:szCs w:val="21"/>
          <w:lang w:eastAsia="zh-CN"/>
        </w:rPr>
        <w:t>，</w:t>
      </w:r>
      <w:r>
        <w:rPr>
          <w:rFonts w:asciiTheme="minorEastAsia" w:hAnsiTheme="minorEastAsia" w:eastAsiaTheme="minorEastAsia"/>
          <w:color w:val="auto"/>
          <w:highlight w:val="none"/>
        </w:rPr>
        <w:t>并承诺就中标项目向招标人承担连带责任</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（2）联合体各方均应当具备承担招标项目的相应能力；</w:t>
      </w:r>
      <w:r>
        <w:rPr>
          <w:rFonts w:hint="eastAsia" w:ascii="宋体" w:hAnsi="宋体"/>
          <w:lang w:val="en-US" w:eastAsia="zh-CN"/>
        </w:rPr>
        <w:t>共同投标协议</w:t>
      </w:r>
      <w:r>
        <w:rPr>
          <w:rFonts w:ascii="宋体" w:hAnsi="宋体"/>
          <w:snapToGrid w:val="0"/>
          <w:kern w:val="0"/>
          <w:szCs w:val="21"/>
        </w:rPr>
        <w:t>约定同一专业分工由两个及以上单位共同承担的，</w:t>
      </w:r>
      <w:r>
        <w:rPr>
          <w:rFonts w:hint="eastAsia" w:ascii="宋体" w:hAnsi="宋体"/>
          <w:snapToGrid w:val="0"/>
          <w:kern w:val="0"/>
          <w:szCs w:val="21"/>
        </w:rPr>
        <w:t>按照资质等级较低的单位确定资质等级</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（3）联合体各方不得再以自己名义单独或参加其他联合体在</w:t>
      </w:r>
      <w:r>
        <w:rPr>
          <w:rFonts w:hint="eastAsia" w:ascii="宋体" w:hAnsi="宋体"/>
          <w:snapToGrid w:val="0"/>
          <w:kern w:val="0"/>
          <w:szCs w:val="21"/>
          <w:lang w:val="en-US" w:eastAsia="zh-CN"/>
        </w:rPr>
        <w:t>本招标项目</w:t>
      </w:r>
      <w:r>
        <w:rPr>
          <w:rFonts w:ascii="宋体" w:hAnsi="宋体"/>
          <w:snapToGrid w:val="0"/>
          <w:kern w:val="0"/>
          <w:szCs w:val="21"/>
        </w:rPr>
        <w:t>同一标段中投标</w:t>
      </w:r>
      <w:r>
        <w:rPr>
          <w:rFonts w:hint="eastAsia" w:ascii="宋体" w:hAnsi="宋体"/>
          <w:snapToGrid w:val="0"/>
          <w:kern w:val="0"/>
          <w:szCs w:val="21"/>
          <w:lang w:eastAsia="zh-CN"/>
        </w:rPr>
        <w:t>，</w:t>
      </w:r>
      <w:r>
        <w:rPr>
          <w:rFonts w:hint="eastAsia" w:ascii="宋体" w:hAnsi="宋体"/>
          <w:snapToGrid w:val="0"/>
          <w:kern w:val="0"/>
          <w:szCs w:val="21"/>
          <w:lang w:val="en-US" w:eastAsia="zh-CN"/>
        </w:rPr>
        <w:t>否则各相关投标均无效</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1.4.3  投标人不得存在下列情形之一：</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（1）与招标人存在利害关系可能影响招标公正性的法人、其他组织或者个人；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（2）为本标段前期准备提供设计或咨询服务的，但设计施工总承包的除外；</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（3）为本标段的监理人；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（4）为本标段的代建人；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（5）为本标段提供招标代理服务的；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（6）与本标段的监理人或代建人或招标代理机构同为一个法定代表人的；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（7）与本标段的监理人或代建人或招标代理机构</w:t>
      </w:r>
      <w:r>
        <w:rPr>
          <w:rFonts w:hint="eastAsia" w:ascii="宋体" w:hAnsi="宋体"/>
          <w:snapToGrid w:val="0"/>
          <w:kern w:val="0"/>
          <w:szCs w:val="21"/>
          <w:lang w:eastAsia="zh-CN"/>
        </w:rPr>
        <w:t>存在</w:t>
      </w:r>
      <w:r>
        <w:rPr>
          <w:rFonts w:ascii="宋体" w:hAnsi="宋体"/>
          <w:snapToGrid w:val="0"/>
          <w:kern w:val="0"/>
          <w:szCs w:val="21"/>
        </w:rPr>
        <w:t>控股或参股的；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（8）与本标段的监理人或代建人或招标代理机构相互任职或工作的；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（9）</w:t>
      </w:r>
      <w:r>
        <w:rPr>
          <w:rFonts w:asciiTheme="minorEastAsia" w:hAnsiTheme="minorEastAsia" w:eastAsiaTheme="minorEastAsia"/>
          <w:color w:val="auto"/>
          <w:szCs w:val="21"/>
          <w:highlight w:val="none"/>
        </w:rPr>
        <w:t>被责令停产停业、暂扣或者吊销许可证、暂扣或者吊销执照</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（10）</w:t>
      </w:r>
      <w:r>
        <w:rPr>
          <w:rFonts w:hint="eastAsia" w:ascii="宋体" w:hAnsi="宋体"/>
          <w:snapToGrid w:val="0"/>
          <w:kern w:val="0"/>
          <w:szCs w:val="21"/>
        </w:rPr>
        <w:t>被国家、重庆市（含市或任意区县）有关行政部门处以暂停投标资格行政处罚，且在处罚期限内的</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r>
        <w:rPr>
          <w:rFonts w:asciiTheme="minorEastAsia" w:hAnsiTheme="minorEastAsia" w:eastAsiaTheme="minorEastAsia"/>
          <w:color w:val="auto"/>
          <w:szCs w:val="21"/>
          <w:highlight w:val="none"/>
        </w:rPr>
        <w:t>进入清算程序，或被宣告破产，或其他丧失履约能力的情形</w:t>
      </w:r>
      <w:r>
        <w:rPr>
          <w:rFonts w:ascii="宋体" w:hAnsi="宋体"/>
          <w:snapToGrid w:val="0"/>
          <w:kern w:val="0"/>
          <w:szCs w:val="21"/>
        </w:rPr>
        <w:t>；</w:t>
      </w:r>
    </w:p>
    <w:p>
      <w:pPr>
        <w:autoSpaceDE w:val="0"/>
        <w:autoSpaceDN w:val="0"/>
        <w:adjustRightInd w:val="0"/>
        <w:snapToGrid w:val="0"/>
        <w:spacing w:line="360" w:lineRule="auto"/>
        <w:ind w:firstLine="420" w:firstLineChars="200"/>
        <w:rPr>
          <w:rFonts w:hint="eastAsia" w:ascii="宋体" w:hAnsi="宋体" w:eastAsia="宋体"/>
          <w:snapToGrid w:val="0"/>
          <w:kern w:val="0"/>
          <w:szCs w:val="21"/>
          <w:lang w:eastAsia="zh-CN"/>
        </w:rPr>
      </w:pPr>
      <w:r>
        <w:rPr>
          <w:rFonts w:hint="eastAsia" w:ascii="宋体" w:hAnsi="宋体"/>
          <w:snapToGrid w:val="0"/>
          <w:kern w:val="0"/>
          <w:szCs w:val="21"/>
        </w:rPr>
        <w:t>（</w:t>
      </w:r>
      <w:r>
        <w:rPr>
          <w:rFonts w:hint="eastAsia" w:ascii="宋体" w:hAnsi="宋体"/>
          <w:snapToGrid w:val="0"/>
          <w:kern w:val="0"/>
          <w:szCs w:val="21"/>
          <w:lang w:val="en-US" w:eastAsia="zh-CN"/>
        </w:rPr>
        <w:t>12</w:t>
      </w:r>
      <w:r>
        <w:rPr>
          <w:rFonts w:hint="eastAsia" w:ascii="宋体" w:hAnsi="宋体"/>
          <w:snapToGrid w:val="0"/>
          <w:kern w:val="0"/>
          <w:szCs w:val="21"/>
        </w:rPr>
        <w:t>）被市场监督管理机关在全国企业信用信息公示系统中列入严重违法失信企业名单</w:t>
      </w:r>
      <w:r>
        <w:rPr>
          <w:rFonts w:hint="eastAsia" w:ascii="宋体" w:hAnsi="宋体"/>
          <w:snapToGrid w:val="0"/>
          <w:kern w:val="0"/>
          <w:szCs w:val="21"/>
          <w:lang w:eastAsia="zh-CN"/>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lang w:val="en-US" w:eastAsia="zh-CN"/>
        </w:rPr>
        <w:t>13</w:t>
      </w:r>
      <w:r>
        <w:rPr>
          <w:rFonts w:ascii="宋体" w:hAnsi="宋体"/>
          <w:snapToGrid w:val="0"/>
          <w:kern w:val="0"/>
          <w:szCs w:val="21"/>
        </w:rPr>
        <w:t>）</w:t>
      </w:r>
      <w:r>
        <w:rPr>
          <w:rFonts w:ascii="宋体" w:hAnsi="宋体"/>
          <w:szCs w:val="21"/>
        </w:rPr>
        <w:t>单位负责人为同一人或者存在控股、管理关系的不同单位，不得在同一标段中同时投标</w:t>
      </w:r>
      <w:r>
        <w:rPr>
          <w:rFonts w:ascii="宋体" w:hAnsi="宋体"/>
          <w:snapToGrid w:val="0"/>
          <w:kern w:val="0"/>
          <w:szCs w:val="21"/>
        </w:rPr>
        <w:t>。</w:t>
      </w:r>
    </w:p>
    <w:p>
      <w:pPr>
        <w:pStyle w:val="5"/>
        <w:snapToGrid w:val="0"/>
        <w:spacing w:before="0" w:after="0" w:line="360" w:lineRule="auto"/>
        <w:rPr>
          <w:rFonts w:ascii="宋体" w:hAnsi="宋体"/>
          <w:b w:val="0"/>
          <w:snapToGrid w:val="0"/>
          <w:sz w:val="24"/>
          <w:szCs w:val="24"/>
        </w:rPr>
      </w:pPr>
      <w:bookmarkStart w:id="237" w:name="_Toc224103323"/>
      <w:bookmarkStart w:id="238" w:name="_Toc509218716"/>
      <w:bookmarkStart w:id="239" w:name="_Toc200513132"/>
      <w:bookmarkStart w:id="240" w:name="_Toc287620691"/>
      <w:bookmarkStart w:id="241" w:name="_Toc430530441"/>
      <w:bookmarkStart w:id="242" w:name="_Toc287607752"/>
      <w:bookmarkStart w:id="243" w:name="_Toc7453"/>
      <w:bookmarkStart w:id="244" w:name="_Toc32586"/>
      <w:bookmarkStart w:id="245" w:name="_Toc277082558"/>
      <w:r>
        <w:rPr>
          <w:rFonts w:ascii="宋体" w:hAnsi="宋体"/>
          <w:b w:val="0"/>
          <w:snapToGrid w:val="0"/>
          <w:sz w:val="24"/>
          <w:szCs w:val="24"/>
        </w:rPr>
        <w:t>1.5  费用承担</w:t>
      </w:r>
      <w:bookmarkEnd w:id="237"/>
      <w:bookmarkEnd w:id="238"/>
      <w:bookmarkEnd w:id="239"/>
      <w:bookmarkEnd w:id="240"/>
      <w:bookmarkEnd w:id="241"/>
      <w:bookmarkEnd w:id="242"/>
      <w:bookmarkEnd w:id="243"/>
      <w:bookmarkEnd w:id="244"/>
      <w:bookmarkEnd w:id="24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投标人准备和参加投标活动发生的费用自理。</w:t>
      </w:r>
    </w:p>
    <w:p>
      <w:pPr>
        <w:pStyle w:val="5"/>
        <w:snapToGrid w:val="0"/>
        <w:spacing w:before="0" w:after="0" w:line="360" w:lineRule="auto"/>
        <w:rPr>
          <w:rFonts w:ascii="宋体" w:hAnsi="宋体"/>
          <w:b w:val="0"/>
          <w:snapToGrid w:val="0"/>
          <w:sz w:val="24"/>
          <w:szCs w:val="24"/>
        </w:rPr>
      </w:pPr>
      <w:bookmarkStart w:id="246" w:name="_Toc224103324"/>
      <w:bookmarkStart w:id="247" w:name="_Toc430530442"/>
      <w:bookmarkStart w:id="248" w:name="_Toc200513133"/>
      <w:bookmarkStart w:id="249" w:name="_Toc24694"/>
      <w:bookmarkStart w:id="250" w:name="_Toc31301"/>
      <w:bookmarkStart w:id="251" w:name="_Toc287620692"/>
      <w:bookmarkStart w:id="252" w:name="_Toc509218717"/>
      <w:bookmarkStart w:id="253" w:name="_Toc287607753"/>
      <w:bookmarkStart w:id="254" w:name="_Toc277082559"/>
      <w:r>
        <w:rPr>
          <w:rFonts w:ascii="宋体" w:hAnsi="宋体"/>
          <w:b w:val="0"/>
          <w:snapToGrid w:val="0"/>
          <w:sz w:val="24"/>
          <w:szCs w:val="24"/>
        </w:rPr>
        <w:t>1.6  保密</w:t>
      </w:r>
      <w:bookmarkEnd w:id="246"/>
      <w:bookmarkEnd w:id="247"/>
      <w:bookmarkEnd w:id="248"/>
      <w:bookmarkEnd w:id="249"/>
      <w:bookmarkEnd w:id="250"/>
      <w:bookmarkEnd w:id="251"/>
      <w:bookmarkEnd w:id="252"/>
      <w:bookmarkEnd w:id="253"/>
      <w:bookmarkEnd w:id="254"/>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参与招标投标活动的各方应对招标文件和投标文件中的商业和技术等秘密保密，违者应对由此造成的后果承担法律责任。</w:t>
      </w:r>
    </w:p>
    <w:p>
      <w:pPr>
        <w:pStyle w:val="5"/>
        <w:snapToGrid w:val="0"/>
        <w:spacing w:before="0" w:after="0" w:line="360" w:lineRule="auto"/>
        <w:rPr>
          <w:rFonts w:ascii="宋体" w:hAnsi="宋体"/>
          <w:b w:val="0"/>
          <w:snapToGrid w:val="0"/>
          <w:sz w:val="24"/>
          <w:szCs w:val="24"/>
        </w:rPr>
      </w:pPr>
      <w:bookmarkStart w:id="255" w:name="_Toc509218718"/>
      <w:bookmarkStart w:id="256" w:name="_Toc277082560"/>
      <w:bookmarkStart w:id="257" w:name="_Toc27614"/>
      <w:bookmarkStart w:id="258" w:name="_Toc287620693"/>
      <w:bookmarkStart w:id="259" w:name="_Toc224103325"/>
      <w:bookmarkStart w:id="260" w:name="_Toc27725"/>
      <w:bookmarkStart w:id="261" w:name="_Toc430530443"/>
      <w:bookmarkStart w:id="262" w:name="_Toc200513134"/>
      <w:bookmarkStart w:id="263" w:name="_Toc287607754"/>
      <w:r>
        <w:rPr>
          <w:rFonts w:ascii="宋体" w:hAnsi="宋体"/>
          <w:b w:val="0"/>
          <w:snapToGrid w:val="0"/>
          <w:sz w:val="24"/>
          <w:szCs w:val="24"/>
        </w:rPr>
        <w:t>1.7  语言文字</w:t>
      </w:r>
      <w:bookmarkEnd w:id="255"/>
      <w:bookmarkEnd w:id="256"/>
      <w:bookmarkEnd w:id="257"/>
      <w:bookmarkEnd w:id="258"/>
      <w:bookmarkEnd w:id="259"/>
      <w:bookmarkEnd w:id="260"/>
      <w:bookmarkEnd w:id="261"/>
      <w:bookmarkEnd w:id="262"/>
      <w:bookmarkEnd w:id="263"/>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除专用术语外，与招标投标有关的语言均使用中文。必要时专用术语应附有中文注释。</w:t>
      </w:r>
    </w:p>
    <w:p>
      <w:pPr>
        <w:pStyle w:val="5"/>
        <w:snapToGrid w:val="0"/>
        <w:spacing w:before="0" w:after="0" w:line="360" w:lineRule="auto"/>
        <w:rPr>
          <w:rFonts w:ascii="宋体" w:hAnsi="宋体"/>
          <w:b w:val="0"/>
          <w:snapToGrid w:val="0"/>
          <w:sz w:val="24"/>
          <w:szCs w:val="24"/>
        </w:rPr>
      </w:pPr>
      <w:bookmarkStart w:id="264" w:name="_Toc277082561"/>
      <w:bookmarkStart w:id="265" w:name="_Toc430530444"/>
      <w:bookmarkStart w:id="266" w:name="_Toc200513135"/>
      <w:bookmarkStart w:id="267" w:name="_Toc287607755"/>
      <w:bookmarkStart w:id="268" w:name="_Toc224103326"/>
      <w:bookmarkStart w:id="269" w:name="_Toc287620694"/>
      <w:bookmarkStart w:id="270" w:name="_Toc23811"/>
      <w:bookmarkStart w:id="271" w:name="_Toc17789"/>
      <w:bookmarkStart w:id="272" w:name="_Toc509218719"/>
      <w:r>
        <w:rPr>
          <w:rFonts w:ascii="宋体" w:hAnsi="宋体"/>
          <w:b w:val="0"/>
          <w:snapToGrid w:val="0"/>
          <w:sz w:val="24"/>
          <w:szCs w:val="24"/>
        </w:rPr>
        <w:t>1.8  计量单位</w:t>
      </w:r>
      <w:bookmarkEnd w:id="264"/>
      <w:bookmarkEnd w:id="265"/>
      <w:bookmarkEnd w:id="266"/>
      <w:bookmarkEnd w:id="267"/>
      <w:bookmarkEnd w:id="268"/>
      <w:bookmarkEnd w:id="269"/>
      <w:bookmarkEnd w:id="270"/>
      <w:bookmarkEnd w:id="271"/>
      <w:bookmarkEnd w:id="272"/>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所有计量均采用中华人民共和国法定计量单位。</w:t>
      </w:r>
    </w:p>
    <w:p>
      <w:pPr>
        <w:pStyle w:val="5"/>
        <w:snapToGrid w:val="0"/>
        <w:spacing w:before="0" w:after="0" w:line="360" w:lineRule="auto"/>
        <w:rPr>
          <w:rFonts w:ascii="宋体" w:hAnsi="宋体"/>
          <w:b w:val="0"/>
          <w:snapToGrid w:val="0"/>
          <w:sz w:val="24"/>
          <w:szCs w:val="24"/>
        </w:rPr>
      </w:pPr>
      <w:bookmarkStart w:id="273" w:name="_Toc224103327"/>
      <w:bookmarkStart w:id="274" w:name="_Toc509218720"/>
      <w:bookmarkStart w:id="275" w:name="_Toc200513136"/>
      <w:bookmarkStart w:id="276" w:name="_Toc287620695"/>
      <w:bookmarkStart w:id="277" w:name="_Toc21614"/>
      <w:bookmarkStart w:id="278" w:name="_Toc430530445"/>
      <w:bookmarkStart w:id="279" w:name="_Toc287607756"/>
      <w:bookmarkStart w:id="280" w:name="_Toc25478"/>
      <w:bookmarkStart w:id="281" w:name="_Toc277082562"/>
      <w:r>
        <w:rPr>
          <w:rFonts w:ascii="宋体" w:hAnsi="宋体"/>
          <w:b w:val="0"/>
          <w:snapToGrid w:val="0"/>
          <w:sz w:val="24"/>
          <w:szCs w:val="24"/>
        </w:rPr>
        <w:t>1.9  踏勘现场</w:t>
      </w:r>
      <w:bookmarkEnd w:id="273"/>
      <w:bookmarkEnd w:id="274"/>
      <w:bookmarkEnd w:id="275"/>
      <w:bookmarkEnd w:id="276"/>
      <w:bookmarkEnd w:id="277"/>
      <w:bookmarkEnd w:id="278"/>
      <w:bookmarkEnd w:id="279"/>
      <w:bookmarkEnd w:id="280"/>
      <w:bookmarkEnd w:id="281"/>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1.9.1  投标人须知前附表规定组织踏勘现场的，招标人按投标人须知前附表规定的时间、 地点组织投标人踏勘项目现场。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1.9.2  投标人踏勘现场发生的费用自理。</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1.9.3  除招标人的原因外，投标人自行负责在踏勘现场中所发生的人员伤亡和财产损失。</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1.9.4  招标人在踏勘现场中介绍的工程场地和相关的周边环境情况，供投标人在编制投标文件时参考，招标人不对投标人据此做出的判断和决策负责。</w:t>
      </w:r>
    </w:p>
    <w:p>
      <w:pPr>
        <w:pStyle w:val="5"/>
        <w:snapToGrid w:val="0"/>
        <w:spacing w:before="0" w:after="0" w:line="360" w:lineRule="auto"/>
        <w:rPr>
          <w:rFonts w:ascii="宋体" w:hAnsi="宋体"/>
          <w:b w:val="0"/>
          <w:snapToGrid w:val="0"/>
          <w:sz w:val="24"/>
          <w:szCs w:val="24"/>
        </w:rPr>
      </w:pPr>
      <w:bookmarkStart w:id="282" w:name="_Toc430530446"/>
      <w:bookmarkStart w:id="283" w:name="_Toc277082563"/>
      <w:bookmarkStart w:id="284" w:name="_Toc16076"/>
      <w:bookmarkStart w:id="285" w:name="_Toc287620696"/>
      <w:bookmarkStart w:id="286" w:name="_Toc287607757"/>
      <w:bookmarkStart w:id="287" w:name="_Toc200513137"/>
      <w:bookmarkStart w:id="288" w:name="_Toc9802"/>
      <w:bookmarkStart w:id="289" w:name="_Toc224103328"/>
      <w:bookmarkStart w:id="290" w:name="_Toc509218721"/>
      <w:r>
        <w:rPr>
          <w:rFonts w:ascii="宋体" w:hAnsi="宋体"/>
          <w:b w:val="0"/>
          <w:snapToGrid w:val="0"/>
          <w:sz w:val="24"/>
          <w:szCs w:val="24"/>
        </w:rPr>
        <w:t>1.10  投标预备会</w:t>
      </w:r>
      <w:bookmarkEnd w:id="282"/>
      <w:bookmarkEnd w:id="283"/>
      <w:bookmarkEnd w:id="284"/>
      <w:bookmarkEnd w:id="285"/>
      <w:bookmarkEnd w:id="286"/>
      <w:bookmarkEnd w:id="287"/>
      <w:bookmarkEnd w:id="288"/>
      <w:bookmarkEnd w:id="289"/>
      <w:bookmarkEnd w:id="290"/>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1.10.1  投标人须知前附表规定召开投标预备会的，招标人按投标人须知前附表规定的时间和地点召开投标预备会，澄清投标人提出的问题。</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1.10.2  投标人应在投标人须知前附表第</w:t>
      </w:r>
      <w:r>
        <w:rPr>
          <w:rFonts w:ascii="宋体" w:hAnsi="宋体"/>
          <w:kern w:val="0"/>
          <w:szCs w:val="21"/>
        </w:rPr>
        <w:t>2.2.4项</w:t>
      </w:r>
      <w:r>
        <w:rPr>
          <w:rFonts w:ascii="宋体" w:hAnsi="宋体"/>
          <w:snapToGrid w:val="0"/>
          <w:kern w:val="0"/>
          <w:szCs w:val="21"/>
        </w:rPr>
        <w:t>规定的时间前，以书面形式将提出的问题送达招标人，以便招标人澄清。</w:t>
      </w:r>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1.10.3  招标人在投标人须知前附表规定的时间内，将对投标人所提</w:t>
      </w:r>
      <w:r>
        <w:rPr>
          <w:rFonts w:ascii="宋体" w:hAnsi="宋体"/>
          <w:snapToGrid w:val="0"/>
          <w:kern w:val="0"/>
          <w:position w:val="-2"/>
          <w:szCs w:val="21"/>
        </w:rPr>
        <w:t>的</w:t>
      </w:r>
      <w:r>
        <w:rPr>
          <w:rFonts w:ascii="宋体" w:hAnsi="宋体"/>
          <w:snapToGrid w:val="0"/>
          <w:kern w:val="0"/>
          <w:szCs w:val="21"/>
        </w:rPr>
        <w:t>问题</w:t>
      </w:r>
      <w:r>
        <w:rPr>
          <w:rFonts w:ascii="宋体" w:hAnsi="宋体"/>
          <w:snapToGrid w:val="0"/>
          <w:kern w:val="0"/>
          <w:position w:val="-2"/>
          <w:szCs w:val="21"/>
        </w:rPr>
        <w:t>进行澄清。该澄清内容为招标文件的组成部分。</w:t>
      </w:r>
    </w:p>
    <w:p>
      <w:pPr>
        <w:pStyle w:val="5"/>
        <w:snapToGrid w:val="0"/>
        <w:spacing w:before="0" w:after="0" w:line="360" w:lineRule="auto"/>
        <w:rPr>
          <w:rFonts w:ascii="宋体" w:hAnsi="宋体"/>
          <w:b w:val="0"/>
          <w:snapToGrid w:val="0"/>
          <w:sz w:val="24"/>
          <w:szCs w:val="24"/>
        </w:rPr>
      </w:pPr>
      <w:bookmarkStart w:id="291" w:name="_Toc31311"/>
      <w:bookmarkStart w:id="292" w:name="_Toc287607758"/>
      <w:bookmarkStart w:id="293" w:name="_Toc200513138"/>
      <w:bookmarkStart w:id="294" w:name="_Toc287620697"/>
      <w:bookmarkStart w:id="295" w:name="_Toc224103329"/>
      <w:bookmarkStart w:id="296" w:name="_Toc277082564"/>
      <w:bookmarkStart w:id="297" w:name="_Toc14914"/>
      <w:bookmarkStart w:id="298" w:name="_Toc509218722"/>
      <w:bookmarkStart w:id="299" w:name="_Toc430530447"/>
      <w:r>
        <w:rPr>
          <w:rFonts w:ascii="宋体" w:hAnsi="宋体"/>
          <w:b w:val="0"/>
          <w:snapToGrid w:val="0"/>
          <w:sz w:val="24"/>
          <w:szCs w:val="24"/>
        </w:rPr>
        <w:t>1.11  分包</w:t>
      </w:r>
      <w:bookmarkEnd w:id="291"/>
      <w:bookmarkEnd w:id="292"/>
      <w:bookmarkEnd w:id="293"/>
      <w:bookmarkEnd w:id="294"/>
      <w:bookmarkEnd w:id="295"/>
      <w:bookmarkEnd w:id="296"/>
      <w:bookmarkEnd w:id="297"/>
      <w:bookmarkEnd w:id="298"/>
      <w:bookmarkEnd w:id="299"/>
    </w:p>
    <w:p>
      <w:pPr>
        <w:autoSpaceDE w:val="0"/>
        <w:autoSpaceDN w:val="0"/>
        <w:adjustRightInd w:val="0"/>
        <w:snapToGrid w:val="0"/>
        <w:spacing w:line="360" w:lineRule="auto"/>
        <w:ind w:firstLine="426"/>
        <w:rPr>
          <w:rFonts w:ascii="宋体" w:hAnsi="宋体"/>
          <w:snapToGrid w:val="0"/>
          <w:kern w:val="0"/>
          <w:szCs w:val="21"/>
        </w:rPr>
      </w:pPr>
      <w:r>
        <w:rPr>
          <w:rFonts w:ascii="宋体" w:hAnsi="宋体"/>
          <w:snapToGrid w:val="0"/>
          <w:kern w:val="0"/>
          <w:szCs w:val="21"/>
        </w:rPr>
        <w:t>投标人拟在中标后将中标项目的部分非主体、非关键性工作进行分包的，应符合投标人须知前附表规定的分包内容、分包金额和接受分包的第三人资质要求等限制性条件。</w:t>
      </w:r>
    </w:p>
    <w:p>
      <w:pPr>
        <w:pStyle w:val="5"/>
        <w:snapToGrid w:val="0"/>
        <w:spacing w:before="0" w:after="0" w:line="360" w:lineRule="auto"/>
        <w:rPr>
          <w:rFonts w:ascii="宋体" w:hAnsi="宋体"/>
          <w:b w:val="0"/>
          <w:snapToGrid w:val="0"/>
          <w:sz w:val="24"/>
          <w:szCs w:val="24"/>
        </w:rPr>
      </w:pPr>
      <w:bookmarkStart w:id="300" w:name="_Toc509218723"/>
      <w:bookmarkStart w:id="301" w:name="_Toc21219"/>
      <w:bookmarkStart w:id="302" w:name="_Toc224103330"/>
      <w:bookmarkStart w:id="303" w:name="_Toc287607759"/>
      <w:bookmarkStart w:id="304" w:name="_Toc4225"/>
      <w:bookmarkStart w:id="305" w:name="_Toc430530448"/>
      <w:bookmarkStart w:id="306" w:name="_Toc287620698"/>
      <w:bookmarkStart w:id="307" w:name="_Toc200513139"/>
      <w:bookmarkStart w:id="308" w:name="_Toc277082565"/>
      <w:r>
        <w:rPr>
          <w:rFonts w:ascii="宋体" w:hAnsi="宋体"/>
          <w:b w:val="0"/>
          <w:snapToGrid w:val="0"/>
          <w:sz w:val="24"/>
          <w:szCs w:val="24"/>
        </w:rPr>
        <w:t>1.12  偏离</w:t>
      </w:r>
      <w:bookmarkEnd w:id="300"/>
      <w:bookmarkEnd w:id="301"/>
      <w:bookmarkEnd w:id="302"/>
      <w:bookmarkEnd w:id="303"/>
      <w:bookmarkEnd w:id="304"/>
      <w:bookmarkEnd w:id="305"/>
      <w:bookmarkEnd w:id="306"/>
      <w:bookmarkEnd w:id="307"/>
      <w:bookmarkEnd w:id="30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投标人须知前附表允许投标文件偏离招标文件某些要求的，偏离应当符合招标文件规定 的偏离范围和幅度。</w:t>
      </w:r>
    </w:p>
    <w:p>
      <w:pPr>
        <w:pStyle w:val="4"/>
        <w:spacing w:before="0" w:after="0" w:line="360" w:lineRule="auto"/>
        <w:rPr>
          <w:rFonts w:ascii="宋体" w:hAnsi="宋体"/>
          <w:b w:val="0"/>
          <w:snapToGrid w:val="0"/>
        </w:rPr>
      </w:pPr>
      <w:bookmarkStart w:id="309" w:name="_Toc277082566"/>
      <w:bookmarkStart w:id="310" w:name="_Toc287620699"/>
      <w:bookmarkStart w:id="311" w:name="_Toc509218724"/>
      <w:bookmarkStart w:id="312" w:name="_Toc30694"/>
      <w:bookmarkStart w:id="313" w:name="_Toc287607760"/>
      <w:bookmarkStart w:id="314" w:name="_Toc200513140"/>
      <w:bookmarkStart w:id="315" w:name="_Toc430530449"/>
      <w:bookmarkStart w:id="316" w:name="_Toc224103331"/>
      <w:bookmarkStart w:id="317" w:name="_Toc8602"/>
      <w:r>
        <w:rPr>
          <w:rFonts w:ascii="宋体" w:hAnsi="宋体"/>
          <w:b w:val="0"/>
          <w:snapToGrid w:val="0"/>
        </w:rPr>
        <w:t>2.  招标文件</w:t>
      </w:r>
      <w:bookmarkEnd w:id="309"/>
      <w:bookmarkEnd w:id="310"/>
      <w:bookmarkEnd w:id="311"/>
      <w:bookmarkEnd w:id="312"/>
      <w:bookmarkEnd w:id="313"/>
      <w:bookmarkEnd w:id="314"/>
      <w:bookmarkEnd w:id="315"/>
      <w:bookmarkEnd w:id="316"/>
      <w:bookmarkEnd w:id="317"/>
    </w:p>
    <w:p>
      <w:pPr>
        <w:pStyle w:val="5"/>
        <w:snapToGrid w:val="0"/>
        <w:spacing w:before="0" w:after="0" w:line="360" w:lineRule="auto"/>
        <w:rPr>
          <w:rFonts w:ascii="宋体" w:hAnsi="宋体"/>
          <w:b w:val="0"/>
          <w:snapToGrid w:val="0"/>
          <w:sz w:val="24"/>
          <w:szCs w:val="24"/>
        </w:rPr>
      </w:pPr>
      <w:bookmarkStart w:id="318" w:name="_Toc430530450"/>
      <w:bookmarkStart w:id="319" w:name="_Toc287607761"/>
      <w:bookmarkStart w:id="320" w:name="_Toc277082567"/>
      <w:bookmarkStart w:id="321" w:name="_Toc224103332"/>
      <w:bookmarkStart w:id="322" w:name="_Toc200513141"/>
      <w:bookmarkStart w:id="323" w:name="_Toc287620700"/>
      <w:bookmarkStart w:id="324" w:name="_Toc19546"/>
      <w:bookmarkStart w:id="325" w:name="_Toc509218725"/>
      <w:bookmarkStart w:id="326" w:name="_Toc5102"/>
      <w:r>
        <w:rPr>
          <w:rFonts w:ascii="宋体" w:hAnsi="宋体"/>
          <w:b w:val="0"/>
          <w:snapToGrid w:val="0"/>
          <w:sz w:val="24"/>
          <w:szCs w:val="24"/>
        </w:rPr>
        <w:t>2.1  招标文件的组成</w:t>
      </w:r>
      <w:bookmarkEnd w:id="318"/>
      <w:bookmarkEnd w:id="319"/>
      <w:bookmarkEnd w:id="320"/>
      <w:bookmarkEnd w:id="321"/>
      <w:bookmarkEnd w:id="322"/>
      <w:bookmarkEnd w:id="323"/>
      <w:bookmarkEnd w:id="324"/>
      <w:bookmarkEnd w:id="325"/>
      <w:bookmarkEnd w:id="326"/>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本招标文件包括：</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（1）招标公告（或投标邀请书）；</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（2）投标人须知；</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（3）评标办法；</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（4）合同条款及格式；</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（5）工程量清单；</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（6）图纸；</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（7）技术标准和要求；</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（8）投标文件格式；</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（9）投标人须知前附表规定的其他材料。</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根据本章第1.10款、第2.2款和第2.3款对招标文件所作的澄清、修改，构成招标文件的组成部分。</w:t>
      </w:r>
    </w:p>
    <w:p>
      <w:pPr>
        <w:pStyle w:val="5"/>
        <w:snapToGrid w:val="0"/>
        <w:spacing w:before="0" w:after="0" w:line="360" w:lineRule="auto"/>
        <w:rPr>
          <w:rFonts w:ascii="宋体" w:hAnsi="宋体"/>
          <w:b w:val="0"/>
          <w:snapToGrid w:val="0"/>
          <w:sz w:val="24"/>
          <w:szCs w:val="24"/>
        </w:rPr>
      </w:pPr>
      <w:bookmarkStart w:id="327" w:name="_Toc10759"/>
      <w:bookmarkStart w:id="328" w:name="_Toc430530451"/>
      <w:bookmarkStart w:id="329" w:name="_Toc509218726"/>
      <w:bookmarkStart w:id="330" w:name="_Toc5111"/>
      <w:r>
        <w:rPr>
          <w:rFonts w:ascii="宋体" w:hAnsi="宋体"/>
          <w:b w:val="0"/>
          <w:snapToGrid w:val="0"/>
          <w:sz w:val="24"/>
          <w:szCs w:val="24"/>
        </w:rPr>
        <w:t>2.2  招标文件的澄清</w:t>
      </w:r>
      <w:bookmarkEnd w:id="327"/>
      <w:bookmarkEnd w:id="328"/>
      <w:bookmarkEnd w:id="329"/>
      <w:bookmarkEnd w:id="330"/>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2.2.1  投标人应仔细阅读和检查招标文件的全部内容。如发现缺页或附件不全，应及时向招标人提出，以便补齐。如有疑问，应在投标人须知前附表规定的时间前</w:t>
      </w:r>
      <w:r>
        <w:rPr>
          <w:rFonts w:ascii="宋体" w:hAnsi="宋体"/>
          <w:kern w:val="0"/>
          <w:szCs w:val="21"/>
        </w:rPr>
        <w:t>在</w:t>
      </w:r>
      <w:r>
        <w:rPr>
          <w:rFonts w:hint="eastAsia" w:ascii="宋体" w:hAnsi="宋体"/>
          <w:kern w:val="0"/>
          <w:szCs w:val="21"/>
        </w:rPr>
        <w:t>相应法定网站提问</w:t>
      </w:r>
      <w:r>
        <w:rPr>
          <w:rFonts w:ascii="宋体" w:hAnsi="宋体"/>
          <w:snapToGrid w:val="0"/>
          <w:kern w:val="0"/>
          <w:szCs w:val="21"/>
        </w:rPr>
        <w:t>，要求招标人对招标文件予以澄清。</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2.2.2  招标文件的澄清将在投标人须知前附表规定的投标截止时间15天前</w:t>
      </w:r>
      <w:r>
        <w:rPr>
          <w:rFonts w:ascii="宋体" w:hAnsi="宋体"/>
          <w:kern w:val="0"/>
          <w:szCs w:val="21"/>
        </w:rPr>
        <w:t>在</w:t>
      </w:r>
      <w:r>
        <w:rPr>
          <w:rFonts w:hint="eastAsia" w:ascii="宋体" w:hAnsi="宋体"/>
          <w:kern w:val="0"/>
          <w:szCs w:val="21"/>
        </w:rPr>
        <w:t>相应法定网站</w:t>
      </w:r>
      <w:r>
        <w:rPr>
          <w:rFonts w:ascii="宋体" w:hAnsi="宋体"/>
          <w:kern w:val="0"/>
          <w:szCs w:val="21"/>
        </w:rPr>
        <w:t>发布，</w:t>
      </w:r>
      <w:r>
        <w:rPr>
          <w:rFonts w:ascii="宋体" w:hAnsi="宋体"/>
          <w:snapToGrid w:val="0"/>
          <w:kern w:val="0"/>
          <w:szCs w:val="21"/>
        </w:rPr>
        <w:t>但不指明澄清问题的来源。如果澄清发出的时间距投标截止时间不足15天，相应延长投标截止时间。</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2.2.3  </w:t>
      </w:r>
      <w:r>
        <w:rPr>
          <w:rFonts w:ascii="宋体" w:hAnsi="宋体"/>
          <w:kern w:val="0"/>
          <w:szCs w:val="21"/>
        </w:rPr>
        <w:t>招标人对招标文件的</w:t>
      </w:r>
      <w:r>
        <w:rPr>
          <w:rFonts w:hint="eastAsia" w:ascii="宋体" w:hAnsi="宋体"/>
          <w:snapToGrid w:val="0"/>
          <w:kern w:val="0"/>
          <w:szCs w:val="21"/>
        </w:rPr>
        <w:t>修改</w:t>
      </w:r>
      <w:r>
        <w:rPr>
          <w:rFonts w:ascii="宋体" w:hAnsi="宋体"/>
          <w:snapToGrid w:val="0"/>
          <w:kern w:val="0"/>
          <w:szCs w:val="21"/>
        </w:rPr>
        <w:t>内容可能影响投标文件编制的，须在投标截止时间15日前发布，发布时间至投标截止时间不足15日的，须相应延后投标截止时间。</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2.2.4  投标人对招标文件和</w:t>
      </w:r>
      <w:r>
        <w:rPr>
          <w:rFonts w:hint="eastAsia" w:ascii="宋体" w:hAnsi="宋体"/>
          <w:snapToGrid w:val="0"/>
          <w:kern w:val="0"/>
          <w:position w:val="-2"/>
          <w:szCs w:val="21"/>
        </w:rPr>
        <w:t>澄清</w:t>
      </w:r>
      <w:r>
        <w:rPr>
          <w:rFonts w:ascii="宋体" w:hAnsi="宋体"/>
          <w:snapToGrid w:val="0"/>
          <w:kern w:val="0"/>
          <w:position w:val="-2"/>
          <w:szCs w:val="21"/>
        </w:rPr>
        <w:t>修改仍有</w:t>
      </w:r>
      <w:r>
        <w:rPr>
          <w:rFonts w:hint="eastAsia" w:ascii="宋体" w:hAnsi="宋体"/>
          <w:snapToGrid w:val="0"/>
          <w:kern w:val="0"/>
          <w:position w:val="-2"/>
          <w:szCs w:val="21"/>
        </w:rPr>
        <w:t>异议</w:t>
      </w:r>
      <w:r>
        <w:rPr>
          <w:rFonts w:ascii="宋体" w:hAnsi="宋体"/>
          <w:snapToGrid w:val="0"/>
          <w:kern w:val="0"/>
          <w:position w:val="-2"/>
          <w:szCs w:val="21"/>
        </w:rPr>
        <w:t>的，可于投标截止时间10日前，</w:t>
      </w:r>
      <w:bookmarkStart w:id="331" w:name="OLE_LINK8"/>
      <w:r>
        <w:rPr>
          <w:rFonts w:hint="eastAsia" w:ascii="宋体" w:hAnsi="宋体"/>
          <w:snapToGrid w:val="0"/>
          <w:kern w:val="0"/>
          <w:szCs w:val="21"/>
        </w:rPr>
        <w:t>以书面形式</w:t>
      </w:r>
      <w:r>
        <w:rPr>
          <w:rFonts w:hint="eastAsia" w:ascii="宋体" w:hAnsi="宋体"/>
          <w:snapToGrid w:val="0"/>
          <w:kern w:val="0"/>
          <w:szCs w:val="21"/>
          <w:lang w:val="en-US" w:eastAsia="zh-CN"/>
        </w:rPr>
        <w:t>向</w:t>
      </w:r>
      <w:r>
        <w:rPr>
          <w:rFonts w:hint="eastAsia" w:ascii="宋体" w:hAnsi="宋体"/>
          <w:snapToGrid w:val="0"/>
          <w:kern w:val="0"/>
          <w:szCs w:val="21"/>
        </w:rPr>
        <w:t>招标人或招标代理机构</w:t>
      </w:r>
      <w:r>
        <w:rPr>
          <w:rFonts w:hint="eastAsia" w:ascii="宋体" w:hAnsi="宋体"/>
          <w:snapToGrid w:val="0"/>
          <w:kern w:val="0"/>
          <w:szCs w:val="21"/>
          <w:lang w:val="en-US" w:eastAsia="zh-CN"/>
        </w:rPr>
        <w:t>提出</w:t>
      </w:r>
      <w:bookmarkEnd w:id="331"/>
      <w:r>
        <w:rPr>
          <w:rFonts w:ascii="宋体" w:hAnsi="宋体"/>
          <w:snapToGrid w:val="0"/>
          <w:kern w:val="0"/>
          <w:szCs w:val="21"/>
        </w:rPr>
        <w:t>。招标人应将答复以</w:t>
      </w:r>
      <w:r>
        <w:rPr>
          <w:rFonts w:hint="eastAsia" w:ascii="宋体" w:hAnsi="宋体"/>
          <w:snapToGrid w:val="0"/>
          <w:kern w:val="0"/>
          <w:szCs w:val="21"/>
        </w:rPr>
        <w:t>修改</w:t>
      </w:r>
      <w:r>
        <w:rPr>
          <w:rFonts w:ascii="宋体" w:hAnsi="宋体"/>
          <w:snapToGrid w:val="0"/>
          <w:kern w:val="0"/>
          <w:szCs w:val="21"/>
        </w:rPr>
        <w:t>的形式在</w:t>
      </w:r>
      <w:r>
        <w:rPr>
          <w:rFonts w:hint="eastAsia" w:ascii="宋体" w:hAnsi="宋体"/>
          <w:kern w:val="0"/>
          <w:szCs w:val="21"/>
        </w:rPr>
        <w:t>相应法定网站</w:t>
      </w:r>
      <w:r>
        <w:rPr>
          <w:rFonts w:ascii="宋体" w:hAnsi="宋体"/>
          <w:kern w:val="0"/>
          <w:szCs w:val="21"/>
        </w:rPr>
        <w:t>发布</w:t>
      </w:r>
      <w:r>
        <w:rPr>
          <w:rFonts w:ascii="宋体" w:hAnsi="宋体"/>
          <w:snapToGrid w:val="0"/>
          <w:kern w:val="0"/>
          <w:szCs w:val="21"/>
        </w:rPr>
        <w:t>。</w:t>
      </w:r>
      <w:r>
        <w:rPr>
          <w:rFonts w:hint="eastAsia" w:ascii="宋体" w:hAnsi="宋体"/>
          <w:snapToGrid w:val="0"/>
          <w:kern w:val="0"/>
          <w:szCs w:val="21"/>
        </w:rPr>
        <w:t>修改</w:t>
      </w:r>
      <w:r>
        <w:rPr>
          <w:rFonts w:ascii="宋体" w:hAnsi="宋体"/>
          <w:snapToGrid w:val="0"/>
          <w:kern w:val="0"/>
          <w:szCs w:val="21"/>
        </w:rPr>
        <w:t>内容可能影响投标文件编制的，须在投标截止时间15日前发布，发布时间至投标截止时间不足15日的，须相应延后投标截止时间。</w:t>
      </w:r>
    </w:p>
    <w:p>
      <w:pPr>
        <w:pStyle w:val="5"/>
        <w:snapToGrid w:val="0"/>
        <w:spacing w:before="0" w:after="0" w:line="360" w:lineRule="auto"/>
        <w:rPr>
          <w:rFonts w:ascii="宋体" w:hAnsi="宋体"/>
          <w:b w:val="0"/>
          <w:snapToGrid w:val="0"/>
          <w:sz w:val="24"/>
          <w:szCs w:val="24"/>
        </w:rPr>
      </w:pPr>
      <w:bookmarkStart w:id="332" w:name="_Toc430530452"/>
      <w:bookmarkStart w:id="333" w:name="_Toc509218727"/>
      <w:bookmarkStart w:id="334" w:name="_Toc287607763"/>
      <w:bookmarkStart w:id="335" w:name="_Toc200513143"/>
      <w:bookmarkStart w:id="336" w:name="_Toc277082569"/>
      <w:bookmarkStart w:id="337" w:name="_Toc287620702"/>
      <w:bookmarkStart w:id="338" w:name="_Toc32740"/>
      <w:bookmarkStart w:id="339" w:name="_Toc224103334"/>
      <w:bookmarkStart w:id="340" w:name="_Toc18097"/>
      <w:r>
        <w:rPr>
          <w:rFonts w:ascii="宋体" w:hAnsi="宋体"/>
          <w:b w:val="0"/>
          <w:snapToGrid w:val="0"/>
          <w:sz w:val="24"/>
          <w:szCs w:val="24"/>
        </w:rPr>
        <w:t>2.3  招标文件的修改</w:t>
      </w:r>
      <w:bookmarkEnd w:id="332"/>
      <w:bookmarkEnd w:id="333"/>
      <w:bookmarkEnd w:id="334"/>
      <w:bookmarkEnd w:id="335"/>
      <w:bookmarkEnd w:id="336"/>
      <w:bookmarkEnd w:id="337"/>
      <w:bookmarkEnd w:id="338"/>
      <w:bookmarkEnd w:id="339"/>
      <w:bookmarkEnd w:id="340"/>
    </w:p>
    <w:p>
      <w:pPr>
        <w:autoSpaceDE w:val="0"/>
        <w:autoSpaceDN w:val="0"/>
        <w:adjustRightInd w:val="0"/>
        <w:snapToGrid w:val="0"/>
        <w:spacing w:line="360" w:lineRule="auto"/>
        <w:ind w:firstLine="420"/>
        <w:rPr>
          <w:rFonts w:ascii="宋体" w:hAnsi="宋体"/>
          <w:snapToGrid w:val="0"/>
        </w:rPr>
      </w:pPr>
      <w:bookmarkStart w:id="341" w:name="_Toc287620703"/>
      <w:bookmarkStart w:id="342" w:name="_Toc277082570"/>
      <w:bookmarkStart w:id="343" w:name="_Toc200513144"/>
      <w:bookmarkStart w:id="344" w:name="_Toc224103335"/>
      <w:bookmarkStart w:id="345" w:name="_Toc287607764"/>
      <w:r>
        <w:rPr>
          <w:rFonts w:ascii="宋体" w:hAnsi="宋体"/>
          <w:snapToGrid w:val="0"/>
        </w:rPr>
        <w:t>按照本章第2.2款招标文件的澄清相关内容及方式执行。</w:t>
      </w:r>
    </w:p>
    <w:p>
      <w:pPr>
        <w:pStyle w:val="4"/>
        <w:spacing w:before="0" w:after="0" w:line="360" w:lineRule="auto"/>
        <w:rPr>
          <w:rFonts w:ascii="宋体" w:hAnsi="宋体"/>
          <w:b w:val="0"/>
          <w:snapToGrid w:val="0"/>
        </w:rPr>
      </w:pPr>
      <w:bookmarkStart w:id="346" w:name="_Toc430530453"/>
      <w:bookmarkStart w:id="347" w:name="_Toc8515"/>
      <w:bookmarkStart w:id="348" w:name="_Toc509218728"/>
      <w:bookmarkStart w:id="349" w:name="_Toc32443"/>
      <w:r>
        <w:rPr>
          <w:rFonts w:ascii="宋体" w:hAnsi="宋体"/>
          <w:b w:val="0"/>
          <w:snapToGrid w:val="0"/>
        </w:rPr>
        <w:t>3.  投标文件</w:t>
      </w:r>
      <w:bookmarkEnd w:id="341"/>
      <w:bookmarkEnd w:id="342"/>
      <w:bookmarkEnd w:id="343"/>
      <w:bookmarkEnd w:id="344"/>
      <w:bookmarkEnd w:id="345"/>
      <w:bookmarkEnd w:id="346"/>
      <w:bookmarkEnd w:id="347"/>
      <w:bookmarkEnd w:id="348"/>
      <w:bookmarkEnd w:id="349"/>
    </w:p>
    <w:p>
      <w:pPr>
        <w:pStyle w:val="5"/>
        <w:snapToGrid w:val="0"/>
        <w:spacing w:before="0" w:after="0" w:line="360" w:lineRule="auto"/>
        <w:rPr>
          <w:rFonts w:ascii="宋体" w:hAnsi="宋体"/>
          <w:b w:val="0"/>
          <w:snapToGrid w:val="0"/>
          <w:sz w:val="24"/>
          <w:szCs w:val="24"/>
        </w:rPr>
      </w:pPr>
      <w:bookmarkStart w:id="350" w:name="_Toc430530454"/>
      <w:bookmarkStart w:id="351" w:name="_Toc22925"/>
      <w:bookmarkStart w:id="352" w:name="_Toc287607765"/>
      <w:bookmarkStart w:id="353" w:name="_Toc509218729"/>
      <w:bookmarkStart w:id="354" w:name="_Toc277082571"/>
      <w:bookmarkStart w:id="355" w:name="_Toc22407"/>
      <w:bookmarkStart w:id="356" w:name="_Toc287620704"/>
      <w:bookmarkStart w:id="357" w:name="_Toc200513145"/>
      <w:bookmarkStart w:id="358" w:name="_Toc224103336"/>
      <w:r>
        <w:rPr>
          <w:rFonts w:ascii="宋体" w:hAnsi="宋体"/>
          <w:b w:val="0"/>
          <w:snapToGrid w:val="0"/>
          <w:sz w:val="24"/>
          <w:szCs w:val="24"/>
        </w:rPr>
        <w:t>3.1  投标文件的组成</w:t>
      </w:r>
      <w:bookmarkEnd w:id="350"/>
      <w:bookmarkEnd w:id="351"/>
      <w:bookmarkEnd w:id="352"/>
      <w:bookmarkEnd w:id="353"/>
      <w:bookmarkEnd w:id="354"/>
      <w:bookmarkEnd w:id="355"/>
      <w:bookmarkEnd w:id="356"/>
      <w:bookmarkEnd w:id="357"/>
      <w:bookmarkEnd w:id="35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3.1.1 投标文件应包括下列内容：</w:t>
      </w:r>
    </w:p>
    <w:p>
      <w:pPr>
        <w:spacing w:line="360" w:lineRule="auto"/>
        <w:ind w:firstLine="420" w:firstLineChars="200"/>
        <w:rPr>
          <w:rFonts w:ascii="宋体" w:hAnsi="宋体"/>
        </w:rPr>
      </w:pPr>
      <w:r>
        <w:rPr>
          <w:rFonts w:hint="eastAsia" w:ascii="宋体" w:hAnsi="宋体"/>
        </w:rPr>
        <w:t>3.1.1.1投标函部分</w:t>
      </w:r>
    </w:p>
    <w:p>
      <w:pPr>
        <w:spacing w:line="360" w:lineRule="auto"/>
        <w:ind w:firstLine="420" w:firstLineChars="200"/>
        <w:rPr>
          <w:rFonts w:ascii="宋体" w:hAnsi="宋体"/>
        </w:rPr>
      </w:pPr>
      <w:r>
        <w:rPr>
          <w:rFonts w:hint="eastAsia" w:ascii="宋体" w:hAnsi="宋体"/>
        </w:rPr>
        <w:t>（1）投标函</w:t>
      </w:r>
    </w:p>
    <w:p>
      <w:pPr>
        <w:spacing w:line="360" w:lineRule="auto"/>
        <w:ind w:firstLine="420" w:firstLineChars="200"/>
        <w:rPr>
          <w:rFonts w:ascii="宋体" w:hAnsi="宋体"/>
        </w:rPr>
      </w:pPr>
      <w:r>
        <w:rPr>
          <w:rFonts w:hint="eastAsia" w:ascii="宋体" w:hAnsi="宋体"/>
        </w:rPr>
        <w:t>（2）投标函附录</w:t>
      </w:r>
    </w:p>
    <w:p>
      <w:pPr>
        <w:spacing w:line="360" w:lineRule="auto"/>
        <w:ind w:firstLine="420" w:firstLineChars="200"/>
        <w:rPr>
          <w:rFonts w:ascii="宋体" w:hAnsi="宋体"/>
        </w:rPr>
      </w:pPr>
      <w:r>
        <w:rPr>
          <w:rFonts w:hint="eastAsia" w:ascii="宋体" w:hAnsi="宋体"/>
        </w:rPr>
        <w:t>（3）法定代表人身份证明或授权委托书</w:t>
      </w:r>
    </w:p>
    <w:p>
      <w:pPr>
        <w:spacing w:line="360" w:lineRule="auto"/>
        <w:ind w:firstLine="420" w:firstLineChars="200"/>
        <w:rPr>
          <w:rFonts w:ascii="宋体" w:hAnsi="宋体"/>
        </w:rPr>
      </w:pPr>
      <w:r>
        <w:rPr>
          <w:rFonts w:hint="eastAsia" w:ascii="宋体" w:hAnsi="宋体"/>
        </w:rPr>
        <w:t>（4）投标报价合理性说明（如有）</w:t>
      </w:r>
    </w:p>
    <w:p>
      <w:pPr>
        <w:spacing w:line="360" w:lineRule="auto"/>
        <w:ind w:firstLine="420" w:firstLineChars="200"/>
        <w:rPr>
          <w:rFonts w:ascii="宋体" w:hAnsi="宋体"/>
        </w:rPr>
      </w:pPr>
      <w:r>
        <w:rPr>
          <w:rFonts w:hint="eastAsia" w:ascii="宋体" w:hAnsi="宋体"/>
        </w:rPr>
        <w:t>3.1.1.2</w:t>
      </w:r>
      <w:r>
        <w:rPr>
          <w:rFonts w:hint="eastAsia" w:ascii="宋体" w:hAnsi="宋体"/>
          <w:lang w:val="en-US" w:eastAsia="zh-CN"/>
        </w:rPr>
        <w:t>报价</w:t>
      </w:r>
      <w:r>
        <w:rPr>
          <w:rFonts w:hint="eastAsia" w:ascii="宋体" w:hAnsi="宋体"/>
        </w:rPr>
        <w:t>部分</w:t>
      </w:r>
    </w:p>
    <w:p>
      <w:pPr>
        <w:spacing w:line="360" w:lineRule="auto"/>
        <w:ind w:firstLine="420" w:firstLineChars="200"/>
        <w:rPr>
          <w:rFonts w:ascii="宋体" w:hAnsi="宋体"/>
        </w:rPr>
      </w:pPr>
      <w:r>
        <w:rPr>
          <w:rFonts w:hint="eastAsia" w:ascii="宋体" w:hAnsi="宋体"/>
        </w:rPr>
        <w:t>（1）已标价工程量清单</w:t>
      </w:r>
    </w:p>
    <w:p>
      <w:pPr>
        <w:spacing w:line="360" w:lineRule="auto"/>
        <w:ind w:firstLine="420" w:firstLineChars="200"/>
        <w:rPr>
          <w:rFonts w:hint="eastAsia" w:ascii="宋体" w:hAnsi="宋体"/>
          <w:lang w:val="en-US" w:eastAsia="zh-CN"/>
        </w:rPr>
      </w:pPr>
      <w:r>
        <w:rPr>
          <w:rFonts w:hint="eastAsia" w:ascii="宋体" w:hAnsi="宋体"/>
          <w:lang w:val="en-US" w:eastAsia="zh-CN"/>
        </w:rPr>
        <w:t>3.1.1.3商务</w:t>
      </w:r>
      <w:r>
        <w:rPr>
          <w:rFonts w:hint="eastAsia" w:ascii="宋体" w:hAnsi="宋体"/>
        </w:rPr>
        <w:t>部分（</w:t>
      </w:r>
      <w:r>
        <w:rPr>
          <w:rFonts w:hint="eastAsia" w:ascii="宋体" w:hAnsi="宋体"/>
          <w:lang w:val="en-US" w:eastAsia="zh-CN"/>
        </w:rPr>
        <w:t>如有</w:t>
      </w:r>
      <w:r>
        <w:rPr>
          <w:rFonts w:hint="eastAsia" w:ascii="宋体" w:hAnsi="宋体"/>
        </w:rPr>
        <w:t>）</w:t>
      </w:r>
    </w:p>
    <w:p>
      <w:pPr>
        <w:spacing w:line="360" w:lineRule="auto"/>
        <w:ind w:firstLine="420" w:firstLineChars="200"/>
        <w:rPr>
          <w:rFonts w:ascii="宋体" w:hAnsi="宋体"/>
        </w:rPr>
      </w:pPr>
      <w:r>
        <w:rPr>
          <w:rFonts w:hint="eastAsia" w:ascii="宋体" w:hAnsi="宋体"/>
        </w:rPr>
        <w:t>3.1.1.</w:t>
      </w:r>
      <w:r>
        <w:rPr>
          <w:rFonts w:hint="eastAsia" w:ascii="宋体" w:hAnsi="宋体"/>
          <w:lang w:val="en-US" w:eastAsia="zh-CN"/>
        </w:rPr>
        <w:t>4</w:t>
      </w:r>
      <w:r>
        <w:rPr>
          <w:rFonts w:hint="eastAsia" w:ascii="宋体" w:hAnsi="宋体"/>
        </w:rPr>
        <w:t>技术部分（</w:t>
      </w:r>
      <w:r>
        <w:rPr>
          <w:rFonts w:hint="eastAsia" w:ascii="宋体" w:hAnsi="宋体"/>
          <w:lang w:val="en-US" w:eastAsia="zh-CN"/>
        </w:rPr>
        <w:t>如有</w:t>
      </w:r>
      <w:r>
        <w:rPr>
          <w:rFonts w:hint="eastAsia" w:ascii="宋体" w:hAnsi="宋体"/>
        </w:rPr>
        <w:t>）</w:t>
      </w:r>
    </w:p>
    <w:p>
      <w:pPr>
        <w:spacing w:line="360" w:lineRule="auto"/>
        <w:ind w:firstLine="420" w:firstLineChars="200"/>
        <w:rPr>
          <w:rFonts w:ascii="宋体" w:hAnsi="宋体"/>
        </w:rPr>
      </w:pPr>
      <w:r>
        <w:rPr>
          <w:rFonts w:hint="eastAsia" w:ascii="宋体" w:hAnsi="宋体"/>
        </w:rPr>
        <w:t>3.1.1.</w:t>
      </w:r>
      <w:r>
        <w:rPr>
          <w:rFonts w:hint="eastAsia" w:ascii="宋体" w:hAnsi="宋体"/>
          <w:lang w:val="en-US" w:eastAsia="zh-CN"/>
        </w:rPr>
        <w:t>5</w:t>
      </w:r>
      <w:r>
        <w:rPr>
          <w:rFonts w:hint="eastAsia" w:ascii="宋体" w:hAnsi="宋体"/>
        </w:rPr>
        <w:t>资格审查部分</w:t>
      </w:r>
    </w:p>
    <w:p>
      <w:pPr>
        <w:spacing w:line="360" w:lineRule="auto"/>
        <w:ind w:firstLine="420" w:firstLineChars="200"/>
        <w:rPr>
          <w:rFonts w:ascii="宋体" w:hAnsi="宋体"/>
        </w:rPr>
      </w:pPr>
      <w:r>
        <w:rPr>
          <w:rFonts w:hint="eastAsia" w:ascii="宋体" w:hAnsi="宋体"/>
        </w:rPr>
        <w:t>（1）法定代表人身份证明或授权委托书</w:t>
      </w:r>
    </w:p>
    <w:p>
      <w:pPr>
        <w:spacing w:line="360" w:lineRule="auto"/>
        <w:ind w:firstLine="420" w:firstLineChars="200"/>
        <w:rPr>
          <w:rFonts w:ascii="宋体" w:hAnsi="宋体"/>
        </w:rPr>
      </w:pPr>
      <w:r>
        <w:rPr>
          <w:rFonts w:hint="eastAsia" w:ascii="宋体" w:hAnsi="宋体"/>
        </w:rPr>
        <w:t>（2）</w:t>
      </w:r>
      <w:r>
        <w:rPr>
          <w:rFonts w:hint="eastAsia" w:ascii="宋体" w:hAnsi="宋体"/>
          <w:lang w:val="en-US" w:eastAsia="zh-CN"/>
        </w:rPr>
        <w:t>共同投标协议</w:t>
      </w:r>
      <w:r>
        <w:rPr>
          <w:rFonts w:hint="eastAsia" w:ascii="宋体" w:hAnsi="宋体"/>
        </w:rPr>
        <w:t>（如有）</w:t>
      </w:r>
    </w:p>
    <w:p>
      <w:pPr>
        <w:spacing w:line="360" w:lineRule="auto"/>
        <w:ind w:firstLine="420" w:firstLineChars="200"/>
        <w:rPr>
          <w:rFonts w:ascii="宋体" w:hAnsi="宋体"/>
        </w:rPr>
      </w:pPr>
      <w:r>
        <w:rPr>
          <w:rFonts w:hint="eastAsia" w:ascii="宋体" w:hAnsi="宋体"/>
        </w:rPr>
        <w:t>（3）承诺</w:t>
      </w:r>
    </w:p>
    <w:p>
      <w:pPr>
        <w:spacing w:line="360" w:lineRule="auto"/>
        <w:ind w:firstLine="420" w:firstLineChars="200"/>
        <w:rPr>
          <w:rFonts w:hint="eastAsia" w:ascii="宋体" w:hAnsi="宋体"/>
        </w:rPr>
      </w:pPr>
      <w:r>
        <w:rPr>
          <w:rFonts w:hint="eastAsia" w:ascii="宋体" w:hAnsi="宋体"/>
        </w:rPr>
        <w:t>（</w:t>
      </w:r>
      <w:r>
        <w:rPr>
          <w:rFonts w:hint="eastAsia" w:ascii="宋体" w:hAnsi="宋体"/>
          <w:lang w:val="en-US" w:eastAsia="zh-CN"/>
        </w:rPr>
        <w:t>4</w:t>
      </w:r>
      <w:r>
        <w:rPr>
          <w:rFonts w:hint="eastAsia" w:ascii="宋体" w:hAnsi="宋体"/>
        </w:rPr>
        <w:t>）其他资料</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3.1.2  投标人须知前附表规定不接受联合体投标的，或投标人没有组成联合体的，投标文件不包括</w:t>
      </w:r>
      <w:r>
        <w:rPr>
          <w:rFonts w:hint="eastAsia" w:ascii="宋体" w:hAnsi="宋体"/>
          <w:lang w:val="en-US" w:eastAsia="zh-CN"/>
        </w:rPr>
        <w:t>共同投标协议</w:t>
      </w:r>
      <w:r>
        <w:rPr>
          <w:rFonts w:ascii="宋体" w:hAnsi="宋体"/>
          <w:snapToGrid w:val="0"/>
          <w:kern w:val="0"/>
          <w:szCs w:val="21"/>
        </w:rPr>
        <w:t>。</w:t>
      </w:r>
    </w:p>
    <w:p>
      <w:pPr>
        <w:pStyle w:val="5"/>
        <w:snapToGrid w:val="0"/>
        <w:spacing w:before="0" w:after="0" w:line="360" w:lineRule="auto"/>
        <w:rPr>
          <w:rFonts w:ascii="宋体" w:hAnsi="宋体"/>
          <w:b w:val="0"/>
          <w:snapToGrid w:val="0"/>
          <w:sz w:val="24"/>
          <w:szCs w:val="24"/>
        </w:rPr>
      </w:pPr>
      <w:bookmarkStart w:id="359" w:name="_Toc224103337"/>
      <w:bookmarkStart w:id="360" w:name="_Toc7103"/>
      <w:bookmarkStart w:id="361" w:name="_Toc287607766"/>
      <w:bookmarkStart w:id="362" w:name="_Toc430530455"/>
      <w:bookmarkStart w:id="363" w:name="_Toc200513146"/>
      <w:bookmarkStart w:id="364" w:name="_Toc9606"/>
      <w:bookmarkStart w:id="365" w:name="_Toc277082572"/>
      <w:bookmarkStart w:id="366" w:name="_Toc287620705"/>
      <w:bookmarkStart w:id="367" w:name="_Toc509218730"/>
      <w:r>
        <w:rPr>
          <w:rFonts w:ascii="宋体" w:hAnsi="宋体"/>
          <w:b w:val="0"/>
          <w:snapToGrid w:val="0"/>
          <w:sz w:val="24"/>
          <w:szCs w:val="24"/>
        </w:rPr>
        <w:t>3.2  投标报价</w:t>
      </w:r>
      <w:bookmarkEnd w:id="359"/>
      <w:bookmarkEnd w:id="360"/>
      <w:bookmarkEnd w:id="361"/>
      <w:bookmarkEnd w:id="362"/>
      <w:bookmarkEnd w:id="363"/>
      <w:bookmarkEnd w:id="364"/>
      <w:bookmarkEnd w:id="365"/>
      <w:bookmarkEnd w:id="366"/>
      <w:bookmarkEnd w:id="367"/>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3.2.1  投标人应按第五章“工程量清单”的要求填写相应表格。</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3.2.2</w:t>
      </w:r>
      <w:r>
        <w:rPr>
          <w:rFonts w:hint="eastAsia" w:ascii="宋体" w:hAnsi="宋体"/>
          <w:snapToGrid w:val="0"/>
          <w:kern w:val="0"/>
          <w:szCs w:val="21"/>
        </w:rPr>
        <w:t xml:space="preserve">  </w:t>
      </w:r>
      <w:r>
        <w:rPr>
          <w:rFonts w:ascii="宋体" w:hAnsi="宋体"/>
          <w:snapToGrid w:val="0"/>
          <w:kern w:val="0"/>
          <w:szCs w:val="21"/>
        </w:rPr>
        <w:t>投标人在投标截止时间前修改投标函中的投标总报价，应同时修改第五章“工程量清单”中的相应报价。此修改须符合本章第 4.3 款的有关要求。</w:t>
      </w:r>
    </w:p>
    <w:p>
      <w:pPr>
        <w:pStyle w:val="5"/>
        <w:snapToGrid w:val="0"/>
        <w:spacing w:before="0" w:after="0" w:line="360" w:lineRule="auto"/>
        <w:rPr>
          <w:rFonts w:ascii="宋体" w:hAnsi="宋体"/>
          <w:b w:val="0"/>
          <w:snapToGrid w:val="0"/>
          <w:sz w:val="24"/>
          <w:szCs w:val="24"/>
        </w:rPr>
      </w:pPr>
      <w:bookmarkStart w:id="368" w:name="_Toc287607767"/>
      <w:bookmarkStart w:id="369" w:name="_Toc200513147"/>
      <w:bookmarkStart w:id="370" w:name="_Toc430530456"/>
      <w:bookmarkStart w:id="371" w:name="_Toc12093"/>
      <w:bookmarkStart w:id="372" w:name="_Toc287620706"/>
      <w:bookmarkStart w:id="373" w:name="_Toc277082573"/>
      <w:bookmarkStart w:id="374" w:name="_Toc224103338"/>
      <w:bookmarkStart w:id="375" w:name="_Toc509218731"/>
      <w:bookmarkStart w:id="376" w:name="_Toc17662"/>
      <w:r>
        <w:rPr>
          <w:rFonts w:ascii="宋体" w:hAnsi="宋体"/>
          <w:b w:val="0"/>
          <w:snapToGrid w:val="0"/>
          <w:sz w:val="24"/>
          <w:szCs w:val="24"/>
        </w:rPr>
        <w:t>3.3  投标有效期</w:t>
      </w:r>
      <w:bookmarkEnd w:id="368"/>
      <w:bookmarkEnd w:id="369"/>
      <w:bookmarkEnd w:id="370"/>
      <w:bookmarkEnd w:id="371"/>
      <w:bookmarkEnd w:id="372"/>
      <w:bookmarkEnd w:id="373"/>
      <w:bookmarkEnd w:id="374"/>
      <w:bookmarkEnd w:id="375"/>
      <w:bookmarkEnd w:id="37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3.3.1  在投标人须知前附表规定的投标有效期内，投标人不得要求撤销或修改其投标文件。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3.3.2  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w:t>
      </w:r>
      <w:r>
        <w:rPr>
          <w:rFonts w:hint="eastAsia" w:ascii="宋体" w:hAnsi="宋体"/>
          <w:snapToGrid w:val="0"/>
          <w:kern w:val="0"/>
          <w:szCs w:val="21"/>
        </w:rPr>
        <w:t>（适用于投标保证金采用投标保函形式的）</w:t>
      </w:r>
    </w:p>
    <w:p>
      <w:pPr>
        <w:autoSpaceDE w:val="0"/>
        <w:autoSpaceDN w:val="0"/>
        <w:adjustRightInd w:val="0"/>
        <w:snapToGrid w:val="0"/>
        <w:spacing w:line="360" w:lineRule="auto"/>
        <w:ind w:firstLine="420" w:firstLineChars="200"/>
        <w:rPr>
          <w:rFonts w:ascii="宋体" w:hAnsi="宋体" w:cs="MingLiU"/>
          <w:snapToGrid w:val="0"/>
          <w:kern w:val="0"/>
          <w:szCs w:val="21"/>
        </w:rPr>
      </w:pPr>
      <w:r>
        <w:rPr>
          <w:rFonts w:hint="eastAsia" w:ascii="宋体" w:hAnsi="宋体" w:cs="MingLiU"/>
          <w:snapToGrid w:val="0"/>
          <w:kern w:val="0"/>
          <w:szCs w:val="21"/>
        </w:rPr>
        <w:t>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pPr>
        <w:pStyle w:val="5"/>
        <w:keepNext w:val="0"/>
        <w:keepLines w:val="0"/>
        <w:snapToGrid w:val="0"/>
        <w:spacing w:before="0" w:after="0" w:line="360" w:lineRule="auto"/>
        <w:rPr>
          <w:rFonts w:ascii="宋体" w:hAnsi="宋体"/>
          <w:b w:val="0"/>
          <w:snapToGrid w:val="0"/>
          <w:sz w:val="24"/>
          <w:szCs w:val="24"/>
        </w:rPr>
      </w:pPr>
      <w:bookmarkStart w:id="377" w:name="_Toc224103339"/>
      <w:bookmarkStart w:id="378" w:name="_Toc287620707"/>
      <w:bookmarkStart w:id="379" w:name="_Toc287607768"/>
      <w:bookmarkStart w:id="380" w:name="_Toc509218732"/>
      <w:bookmarkStart w:id="381" w:name="_Toc200513148"/>
      <w:bookmarkStart w:id="382" w:name="_Toc430530457"/>
      <w:bookmarkStart w:id="383" w:name="_Toc277082574"/>
      <w:bookmarkStart w:id="384" w:name="_Toc21081"/>
      <w:bookmarkStart w:id="385" w:name="_Toc21698"/>
      <w:r>
        <w:rPr>
          <w:rFonts w:ascii="宋体" w:hAnsi="宋体"/>
          <w:b w:val="0"/>
          <w:snapToGrid w:val="0"/>
          <w:sz w:val="24"/>
          <w:szCs w:val="24"/>
        </w:rPr>
        <w:t>3.4  投标</w:t>
      </w:r>
      <w:bookmarkEnd w:id="377"/>
      <w:bookmarkEnd w:id="378"/>
      <w:bookmarkEnd w:id="379"/>
      <w:bookmarkEnd w:id="380"/>
      <w:bookmarkEnd w:id="381"/>
      <w:bookmarkEnd w:id="382"/>
      <w:bookmarkEnd w:id="383"/>
      <w:r>
        <w:rPr>
          <w:rFonts w:hint="eastAsia" w:ascii="宋体" w:hAnsi="宋体"/>
          <w:b w:val="0"/>
          <w:snapToGrid w:val="0"/>
          <w:sz w:val="24"/>
          <w:szCs w:val="24"/>
        </w:rPr>
        <w:t>保证金</w:t>
      </w:r>
      <w:bookmarkEnd w:id="384"/>
      <w:bookmarkEnd w:id="38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3.4.1  投标人在递交投标文件的同时，应按投标人须知前附表的规定递交投标保证金，并作为其投标文件的组成部分。联合体投标的，其投标保证金由牵头人递交，并应符合投标人须知前附表的规定。</w:t>
      </w:r>
    </w:p>
    <w:p>
      <w:pPr>
        <w:autoSpaceDE w:val="0"/>
        <w:autoSpaceDN w:val="0"/>
        <w:adjustRightInd w:val="0"/>
        <w:snapToGrid w:val="0"/>
        <w:spacing w:line="360" w:lineRule="auto"/>
        <w:ind w:left="12" w:leftChars="6" w:firstLine="405" w:firstLineChars="193"/>
        <w:rPr>
          <w:rFonts w:ascii="宋体" w:hAnsi="宋体"/>
          <w:snapToGrid w:val="0"/>
          <w:kern w:val="0"/>
          <w:szCs w:val="21"/>
        </w:rPr>
      </w:pPr>
      <w:r>
        <w:rPr>
          <w:rFonts w:ascii="宋体" w:hAnsi="宋体"/>
          <w:snapToGrid w:val="0"/>
          <w:kern w:val="0"/>
          <w:szCs w:val="21"/>
        </w:rPr>
        <w:t>3.4.2  投标人不按本章第 3.4.1 项要求提交投标保证金的，其投标文件作否决投标处理。</w:t>
      </w:r>
    </w:p>
    <w:p>
      <w:pPr>
        <w:autoSpaceDE w:val="0"/>
        <w:autoSpaceDN w:val="0"/>
        <w:adjustRightInd w:val="0"/>
        <w:snapToGrid w:val="0"/>
        <w:spacing w:line="360" w:lineRule="auto"/>
        <w:ind w:left="12" w:leftChars="6" w:firstLine="405" w:firstLineChars="193"/>
        <w:rPr>
          <w:rFonts w:ascii="宋体" w:hAnsi="宋体"/>
          <w:snapToGrid w:val="0"/>
          <w:kern w:val="0"/>
          <w:szCs w:val="21"/>
        </w:rPr>
      </w:pPr>
      <w:r>
        <w:rPr>
          <w:rFonts w:ascii="宋体" w:hAnsi="宋体"/>
          <w:snapToGrid w:val="0"/>
          <w:kern w:val="0"/>
          <w:szCs w:val="21"/>
        </w:rPr>
        <w:t>3.4.3  投标</w:t>
      </w:r>
      <w:r>
        <w:rPr>
          <w:rFonts w:ascii="宋体" w:hAnsi="宋体"/>
          <w:snapToGrid w:val="0"/>
          <w:kern w:val="0"/>
          <w:position w:val="-2"/>
          <w:szCs w:val="21"/>
        </w:rPr>
        <w:t>保证金（投标保函）</w:t>
      </w:r>
      <w:r>
        <w:rPr>
          <w:rFonts w:ascii="宋体" w:hAnsi="宋体"/>
          <w:snapToGrid w:val="0"/>
          <w:kern w:val="0"/>
          <w:szCs w:val="21"/>
        </w:rPr>
        <w:t>退还：见投标人须知前附表</w:t>
      </w:r>
      <w:r>
        <w:rPr>
          <w:rFonts w:ascii="宋体" w:hAnsi="宋体"/>
          <w:snapToGrid w:val="0"/>
          <w:kern w:val="0"/>
          <w:position w:val="-2"/>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3.4.4  有下列情形之一的，投标保证金</w:t>
      </w:r>
      <w:r>
        <w:rPr>
          <w:rFonts w:hint="eastAsia" w:asciiTheme="minorEastAsia" w:hAnsiTheme="minorEastAsia" w:eastAsiaTheme="minorEastAsia"/>
          <w:color w:val="auto"/>
          <w:highlight w:val="none"/>
          <w:lang w:val="en-US" w:eastAsia="zh-CN"/>
        </w:rPr>
        <w:t>以现金形式交纳的</w:t>
      </w:r>
      <w:r>
        <w:rPr>
          <w:rFonts w:ascii="宋体" w:hAnsi="宋体"/>
          <w:snapToGrid w:val="0"/>
          <w:kern w:val="0"/>
          <w:szCs w:val="21"/>
        </w:rPr>
        <w:t>将不予退还</w:t>
      </w:r>
      <w:r>
        <w:rPr>
          <w:rFonts w:hint="eastAsia" w:asciiTheme="minorEastAsia" w:hAnsiTheme="minorEastAsia" w:eastAsiaTheme="minorEastAsia"/>
          <w:color w:val="auto"/>
          <w:highlight w:val="none"/>
          <w:lang w:eastAsia="zh-CN"/>
        </w:rPr>
        <w:t>，以保函形式交纳的由保函开立人支付保函担保的与投标保证金等额的款项</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（1）投标人在规定的投标有效期内撤销或修改其投标文件；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w:t>
      </w:r>
      <w:r>
        <w:rPr>
          <w:rFonts w:hint="eastAsia" w:ascii="宋体" w:hAnsi="宋体"/>
          <w:kern w:val="0"/>
          <w:szCs w:val="21"/>
        </w:rPr>
        <w:t>中标人在收到中标通知书后，无正当理由不与招标人订立合同，在签订合同时向招标人提出附加条件，或者不按照招标文件要求提交履约保证金</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lang w:val="en-US" w:eastAsia="zh-CN"/>
        </w:rPr>
        <w:t>3</w:t>
      </w:r>
      <w:r>
        <w:rPr>
          <w:rFonts w:ascii="宋体" w:hAnsi="宋体"/>
          <w:snapToGrid w:val="0"/>
          <w:kern w:val="0"/>
          <w:szCs w:val="21"/>
        </w:rPr>
        <w:t>）违反本章第9.2</w:t>
      </w:r>
      <w:r>
        <w:rPr>
          <w:rFonts w:hint="eastAsia" w:ascii="宋体" w:hAnsi="宋体"/>
          <w:snapToGrid w:val="0"/>
          <w:kern w:val="0"/>
          <w:szCs w:val="21"/>
        </w:rPr>
        <w:t>款</w:t>
      </w:r>
      <w:r>
        <w:rPr>
          <w:rFonts w:ascii="宋体" w:hAnsi="宋体"/>
          <w:snapToGrid w:val="0"/>
          <w:kern w:val="0"/>
          <w:szCs w:val="21"/>
        </w:rPr>
        <w:t>对投标人的纪律要求的；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lang w:val="en-US" w:eastAsia="zh-CN"/>
        </w:rPr>
        <w:t>4</w:t>
      </w:r>
      <w:r>
        <w:rPr>
          <w:rFonts w:ascii="宋体" w:hAnsi="宋体"/>
          <w:snapToGrid w:val="0"/>
          <w:kern w:val="0"/>
          <w:szCs w:val="21"/>
        </w:rPr>
        <w:t>）法律法规规定的其他情形。</w:t>
      </w:r>
    </w:p>
    <w:p>
      <w:pPr>
        <w:tabs>
          <w:tab w:val="left" w:pos="611"/>
          <w:tab w:val="left" w:pos="669"/>
        </w:tabs>
        <w:snapToGrid w:val="0"/>
        <w:spacing w:line="360" w:lineRule="auto"/>
        <w:ind w:firstLine="420" w:firstLineChars="200"/>
        <w:rPr>
          <w:rFonts w:hint="eastAsia" w:ascii="宋体" w:hAnsi="宋体" w:eastAsia="宋体"/>
          <w:snapToGrid w:val="0"/>
          <w:kern w:val="0"/>
          <w:szCs w:val="21"/>
          <w:lang w:val="en-US" w:eastAsia="zh-CN"/>
        </w:rPr>
      </w:pPr>
      <w:r>
        <w:rPr>
          <w:rFonts w:ascii="宋体" w:hAnsi="宋体"/>
          <w:snapToGrid w:val="0"/>
          <w:kern w:val="0"/>
          <w:szCs w:val="21"/>
        </w:rPr>
        <w:t>3.4.5</w:t>
      </w:r>
      <w:r>
        <w:rPr>
          <w:rFonts w:hint="eastAsia" w:ascii="宋体" w:hAnsi="宋体"/>
          <w:snapToGrid w:val="0"/>
          <w:kern w:val="0"/>
          <w:szCs w:val="21"/>
          <w:lang w:val="en-US" w:eastAsia="zh-CN"/>
        </w:rPr>
        <w:t xml:space="preserve"> </w:t>
      </w:r>
      <w:r>
        <w:rPr>
          <w:rFonts w:hint="eastAsia" w:ascii="宋体" w:hAnsi="宋体" w:eastAsia="宋体" w:cs="宋体"/>
          <w:color w:val="auto"/>
          <w:highlight w:val="none"/>
        </w:rPr>
        <w:t>投标保证金的其他要求：</w:t>
      </w:r>
    </w:p>
    <w:p>
      <w:pPr>
        <w:tabs>
          <w:tab w:val="left" w:pos="611"/>
          <w:tab w:val="left" w:pos="669"/>
        </w:tabs>
        <w:snapToGrid w:val="0"/>
        <w:spacing w:line="360" w:lineRule="auto"/>
        <w:ind w:firstLine="420" w:firstLineChars="200"/>
        <w:rPr>
          <w:rFonts w:ascii="宋体" w:hAnsi="宋体"/>
          <w:kern w:val="0"/>
        </w:rPr>
      </w:pPr>
      <w:r>
        <w:rPr>
          <w:rFonts w:ascii="宋体" w:hAnsi="宋体"/>
          <w:kern w:val="0"/>
        </w:rPr>
        <w:t>（1）投标保证金为无条件担保；</w:t>
      </w:r>
    </w:p>
    <w:p>
      <w:pPr>
        <w:tabs>
          <w:tab w:val="left" w:pos="611"/>
          <w:tab w:val="left" w:pos="669"/>
        </w:tabs>
        <w:snapToGrid w:val="0"/>
        <w:spacing w:line="360" w:lineRule="auto"/>
        <w:ind w:firstLine="420" w:firstLineChars="200"/>
        <w:rPr>
          <w:rFonts w:ascii="宋体" w:hAnsi="宋体"/>
          <w:kern w:val="0"/>
        </w:rPr>
      </w:pPr>
      <w:r>
        <w:rPr>
          <w:rFonts w:ascii="宋体" w:hAnsi="宋体"/>
          <w:kern w:val="0"/>
        </w:rPr>
        <w:t>（2）投标保证金的受益人为招标人</w:t>
      </w:r>
      <w:r>
        <w:rPr>
          <w:rFonts w:hint="eastAsia" w:ascii="宋体" w:hAnsi="宋体"/>
          <w:kern w:val="0"/>
        </w:rPr>
        <w:t>。</w:t>
      </w:r>
    </w:p>
    <w:p>
      <w:pPr>
        <w:pStyle w:val="5"/>
        <w:keepNext w:val="0"/>
        <w:keepLines w:val="0"/>
        <w:snapToGrid w:val="0"/>
        <w:spacing w:before="0" w:after="0" w:line="360" w:lineRule="auto"/>
        <w:rPr>
          <w:rFonts w:ascii="宋体" w:hAnsi="宋体"/>
          <w:b w:val="0"/>
          <w:snapToGrid w:val="0"/>
          <w:sz w:val="24"/>
          <w:szCs w:val="24"/>
        </w:rPr>
      </w:pPr>
      <w:bookmarkStart w:id="386" w:name="_Toc224103340"/>
      <w:bookmarkStart w:id="387" w:name="_Toc287607769"/>
      <w:bookmarkStart w:id="388" w:name="_Toc277082575"/>
      <w:bookmarkStart w:id="389" w:name="_Toc739"/>
      <w:bookmarkStart w:id="390" w:name="_Toc287620708"/>
      <w:bookmarkStart w:id="391" w:name="_Toc509218733"/>
      <w:bookmarkStart w:id="392" w:name="_Toc430530458"/>
      <w:bookmarkStart w:id="393" w:name="_Toc17714"/>
      <w:bookmarkStart w:id="394" w:name="_Toc200513149"/>
      <w:r>
        <w:rPr>
          <w:rFonts w:ascii="宋体" w:hAnsi="宋体"/>
          <w:b w:val="0"/>
          <w:snapToGrid w:val="0"/>
          <w:sz w:val="24"/>
          <w:szCs w:val="24"/>
        </w:rPr>
        <w:t>3.5</w:t>
      </w:r>
      <w:r>
        <w:rPr>
          <w:rFonts w:hint="eastAsia" w:ascii="宋体" w:hAnsi="宋体"/>
          <w:b w:val="0"/>
          <w:snapToGrid w:val="0"/>
          <w:sz w:val="24"/>
          <w:szCs w:val="24"/>
        </w:rPr>
        <w:t>A</w:t>
      </w:r>
      <w:r>
        <w:rPr>
          <w:rFonts w:ascii="宋体" w:hAnsi="宋体"/>
          <w:b w:val="0"/>
          <w:snapToGrid w:val="0"/>
          <w:sz w:val="24"/>
          <w:szCs w:val="24"/>
        </w:rPr>
        <w:t xml:space="preserve">  资格审查资料</w:t>
      </w:r>
      <w:bookmarkEnd w:id="386"/>
      <w:bookmarkEnd w:id="387"/>
      <w:bookmarkEnd w:id="388"/>
      <w:bookmarkEnd w:id="389"/>
      <w:bookmarkEnd w:id="390"/>
      <w:bookmarkEnd w:id="391"/>
      <w:bookmarkEnd w:id="392"/>
      <w:bookmarkEnd w:id="393"/>
      <w:bookmarkEnd w:id="39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投标人在编制投标文件时，应按新情况更新或补充其在申请资格预审时提供的资料，以证实其各项资格条件仍能继续满足资格预审文件的要求，具备承担本标段施工的资质条件、能力和信誉。</w:t>
      </w:r>
    </w:p>
    <w:p>
      <w:pPr>
        <w:autoSpaceDE w:val="0"/>
        <w:autoSpaceDN w:val="0"/>
        <w:adjustRightInd w:val="0"/>
        <w:snapToGrid w:val="0"/>
        <w:spacing w:line="360" w:lineRule="auto"/>
        <w:ind w:firstLine="420" w:firstLineChars="200"/>
        <w:rPr>
          <w:rFonts w:ascii="宋体" w:hAnsi="宋体"/>
          <w:i/>
          <w:snapToGrid w:val="0"/>
          <w:kern w:val="0"/>
          <w:szCs w:val="21"/>
        </w:rPr>
      </w:pPr>
      <w:r>
        <w:rPr>
          <w:rFonts w:hint="eastAsia" w:ascii="宋体" w:hAnsi="宋体"/>
          <w:i/>
          <w:snapToGrid w:val="0"/>
          <w:kern w:val="0"/>
          <w:szCs w:val="21"/>
        </w:rPr>
        <w:t>[提示：适用于已进行资格预审的。]</w:t>
      </w:r>
    </w:p>
    <w:p>
      <w:pPr>
        <w:pStyle w:val="5"/>
        <w:keepNext w:val="0"/>
        <w:keepLines w:val="0"/>
        <w:snapToGrid w:val="0"/>
        <w:spacing w:before="0" w:after="0" w:line="360" w:lineRule="auto"/>
        <w:rPr>
          <w:rFonts w:ascii="宋体" w:hAnsi="宋体"/>
          <w:b w:val="0"/>
          <w:snapToGrid w:val="0"/>
          <w:sz w:val="24"/>
          <w:szCs w:val="24"/>
        </w:rPr>
      </w:pPr>
      <w:bookmarkStart w:id="395" w:name="_Toc277082576"/>
      <w:bookmarkStart w:id="396" w:name="_Toc287607770"/>
      <w:bookmarkStart w:id="397" w:name="_Toc16727"/>
      <w:bookmarkStart w:id="398" w:name="_Toc224103341"/>
      <w:bookmarkStart w:id="399" w:name="_Toc200513150"/>
      <w:bookmarkStart w:id="400" w:name="_Toc430530459"/>
      <w:bookmarkStart w:id="401" w:name="_Toc287620709"/>
      <w:bookmarkStart w:id="402" w:name="_Toc8288"/>
      <w:bookmarkStart w:id="403" w:name="_Toc509218734"/>
      <w:r>
        <w:rPr>
          <w:rFonts w:ascii="宋体" w:hAnsi="宋体"/>
          <w:b w:val="0"/>
          <w:snapToGrid w:val="0"/>
          <w:sz w:val="24"/>
          <w:szCs w:val="24"/>
        </w:rPr>
        <w:t>3.5</w:t>
      </w:r>
      <w:r>
        <w:rPr>
          <w:rFonts w:hint="eastAsia" w:ascii="宋体" w:hAnsi="宋体"/>
          <w:b w:val="0"/>
          <w:snapToGrid w:val="0"/>
          <w:sz w:val="24"/>
          <w:szCs w:val="24"/>
        </w:rPr>
        <w:t>B</w:t>
      </w:r>
      <w:r>
        <w:rPr>
          <w:rFonts w:ascii="宋体" w:hAnsi="宋体"/>
          <w:b w:val="0"/>
          <w:snapToGrid w:val="0"/>
          <w:sz w:val="24"/>
          <w:szCs w:val="24"/>
        </w:rPr>
        <w:t xml:space="preserve">  资格审查资料</w:t>
      </w:r>
      <w:bookmarkEnd w:id="395"/>
      <w:bookmarkEnd w:id="396"/>
      <w:bookmarkEnd w:id="397"/>
      <w:bookmarkEnd w:id="398"/>
      <w:bookmarkEnd w:id="399"/>
      <w:bookmarkEnd w:id="400"/>
      <w:bookmarkEnd w:id="401"/>
      <w:bookmarkEnd w:id="402"/>
      <w:bookmarkEnd w:id="403"/>
    </w:p>
    <w:p>
      <w:pPr>
        <w:autoSpaceDE w:val="0"/>
        <w:autoSpaceDN w:val="0"/>
        <w:adjustRightInd w:val="0"/>
        <w:snapToGrid w:val="0"/>
        <w:spacing w:line="360" w:lineRule="auto"/>
        <w:ind w:left="103" w:leftChars="49" w:right="37" w:firstLine="420" w:firstLineChars="200"/>
        <w:rPr>
          <w:rFonts w:ascii="宋体" w:hAnsi="宋体"/>
          <w:szCs w:val="21"/>
        </w:rPr>
      </w:pPr>
      <w:r>
        <w:rPr>
          <w:rFonts w:ascii="宋体" w:hAnsi="宋体"/>
          <w:szCs w:val="21"/>
        </w:rPr>
        <w:t>投标人</w:t>
      </w:r>
      <w:r>
        <w:rPr>
          <w:rFonts w:hint="eastAsia" w:ascii="宋体" w:hAnsi="宋体"/>
          <w:szCs w:val="21"/>
        </w:rPr>
        <w:t>应附</w:t>
      </w:r>
      <w:r>
        <w:rPr>
          <w:rFonts w:hint="eastAsia" w:ascii="宋体" w:hAnsi="宋体"/>
          <w:kern w:val="0"/>
          <w:szCs w:val="21"/>
        </w:rPr>
        <w:t>投标人须知前附表第1</w:t>
      </w:r>
      <w:r>
        <w:rPr>
          <w:rFonts w:ascii="宋体" w:hAnsi="宋体"/>
          <w:kern w:val="0"/>
          <w:szCs w:val="21"/>
        </w:rPr>
        <w:t>.4.1项</w:t>
      </w:r>
      <w:r>
        <w:rPr>
          <w:rFonts w:hint="eastAsia" w:ascii="宋体" w:hAnsi="宋体"/>
          <w:kern w:val="0"/>
          <w:szCs w:val="21"/>
        </w:rPr>
        <w:t>中要求的相关证明材料</w:t>
      </w:r>
      <w:r>
        <w:rPr>
          <w:rFonts w:ascii="宋体" w:hAnsi="宋体"/>
          <w:szCs w:val="21"/>
        </w:rPr>
        <w:t>。</w:t>
      </w:r>
    </w:p>
    <w:p>
      <w:pPr>
        <w:autoSpaceDE w:val="0"/>
        <w:autoSpaceDN w:val="0"/>
        <w:adjustRightInd w:val="0"/>
        <w:snapToGrid w:val="0"/>
        <w:spacing w:line="360" w:lineRule="auto"/>
        <w:ind w:left="103" w:leftChars="49" w:right="37" w:firstLine="420" w:firstLineChars="200"/>
        <w:rPr>
          <w:rFonts w:ascii="宋体" w:hAnsi="宋体"/>
          <w:snapToGrid w:val="0"/>
          <w:kern w:val="0"/>
          <w:szCs w:val="21"/>
        </w:rPr>
      </w:pPr>
      <w:r>
        <w:rPr>
          <w:rFonts w:hint="eastAsia" w:ascii="宋体" w:hAnsi="宋体"/>
          <w:snapToGrid w:val="0"/>
          <w:kern w:val="0"/>
          <w:szCs w:val="21"/>
        </w:rPr>
        <w:t>投标人须知前附表规定接受联合体投标的，详见投标人须知前附表联合体投标相关内容。</w:t>
      </w:r>
    </w:p>
    <w:p>
      <w:pPr>
        <w:autoSpaceDE w:val="0"/>
        <w:autoSpaceDN w:val="0"/>
        <w:adjustRightInd w:val="0"/>
        <w:snapToGrid w:val="0"/>
        <w:spacing w:line="360" w:lineRule="auto"/>
        <w:ind w:firstLine="420" w:firstLineChars="200"/>
        <w:rPr>
          <w:rFonts w:ascii="宋体" w:hAnsi="宋体"/>
          <w:i/>
          <w:snapToGrid w:val="0"/>
          <w:kern w:val="0"/>
          <w:szCs w:val="21"/>
        </w:rPr>
      </w:pPr>
      <w:r>
        <w:rPr>
          <w:rFonts w:hint="eastAsia" w:ascii="宋体" w:hAnsi="宋体"/>
          <w:i/>
          <w:snapToGrid w:val="0"/>
          <w:kern w:val="0"/>
          <w:szCs w:val="21"/>
        </w:rPr>
        <w:t>[提示：适用于未进行资格预审的。]</w:t>
      </w:r>
    </w:p>
    <w:p>
      <w:pPr>
        <w:pStyle w:val="5"/>
        <w:snapToGrid w:val="0"/>
        <w:spacing w:before="0" w:after="0" w:line="360" w:lineRule="auto"/>
        <w:rPr>
          <w:rFonts w:ascii="宋体" w:hAnsi="宋体"/>
          <w:b w:val="0"/>
          <w:snapToGrid w:val="0"/>
          <w:sz w:val="24"/>
          <w:szCs w:val="24"/>
        </w:rPr>
      </w:pPr>
      <w:bookmarkStart w:id="404" w:name="_Toc277082577"/>
      <w:bookmarkStart w:id="405" w:name="_Toc509218735"/>
      <w:bookmarkStart w:id="406" w:name="_Toc7817"/>
      <w:bookmarkStart w:id="407" w:name="_Toc287607771"/>
      <w:bookmarkStart w:id="408" w:name="_Toc200513151"/>
      <w:bookmarkStart w:id="409" w:name="_Toc224103342"/>
      <w:bookmarkStart w:id="410" w:name="_Toc287620710"/>
      <w:bookmarkStart w:id="411" w:name="_Toc1149"/>
      <w:bookmarkStart w:id="412" w:name="_Toc430530460"/>
      <w:r>
        <w:rPr>
          <w:rFonts w:ascii="宋体" w:hAnsi="宋体"/>
          <w:b w:val="0"/>
          <w:snapToGrid w:val="0"/>
          <w:sz w:val="24"/>
          <w:szCs w:val="24"/>
        </w:rPr>
        <w:t>3.6  备选投标方案</w:t>
      </w:r>
      <w:bookmarkEnd w:id="404"/>
      <w:bookmarkEnd w:id="405"/>
      <w:bookmarkEnd w:id="406"/>
      <w:bookmarkEnd w:id="407"/>
      <w:bookmarkEnd w:id="408"/>
      <w:bookmarkEnd w:id="409"/>
      <w:bookmarkEnd w:id="410"/>
      <w:bookmarkEnd w:id="411"/>
      <w:bookmarkEnd w:id="41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除投标人须知前附表另有规定外，投标人不得递交备选投标方案。允许投标人递交备选投标方案的，只有中标人所递交的备选投标方案方可予以考虑。评标委员会认为中标人的备 选投标方案优于其按照招标文件要求编制的投标方案的，招标人可以接受该备选投标方案。</w:t>
      </w:r>
    </w:p>
    <w:p>
      <w:pPr>
        <w:pStyle w:val="5"/>
        <w:snapToGrid w:val="0"/>
        <w:spacing w:before="0" w:after="0" w:line="360" w:lineRule="auto"/>
        <w:rPr>
          <w:rFonts w:ascii="宋体" w:hAnsi="宋体"/>
          <w:b w:val="0"/>
          <w:snapToGrid w:val="0"/>
          <w:sz w:val="24"/>
          <w:szCs w:val="24"/>
        </w:rPr>
      </w:pPr>
      <w:bookmarkStart w:id="413" w:name="_Toc200513152"/>
      <w:bookmarkStart w:id="414" w:name="_Toc287607772"/>
      <w:bookmarkStart w:id="415" w:name="_Toc224103343"/>
      <w:bookmarkStart w:id="416" w:name="_Toc287620711"/>
      <w:bookmarkStart w:id="417" w:name="_Toc430530461"/>
      <w:bookmarkStart w:id="418" w:name="_Toc509218736"/>
      <w:bookmarkStart w:id="419" w:name="_Toc277082578"/>
      <w:bookmarkStart w:id="420" w:name="_Toc25349"/>
      <w:bookmarkStart w:id="421" w:name="_Toc17887"/>
      <w:r>
        <w:rPr>
          <w:rFonts w:ascii="宋体" w:hAnsi="宋体"/>
          <w:b w:val="0"/>
          <w:snapToGrid w:val="0"/>
          <w:sz w:val="24"/>
          <w:szCs w:val="24"/>
        </w:rPr>
        <w:t>3.7  投标文件的编制</w:t>
      </w:r>
      <w:bookmarkEnd w:id="413"/>
      <w:bookmarkEnd w:id="414"/>
      <w:bookmarkEnd w:id="415"/>
      <w:bookmarkEnd w:id="416"/>
      <w:bookmarkEnd w:id="417"/>
      <w:bookmarkEnd w:id="418"/>
      <w:bookmarkEnd w:id="419"/>
      <w:bookmarkEnd w:id="420"/>
      <w:bookmarkEnd w:id="421"/>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3.7.1  投标文件应按第八章“投标文件格式”进行编写，如有必要，可以增加附页，作为投标文件的组成部分。其中，投标函附录在满足招标文件实质性要求的基础上，可以提出比招标文件要求更有利于招标人的承诺。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3.7.2  投标文件应当对招标文件有关工期、投标有效期、质量要求、技术标准和要求、招标范围等实质性内容做出响应。</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 xml:space="preserve">3.7.3  </w:t>
      </w:r>
      <w:r>
        <w:rPr>
          <w:rFonts w:hint="eastAsia" w:ascii="宋体" w:hAnsi="宋体"/>
          <w:snapToGrid w:val="0"/>
          <w:kern w:val="0"/>
          <w:position w:val="-2"/>
          <w:szCs w:val="21"/>
        </w:rPr>
        <w:t>投标文件的签名盖章要求：按本章投标人须知前附表第3.7.3项执行。</w:t>
      </w:r>
    </w:p>
    <w:p>
      <w:pPr>
        <w:autoSpaceDE w:val="0"/>
        <w:autoSpaceDN w:val="0"/>
        <w:adjustRightInd w:val="0"/>
        <w:snapToGrid w:val="0"/>
        <w:spacing w:line="360" w:lineRule="auto"/>
        <w:ind w:right="-164" w:firstLine="420" w:firstLineChars="200"/>
        <w:rPr>
          <w:rFonts w:ascii="宋体" w:hAnsi="宋体"/>
          <w:snapToGrid w:val="0"/>
          <w:kern w:val="0"/>
          <w:szCs w:val="21"/>
        </w:rPr>
      </w:pPr>
      <w:r>
        <w:rPr>
          <w:rFonts w:ascii="宋体" w:hAnsi="宋体"/>
          <w:snapToGrid w:val="0"/>
          <w:kern w:val="0"/>
          <w:szCs w:val="21"/>
        </w:rPr>
        <w:t xml:space="preserve">3.7.4  </w:t>
      </w:r>
      <w:r>
        <w:rPr>
          <w:rFonts w:hint="eastAsia" w:ascii="宋体" w:hAnsi="宋体"/>
          <w:snapToGrid w:val="0"/>
          <w:kern w:val="0"/>
          <w:szCs w:val="21"/>
        </w:rPr>
        <w:t>投标文件份数：</w:t>
      </w:r>
      <w:r>
        <w:rPr>
          <w:rFonts w:hint="eastAsia" w:ascii="宋体" w:hAnsi="宋体"/>
          <w:kern w:val="0"/>
          <w:szCs w:val="21"/>
        </w:rPr>
        <w:t>投标人网上提交加密投标文件一份</w:t>
      </w:r>
      <w:r>
        <w:rPr>
          <w:rFonts w:ascii="宋体" w:hAnsi="宋体"/>
          <w:kern w:val="0"/>
          <w:szCs w:val="21"/>
        </w:rPr>
        <w:t>。</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ascii="宋体" w:hAnsi="宋体"/>
          <w:snapToGrid w:val="0"/>
          <w:kern w:val="0"/>
          <w:szCs w:val="21"/>
        </w:rPr>
        <w:t>3.7.5  投标文件</w:t>
      </w:r>
      <w:r>
        <w:rPr>
          <w:rFonts w:hint="eastAsia" w:ascii="宋体" w:hAnsi="宋体"/>
          <w:snapToGrid w:val="0"/>
          <w:kern w:val="0"/>
          <w:szCs w:val="21"/>
        </w:rPr>
        <w:t>应按规定格式排版</w:t>
      </w:r>
      <w:r>
        <w:rPr>
          <w:rFonts w:ascii="宋体" w:hAnsi="宋体"/>
          <w:snapToGrid w:val="0"/>
          <w:kern w:val="0"/>
          <w:szCs w:val="21"/>
        </w:rPr>
        <w:t>，并编制目录，具体</w:t>
      </w:r>
      <w:r>
        <w:rPr>
          <w:rFonts w:hint="eastAsia" w:ascii="宋体" w:hAnsi="宋体"/>
          <w:snapToGrid w:val="0"/>
          <w:kern w:val="0"/>
          <w:szCs w:val="21"/>
        </w:rPr>
        <w:t>编制</w:t>
      </w:r>
      <w:r>
        <w:rPr>
          <w:rFonts w:ascii="宋体" w:hAnsi="宋体"/>
          <w:snapToGrid w:val="0"/>
          <w:kern w:val="0"/>
          <w:szCs w:val="21"/>
        </w:rPr>
        <w:t>要求见投标人须知前附表规定。</w:t>
      </w:r>
    </w:p>
    <w:p>
      <w:pPr>
        <w:pStyle w:val="4"/>
        <w:keepNext w:val="0"/>
        <w:keepLines w:val="0"/>
        <w:spacing w:before="0" w:after="0" w:line="360" w:lineRule="auto"/>
        <w:rPr>
          <w:rFonts w:ascii="宋体" w:hAnsi="宋体"/>
          <w:b w:val="0"/>
          <w:snapToGrid w:val="0"/>
        </w:rPr>
      </w:pPr>
      <w:bookmarkStart w:id="422" w:name="_Toc287620712"/>
      <w:bookmarkStart w:id="423" w:name="_Toc509218737"/>
      <w:bookmarkStart w:id="424" w:name="_Toc430530462"/>
      <w:bookmarkStart w:id="425" w:name="_Toc200513153"/>
      <w:bookmarkStart w:id="426" w:name="_Toc277082579"/>
      <w:bookmarkStart w:id="427" w:name="_Toc3642"/>
      <w:bookmarkStart w:id="428" w:name="_Toc20108"/>
      <w:bookmarkStart w:id="429" w:name="_Toc287607773"/>
      <w:bookmarkStart w:id="430" w:name="_Toc224103344"/>
      <w:r>
        <w:rPr>
          <w:rFonts w:ascii="宋体" w:hAnsi="宋体"/>
          <w:b w:val="0"/>
          <w:snapToGrid w:val="0"/>
        </w:rPr>
        <w:t>4.  投标</w:t>
      </w:r>
      <w:bookmarkEnd w:id="422"/>
      <w:bookmarkEnd w:id="423"/>
      <w:bookmarkEnd w:id="424"/>
      <w:bookmarkEnd w:id="425"/>
      <w:bookmarkEnd w:id="426"/>
      <w:bookmarkEnd w:id="427"/>
      <w:bookmarkEnd w:id="428"/>
      <w:bookmarkEnd w:id="429"/>
      <w:bookmarkEnd w:id="430"/>
    </w:p>
    <w:p>
      <w:pPr>
        <w:pStyle w:val="5"/>
        <w:keepNext w:val="0"/>
        <w:keepLines w:val="0"/>
        <w:snapToGrid w:val="0"/>
        <w:spacing w:before="0" w:after="0" w:line="360" w:lineRule="auto"/>
        <w:rPr>
          <w:rFonts w:ascii="宋体" w:hAnsi="宋体"/>
          <w:b w:val="0"/>
          <w:snapToGrid w:val="0"/>
          <w:sz w:val="24"/>
          <w:szCs w:val="24"/>
        </w:rPr>
      </w:pPr>
      <w:bookmarkStart w:id="431" w:name="_Toc287607774"/>
      <w:bookmarkStart w:id="432" w:name="_Toc287620713"/>
      <w:bookmarkStart w:id="433" w:name="_Toc14708"/>
      <w:bookmarkStart w:id="434" w:name="_Toc430530463"/>
      <w:bookmarkStart w:id="435" w:name="_Toc224103345"/>
      <w:bookmarkStart w:id="436" w:name="_Toc200513154"/>
      <w:bookmarkStart w:id="437" w:name="_Toc20114"/>
      <w:bookmarkStart w:id="438" w:name="_Toc509218738"/>
      <w:bookmarkStart w:id="439" w:name="_Toc277082580"/>
      <w:r>
        <w:rPr>
          <w:rFonts w:ascii="宋体" w:hAnsi="宋体"/>
          <w:b w:val="0"/>
          <w:snapToGrid w:val="0"/>
          <w:sz w:val="24"/>
          <w:szCs w:val="24"/>
        </w:rPr>
        <w:t>4.1  投标文件的密封和标记</w:t>
      </w:r>
      <w:bookmarkEnd w:id="431"/>
      <w:bookmarkEnd w:id="432"/>
      <w:bookmarkEnd w:id="433"/>
      <w:bookmarkEnd w:id="434"/>
      <w:bookmarkEnd w:id="435"/>
      <w:bookmarkEnd w:id="436"/>
      <w:bookmarkEnd w:id="437"/>
      <w:bookmarkEnd w:id="438"/>
      <w:bookmarkEnd w:id="439"/>
    </w:p>
    <w:p>
      <w:pPr>
        <w:autoSpaceDE w:val="0"/>
        <w:autoSpaceDN w:val="0"/>
        <w:adjustRightInd w:val="0"/>
        <w:snapToGrid w:val="0"/>
        <w:spacing w:line="360" w:lineRule="auto"/>
        <w:ind w:firstLine="420" w:firstLineChars="200"/>
        <w:rPr>
          <w:rFonts w:ascii="宋体" w:hAnsi="宋体"/>
          <w:snapToGrid w:val="0"/>
          <w:kern w:val="0"/>
          <w:szCs w:val="21"/>
        </w:rPr>
      </w:pPr>
      <w:bookmarkStart w:id="440" w:name="_Toc200513155"/>
      <w:r>
        <w:rPr>
          <w:rFonts w:ascii="宋体" w:hAnsi="宋体"/>
          <w:snapToGrid w:val="0"/>
          <w:kern w:val="0"/>
          <w:szCs w:val="21"/>
        </w:rPr>
        <w:t>4.1.1  投标文件的密封</w:t>
      </w:r>
      <w:r>
        <w:rPr>
          <w:rFonts w:hint="eastAsia" w:ascii="宋体" w:hAnsi="宋体"/>
          <w:snapToGrid w:val="0"/>
          <w:kern w:val="0"/>
          <w:szCs w:val="21"/>
        </w:rPr>
        <w:t>：</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4.1.2  投标文件的封套上应写明的内容</w:t>
      </w:r>
      <w:r>
        <w:rPr>
          <w:rFonts w:hint="eastAsia" w:ascii="宋体" w:hAnsi="宋体"/>
          <w:snapToGrid w:val="0"/>
          <w:kern w:val="0"/>
          <w:szCs w:val="21"/>
        </w:rPr>
        <w:t>：</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4.1.3  电子投标文件的加密</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加密的电子投标文件应按照本章</w:t>
      </w:r>
      <w:r>
        <w:rPr>
          <w:rFonts w:ascii="宋体" w:hAnsi="宋体"/>
          <w:snapToGrid w:val="0"/>
          <w:kern w:val="0"/>
          <w:szCs w:val="21"/>
        </w:rPr>
        <w:t>投标人须知前附表</w:t>
      </w:r>
      <w:r>
        <w:rPr>
          <w:rFonts w:hint="eastAsia" w:ascii="宋体" w:hAnsi="宋体"/>
          <w:snapToGrid w:val="0"/>
          <w:kern w:val="0"/>
          <w:szCs w:val="21"/>
        </w:rPr>
        <w:t>第</w:t>
      </w:r>
      <w:r>
        <w:rPr>
          <w:rFonts w:hint="eastAsia" w:ascii="宋体" w:hAnsi="宋体"/>
          <w:snapToGrid w:val="0"/>
          <w:kern w:val="0"/>
          <w:szCs w:val="21"/>
          <w:lang w:val="en-US" w:eastAsia="zh-CN"/>
        </w:rPr>
        <w:t>10.6款相关</w:t>
      </w:r>
      <w:r>
        <w:rPr>
          <w:rFonts w:hint="eastAsia" w:ascii="宋体" w:hAnsi="宋体"/>
          <w:snapToGrid w:val="0"/>
          <w:kern w:val="0"/>
          <w:szCs w:val="21"/>
        </w:rPr>
        <w:t>要求制作并加密，未按要求加密的电子投标文件，将无法上传至重庆市电子招投标系统，逾期未完成上传投标文件的，视为撤回投标文件。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4.1.4  不加密电子投标文件的密封</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投标人如需递交不加密电子投标文件（光盘备份）应单独封装，并在封套的封口处加盖投标人单位法人章。</w:t>
      </w:r>
    </w:p>
    <w:p>
      <w:pPr>
        <w:pStyle w:val="5"/>
        <w:keepNext w:val="0"/>
        <w:keepLines w:val="0"/>
        <w:snapToGrid w:val="0"/>
        <w:spacing w:before="0" w:after="0" w:line="360" w:lineRule="auto"/>
        <w:rPr>
          <w:rFonts w:ascii="宋体" w:hAnsi="宋体"/>
          <w:b w:val="0"/>
          <w:snapToGrid w:val="0"/>
          <w:sz w:val="24"/>
          <w:szCs w:val="24"/>
        </w:rPr>
      </w:pPr>
      <w:bookmarkStart w:id="441" w:name="_Toc287607775"/>
      <w:bookmarkStart w:id="442" w:name="_Toc430530464"/>
      <w:bookmarkStart w:id="443" w:name="_Toc277082581"/>
      <w:bookmarkStart w:id="444" w:name="_Toc287620714"/>
      <w:bookmarkStart w:id="445" w:name="_Toc224103346"/>
      <w:bookmarkStart w:id="446" w:name="_Toc17540"/>
      <w:bookmarkStart w:id="447" w:name="_Toc509218739"/>
      <w:bookmarkStart w:id="448" w:name="_Toc9972"/>
      <w:r>
        <w:rPr>
          <w:rFonts w:ascii="宋体" w:hAnsi="宋体"/>
          <w:b w:val="0"/>
          <w:snapToGrid w:val="0"/>
          <w:sz w:val="24"/>
          <w:szCs w:val="24"/>
        </w:rPr>
        <w:t>4.2  投标文件的递交</w:t>
      </w:r>
      <w:bookmarkEnd w:id="440"/>
      <w:bookmarkEnd w:id="441"/>
      <w:bookmarkEnd w:id="442"/>
      <w:bookmarkEnd w:id="443"/>
      <w:bookmarkEnd w:id="444"/>
      <w:bookmarkEnd w:id="445"/>
      <w:bookmarkEnd w:id="446"/>
      <w:bookmarkEnd w:id="447"/>
      <w:bookmarkEnd w:id="44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4.2.1  投标人应在投标人须知前附表第 2.2.2 项规定的投标截止时间前递交投标文件。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4.2.2  投标人递交投标文件的地点：见投标人须知前附表。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4.2.3  除投标人须知前附表另有规定外，投标人所递交的投标文件不予退还。</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4.2.4  招标人收到投标文件后，由</w:t>
      </w:r>
      <w:r>
        <w:rPr>
          <w:rFonts w:hint="eastAsia" w:ascii="宋体" w:hAnsi="宋体" w:cs="宋体"/>
          <w:szCs w:val="21"/>
        </w:rPr>
        <w:t>重庆市电子招投标系统</w:t>
      </w:r>
      <w:r>
        <w:rPr>
          <w:rFonts w:ascii="宋体" w:hAnsi="宋体"/>
          <w:snapToGrid w:val="0"/>
          <w:kern w:val="0"/>
          <w:szCs w:val="21"/>
        </w:rPr>
        <w:t>向投标人出具签收凭证。</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4.2.5  逾期送达的或者未送达指定地点的投标文件，招标人不予受理。</w:t>
      </w:r>
    </w:p>
    <w:p>
      <w:pPr>
        <w:pStyle w:val="5"/>
        <w:keepNext w:val="0"/>
        <w:keepLines w:val="0"/>
        <w:snapToGrid w:val="0"/>
        <w:spacing w:before="0" w:after="0" w:line="360" w:lineRule="auto"/>
        <w:rPr>
          <w:rFonts w:ascii="宋体" w:hAnsi="宋体"/>
          <w:b w:val="0"/>
          <w:snapToGrid w:val="0"/>
          <w:sz w:val="24"/>
          <w:szCs w:val="24"/>
        </w:rPr>
      </w:pPr>
      <w:bookmarkStart w:id="449" w:name="_Toc29742"/>
      <w:bookmarkStart w:id="450" w:name="_Toc224103347"/>
      <w:bookmarkStart w:id="451" w:name="_Toc200513156"/>
      <w:bookmarkStart w:id="452" w:name="_Toc277082582"/>
      <w:bookmarkStart w:id="453" w:name="_Toc287607776"/>
      <w:bookmarkStart w:id="454" w:name="_Toc430530465"/>
      <w:bookmarkStart w:id="455" w:name="_Toc28608"/>
      <w:bookmarkStart w:id="456" w:name="_Toc509218740"/>
      <w:bookmarkStart w:id="457" w:name="_Toc287620715"/>
      <w:r>
        <w:rPr>
          <w:rFonts w:ascii="宋体" w:hAnsi="宋体"/>
          <w:b w:val="0"/>
          <w:snapToGrid w:val="0"/>
          <w:sz w:val="24"/>
          <w:szCs w:val="24"/>
        </w:rPr>
        <w:t>4.3  投标文件的修改与撤回</w:t>
      </w:r>
      <w:bookmarkEnd w:id="449"/>
      <w:bookmarkEnd w:id="450"/>
      <w:bookmarkEnd w:id="451"/>
      <w:bookmarkEnd w:id="452"/>
      <w:bookmarkEnd w:id="453"/>
      <w:bookmarkEnd w:id="454"/>
      <w:bookmarkEnd w:id="455"/>
      <w:bookmarkEnd w:id="456"/>
      <w:bookmarkEnd w:id="457"/>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4.3.1  在投标人须知前附表第2.2.2项规定的投标截止时间前，投标人可以修改或撤回已递交的投标文件。</w:t>
      </w:r>
      <w:r>
        <w:rPr>
          <w:rFonts w:hint="eastAsia" w:ascii="宋体" w:hAnsi="宋体" w:cs="宋体"/>
          <w:szCs w:val="21"/>
        </w:rPr>
        <w:t>投标人修改投标文件的，应按照本章第 3.7.3 项的要求重新对投标文件进行电子签章，再按照本章第 4.2 款的要求提交。</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4.3.2  投标人对加密的电子投标文件进行撤回的，在重庆市电子招投标系统直接进行撤回操作；任何情况下，投标人都有义务保证其递交的加密的电子投标文件和不加密电子投标文件（光盘备份）的内容保持一致，否则造成的后果由投标人自行承担。</w:t>
      </w:r>
    </w:p>
    <w:p>
      <w:pPr>
        <w:pStyle w:val="4"/>
        <w:keepNext w:val="0"/>
        <w:keepLines w:val="0"/>
        <w:spacing w:before="0" w:after="0" w:line="360" w:lineRule="auto"/>
        <w:rPr>
          <w:rFonts w:ascii="宋体" w:hAnsi="宋体"/>
          <w:b w:val="0"/>
          <w:snapToGrid w:val="0"/>
        </w:rPr>
      </w:pPr>
      <w:bookmarkStart w:id="458" w:name="_Toc19808"/>
      <w:bookmarkStart w:id="459" w:name="_Toc224103348"/>
      <w:bookmarkStart w:id="460" w:name="_Toc200513157"/>
      <w:bookmarkStart w:id="461" w:name="_Toc287607777"/>
      <w:bookmarkStart w:id="462" w:name="_Toc287620716"/>
      <w:bookmarkStart w:id="463" w:name="_Toc19876"/>
      <w:bookmarkStart w:id="464" w:name="_Toc430530466"/>
      <w:bookmarkStart w:id="465" w:name="_Toc277082583"/>
      <w:bookmarkStart w:id="466" w:name="_Toc509218741"/>
      <w:r>
        <w:rPr>
          <w:rFonts w:ascii="宋体" w:hAnsi="宋体"/>
          <w:b w:val="0"/>
          <w:snapToGrid w:val="0"/>
        </w:rPr>
        <w:t>5.  开标</w:t>
      </w:r>
      <w:bookmarkEnd w:id="458"/>
      <w:bookmarkEnd w:id="459"/>
      <w:bookmarkEnd w:id="460"/>
      <w:bookmarkEnd w:id="461"/>
      <w:bookmarkEnd w:id="462"/>
      <w:bookmarkEnd w:id="463"/>
      <w:bookmarkEnd w:id="464"/>
      <w:bookmarkEnd w:id="465"/>
      <w:bookmarkEnd w:id="466"/>
    </w:p>
    <w:p>
      <w:pPr>
        <w:pStyle w:val="5"/>
        <w:keepNext w:val="0"/>
        <w:keepLines w:val="0"/>
        <w:snapToGrid w:val="0"/>
        <w:spacing w:before="0" w:after="0" w:line="360" w:lineRule="auto"/>
        <w:rPr>
          <w:rFonts w:ascii="宋体" w:hAnsi="宋体"/>
          <w:b w:val="0"/>
          <w:snapToGrid w:val="0"/>
          <w:sz w:val="24"/>
          <w:szCs w:val="24"/>
        </w:rPr>
      </w:pPr>
      <w:bookmarkStart w:id="467" w:name="_Toc200513158"/>
      <w:bookmarkStart w:id="468" w:name="_Toc224103349"/>
      <w:bookmarkStart w:id="469" w:name="_Toc1678"/>
      <w:bookmarkStart w:id="470" w:name="_Toc277082584"/>
      <w:bookmarkStart w:id="471" w:name="_Toc287607778"/>
      <w:bookmarkStart w:id="472" w:name="_Toc430530467"/>
      <w:bookmarkStart w:id="473" w:name="_Toc287620717"/>
      <w:bookmarkStart w:id="474" w:name="_Toc29477"/>
      <w:bookmarkStart w:id="475" w:name="_Toc509218742"/>
      <w:r>
        <w:rPr>
          <w:rFonts w:ascii="宋体" w:hAnsi="宋体"/>
          <w:b w:val="0"/>
          <w:snapToGrid w:val="0"/>
          <w:sz w:val="24"/>
          <w:szCs w:val="24"/>
        </w:rPr>
        <w:t>5.1  开标时间和地点</w:t>
      </w:r>
      <w:bookmarkEnd w:id="467"/>
      <w:bookmarkEnd w:id="468"/>
      <w:bookmarkEnd w:id="469"/>
      <w:bookmarkEnd w:id="470"/>
      <w:bookmarkEnd w:id="471"/>
      <w:bookmarkEnd w:id="472"/>
      <w:bookmarkEnd w:id="473"/>
      <w:bookmarkEnd w:id="474"/>
      <w:bookmarkEnd w:id="475"/>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 xml:space="preserve">5.1.1  </w:t>
      </w:r>
      <w:r>
        <w:rPr>
          <w:rFonts w:ascii="宋体" w:hAnsi="宋体"/>
          <w:snapToGrid w:val="0"/>
          <w:kern w:val="0"/>
          <w:szCs w:val="21"/>
        </w:rPr>
        <w:t>招标人在投标人须知前附表第 2.2.2 项规定的投标截止时间（开标时间）和投标人须知前附表规定的地点公开开标，并邀请所有投标人的法定代表人或其委托代理人准时参加。</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5.1.2  投标人在投标人须知前附表第 5.1.2 项规定的解密时间内在线或到开标现场完成投标文件解密工作。</w:t>
      </w:r>
    </w:p>
    <w:p>
      <w:pPr>
        <w:pStyle w:val="5"/>
        <w:keepNext w:val="0"/>
        <w:keepLines w:val="0"/>
        <w:snapToGrid w:val="0"/>
        <w:spacing w:before="0" w:after="0" w:line="360" w:lineRule="auto"/>
        <w:rPr>
          <w:rFonts w:ascii="宋体" w:hAnsi="宋体"/>
          <w:b w:val="0"/>
          <w:snapToGrid w:val="0"/>
          <w:sz w:val="24"/>
          <w:szCs w:val="24"/>
        </w:rPr>
      </w:pPr>
      <w:bookmarkStart w:id="476" w:name="_Toc224103350"/>
      <w:bookmarkStart w:id="477" w:name="_Toc277082585"/>
      <w:bookmarkStart w:id="478" w:name="_Toc12729"/>
      <w:bookmarkStart w:id="479" w:name="_Toc287620718"/>
      <w:bookmarkStart w:id="480" w:name="_Toc200513159"/>
      <w:bookmarkStart w:id="481" w:name="_Toc430530468"/>
      <w:bookmarkStart w:id="482" w:name="_Toc509218743"/>
      <w:bookmarkStart w:id="483" w:name="_Toc287607779"/>
      <w:bookmarkStart w:id="484" w:name="_Toc28663"/>
      <w:r>
        <w:rPr>
          <w:rFonts w:ascii="宋体" w:hAnsi="宋体"/>
          <w:b w:val="0"/>
          <w:snapToGrid w:val="0"/>
          <w:sz w:val="24"/>
          <w:szCs w:val="24"/>
        </w:rPr>
        <w:t>5.2  开标程序</w:t>
      </w:r>
      <w:bookmarkEnd w:id="476"/>
      <w:bookmarkEnd w:id="477"/>
      <w:bookmarkEnd w:id="478"/>
      <w:bookmarkEnd w:id="479"/>
      <w:bookmarkEnd w:id="480"/>
      <w:bookmarkEnd w:id="481"/>
      <w:bookmarkEnd w:id="482"/>
      <w:bookmarkEnd w:id="483"/>
      <w:bookmarkEnd w:id="484"/>
    </w:p>
    <w:p>
      <w:pPr>
        <w:autoSpaceDE w:val="0"/>
        <w:autoSpaceDN w:val="0"/>
        <w:adjustRightInd w:val="0"/>
        <w:snapToGrid w:val="0"/>
        <w:spacing w:line="360" w:lineRule="auto"/>
        <w:ind w:firstLine="420" w:firstLineChars="200"/>
        <w:rPr>
          <w:rFonts w:ascii="宋体" w:hAnsi="宋体"/>
          <w:szCs w:val="21"/>
        </w:rPr>
      </w:pPr>
      <w:bookmarkStart w:id="485" w:name="_Toc277082586"/>
      <w:bookmarkStart w:id="486" w:name="_Toc287620719"/>
      <w:bookmarkStart w:id="487" w:name="_Toc224103351"/>
      <w:bookmarkStart w:id="488" w:name="_Toc287607780"/>
      <w:bookmarkStart w:id="489" w:name="_Toc200513160"/>
      <w:r>
        <w:rPr>
          <w:rFonts w:ascii="宋体" w:hAnsi="宋体"/>
          <w:szCs w:val="21"/>
        </w:rPr>
        <w:t>详见投标人须知前附表第5.2款开标程序。</w:t>
      </w:r>
    </w:p>
    <w:p>
      <w:pPr>
        <w:pStyle w:val="5"/>
        <w:keepNext w:val="0"/>
        <w:keepLines w:val="0"/>
        <w:snapToGrid w:val="0"/>
        <w:spacing w:before="0" w:after="0" w:line="360" w:lineRule="auto"/>
        <w:rPr>
          <w:rFonts w:ascii="宋体" w:hAnsi="宋体"/>
          <w:b w:val="0"/>
          <w:snapToGrid w:val="0"/>
          <w:sz w:val="24"/>
          <w:szCs w:val="24"/>
        </w:rPr>
      </w:pPr>
      <w:bookmarkStart w:id="490" w:name="_Toc1390"/>
      <w:bookmarkStart w:id="491" w:name="_Toc26769"/>
      <w:r>
        <w:rPr>
          <w:rFonts w:ascii="宋体" w:hAnsi="宋体"/>
          <w:b w:val="0"/>
          <w:snapToGrid w:val="0"/>
          <w:sz w:val="24"/>
          <w:szCs w:val="24"/>
        </w:rPr>
        <w:t>5.</w:t>
      </w:r>
      <w:r>
        <w:rPr>
          <w:rFonts w:hint="eastAsia" w:ascii="宋体" w:hAnsi="宋体"/>
          <w:b w:val="0"/>
          <w:snapToGrid w:val="0"/>
          <w:sz w:val="24"/>
          <w:szCs w:val="24"/>
        </w:rPr>
        <w:t>3</w:t>
      </w:r>
      <w:r>
        <w:rPr>
          <w:rFonts w:ascii="宋体" w:hAnsi="宋体"/>
          <w:b w:val="0"/>
          <w:snapToGrid w:val="0"/>
          <w:sz w:val="24"/>
          <w:szCs w:val="24"/>
        </w:rPr>
        <w:t xml:space="preserve">  </w:t>
      </w:r>
      <w:r>
        <w:rPr>
          <w:rFonts w:hint="eastAsia" w:ascii="宋体" w:hAnsi="宋体"/>
          <w:b w:val="0"/>
          <w:snapToGrid w:val="0"/>
          <w:sz w:val="24"/>
          <w:szCs w:val="24"/>
        </w:rPr>
        <w:t>开标异议</w:t>
      </w:r>
      <w:bookmarkEnd w:id="490"/>
      <w:bookmarkEnd w:id="491"/>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投标人对开标有异议的，应在开标现场或在线（不见面开标适用）提出，开标现场提出异议的，应出示法定代表人身份证明或附有法定代表人身份证明的授权委托书。招标人当场作出答复，并制作记录，有异议的投标人代表、招标人代表、主持人、记录人等有关人员在记录上签名确认</w:t>
      </w:r>
      <w:r>
        <w:rPr>
          <w:rFonts w:ascii="宋体" w:hAnsi="宋体"/>
          <w:szCs w:val="21"/>
        </w:rPr>
        <w:t>。</w:t>
      </w:r>
    </w:p>
    <w:p>
      <w:pPr>
        <w:pStyle w:val="4"/>
        <w:keepNext w:val="0"/>
        <w:keepLines w:val="0"/>
        <w:spacing w:before="0" w:after="0" w:line="360" w:lineRule="auto"/>
        <w:rPr>
          <w:rFonts w:ascii="宋体" w:hAnsi="宋体"/>
          <w:b w:val="0"/>
          <w:snapToGrid w:val="0"/>
        </w:rPr>
      </w:pPr>
      <w:bookmarkStart w:id="492" w:name="_Toc509218744"/>
      <w:bookmarkStart w:id="493" w:name="_Toc17727"/>
      <w:bookmarkStart w:id="494" w:name="_Toc430530469"/>
      <w:bookmarkStart w:id="495" w:name="_Toc17889"/>
      <w:r>
        <w:rPr>
          <w:rFonts w:ascii="宋体" w:hAnsi="宋体"/>
          <w:b w:val="0"/>
          <w:snapToGrid w:val="0"/>
        </w:rPr>
        <w:t>6.  评标</w:t>
      </w:r>
      <w:bookmarkEnd w:id="485"/>
      <w:bookmarkEnd w:id="486"/>
      <w:bookmarkEnd w:id="487"/>
      <w:bookmarkEnd w:id="488"/>
      <w:bookmarkEnd w:id="489"/>
      <w:bookmarkEnd w:id="492"/>
      <w:bookmarkEnd w:id="493"/>
      <w:bookmarkEnd w:id="494"/>
      <w:bookmarkEnd w:id="495"/>
    </w:p>
    <w:p>
      <w:pPr>
        <w:pStyle w:val="5"/>
        <w:keepNext w:val="0"/>
        <w:keepLines w:val="0"/>
        <w:snapToGrid w:val="0"/>
        <w:spacing w:before="0" w:after="0" w:line="360" w:lineRule="auto"/>
        <w:rPr>
          <w:rFonts w:ascii="宋体" w:hAnsi="宋体"/>
          <w:b w:val="0"/>
          <w:snapToGrid w:val="0"/>
          <w:sz w:val="24"/>
          <w:szCs w:val="24"/>
        </w:rPr>
      </w:pPr>
      <w:bookmarkStart w:id="496" w:name="_Toc509218745"/>
      <w:bookmarkStart w:id="497" w:name="_Toc24645"/>
      <w:bookmarkStart w:id="498" w:name="_Toc24752"/>
      <w:bookmarkStart w:id="499" w:name="_Toc287607781"/>
      <w:bookmarkStart w:id="500" w:name="_Toc200513161"/>
      <w:bookmarkStart w:id="501" w:name="_Toc277082587"/>
      <w:bookmarkStart w:id="502" w:name="_Toc224103352"/>
      <w:bookmarkStart w:id="503" w:name="_Toc287620720"/>
      <w:bookmarkStart w:id="504" w:name="_Toc430530470"/>
      <w:r>
        <w:rPr>
          <w:rFonts w:ascii="宋体" w:hAnsi="宋体"/>
          <w:b w:val="0"/>
          <w:snapToGrid w:val="0"/>
          <w:sz w:val="24"/>
          <w:szCs w:val="24"/>
        </w:rPr>
        <w:t>6.1  评标委员会</w:t>
      </w:r>
      <w:bookmarkEnd w:id="496"/>
      <w:bookmarkEnd w:id="497"/>
      <w:bookmarkEnd w:id="498"/>
      <w:bookmarkEnd w:id="499"/>
      <w:bookmarkEnd w:id="500"/>
      <w:bookmarkEnd w:id="501"/>
      <w:bookmarkEnd w:id="502"/>
      <w:bookmarkEnd w:id="503"/>
      <w:bookmarkEnd w:id="504"/>
    </w:p>
    <w:p>
      <w:pPr>
        <w:autoSpaceDE w:val="0"/>
        <w:autoSpaceDN w:val="0"/>
        <w:adjustRightInd w:val="0"/>
        <w:snapToGrid w:val="0"/>
        <w:spacing w:line="360" w:lineRule="auto"/>
        <w:ind w:firstLine="420" w:firstLineChars="200"/>
        <w:rPr>
          <w:rFonts w:ascii="宋体" w:hAnsi="宋体"/>
          <w:b/>
          <w:snapToGrid w:val="0"/>
          <w:kern w:val="0"/>
          <w:szCs w:val="21"/>
        </w:rPr>
      </w:pPr>
      <w:r>
        <w:rPr>
          <w:rFonts w:ascii="宋体" w:hAnsi="宋体"/>
          <w:snapToGrid w:val="0"/>
          <w:kern w:val="0"/>
          <w:szCs w:val="21"/>
        </w:rPr>
        <w:t>6.1.1  评标由招标人依据法律法规和相关规范性文件组建的评标委员会负责。</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6.1.2  评标委员会成员有下列情形之一的，应当回避：</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（1）投标人或投标人的主要负责人的近亲属；</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（2）项目主管部门或者</w:t>
      </w:r>
      <w:r>
        <w:rPr>
          <w:rFonts w:hint="eastAsia" w:ascii="宋体" w:hAnsi="宋体"/>
          <w:snapToGrid w:val="0"/>
          <w:kern w:val="0"/>
          <w:szCs w:val="21"/>
        </w:rPr>
        <w:t>项目</w:t>
      </w:r>
      <w:r>
        <w:rPr>
          <w:rFonts w:ascii="宋体" w:hAnsi="宋体"/>
          <w:snapToGrid w:val="0"/>
          <w:kern w:val="0"/>
          <w:szCs w:val="21"/>
        </w:rPr>
        <w:t>行政监督部门的人员；</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（3）与投标人有利害关系，可能影响对投标公正评审的；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（4）曾因在招标、评标以及其他与招标投标有关活动中从事违法行为而受过行政处罚或刑事处罚的</w:t>
      </w:r>
      <w:r>
        <w:rPr>
          <w:rFonts w:hint="eastAsia"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（5）法律法规规定的其他情形。</w:t>
      </w:r>
    </w:p>
    <w:p>
      <w:pPr>
        <w:pStyle w:val="98"/>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snapToGrid w:val="0"/>
        <w:spacing w:before="0" w:after="0" w:line="360" w:lineRule="auto"/>
        <w:rPr>
          <w:rFonts w:ascii="宋体" w:hAnsi="宋体"/>
          <w:b w:val="0"/>
          <w:snapToGrid w:val="0"/>
          <w:sz w:val="24"/>
          <w:szCs w:val="24"/>
        </w:rPr>
      </w:pPr>
      <w:bookmarkStart w:id="505" w:name="_Toc277082588"/>
      <w:bookmarkStart w:id="506" w:name="_Toc509218746"/>
      <w:bookmarkStart w:id="507" w:name="_Toc200513162"/>
      <w:bookmarkStart w:id="508" w:name="_Toc430530471"/>
      <w:bookmarkStart w:id="509" w:name="_Toc11040"/>
      <w:bookmarkStart w:id="510" w:name="_Toc224103353"/>
      <w:bookmarkStart w:id="511" w:name="_Toc287607782"/>
      <w:bookmarkStart w:id="512" w:name="_Toc287620721"/>
      <w:bookmarkStart w:id="513" w:name="_Toc4752"/>
      <w:r>
        <w:rPr>
          <w:rFonts w:ascii="宋体" w:hAnsi="宋体"/>
          <w:b w:val="0"/>
          <w:snapToGrid w:val="0"/>
          <w:sz w:val="24"/>
          <w:szCs w:val="24"/>
        </w:rPr>
        <w:t>6.2  评标原则</w:t>
      </w:r>
      <w:bookmarkEnd w:id="505"/>
      <w:bookmarkEnd w:id="506"/>
      <w:bookmarkEnd w:id="507"/>
      <w:bookmarkEnd w:id="508"/>
      <w:bookmarkEnd w:id="509"/>
      <w:bookmarkEnd w:id="510"/>
      <w:bookmarkEnd w:id="511"/>
      <w:bookmarkEnd w:id="512"/>
      <w:bookmarkEnd w:id="513"/>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评标活动遵循公平、公正、科学和择优的原则。</w:t>
      </w:r>
    </w:p>
    <w:p>
      <w:pPr>
        <w:pStyle w:val="5"/>
        <w:snapToGrid w:val="0"/>
        <w:spacing w:before="0" w:after="0" w:line="360" w:lineRule="auto"/>
        <w:rPr>
          <w:rFonts w:ascii="宋体" w:hAnsi="宋体"/>
          <w:b w:val="0"/>
          <w:snapToGrid w:val="0"/>
          <w:sz w:val="24"/>
          <w:szCs w:val="24"/>
        </w:rPr>
      </w:pPr>
      <w:bookmarkStart w:id="514" w:name="_Toc287620722"/>
      <w:bookmarkStart w:id="515" w:name="_Toc509218747"/>
      <w:bookmarkStart w:id="516" w:name="_Toc287607783"/>
      <w:bookmarkStart w:id="517" w:name="_Toc8702"/>
      <w:bookmarkStart w:id="518" w:name="_Toc224103354"/>
      <w:bookmarkStart w:id="519" w:name="_Toc200513163"/>
      <w:bookmarkStart w:id="520" w:name="_Toc430530472"/>
      <w:bookmarkStart w:id="521" w:name="_Toc31031"/>
      <w:bookmarkStart w:id="522" w:name="_Toc277082589"/>
      <w:r>
        <w:rPr>
          <w:rFonts w:ascii="宋体" w:hAnsi="宋体"/>
          <w:b w:val="0"/>
          <w:snapToGrid w:val="0"/>
          <w:sz w:val="24"/>
          <w:szCs w:val="24"/>
        </w:rPr>
        <w:t>6.3  评标</w:t>
      </w:r>
      <w:bookmarkEnd w:id="514"/>
      <w:bookmarkEnd w:id="515"/>
      <w:bookmarkEnd w:id="516"/>
      <w:bookmarkEnd w:id="517"/>
      <w:bookmarkEnd w:id="518"/>
      <w:bookmarkEnd w:id="519"/>
      <w:bookmarkEnd w:id="520"/>
      <w:bookmarkEnd w:id="521"/>
      <w:bookmarkEnd w:id="52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评标委员会按照第三章“评标办法”规定的方法、评审因素、标准和程序对投标文件进行评审。第三章“评标办法”没有规定的方法、评审因素和标准，不得作为评标依据。</w:t>
      </w:r>
    </w:p>
    <w:p>
      <w:pPr>
        <w:pStyle w:val="4"/>
        <w:spacing w:before="0" w:after="0" w:line="360" w:lineRule="auto"/>
        <w:rPr>
          <w:rFonts w:ascii="宋体" w:hAnsi="宋体"/>
          <w:b w:val="0"/>
          <w:snapToGrid w:val="0"/>
        </w:rPr>
      </w:pPr>
      <w:bookmarkStart w:id="523" w:name="_Toc287607784"/>
      <w:bookmarkStart w:id="524" w:name="_Toc30085"/>
      <w:bookmarkStart w:id="525" w:name="_Toc430530473"/>
      <w:bookmarkStart w:id="526" w:name="_Toc509218748"/>
      <w:bookmarkStart w:id="527" w:name="_Toc277082590"/>
      <w:bookmarkStart w:id="528" w:name="_Toc224103355"/>
      <w:bookmarkStart w:id="529" w:name="_Toc200513164"/>
      <w:bookmarkStart w:id="530" w:name="_Toc287620723"/>
      <w:bookmarkStart w:id="531" w:name="_Toc1752"/>
      <w:r>
        <w:rPr>
          <w:rFonts w:ascii="宋体" w:hAnsi="宋体"/>
          <w:b w:val="0"/>
          <w:snapToGrid w:val="0"/>
        </w:rPr>
        <w:t>7.  合同授予</w:t>
      </w:r>
      <w:bookmarkEnd w:id="523"/>
      <w:bookmarkEnd w:id="524"/>
      <w:bookmarkEnd w:id="525"/>
      <w:bookmarkEnd w:id="526"/>
      <w:bookmarkEnd w:id="527"/>
      <w:bookmarkEnd w:id="528"/>
      <w:bookmarkEnd w:id="529"/>
      <w:bookmarkEnd w:id="530"/>
      <w:bookmarkEnd w:id="531"/>
    </w:p>
    <w:p>
      <w:pPr>
        <w:pStyle w:val="5"/>
        <w:snapToGrid w:val="0"/>
        <w:spacing w:before="0" w:after="0" w:line="360" w:lineRule="auto"/>
        <w:rPr>
          <w:rFonts w:ascii="宋体" w:hAnsi="宋体"/>
          <w:b w:val="0"/>
          <w:snapToGrid w:val="0"/>
          <w:sz w:val="24"/>
          <w:szCs w:val="24"/>
        </w:rPr>
      </w:pPr>
      <w:bookmarkStart w:id="532" w:name="_Toc224103356"/>
      <w:bookmarkStart w:id="533" w:name="_Toc430530474"/>
      <w:bookmarkStart w:id="534" w:name="_Toc287607785"/>
      <w:bookmarkStart w:id="535" w:name="_Toc10916"/>
      <w:bookmarkStart w:id="536" w:name="_Toc287620724"/>
      <w:bookmarkStart w:id="537" w:name="_Toc509218749"/>
      <w:bookmarkStart w:id="538" w:name="_Toc25207"/>
      <w:bookmarkStart w:id="539" w:name="_Toc277082591"/>
      <w:bookmarkStart w:id="540" w:name="_Toc200513165"/>
      <w:r>
        <w:rPr>
          <w:rFonts w:ascii="宋体" w:hAnsi="宋体"/>
          <w:b w:val="0"/>
          <w:snapToGrid w:val="0"/>
          <w:sz w:val="24"/>
          <w:szCs w:val="24"/>
        </w:rPr>
        <w:t>7.1  定标方式</w:t>
      </w:r>
      <w:bookmarkEnd w:id="532"/>
      <w:bookmarkEnd w:id="533"/>
      <w:bookmarkEnd w:id="534"/>
      <w:bookmarkEnd w:id="535"/>
      <w:bookmarkEnd w:id="536"/>
      <w:bookmarkEnd w:id="537"/>
      <w:bookmarkEnd w:id="538"/>
      <w:bookmarkEnd w:id="539"/>
      <w:bookmarkEnd w:id="540"/>
    </w:p>
    <w:p>
      <w:pPr>
        <w:spacing w:line="360" w:lineRule="auto"/>
        <w:ind w:firstLine="420" w:firstLineChars="200"/>
        <w:rPr>
          <w:rFonts w:ascii="宋体" w:hAnsi="宋体"/>
          <w:szCs w:val="21"/>
        </w:rPr>
      </w:pPr>
      <w:r>
        <w:rPr>
          <w:rFonts w:ascii="宋体" w:hAnsi="宋体"/>
          <w:szCs w:val="21"/>
        </w:rP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spacing w:line="360" w:lineRule="auto"/>
        <w:ind w:firstLine="420" w:firstLineChars="200"/>
        <w:rPr>
          <w:rFonts w:ascii="宋体" w:hAnsi="宋体"/>
          <w:szCs w:val="21"/>
        </w:rPr>
      </w:pPr>
      <w:r>
        <w:rPr>
          <w:rFonts w:ascii="宋体" w:hAnsi="宋体"/>
          <w:snapToGrid w:val="0"/>
          <w:kern w:val="0"/>
          <w:szCs w:val="21"/>
        </w:rPr>
        <w:t>评标委员会推荐中标候选人的人数</w:t>
      </w:r>
      <w:r>
        <w:rPr>
          <w:rFonts w:hint="eastAsia" w:ascii="宋体" w:hAnsi="宋体"/>
          <w:snapToGrid w:val="0"/>
          <w:kern w:val="0"/>
          <w:szCs w:val="21"/>
        </w:rPr>
        <w:t>：</w:t>
      </w:r>
      <w:r>
        <w:rPr>
          <w:rFonts w:ascii="宋体" w:hAnsi="宋体"/>
          <w:snapToGrid w:val="0"/>
          <w:kern w:val="0"/>
          <w:szCs w:val="21"/>
        </w:rPr>
        <w:t>见投标人须知前附表。</w:t>
      </w:r>
    </w:p>
    <w:p>
      <w:pPr>
        <w:pStyle w:val="5"/>
        <w:snapToGrid w:val="0"/>
        <w:spacing w:before="0" w:after="0" w:line="360" w:lineRule="auto"/>
        <w:rPr>
          <w:rFonts w:ascii="宋体" w:hAnsi="宋体"/>
          <w:b w:val="0"/>
          <w:snapToGrid w:val="0"/>
          <w:sz w:val="24"/>
          <w:szCs w:val="24"/>
        </w:rPr>
      </w:pPr>
      <w:bookmarkStart w:id="541" w:name="_Toc25828"/>
      <w:bookmarkStart w:id="542" w:name="_Toc430530475"/>
      <w:bookmarkStart w:id="543" w:name="_Toc509218750"/>
      <w:bookmarkStart w:id="544" w:name="_Toc30014"/>
      <w:r>
        <w:rPr>
          <w:rFonts w:ascii="宋体" w:hAnsi="宋体"/>
          <w:b w:val="0"/>
          <w:snapToGrid w:val="0"/>
          <w:sz w:val="24"/>
          <w:szCs w:val="24"/>
        </w:rPr>
        <w:t>7.2  中标公示及中标通知</w:t>
      </w:r>
      <w:bookmarkEnd w:id="541"/>
      <w:bookmarkEnd w:id="542"/>
      <w:bookmarkEnd w:id="543"/>
      <w:bookmarkEnd w:id="544"/>
    </w:p>
    <w:p>
      <w:pPr>
        <w:autoSpaceDE w:val="0"/>
        <w:autoSpaceDN w:val="0"/>
        <w:adjustRightInd w:val="0"/>
        <w:snapToGrid w:val="0"/>
        <w:spacing w:line="360" w:lineRule="auto"/>
        <w:ind w:firstLine="420" w:firstLineChars="200"/>
        <w:rPr>
          <w:rFonts w:ascii="宋体" w:hAnsi="宋体"/>
          <w:szCs w:val="21"/>
        </w:rPr>
      </w:pPr>
      <w:r>
        <w:rPr>
          <w:rFonts w:ascii="宋体" w:hAnsi="宋体"/>
          <w:snapToGrid w:val="0"/>
          <w:kern w:val="0"/>
          <w:szCs w:val="21"/>
        </w:rPr>
        <w:t>招标人在收到评标报告之日起3日内公示中标候选人，公示期不得少于3日</w:t>
      </w:r>
      <w:r>
        <w:rPr>
          <w:rFonts w:hint="eastAsia" w:ascii="宋体" w:hAnsi="宋体"/>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在本章第 3.3 款规定的投标有效期内，且未有投标人的异议与投诉，招标人以书面形式向中标人发出中标通知书。</w:t>
      </w:r>
    </w:p>
    <w:p>
      <w:pPr>
        <w:pStyle w:val="5"/>
        <w:snapToGrid w:val="0"/>
        <w:spacing w:before="0" w:after="0" w:line="360" w:lineRule="auto"/>
        <w:rPr>
          <w:rFonts w:ascii="宋体" w:hAnsi="宋体"/>
          <w:b w:val="0"/>
          <w:snapToGrid w:val="0"/>
          <w:sz w:val="24"/>
          <w:szCs w:val="24"/>
        </w:rPr>
      </w:pPr>
      <w:bookmarkStart w:id="545" w:name="_Toc277082593"/>
      <w:bookmarkStart w:id="546" w:name="_Toc430530476"/>
      <w:bookmarkStart w:id="547" w:name="_Toc25134"/>
      <w:bookmarkStart w:id="548" w:name="_Toc287620726"/>
      <w:bookmarkStart w:id="549" w:name="_Toc287607787"/>
      <w:bookmarkStart w:id="550" w:name="_Toc224103358"/>
      <w:bookmarkStart w:id="551" w:name="_Toc16259"/>
      <w:bookmarkStart w:id="552" w:name="_Toc509218751"/>
      <w:bookmarkStart w:id="553" w:name="_Toc200513167"/>
      <w:r>
        <w:rPr>
          <w:rFonts w:ascii="宋体" w:hAnsi="宋体"/>
          <w:b w:val="0"/>
          <w:snapToGrid w:val="0"/>
          <w:sz w:val="24"/>
          <w:szCs w:val="24"/>
        </w:rPr>
        <w:t>7.3  履约担保</w:t>
      </w:r>
      <w:bookmarkEnd w:id="545"/>
      <w:bookmarkEnd w:id="546"/>
      <w:bookmarkEnd w:id="547"/>
      <w:bookmarkEnd w:id="548"/>
      <w:bookmarkEnd w:id="549"/>
      <w:bookmarkEnd w:id="550"/>
      <w:bookmarkEnd w:id="551"/>
      <w:bookmarkEnd w:id="552"/>
      <w:bookmarkEnd w:id="553"/>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7.3.1  在签订合同前，中标人应按投标人须知前附表规定的金额、担保形式和招标文件第四章“合同条款及格式”规定的履约担保格式向招标人提交履约担保。联合体中标的，其履约担保由牵头人递交，并应符合投标人须知前附表规定的金额、担保形式和招标文件第四章“合同条款及格式”规定的履约担保格式要求。</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7.3.2  中标人不能按本章第 7.3.1 项要求提交履约担保的，视为放弃中标，其投标保证金</w:t>
      </w:r>
      <w:r>
        <w:rPr>
          <w:rFonts w:hint="eastAsia" w:asciiTheme="minorEastAsia" w:hAnsiTheme="minorEastAsia" w:eastAsiaTheme="minorEastAsia"/>
          <w:color w:val="auto"/>
          <w:highlight w:val="none"/>
        </w:rPr>
        <w:t>以现金形式交纳的</w:t>
      </w:r>
      <w:r>
        <w:rPr>
          <w:rFonts w:ascii="宋体" w:hAnsi="宋体"/>
          <w:snapToGrid w:val="0"/>
          <w:kern w:val="0"/>
          <w:szCs w:val="21"/>
        </w:rPr>
        <w:t>不予退还</w:t>
      </w:r>
      <w:r>
        <w:rPr>
          <w:rFonts w:hint="eastAsia" w:asciiTheme="minorEastAsia" w:hAnsiTheme="minorEastAsia" w:eastAsiaTheme="minorEastAsia"/>
          <w:color w:val="auto"/>
          <w:highlight w:val="none"/>
        </w:rPr>
        <w:t>，以保函形式交纳的由保函开立人支付保函担保的与投标保证金等额的款项</w:t>
      </w:r>
      <w:r>
        <w:rPr>
          <w:rFonts w:ascii="宋体" w:hAnsi="宋体"/>
          <w:snapToGrid w:val="0"/>
          <w:kern w:val="0"/>
          <w:szCs w:val="21"/>
        </w:rPr>
        <w:t>，给招标人造成的损失超过投标保证金数额的，中标人还应当对超过部分予以赔偿。</w:t>
      </w:r>
    </w:p>
    <w:p>
      <w:pPr>
        <w:pStyle w:val="5"/>
        <w:snapToGrid w:val="0"/>
        <w:spacing w:before="0" w:after="0" w:line="360" w:lineRule="auto"/>
        <w:rPr>
          <w:rFonts w:ascii="宋体" w:hAnsi="宋体"/>
          <w:b w:val="0"/>
          <w:snapToGrid w:val="0"/>
          <w:sz w:val="24"/>
          <w:szCs w:val="24"/>
        </w:rPr>
      </w:pPr>
      <w:bookmarkStart w:id="554" w:name="_Toc27290"/>
      <w:bookmarkStart w:id="555" w:name="_Toc287607788"/>
      <w:bookmarkStart w:id="556" w:name="_Toc430530477"/>
      <w:bookmarkStart w:id="557" w:name="_Toc200513168"/>
      <w:bookmarkStart w:id="558" w:name="_Toc287620727"/>
      <w:bookmarkStart w:id="559" w:name="_Toc509218752"/>
      <w:bookmarkStart w:id="560" w:name="_Toc277082594"/>
      <w:bookmarkStart w:id="561" w:name="_Toc224103359"/>
      <w:bookmarkStart w:id="562" w:name="_Toc20325"/>
      <w:r>
        <w:rPr>
          <w:rFonts w:ascii="宋体" w:hAnsi="宋体"/>
          <w:b w:val="0"/>
          <w:snapToGrid w:val="0"/>
          <w:sz w:val="24"/>
          <w:szCs w:val="24"/>
        </w:rPr>
        <w:t>7.4  签订合同</w:t>
      </w:r>
      <w:bookmarkEnd w:id="554"/>
      <w:bookmarkEnd w:id="555"/>
      <w:bookmarkEnd w:id="556"/>
      <w:bookmarkEnd w:id="557"/>
      <w:bookmarkEnd w:id="558"/>
      <w:bookmarkEnd w:id="559"/>
      <w:bookmarkEnd w:id="560"/>
      <w:bookmarkEnd w:id="561"/>
      <w:bookmarkEnd w:id="562"/>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7.4.1 </w:t>
      </w:r>
      <w:r>
        <w:rPr>
          <w:rFonts w:hint="eastAsia" w:ascii="宋体" w:hAnsi="宋体"/>
          <w:snapToGrid w:val="0"/>
          <w:kern w:val="0"/>
          <w:szCs w:val="21"/>
        </w:rPr>
        <w:t xml:space="preserve"> </w:t>
      </w:r>
      <w:r>
        <w:rPr>
          <w:rFonts w:ascii="宋体" w:hAnsi="宋体"/>
          <w:snapToGrid w:val="0"/>
          <w:kern w:val="0"/>
          <w:szCs w:val="21"/>
        </w:rPr>
        <w:t>招标人和中标人应当自中标通知书发出之日起 30 天内，根据招标文件和中标人的投标文件订立书面合同。中标人</w:t>
      </w:r>
      <w:r>
        <w:rPr>
          <w:rFonts w:hint="eastAsia" w:ascii="宋体" w:hAnsi="宋体"/>
          <w:snapToGrid w:val="0"/>
          <w:kern w:val="0"/>
          <w:szCs w:val="21"/>
        </w:rPr>
        <w:t>放弃中标项目，</w:t>
      </w:r>
      <w:r>
        <w:rPr>
          <w:rFonts w:ascii="宋体" w:hAnsi="宋体"/>
          <w:snapToGrid w:val="0"/>
          <w:kern w:val="0"/>
          <w:szCs w:val="21"/>
        </w:rPr>
        <w:t>无正当理由</w:t>
      </w:r>
      <w:r>
        <w:rPr>
          <w:rFonts w:hint="eastAsia" w:ascii="宋体" w:hAnsi="宋体"/>
          <w:snapToGrid w:val="0"/>
          <w:kern w:val="0"/>
          <w:szCs w:val="21"/>
        </w:rPr>
        <w:t>不与招标人签订合同，在签订合同时向招标人提出附加条件或者更改合同实质性内容</w:t>
      </w:r>
      <w:r>
        <w:rPr>
          <w:rFonts w:ascii="宋体" w:hAnsi="宋体"/>
          <w:snapToGrid w:val="0"/>
          <w:kern w:val="0"/>
          <w:szCs w:val="21"/>
        </w:rPr>
        <w:t>，</w:t>
      </w:r>
      <w:r>
        <w:rPr>
          <w:rFonts w:hint="eastAsia" w:ascii="宋体" w:hAnsi="宋体" w:cs="宋体"/>
          <w:szCs w:val="21"/>
        </w:rPr>
        <w:t>或不按照招标文件要求提交履约保证金的，</w:t>
      </w:r>
      <w:r>
        <w:rPr>
          <w:rFonts w:ascii="宋体" w:hAnsi="宋体"/>
          <w:snapToGrid w:val="0"/>
          <w:kern w:val="0"/>
          <w:szCs w:val="21"/>
        </w:rPr>
        <w:t>招标人取消其中标资格，其投标保证金</w:t>
      </w:r>
      <w:r>
        <w:rPr>
          <w:rFonts w:hint="eastAsia" w:ascii="宋体" w:hAnsi="宋体"/>
          <w:snapToGrid w:val="0"/>
          <w:kern w:val="0"/>
          <w:szCs w:val="21"/>
        </w:rPr>
        <w:t>以现金形式</w:t>
      </w:r>
      <w:r>
        <w:rPr>
          <w:rFonts w:hint="eastAsia" w:ascii="宋体" w:hAnsi="宋体"/>
          <w:snapToGrid w:val="0"/>
          <w:kern w:val="0"/>
          <w:szCs w:val="21"/>
          <w:lang w:eastAsia="zh-CN"/>
        </w:rPr>
        <w:t>交纳</w:t>
      </w:r>
      <w:r>
        <w:rPr>
          <w:rFonts w:hint="eastAsia" w:ascii="宋体" w:hAnsi="宋体"/>
          <w:snapToGrid w:val="0"/>
          <w:kern w:val="0"/>
          <w:szCs w:val="21"/>
        </w:rPr>
        <w:t>的</w:t>
      </w:r>
      <w:r>
        <w:rPr>
          <w:rFonts w:ascii="宋体" w:hAnsi="宋体"/>
          <w:snapToGrid w:val="0"/>
          <w:kern w:val="0"/>
          <w:szCs w:val="21"/>
        </w:rPr>
        <w:t>不予退还</w:t>
      </w:r>
      <w:r>
        <w:rPr>
          <w:rFonts w:hint="eastAsia" w:ascii="宋体" w:hAnsi="宋体"/>
          <w:snapToGrid w:val="0"/>
          <w:kern w:val="0"/>
          <w:szCs w:val="21"/>
        </w:rPr>
        <w:t>，以保函形式</w:t>
      </w:r>
      <w:r>
        <w:rPr>
          <w:rFonts w:hint="eastAsia" w:ascii="宋体" w:hAnsi="宋体"/>
          <w:snapToGrid w:val="0"/>
          <w:kern w:val="0"/>
          <w:szCs w:val="21"/>
          <w:lang w:eastAsia="zh-CN"/>
        </w:rPr>
        <w:t>交纳</w:t>
      </w:r>
      <w:r>
        <w:rPr>
          <w:rFonts w:hint="eastAsia" w:ascii="宋体" w:hAnsi="宋体"/>
          <w:snapToGrid w:val="0"/>
          <w:kern w:val="0"/>
          <w:szCs w:val="21"/>
        </w:rPr>
        <w:t>的由保函开立人支付保函担保的与投标保证金等额的款项</w:t>
      </w:r>
      <w:r>
        <w:rPr>
          <w:rFonts w:ascii="宋体" w:hAnsi="宋体"/>
          <w:snapToGrid w:val="0"/>
          <w:kern w:val="0"/>
          <w:szCs w:val="21"/>
        </w:rPr>
        <w:t>；给招标人造成的损失超过投标保证金数额的，中标人还应当对超过部分予以赔偿。</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7.4.2  发出中标通知书后，招标人无正当理由拒签合同的，招标人向中标人退还投标保证金；给中标人造成损失的，还应当赔偿损失。</w:t>
      </w:r>
    </w:p>
    <w:p>
      <w:pPr>
        <w:pStyle w:val="4"/>
        <w:spacing w:before="0" w:after="0" w:line="360" w:lineRule="auto"/>
        <w:rPr>
          <w:rFonts w:ascii="宋体" w:hAnsi="宋体"/>
          <w:b w:val="0"/>
          <w:snapToGrid w:val="0"/>
        </w:rPr>
      </w:pPr>
      <w:bookmarkStart w:id="563" w:name="_Toc22162"/>
      <w:bookmarkStart w:id="564" w:name="_Toc509218753"/>
      <w:bookmarkStart w:id="565" w:name="_Toc287607789"/>
      <w:bookmarkStart w:id="566" w:name="_Toc224103360"/>
      <w:bookmarkStart w:id="567" w:name="_Toc430530478"/>
      <w:bookmarkStart w:id="568" w:name="_Toc200513169"/>
      <w:bookmarkStart w:id="569" w:name="_Toc287620728"/>
      <w:bookmarkStart w:id="570" w:name="_Toc277082595"/>
      <w:bookmarkStart w:id="571" w:name="_Toc23787"/>
      <w:r>
        <w:rPr>
          <w:rFonts w:ascii="宋体" w:hAnsi="宋体"/>
          <w:b w:val="0"/>
          <w:snapToGrid w:val="0"/>
        </w:rPr>
        <w:t>8.  重新招标和不再招标</w:t>
      </w:r>
      <w:bookmarkEnd w:id="563"/>
      <w:bookmarkEnd w:id="564"/>
      <w:bookmarkEnd w:id="565"/>
      <w:bookmarkEnd w:id="566"/>
      <w:bookmarkEnd w:id="567"/>
      <w:bookmarkEnd w:id="568"/>
      <w:bookmarkEnd w:id="569"/>
      <w:bookmarkEnd w:id="570"/>
      <w:bookmarkEnd w:id="571"/>
    </w:p>
    <w:p>
      <w:pPr>
        <w:pStyle w:val="5"/>
        <w:snapToGrid w:val="0"/>
        <w:spacing w:before="0" w:after="0" w:line="360" w:lineRule="auto"/>
        <w:rPr>
          <w:rFonts w:ascii="宋体" w:hAnsi="宋体"/>
          <w:b w:val="0"/>
          <w:snapToGrid w:val="0"/>
          <w:sz w:val="24"/>
          <w:szCs w:val="24"/>
        </w:rPr>
      </w:pPr>
      <w:bookmarkStart w:id="572" w:name="_Toc200513170"/>
      <w:bookmarkStart w:id="573" w:name="_Toc287620729"/>
      <w:bookmarkStart w:id="574" w:name="_Toc277082596"/>
      <w:bookmarkStart w:id="575" w:name="_Toc509218754"/>
      <w:bookmarkStart w:id="576" w:name="_Toc287607790"/>
      <w:bookmarkStart w:id="577" w:name="_Toc224103361"/>
      <w:bookmarkStart w:id="578" w:name="_Toc430530479"/>
      <w:bookmarkStart w:id="579" w:name="_Toc26499"/>
      <w:bookmarkStart w:id="580" w:name="_Toc27167"/>
      <w:r>
        <w:rPr>
          <w:rFonts w:ascii="宋体" w:hAnsi="宋体"/>
          <w:b w:val="0"/>
          <w:snapToGrid w:val="0"/>
          <w:sz w:val="24"/>
          <w:szCs w:val="24"/>
        </w:rPr>
        <w:t>8.1  重新招标</w:t>
      </w:r>
      <w:bookmarkEnd w:id="572"/>
      <w:bookmarkEnd w:id="573"/>
      <w:bookmarkEnd w:id="574"/>
      <w:bookmarkEnd w:id="575"/>
      <w:bookmarkEnd w:id="576"/>
      <w:bookmarkEnd w:id="577"/>
      <w:bookmarkEnd w:id="578"/>
      <w:r>
        <w:rPr>
          <w:rFonts w:hint="eastAsia" w:ascii="宋体" w:hAnsi="宋体"/>
          <w:b w:val="0"/>
          <w:snapToGrid w:val="0"/>
          <w:sz w:val="24"/>
          <w:szCs w:val="24"/>
        </w:rPr>
        <w:t>的情形</w:t>
      </w:r>
      <w:bookmarkEnd w:id="579"/>
      <w:bookmarkEnd w:id="580"/>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有下列情形之一的，招标人将重新招标：</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（1）投标截止时间止，投标人少于 3 个的；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（2）经评标委员会评审后否决所有投标的；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（4）法律法规规定的其他情形。</w:t>
      </w:r>
    </w:p>
    <w:p>
      <w:pPr>
        <w:pStyle w:val="5"/>
        <w:snapToGrid w:val="0"/>
        <w:spacing w:before="0" w:after="0" w:line="360" w:lineRule="auto"/>
        <w:rPr>
          <w:rFonts w:ascii="宋体" w:hAnsi="宋体"/>
          <w:b w:val="0"/>
          <w:snapToGrid w:val="0"/>
          <w:sz w:val="24"/>
          <w:szCs w:val="24"/>
        </w:rPr>
      </w:pPr>
      <w:bookmarkStart w:id="581" w:name="_Toc200513171"/>
      <w:bookmarkStart w:id="582" w:name="_Toc224103362"/>
      <w:bookmarkStart w:id="583" w:name="_Toc2951"/>
      <w:bookmarkStart w:id="584" w:name="_Toc287620730"/>
      <w:bookmarkStart w:id="585" w:name="_Toc287607791"/>
      <w:bookmarkStart w:id="586" w:name="_Toc430530480"/>
      <w:bookmarkStart w:id="587" w:name="_Toc509218755"/>
      <w:bookmarkStart w:id="588" w:name="_Toc22064"/>
      <w:bookmarkStart w:id="589" w:name="_Toc277082597"/>
      <w:r>
        <w:rPr>
          <w:rFonts w:ascii="宋体" w:hAnsi="宋体"/>
          <w:b w:val="0"/>
          <w:snapToGrid w:val="0"/>
          <w:sz w:val="24"/>
          <w:szCs w:val="24"/>
        </w:rPr>
        <w:t xml:space="preserve">8.2  </w:t>
      </w:r>
      <w:r>
        <w:rPr>
          <w:rFonts w:hint="eastAsia" w:ascii="宋体" w:hAnsi="宋体"/>
          <w:b w:val="0"/>
          <w:snapToGrid w:val="0"/>
          <w:sz w:val="24"/>
          <w:szCs w:val="24"/>
        </w:rPr>
        <w:t>重新</w:t>
      </w:r>
      <w:r>
        <w:rPr>
          <w:rFonts w:ascii="宋体" w:hAnsi="宋体"/>
          <w:b w:val="0"/>
          <w:snapToGrid w:val="0"/>
          <w:sz w:val="24"/>
          <w:szCs w:val="24"/>
        </w:rPr>
        <w:t>招标和不再招标</w:t>
      </w:r>
      <w:bookmarkEnd w:id="581"/>
      <w:bookmarkEnd w:id="582"/>
      <w:bookmarkEnd w:id="583"/>
      <w:bookmarkEnd w:id="584"/>
      <w:bookmarkEnd w:id="585"/>
      <w:bookmarkEnd w:id="586"/>
      <w:bookmarkEnd w:id="587"/>
      <w:bookmarkEnd w:id="588"/>
      <w:bookmarkEnd w:id="589"/>
    </w:p>
    <w:p>
      <w:pPr>
        <w:autoSpaceDE w:val="0"/>
        <w:autoSpaceDN w:val="0"/>
        <w:adjustRightInd w:val="0"/>
        <w:snapToGrid w:val="0"/>
        <w:spacing w:line="360" w:lineRule="auto"/>
        <w:ind w:firstLine="420"/>
        <w:rPr>
          <w:rFonts w:ascii="宋体" w:hAnsi="宋体"/>
          <w:snapToGrid w:val="0"/>
          <w:kern w:val="0"/>
          <w:szCs w:val="21"/>
        </w:rPr>
      </w:pPr>
      <w:r>
        <w:rPr>
          <w:rFonts w:hint="eastAsia" w:ascii="宋体" w:hAnsi="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r>
        <w:rPr>
          <w:rFonts w:ascii="宋体" w:hAnsi="宋体"/>
          <w:snapToGrid w:val="0"/>
          <w:kern w:val="0"/>
          <w:szCs w:val="21"/>
        </w:rPr>
        <w:t>。</w:t>
      </w:r>
    </w:p>
    <w:p>
      <w:pPr>
        <w:pStyle w:val="4"/>
        <w:spacing w:before="0" w:after="0" w:line="360" w:lineRule="auto"/>
        <w:rPr>
          <w:rFonts w:ascii="宋体" w:hAnsi="宋体"/>
          <w:b w:val="0"/>
          <w:snapToGrid w:val="0"/>
        </w:rPr>
      </w:pPr>
      <w:bookmarkStart w:id="590" w:name="_Toc509218756"/>
      <w:bookmarkStart w:id="591" w:name="_Toc200513172"/>
      <w:bookmarkStart w:id="592" w:name="_Toc277082598"/>
      <w:bookmarkStart w:id="593" w:name="_Toc287620731"/>
      <w:bookmarkStart w:id="594" w:name="_Toc287607792"/>
      <w:bookmarkStart w:id="595" w:name="_Toc430530481"/>
      <w:bookmarkStart w:id="596" w:name="_Toc11221"/>
      <w:bookmarkStart w:id="597" w:name="_Toc9979"/>
      <w:bookmarkStart w:id="598" w:name="_Toc224103363"/>
      <w:r>
        <w:rPr>
          <w:rFonts w:ascii="宋体" w:hAnsi="宋体"/>
          <w:b w:val="0"/>
          <w:snapToGrid w:val="0"/>
        </w:rPr>
        <w:t>9.  纪律和监督</w:t>
      </w:r>
      <w:bookmarkEnd w:id="590"/>
      <w:bookmarkEnd w:id="591"/>
      <w:bookmarkEnd w:id="592"/>
      <w:bookmarkEnd w:id="593"/>
      <w:bookmarkEnd w:id="594"/>
      <w:bookmarkEnd w:id="595"/>
      <w:bookmarkEnd w:id="596"/>
      <w:bookmarkEnd w:id="597"/>
      <w:bookmarkEnd w:id="598"/>
    </w:p>
    <w:p>
      <w:pPr>
        <w:pStyle w:val="5"/>
        <w:snapToGrid w:val="0"/>
        <w:spacing w:before="0" w:after="0" w:line="360" w:lineRule="auto"/>
        <w:rPr>
          <w:rFonts w:ascii="宋体" w:hAnsi="宋体"/>
          <w:b w:val="0"/>
          <w:snapToGrid w:val="0"/>
          <w:sz w:val="24"/>
          <w:szCs w:val="24"/>
        </w:rPr>
      </w:pPr>
      <w:bookmarkStart w:id="599" w:name="_Toc509218757"/>
      <w:bookmarkStart w:id="600" w:name="_Toc277082599"/>
      <w:bookmarkStart w:id="601" w:name="_Toc430530482"/>
      <w:bookmarkStart w:id="602" w:name="_Toc200513173"/>
      <w:bookmarkStart w:id="603" w:name="_Toc13132"/>
      <w:bookmarkStart w:id="604" w:name="_Toc224103364"/>
      <w:bookmarkStart w:id="605" w:name="_Toc17810"/>
      <w:bookmarkStart w:id="606" w:name="_Toc287607793"/>
      <w:bookmarkStart w:id="607" w:name="_Toc287620732"/>
      <w:r>
        <w:rPr>
          <w:rFonts w:ascii="宋体" w:hAnsi="宋体"/>
          <w:b w:val="0"/>
          <w:snapToGrid w:val="0"/>
          <w:sz w:val="24"/>
          <w:szCs w:val="24"/>
        </w:rPr>
        <w:t>9.1  对招标人的纪律要求</w:t>
      </w:r>
      <w:bookmarkEnd w:id="599"/>
      <w:bookmarkEnd w:id="600"/>
      <w:bookmarkEnd w:id="601"/>
      <w:bookmarkEnd w:id="602"/>
      <w:bookmarkEnd w:id="603"/>
      <w:bookmarkEnd w:id="604"/>
      <w:bookmarkEnd w:id="605"/>
      <w:bookmarkEnd w:id="606"/>
      <w:bookmarkEnd w:id="607"/>
    </w:p>
    <w:p>
      <w:pPr>
        <w:autoSpaceDE w:val="0"/>
        <w:autoSpaceDN w:val="0"/>
        <w:adjustRightInd w:val="0"/>
        <w:snapToGrid w:val="0"/>
        <w:spacing w:line="360" w:lineRule="auto"/>
        <w:ind w:firstLine="420"/>
        <w:rPr>
          <w:rFonts w:ascii="宋体" w:hAnsi="宋体"/>
        </w:rPr>
      </w:pPr>
      <w:r>
        <w:rPr>
          <w:rFonts w:ascii="宋体" w:hAnsi="宋体"/>
          <w:snapToGrid w:val="0"/>
          <w:kern w:val="0"/>
          <w:szCs w:val="21"/>
        </w:rPr>
        <w:t>招标人不得泄漏招标投标活动中应当保密的情况和资料，不得与投标人串通损害国家利益、社会公共利益或者他人合法权益，</w:t>
      </w:r>
      <w:r>
        <w:rPr>
          <w:rFonts w:ascii="宋体" w:hAnsi="宋体"/>
        </w:rPr>
        <w:t>禁止招标人与投标人串通投标。</w:t>
      </w:r>
    </w:p>
    <w:p>
      <w:pPr>
        <w:autoSpaceDE w:val="0"/>
        <w:autoSpaceDN w:val="0"/>
        <w:adjustRightInd w:val="0"/>
        <w:snapToGrid w:val="0"/>
        <w:spacing w:line="360" w:lineRule="auto"/>
        <w:ind w:firstLine="420"/>
        <w:rPr>
          <w:rFonts w:ascii="宋体" w:hAnsi="宋体"/>
        </w:rPr>
      </w:pPr>
      <w:r>
        <w:rPr>
          <w:rFonts w:ascii="宋体" w:hAnsi="宋体"/>
        </w:rPr>
        <w:t>有下列情形之一的，属于招标人与投标人串通投标：</w:t>
      </w:r>
    </w:p>
    <w:p>
      <w:pPr>
        <w:autoSpaceDE w:val="0"/>
        <w:autoSpaceDN w:val="0"/>
        <w:adjustRightInd w:val="0"/>
        <w:snapToGrid w:val="0"/>
        <w:spacing w:line="360" w:lineRule="auto"/>
        <w:ind w:firstLine="420"/>
        <w:rPr>
          <w:rFonts w:ascii="宋体" w:hAnsi="宋体"/>
        </w:rPr>
      </w:pPr>
      <w:r>
        <w:rPr>
          <w:rFonts w:ascii="宋体" w:hAnsi="宋体"/>
        </w:rPr>
        <w:t>（1）招标人在开标前开启投标文件并将有关信息泄露给其他投标人</w:t>
      </w:r>
      <w:r>
        <w:rPr>
          <w:rFonts w:hint="eastAsia" w:ascii="宋体" w:hAnsi="宋体"/>
        </w:rPr>
        <w:t>；</w:t>
      </w:r>
    </w:p>
    <w:p>
      <w:pPr>
        <w:autoSpaceDE w:val="0"/>
        <w:autoSpaceDN w:val="0"/>
        <w:adjustRightInd w:val="0"/>
        <w:snapToGrid w:val="0"/>
        <w:spacing w:line="360" w:lineRule="auto"/>
        <w:ind w:firstLine="420"/>
        <w:rPr>
          <w:rFonts w:ascii="宋体" w:hAnsi="宋体"/>
        </w:rPr>
      </w:pPr>
      <w:r>
        <w:rPr>
          <w:rFonts w:ascii="宋体" w:hAnsi="宋体"/>
        </w:rPr>
        <w:t>（2）招标人直接或者间接向投标人泄露标底、评标委员会成员等信息；</w:t>
      </w:r>
    </w:p>
    <w:p>
      <w:pPr>
        <w:autoSpaceDE w:val="0"/>
        <w:autoSpaceDN w:val="0"/>
        <w:adjustRightInd w:val="0"/>
        <w:snapToGrid w:val="0"/>
        <w:spacing w:line="360" w:lineRule="auto"/>
        <w:ind w:firstLine="420"/>
        <w:rPr>
          <w:rFonts w:ascii="宋体" w:hAnsi="宋体"/>
        </w:rPr>
      </w:pPr>
      <w:r>
        <w:rPr>
          <w:rFonts w:ascii="宋体" w:hAnsi="宋体"/>
        </w:rPr>
        <w:t>（3）招标人明示或者暗示投标人压低或者抬高投标报价；</w:t>
      </w:r>
    </w:p>
    <w:p>
      <w:pPr>
        <w:autoSpaceDE w:val="0"/>
        <w:autoSpaceDN w:val="0"/>
        <w:adjustRightInd w:val="0"/>
        <w:snapToGrid w:val="0"/>
        <w:spacing w:line="360" w:lineRule="auto"/>
        <w:ind w:firstLine="420"/>
        <w:rPr>
          <w:rFonts w:ascii="宋体" w:hAnsi="宋体"/>
        </w:rPr>
      </w:pPr>
      <w:r>
        <w:rPr>
          <w:rFonts w:ascii="宋体" w:hAnsi="宋体"/>
        </w:rPr>
        <w:t>（4）招标人授意投标人撤换、修改投标文件；</w:t>
      </w:r>
    </w:p>
    <w:p>
      <w:pPr>
        <w:autoSpaceDE w:val="0"/>
        <w:autoSpaceDN w:val="0"/>
        <w:adjustRightInd w:val="0"/>
        <w:snapToGrid w:val="0"/>
        <w:spacing w:line="360" w:lineRule="auto"/>
        <w:ind w:firstLine="420"/>
        <w:rPr>
          <w:rFonts w:ascii="宋体" w:hAnsi="宋体"/>
        </w:rPr>
      </w:pPr>
      <w:r>
        <w:rPr>
          <w:rFonts w:ascii="宋体" w:hAnsi="宋体"/>
        </w:rPr>
        <w:t>（5）招标人明示或者暗示投标人为特定投标人中标提供方便；</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rPr>
        <w:t>（6）招标人与投标人为谋求特定投标人中标而采取的其他串通行为。</w:t>
      </w:r>
    </w:p>
    <w:p>
      <w:pPr>
        <w:pStyle w:val="5"/>
        <w:snapToGrid w:val="0"/>
        <w:spacing w:before="0" w:after="0" w:line="360" w:lineRule="auto"/>
        <w:ind w:firstLine="0" w:firstLineChars="0"/>
        <w:rPr>
          <w:rFonts w:ascii="宋体" w:hAnsi="宋体"/>
          <w:b w:val="0"/>
          <w:snapToGrid w:val="0"/>
          <w:sz w:val="24"/>
          <w:szCs w:val="24"/>
        </w:rPr>
      </w:pPr>
      <w:bookmarkStart w:id="608" w:name="_Toc224103365"/>
      <w:bookmarkStart w:id="609" w:name="_Toc509218758"/>
      <w:bookmarkStart w:id="610" w:name="_Toc16881"/>
      <w:bookmarkStart w:id="611" w:name="_Toc430530483"/>
      <w:bookmarkStart w:id="612" w:name="_Toc16537"/>
      <w:bookmarkStart w:id="613" w:name="_Toc277082600"/>
      <w:bookmarkStart w:id="614" w:name="_Toc287607794"/>
      <w:bookmarkStart w:id="615" w:name="_Toc200513174"/>
      <w:bookmarkStart w:id="616" w:name="_Toc287620733"/>
      <w:r>
        <w:rPr>
          <w:rFonts w:ascii="宋体" w:hAnsi="宋体"/>
          <w:b w:val="0"/>
          <w:snapToGrid w:val="0"/>
          <w:sz w:val="24"/>
          <w:szCs w:val="24"/>
        </w:rPr>
        <w:t>9.2  对投标人的纪律要求</w:t>
      </w:r>
      <w:bookmarkEnd w:id="608"/>
      <w:bookmarkEnd w:id="609"/>
      <w:bookmarkEnd w:id="610"/>
      <w:bookmarkEnd w:id="611"/>
      <w:bookmarkEnd w:id="612"/>
      <w:bookmarkEnd w:id="613"/>
      <w:bookmarkEnd w:id="614"/>
      <w:bookmarkEnd w:id="615"/>
      <w:bookmarkEnd w:id="61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 xml:space="preserve">9.2.1  </w:t>
      </w:r>
      <w:r>
        <w:rPr>
          <w:rFonts w:ascii="宋体" w:hAnsi="宋体"/>
        </w:rPr>
        <w:t>有下列情形之一的，</w:t>
      </w:r>
      <w:r>
        <w:rPr>
          <w:rFonts w:ascii="宋体" w:hAnsi="宋体"/>
          <w:highlight w:val="none"/>
        </w:rPr>
        <w:t>属于</w:t>
      </w:r>
      <w:r>
        <w:rPr>
          <w:rFonts w:ascii="宋体" w:hAnsi="宋体"/>
        </w:rPr>
        <w:t>投标人相互串通投标：</w:t>
      </w:r>
    </w:p>
    <w:p>
      <w:pPr>
        <w:autoSpaceDE w:val="0"/>
        <w:autoSpaceDN w:val="0"/>
        <w:adjustRightInd w:val="0"/>
        <w:snapToGrid w:val="0"/>
        <w:spacing w:line="360" w:lineRule="auto"/>
        <w:ind w:firstLine="420" w:firstLineChars="200"/>
        <w:rPr>
          <w:rFonts w:ascii="宋体" w:hAnsi="宋体"/>
        </w:rPr>
      </w:pPr>
      <w:r>
        <w:rPr>
          <w:rFonts w:ascii="宋体" w:hAnsi="宋体"/>
        </w:rPr>
        <w:t>（1）</w:t>
      </w:r>
      <w:r>
        <w:rPr>
          <w:rFonts w:hint="eastAsia" w:ascii="宋体" w:hAnsi="宋体"/>
        </w:rPr>
        <w:t>投标人之间协商投标报价等投标文件的实质性内容</w:t>
      </w:r>
      <w:r>
        <w:rPr>
          <w:rFonts w:ascii="宋体" w:hAnsi="宋体"/>
        </w:rPr>
        <w:t>；</w:t>
      </w:r>
    </w:p>
    <w:p>
      <w:pPr>
        <w:autoSpaceDE w:val="0"/>
        <w:autoSpaceDN w:val="0"/>
        <w:adjustRightInd w:val="0"/>
        <w:snapToGrid w:val="0"/>
        <w:spacing w:line="360" w:lineRule="auto"/>
        <w:ind w:firstLine="420" w:firstLineChars="200"/>
        <w:rPr>
          <w:rFonts w:ascii="宋体" w:hAnsi="宋体"/>
        </w:rPr>
      </w:pPr>
      <w:r>
        <w:rPr>
          <w:rFonts w:ascii="宋体" w:hAnsi="宋体"/>
        </w:rPr>
        <w:t>（2）投标人之间约定中标人；</w:t>
      </w:r>
    </w:p>
    <w:p>
      <w:pPr>
        <w:autoSpaceDE w:val="0"/>
        <w:autoSpaceDN w:val="0"/>
        <w:adjustRightInd w:val="0"/>
        <w:snapToGrid w:val="0"/>
        <w:spacing w:line="360" w:lineRule="auto"/>
        <w:ind w:firstLine="420" w:firstLineChars="200"/>
        <w:rPr>
          <w:rFonts w:ascii="宋体" w:hAnsi="宋体"/>
        </w:rPr>
      </w:pPr>
      <w:r>
        <w:rPr>
          <w:rFonts w:ascii="宋体" w:hAnsi="宋体"/>
        </w:rPr>
        <w:t>（3）投标人之间约定部分投标人放弃投标或者中标；</w:t>
      </w:r>
    </w:p>
    <w:p>
      <w:pPr>
        <w:autoSpaceDE w:val="0"/>
        <w:autoSpaceDN w:val="0"/>
        <w:adjustRightInd w:val="0"/>
        <w:snapToGrid w:val="0"/>
        <w:spacing w:line="360" w:lineRule="auto"/>
        <w:ind w:firstLine="420" w:firstLineChars="200"/>
        <w:rPr>
          <w:rFonts w:ascii="宋体" w:hAnsi="宋体"/>
        </w:rPr>
      </w:pPr>
      <w:r>
        <w:rPr>
          <w:rFonts w:ascii="宋体" w:hAnsi="宋体"/>
        </w:rPr>
        <w:t>（4）属于同一集团、协会、商会等组织成员的投标人按照该组织要求协同投标；</w:t>
      </w:r>
    </w:p>
    <w:p>
      <w:pPr>
        <w:autoSpaceDE w:val="0"/>
        <w:autoSpaceDN w:val="0"/>
        <w:adjustRightInd w:val="0"/>
        <w:snapToGrid w:val="0"/>
        <w:spacing w:line="360" w:lineRule="auto"/>
        <w:ind w:firstLine="420" w:firstLineChars="200"/>
        <w:rPr>
          <w:rFonts w:ascii="宋体" w:hAnsi="宋体"/>
        </w:rPr>
      </w:pPr>
      <w:r>
        <w:rPr>
          <w:rFonts w:ascii="宋体" w:hAnsi="宋体"/>
        </w:rPr>
        <w:t>（5）投标人之间为谋取中标或者排斥特定投标人而采取的其他联合行动。</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9.2.2  </w:t>
      </w:r>
      <w:r>
        <w:rPr>
          <w:rFonts w:ascii="宋体" w:hAnsi="宋体"/>
        </w:rPr>
        <w:t>有下列情形之一的，</w:t>
      </w:r>
      <w:r>
        <w:rPr>
          <w:rFonts w:ascii="宋体" w:hAnsi="宋体"/>
          <w:highlight w:val="none"/>
        </w:rPr>
        <w:t>视为</w:t>
      </w:r>
      <w:r>
        <w:rPr>
          <w:rFonts w:ascii="宋体" w:hAnsi="宋体"/>
        </w:rPr>
        <w:t>投标人相互串通投标：</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1</w:t>
      </w:r>
      <w:r>
        <w:rPr>
          <w:rFonts w:hint="eastAsia" w:ascii="宋体" w:hAnsi="宋体"/>
          <w:highlight w:val="none"/>
        </w:rPr>
        <w:t>）不同投标人的电子投标文件由同一台电子设备编制、打包、加密或者上传；</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2</w:t>
      </w:r>
      <w:r>
        <w:rPr>
          <w:rFonts w:hint="eastAsia" w:ascii="宋体" w:hAnsi="宋体"/>
          <w:highlight w:val="none"/>
        </w:rPr>
        <w:t>）不同投标人的投标文件由同一投标人的电子设备打印、复印；</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3</w:t>
      </w:r>
      <w:r>
        <w:rPr>
          <w:rFonts w:hint="eastAsia" w:ascii="宋体" w:hAnsi="宋体"/>
          <w:highlight w:val="none"/>
        </w:rPr>
        <w:t>）不同投标人的投标报价用同一个预算编制软件密码锁制作或者出自同一投标人的电子文档；</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4</w:t>
      </w:r>
      <w:r>
        <w:rPr>
          <w:rFonts w:hint="eastAsia" w:ascii="宋体" w:hAnsi="宋体"/>
          <w:highlight w:val="none"/>
        </w:rPr>
        <w:t>）不同投标人从同一个投标单位或者同一个自然人的互联网协议地址下载招标文件、上传投标文件；</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5</w:t>
      </w:r>
      <w:r>
        <w:rPr>
          <w:rFonts w:hint="eastAsia" w:ascii="宋体" w:hAnsi="宋体"/>
          <w:highlight w:val="none"/>
        </w:rPr>
        <w:t>）不同投标人的投标保证金虽然经由投标人自己的基本账户转出，但所需资金来自同一单位或者个人的账户；</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6</w:t>
      </w:r>
      <w:r>
        <w:rPr>
          <w:rFonts w:hint="eastAsia" w:ascii="宋体" w:hAnsi="宋体"/>
          <w:highlight w:val="none"/>
        </w:rPr>
        <w:t>）参加投标活动的人员为同一标段或者未划分标段的同一招标项目的其他投标人的在职人员；</w:t>
      </w:r>
    </w:p>
    <w:p>
      <w:pPr>
        <w:autoSpaceDE w:val="0"/>
        <w:autoSpaceDN w:val="0"/>
        <w:adjustRightInd w:val="0"/>
        <w:snapToGrid w:val="0"/>
        <w:spacing w:line="360" w:lineRule="auto"/>
        <w:ind w:firstLine="420" w:firstLineChars="200"/>
        <w:rPr>
          <w:rFonts w:ascii="宋体" w:hAnsi="宋体"/>
        </w:rPr>
      </w:pPr>
      <w:r>
        <w:rPr>
          <w:rFonts w:hint="eastAsia" w:ascii="宋体" w:hAnsi="宋体"/>
          <w:highlight w:val="none"/>
        </w:rPr>
        <w:t>（</w:t>
      </w:r>
      <w:r>
        <w:rPr>
          <w:rFonts w:hint="eastAsia" w:ascii="宋体" w:hAnsi="宋体"/>
          <w:highlight w:val="none"/>
          <w:lang w:val="en-US" w:eastAsia="zh-CN"/>
        </w:rPr>
        <w:t>7</w:t>
      </w:r>
      <w:r>
        <w:rPr>
          <w:rFonts w:hint="eastAsia" w:ascii="宋体" w:hAnsi="宋体"/>
          <w:highlight w:val="none"/>
        </w:rPr>
        <w:t>）法律、法规规定的其他情形。</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9.2.3  </w:t>
      </w:r>
      <w:r>
        <w:rPr>
          <w:rFonts w:ascii="宋体" w:hAnsi="宋体"/>
        </w:rPr>
        <w:t>使用通过受让或者租借等方式获取的资格、资质证书投标的，属于以他人名义投标。</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9.2.4  </w:t>
      </w:r>
      <w:r>
        <w:rPr>
          <w:rFonts w:ascii="宋体" w:hAnsi="宋体"/>
        </w:rPr>
        <w:t>投标人有下列情形之一的，属于以其他方式弄虚作假的行为：</w:t>
      </w:r>
    </w:p>
    <w:p>
      <w:pPr>
        <w:autoSpaceDE w:val="0"/>
        <w:autoSpaceDN w:val="0"/>
        <w:adjustRightInd w:val="0"/>
        <w:snapToGrid w:val="0"/>
        <w:spacing w:line="360" w:lineRule="auto"/>
        <w:ind w:firstLine="420" w:firstLineChars="200"/>
        <w:rPr>
          <w:rFonts w:ascii="宋体" w:hAnsi="宋体"/>
        </w:rPr>
      </w:pPr>
      <w:r>
        <w:rPr>
          <w:rFonts w:hint="eastAsia" w:ascii="宋体" w:hAnsi="宋体"/>
        </w:rPr>
        <w:t>（1）</w:t>
      </w:r>
      <w:r>
        <w:rPr>
          <w:rFonts w:ascii="宋体" w:hAnsi="宋体"/>
        </w:rPr>
        <w:t>使用伪造、变造的许可证件；</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2</w:t>
      </w:r>
      <w:r>
        <w:rPr>
          <w:rFonts w:ascii="宋体" w:hAnsi="宋体"/>
        </w:rPr>
        <w:t>）提供虚假的财务状况或者业绩；</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3</w:t>
      </w:r>
      <w:r>
        <w:rPr>
          <w:rFonts w:ascii="宋体" w:hAnsi="宋体"/>
        </w:rPr>
        <w:t>）提供虚假的项目负责人或者主要技术人员简历、劳动关系证明；</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4</w:t>
      </w:r>
      <w:r>
        <w:rPr>
          <w:rFonts w:ascii="宋体" w:hAnsi="宋体"/>
        </w:rPr>
        <w:t>）提供虚假的信用状况；</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rPr>
        <w:t>（</w:t>
      </w:r>
      <w:r>
        <w:rPr>
          <w:rFonts w:hint="eastAsia" w:ascii="宋体" w:hAnsi="宋体"/>
        </w:rPr>
        <w:t>5</w:t>
      </w:r>
      <w:r>
        <w:rPr>
          <w:rFonts w:ascii="宋体" w:hAnsi="宋体"/>
        </w:rPr>
        <w:t>）其他弄虚作假的行为。</w:t>
      </w:r>
    </w:p>
    <w:p>
      <w:pPr>
        <w:pStyle w:val="5"/>
        <w:snapToGrid w:val="0"/>
        <w:spacing w:before="0" w:after="0" w:line="360" w:lineRule="auto"/>
        <w:rPr>
          <w:rFonts w:ascii="宋体" w:hAnsi="宋体"/>
          <w:b w:val="0"/>
          <w:snapToGrid w:val="0"/>
          <w:sz w:val="24"/>
          <w:szCs w:val="24"/>
        </w:rPr>
      </w:pPr>
      <w:bookmarkStart w:id="617" w:name="_Toc509218759"/>
      <w:bookmarkStart w:id="618" w:name="_Toc19538"/>
      <w:bookmarkStart w:id="619" w:name="_Toc430530484"/>
      <w:bookmarkStart w:id="620" w:name="_Toc277082601"/>
      <w:bookmarkStart w:id="621" w:name="_Toc287620734"/>
      <w:bookmarkStart w:id="622" w:name="_Toc287607795"/>
      <w:bookmarkStart w:id="623" w:name="_Toc28175"/>
      <w:bookmarkStart w:id="624" w:name="_Toc200513175"/>
      <w:bookmarkStart w:id="625" w:name="_Toc224103366"/>
      <w:r>
        <w:rPr>
          <w:rFonts w:ascii="宋体" w:hAnsi="宋体"/>
          <w:b w:val="0"/>
          <w:snapToGrid w:val="0"/>
          <w:sz w:val="24"/>
          <w:szCs w:val="24"/>
        </w:rPr>
        <w:t>9.3  对评标委员会成员的纪律要求</w:t>
      </w:r>
      <w:bookmarkEnd w:id="617"/>
      <w:bookmarkEnd w:id="618"/>
      <w:bookmarkEnd w:id="619"/>
      <w:bookmarkEnd w:id="620"/>
      <w:bookmarkEnd w:id="621"/>
      <w:bookmarkEnd w:id="622"/>
      <w:bookmarkEnd w:id="623"/>
      <w:bookmarkEnd w:id="624"/>
      <w:bookmarkEnd w:id="62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r>
        <w:rPr>
          <w:rFonts w:hint="eastAsia" w:ascii="宋体" w:hAnsi="宋体"/>
          <w:snapToGrid w:val="0"/>
          <w:kern w:val="0"/>
          <w:szCs w:val="21"/>
        </w:rPr>
        <w:t>，不得对招标文件中《否决投标情况一览表》以外的内容予以否决投标，否则对评标委员会成员按《重庆市综合评标专家库和评标专家管理暂行办法》进行处理。</w:t>
      </w:r>
    </w:p>
    <w:p>
      <w:pPr>
        <w:pStyle w:val="5"/>
        <w:snapToGrid w:val="0"/>
        <w:spacing w:before="0" w:after="0" w:line="360" w:lineRule="auto"/>
        <w:rPr>
          <w:rFonts w:ascii="宋体" w:hAnsi="宋体"/>
          <w:b w:val="0"/>
          <w:snapToGrid w:val="0"/>
          <w:sz w:val="24"/>
          <w:szCs w:val="24"/>
        </w:rPr>
      </w:pPr>
      <w:bookmarkStart w:id="626" w:name="_Toc200513176"/>
      <w:bookmarkStart w:id="627" w:name="_Toc287607796"/>
      <w:bookmarkStart w:id="628" w:name="_Toc24888"/>
      <w:bookmarkStart w:id="629" w:name="_Toc224103367"/>
      <w:bookmarkStart w:id="630" w:name="_Toc23023"/>
      <w:bookmarkStart w:id="631" w:name="_Toc430530485"/>
      <w:bookmarkStart w:id="632" w:name="_Toc277082602"/>
      <w:bookmarkStart w:id="633" w:name="_Toc509218760"/>
      <w:bookmarkStart w:id="634" w:name="_Toc287620735"/>
      <w:r>
        <w:rPr>
          <w:rFonts w:ascii="宋体" w:hAnsi="宋体"/>
          <w:b w:val="0"/>
          <w:snapToGrid w:val="0"/>
          <w:sz w:val="24"/>
          <w:szCs w:val="24"/>
        </w:rPr>
        <w:t>9.4  对与评标活动有关的工作人员的纪律要求</w:t>
      </w:r>
      <w:bookmarkEnd w:id="626"/>
      <w:bookmarkEnd w:id="627"/>
      <w:bookmarkEnd w:id="628"/>
      <w:bookmarkEnd w:id="629"/>
      <w:bookmarkEnd w:id="630"/>
      <w:bookmarkEnd w:id="631"/>
      <w:bookmarkEnd w:id="632"/>
      <w:bookmarkEnd w:id="633"/>
      <w:bookmarkEnd w:id="63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p>
    <w:p>
      <w:pPr>
        <w:pStyle w:val="5"/>
        <w:snapToGrid w:val="0"/>
        <w:spacing w:before="0" w:after="0" w:line="360" w:lineRule="auto"/>
        <w:rPr>
          <w:rFonts w:ascii="宋体" w:hAnsi="宋体"/>
          <w:b w:val="0"/>
          <w:snapToGrid w:val="0"/>
          <w:sz w:val="24"/>
          <w:szCs w:val="24"/>
        </w:rPr>
      </w:pPr>
      <w:bookmarkStart w:id="635" w:name="_Toc430530486"/>
      <w:bookmarkStart w:id="636" w:name="_Toc20362"/>
      <w:bookmarkStart w:id="637" w:name="_Toc200513177"/>
      <w:bookmarkStart w:id="638" w:name="_Toc509218761"/>
      <w:bookmarkStart w:id="639" w:name="_Toc31690"/>
      <w:bookmarkStart w:id="640" w:name="_Toc224103368"/>
      <w:bookmarkStart w:id="641" w:name="_Toc287607797"/>
      <w:bookmarkStart w:id="642" w:name="_Toc287620736"/>
      <w:bookmarkStart w:id="643" w:name="_Toc277082603"/>
      <w:r>
        <w:rPr>
          <w:rFonts w:ascii="宋体" w:hAnsi="宋体"/>
          <w:b w:val="0"/>
          <w:snapToGrid w:val="0"/>
          <w:sz w:val="24"/>
          <w:szCs w:val="24"/>
        </w:rPr>
        <w:t>9.5  投诉</w:t>
      </w:r>
      <w:bookmarkEnd w:id="635"/>
      <w:bookmarkEnd w:id="636"/>
      <w:bookmarkEnd w:id="637"/>
      <w:bookmarkEnd w:id="638"/>
      <w:bookmarkEnd w:id="639"/>
      <w:bookmarkEnd w:id="640"/>
      <w:bookmarkEnd w:id="641"/>
      <w:bookmarkEnd w:id="642"/>
      <w:bookmarkEnd w:id="643"/>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投标人和其他利害关系人认为本次招标活动违反法律、法规和规章规定的，有权向有关行政监督部门投诉。</w:t>
      </w:r>
    </w:p>
    <w:p>
      <w:pPr>
        <w:pStyle w:val="4"/>
        <w:spacing w:before="0" w:after="0" w:line="360" w:lineRule="auto"/>
        <w:rPr>
          <w:rFonts w:ascii="宋体" w:hAnsi="宋体"/>
          <w:b w:val="0"/>
          <w:snapToGrid w:val="0"/>
        </w:rPr>
      </w:pPr>
      <w:bookmarkStart w:id="644" w:name="_Toc15839"/>
      <w:bookmarkStart w:id="645" w:name="_Toc854"/>
      <w:bookmarkStart w:id="646" w:name="_Toc509218762"/>
      <w:bookmarkStart w:id="647" w:name="_Toc224103369"/>
      <w:bookmarkStart w:id="648" w:name="_Toc287620737"/>
      <w:bookmarkStart w:id="649" w:name="_Toc287607798"/>
      <w:bookmarkStart w:id="650" w:name="_Toc430530487"/>
      <w:bookmarkStart w:id="651" w:name="_Toc277082604"/>
      <w:bookmarkStart w:id="652" w:name="_Toc200513178"/>
      <w:r>
        <w:rPr>
          <w:rFonts w:ascii="宋体" w:hAnsi="宋体"/>
          <w:b w:val="0"/>
          <w:snapToGrid w:val="0"/>
        </w:rPr>
        <w:t>10. 需要补充的其他内容</w:t>
      </w:r>
      <w:bookmarkEnd w:id="644"/>
      <w:bookmarkEnd w:id="645"/>
      <w:bookmarkEnd w:id="646"/>
      <w:bookmarkEnd w:id="647"/>
      <w:bookmarkEnd w:id="648"/>
      <w:bookmarkEnd w:id="649"/>
      <w:bookmarkEnd w:id="650"/>
      <w:bookmarkEnd w:id="651"/>
      <w:bookmarkEnd w:id="652"/>
    </w:p>
    <w:p>
      <w:pPr>
        <w:autoSpaceDE w:val="0"/>
        <w:autoSpaceDN w:val="0"/>
        <w:adjustRightInd w:val="0"/>
        <w:snapToGrid w:val="0"/>
        <w:spacing w:line="360" w:lineRule="auto"/>
        <w:ind w:firstLine="420" w:firstLineChars="200"/>
        <w:rPr>
          <w:rFonts w:ascii="宋体" w:hAnsi="宋体"/>
          <w:snapToGrid w:val="0"/>
          <w:kern w:val="0"/>
          <w:szCs w:val="21"/>
        </w:rPr>
        <w:sectPr>
          <w:footerReference r:id="rId9" w:type="default"/>
          <w:footerReference r:id="rId10" w:type="even"/>
          <w:pgSz w:w="11906" w:h="16838"/>
          <w:pgMar w:top="1304" w:right="1134" w:bottom="1304" w:left="1304" w:header="851" w:footer="992" w:gutter="0"/>
          <w:cols w:space="720" w:num="1"/>
          <w:docGrid w:type="lines" w:linePitch="312" w:charSpace="0"/>
        </w:sectPr>
      </w:pPr>
      <w:r>
        <w:rPr>
          <w:rFonts w:ascii="宋体" w:hAnsi="宋体"/>
          <w:snapToGrid w:val="0"/>
          <w:kern w:val="0"/>
          <w:szCs w:val="21"/>
        </w:rPr>
        <w:t>需要补充的其他内容：见投标人须知前附表。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t>附表一：开标记录表</w:t>
      </w:r>
    </w:p>
    <w:p>
      <w:pPr>
        <w:autoSpaceDE w:val="0"/>
        <w:autoSpaceDN w:val="0"/>
        <w:adjustRightInd w:val="0"/>
        <w:snapToGrid w:val="0"/>
        <w:spacing w:line="360" w:lineRule="auto"/>
        <w:jc w:val="left"/>
        <w:rPr>
          <w:rFonts w:ascii="宋体" w:hAnsi="宋体"/>
          <w:b/>
          <w:snapToGrid w:val="0"/>
          <w:kern w:val="0"/>
        </w:rPr>
      </w:pPr>
    </w:p>
    <w:p>
      <w:pPr>
        <w:tabs>
          <w:tab w:val="left" w:pos="3529"/>
          <w:tab w:val="left" w:pos="5060"/>
        </w:tabs>
        <w:autoSpaceDE w:val="0"/>
        <w:autoSpaceDN w:val="0"/>
        <w:adjustRightInd w:val="0"/>
        <w:snapToGrid w:val="0"/>
        <w:spacing w:line="360" w:lineRule="auto"/>
        <w:ind w:firstLine="3324" w:firstLineChars="600"/>
        <w:jc w:val="left"/>
        <w:rPr>
          <w:rFonts w:ascii="宋体" w:hAnsi="宋体"/>
          <w:b/>
          <w:snapToGrid w:val="0"/>
          <w:kern w:val="0"/>
          <w:sz w:val="28"/>
          <w:szCs w:val="28"/>
        </w:rPr>
      </w:pPr>
      <w:r>
        <w:rPr>
          <w:rFonts w:hint="eastAsia" w:ascii="宋体" w:hAnsi="宋体" w:cs="MingLiU"/>
          <w:snapToGrid w:val="0"/>
          <w:w w:val="198"/>
          <w:kern w:val="0"/>
          <w:sz w:val="28"/>
          <w:szCs w:val="28"/>
          <w:u w:val="single"/>
        </w:rPr>
        <w:t xml:space="preserve">              </w:t>
      </w:r>
      <w:r>
        <w:rPr>
          <w:rFonts w:hint="eastAsia" w:ascii="宋体" w:hAnsi="宋体"/>
          <w:snapToGrid w:val="0"/>
          <w:kern w:val="0"/>
          <w:sz w:val="28"/>
          <w:szCs w:val="28"/>
          <w:u w:val="single"/>
        </w:rPr>
        <w:t xml:space="preserve"> </w:t>
      </w:r>
      <w:r>
        <w:rPr>
          <w:rFonts w:ascii="宋体" w:hAnsi="宋体"/>
          <w:b/>
          <w:snapToGrid w:val="0"/>
          <w:w w:val="99"/>
          <w:kern w:val="0"/>
          <w:sz w:val="28"/>
          <w:szCs w:val="28"/>
          <w:u w:val="single"/>
        </w:rPr>
        <w:t>（项目名称）</w:t>
      </w:r>
      <w:r>
        <w:rPr>
          <w:rFonts w:ascii="宋体" w:hAnsi="宋体"/>
          <w:b/>
          <w:snapToGrid w:val="0"/>
          <w:w w:val="99"/>
          <w:kern w:val="0"/>
          <w:sz w:val="28"/>
          <w:szCs w:val="28"/>
        </w:rPr>
        <w:t>开标记录表</w:t>
      </w:r>
    </w:p>
    <w:p>
      <w:pPr>
        <w:tabs>
          <w:tab w:val="left" w:pos="2260"/>
          <w:tab w:val="left" w:pos="5060"/>
        </w:tabs>
        <w:autoSpaceDE w:val="0"/>
        <w:autoSpaceDN w:val="0"/>
        <w:adjustRightInd w:val="0"/>
        <w:snapToGrid w:val="0"/>
        <w:spacing w:line="360" w:lineRule="auto"/>
        <w:jc w:val="right"/>
        <w:rPr>
          <w:rFonts w:ascii="宋体" w:hAnsi="宋体"/>
          <w:snapToGrid w:val="0"/>
          <w:kern w:val="0"/>
          <w:szCs w:val="21"/>
        </w:rPr>
      </w:pPr>
      <w:r>
        <w:rPr>
          <w:rFonts w:ascii="宋体" w:hAnsi="宋体"/>
          <w:b/>
          <w:snapToGrid w:val="0"/>
          <w:kern w:val="0"/>
          <w:sz w:val="28"/>
          <w:szCs w:val="28"/>
        </w:rPr>
        <w:t xml:space="preserve">                             </w:t>
      </w:r>
      <w:r>
        <w:rPr>
          <w:rFonts w:ascii="宋体" w:hAnsi="宋体"/>
          <w:snapToGrid w:val="0"/>
          <w:kern w:val="0"/>
          <w:szCs w:val="21"/>
        </w:rPr>
        <w:t>开标时间：</w:t>
      </w:r>
      <w:r>
        <w:rPr>
          <w:rFonts w:hint="eastAsia" w:ascii="宋体" w:hAnsi="宋体" w:cs="MingLiU"/>
          <w:snapToGrid w:val="0"/>
          <w:w w:val="200"/>
          <w:kern w:val="0"/>
          <w:szCs w:val="21"/>
          <w:u w:val="single"/>
        </w:rPr>
        <w:t xml:space="preserve">     </w:t>
      </w:r>
      <w:r>
        <w:rPr>
          <w:rFonts w:hint="eastAsia" w:ascii="宋体" w:hAnsi="宋体" w:cs="MingLiU"/>
          <w:snapToGrid w:val="0"/>
          <w:kern w:val="0"/>
          <w:szCs w:val="21"/>
        </w:rPr>
        <w:t>年</w:t>
      </w:r>
      <w:r>
        <w:rPr>
          <w:rFonts w:hint="eastAsia" w:ascii="宋体" w:hAnsi="宋体"/>
          <w:snapToGrid w:val="0"/>
          <w:kern w:val="0"/>
          <w:szCs w:val="21"/>
          <w:u w:val="single"/>
        </w:rPr>
        <w:t xml:space="preserve">     </w:t>
      </w:r>
      <w:r>
        <w:rPr>
          <w:rFonts w:hint="eastAsia" w:ascii="宋体" w:hAnsi="宋体" w:cs="MingLiU"/>
          <w:snapToGrid w:val="0"/>
          <w:kern w:val="0"/>
          <w:szCs w:val="21"/>
        </w:rPr>
        <w:t>月</w:t>
      </w:r>
      <w:r>
        <w:rPr>
          <w:rFonts w:hint="eastAsia" w:ascii="宋体" w:hAnsi="宋体"/>
          <w:snapToGrid w:val="0"/>
          <w:kern w:val="0"/>
          <w:szCs w:val="21"/>
          <w:u w:val="single"/>
        </w:rPr>
        <w:t xml:space="preserve">     </w:t>
      </w:r>
      <w:r>
        <w:rPr>
          <w:rFonts w:hint="eastAsia" w:ascii="宋体" w:hAnsi="宋体" w:cs="MingLiU"/>
          <w:snapToGrid w:val="0"/>
          <w:kern w:val="0"/>
          <w:szCs w:val="21"/>
        </w:rPr>
        <w:t>日</w:t>
      </w:r>
      <w:r>
        <w:rPr>
          <w:rFonts w:hint="eastAsia" w:ascii="宋体" w:hAnsi="宋体"/>
          <w:snapToGrid w:val="0"/>
          <w:kern w:val="0"/>
          <w:szCs w:val="21"/>
          <w:u w:val="single"/>
        </w:rPr>
        <w:t xml:space="preserve">     </w:t>
      </w:r>
      <w:r>
        <w:rPr>
          <w:rFonts w:hint="eastAsia" w:ascii="宋体" w:hAnsi="宋体" w:cs="MingLiU"/>
          <w:snapToGrid w:val="0"/>
          <w:kern w:val="0"/>
          <w:szCs w:val="21"/>
        </w:rPr>
        <w:t>时</w:t>
      </w:r>
      <w:r>
        <w:rPr>
          <w:rFonts w:hint="eastAsia" w:ascii="宋体" w:hAnsi="宋体"/>
          <w:snapToGrid w:val="0"/>
          <w:kern w:val="0"/>
          <w:szCs w:val="21"/>
          <w:u w:val="single"/>
        </w:rPr>
        <w:t xml:space="preserve">     </w:t>
      </w:r>
      <w:r>
        <w:rPr>
          <w:rFonts w:hint="eastAsia" w:ascii="宋体" w:hAnsi="宋体" w:cs="MingLiU"/>
          <w:snapToGrid w:val="0"/>
          <w:kern w:val="0"/>
          <w:szCs w:val="21"/>
        </w:rPr>
        <w:t>分</w:t>
      </w:r>
    </w:p>
    <w:tbl>
      <w:tblPr>
        <w:tblStyle w:val="45"/>
        <w:tblW w:w="13757"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1134"/>
        <w:gridCol w:w="1559"/>
        <w:gridCol w:w="1560"/>
        <w:gridCol w:w="1275"/>
        <w:gridCol w:w="993"/>
        <w:gridCol w:w="1285"/>
        <w:gridCol w:w="947"/>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433"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序号</w:t>
            </w:r>
          </w:p>
        </w:tc>
        <w:tc>
          <w:tcPr>
            <w:tcW w:w="3260"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投标人</w:t>
            </w:r>
          </w:p>
        </w:tc>
        <w:tc>
          <w:tcPr>
            <w:tcW w:w="1134" w:type="dxa"/>
            <w:vAlign w:val="center"/>
          </w:tcPr>
          <w:p>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解密情况</w:t>
            </w:r>
          </w:p>
        </w:tc>
        <w:tc>
          <w:tcPr>
            <w:tcW w:w="1559" w:type="dxa"/>
            <w:tcBorders>
              <w:right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投标总报价</w:t>
            </w:r>
          </w:p>
        </w:tc>
        <w:tc>
          <w:tcPr>
            <w:tcW w:w="1560" w:type="dxa"/>
            <w:tcBorders>
              <w:left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安全文明施工费暂定金额</w:t>
            </w:r>
          </w:p>
        </w:tc>
        <w:tc>
          <w:tcPr>
            <w:tcW w:w="1275"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质量目标</w:t>
            </w:r>
          </w:p>
        </w:tc>
        <w:tc>
          <w:tcPr>
            <w:tcW w:w="993"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工期</w:t>
            </w:r>
          </w:p>
        </w:tc>
        <w:tc>
          <w:tcPr>
            <w:tcW w:w="1285"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项目经理</w:t>
            </w:r>
          </w:p>
        </w:tc>
        <w:tc>
          <w:tcPr>
            <w:tcW w:w="947"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备注</w:t>
            </w:r>
          </w:p>
        </w:tc>
        <w:tc>
          <w:tcPr>
            <w:tcW w:w="1311"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275" w:type="dxa"/>
            <w:vAlign w:val="center"/>
          </w:tcPr>
          <w:p>
            <w:pPr>
              <w:autoSpaceDE w:val="0"/>
              <w:autoSpaceDN w:val="0"/>
              <w:adjustRightInd w:val="0"/>
              <w:snapToGrid w:val="0"/>
              <w:jc w:val="left"/>
              <w:rPr>
                <w:rFonts w:ascii="宋体" w:hAnsi="宋体"/>
                <w:snapToGrid w:val="0"/>
                <w:kern w:val="0"/>
                <w:sz w:val="28"/>
                <w:szCs w:val="28"/>
              </w:rPr>
            </w:pPr>
          </w:p>
        </w:tc>
        <w:tc>
          <w:tcPr>
            <w:tcW w:w="993"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275" w:type="dxa"/>
            <w:vAlign w:val="center"/>
          </w:tcPr>
          <w:p>
            <w:pPr>
              <w:autoSpaceDE w:val="0"/>
              <w:autoSpaceDN w:val="0"/>
              <w:adjustRightInd w:val="0"/>
              <w:snapToGrid w:val="0"/>
              <w:jc w:val="left"/>
              <w:rPr>
                <w:rFonts w:ascii="宋体" w:hAnsi="宋体"/>
                <w:snapToGrid w:val="0"/>
                <w:kern w:val="0"/>
                <w:sz w:val="28"/>
                <w:szCs w:val="28"/>
              </w:rPr>
            </w:pPr>
          </w:p>
        </w:tc>
        <w:tc>
          <w:tcPr>
            <w:tcW w:w="993"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275" w:type="dxa"/>
            <w:vAlign w:val="center"/>
          </w:tcPr>
          <w:p>
            <w:pPr>
              <w:autoSpaceDE w:val="0"/>
              <w:autoSpaceDN w:val="0"/>
              <w:adjustRightInd w:val="0"/>
              <w:snapToGrid w:val="0"/>
              <w:jc w:val="left"/>
              <w:rPr>
                <w:rFonts w:ascii="宋体" w:hAnsi="宋体"/>
                <w:snapToGrid w:val="0"/>
                <w:kern w:val="0"/>
                <w:sz w:val="28"/>
                <w:szCs w:val="28"/>
              </w:rPr>
            </w:pPr>
          </w:p>
        </w:tc>
        <w:tc>
          <w:tcPr>
            <w:tcW w:w="993"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275" w:type="dxa"/>
            <w:vAlign w:val="center"/>
          </w:tcPr>
          <w:p>
            <w:pPr>
              <w:autoSpaceDE w:val="0"/>
              <w:autoSpaceDN w:val="0"/>
              <w:adjustRightInd w:val="0"/>
              <w:snapToGrid w:val="0"/>
              <w:jc w:val="left"/>
              <w:rPr>
                <w:rFonts w:ascii="宋体" w:hAnsi="宋体"/>
                <w:snapToGrid w:val="0"/>
                <w:kern w:val="0"/>
                <w:sz w:val="28"/>
                <w:szCs w:val="28"/>
              </w:rPr>
            </w:pPr>
          </w:p>
        </w:tc>
        <w:tc>
          <w:tcPr>
            <w:tcW w:w="993"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275" w:type="dxa"/>
            <w:vAlign w:val="center"/>
          </w:tcPr>
          <w:p>
            <w:pPr>
              <w:autoSpaceDE w:val="0"/>
              <w:autoSpaceDN w:val="0"/>
              <w:adjustRightInd w:val="0"/>
              <w:snapToGrid w:val="0"/>
              <w:jc w:val="left"/>
              <w:rPr>
                <w:rFonts w:ascii="宋体" w:hAnsi="宋体"/>
                <w:snapToGrid w:val="0"/>
                <w:kern w:val="0"/>
                <w:sz w:val="28"/>
                <w:szCs w:val="28"/>
              </w:rPr>
            </w:pPr>
          </w:p>
        </w:tc>
        <w:tc>
          <w:tcPr>
            <w:tcW w:w="993"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275" w:type="dxa"/>
            <w:vAlign w:val="center"/>
          </w:tcPr>
          <w:p>
            <w:pPr>
              <w:autoSpaceDE w:val="0"/>
              <w:autoSpaceDN w:val="0"/>
              <w:adjustRightInd w:val="0"/>
              <w:snapToGrid w:val="0"/>
              <w:jc w:val="left"/>
              <w:rPr>
                <w:rFonts w:ascii="宋体" w:hAnsi="宋体"/>
                <w:snapToGrid w:val="0"/>
                <w:kern w:val="0"/>
                <w:sz w:val="28"/>
                <w:szCs w:val="28"/>
              </w:rPr>
            </w:pPr>
          </w:p>
        </w:tc>
        <w:tc>
          <w:tcPr>
            <w:tcW w:w="993" w:type="dxa"/>
            <w:vAlign w:val="center"/>
          </w:tcPr>
          <w:p>
            <w:pPr>
              <w:autoSpaceDE w:val="0"/>
              <w:autoSpaceDN w:val="0"/>
              <w:adjustRightInd w:val="0"/>
              <w:snapToGrid w:val="0"/>
              <w:jc w:val="left"/>
              <w:rPr>
                <w:rFonts w:ascii="宋体" w:hAnsi="宋体"/>
                <w:snapToGrid w:val="0"/>
                <w:kern w:val="0"/>
                <w:sz w:val="28"/>
                <w:szCs w:val="28"/>
              </w:rPr>
            </w:pPr>
          </w:p>
        </w:tc>
        <w:tc>
          <w:tcPr>
            <w:tcW w:w="1285" w:type="dxa"/>
            <w:vAlign w:val="center"/>
          </w:tcPr>
          <w:p>
            <w:pPr>
              <w:autoSpaceDE w:val="0"/>
              <w:autoSpaceDN w:val="0"/>
              <w:adjustRightInd w:val="0"/>
              <w:snapToGrid w:val="0"/>
              <w:jc w:val="left"/>
              <w:rPr>
                <w:rFonts w:ascii="宋体" w:hAnsi="宋体"/>
                <w:snapToGrid w:val="0"/>
                <w:kern w:val="0"/>
                <w:sz w:val="28"/>
                <w:szCs w:val="28"/>
              </w:rPr>
            </w:pPr>
          </w:p>
        </w:tc>
        <w:tc>
          <w:tcPr>
            <w:tcW w:w="947" w:type="dxa"/>
            <w:vAlign w:val="center"/>
          </w:tcPr>
          <w:p>
            <w:pPr>
              <w:autoSpaceDE w:val="0"/>
              <w:autoSpaceDN w:val="0"/>
              <w:adjustRightInd w:val="0"/>
              <w:snapToGrid w:val="0"/>
              <w:jc w:val="left"/>
              <w:rPr>
                <w:rFonts w:ascii="宋体" w:hAnsi="宋体"/>
                <w:snapToGrid w:val="0"/>
                <w:kern w:val="0"/>
                <w:sz w:val="28"/>
                <w:szCs w:val="28"/>
              </w:rPr>
            </w:pPr>
          </w:p>
        </w:tc>
        <w:tc>
          <w:tcPr>
            <w:tcW w:w="1311"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98" w:hRule="exact"/>
          <w:jc w:val="center"/>
        </w:trPr>
        <w:tc>
          <w:tcPr>
            <w:tcW w:w="3693" w:type="dxa"/>
            <w:gridSpan w:val="2"/>
            <w:tcBorders>
              <w:bottom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最高限价</w:t>
            </w:r>
          </w:p>
        </w:tc>
        <w:tc>
          <w:tcPr>
            <w:tcW w:w="10064" w:type="dxa"/>
            <w:gridSpan w:val="8"/>
            <w:tcBorders>
              <w:bottom w:val="single" w:color="auto" w:sz="4" w:space="0"/>
            </w:tcBorders>
            <w:vAlign w:val="center"/>
          </w:tcPr>
          <w:p>
            <w:pPr>
              <w:autoSpaceDE w:val="0"/>
              <w:autoSpaceDN w:val="0"/>
              <w:adjustRightInd w:val="0"/>
              <w:snapToGrid w:val="0"/>
              <w:jc w:val="left"/>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pPr>
              <w:autoSpaceDE w:val="0"/>
              <w:autoSpaceDN w:val="0"/>
              <w:adjustRightInd w:val="0"/>
              <w:snapToGrid w:val="0"/>
              <w:jc w:val="center"/>
              <w:rPr>
                <w:szCs w:val="21"/>
              </w:rPr>
            </w:pPr>
            <w:r>
              <w:rPr>
                <w:rFonts w:hint="eastAsia"/>
                <w:szCs w:val="21"/>
              </w:rPr>
              <w:t>异常情况</w:t>
            </w:r>
          </w:p>
        </w:tc>
        <w:tc>
          <w:tcPr>
            <w:tcW w:w="10064" w:type="dxa"/>
            <w:gridSpan w:val="8"/>
            <w:tcBorders>
              <w:top w:val="single" w:color="auto" w:sz="4" w:space="0"/>
            </w:tcBorders>
            <w:vAlign w:val="center"/>
          </w:tcPr>
          <w:p>
            <w:pPr>
              <w:autoSpaceDE w:val="0"/>
              <w:autoSpaceDN w:val="0"/>
              <w:adjustRightInd w:val="0"/>
              <w:snapToGrid w:val="0"/>
              <w:jc w:val="left"/>
              <w:rPr>
                <w:rFonts w:ascii="宋体" w:hAnsi="宋体"/>
                <w:i/>
                <w:kern w:val="0"/>
                <w:szCs w:val="21"/>
              </w:rPr>
            </w:pPr>
          </w:p>
        </w:tc>
      </w:tr>
    </w:tbl>
    <w:p>
      <w:pPr>
        <w:tabs>
          <w:tab w:val="left" w:pos="2740"/>
          <w:tab w:val="left" w:pos="4940"/>
          <w:tab w:val="left" w:pos="7140"/>
        </w:tabs>
        <w:autoSpaceDE w:val="0"/>
        <w:autoSpaceDN w:val="0"/>
        <w:adjustRightInd w:val="0"/>
        <w:snapToGrid w:val="0"/>
        <w:spacing w:line="360" w:lineRule="auto"/>
        <w:jc w:val="left"/>
        <w:rPr>
          <w:rFonts w:ascii="宋体" w:hAnsi="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kern w:val="0"/>
          <w:szCs w:val="21"/>
        </w:rPr>
      </w:pPr>
      <w:r>
        <w:rPr>
          <w:rFonts w:ascii="宋体" w:hAnsi="宋体"/>
          <w:snapToGrid w:val="0"/>
          <w:kern w:val="0"/>
          <w:szCs w:val="21"/>
        </w:rPr>
        <w:t>招标人代表：</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监标人：</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hint="eastAsia" w:ascii="宋体" w:hAnsi="宋体"/>
          <w:snapToGrid w:val="0"/>
          <w:kern w:val="0"/>
          <w:szCs w:val="21"/>
        </w:rPr>
        <w:t>主持人</w:t>
      </w:r>
      <w:r>
        <w:rPr>
          <w:rFonts w:ascii="宋体" w:hAnsi="宋体"/>
          <w:snapToGrid w:val="0"/>
          <w:kern w:val="0"/>
          <w:szCs w:val="21"/>
        </w:rPr>
        <w:t>：</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记录人：</w:t>
      </w:r>
      <w:r>
        <w:rPr>
          <w:rFonts w:hint="eastAsia" w:ascii="宋体" w:hAnsi="宋体" w:cs="MingLiU"/>
          <w:snapToGrid w:val="0"/>
          <w:w w:val="200"/>
          <w:kern w:val="0"/>
          <w:szCs w:val="21"/>
          <w:u w:val="single"/>
        </w:rPr>
        <w:t xml:space="preserve">      </w:t>
      </w:r>
    </w:p>
    <w:p>
      <w:pPr>
        <w:autoSpaceDE w:val="0"/>
        <w:autoSpaceDN w:val="0"/>
        <w:adjustRightInd w:val="0"/>
        <w:snapToGrid w:val="0"/>
        <w:spacing w:before="62" w:beforeLines="20" w:line="360" w:lineRule="auto"/>
        <w:jc w:val="right"/>
        <w:rPr>
          <w:rFonts w:ascii="宋体" w:hAnsi="宋体"/>
          <w:snapToGrid w:val="0"/>
          <w:kern w:val="0"/>
          <w:sz w:val="24"/>
        </w:rPr>
      </w:pPr>
      <w:r>
        <w:rPr>
          <w:rFonts w:ascii="宋体" w:hAnsi="宋体"/>
          <w:snapToGrid w:val="0"/>
          <w:kern w:val="0"/>
          <w:sz w:val="24"/>
        </w:rPr>
        <w:t xml:space="preserve">                                       </w:t>
      </w:r>
      <w:r>
        <w:rPr>
          <w:rFonts w:ascii="宋体" w:hAnsi="宋体"/>
          <w:snapToGrid w:val="0"/>
          <w:kern w:val="0"/>
          <w:sz w:val="24"/>
          <w:u w:val="single"/>
        </w:rPr>
        <w:t xml:space="preserve">       </w:t>
      </w:r>
      <w:r>
        <w:rPr>
          <w:rFonts w:ascii="宋体" w:hAnsi="宋体"/>
          <w:snapToGrid w:val="0"/>
          <w:kern w:val="0"/>
          <w:sz w:val="24"/>
        </w:rPr>
        <w:t>年</w:t>
      </w:r>
      <w:r>
        <w:rPr>
          <w:rFonts w:ascii="宋体" w:hAnsi="宋体"/>
          <w:snapToGrid w:val="0"/>
          <w:kern w:val="0"/>
          <w:sz w:val="24"/>
          <w:u w:val="single"/>
        </w:rPr>
        <w:t xml:space="preserve">     </w:t>
      </w:r>
      <w:r>
        <w:rPr>
          <w:rFonts w:ascii="宋体" w:hAnsi="宋体"/>
          <w:snapToGrid w:val="0"/>
          <w:kern w:val="0"/>
          <w:sz w:val="24"/>
        </w:rPr>
        <w:t>月</w:t>
      </w:r>
      <w:r>
        <w:rPr>
          <w:rFonts w:ascii="宋体" w:hAnsi="宋体"/>
          <w:snapToGrid w:val="0"/>
          <w:kern w:val="0"/>
          <w:sz w:val="24"/>
          <w:u w:val="single"/>
        </w:rPr>
        <w:t xml:space="preserve">    </w:t>
      </w:r>
      <w:r>
        <w:rPr>
          <w:rFonts w:ascii="宋体" w:hAnsi="宋体"/>
          <w:snapToGrid w:val="0"/>
          <w:kern w:val="0"/>
          <w:sz w:val="24"/>
        </w:rPr>
        <w:t>日</w:t>
      </w:r>
    </w:p>
    <w:p>
      <w:pPr>
        <w:autoSpaceDE w:val="0"/>
        <w:autoSpaceDN w:val="0"/>
        <w:adjustRightInd w:val="0"/>
        <w:snapToGrid w:val="0"/>
        <w:spacing w:before="62" w:beforeLines="20" w:line="360" w:lineRule="auto"/>
        <w:rPr>
          <w:rFonts w:ascii="宋体" w:hAnsi="宋体"/>
          <w:snapToGrid w:val="0"/>
          <w:kern w:val="0"/>
          <w:sz w:val="24"/>
        </w:rPr>
      </w:pPr>
      <w:r>
        <w:rPr>
          <w:rFonts w:ascii="宋体" w:hAnsi="宋体"/>
          <w:snapToGrid w:val="0"/>
          <w:kern w:val="0"/>
          <w:sz w:val="24"/>
        </w:rPr>
        <w:br w:type="page"/>
      </w:r>
      <w:r>
        <w:rPr>
          <w:rFonts w:ascii="宋体" w:hAnsi="宋体"/>
          <w:b/>
          <w:snapToGrid w:val="0"/>
          <w:kern w:val="0"/>
        </w:rPr>
        <w:t>附表</w:t>
      </w:r>
      <w:r>
        <w:rPr>
          <w:rFonts w:hint="eastAsia" w:ascii="宋体" w:hAnsi="宋体"/>
          <w:b/>
          <w:snapToGrid w:val="0"/>
          <w:kern w:val="0"/>
        </w:rPr>
        <w:t>二</w:t>
      </w:r>
      <w:r>
        <w:rPr>
          <w:rFonts w:ascii="宋体" w:hAnsi="宋体"/>
          <w:b/>
          <w:snapToGrid w:val="0"/>
          <w:kern w:val="0"/>
        </w:rPr>
        <w:t>：纸质投标保函递交情况一览表（如有）</w:t>
      </w:r>
    </w:p>
    <w:p>
      <w:pPr>
        <w:autoSpaceDE w:val="0"/>
        <w:autoSpaceDN w:val="0"/>
        <w:adjustRightInd w:val="0"/>
        <w:snapToGrid w:val="0"/>
        <w:spacing w:before="62" w:beforeLines="20" w:line="360" w:lineRule="auto"/>
        <w:jc w:val="center"/>
        <w:rPr>
          <w:rFonts w:ascii="宋体" w:hAnsi="宋体"/>
          <w:szCs w:val="21"/>
        </w:rPr>
      </w:pPr>
      <w:r>
        <w:rPr>
          <w:rFonts w:hint="eastAsia" w:ascii="宋体" w:hAnsi="宋体" w:cs="MingLiU"/>
          <w:snapToGrid w:val="0"/>
          <w:w w:val="198"/>
          <w:kern w:val="0"/>
          <w:sz w:val="28"/>
          <w:szCs w:val="28"/>
          <w:u w:val="single"/>
        </w:rPr>
        <w:t xml:space="preserve">              </w:t>
      </w:r>
      <w:r>
        <w:rPr>
          <w:rFonts w:hint="eastAsia" w:ascii="宋体" w:hAnsi="宋体"/>
          <w:snapToGrid w:val="0"/>
          <w:kern w:val="0"/>
          <w:sz w:val="28"/>
          <w:szCs w:val="28"/>
          <w:u w:val="single"/>
        </w:rPr>
        <w:t xml:space="preserve"> </w:t>
      </w:r>
      <w:r>
        <w:rPr>
          <w:rFonts w:ascii="宋体" w:hAnsi="宋体"/>
          <w:b/>
          <w:snapToGrid w:val="0"/>
          <w:w w:val="99"/>
          <w:kern w:val="0"/>
          <w:sz w:val="28"/>
          <w:szCs w:val="28"/>
          <w:u w:val="single"/>
        </w:rPr>
        <w:t>（项目名称）纸质投标保函</w:t>
      </w:r>
      <w:r>
        <w:rPr>
          <w:rFonts w:hint="eastAsia" w:ascii="宋体" w:hAnsi="宋体"/>
          <w:b/>
          <w:snapToGrid w:val="0"/>
          <w:w w:val="99"/>
          <w:kern w:val="0"/>
          <w:sz w:val="28"/>
          <w:szCs w:val="28"/>
          <w:u w:val="single"/>
        </w:rPr>
        <w:t>递交</w:t>
      </w:r>
      <w:r>
        <w:rPr>
          <w:rFonts w:ascii="宋体" w:hAnsi="宋体"/>
          <w:b/>
          <w:snapToGrid w:val="0"/>
          <w:w w:val="99"/>
          <w:kern w:val="0"/>
          <w:sz w:val="28"/>
          <w:szCs w:val="28"/>
          <w:u w:val="single"/>
        </w:rPr>
        <w:t>情况一览表</w:t>
      </w:r>
    </w:p>
    <w:p>
      <w:pPr>
        <w:autoSpaceDE w:val="0"/>
        <w:autoSpaceDN w:val="0"/>
        <w:adjustRightInd w:val="0"/>
        <w:snapToGrid w:val="0"/>
        <w:spacing w:before="62" w:beforeLines="20" w:line="360" w:lineRule="auto"/>
        <w:ind w:firstLine="8610" w:firstLineChars="4100"/>
        <w:rPr>
          <w:rFonts w:ascii="宋体" w:hAnsi="宋体"/>
          <w:szCs w:val="21"/>
        </w:rPr>
      </w:pPr>
      <w:r>
        <w:rPr>
          <w:rFonts w:hint="eastAsia" w:ascii="宋体" w:hAnsi="宋体"/>
          <w:snapToGrid w:val="0"/>
          <w:kern w:val="0"/>
          <w:szCs w:val="21"/>
        </w:rPr>
        <w:t>投标截止时间</w:t>
      </w:r>
      <w:r>
        <w:rPr>
          <w:rFonts w:ascii="宋体" w:hAnsi="宋体"/>
          <w:snapToGrid w:val="0"/>
          <w:kern w:val="0"/>
          <w:szCs w:val="21"/>
        </w:rPr>
        <w:t>：</w:t>
      </w:r>
      <w:r>
        <w:rPr>
          <w:rFonts w:hint="eastAsia" w:ascii="宋体" w:hAnsi="宋体" w:cs="MingLiU"/>
          <w:snapToGrid w:val="0"/>
          <w:w w:val="200"/>
          <w:kern w:val="0"/>
          <w:szCs w:val="21"/>
          <w:u w:val="single"/>
        </w:rPr>
        <w:t xml:space="preserve">     </w:t>
      </w:r>
      <w:r>
        <w:rPr>
          <w:rFonts w:hint="eastAsia" w:ascii="宋体" w:hAnsi="宋体" w:cs="MingLiU"/>
          <w:snapToGrid w:val="0"/>
          <w:kern w:val="0"/>
          <w:szCs w:val="21"/>
        </w:rPr>
        <w:t>年</w:t>
      </w:r>
      <w:r>
        <w:rPr>
          <w:rFonts w:hint="eastAsia" w:ascii="宋体" w:hAnsi="宋体"/>
          <w:snapToGrid w:val="0"/>
          <w:kern w:val="0"/>
          <w:szCs w:val="21"/>
          <w:u w:val="single"/>
        </w:rPr>
        <w:t xml:space="preserve">     </w:t>
      </w:r>
      <w:r>
        <w:rPr>
          <w:rFonts w:hint="eastAsia" w:ascii="宋体" w:hAnsi="宋体" w:cs="MingLiU"/>
          <w:snapToGrid w:val="0"/>
          <w:kern w:val="0"/>
          <w:szCs w:val="21"/>
        </w:rPr>
        <w:t>月</w:t>
      </w:r>
      <w:r>
        <w:rPr>
          <w:rFonts w:hint="eastAsia" w:ascii="宋体" w:hAnsi="宋体"/>
          <w:snapToGrid w:val="0"/>
          <w:kern w:val="0"/>
          <w:szCs w:val="21"/>
          <w:u w:val="single"/>
        </w:rPr>
        <w:t xml:space="preserve">     </w:t>
      </w:r>
      <w:r>
        <w:rPr>
          <w:rFonts w:hint="eastAsia" w:ascii="宋体" w:hAnsi="宋体" w:cs="MingLiU"/>
          <w:snapToGrid w:val="0"/>
          <w:kern w:val="0"/>
          <w:szCs w:val="21"/>
        </w:rPr>
        <w:t>日</w:t>
      </w:r>
      <w:r>
        <w:rPr>
          <w:rFonts w:hint="eastAsia" w:ascii="宋体" w:hAnsi="宋体"/>
          <w:snapToGrid w:val="0"/>
          <w:kern w:val="0"/>
          <w:szCs w:val="21"/>
          <w:u w:val="single"/>
        </w:rPr>
        <w:t xml:space="preserve">     </w:t>
      </w:r>
      <w:r>
        <w:rPr>
          <w:rFonts w:hint="eastAsia" w:ascii="宋体" w:hAnsi="宋体" w:cs="MingLiU"/>
          <w:snapToGrid w:val="0"/>
          <w:kern w:val="0"/>
          <w:szCs w:val="21"/>
        </w:rPr>
        <w:t>时</w:t>
      </w:r>
      <w:r>
        <w:rPr>
          <w:rFonts w:hint="eastAsia" w:ascii="宋体" w:hAnsi="宋体"/>
          <w:snapToGrid w:val="0"/>
          <w:kern w:val="0"/>
          <w:szCs w:val="21"/>
          <w:u w:val="single"/>
        </w:rPr>
        <w:t xml:space="preserve">     </w:t>
      </w:r>
      <w:r>
        <w:rPr>
          <w:rFonts w:hint="eastAsia" w:ascii="宋体" w:hAnsi="宋体" w:cs="MingLiU"/>
          <w:snapToGrid w:val="0"/>
          <w:kern w:val="0"/>
          <w:szCs w:val="21"/>
        </w:rPr>
        <w:t>分</w:t>
      </w:r>
    </w:p>
    <w:tbl>
      <w:tblPr>
        <w:tblStyle w:val="45"/>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序号</w:t>
            </w:r>
          </w:p>
        </w:tc>
        <w:tc>
          <w:tcPr>
            <w:tcW w:w="4160" w:type="dxa"/>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投标人</w:t>
            </w:r>
          </w:p>
        </w:tc>
        <w:tc>
          <w:tcPr>
            <w:tcW w:w="3088" w:type="dxa"/>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金额（元）</w:t>
            </w:r>
          </w:p>
        </w:tc>
        <w:tc>
          <w:tcPr>
            <w:tcW w:w="2987" w:type="dxa"/>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递交时间</w:t>
            </w:r>
          </w:p>
        </w:tc>
        <w:tc>
          <w:tcPr>
            <w:tcW w:w="3175" w:type="dxa"/>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szCs w:val="21"/>
              </w:rPr>
            </w:pPr>
          </w:p>
        </w:tc>
        <w:tc>
          <w:tcPr>
            <w:tcW w:w="4160" w:type="dxa"/>
          </w:tcPr>
          <w:p>
            <w:pPr>
              <w:autoSpaceDE w:val="0"/>
              <w:autoSpaceDN w:val="0"/>
              <w:adjustRightInd w:val="0"/>
              <w:snapToGrid w:val="0"/>
              <w:spacing w:before="62" w:beforeLines="20" w:line="360" w:lineRule="auto"/>
              <w:rPr>
                <w:rFonts w:ascii="宋体" w:hAnsi="宋体"/>
                <w:szCs w:val="21"/>
              </w:rPr>
            </w:pPr>
          </w:p>
        </w:tc>
        <w:tc>
          <w:tcPr>
            <w:tcW w:w="3088" w:type="dxa"/>
          </w:tcPr>
          <w:p>
            <w:pPr>
              <w:autoSpaceDE w:val="0"/>
              <w:autoSpaceDN w:val="0"/>
              <w:adjustRightInd w:val="0"/>
              <w:snapToGrid w:val="0"/>
              <w:spacing w:before="62" w:beforeLines="20" w:line="360" w:lineRule="auto"/>
              <w:rPr>
                <w:rFonts w:ascii="宋体" w:hAnsi="宋体"/>
                <w:szCs w:val="21"/>
              </w:rPr>
            </w:pPr>
          </w:p>
        </w:tc>
        <w:tc>
          <w:tcPr>
            <w:tcW w:w="2987" w:type="dxa"/>
          </w:tcPr>
          <w:p>
            <w:pPr>
              <w:autoSpaceDE w:val="0"/>
              <w:autoSpaceDN w:val="0"/>
              <w:adjustRightInd w:val="0"/>
              <w:snapToGrid w:val="0"/>
              <w:spacing w:before="62" w:beforeLines="20" w:line="360" w:lineRule="auto"/>
              <w:rPr>
                <w:rFonts w:ascii="宋体" w:hAnsi="宋体"/>
                <w:szCs w:val="21"/>
              </w:rPr>
            </w:pPr>
          </w:p>
        </w:tc>
        <w:tc>
          <w:tcPr>
            <w:tcW w:w="3175" w:type="dxa"/>
          </w:tcPr>
          <w:p>
            <w:pPr>
              <w:autoSpaceDE w:val="0"/>
              <w:autoSpaceDN w:val="0"/>
              <w:adjustRightInd w:val="0"/>
              <w:snapToGrid w:val="0"/>
              <w:spacing w:before="62" w:beforeLines="20" w:line="360" w:lineRule="auto"/>
              <w:rPr>
                <w:rFonts w:ascii="宋体" w:hAnsi="宋体"/>
                <w:szCs w:val="21"/>
              </w:rPr>
            </w:pPr>
          </w:p>
        </w:tc>
      </w:tr>
    </w:tbl>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cs="MingLiU"/>
          <w:snapToGrid w:val="0"/>
          <w:w w:val="200"/>
          <w:kern w:val="0"/>
          <w:szCs w:val="21"/>
          <w:u w:val="single"/>
        </w:rPr>
      </w:pPr>
      <w:r>
        <w:rPr>
          <w:rFonts w:ascii="宋体" w:hAnsi="宋体"/>
          <w:snapToGrid w:val="0"/>
          <w:kern w:val="0"/>
          <w:szCs w:val="21"/>
        </w:rPr>
        <w:t>招标人代表：</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监标人：</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记录人：</w:t>
      </w:r>
      <w:r>
        <w:rPr>
          <w:rFonts w:hint="eastAsia" w:ascii="宋体" w:hAnsi="宋体" w:cs="MingLiU"/>
          <w:snapToGrid w:val="0"/>
          <w:w w:val="200"/>
          <w:kern w:val="0"/>
          <w:szCs w:val="21"/>
          <w:u w:val="single"/>
        </w:rPr>
        <w:t xml:space="preserve">      </w:t>
      </w:r>
    </w:p>
    <w:p>
      <w:pPr>
        <w:pStyle w:val="2"/>
        <w:jc w:val="right"/>
      </w:pPr>
      <w:r>
        <w:rPr>
          <w:rFonts w:ascii="宋体" w:hAnsi="宋体"/>
          <w:snapToGrid w:val="0"/>
          <w:kern w:val="0"/>
          <w:sz w:val="24"/>
          <w:u w:val="single"/>
        </w:rPr>
        <w:t xml:space="preserve">       </w:t>
      </w:r>
      <w:r>
        <w:rPr>
          <w:rFonts w:ascii="宋体" w:hAnsi="宋体"/>
          <w:snapToGrid w:val="0"/>
          <w:kern w:val="0"/>
          <w:sz w:val="24"/>
        </w:rPr>
        <w:t>年</w:t>
      </w:r>
      <w:r>
        <w:rPr>
          <w:rFonts w:ascii="宋体" w:hAnsi="宋体"/>
          <w:snapToGrid w:val="0"/>
          <w:kern w:val="0"/>
          <w:sz w:val="24"/>
          <w:u w:val="single"/>
        </w:rPr>
        <w:t xml:space="preserve">     </w:t>
      </w:r>
      <w:r>
        <w:rPr>
          <w:rFonts w:ascii="宋体" w:hAnsi="宋体"/>
          <w:snapToGrid w:val="0"/>
          <w:kern w:val="0"/>
          <w:sz w:val="24"/>
        </w:rPr>
        <w:t>月</w:t>
      </w:r>
      <w:r>
        <w:rPr>
          <w:rFonts w:ascii="宋体" w:hAnsi="宋体"/>
          <w:snapToGrid w:val="0"/>
          <w:kern w:val="0"/>
          <w:sz w:val="24"/>
          <w:u w:val="single"/>
        </w:rPr>
        <w:t xml:space="preserve">    </w:t>
      </w:r>
      <w:r>
        <w:rPr>
          <w:rFonts w:ascii="宋体" w:hAnsi="宋体"/>
          <w:snapToGrid w:val="0"/>
          <w:kern w:val="0"/>
          <w:sz w:val="24"/>
        </w:rPr>
        <w:t>日</w:t>
      </w:r>
    </w:p>
    <w:p>
      <w:pPr>
        <w:autoSpaceDE w:val="0"/>
        <w:autoSpaceDN w:val="0"/>
        <w:adjustRightInd w:val="0"/>
        <w:snapToGrid w:val="0"/>
        <w:spacing w:before="62" w:beforeLines="20" w:line="360" w:lineRule="auto"/>
        <w:rPr>
          <w:rFonts w:ascii="宋体" w:hAnsi="宋体"/>
          <w:snapToGrid w:val="0"/>
          <w:kern w:val="0"/>
          <w:sz w:val="24"/>
        </w:rPr>
        <w:sectPr>
          <w:pgSz w:w="16838" w:h="11906" w:orient="landscape"/>
          <w:pgMar w:top="1304" w:right="1304" w:bottom="1134" w:left="1304" w:header="851" w:footer="992" w:gutter="0"/>
          <w:cols w:space="720" w:num="1"/>
          <w:docGrid w:type="lines" w:linePitch="312" w:charSpace="0"/>
        </w:sectPr>
      </w:pPr>
    </w:p>
    <w:p>
      <w:pPr>
        <w:autoSpaceDE w:val="0"/>
        <w:autoSpaceDN w:val="0"/>
        <w:adjustRightInd w:val="0"/>
        <w:snapToGrid w:val="0"/>
        <w:spacing w:before="62" w:beforeLines="20" w:line="360" w:lineRule="auto"/>
        <w:jc w:val="right"/>
        <w:rPr>
          <w:rFonts w:ascii="宋体" w:hAnsi="宋体"/>
          <w:snapToGrid w:val="0"/>
          <w:kern w:val="0"/>
          <w:sz w:val="24"/>
        </w:rPr>
      </w:pP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t>附表</w:t>
      </w:r>
      <w:r>
        <w:rPr>
          <w:rFonts w:hint="eastAsia" w:ascii="宋体" w:hAnsi="宋体"/>
          <w:b/>
          <w:snapToGrid w:val="0"/>
          <w:kern w:val="0"/>
        </w:rPr>
        <w:t>三</w:t>
      </w:r>
      <w:r>
        <w:rPr>
          <w:rFonts w:ascii="宋体" w:hAnsi="宋体"/>
          <w:b/>
          <w:snapToGrid w:val="0"/>
          <w:kern w:val="0"/>
        </w:rPr>
        <w:t>：问题澄清通知</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jc w:val="center"/>
        <w:rPr>
          <w:rFonts w:ascii="宋体" w:hAnsi="宋体"/>
          <w:b/>
          <w:snapToGrid w:val="0"/>
          <w:w w:val="99"/>
          <w:kern w:val="0"/>
          <w:sz w:val="32"/>
          <w:szCs w:val="32"/>
        </w:rPr>
      </w:pPr>
      <w:r>
        <w:rPr>
          <w:rFonts w:hint="eastAsia" w:ascii="宋体" w:hAnsi="宋体"/>
          <w:b/>
          <w:snapToGrid w:val="0"/>
          <w:w w:val="99"/>
          <w:kern w:val="0"/>
          <w:sz w:val="32"/>
          <w:szCs w:val="32"/>
        </w:rPr>
        <w:t>问题澄清通知</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ind w:firstLine="3255" w:firstLineChars="1550"/>
        <w:jc w:val="left"/>
        <w:rPr>
          <w:rFonts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rPr>
          <w:rFonts w:ascii="宋体" w:hAnsi="宋体"/>
          <w:snapToGrid w:val="0"/>
          <w:kern w:val="0"/>
          <w:sz w:val="28"/>
          <w:szCs w:val="28"/>
        </w:rPr>
      </w:pPr>
    </w:p>
    <w:p>
      <w:pPr>
        <w:tabs>
          <w:tab w:val="left" w:pos="158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（投标人名称）</w:t>
      </w:r>
      <w:r>
        <w:rPr>
          <w:rFonts w:ascii="宋体" w:hAnsi="宋体"/>
          <w:snapToGrid w:val="0"/>
          <w:kern w:val="0"/>
          <w:szCs w:val="21"/>
        </w:rPr>
        <w:t>：</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ascii="宋体" w:hAnsi="宋体"/>
          <w:snapToGrid w:val="0"/>
          <w:kern w:val="0"/>
          <w:szCs w:val="21"/>
        </w:rPr>
        <w:t>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snapToGrid w:val="0"/>
          <w:kern w:val="0"/>
          <w:sz w:val="24"/>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20"/>
          <w:szCs w:val="20"/>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snapToGrid w:val="0"/>
          <w:kern w:val="0"/>
          <w:szCs w:val="21"/>
        </w:rPr>
      </w:pPr>
      <w:r>
        <w:rPr>
          <w:rFonts w:ascii="宋体" w:hAnsi="宋体"/>
          <w:snapToGrid w:val="0"/>
          <w:kern w:val="0"/>
          <w:szCs w:val="21"/>
        </w:rPr>
        <w:t>请将上述问题的澄清于</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u w:val="single"/>
        </w:rPr>
        <w:t xml:space="preserve">     </w:t>
      </w:r>
      <w:r>
        <w:rPr>
          <w:rFonts w:ascii="宋体" w:hAnsi="宋体"/>
          <w:snapToGrid w:val="0"/>
          <w:kern w:val="0"/>
          <w:szCs w:val="21"/>
        </w:rPr>
        <w:t>时前</w:t>
      </w:r>
      <w:r>
        <w:rPr>
          <w:rFonts w:hint="eastAsia" w:ascii="宋体" w:hAnsi="宋体"/>
          <w:snapToGrid w:val="0"/>
          <w:kern w:val="0"/>
          <w:szCs w:val="21"/>
        </w:rPr>
        <w:t>通过重庆市电子招投标系统提交</w:t>
      </w: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20"/>
          <w:szCs w:val="20"/>
        </w:rPr>
      </w:pPr>
    </w:p>
    <w:p>
      <w:pPr>
        <w:tabs>
          <w:tab w:val="left" w:pos="6400"/>
        </w:tabs>
        <w:autoSpaceDE w:val="0"/>
        <w:autoSpaceDN w:val="0"/>
        <w:adjustRightInd w:val="0"/>
        <w:snapToGrid w:val="0"/>
        <w:spacing w:line="360" w:lineRule="auto"/>
        <w:jc w:val="right"/>
        <w:rPr>
          <w:rFonts w:ascii="宋体" w:hAnsi="宋体"/>
          <w:snapToGrid w:val="0"/>
          <w:kern w:val="0"/>
          <w:szCs w:val="21"/>
        </w:rPr>
      </w:pPr>
      <w:r>
        <w:rPr>
          <w:rFonts w:ascii="宋体" w:hAnsi="宋体"/>
          <w:snapToGrid w:val="0"/>
          <w:kern w:val="0"/>
          <w:szCs w:val="21"/>
        </w:rPr>
        <w:t xml:space="preserve">                             评标委员会：</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w:t>
      </w:r>
    </w:p>
    <w:p>
      <w:pPr>
        <w:pStyle w:val="2"/>
        <w:jc w:val="right"/>
        <w:rPr>
          <w:i/>
        </w:rPr>
      </w:pPr>
      <w:r>
        <w:rPr>
          <w:rFonts w:hint="eastAsia"/>
          <w:i/>
        </w:rPr>
        <w:t>[提示：重庆市电子招投标系统应实现投标人接收端口签名隐藏显示功能]</w:t>
      </w:r>
    </w:p>
    <w:p>
      <w:pPr>
        <w:tabs>
          <w:tab w:val="left" w:pos="6400"/>
        </w:tabs>
        <w:autoSpaceDE w:val="0"/>
        <w:autoSpaceDN w:val="0"/>
        <w:adjustRightInd w:val="0"/>
        <w:snapToGrid w:val="0"/>
        <w:spacing w:line="360" w:lineRule="auto"/>
        <w:ind w:right="120"/>
        <w:jc w:val="right"/>
        <w:rPr>
          <w:rFonts w:ascii="宋体" w:hAnsi="宋体"/>
          <w:snapToGrid w:val="0"/>
          <w:kern w:val="0"/>
          <w:sz w:val="24"/>
        </w:rPr>
      </w:pPr>
      <w:r>
        <w:rPr>
          <w:rFonts w:ascii="宋体" w:hAnsi="宋体"/>
          <w:snapToGrid w:val="0"/>
          <w:kern w:val="0"/>
          <w:sz w:val="24"/>
        </w:rPr>
        <w:t xml:space="preserve"> </w:t>
      </w:r>
    </w:p>
    <w:p>
      <w:pPr>
        <w:autoSpaceDE w:val="0"/>
        <w:autoSpaceDN w:val="0"/>
        <w:adjustRightInd w:val="0"/>
        <w:snapToGrid w:val="0"/>
        <w:spacing w:line="360" w:lineRule="auto"/>
        <w:ind w:firstLine="315" w:firstLineChars="150"/>
        <w:jc w:val="right"/>
        <w:rPr>
          <w:rFonts w:ascii="宋体" w:hAnsi="宋体"/>
          <w:snapToGrid w:val="0"/>
          <w:kern w:val="0"/>
          <w:szCs w:val="21"/>
        </w:rPr>
      </w:pPr>
      <w:r>
        <w:rPr>
          <w:rFonts w:ascii="宋体" w:hAnsi="宋体"/>
          <w:snapToGrid w:val="0"/>
          <w:kern w:val="0"/>
          <w:szCs w:val="21"/>
        </w:rPr>
        <w:t xml:space="preserve">                            </w:t>
      </w:r>
    </w:p>
    <w:p>
      <w:pPr>
        <w:wordWrap w:val="0"/>
        <w:autoSpaceDE w:val="0"/>
        <w:autoSpaceDN w:val="0"/>
        <w:adjustRightInd w:val="0"/>
        <w:snapToGrid w:val="0"/>
        <w:spacing w:line="360" w:lineRule="auto"/>
        <w:ind w:firstLine="850" w:firstLineChars="405"/>
        <w:jc w:val="right"/>
        <w:rPr>
          <w:rFonts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sz w:val="24"/>
        </w:rPr>
        <w:br w:type="page"/>
      </w:r>
      <w:r>
        <w:rPr>
          <w:rFonts w:ascii="宋体" w:hAnsi="宋体"/>
          <w:b/>
          <w:snapToGrid w:val="0"/>
          <w:kern w:val="0"/>
        </w:rPr>
        <w:t>附表</w:t>
      </w:r>
      <w:r>
        <w:rPr>
          <w:rFonts w:hint="eastAsia" w:ascii="宋体" w:hAnsi="宋体"/>
          <w:b/>
          <w:snapToGrid w:val="0"/>
          <w:kern w:val="0"/>
        </w:rPr>
        <w:t>四</w:t>
      </w:r>
      <w:r>
        <w:rPr>
          <w:rFonts w:ascii="宋体" w:hAnsi="宋体"/>
          <w:b/>
          <w:snapToGrid w:val="0"/>
          <w:kern w:val="0"/>
        </w:rPr>
        <w:t>：问题的澄清</w:t>
      </w:r>
    </w:p>
    <w:p>
      <w:pPr>
        <w:autoSpaceDE w:val="0"/>
        <w:autoSpaceDN w:val="0"/>
        <w:adjustRightInd w:val="0"/>
        <w:snapToGrid w:val="0"/>
        <w:spacing w:line="360" w:lineRule="auto"/>
        <w:jc w:val="left"/>
        <w:rPr>
          <w:rFonts w:ascii="宋体" w:hAnsi="宋体"/>
          <w:b/>
          <w:snapToGrid w:val="0"/>
          <w:kern w:val="0"/>
          <w:sz w:val="10"/>
          <w:szCs w:val="10"/>
        </w:rPr>
      </w:pPr>
    </w:p>
    <w:p>
      <w:pPr>
        <w:autoSpaceDE w:val="0"/>
        <w:autoSpaceDN w:val="0"/>
        <w:adjustRightInd w:val="0"/>
        <w:snapToGrid w:val="0"/>
        <w:spacing w:line="360" w:lineRule="auto"/>
        <w:jc w:val="center"/>
        <w:rPr>
          <w:rFonts w:ascii="宋体" w:hAnsi="宋体"/>
          <w:b/>
          <w:snapToGrid w:val="0"/>
          <w:kern w:val="0"/>
          <w:sz w:val="32"/>
          <w:szCs w:val="32"/>
        </w:rPr>
      </w:pPr>
      <w:r>
        <w:rPr>
          <w:rFonts w:ascii="宋体" w:hAnsi="宋体"/>
          <w:b/>
          <w:snapToGrid w:val="0"/>
          <w:w w:val="99"/>
          <w:kern w:val="0"/>
          <w:sz w:val="32"/>
          <w:szCs w:val="32"/>
        </w:rPr>
        <w:t>问题的澄清</w:t>
      </w:r>
    </w:p>
    <w:p>
      <w:pPr>
        <w:autoSpaceDE w:val="0"/>
        <w:autoSpaceDN w:val="0"/>
        <w:adjustRightInd w:val="0"/>
        <w:snapToGrid w:val="0"/>
        <w:spacing w:line="360" w:lineRule="auto"/>
        <w:ind w:firstLine="3255" w:firstLineChars="1550"/>
        <w:jc w:val="left"/>
        <w:rPr>
          <w:rFonts w:ascii="宋体" w:hAnsi="宋体"/>
          <w:snapToGrid w:val="0"/>
          <w:kern w:val="0"/>
          <w:szCs w:val="21"/>
        </w:rPr>
      </w:pPr>
    </w:p>
    <w:p>
      <w:pPr>
        <w:autoSpaceDE w:val="0"/>
        <w:autoSpaceDN w:val="0"/>
        <w:adjustRightInd w:val="0"/>
        <w:snapToGrid w:val="0"/>
        <w:spacing w:line="360" w:lineRule="auto"/>
        <w:ind w:firstLine="3255" w:firstLineChars="1550"/>
        <w:jc w:val="left"/>
        <w:rPr>
          <w:rFonts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pPr>
        <w:autoSpaceDE w:val="0"/>
        <w:autoSpaceDN w:val="0"/>
        <w:adjustRightInd w:val="0"/>
        <w:snapToGrid w:val="0"/>
        <w:spacing w:line="360" w:lineRule="auto"/>
        <w:ind w:firstLine="3150" w:firstLineChars="1500"/>
        <w:rPr>
          <w:rFonts w:ascii="宋体" w:hAnsi="宋体"/>
          <w:snapToGrid w:val="0"/>
          <w:kern w:val="0"/>
          <w:szCs w:val="21"/>
        </w:rPr>
      </w:pPr>
    </w:p>
    <w:p>
      <w:pPr>
        <w:autoSpaceDE w:val="0"/>
        <w:autoSpaceDN w:val="0"/>
        <w:adjustRightInd w:val="0"/>
        <w:snapToGrid w:val="0"/>
        <w:spacing w:line="360" w:lineRule="auto"/>
        <w:ind w:firstLine="3150" w:firstLineChars="1500"/>
        <w:rPr>
          <w:rFonts w:ascii="宋体" w:hAnsi="宋体"/>
          <w:snapToGrid w:val="0"/>
          <w:kern w:val="0"/>
          <w:szCs w:val="21"/>
        </w:rPr>
      </w:pPr>
    </w:p>
    <w:p>
      <w:pPr>
        <w:tabs>
          <w:tab w:val="left" w:pos="735"/>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u w:val="single"/>
        </w:rPr>
        <w:t xml:space="preserve">    </w:t>
      </w:r>
      <w:r>
        <w:rPr>
          <w:rFonts w:ascii="宋体" w:hAnsi="宋体"/>
          <w:snapToGrid w:val="0"/>
          <w:kern w:val="0"/>
          <w:szCs w:val="21"/>
        </w:rPr>
        <w:t>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kern w:val="0"/>
          <w:szCs w:val="21"/>
        </w:rPr>
        <w:t>问题澄清通知（编号：</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）已收悉，现澄清如下：</w:t>
      </w:r>
    </w:p>
    <w:p>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rPr>
      </w:pPr>
    </w:p>
    <w:p>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2"/>
          <w:szCs w:val="22"/>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tabs>
          <w:tab w:val="left" w:pos="7035"/>
        </w:tabs>
        <w:autoSpaceDE w:val="0"/>
        <w:autoSpaceDN w:val="0"/>
        <w:adjustRightInd w:val="0"/>
        <w:snapToGrid w:val="0"/>
        <w:spacing w:line="480" w:lineRule="auto"/>
        <w:ind w:firstLine="2551" w:firstLineChars="1215"/>
        <w:jc w:val="right"/>
        <w:rPr>
          <w:rFonts w:ascii="宋体" w:hAnsi="宋体"/>
          <w:snapToGrid w:val="0"/>
          <w:kern w:val="0"/>
          <w:szCs w:val="21"/>
        </w:rPr>
      </w:pPr>
      <w:r>
        <w:rPr>
          <w:rFonts w:ascii="宋体" w:hAnsi="宋体"/>
          <w:snapToGrid w:val="0"/>
          <w:kern w:val="0"/>
          <w:szCs w:val="21"/>
        </w:rPr>
        <w:t>投标人：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或盖章）</w:t>
      </w:r>
    </w:p>
    <w:p>
      <w:pPr>
        <w:autoSpaceDE w:val="0"/>
        <w:autoSpaceDN w:val="0"/>
        <w:adjustRightInd w:val="0"/>
        <w:snapToGrid w:val="0"/>
        <w:spacing w:line="360" w:lineRule="auto"/>
        <w:jc w:val="right"/>
        <w:rPr>
          <w:rFonts w:ascii="宋体" w:hAnsi="宋体"/>
          <w:snapToGrid w:val="0"/>
          <w:kern w:val="0"/>
          <w:sz w:val="20"/>
          <w:szCs w:val="20"/>
        </w:rPr>
      </w:pPr>
    </w:p>
    <w:p>
      <w:pPr>
        <w:wordWrap w:val="0"/>
        <w:autoSpaceDE w:val="0"/>
        <w:autoSpaceDN w:val="0"/>
        <w:adjustRightInd w:val="0"/>
        <w:snapToGrid w:val="0"/>
        <w:spacing w:line="360" w:lineRule="auto"/>
        <w:ind w:firstLine="315" w:firstLineChars="150"/>
        <w:jc w:val="right"/>
        <w:rPr>
          <w:rFonts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jc w:val="left"/>
        <w:rPr>
          <w:rFonts w:ascii="宋体" w:hAnsi="宋体"/>
          <w:snapToGrid w:val="0"/>
          <w:kern w:val="0"/>
          <w:sz w:val="20"/>
          <w:szCs w:val="20"/>
        </w:rPr>
      </w:pPr>
      <w:r>
        <w:rPr>
          <w:rFonts w:ascii="宋体" w:hAnsi="宋体"/>
          <w:b/>
          <w:snapToGrid w:val="0"/>
          <w:kern w:val="0"/>
        </w:rPr>
        <w:t>附表</w:t>
      </w:r>
      <w:r>
        <w:rPr>
          <w:rFonts w:hint="eastAsia" w:ascii="宋体" w:hAnsi="宋体"/>
          <w:b/>
          <w:snapToGrid w:val="0"/>
          <w:kern w:val="0"/>
        </w:rPr>
        <w:t>五</w:t>
      </w:r>
      <w:r>
        <w:rPr>
          <w:rFonts w:ascii="宋体" w:hAnsi="宋体"/>
          <w:b/>
          <w:snapToGrid w:val="0"/>
          <w:kern w:val="0"/>
        </w:rPr>
        <w:t>：中标通知书</w:t>
      </w:r>
    </w:p>
    <w:p>
      <w:pPr>
        <w:autoSpaceDE w:val="0"/>
        <w:autoSpaceDN w:val="0"/>
        <w:adjustRightInd w:val="0"/>
        <w:spacing w:line="360" w:lineRule="auto"/>
        <w:jc w:val="left"/>
        <w:rPr>
          <w:rFonts w:ascii="宋体" w:hAnsi="宋体"/>
          <w:snapToGrid w:val="0"/>
          <w:kern w:val="0"/>
          <w:sz w:val="20"/>
          <w:szCs w:val="20"/>
        </w:rPr>
      </w:pPr>
    </w:p>
    <w:p>
      <w:pPr>
        <w:autoSpaceDE w:val="0"/>
        <w:autoSpaceDN w:val="0"/>
        <w:adjustRightInd w:val="0"/>
        <w:spacing w:line="360" w:lineRule="auto"/>
        <w:jc w:val="left"/>
        <w:rPr>
          <w:rFonts w:ascii="宋体" w:hAnsi="宋体"/>
          <w:snapToGrid w:val="0"/>
          <w:kern w:val="0"/>
          <w:sz w:val="20"/>
          <w:szCs w:val="20"/>
        </w:rPr>
      </w:pPr>
    </w:p>
    <w:p>
      <w:pPr>
        <w:autoSpaceDE w:val="0"/>
        <w:autoSpaceDN w:val="0"/>
        <w:adjustRightIn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center"/>
        <w:rPr>
          <w:rFonts w:ascii="宋体" w:hAnsi="宋体"/>
          <w:b/>
          <w:snapToGrid w:val="0"/>
          <w:w w:val="99"/>
          <w:kern w:val="0"/>
          <w:sz w:val="32"/>
          <w:szCs w:val="32"/>
        </w:rPr>
      </w:pPr>
      <w:r>
        <w:rPr>
          <w:rFonts w:hint="eastAsia" w:ascii="宋体" w:hAnsi="宋体"/>
          <w:b/>
          <w:snapToGrid w:val="0"/>
          <w:w w:val="99"/>
          <w:kern w:val="0"/>
          <w:sz w:val="32"/>
          <w:szCs w:val="32"/>
        </w:rPr>
        <w:t>重庆市建设工程中标通知书</w:t>
      </w:r>
    </w:p>
    <w:p>
      <w:pPr>
        <w:spacing w:line="360" w:lineRule="auto"/>
        <w:rPr>
          <w:rFonts w:ascii="宋体" w:hAnsi="宋体"/>
          <w:bCs/>
          <w:kern w:val="0"/>
          <w:szCs w:val="21"/>
          <w:u w:val="single"/>
        </w:rPr>
      </w:pPr>
      <w:r>
        <w:rPr>
          <w:rFonts w:ascii="宋体" w:hAnsi="宋体"/>
          <w:bCs/>
          <w:kern w:val="0"/>
          <w:szCs w:val="21"/>
          <w:u w:val="single"/>
        </w:rPr>
        <w:t xml:space="preserve">       </w:t>
      </w:r>
      <w:r>
        <w:rPr>
          <w:rFonts w:ascii="宋体" w:hAnsi="宋体"/>
          <w:kern w:val="0"/>
          <w:szCs w:val="21"/>
          <w:u w:val="single"/>
        </w:rPr>
        <w:t>中标单位</w:t>
      </w:r>
      <w:r>
        <w:rPr>
          <w:rFonts w:ascii="宋体" w:hAnsi="宋体"/>
          <w:bCs/>
          <w:kern w:val="0"/>
          <w:szCs w:val="21"/>
          <w:u w:val="single"/>
        </w:rPr>
        <w:t xml:space="preserve">               </w:t>
      </w:r>
      <w:r>
        <w:rPr>
          <w:rFonts w:ascii="宋体" w:hAnsi="宋体"/>
          <w:bCs/>
          <w:kern w:val="0"/>
          <w:szCs w:val="21"/>
        </w:rPr>
        <w:t>：</w:t>
      </w:r>
    </w:p>
    <w:p>
      <w:pPr>
        <w:spacing w:line="360" w:lineRule="auto"/>
        <w:ind w:firstLine="420" w:firstLineChars="200"/>
        <w:rPr>
          <w:rFonts w:ascii="宋体" w:hAnsi="宋体"/>
          <w:kern w:val="0"/>
          <w:szCs w:val="21"/>
        </w:rPr>
      </w:pPr>
      <w:r>
        <w:rPr>
          <w:rFonts w:ascii="宋体" w:hAnsi="宋体"/>
          <w:kern w:val="0"/>
          <w:szCs w:val="21"/>
        </w:rPr>
        <w:t xml:space="preserve">我单位拟建的 </w:t>
      </w:r>
      <w:r>
        <w:rPr>
          <w:rFonts w:ascii="宋体" w:hAnsi="宋体"/>
          <w:bCs/>
          <w:kern w:val="0"/>
          <w:szCs w:val="21"/>
          <w:u w:val="single"/>
        </w:rPr>
        <w:t xml:space="preserve">   </w:t>
      </w:r>
      <w:r>
        <w:rPr>
          <w:rFonts w:hint="eastAsia" w:ascii="宋体" w:hAnsi="宋体"/>
          <w:bCs/>
          <w:kern w:val="0"/>
          <w:szCs w:val="21"/>
          <w:u w:val="single"/>
        </w:rPr>
        <w:t>（项目名称）</w:t>
      </w:r>
      <w:r>
        <w:rPr>
          <w:rFonts w:ascii="宋体" w:hAnsi="宋体"/>
          <w:bCs/>
          <w:kern w:val="0"/>
          <w:szCs w:val="21"/>
          <w:u w:val="single"/>
        </w:rPr>
        <w:t xml:space="preserve">    </w:t>
      </w:r>
      <w:r>
        <w:rPr>
          <w:rFonts w:ascii="宋体" w:hAnsi="宋体"/>
          <w:kern w:val="0"/>
          <w:szCs w:val="21"/>
        </w:rPr>
        <w:t>于</w:t>
      </w:r>
      <w:r>
        <w:rPr>
          <w:rFonts w:ascii="宋体" w:hAnsi="宋体"/>
          <w:bCs/>
          <w:kern w:val="0"/>
          <w:szCs w:val="21"/>
          <w:u w:val="single"/>
        </w:rPr>
        <w:t xml:space="preserve">    </w:t>
      </w:r>
      <w:r>
        <w:rPr>
          <w:rFonts w:ascii="宋体" w:hAnsi="宋体"/>
          <w:kern w:val="0"/>
          <w:szCs w:val="21"/>
        </w:rPr>
        <w:t>年</w:t>
      </w:r>
      <w:r>
        <w:rPr>
          <w:rFonts w:hint="eastAsia" w:ascii="宋体" w:hAnsi="宋体"/>
          <w:bCs/>
          <w:kern w:val="0"/>
          <w:szCs w:val="21"/>
          <w:u w:val="single"/>
        </w:rPr>
        <w:t xml:space="preserve">    </w:t>
      </w:r>
      <w:r>
        <w:rPr>
          <w:rFonts w:ascii="宋体" w:hAnsi="宋体"/>
          <w:kern w:val="0"/>
          <w:szCs w:val="21"/>
        </w:rPr>
        <w:t>月</w:t>
      </w:r>
      <w:r>
        <w:rPr>
          <w:rFonts w:hint="eastAsia" w:ascii="宋体" w:hAnsi="宋体"/>
          <w:bCs/>
          <w:kern w:val="0"/>
          <w:szCs w:val="21"/>
          <w:u w:val="single"/>
        </w:rPr>
        <w:t xml:space="preserve">    </w:t>
      </w:r>
      <w:r>
        <w:rPr>
          <w:rFonts w:ascii="宋体" w:hAnsi="宋体"/>
          <w:kern w:val="0"/>
          <w:szCs w:val="21"/>
        </w:rPr>
        <w:t>日开标，经评标委员会评定，确定你单位为中标人，中标额为</w:t>
      </w:r>
      <w:r>
        <w:rPr>
          <w:rFonts w:hint="eastAsia" w:ascii="宋体" w:hAnsi="宋体"/>
          <w:kern w:val="0"/>
          <w:szCs w:val="21"/>
        </w:rPr>
        <w:t>（大写）</w:t>
      </w:r>
      <w:r>
        <w:rPr>
          <w:rFonts w:hint="eastAsia" w:ascii="宋体" w:hAnsi="宋体"/>
          <w:kern w:val="0"/>
          <w:szCs w:val="21"/>
          <w:u w:val="single"/>
        </w:rPr>
        <w:t xml:space="preserve">        </w:t>
      </w:r>
      <w:r>
        <w:rPr>
          <w:rFonts w:hint="eastAsia" w:ascii="宋体" w:hAnsi="宋体"/>
          <w:kern w:val="0"/>
          <w:szCs w:val="21"/>
        </w:rPr>
        <w:t>，</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 xml:space="preserve">（其中含安全文明施工费 </w:t>
      </w:r>
      <w:r>
        <w:rPr>
          <w:rFonts w:ascii="宋体" w:hAnsi="宋体"/>
          <w:bCs/>
          <w:kern w:val="0"/>
          <w:szCs w:val="21"/>
          <w:u w:val="single"/>
        </w:rPr>
        <w:t xml:space="preserve">￥    </w:t>
      </w:r>
      <w:r>
        <w:rPr>
          <w:rFonts w:ascii="宋体" w:hAnsi="宋体"/>
          <w:kern w:val="0"/>
          <w:szCs w:val="21"/>
        </w:rPr>
        <w:t>）。中标工程范围：</w:t>
      </w:r>
      <w:r>
        <w:rPr>
          <w:rFonts w:ascii="宋体" w:hAnsi="宋体"/>
          <w:bCs/>
          <w:kern w:val="0"/>
          <w:szCs w:val="21"/>
          <w:u w:val="single"/>
        </w:rPr>
        <w:t xml:space="preserve">     </w:t>
      </w:r>
      <w:r>
        <w:rPr>
          <w:rFonts w:ascii="宋体" w:hAnsi="宋体"/>
          <w:kern w:val="0"/>
          <w:szCs w:val="21"/>
        </w:rPr>
        <w:t xml:space="preserve">，工程规模为 </w:t>
      </w:r>
      <w:r>
        <w:rPr>
          <w:rFonts w:ascii="宋体" w:hAnsi="宋体"/>
          <w:bCs/>
          <w:kern w:val="0"/>
          <w:szCs w:val="21"/>
          <w:u w:val="single"/>
        </w:rPr>
        <w:t xml:space="preserve">      </w:t>
      </w:r>
      <w:r>
        <w:rPr>
          <w:rFonts w:ascii="宋体" w:hAnsi="宋体"/>
          <w:kern w:val="0"/>
          <w:szCs w:val="21"/>
        </w:rPr>
        <w:t xml:space="preserve">，中标工期 </w:t>
      </w:r>
      <w:r>
        <w:rPr>
          <w:rFonts w:ascii="宋体" w:hAnsi="宋体"/>
          <w:bCs/>
          <w:kern w:val="0"/>
          <w:szCs w:val="21"/>
          <w:u w:val="single"/>
        </w:rPr>
        <w:t xml:space="preserve">   </w:t>
      </w:r>
      <w:r>
        <w:rPr>
          <w:rFonts w:ascii="宋体" w:hAnsi="宋体"/>
          <w:kern w:val="0"/>
          <w:szCs w:val="21"/>
          <w:u w:val="single"/>
        </w:rPr>
        <w:t>日历天</w:t>
      </w:r>
      <w:r>
        <w:rPr>
          <w:rFonts w:ascii="宋体" w:hAnsi="宋体"/>
          <w:kern w:val="0"/>
          <w:szCs w:val="21"/>
        </w:rPr>
        <w:t>，工程质量达到国家施工验收规范标准。 项目经理由</w:t>
      </w:r>
    </w:p>
    <w:p>
      <w:pPr>
        <w:spacing w:line="360" w:lineRule="auto"/>
        <w:ind w:firstLine="0" w:firstLineChars="0"/>
        <w:rPr>
          <w:rFonts w:ascii="宋体" w:hAnsi="宋体"/>
          <w:kern w:val="0"/>
          <w:szCs w:val="21"/>
        </w:rPr>
      </w:pP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担任。</w:t>
      </w:r>
    </w:p>
    <w:p>
      <w:pPr>
        <w:spacing w:line="360" w:lineRule="auto"/>
        <w:ind w:firstLine="420" w:firstLineChars="200"/>
        <w:rPr>
          <w:rFonts w:ascii="宋体" w:hAnsi="宋体"/>
          <w:kern w:val="0"/>
          <w:szCs w:val="21"/>
        </w:rPr>
      </w:pPr>
      <w:r>
        <w:rPr>
          <w:rFonts w:ascii="宋体" w:hAnsi="宋体"/>
          <w:kern w:val="0"/>
          <w:szCs w:val="21"/>
        </w:rPr>
        <w:t xml:space="preserve">你单位收到中标通知书后，在 </w:t>
      </w:r>
      <w:r>
        <w:rPr>
          <w:rFonts w:ascii="宋体" w:hAnsi="宋体"/>
          <w:bCs/>
          <w:kern w:val="0"/>
          <w:szCs w:val="21"/>
          <w:u w:val="single"/>
        </w:rPr>
        <w:t xml:space="preserve"> </w:t>
      </w:r>
      <w:r>
        <w:rPr>
          <w:rFonts w:hint="eastAsia" w:ascii="宋体" w:hAnsi="宋体"/>
          <w:bCs/>
          <w:kern w:val="0"/>
          <w:szCs w:val="21"/>
          <w:u w:val="single"/>
        </w:rPr>
        <w:t xml:space="preserve">      </w:t>
      </w:r>
      <w:r>
        <w:rPr>
          <w:rFonts w:ascii="宋体" w:hAnsi="宋体"/>
          <w:bCs/>
          <w:kern w:val="0"/>
          <w:szCs w:val="21"/>
          <w:u w:val="single"/>
        </w:rPr>
        <w:t xml:space="preserve">   </w:t>
      </w:r>
      <w:r>
        <w:rPr>
          <w:rFonts w:ascii="宋体" w:hAnsi="宋体"/>
          <w:kern w:val="0"/>
          <w:szCs w:val="21"/>
        </w:rPr>
        <w:t>日内到我单位签订承发包合同。</w:t>
      </w:r>
      <w:r>
        <w:rPr>
          <w:szCs w:val="21"/>
        </w:rPr>
        <w:t>在此之前按招标文件第二章</w:t>
      </w:r>
      <w:r>
        <w:rPr>
          <w:rFonts w:hint="eastAsia"/>
          <w:szCs w:val="21"/>
        </w:rPr>
        <w:t>“</w:t>
      </w:r>
      <w:r>
        <w:rPr>
          <w:szCs w:val="21"/>
        </w:rPr>
        <w:t>投标人须知</w:t>
      </w:r>
      <w:r>
        <w:rPr>
          <w:rFonts w:hint="eastAsia"/>
          <w:szCs w:val="21"/>
        </w:rPr>
        <w:t>”</w:t>
      </w:r>
      <w:r>
        <w:rPr>
          <w:szCs w:val="21"/>
        </w:rPr>
        <w:t>第7.</w:t>
      </w:r>
      <w:r>
        <w:rPr>
          <w:rFonts w:hint="eastAsia"/>
          <w:szCs w:val="21"/>
        </w:rPr>
        <w:t>3</w:t>
      </w:r>
      <w:r>
        <w:rPr>
          <w:szCs w:val="21"/>
        </w:rPr>
        <w:t>款规定向我方提交履约担保。</w:t>
      </w:r>
    </w:p>
    <w:p>
      <w:pPr>
        <w:spacing w:line="360" w:lineRule="auto"/>
        <w:ind w:firstLine="420" w:firstLineChars="200"/>
        <w:rPr>
          <w:rFonts w:ascii="宋体" w:hAnsi="宋体"/>
          <w:kern w:val="0"/>
          <w:szCs w:val="21"/>
        </w:rPr>
      </w:pPr>
      <w:r>
        <w:rPr>
          <w:rFonts w:ascii="宋体" w:hAnsi="宋体"/>
          <w:kern w:val="0"/>
          <w:szCs w:val="21"/>
        </w:rPr>
        <w:t>特此通知。</w:t>
      </w:r>
    </w:p>
    <w:p>
      <w:pPr>
        <w:spacing w:line="480" w:lineRule="auto"/>
        <w:rPr>
          <w:rFonts w:ascii="宋体" w:hAnsi="宋体"/>
          <w:kern w:val="0"/>
          <w:sz w:val="24"/>
        </w:rPr>
      </w:pPr>
    </w:p>
    <w:p>
      <w:pPr>
        <w:spacing w:line="480" w:lineRule="auto"/>
        <w:rPr>
          <w:rFonts w:ascii="宋体" w:hAnsi="宋体"/>
          <w:kern w:val="0"/>
          <w:sz w:val="24"/>
        </w:rPr>
      </w:pPr>
    </w:p>
    <w:p>
      <w:pPr>
        <w:spacing w:line="480" w:lineRule="auto"/>
        <w:rPr>
          <w:rFonts w:ascii="宋体" w:hAnsi="宋体"/>
          <w:kern w:val="0"/>
          <w:sz w:val="24"/>
        </w:rPr>
      </w:pPr>
    </w:p>
    <w:p>
      <w:pPr>
        <w:spacing w:line="480" w:lineRule="auto"/>
        <w:jc w:val="left"/>
        <w:rPr>
          <w:rFonts w:ascii="宋体" w:hAnsi="宋体"/>
          <w:kern w:val="0"/>
          <w:szCs w:val="21"/>
        </w:rPr>
      </w:pPr>
      <w:r>
        <w:rPr>
          <w:rFonts w:ascii="宋体" w:hAnsi="宋体"/>
          <w:kern w:val="0"/>
          <w:sz w:val="24"/>
        </w:rPr>
        <w:t xml:space="preserve">                                </w:t>
      </w:r>
      <w:r>
        <w:rPr>
          <w:rFonts w:ascii="宋体" w:hAnsi="宋体"/>
          <w:kern w:val="0"/>
          <w:szCs w:val="21"/>
        </w:rPr>
        <w:t>招标人</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w:t>
      </w:r>
      <w:r>
        <w:rPr>
          <w:rFonts w:ascii="宋体" w:hAnsi="宋体"/>
          <w:snapToGrid w:val="0"/>
          <w:kern w:val="0"/>
          <w:szCs w:val="21"/>
        </w:rPr>
        <w:t>盖单位法人章</w:t>
      </w:r>
      <w:r>
        <w:rPr>
          <w:rFonts w:ascii="宋体" w:hAnsi="宋体"/>
          <w:kern w:val="0"/>
          <w:szCs w:val="21"/>
        </w:rPr>
        <w:t>）</w:t>
      </w:r>
    </w:p>
    <w:p>
      <w:pPr>
        <w:spacing w:line="480" w:lineRule="auto"/>
        <w:jc w:val="left"/>
        <w:rPr>
          <w:rFonts w:ascii="宋体" w:hAnsi="宋体"/>
          <w:kern w:val="0"/>
          <w:szCs w:val="21"/>
        </w:rPr>
      </w:pP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法定代表人</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spacing w:line="480" w:lineRule="auto"/>
        <w:jc w:val="left"/>
        <w:rPr>
          <w:rFonts w:ascii="宋体" w:hAnsi="宋体"/>
          <w:kern w:val="0"/>
          <w:szCs w:val="21"/>
          <w:u w:val="single"/>
        </w:rPr>
      </w:pP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联系人</w:t>
      </w:r>
      <w:r>
        <w:rPr>
          <w:rFonts w:ascii="宋体" w:hAnsi="宋体"/>
          <w:snapToGrid w:val="0"/>
          <w:kern w:val="0"/>
          <w:szCs w:val="21"/>
        </w:rPr>
        <w:t>：</w:t>
      </w:r>
      <w:r>
        <w:rPr>
          <w:rFonts w:ascii="宋体" w:hAnsi="宋体"/>
          <w:kern w:val="0"/>
          <w:szCs w:val="21"/>
          <w:u w:val="single"/>
        </w:rPr>
        <w:t xml:space="preserve">                          </w:t>
      </w:r>
    </w:p>
    <w:p>
      <w:pPr>
        <w:spacing w:line="480" w:lineRule="auto"/>
        <w:jc w:val="left"/>
        <w:rPr>
          <w:rFonts w:ascii="宋体" w:hAnsi="宋体"/>
          <w:kern w:val="0"/>
          <w:szCs w:val="21"/>
        </w:rPr>
      </w:pP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联系电话</w:t>
      </w:r>
      <w:r>
        <w:rPr>
          <w:rFonts w:ascii="宋体" w:hAnsi="宋体"/>
          <w:snapToGrid w:val="0"/>
          <w:kern w:val="0"/>
          <w:szCs w:val="21"/>
        </w:rPr>
        <w:t>：</w:t>
      </w:r>
      <w:r>
        <w:rPr>
          <w:rFonts w:ascii="宋体" w:hAnsi="宋体"/>
          <w:kern w:val="0"/>
          <w:szCs w:val="21"/>
          <w:u w:val="single"/>
        </w:rPr>
        <w:t xml:space="preserve">                        </w:t>
      </w:r>
    </w:p>
    <w:p>
      <w:pPr>
        <w:spacing w:line="480" w:lineRule="auto"/>
        <w:jc w:val="right"/>
        <w:rPr>
          <w:rFonts w:ascii="宋体" w:hAnsi="宋体"/>
          <w:kern w:val="0"/>
          <w:szCs w:val="21"/>
        </w:rPr>
      </w:pPr>
    </w:p>
    <w:p>
      <w:pPr>
        <w:spacing w:line="480" w:lineRule="auto"/>
        <w:jc w:val="right"/>
        <w:rPr>
          <w:rFonts w:ascii="宋体" w:hAnsi="宋体"/>
          <w:kern w:val="0"/>
          <w:szCs w:val="21"/>
        </w:rPr>
      </w:pPr>
    </w:p>
    <w:p>
      <w:pPr>
        <w:spacing w:line="480" w:lineRule="auto"/>
        <w:jc w:val="right"/>
        <w:rPr>
          <w:rFonts w:ascii="宋体" w:hAnsi="宋体"/>
          <w:kern w:val="0"/>
          <w:sz w:val="24"/>
        </w:rPr>
      </w:pPr>
      <w:r>
        <w:rPr>
          <w:rFonts w:ascii="宋体" w:hAnsi="宋体"/>
          <w:kern w:val="0"/>
          <w:szCs w:val="21"/>
        </w:rPr>
        <w:t xml:space="preserve">                   签发日期</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w:t>
      </w:r>
    </w:p>
    <w:p>
      <w:pPr>
        <w:pStyle w:val="3"/>
        <w:spacing w:line="360" w:lineRule="auto"/>
        <w:jc w:val="center"/>
        <w:rPr>
          <w:rFonts w:ascii="宋体" w:hAnsi="宋体"/>
          <w:snapToGrid w:val="0"/>
          <w:kern w:val="0"/>
        </w:rPr>
      </w:pPr>
      <w:r>
        <w:rPr>
          <w:rFonts w:ascii="宋体" w:hAnsi="宋体"/>
          <w:kern w:val="0"/>
          <w:sz w:val="24"/>
        </w:rPr>
        <w:br w:type="page"/>
      </w:r>
      <w:bookmarkStart w:id="653" w:name="_Toc32208"/>
      <w:bookmarkStart w:id="654" w:name="_Toc21744"/>
      <w:r>
        <w:rPr>
          <w:rFonts w:ascii="宋体" w:hAnsi="宋体"/>
          <w:snapToGrid w:val="0"/>
          <w:kern w:val="0"/>
        </w:rPr>
        <w:t xml:space="preserve">第三章 </w:t>
      </w:r>
      <w:r>
        <w:rPr>
          <w:rFonts w:hint="eastAsia" w:ascii="宋体" w:hAnsi="宋体"/>
          <w:snapToGrid w:val="0"/>
          <w:kern w:val="0"/>
        </w:rPr>
        <w:t xml:space="preserve"> </w:t>
      </w:r>
      <w:r>
        <w:rPr>
          <w:rFonts w:ascii="宋体" w:hAnsi="宋体"/>
          <w:snapToGrid w:val="0"/>
          <w:kern w:val="0"/>
        </w:rPr>
        <w:t>评标办法（</w:t>
      </w:r>
      <w:r>
        <w:rPr>
          <w:rFonts w:hint="eastAsia" w:ascii="宋体" w:hAnsi="宋体"/>
          <w:snapToGrid w:val="0"/>
          <w:kern w:val="0"/>
        </w:rPr>
        <w:t>经评审的最低投标价法</w:t>
      </w:r>
      <w:r>
        <w:rPr>
          <w:rFonts w:ascii="宋体" w:hAnsi="宋体"/>
          <w:snapToGrid w:val="0"/>
          <w:kern w:val="0"/>
        </w:rPr>
        <w:t>）</w:t>
      </w:r>
      <w:bookmarkEnd w:id="653"/>
      <w:bookmarkEnd w:id="654"/>
    </w:p>
    <w:p>
      <w:pPr>
        <w:keepNext/>
        <w:keepLines/>
        <w:spacing w:before="100" w:after="100" w:line="360" w:lineRule="auto"/>
        <w:outlineLvl w:val="1"/>
        <w:rPr>
          <w:rFonts w:ascii="宋体" w:hAnsi="宋体"/>
          <w:b/>
          <w:sz w:val="32"/>
          <w:szCs w:val="32"/>
        </w:rPr>
      </w:pPr>
      <w:bookmarkStart w:id="655" w:name="_Toc32701"/>
      <w:bookmarkStart w:id="656" w:name="_Toc4536"/>
      <w:r>
        <w:rPr>
          <w:rFonts w:hint="eastAsia" w:ascii="宋体" w:hAnsi="宋体"/>
          <w:b/>
          <w:sz w:val="32"/>
          <w:szCs w:val="32"/>
        </w:rPr>
        <w:t>评标办法前附表</w:t>
      </w:r>
      <w:bookmarkEnd w:id="655"/>
      <w:bookmarkEnd w:id="656"/>
    </w:p>
    <w:p>
      <w:pPr>
        <w:spacing w:line="400" w:lineRule="exact"/>
        <w:ind w:firstLine="427" w:firstLineChars="196"/>
        <w:rPr>
          <w:rFonts w:ascii="宋体" w:hAnsi="宋体"/>
          <w:spacing w:val="4"/>
          <w:kern w:val="0"/>
          <w:szCs w:val="21"/>
        </w:rPr>
      </w:pPr>
      <w:bookmarkStart w:id="657" w:name="_Toc13210726"/>
      <w:r>
        <w:rPr>
          <w:rFonts w:ascii="宋体" w:hAnsi="宋体"/>
          <w:spacing w:val="4"/>
          <w:kern w:val="0"/>
          <w:szCs w:val="21"/>
        </w:rPr>
        <w:t>评标办法中的评审内容必须和投标人须知中的对应内容一致，若投标人须知中未作要求的内容，不得列入评标办法作为评定依据。</w:t>
      </w:r>
      <w:bookmarkEnd w:id="657"/>
    </w:p>
    <w:tbl>
      <w:tblPr>
        <w:tblStyle w:val="45"/>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ascii="宋体" w:hAnsi="宋体"/>
                <w:b/>
                <w:kern w:val="0"/>
              </w:rPr>
            </w:pPr>
            <w:r>
              <w:rPr>
                <w:rFonts w:ascii="宋体" w:hAnsi="宋体"/>
                <w:b/>
                <w:kern w:val="0"/>
              </w:rPr>
              <w:t>条款号</w:t>
            </w:r>
          </w:p>
        </w:tc>
        <w:tc>
          <w:tcPr>
            <w:tcW w:w="1560" w:type="dxa"/>
            <w:tcBorders>
              <w:left w:val="single" w:color="auto" w:sz="4" w:space="0"/>
            </w:tcBorders>
            <w:vAlign w:val="center"/>
          </w:tcPr>
          <w:p>
            <w:pPr>
              <w:spacing w:line="400" w:lineRule="exact"/>
              <w:jc w:val="center"/>
              <w:rPr>
                <w:rFonts w:ascii="宋体" w:hAnsi="宋体"/>
                <w:b/>
                <w:kern w:val="0"/>
              </w:rPr>
            </w:pPr>
            <w:r>
              <w:rPr>
                <w:rFonts w:ascii="宋体" w:hAnsi="宋体"/>
                <w:b/>
                <w:kern w:val="0"/>
              </w:rPr>
              <w:t>评审因素</w:t>
            </w:r>
          </w:p>
        </w:tc>
        <w:tc>
          <w:tcPr>
            <w:tcW w:w="6882" w:type="dxa"/>
            <w:gridSpan w:val="2"/>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pPr>
              <w:pStyle w:val="106"/>
              <w:spacing w:line="400" w:lineRule="exact"/>
              <w:ind w:firstLine="420"/>
              <w:rPr>
                <w:sz w:val="21"/>
                <w:szCs w:val="21"/>
              </w:rPr>
            </w:pPr>
            <w:r>
              <w:rPr>
                <w:sz w:val="21"/>
                <w:szCs w:val="21"/>
              </w:rPr>
              <w:t>1</w:t>
            </w:r>
          </w:p>
        </w:tc>
        <w:tc>
          <w:tcPr>
            <w:tcW w:w="1560" w:type="dxa"/>
            <w:tcBorders>
              <w:left w:val="single" w:color="auto" w:sz="4" w:space="0"/>
            </w:tcBorders>
            <w:vAlign w:val="center"/>
          </w:tcPr>
          <w:p>
            <w:pPr>
              <w:pStyle w:val="106"/>
              <w:spacing w:line="400" w:lineRule="exact"/>
              <w:ind w:firstLine="0" w:firstLineChars="0"/>
              <w:jc w:val="center"/>
              <w:rPr>
                <w:sz w:val="21"/>
                <w:szCs w:val="21"/>
              </w:rPr>
            </w:pPr>
            <w:r>
              <w:rPr>
                <w:rFonts w:hint="eastAsia"/>
                <w:sz w:val="21"/>
                <w:szCs w:val="21"/>
              </w:rPr>
              <w:t>评标办法</w:t>
            </w:r>
          </w:p>
        </w:tc>
        <w:tc>
          <w:tcPr>
            <w:tcW w:w="6882" w:type="dxa"/>
            <w:gridSpan w:val="2"/>
            <w:vAlign w:val="center"/>
          </w:tcPr>
          <w:p>
            <w:pPr>
              <w:spacing w:line="400" w:lineRule="exact"/>
              <w:ind w:firstLine="427" w:firstLineChars="196"/>
              <w:rPr>
                <w:rFonts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投标人在红名单中优先”的原则排序（</w:t>
            </w:r>
            <w:r>
              <w:rPr>
                <w:rFonts w:hint="eastAsia" w:ascii="宋体" w:hAnsi="宋体"/>
                <w:iCs/>
                <w:spacing w:val="4"/>
                <w:kern w:val="0"/>
                <w:szCs w:val="21"/>
              </w:rPr>
              <w:t>其中非联合体投标的，须投标人所属红名单类别包含在招标范围内；</w:t>
            </w:r>
            <w:r>
              <w:rPr>
                <w:rFonts w:hint="eastAsia" w:ascii="宋体" w:hAnsi="宋体"/>
                <w:spacing w:val="4"/>
                <w:kern w:val="0"/>
                <w:szCs w:val="21"/>
              </w:rPr>
              <w:t>联合体投标的，须联合体牵头人在红名单中</w:t>
            </w:r>
            <w:r>
              <w:rPr>
                <w:rFonts w:hint="eastAsia" w:ascii="宋体" w:hAnsi="宋体"/>
                <w:iCs/>
                <w:kern w:val="0"/>
                <w:szCs w:val="21"/>
              </w:rPr>
              <w:t>，并且按照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宋体" w:hAnsi="宋体"/>
                <w:spacing w:val="4"/>
                <w:kern w:val="0"/>
                <w:szCs w:val="21"/>
              </w:rPr>
              <w:t>），投标人是否属于红名单，以开标环节信用状况查询结果为准；投标人均在红名单中或均不在红名单中的，由评标委员会按照</w:t>
            </w:r>
            <w:r>
              <w:rPr>
                <w:rFonts w:hint="eastAsia" w:ascii="宋体" w:hAnsi="宋体"/>
                <w:spacing w:val="4"/>
                <w:kern w:val="0"/>
                <w:szCs w:val="21"/>
                <w:u w:val="single"/>
              </w:rPr>
              <w:t xml:space="preserve">         </w:t>
            </w:r>
            <w:r>
              <w:rPr>
                <w:rFonts w:hint="eastAsia" w:ascii="宋体" w:hAnsi="宋体"/>
                <w:spacing w:val="4"/>
                <w:kern w:val="0"/>
                <w:szCs w:val="21"/>
              </w:rPr>
              <w:t>原则排序。</w:t>
            </w:r>
            <w:r>
              <w:rPr>
                <w:rFonts w:hint="eastAsia" w:ascii="宋体" w:hAnsi="宋体"/>
                <w:i/>
                <w:spacing w:val="4"/>
                <w:kern w:val="0"/>
                <w:szCs w:val="21"/>
              </w:rPr>
              <w:t>[提示：由招标人事先在招标文件中按照有利于合同履行的原则确定</w:t>
            </w:r>
            <w:r>
              <w:rPr>
                <w:rFonts w:hint="eastAsia" w:asciiTheme="minorEastAsia" w:hAnsiTheme="minorEastAsia" w:eastAsiaTheme="minorEastAsia" w:cstheme="minorEastAsia"/>
                <w:i/>
                <w:color w:val="auto"/>
                <w:spacing w:val="4"/>
                <w:kern w:val="0"/>
                <w:szCs w:val="21"/>
                <w:highlight w:val="none"/>
                <w:lang w:eastAsia="zh-CN"/>
              </w:rPr>
              <w:t>，</w:t>
            </w:r>
            <w:r>
              <w:rPr>
                <w:rFonts w:hint="eastAsia" w:asciiTheme="minorEastAsia" w:hAnsiTheme="minorEastAsia" w:eastAsiaTheme="minorEastAsia" w:cstheme="minorEastAsia"/>
                <w:i/>
                <w:color w:val="auto"/>
                <w:spacing w:val="4"/>
                <w:kern w:val="0"/>
                <w:szCs w:val="21"/>
                <w:highlight w:val="none"/>
                <w:lang w:val="en-US" w:eastAsia="zh-CN"/>
              </w:rPr>
              <w:t>但不得采用抽签、摇号方式直接确定中标候选人</w:t>
            </w:r>
            <w:r>
              <w:rPr>
                <w:rFonts w:hint="eastAsia" w:ascii="宋体" w:hAnsi="宋体"/>
                <w:i/>
                <w:spacing w:val="4"/>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2.1</w:t>
            </w:r>
          </w:p>
        </w:tc>
        <w:tc>
          <w:tcPr>
            <w:tcW w:w="1560" w:type="dxa"/>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需技术方案评审的，由电子评标系统对技术方案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w:t>
            </w:r>
          </w:p>
        </w:tc>
        <w:tc>
          <w:tcPr>
            <w:tcW w:w="1560" w:type="dxa"/>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符合性审查</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取报价排序前□5□6□7名（若实际投标人数量小于勾选数量，</w:t>
            </w:r>
            <w:r>
              <w:rPr>
                <w:rFonts w:hint="eastAsia" w:ascii="宋体" w:hAnsi="宋体"/>
                <w:spacing w:val="4"/>
                <w:kern w:val="0"/>
                <w:szCs w:val="21"/>
              </w:rPr>
              <w:t>则全部纳入）进行符合性审查。符合性审查内容：□技术方案评审、资格评审、形式评审、响应性评审、</w:t>
            </w:r>
            <w:r>
              <w:rPr>
                <w:rFonts w:hint="eastAsia" w:ascii="宋体" w:hAnsi="宋体"/>
                <w:spacing w:val="4"/>
                <w:kern w:val="0"/>
                <w:szCs w:val="21"/>
                <w:lang w:eastAsia="zh-CN"/>
              </w:rPr>
              <w:t>投标函部分及报价部分</w:t>
            </w:r>
            <w:r>
              <w:rPr>
                <w:rFonts w:hint="eastAsia" w:ascii="宋体" w:hAnsi="宋体"/>
                <w:spacing w:val="4"/>
                <w:kern w:val="0"/>
                <w:szCs w:val="21"/>
              </w:rPr>
              <w:t>评审。符合性审查</w:t>
            </w:r>
            <w:r>
              <w:rPr>
                <w:rFonts w:hint="eastAsia" w:ascii="宋体" w:hAnsi="宋体"/>
                <w:kern w:val="0"/>
              </w:rPr>
              <w:t>合格的投标人中，报价最低的成为第一中标候选人，报价次低的成为第二中标候选人，依次类推。</w:t>
            </w:r>
          </w:p>
          <w:p>
            <w:pPr>
              <w:spacing w:line="400" w:lineRule="exact"/>
              <w:ind w:firstLine="420" w:firstLineChars="200"/>
              <w:jc w:val="left"/>
              <w:rPr>
                <w:rFonts w:ascii="宋体" w:hAnsi="宋体"/>
                <w:kern w:val="0"/>
              </w:rPr>
            </w:pPr>
            <w:r>
              <w:rPr>
                <w:rFonts w:hint="eastAsia" w:ascii="宋体" w:hAnsi="宋体"/>
                <w:i/>
                <w:kern w:val="0"/>
              </w:rPr>
              <w:t>[提示：勾选技术方案评审的，符合性审查应首先进行技术方案评审，再按照资格、形式、响应性、</w:t>
            </w:r>
            <w:r>
              <w:rPr>
                <w:rFonts w:hint="eastAsia" w:ascii="宋体" w:hAnsi="宋体"/>
                <w:i/>
                <w:kern w:val="0"/>
                <w:lang w:eastAsia="zh-CN"/>
              </w:rPr>
              <w:t>投标函部分及报价部分</w:t>
            </w:r>
            <w:r>
              <w:rPr>
                <w:rFonts w:hint="eastAsia" w:ascii="宋体" w:hAnsi="宋体"/>
                <w:i/>
                <w:kern w:val="0"/>
              </w:rPr>
              <w:t>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restart"/>
            <w:tcBorders>
              <w:right w:val="single" w:color="auto" w:sz="4" w:space="0"/>
            </w:tcBorders>
            <w:vAlign w:val="center"/>
          </w:tcPr>
          <w:p>
            <w:pPr>
              <w:spacing w:line="400" w:lineRule="exact"/>
              <w:jc w:val="center"/>
              <w:rPr>
                <w:rFonts w:ascii="宋体" w:hAnsi="宋体"/>
                <w:kern w:val="0"/>
              </w:rPr>
            </w:pPr>
            <w:r>
              <w:rPr>
                <w:rFonts w:hint="eastAsia" w:ascii="宋体" w:hAnsi="宋体" w:cs="宋体"/>
                <w:szCs w:val="21"/>
              </w:rPr>
              <w:t>□</w:t>
            </w:r>
            <w:r>
              <w:rPr>
                <w:rFonts w:hint="eastAsia" w:ascii="宋体" w:hAnsi="宋体"/>
                <w:kern w:val="0"/>
              </w:rPr>
              <w:t>2.2.1</w:t>
            </w:r>
          </w:p>
        </w:tc>
        <w:tc>
          <w:tcPr>
            <w:tcW w:w="1560"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技术</w:t>
            </w:r>
            <w:r>
              <w:rPr>
                <w:rFonts w:hint="eastAsia" w:ascii="宋体" w:hAnsi="宋体"/>
                <w:kern w:val="0"/>
              </w:rPr>
              <w:t>方案评审</w:t>
            </w:r>
            <w:r>
              <w:rPr>
                <w:rFonts w:ascii="宋体" w:hAnsi="宋体"/>
                <w:kern w:val="0"/>
              </w:rPr>
              <w:t>标准</w:t>
            </w:r>
          </w:p>
        </w:tc>
        <w:tc>
          <w:tcPr>
            <w:tcW w:w="2267" w:type="dxa"/>
            <w:tcBorders>
              <w:left w:val="single" w:color="auto" w:sz="4" w:space="0"/>
              <w:bottom w:val="single" w:color="auto" w:sz="4" w:space="0"/>
              <w:right w:val="single" w:color="auto" w:sz="4" w:space="0"/>
            </w:tcBorders>
            <w:vAlign w:val="center"/>
          </w:tcPr>
          <w:p>
            <w:pPr>
              <w:snapToGrid w:val="0"/>
              <w:spacing w:line="400" w:lineRule="exact"/>
              <w:jc w:val="center"/>
              <w:rPr>
                <w:rFonts w:ascii="宋体" w:hAnsi="宋体" w:cs="宋体"/>
                <w:kern w:val="0"/>
              </w:rPr>
            </w:pPr>
            <w:r>
              <w:rPr>
                <w:rFonts w:hint="eastAsia"/>
              </w:rPr>
              <w:t>□</w:t>
            </w:r>
            <w:r>
              <w:rPr>
                <w:rFonts w:hint="eastAsia" w:ascii="宋体" w:hAnsi="宋体" w:cs="宋体"/>
                <w:kern w:val="0"/>
              </w:rPr>
              <w:t>技术方案形式要求</w:t>
            </w:r>
          </w:p>
          <w:p>
            <w:pPr>
              <w:snapToGrid w:val="0"/>
              <w:spacing w:line="400" w:lineRule="exact"/>
              <w:jc w:val="center"/>
              <w:rPr>
                <w:rFonts w:ascii="宋体" w:hAnsi="宋体" w:cs="宋体"/>
                <w:kern w:val="0"/>
              </w:rPr>
            </w:pPr>
            <w:r>
              <w:rPr>
                <w:rFonts w:hint="eastAsia"/>
                <w:i/>
                <w:iCs/>
              </w:rPr>
              <w:t>[提示：技术方案采用暗标评审时适用。]</w:t>
            </w:r>
          </w:p>
        </w:tc>
        <w:tc>
          <w:tcPr>
            <w:tcW w:w="4615" w:type="dxa"/>
            <w:tcBorders>
              <w:left w:val="single" w:color="auto" w:sz="4" w:space="0"/>
              <w:bottom w:val="single" w:color="auto" w:sz="4" w:space="0"/>
            </w:tcBorders>
            <w:vAlign w:val="center"/>
          </w:tcPr>
          <w:p>
            <w:pPr>
              <w:snapToGrid w:val="0"/>
              <w:spacing w:after="31" w:afterLines="10" w:line="400" w:lineRule="exact"/>
              <w:ind w:firstLine="420" w:firstLineChars="200"/>
              <w:jc w:val="left"/>
              <w:rPr>
                <w:rFonts w:ascii="宋体" w:hAnsi="宋体" w:cs="宋体"/>
                <w:kern w:val="0"/>
              </w:rPr>
            </w:pPr>
            <w:r>
              <w:rPr>
                <w:rFonts w:hint="eastAsia" w:ascii="宋体" w:hAnsi="宋体" w:cs="宋体"/>
                <w:kern w:val="0"/>
              </w:rPr>
              <w:t>是否符合第二章投标人须知前附表第3.7.5项（3）技术部分</w:t>
            </w:r>
            <w:r>
              <w:rPr>
                <w:rFonts w:hint="eastAsia" w:ascii="宋体" w:hAnsi="宋体" w:cs="宋体"/>
                <w:kern w:val="0"/>
                <w:lang w:val="en-US" w:eastAsia="zh-CN"/>
              </w:rPr>
              <w:t>的</w:t>
            </w:r>
            <w:r>
              <w:rPr>
                <w:rFonts w:hint="eastAsia" w:ascii="宋体" w:hAnsi="宋体" w:cs="宋体"/>
                <w:kern w:val="0"/>
              </w:rPr>
              <w:t>要求：符合/不符合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对工程施工重点、技术关键点的理解和认识</w:t>
            </w:r>
          </w:p>
        </w:tc>
        <w:tc>
          <w:tcPr>
            <w:tcW w:w="4615" w:type="dxa"/>
            <w:vMerge w:val="restart"/>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评标委员会对投标人递交的技术方案进行综合性评审，综合评判是否满足本工程需求：满足/不满足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施工方案与技术措施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质量管理体系与措施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安全管理体系与措施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环境保护管理体系措施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工程进度计划与措施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资源配备计划</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□危大工程清单安全管理措施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□BIM、智慧工地建设管理方案及措施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w:t>
            </w:r>
            <w:r>
              <w:rPr>
                <w:rFonts w:ascii="宋体" w:hAnsi="宋体" w:cs="宋体"/>
                <w:kern w:val="0"/>
              </w:rPr>
              <w:t>……</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2.2.2</w:t>
            </w:r>
          </w:p>
        </w:tc>
        <w:tc>
          <w:tcPr>
            <w:tcW w:w="1560"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kern w:val="0"/>
                <w:lang w:eastAsia="zh-CN"/>
              </w:rPr>
            </w:pPr>
            <w:r>
              <w:rPr>
                <w:rFonts w:hint="eastAsia" w:ascii="宋体" w:hAnsi="宋体" w:cs="宋体"/>
                <w:kern w:val="0"/>
                <w:lang w:eastAsia="zh-CN"/>
              </w:rPr>
              <w:t>独立法人资格</w:t>
            </w:r>
          </w:p>
        </w:tc>
        <w:tc>
          <w:tcPr>
            <w:tcW w:w="4615" w:type="dxa"/>
            <w:tcBorders>
              <w:top w:val="single" w:color="auto" w:sz="4" w:space="0"/>
              <w:left w:val="single" w:color="auto" w:sz="4" w:space="0"/>
            </w:tcBorders>
            <w:vAlign w:val="center"/>
          </w:tcPr>
          <w:p>
            <w:pPr>
              <w:snapToGrid w:val="0"/>
              <w:spacing w:after="78"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安全生产条件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□财务要求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kern w:val="0"/>
              </w:rPr>
            </w:pPr>
            <w:r>
              <w:rPr>
                <w:rFonts w:hint="eastAsia" w:ascii="宋体" w:hAnsi="宋体" w:cs="宋体"/>
                <w:kern w:val="0"/>
              </w:rPr>
              <w:t>□业绩要求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kern w:val="0"/>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项目经理资格要求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其他要求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□联合体投标人</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w:t>
            </w:r>
            <w:r>
              <w:rPr>
                <w:rFonts w:hint="eastAsia" w:ascii="宋体" w:hAnsi="宋体"/>
                <w:kern w:val="0"/>
              </w:rPr>
              <w:t>3</w:t>
            </w:r>
          </w:p>
        </w:tc>
        <w:tc>
          <w:tcPr>
            <w:tcW w:w="1560" w:type="dxa"/>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形式评审标准</w:t>
            </w: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投标人名称</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□联合体投标人</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提交</w:t>
            </w:r>
            <w:r>
              <w:rPr>
                <w:rFonts w:hint="eastAsia" w:ascii="宋体" w:hAnsi="宋体" w:cs="宋体"/>
                <w:kern w:val="0"/>
                <w:lang w:eastAsia="zh-CN"/>
              </w:rPr>
              <w:t>共同投标协议</w:t>
            </w:r>
            <w:r>
              <w:rPr>
                <w:rFonts w:hint="eastAsia" w:ascii="宋体" w:hAnsi="宋体" w:cs="宋体"/>
                <w:kern w:val="0"/>
              </w:rPr>
              <w:t>，并明确联合体牵头人。在</w:t>
            </w:r>
            <w:r>
              <w:rPr>
                <w:rFonts w:hint="eastAsia" w:ascii="宋体" w:hAnsi="宋体" w:cs="宋体"/>
                <w:kern w:val="0"/>
                <w:lang w:eastAsia="zh-CN"/>
              </w:rPr>
              <w:t>共同投标协议</w:t>
            </w:r>
            <w:r>
              <w:rPr>
                <w:rFonts w:hint="eastAsia" w:ascii="宋体" w:hAnsi="宋体" w:cs="宋体"/>
                <w:kern w:val="0"/>
              </w:rPr>
              <w:t>第5条联合体各成员单位内部的职责分工中填写的联合体所有成员单位名称应与其营业执照、资质证书、安全生产许可证一致，依法变更名称的应提交相应证明材料。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第八章 投标文件格式（不含投标函部分）要求法定代表人或其委托代理人签名（或盖章）的须齐全</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hint="eastAsia" w:ascii="宋体" w:hAnsi="宋体" w:cs="宋体"/>
                <w:kern w:val="0"/>
              </w:rPr>
              <w:t>。</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snapToGrid w:val="0"/>
                <w:kern w:val="0"/>
                <w:szCs w:val="21"/>
              </w:rPr>
              <w:t>若投标单位为联合体，则</w:t>
            </w:r>
            <w:r>
              <w:rPr>
                <w:rFonts w:hint="eastAsia" w:ascii="宋体" w:hAnsi="宋体" w:cs="宋体"/>
                <w:snapToGrid w:val="0"/>
                <w:kern w:val="0"/>
                <w:szCs w:val="21"/>
                <w:lang w:eastAsia="zh-CN"/>
              </w:rPr>
              <w:t>共同投标协议</w:t>
            </w:r>
            <w:r>
              <w:rPr>
                <w:rFonts w:hint="eastAsia" w:ascii="宋体" w:hAnsi="宋体" w:cs="宋体"/>
                <w:snapToGrid w:val="0"/>
                <w:kern w:val="0"/>
                <w:szCs w:val="21"/>
              </w:rPr>
              <w:t>中各联合体成员单位签名（或盖章）须齐全，</w:t>
            </w:r>
            <w:r>
              <w:rPr>
                <w:rFonts w:hint="eastAsia" w:ascii="宋体" w:hAnsi="宋体" w:cs="宋体"/>
                <w:snapToGrid w:val="0"/>
                <w:kern w:val="0"/>
                <w:szCs w:val="21"/>
                <w:lang w:eastAsia="zh-CN"/>
              </w:rPr>
              <w:t>共同投标协议</w:t>
            </w:r>
            <w:r>
              <w:rPr>
                <w:rFonts w:hint="eastAsia" w:ascii="宋体" w:hAnsi="宋体" w:cs="宋体"/>
                <w:snapToGrid w:val="0"/>
                <w:kern w:val="0"/>
                <w:szCs w:val="21"/>
              </w:rPr>
              <w:t>以外的</w:t>
            </w:r>
            <w:r>
              <w:rPr>
                <w:rFonts w:hint="eastAsia" w:ascii="宋体" w:hAnsi="宋体" w:cs="宋体"/>
                <w:kern w:val="0"/>
              </w:rPr>
              <w:t>投标文件格式中，要求法定代表人或其委托代理人签名（或盖章）的均由联合体牵头人法定代表人或其委托代理人签名（或盖章）。</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第八章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若投标单位为联合体，则</w:t>
            </w:r>
            <w:r>
              <w:rPr>
                <w:rFonts w:hint="eastAsia" w:ascii="宋体" w:hAnsi="宋体" w:cs="宋体"/>
                <w:kern w:val="0"/>
                <w:lang w:eastAsia="zh-CN"/>
              </w:rPr>
              <w:t>共同投标协议</w:t>
            </w:r>
            <w:r>
              <w:rPr>
                <w:rFonts w:hint="eastAsia" w:ascii="宋体" w:hAnsi="宋体" w:cs="宋体"/>
                <w:kern w:val="0"/>
              </w:rPr>
              <w:t>中要求各联合体成员盖单位法人章的，各联合体成员盖章须齐全，</w:t>
            </w:r>
            <w:r>
              <w:rPr>
                <w:rFonts w:hint="eastAsia" w:ascii="宋体" w:hAnsi="宋体" w:cs="宋体"/>
                <w:kern w:val="0"/>
                <w:lang w:eastAsia="zh-CN"/>
              </w:rPr>
              <w:t>共同投标协议</w:t>
            </w:r>
            <w:r>
              <w:rPr>
                <w:rFonts w:hint="eastAsia" w:ascii="宋体" w:hAnsi="宋体" w:cs="宋体"/>
                <w:kern w:val="0"/>
              </w:rPr>
              <w:t>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pPr>
              <w:snapToGrid w:val="0"/>
              <w:spacing w:after="78" w:afterLines="25"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2.2.4</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ascii="宋体" w:hAnsi="宋体"/>
                <w:kern w:val="0"/>
              </w:rPr>
              <w:t>响应性评审标准</w:t>
            </w: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符合第二章“投标人须知前附表”第3.4款规定。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符合第四章“合同条款及格式”规定，投标文件不应附有招标人不能接受的条件。（由投标人承诺，承诺书格式详见第八章投标文件格式。）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技术标准和要求</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符合第七章“技术标准和要求”规定。（由投标人承诺，承诺书格式详见第八章投标文件格式。）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bottom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符合第二章“投标人须知”第1.4.3项规定。</w:t>
            </w:r>
          </w:p>
          <w:p>
            <w:pPr>
              <w:snapToGrid w:val="0"/>
              <w:spacing w:after="31" w:afterLines="10" w:line="400" w:lineRule="exact"/>
              <w:ind w:firstLine="420" w:firstLineChars="200"/>
              <w:rPr>
                <w:rFonts w:ascii="宋体" w:hAnsi="宋体" w:cs="宋体"/>
                <w:kern w:val="0"/>
              </w:rPr>
            </w:pPr>
            <w:r>
              <w:rPr>
                <w:rFonts w:hint="eastAsia" w:ascii="宋体" w:hAnsi="宋体" w:cs="宋体"/>
                <w:kern w:val="0"/>
              </w:rPr>
              <w:t>本次投标不得有串通投标、弄虚作假等其他违反招投标相关法律、法规行为。</w:t>
            </w:r>
          </w:p>
          <w:p>
            <w:pPr>
              <w:snapToGrid w:val="0"/>
              <w:spacing w:after="31" w:afterLines="10" w:line="400" w:lineRule="exact"/>
              <w:ind w:firstLine="420" w:firstLineChars="200"/>
              <w:rPr>
                <w:rFonts w:ascii="宋体" w:hAnsi="宋体" w:cs="宋体"/>
                <w:kern w:val="0"/>
              </w:rPr>
            </w:pPr>
            <w:r>
              <w:rPr>
                <w:rFonts w:hint="eastAsia" w:ascii="宋体" w:hAnsi="宋体" w:cs="宋体"/>
                <w:kern w:val="0"/>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2.2.5</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hint="eastAsia" w:ascii="宋体" w:hAnsi="宋体"/>
                <w:kern w:val="0"/>
                <w:lang w:eastAsia="zh-CN"/>
              </w:rPr>
              <w:t>投标函部分及报价部分</w:t>
            </w:r>
            <w:r>
              <w:rPr>
                <w:rFonts w:hint="eastAsia" w:ascii="宋体" w:hAnsi="宋体"/>
                <w:kern w:val="0"/>
              </w:rPr>
              <w:t>评审标准</w:t>
            </w: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投标函部分的签名盖章</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投标函部分的格式要求法定代表人或其委托代理人签名（或盖章）的须齐全，</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hint="eastAsia" w:asciiTheme="minorEastAsia" w:hAnsiTheme="minorEastAsia" w:eastAsiaTheme="minorEastAsia" w:cstheme="minorEastAsia"/>
                <w:color w:val="auto"/>
                <w:kern w:val="0"/>
                <w:highlight w:val="none"/>
                <w:lang w:eastAsia="zh-CN"/>
              </w:rPr>
              <w:t>，</w:t>
            </w:r>
            <w:r>
              <w:rPr>
                <w:rFonts w:hint="eastAsia" w:ascii="宋体" w:hAnsi="宋体" w:cs="宋体"/>
                <w:kern w:val="0"/>
              </w:rPr>
              <w:t>要求加盖单位法人章的，应使用 CA 数字证书加盖投标人的单位电子印章。</w:t>
            </w:r>
          </w:p>
          <w:p>
            <w:pPr>
              <w:snapToGrid w:val="0"/>
              <w:spacing w:after="31" w:afterLines="10" w:line="400" w:lineRule="exact"/>
              <w:ind w:firstLine="420" w:firstLineChars="200"/>
              <w:rPr>
                <w:rFonts w:ascii="宋体" w:hAnsi="宋体" w:cs="宋体"/>
                <w:kern w:val="0"/>
              </w:rPr>
            </w:pPr>
            <w:r>
              <w:rPr>
                <w:rFonts w:hint="eastAsia" w:ascii="宋体" w:hAnsi="宋体" w:cs="宋体"/>
                <w:kern w:val="0"/>
              </w:rPr>
              <w:t>联合体投标的，投标函部分的格式中要求投标人加盖单位法人章的，均由联合体牵头人使用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工期</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工程质量</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投标有效期</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投标总报价</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1.</w:t>
            </w:r>
            <w:r>
              <w:rPr>
                <w:rFonts w:hint="eastAsia" w:ascii="宋体" w:hAnsi="宋体" w:cs="宋体"/>
                <w:kern w:val="0"/>
                <w:lang w:val="en-US" w:eastAsia="zh-CN"/>
              </w:rPr>
              <w:t>投标函中的</w:t>
            </w:r>
            <w:r>
              <w:rPr>
                <w:rFonts w:hint="eastAsia" w:ascii="宋体" w:hAnsi="宋体" w:cs="宋体"/>
                <w:kern w:val="0"/>
              </w:rPr>
              <w:t>总报价</w:t>
            </w:r>
            <w:r>
              <w:rPr>
                <w:rFonts w:hint="eastAsia" w:ascii="宋体" w:hAnsi="宋体" w:cs="宋体"/>
                <w:kern w:val="0"/>
                <w:lang w:val="en-US" w:eastAsia="zh-CN"/>
              </w:rPr>
              <w:t>应</w:t>
            </w:r>
            <w:r>
              <w:rPr>
                <w:rFonts w:hint="eastAsia" w:ascii="宋体" w:hAnsi="宋体" w:cs="宋体"/>
                <w:kern w:val="0"/>
              </w:rPr>
              <w:t>与已标价工程量清单总报价一致</w:t>
            </w:r>
            <w:r>
              <w:rPr>
                <w:rFonts w:hint="eastAsia" w:ascii="宋体" w:hAnsi="宋体" w:cs="宋体"/>
                <w:kern w:val="0"/>
                <w:lang w:eastAsia="zh-CN"/>
              </w:rPr>
              <w:t>，</w:t>
            </w:r>
            <w:r>
              <w:rPr>
                <w:rFonts w:hint="eastAsia" w:ascii="宋体" w:hAnsi="宋体" w:cs="宋体"/>
                <w:kern w:val="0"/>
              </w:rPr>
              <w:t>工程量清单总报价</w:t>
            </w:r>
            <w:r>
              <w:rPr>
                <w:rFonts w:hint="eastAsia" w:ascii="宋体" w:hAnsi="宋体" w:cs="宋体"/>
                <w:kern w:val="0"/>
                <w:lang w:val="en-US" w:eastAsia="zh-CN"/>
              </w:rPr>
              <w:t>应</w:t>
            </w:r>
            <w:r>
              <w:rPr>
                <w:rFonts w:hint="eastAsia" w:ascii="宋体" w:hAnsi="宋体" w:cs="宋体"/>
                <w:kern w:val="0"/>
              </w:rPr>
              <w:t>与依据单价、工程数量、分部分项工程合价计算出的结果一致</w:t>
            </w:r>
            <w:r>
              <w:rPr>
                <w:rFonts w:hint="eastAsia" w:ascii="宋体" w:hAnsi="宋体" w:cs="宋体"/>
                <w:kern w:val="0"/>
                <w:lang w:eastAsia="zh-CN"/>
              </w:rPr>
              <w:t>（</w:t>
            </w:r>
            <w:r>
              <w:rPr>
                <w:rFonts w:hint="eastAsia" w:ascii="宋体" w:hAnsi="宋体" w:cs="宋体"/>
                <w:kern w:val="0"/>
                <w:lang w:val="en-US" w:eastAsia="zh-CN"/>
              </w:rPr>
              <w:t>如有</w:t>
            </w:r>
            <w:r>
              <w:rPr>
                <w:rFonts w:hint="eastAsia" w:ascii="宋体" w:hAnsi="宋体" w:cs="宋体"/>
                <w:kern w:val="0"/>
                <w:lang w:eastAsia="zh-CN"/>
              </w:rPr>
              <w:t>）</w:t>
            </w:r>
            <w:r>
              <w:rPr>
                <w:rFonts w:hint="eastAsia" w:ascii="宋体" w:hAnsi="宋体" w:cs="宋体"/>
                <w:kern w:val="0"/>
              </w:rPr>
              <w:t>。</w:t>
            </w:r>
          </w:p>
          <w:p>
            <w:pPr>
              <w:snapToGrid w:val="0"/>
              <w:spacing w:after="31" w:afterLines="10" w:line="400" w:lineRule="exact"/>
              <w:ind w:firstLine="420" w:firstLineChars="200"/>
              <w:rPr>
                <w:rFonts w:ascii="宋体" w:hAnsi="宋体" w:cs="宋体"/>
                <w:kern w:val="0"/>
              </w:rPr>
            </w:pPr>
            <w:r>
              <w:rPr>
                <w:rFonts w:hint="eastAsia" w:ascii="宋体" w:hAnsi="宋体" w:cs="宋体"/>
                <w:kern w:val="0"/>
              </w:rPr>
              <w:t>2.投标总报价不得高于招标人公布的投标总报价最高限价。</w:t>
            </w:r>
          </w:p>
          <w:p>
            <w:pPr>
              <w:snapToGrid w:val="0"/>
              <w:spacing w:after="31" w:afterLines="10" w:line="400" w:lineRule="exact"/>
              <w:ind w:firstLine="420" w:firstLineChars="200"/>
              <w:rPr>
                <w:rFonts w:ascii="宋体" w:hAnsi="宋体" w:cs="宋体"/>
                <w:kern w:val="0"/>
              </w:rPr>
            </w:pPr>
            <w:r>
              <w:rPr>
                <w:rFonts w:hint="eastAsia" w:ascii="宋体" w:hAnsi="宋体" w:cs="宋体"/>
                <w:kern w:val="0"/>
              </w:rPr>
              <w:t>3.投标人投标总报价或者部分单项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暂定金额</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暂列金额、暂估价、安全文明施工费等暂定金额必须按照招标文件给定的金额填报。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已标价工程量清单</w:t>
            </w:r>
          </w:p>
        </w:tc>
        <w:tc>
          <w:tcPr>
            <w:tcW w:w="4615" w:type="dxa"/>
            <w:tcBorders>
              <w:left w:val="single" w:color="auto" w:sz="4" w:space="0"/>
            </w:tcBorders>
            <w:vAlign w:val="center"/>
          </w:tcPr>
          <w:p>
            <w:pPr>
              <w:spacing w:after="62" w:afterLines="20" w:line="400" w:lineRule="exact"/>
              <w:ind w:firstLine="420" w:firstLineChars="200"/>
              <w:rPr>
                <w:rFonts w:ascii="宋体" w:hAnsi="宋体" w:cs="宋体"/>
                <w:kern w:val="0"/>
              </w:rPr>
            </w:pPr>
            <w:r>
              <w:rPr>
                <w:rFonts w:hint="eastAsia" w:ascii="宋体" w:hAnsi="宋体" w:cs="宋体"/>
                <w:kern w:val="0"/>
              </w:rPr>
              <w:t>1.</w:t>
            </w:r>
            <w:r>
              <w:rPr>
                <w:rFonts w:hint="eastAsia" w:ascii="宋体" w:hAnsi="宋体" w:cs="宋体"/>
                <w:kern w:val="0"/>
                <w:lang w:val="en-US" w:eastAsia="zh-CN"/>
              </w:rPr>
              <w:t>投标人</w:t>
            </w:r>
            <w:r>
              <w:rPr>
                <w:rFonts w:hint="eastAsia" w:ascii="宋体" w:hAnsi="宋体"/>
                <w:szCs w:val="21"/>
                <w:lang w:val="en-US" w:eastAsia="zh-CN"/>
              </w:rPr>
              <w:t>应当</w:t>
            </w:r>
            <w:r>
              <w:rPr>
                <w:rFonts w:hint="eastAsia" w:ascii="宋体" w:hAnsi="宋体"/>
                <w:szCs w:val="21"/>
              </w:rPr>
              <w:t>按招标工程量清单填报价格。项目编码、项目名称、项目特征、计量单位、工程量</w:t>
            </w:r>
            <w:r>
              <w:rPr>
                <w:rFonts w:hint="eastAsia" w:ascii="宋体" w:hAnsi="宋体"/>
                <w:szCs w:val="21"/>
                <w:lang w:val="en-US" w:eastAsia="zh-CN"/>
              </w:rPr>
              <w:t>应当</w:t>
            </w:r>
            <w:r>
              <w:rPr>
                <w:rFonts w:hint="eastAsia" w:ascii="宋体" w:hAnsi="宋体"/>
                <w:szCs w:val="21"/>
              </w:rPr>
              <w:t>与招标工程量清单一致</w:t>
            </w:r>
            <w:r>
              <w:rPr>
                <w:rFonts w:hint="eastAsia" w:ascii="宋体" w:hAnsi="宋体" w:cs="宋体"/>
                <w:kern w:val="0"/>
              </w:rPr>
              <w:t>。</w:t>
            </w:r>
          </w:p>
          <w:p>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2.每项清单综合单价报价不得高于每项清单综合单价最高限价。</w:t>
            </w:r>
          </w:p>
          <w:p>
            <w:pPr>
              <w:snapToGrid w:val="0"/>
              <w:spacing w:after="31" w:afterLines="10" w:line="400" w:lineRule="exact"/>
              <w:ind w:firstLine="420" w:firstLineChars="200"/>
              <w:rPr>
                <w:rFonts w:hint="default" w:ascii="宋体" w:hAnsi="宋体" w:eastAsia="宋体" w:cs="宋体"/>
                <w:kern w:val="0"/>
                <w:lang w:val="en-US" w:eastAsia="zh-CN"/>
              </w:rPr>
            </w:pPr>
            <w:r>
              <w:rPr>
                <w:rFonts w:hint="eastAsia" w:ascii="宋体" w:hAnsi="宋体" w:cs="宋体"/>
                <w:kern w:val="0"/>
                <w:lang w:val="en-US" w:eastAsia="zh-CN"/>
              </w:rPr>
              <w:t>3.</w:t>
            </w:r>
            <w:r>
              <w:rPr>
                <w:rFonts w:hint="default" w:ascii="宋体" w:hAnsi="宋体"/>
                <w:kern w:val="0"/>
                <w:szCs w:val="21"/>
                <w:u w:val="none"/>
              </w:rPr>
              <w:t>投标人的</w:t>
            </w:r>
            <w:r>
              <w:rPr>
                <w:rFonts w:hint="eastAsia" w:ascii="宋体" w:hAnsi="宋体"/>
                <w:kern w:val="0"/>
                <w:szCs w:val="21"/>
                <w:u w:val="none"/>
                <w:lang w:val="en-US" w:eastAsia="zh-CN"/>
              </w:rPr>
              <w:t>工程量清单单项报价</w:t>
            </w:r>
            <w:r>
              <w:rPr>
                <w:rFonts w:hint="default" w:ascii="宋体" w:hAnsi="宋体"/>
                <w:kern w:val="0"/>
                <w:szCs w:val="21"/>
                <w:u w:val="none"/>
              </w:rPr>
              <w:t>不得</w:t>
            </w:r>
            <w:r>
              <w:rPr>
                <w:rFonts w:hint="eastAsia" w:ascii="宋体" w:hAnsi="宋体"/>
                <w:kern w:val="0"/>
                <w:szCs w:val="21"/>
                <w:u w:val="none"/>
                <w:lang w:val="en-US" w:eastAsia="zh-CN"/>
              </w:rPr>
              <w:t>为零报价或者负数报价。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rPr>
            </w:pPr>
            <w:r>
              <w:rPr>
                <w:rFonts w:ascii="宋体" w:hAnsi="宋体"/>
              </w:rPr>
              <w:t>3</w:t>
            </w:r>
          </w:p>
        </w:tc>
        <w:tc>
          <w:tcPr>
            <w:tcW w:w="1560" w:type="dxa"/>
            <w:tcBorders>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评标程序</w:t>
            </w:r>
          </w:p>
        </w:tc>
        <w:tc>
          <w:tcPr>
            <w:tcW w:w="6882" w:type="dxa"/>
            <w:gridSpan w:val="2"/>
            <w:tcBorders>
              <w:left w:val="single" w:color="auto" w:sz="4" w:space="0"/>
            </w:tcBorders>
            <w:vAlign w:val="center"/>
          </w:tcPr>
          <w:p>
            <w:pPr>
              <w:spacing w:after="31" w:afterLines="10" w:line="400" w:lineRule="exact"/>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1.对报价不高于最高限价的所有投标人的投标文件，按照报价由低到高的顺序排序。需技术方案评审的，由电子评标系统对技术方案进行自动随机编号。在</w:t>
            </w:r>
            <w:r>
              <w:rPr>
                <w:rFonts w:hint="eastAsia" w:ascii="宋体" w:hAnsi="宋体"/>
                <w:kern w:val="0"/>
                <w:szCs w:val="21"/>
                <w:lang w:eastAsia="zh-CN"/>
              </w:rPr>
              <w:t>投标函部分及报价部分</w:t>
            </w:r>
            <w:r>
              <w:rPr>
                <w:rFonts w:hint="eastAsia" w:ascii="宋体" w:hAnsi="宋体"/>
                <w:kern w:val="0"/>
                <w:szCs w:val="21"/>
              </w:rPr>
              <w:t>评审前，推送给评标委员会的投标文件不得显示排序。</w:t>
            </w:r>
          </w:p>
          <w:p>
            <w:pPr>
              <w:spacing w:after="31" w:afterLines="10" w:line="400" w:lineRule="exact"/>
              <w:ind w:firstLine="420" w:firstLineChars="200"/>
              <w:jc w:val="left"/>
              <w:rPr>
                <w:rFonts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pPr>
              <w:spacing w:after="31" w:afterLines="10" w:line="400" w:lineRule="exact"/>
              <w:ind w:firstLine="420" w:firstLineChars="200"/>
              <w:jc w:val="left"/>
              <w:rPr>
                <w:rFonts w:ascii="宋体" w:hAnsi="宋体"/>
                <w:kern w:val="0"/>
                <w:szCs w:val="21"/>
              </w:rPr>
            </w:pPr>
            <w:r>
              <w:rPr>
                <w:rFonts w:hint="eastAsia" w:ascii="宋体" w:hAnsi="宋体"/>
                <w:i/>
                <w:kern w:val="0"/>
              </w:rPr>
              <w:t>[提示：勾选技术方案评审的，符合性审查应首先进行技术方案评审，再按照资格、形式、响应性、</w:t>
            </w:r>
            <w:r>
              <w:rPr>
                <w:rFonts w:hint="eastAsia" w:ascii="宋体" w:hAnsi="宋体"/>
                <w:i/>
                <w:kern w:val="0"/>
                <w:lang w:eastAsia="zh-CN"/>
              </w:rPr>
              <w:t>投标函部分及报价部分</w:t>
            </w:r>
            <w:r>
              <w:rPr>
                <w:rFonts w:hint="eastAsia" w:ascii="宋体" w:hAnsi="宋体"/>
                <w:i/>
                <w:kern w:val="0"/>
              </w:rPr>
              <w:t>的顺序进行评审。]</w:t>
            </w:r>
          </w:p>
          <w:p>
            <w:pPr>
              <w:spacing w:after="31" w:afterLines="10" w:line="400" w:lineRule="exact"/>
              <w:ind w:firstLine="420" w:firstLineChars="200"/>
              <w:jc w:val="left"/>
              <w:rPr>
                <w:rFonts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若上述程序未能评出三名中标候选人</w:t>
            </w:r>
            <w:r>
              <w:rPr>
                <w:rFonts w:hint="eastAsia" w:ascii="宋体" w:hAnsi="宋体"/>
                <w:kern w:val="0"/>
                <w:szCs w:val="21"/>
              </w:rPr>
              <w:t>，则评标委员会对剩余投标文件继续按上述第2条进行评审，直至评出三名中标候选人，或者评审完所有投标文件。</w:t>
            </w:r>
          </w:p>
          <w:p>
            <w:pPr>
              <w:spacing w:after="31" w:afterLines="10" w:line="400" w:lineRule="exact"/>
              <w:ind w:firstLine="420" w:firstLineChars="200"/>
              <w:jc w:val="left"/>
              <w:rPr>
                <w:rFonts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kern w:val="0"/>
                <w:szCs w:val="21"/>
              </w:rPr>
              <w:t>经济、技术等指标仍然具有市场竞争力，并满足招标文件要求的，评标委员会可以继续评标并确定中标候选人。</w:t>
            </w:r>
          </w:p>
          <w:p>
            <w:pPr>
              <w:spacing w:after="31" w:afterLines="10" w:line="400" w:lineRule="exact"/>
              <w:ind w:firstLine="420" w:firstLineChars="200"/>
              <w:jc w:val="left"/>
              <w:rPr>
                <w:rFonts w:ascii="宋体" w:hAnsi="宋体"/>
                <w:kern w:val="0"/>
                <w:szCs w:val="21"/>
              </w:rPr>
            </w:pPr>
            <w:r>
              <w:rPr>
                <w:rFonts w:hint="eastAsia" w:ascii="宋体" w:hAnsi="宋体"/>
                <w:kern w:val="0"/>
                <w:szCs w:val="21"/>
              </w:rPr>
              <w:t>注：若出现投标人投标报价相同的，以“投标人在红名单中优先”的原则排序</w:t>
            </w:r>
            <w:r>
              <w:rPr>
                <w:rFonts w:hint="eastAsia" w:ascii="宋体" w:hAnsi="宋体"/>
                <w:spacing w:val="4"/>
                <w:kern w:val="0"/>
                <w:szCs w:val="21"/>
              </w:rPr>
              <w:t>（</w:t>
            </w:r>
            <w:r>
              <w:rPr>
                <w:rFonts w:hint="eastAsia" w:ascii="宋体" w:hAnsi="宋体"/>
                <w:iCs/>
                <w:kern w:val="0"/>
                <w:szCs w:val="21"/>
              </w:rPr>
              <w:t>其中非联合体投标的，须投标人所属红名单类别包含在招标范围内；</w:t>
            </w:r>
            <w:r>
              <w:rPr>
                <w:rFonts w:hint="eastAsia" w:ascii="宋体" w:hAnsi="宋体"/>
                <w:spacing w:val="4"/>
                <w:kern w:val="0"/>
                <w:szCs w:val="21"/>
              </w:rPr>
              <w:t>联合体投标的，须联合体牵头人在红名单中</w:t>
            </w:r>
            <w:r>
              <w:rPr>
                <w:rFonts w:hint="eastAsia" w:ascii="宋体" w:hAnsi="宋体"/>
                <w:iCs/>
                <w:kern w:val="0"/>
                <w:szCs w:val="21"/>
              </w:rPr>
              <w:t>，并且按照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宋体" w:hAnsi="宋体"/>
                <w:spacing w:val="4"/>
                <w:kern w:val="0"/>
                <w:szCs w:val="21"/>
              </w:rPr>
              <w:t>），投标人是否属于红名单，以开标环节信用状况查询结果为准</w:t>
            </w:r>
            <w:r>
              <w:rPr>
                <w:rFonts w:hint="eastAsia" w:ascii="宋体" w:hAnsi="宋体"/>
                <w:kern w:val="0"/>
                <w:szCs w:val="21"/>
              </w:rPr>
              <w:t>；投标人均在红名单中</w:t>
            </w:r>
            <w:r>
              <w:rPr>
                <w:rFonts w:hint="eastAsia" w:ascii="宋体" w:hAnsi="宋体"/>
                <w:spacing w:val="4"/>
                <w:kern w:val="0"/>
                <w:szCs w:val="21"/>
              </w:rPr>
              <w:t>或均不在红名单中的，由评标委员会按照</w:t>
            </w:r>
            <w:r>
              <w:rPr>
                <w:rFonts w:hint="eastAsia" w:ascii="宋体" w:hAnsi="宋体"/>
                <w:spacing w:val="4"/>
                <w:kern w:val="0"/>
                <w:szCs w:val="21"/>
                <w:u w:val="single"/>
              </w:rPr>
              <w:t xml:space="preserve">         </w:t>
            </w:r>
            <w:r>
              <w:rPr>
                <w:rFonts w:hint="eastAsia" w:ascii="宋体" w:hAnsi="宋体"/>
                <w:spacing w:val="4"/>
                <w:kern w:val="0"/>
                <w:szCs w:val="21"/>
              </w:rPr>
              <w:t>原则排序。</w:t>
            </w:r>
            <w:r>
              <w:rPr>
                <w:rFonts w:hint="eastAsia" w:ascii="宋体" w:hAnsi="宋体"/>
                <w:i/>
                <w:spacing w:val="4"/>
                <w:kern w:val="0"/>
                <w:szCs w:val="21"/>
              </w:rPr>
              <w:t>[提示：由招标人事先在招标文件中按照有利于合同履行的原则确定</w:t>
            </w:r>
            <w:r>
              <w:rPr>
                <w:rFonts w:hint="eastAsia" w:asciiTheme="minorEastAsia" w:hAnsiTheme="minorEastAsia" w:eastAsiaTheme="minorEastAsia" w:cstheme="minorEastAsia"/>
                <w:i/>
                <w:color w:val="auto"/>
                <w:spacing w:val="4"/>
                <w:kern w:val="0"/>
                <w:szCs w:val="21"/>
                <w:highlight w:val="none"/>
                <w:lang w:eastAsia="zh-CN"/>
              </w:rPr>
              <w:t>，</w:t>
            </w:r>
            <w:r>
              <w:rPr>
                <w:rFonts w:hint="eastAsia" w:asciiTheme="minorEastAsia" w:hAnsiTheme="minorEastAsia" w:eastAsiaTheme="minorEastAsia" w:cstheme="minorEastAsia"/>
                <w:i/>
                <w:color w:val="auto"/>
                <w:spacing w:val="4"/>
                <w:kern w:val="0"/>
                <w:szCs w:val="21"/>
                <w:highlight w:val="none"/>
                <w:lang w:val="en-US" w:eastAsia="zh-CN"/>
              </w:rPr>
              <w:t>但不得采用抽签、摇号方式直接确定中标候选人</w:t>
            </w:r>
            <w:r>
              <w:rPr>
                <w:rFonts w:hint="eastAsia" w:ascii="宋体" w:hAnsi="宋体"/>
                <w:i/>
                <w:spacing w:val="4"/>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rPr>
            </w:pPr>
            <w:r>
              <w:rPr>
                <w:rFonts w:hint="eastAsia" w:ascii="宋体" w:hAnsi="宋体"/>
              </w:rPr>
              <w:t>3.4</w:t>
            </w:r>
          </w:p>
        </w:tc>
        <w:tc>
          <w:tcPr>
            <w:tcW w:w="1560" w:type="dxa"/>
            <w:tcBorders>
              <w:left w:val="single" w:color="auto" w:sz="4" w:space="0"/>
              <w:right w:val="single" w:color="auto" w:sz="4" w:space="0"/>
            </w:tcBorders>
            <w:vAlign w:val="center"/>
          </w:tcPr>
          <w:p>
            <w:pPr>
              <w:spacing w:line="400" w:lineRule="exact"/>
              <w:jc w:val="center"/>
              <w:rPr>
                <w:rFonts w:ascii="宋体" w:hAnsi="宋体"/>
              </w:rPr>
            </w:pPr>
            <w:r>
              <w:rPr>
                <w:rFonts w:ascii="宋体" w:hAnsi="宋体"/>
              </w:rPr>
              <w:t>评标结果</w:t>
            </w:r>
          </w:p>
        </w:tc>
        <w:tc>
          <w:tcPr>
            <w:tcW w:w="6882"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hint="eastAsia" w:ascii="宋体" w:hAnsi="宋体"/>
                <w:kern w:val="0"/>
                <w:szCs w:val="21"/>
              </w:rPr>
              <w:t xml:space="preserve"> </w:t>
            </w: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p>
            <w:pPr>
              <w:spacing w:line="400" w:lineRule="exact"/>
              <w:ind w:firstLine="424" w:firstLineChars="200"/>
              <w:rPr>
                <w:rFonts w:ascii="宋体" w:hAnsi="宋体"/>
              </w:rPr>
            </w:pPr>
            <w:r>
              <w:rPr>
                <w:rFonts w:ascii="宋体" w:hAnsi="宋体"/>
                <w:spacing w:val="1"/>
                <w:kern w:val="0"/>
                <w:szCs w:val="21"/>
              </w:rPr>
              <w:t>3</w:t>
            </w:r>
            <w:r>
              <w:rPr>
                <w:rFonts w:ascii="宋体" w:hAnsi="宋体"/>
                <w:kern w:val="0"/>
                <w:szCs w:val="21"/>
              </w:rPr>
              <w:t>.4.2</w:t>
            </w:r>
            <w:r>
              <w:rPr>
                <w:rFonts w:hint="eastAsia" w:ascii="宋体" w:hAnsi="宋体"/>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员会完成评标后，应当向招标人提交书面评标报告。</w:t>
            </w:r>
          </w:p>
        </w:tc>
      </w:tr>
    </w:tbl>
    <w:p>
      <w:pPr>
        <w:pStyle w:val="2"/>
      </w:pPr>
    </w:p>
    <w:p>
      <w:pPr>
        <w:pStyle w:val="2"/>
      </w:pPr>
    </w:p>
    <w:p>
      <w:pPr>
        <w:pStyle w:val="4"/>
        <w:spacing w:before="0" w:after="0" w:line="360" w:lineRule="auto"/>
        <w:rPr>
          <w:rFonts w:ascii="宋体" w:hAnsi="宋体"/>
          <w:bCs w:val="0"/>
          <w:snapToGrid w:val="0"/>
        </w:rPr>
      </w:pPr>
      <w:r>
        <w:rPr>
          <w:rFonts w:ascii="宋体" w:hAnsi="宋体"/>
          <w:bCs w:val="0"/>
          <w:snapToGrid w:val="0"/>
        </w:rPr>
        <w:br w:type="page"/>
      </w:r>
      <w:bookmarkStart w:id="658" w:name="_Toc57820616"/>
      <w:bookmarkStart w:id="659" w:name="_Toc26605"/>
      <w:bookmarkStart w:id="660" w:name="_Toc18528"/>
      <w:r>
        <w:rPr>
          <w:rFonts w:ascii="宋体" w:hAnsi="宋体"/>
          <w:b w:val="0"/>
          <w:snapToGrid w:val="0"/>
        </w:rPr>
        <w:t>1.  评标方法</w:t>
      </w:r>
      <w:bookmarkEnd w:id="658"/>
      <w:bookmarkEnd w:id="659"/>
      <w:bookmarkEnd w:id="660"/>
    </w:p>
    <w:p>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ascii="宋体" w:hAnsi="宋体"/>
          <w:b w:val="0"/>
          <w:snapToGrid w:val="0"/>
        </w:rPr>
      </w:pPr>
      <w:bookmarkStart w:id="661" w:name="_Toc19580"/>
      <w:bookmarkStart w:id="662" w:name="_Toc7094"/>
      <w:bookmarkStart w:id="663" w:name="_Toc57820617"/>
      <w:r>
        <w:rPr>
          <w:rFonts w:ascii="宋体" w:hAnsi="宋体"/>
          <w:b w:val="0"/>
          <w:snapToGrid w:val="0"/>
        </w:rPr>
        <w:t>2.  评审标准</w:t>
      </w:r>
      <w:bookmarkEnd w:id="661"/>
      <w:bookmarkEnd w:id="662"/>
      <w:bookmarkEnd w:id="663"/>
    </w:p>
    <w:p>
      <w:pPr>
        <w:pStyle w:val="5"/>
        <w:spacing w:before="0" w:after="0" w:line="360" w:lineRule="auto"/>
        <w:rPr>
          <w:rFonts w:ascii="宋体" w:hAnsi="宋体" w:cs="宋体"/>
          <w:sz w:val="21"/>
          <w:szCs w:val="21"/>
        </w:rPr>
      </w:pPr>
      <w:bookmarkStart w:id="664" w:name="_Toc57820618"/>
      <w:bookmarkStart w:id="665" w:name="_Toc370"/>
      <w:bookmarkStart w:id="666" w:name="_Toc22673"/>
      <w:r>
        <w:rPr>
          <w:rFonts w:ascii="宋体" w:hAnsi="宋体" w:cs="宋体"/>
          <w:sz w:val="21"/>
          <w:szCs w:val="21"/>
        </w:rPr>
        <w:t>2.1</w:t>
      </w:r>
      <w:r>
        <w:rPr>
          <w:rFonts w:hint="eastAsia" w:ascii="宋体" w:hAnsi="宋体" w:cs="宋体"/>
          <w:sz w:val="21"/>
          <w:szCs w:val="21"/>
        </w:rPr>
        <w:t>报价</w:t>
      </w:r>
      <w:r>
        <w:rPr>
          <w:rFonts w:ascii="宋体" w:hAnsi="宋体" w:cs="宋体"/>
          <w:sz w:val="21"/>
          <w:szCs w:val="21"/>
        </w:rPr>
        <w:t>排序</w:t>
      </w:r>
      <w:r>
        <w:rPr>
          <w:rFonts w:hint="eastAsia" w:ascii="宋体" w:hAnsi="宋体" w:cs="宋体"/>
          <w:sz w:val="21"/>
          <w:szCs w:val="21"/>
        </w:rPr>
        <w:t>标准</w:t>
      </w:r>
      <w:bookmarkEnd w:id="664"/>
      <w:bookmarkEnd w:id="665"/>
      <w:bookmarkEnd w:id="666"/>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pPr>
        <w:pStyle w:val="5"/>
        <w:spacing w:before="0" w:after="0" w:line="360" w:lineRule="auto"/>
        <w:rPr>
          <w:rFonts w:ascii="宋体" w:hAnsi="宋体" w:cs="宋体"/>
          <w:sz w:val="21"/>
          <w:szCs w:val="21"/>
        </w:rPr>
      </w:pPr>
      <w:bookmarkStart w:id="667" w:name="_Toc57820619"/>
      <w:bookmarkStart w:id="668" w:name="_Toc26376"/>
      <w:bookmarkStart w:id="669" w:name="_Toc26142"/>
      <w:r>
        <w:rPr>
          <w:rFonts w:ascii="宋体" w:hAnsi="宋体" w:cs="宋体"/>
          <w:sz w:val="21"/>
          <w:szCs w:val="21"/>
        </w:rPr>
        <w:t>2.</w:t>
      </w:r>
      <w:r>
        <w:rPr>
          <w:rFonts w:hint="eastAsia" w:ascii="宋体" w:hAnsi="宋体" w:cs="宋体"/>
          <w:sz w:val="21"/>
          <w:szCs w:val="21"/>
        </w:rPr>
        <w:t>2符合性审查标准</w:t>
      </w:r>
      <w:bookmarkEnd w:id="667"/>
      <w:bookmarkEnd w:id="668"/>
      <w:bookmarkEnd w:id="669"/>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按评标办法前附表约定的投标单位报价排序数量进行符合性审查</w:t>
      </w:r>
      <w:r>
        <w:rPr>
          <w:rFonts w:hint="eastAsia" w:ascii="宋体" w:hAnsi="宋体"/>
          <w:spacing w:val="4"/>
          <w:kern w:val="0"/>
          <w:szCs w:val="21"/>
        </w:rPr>
        <w:t>。符合性审查内容：技术方案评审（如有）、资格评审、形式评审、响应性、</w:t>
      </w:r>
      <w:r>
        <w:rPr>
          <w:rFonts w:hint="eastAsia" w:ascii="宋体" w:hAnsi="宋体"/>
          <w:spacing w:val="4"/>
          <w:kern w:val="0"/>
          <w:szCs w:val="21"/>
          <w:lang w:eastAsia="zh-CN"/>
        </w:rPr>
        <w:t>投标函部分及报价部分</w:t>
      </w:r>
      <w:r>
        <w:rPr>
          <w:rFonts w:hint="eastAsia" w:ascii="宋体" w:hAnsi="宋体"/>
          <w:spacing w:val="4"/>
          <w:kern w:val="0"/>
          <w:szCs w:val="21"/>
        </w:rPr>
        <w:t>评审</w:t>
      </w:r>
      <w:r>
        <w:rPr>
          <w:rFonts w:hint="eastAsia" w:ascii="宋体" w:hAnsi="宋体" w:cs="宋体"/>
          <w:szCs w:val="21"/>
        </w:rPr>
        <w:t>。</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技术方案评审标准：见评标办法前附表。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 xml:space="preserve">2.2.5  </w:t>
      </w:r>
      <w:r>
        <w:rPr>
          <w:rFonts w:hint="eastAsia" w:ascii="宋体" w:hAnsi="宋体" w:cs="宋体"/>
          <w:szCs w:val="21"/>
          <w:lang w:eastAsia="zh-CN"/>
        </w:rPr>
        <w:t>投标函部分及报价部分</w:t>
      </w:r>
      <w:r>
        <w:rPr>
          <w:rFonts w:hint="eastAsia" w:ascii="宋体" w:hAnsi="宋体" w:cs="宋体"/>
          <w:szCs w:val="21"/>
        </w:rPr>
        <w:t>评审标准：见评标办法前附表。</w:t>
      </w:r>
    </w:p>
    <w:p>
      <w:pPr>
        <w:pStyle w:val="4"/>
        <w:spacing w:before="0" w:after="0" w:line="360" w:lineRule="auto"/>
        <w:rPr>
          <w:rFonts w:ascii="宋体" w:hAnsi="宋体"/>
          <w:b w:val="0"/>
          <w:snapToGrid w:val="0"/>
        </w:rPr>
      </w:pPr>
      <w:bookmarkStart w:id="670" w:name="_Toc57820620"/>
      <w:bookmarkStart w:id="671" w:name="_Toc5919"/>
      <w:bookmarkStart w:id="672" w:name="_Toc17272"/>
      <w:r>
        <w:rPr>
          <w:rFonts w:ascii="宋体" w:hAnsi="宋体"/>
          <w:b w:val="0"/>
          <w:snapToGrid w:val="0"/>
        </w:rPr>
        <w:t>3.  评标程序</w:t>
      </w:r>
      <w:bookmarkEnd w:id="670"/>
      <w:bookmarkEnd w:id="671"/>
      <w:bookmarkEnd w:id="672"/>
    </w:p>
    <w:p>
      <w:pPr>
        <w:pStyle w:val="5"/>
        <w:spacing w:before="0" w:after="0" w:line="360" w:lineRule="auto"/>
        <w:rPr>
          <w:rFonts w:ascii="宋体" w:hAnsi="宋体" w:cs="宋体"/>
          <w:sz w:val="21"/>
          <w:szCs w:val="21"/>
        </w:rPr>
      </w:pPr>
      <w:bookmarkStart w:id="673" w:name="_Toc27136"/>
      <w:bookmarkStart w:id="674" w:name="_Toc20953"/>
      <w:bookmarkStart w:id="675" w:name="_Toc57820621"/>
      <w:r>
        <w:rPr>
          <w:rFonts w:ascii="宋体" w:hAnsi="宋体" w:cs="宋体"/>
          <w:sz w:val="21"/>
          <w:szCs w:val="21"/>
        </w:rPr>
        <w:t>3.1</w:t>
      </w:r>
      <w:r>
        <w:rPr>
          <w:rFonts w:hint="eastAsia" w:ascii="宋体" w:hAnsi="宋体" w:cs="宋体"/>
          <w:sz w:val="21"/>
          <w:szCs w:val="21"/>
        </w:rPr>
        <w:t>报价排序</w:t>
      </w:r>
      <w:bookmarkEnd w:id="673"/>
      <w:bookmarkEnd w:id="674"/>
      <w:bookmarkEnd w:id="675"/>
    </w:p>
    <w:p>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对报价不高于最高限价的所有投标人的投标文件，按照报价由低到高的顺序排序。需技术方案评审的，由电子评标系统对技术方案进行自动随机编号。在</w:t>
      </w:r>
      <w:r>
        <w:rPr>
          <w:rFonts w:hint="eastAsia" w:ascii="宋体" w:hAnsi="宋体" w:cs="宋体"/>
          <w:szCs w:val="21"/>
          <w:lang w:eastAsia="zh-CN"/>
        </w:rPr>
        <w:t>投标函部分及报价部分</w:t>
      </w:r>
      <w:r>
        <w:rPr>
          <w:rFonts w:hint="eastAsia" w:ascii="宋体" w:hAnsi="宋体" w:cs="宋体"/>
          <w:szCs w:val="21"/>
        </w:rPr>
        <w:t>评审前，推送给评标委员会的投标文件不得显示排序。</w:t>
      </w:r>
    </w:p>
    <w:p>
      <w:pPr>
        <w:pStyle w:val="5"/>
        <w:spacing w:before="0" w:after="0" w:line="360" w:lineRule="auto"/>
        <w:rPr>
          <w:rFonts w:ascii="宋体" w:hAnsi="宋体" w:cs="宋体"/>
          <w:sz w:val="21"/>
          <w:szCs w:val="21"/>
        </w:rPr>
      </w:pPr>
      <w:bookmarkStart w:id="676" w:name="_Toc57820622"/>
      <w:bookmarkStart w:id="677" w:name="_Toc30434"/>
      <w:bookmarkStart w:id="678" w:name="_Toc18965"/>
      <w:r>
        <w:rPr>
          <w:rFonts w:ascii="宋体" w:hAnsi="宋体" w:cs="宋体"/>
          <w:sz w:val="21"/>
          <w:szCs w:val="21"/>
        </w:rPr>
        <w:t>3.</w:t>
      </w:r>
      <w:r>
        <w:rPr>
          <w:rFonts w:hint="eastAsia" w:ascii="宋体" w:hAnsi="宋体" w:cs="宋体"/>
          <w:sz w:val="21"/>
          <w:szCs w:val="21"/>
        </w:rPr>
        <w:t>2符合性审查</w:t>
      </w:r>
      <w:bookmarkEnd w:id="676"/>
      <w:bookmarkEnd w:id="677"/>
      <w:bookmarkEnd w:id="678"/>
    </w:p>
    <w:p>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款规定的标准对投标文件进行符合性审查。符合性审查顺序：技术方案评审（如有）、资格评审、形式评审、响应性、</w:t>
      </w:r>
      <w:r>
        <w:rPr>
          <w:rFonts w:hint="eastAsia" w:ascii="宋体" w:hAnsi="宋体" w:cs="宋体"/>
          <w:szCs w:val="21"/>
          <w:lang w:eastAsia="zh-CN"/>
        </w:rPr>
        <w:t>投标函部分及报价部分</w:t>
      </w:r>
      <w:r>
        <w:rPr>
          <w:rFonts w:hint="eastAsia" w:ascii="宋体" w:hAnsi="宋体" w:cs="宋体"/>
          <w:szCs w:val="21"/>
        </w:rPr>
        <w:t>评审。</w:t>
      </w:r>
    </w:p>
    <w:p>
      <w:pPr>
        <w:spacing w:line="360" w:lineRule="auto"/>
        <w:ind w:firstLine="413" w:firstLineChars="197"/>
        <w:rPr>
          <w:rFonts w:ascii="宋体" w:hAnsi="宋体" w:cs="宋体"/>
          <w:szCs w:val="21"/>
        </w:rPr>
      </w:pPr>
      <w:r>
        <w:rPr>
          <w:rFonts w:hint="eastAsia" w:ascii="宋体" w:hAnsi="宋体" w:cs="宋体"/>
          <w:szCs w:val="21"/>
        </w:rPr>
        <w:t>勾选技术方案评审的，符合性审查应首先进行技术方案审查，再按照资格、形式、响应性、</w:t>
      </w:r>
      <w:r>
        <w:rPr>
          <w:rFonts w:hint="eastAsia" w:ascii="宋体" w:hAnsi="宋体" w:cs="宋体"/>
          <w:szCs w:val="21"/>
          <w:lang w:eastAsia="zh-CN"/>
        </w:rPr>
        <w:t>投标函部分及报价部分</w:t>
      </w:r>
      <w:r>
        <w:rPr>
          <w:rFonts w:hint="eastAsia" w:ascii="宋体" w:hAnsi="宋体" w:cs="宋体"/>
          <w:szCs w:val="21"/>
        </w:rPr>
        <w:t>的顺序进行评审。有一项不符合评审标准的，作否决投标处理。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pPr>
        <w:spacing w:line="360" w:lineRule="auto"/>
        <w:ind w:firstLine="405" w:firstLineChars="193"/>
        <w:rPr>
          <w:rFonts w:ascii="宋体" w:hAnsi="宋体" w:cs="宋体"/>
          <w:szCs w:val="21"/>
        </w:rPr>
      </w:pPr>
      <w:r>
        <w:rPr>
          <w:rFonts w:hint="eastAsia" w:ascii="宋体" w:hAnsi="宋体" w:cs="宋体"/>
          <w:szCs w:val="21"/>
        </w:rPr>
        <w:t>（1</w:t>
      </w:r>
      <w:r>
        <w:rPr>
          <w:rFonts w:ascii="宋体" w:hAnsi="宋体" w:cs="宋体"/>
          <w:szCs w:val="21"/>
        </w:rPr>
        <w:t xml:space="preserve">）第二章“投标人须知”第1.4.3 </w:t>
      </w:r>
      <w:r>
        <w:rPr>
          <w:rFonts w:hint="eastAsia" w:ascii="宋体" w:hAnsi="宋体" w:cs="宋体"/>
          <w:szCs w:val="21"/>
        </w:rPr>
        <w:t>项</w:t>
      </w:r>
      <w:r>
        <w:rPr>
          <w:rFonts w:ascii="宋体" w:hAnsi="宋体" w:cs="宋体"/>
          <w:szCs w:val="21"/>
        </w:rPr>
        <w:t>规定的任何一种情形的；</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本次投标有串通投标、弄虚作假等其他违反招投标相关法律、法规行为的；</w:t>
      </w:r>
    </w:p>
    <w:p>
      <w:pPr>
        <w:spacing w:line="360" w:lineRule="auto"/>
        <w:ind w:firstLine="420" w:firstLineChars="200"/>
        <w:rPr>
          <w:rFonts w:ascii="宋体" w:hAnsi="宋体" w:cs="宋体"/>
          <w:szCs w:val="21"/>
        </w:rPr>
      </w:pPr>
      <w:r>
        <w:rPr>
          <w:rFonts w:hint="eastAsia" w:ascii="宋体" w:hAnsi="宋体" w:cs="宋体"/>
          <w:szCs w:val="21"/>
        </w:rPr>
        <w:t>（3）拒绝按评标委员会要求澄清、说明或补正的。</w:t>
      </w:r>
    </w:p>
    <w:p>
      <w:pPr>
        <w:spacing w:line="360" w:lineRule="auto"/>
        <w:ind w:firstLine="420" w:firstLineChars="200"/>
        <w:rPr>
          <w:rFonts w:ascii="宋体" w:hAnsi="宋体" w:cs="宋体"/>
          <w:szCs w:val="21"/>
        </w:rPr>
      </w:pPr>
      <w:r>
        <w:rPr>
          <w:rFonts w:hint="eastAsia" w:ascii="宋体" w:hAnsi="宋体" w:cs="宋体"/>
          <w:szCs w:val="21"/>
        </w:rPr>
        <w:t>3.2.3 投标报价有算术错误的，评标委员会按以下原则对投标报价进行修正，修正的价格经投标人书面确认后具有约束力，修正原则如下：</w:t>
      </w:r>
    </w:p>
    <w:p>
      <w:pPr>
        <w:spacing w:line="360" w:lineRule="auto"/>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spacing w:line="360" w:lineRule="auto"/>
        <w:ind w:firstLine="420" w:firstLineChars="200"/>
        <w:rPr>
          <w:rFonts w:ascii="宋体" w:hAnsi="宋体" w:cs="宋体"/>
          <w:szCs w:val="21"/>
        </w:rPr>
      </w:pPr>
      <w:r>
        <w:rPr>
          <w:rFonts w:hint="eastAsia" w:ascii="宋体" w:hAnsi="宋体" w:cs="宋体"/>
          <w:szCs w:val="21"/>
        </w:rPr>
        <w:t>（2）投标函中的总报价与已标价工程量清单总报价不一致，</w:t>
      </w:r>
      <w:r>
        <w:rPr>
          <w:rFonts w:hint="eastAsia" w:ascii="宋体" w:hAnsi="宋体" w:cs="宋体"/>
          <w:szCs w:val="21"/>
          <w:lang w:val="en-US" w:eastAsia="zh-CN"/>
        </w:rPr>
        <w:t>或</w:t>
      </w:r>
      <w:r>
        <w:rPr>
          <w:rFonts w:hint="eastAsia" w:ascii="宋体" w:hAnsi="宋体" w:cs="宋体"/>
          <w:szCs w:val="21"/>
        </w:rPr>
        <w:t>工程量清单总报价与依据单价、工程数量、分部分项工程合价计算出的结果不一致的，由评标委员会作否决投标处理</w:t>
      </w:r>
      <w:r>
        <w:rPr>
          <w:rFonts w:hint="eastAsia" w:ascii="宋体" w:hAnsi="宋体" w:cs="宋体"/>
          <w:szCs w:val="21"/>
          <w:lang w:eastAsia="zh-CN"/>
        </w:rPr>
        <w:t>（</w:t>
      </w:r>
      <w:r>
        <w:rPr>
          <w:rFonts w:hint="eastAsia" w:ascii="宋体" w:hAnsi="宋体" w:cs="宋体"/>
          <w:szCs w:val="21"/>
          <w:lang w:val="en-US" w:eastAsia="zh-CN"/>
        </w:rPr>
        <w:t>如有</w:t>
      </w:r>
      <w:r>
        <w:rPr>
          <w:rFonts w:hint="eastAsia" w:ascii="宋体" w:hAnsi="宋体" w:cs="宋体"/>
          <w:szCs w:val="21"/>
          <w:lang w:eastAsia="zh-CN"/>
        </w:rPr>
        <w:t>）</w:t>
      </w:r>
      <w:r>
        <w:rPr>
          <w:rFonts w:hint="eastAsia" w:ascii="宋体" w:hAnsi="宋体" w:cs="宋体"/>
          <w:szCs w:val="21"/>
        </w:rPr>
        <w:t>。</w:t>
      </w:r>
    </w:p>
    <w:p>
      <w:pPr>
        <w:pStyle w:val="5"/>
        <w:spacing w:before="0" w:after="0" w:line="360" w:lineRule="auto"/>
        <w:rPr>
          <w:rFonts w:ascii="宋体" w:hAnsi="宋体" w:cs="宋体"/>
          <w:sz w:val="21"/>
          <w:szCs w:val="21"/>
        </w:rPr>
      </w:pPr>
      <w:bookmarkStart w:id="679" w:name="_Toc57820623"/>
      <w:bookmarkStart w:id="680" w:name="_Toc3065"/>
      <w:bookmarkStart w:id="681" w:name="_Toc23071"/>
      <w:r>
        <w:rPr>
          <w:rFonts w:ascii="宋体" w:hAnsi="宋体" w:cs="宋体"/>
          <w:sz w:val="21"/>
          <w:szCs w:val="21"/>
        </w:rPr>
        <w:t>3.</w:t>
      </w:r>
      <w:r>
        <w:rPr>
          <w:rFonts w:hint="eastAsia" w:ascii="宋体" w:hAnsi="宋体" w:cs="宋体"/>
          <w:sz w:val="21"/>
          <w:szCs w:val="21"/>
        </w:rPr>
        <w:t>3</w:t>
      </w:r>
      <w:r>
        <w:rPr>
          <w:rFonts w:ascii="宋体" w:hAnsi="宋体" w:cs="宋体"/>
          <w:sz w:val="21"/>
          <w:szCs w:val="21"/>
        </w:rPr>
        <w:t xml:space="preserve"> </w:t>
      </w:r>
      <w:r>
        <w:rPr>
          <w:rFonts w:hint="eastAsia" w:ascii="宋体" w:hAnsi="宋体" w:cs="宋体"/>
          <w:sz w:val="21"/>
          <w:szCs w:val="21"/>
        </w:rPr>
        <w:t>投标文件的澄清和补正</w:t>
      </w:r>
      <w:bookmarkEnd w:id="679"/>
      <w:bookmarkEnd w:id="680"/>
      <w:bookmarkEnd w:id="681"/>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.1 </w:t>
      </w:r>
      <w:r>
        <w:rPr>
          <w:rFonts w:hint="eastAsia" w:ascii="宋体" w:hAnsi="宋体" w:cs="宋体"/>
          <w:szCs w:val="21"/>
        </w:rPr>
        <w:t>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.2 </w:t>
      </w:r>
      <w:r>
        <w:rPr>
          <w:rFonts w:hint="eastAsia" w:ascii="宋体" w:hAnsi="宋体" w:cs="宋体"/>
          <w:szCs w:val="21"/>
        </w:rPr>
        <w:t>澄清、说明和补正不得改变投标文件的实质性内容（算术性错误修正的除外）。投标人的书面澄清、说明和补正属于投标文件的组成部分。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.3 </w:t>
      </w:r>
      <w:r>
        <w:rPr>
          <w:rFonts w:hint="eastAsia" w:ascii="宋体" w:hAnsi="宋体" w:cs="宋体"/>
          <w:szCs w:val="21"/>
        </w:rPr>
        <w:t>评标委员会对投标人提交的澄清、说明或补正有疑问的，可以要求投标人进一步澄清、说明或补正，直至满足评标委员会的要求。</w:t>
      </w:r>
    </w:p>
    <w:p>
      <w:pPr>
        <w:pStyle w:val="5"/>
        <w:spacing w:before="0" w:after="0" w:line="360" w:lineRule="auto"/>
        <w:rPr>
          <w:rFonts w:ascii="宋体" w:hAnsi="宋体" w:cs="宋体"/>
          <w:sz w:val="21"/>
          <w:szCs w:val="21"/>
        </w:rPr>
      </w:pPr>
      <w:bookmarkStart w:id="682" w:name="_Toc484465184"/>
      <w:bookmarkStart w:id="683" w:name="_Toc57820624"/>
      <w:bookmarkStart w:id="684" w:name="_Toc479262406"/>
      <w:bookmarkStart w:id="685" w:name="_Toc875"/>
      <w:bookmarkStart w:id="686" w:name="_Toc18550"/>
      <w:r>
        <w:rPr>
          <w:rFonts w:ascii="宋体" w:hAnsi="宋体" w:cs="宋体"/>
          <w:sz w:val="21"/>
          <w:szCs w:val="21"/>
        </w:rPr>
        <w:t>3.</w:t>
      </w:r>
      <w:r>
        <w:rPr>
          <w:rFonts w:hint="eastAsia" w:ascii="宋体" w:hAnsi="宋体" w:cs="宋体"/>
          <w:sz w:val="21"/>
          <w:szCs w:val="21"/>
        </w:rPr>
        <w:t>4</w:t>
      </w:r>
      <w:r>
        <w:rPr>
          <w:rFonts w:ascii="宋体" w:hAnsi="宋体" w:cs="宋体"/>
          <w:sz w:val="21"/>
          <w:szCs w:val="21"/>
        </w:rPr>
        <w:t xml:space="preserve"> </w:t>
      </w:r>
      <w:r>
        <w:rPr>
          <w:rFonts w:hint="eastAsia" w:ascii="宋体" w:hAnsi="宋体" w:cs="宋体"/>
          <w:sz w:val="21"/>
          <w:szCs w:val="21"/>
        </w:rPr>
        <w:t>评标结果</w:t>
      </w:r>
      <w:bookmarkEnd w:id="682"/>
      <w:bookmarkEnd w:id="683"/>
      <w:bookmarkEnd w:id="684"/>
      <w:bookmarkEnd w:id="685"/>
      <w:bookmarkEnd w:id="686"/>
    </w:p>
    <w:p>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 xml:space="preserve"> 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szCs w:val="21"/>
        </w:rPr>
      </w:pPr>
      <w:r>
        <w:rPr>
          <w:rFonts w:ascii="宋体" w:hAnsi="宋体" w:cs="宋体"/>
          <w:szCs w:val="21"/>
        </w:rPr>
        <w:t>3.</w:t>
      </w:r>
      <w:r>
        <w:rPr>
          <w:rFonts w:hint="eastAsia" w:ascii="宋体" w:hAnsi="宋体" w:cs="宋体"/>
          <w:szCs w:val="21"/>
        </w:rPr>
        <w:t>4</w:t>
      </w:r>
      <w:r>
        <w:rPr>
          <w:rFonts w:ascii="宋体" w:hAnsi="宋体" w:cs="宋体"/>
          <w:szCs w:val="21"/>
        </w:rPr>
        <w:t>.2</w:t>
      </w:r>
      <w:r>
        <w:rPr>
          <w:rFonts w:hint="eastAsia" w:ascii="宋体" w:hAnsi="宋体" w:cs="宋体"/>
          <w:szCs w:val="21"/>
        </w:rPr>
        <w:t xml:space="preserve"> 评标委员会完成评标后，应当向招标人提交书面评标报告和中标候选人名单。</w:t>
      </w:r>
    </w:p>
    <w:p>
      <w:pPr>
        <w:pStyle w:val="33"/>
        <w:spacing w:line="360" w:lineRule="auto"/>
        <w:rPr>
          <w:rFonts w:ascii="宋体" w:hAnsi="宋体"/>
          <w:b/>
          <w:sz w:val="28"/>
          <w:szCs w:val="28"/>
          <w:u w:val="none"/>
          <w:lang w:eastAsia="zh-CN"/>
        </w:rPr>
      </w:pPr>
      <w:r>
        <w:rPr>
          <w:rFonts w:ascii="宋体" w:hAnsi="宋体" w:cs="宋体"/>
          <w:szCs w:val="21"/>
          <w:lang w:eastAsia="zh-CN"/>
        </w:rPr>
        <w:br w:type="page"/>
      </w:r>
      <w:r>
        <w:rPr>
          <w:rFonts w:ascii="宋体" w:hAnsi="宋体"/>
          <w:b/>
          <w:sz w:val="28"/>
          <w:szCs w:val="28"/>
          <w:u w:val="none"/>
          <w:lang w:eastAsia="zh-CN"/>
        </w:rPr>
        <w:t>附件A：</w:t>
      </w:r>
      <w:r>
        <w:rPr>
          <w:rFonts w:hint="eastAsia" w:ascii="宋体" w:hAnsi="宋体"/>
          <w:b/>
          <w:sz w:val="28"/>
          <w:szCs w:val="28"/>
          <w:u w:val="none"/>
          <w:lang w:eastAsia="zh-CN"/>
        </w:rPr>
        <w:t>经评审的最低投标价法</w:t>
      </w:r>
      <w:r>
        <w:rPr>
          <w:rFonts w:ascii="宋体" w:hAnsi="宋体"/>
          <w:b/>
          <w:sz w:val="28"/>
          <w:szCs w:val="28"/>
          <w:u w:val="none"/>
          <w:lang w:eastAsia="zh-CN"/>
        </w:rPr>
        <w:t>否决投标情况一览表</w:t>
      </w:r>
    </w:p>
    <w:p>
      <w:pPr>
        <w:pStyle w:val="33"/>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r>
        <w:rPr>
          <w:rFonts w:ascii="宋体" w:hAnsi="宋体"/>
          <w:sz w:val="21"/>
          <w:szCs w:val="21"/>
          <w:u w:val="none"/>
          <w:lang w:eastAsia="zh-CN"/>
        </w:rPr>
        <w:t>。</w:t>
      </w:r>
    </w:p>
    <w:tbl>
      <w:tblPr>
        <w:tblStyle w:val="45"/>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pPr>
              <w:spacing w:line="400" w:lineRule="exact"/>
              <w:jc w:val="center"/>
              <w:rPr>
                <w:rFonts w:ascii="宋体" w:hAnsi="宋体"/>
                <w:b/>
                <w:szCs w:val="21"/>
              </w:rPr>
            </w:pPr>
            <w:r>
              <w:rPr>
                <w:rFonts w:ascii="宋体" w:hAnsi="宋体"/>
                <w:b/>
                <w:szCs w:val="21"/>
              </w:rPr>
              <w:t>章节号</w:t>
            </w:r>
          </w:p>
        </w:tc>
        <w:tc>
          <w:tcPr>
            <w:tcW w:w="1515" w:type="dxa"/>
            <w:vAlign w:val="center"/>
          </w:tcPr>
          <w:p>
            <w:pPr>
              <w:spacing w:line="400" w:lineRule="exact"/>
              <w:jc w:val="center"/>
              <w:rPr>
                <w:rFonts w:ascii="宋体" w:hAnsi="宋体"/>
                <w:b/>
                <w:szCs w:val="21"/>
              </w:rPr>
            </w:pPr>
            <w:r>
              <w:rPr>
                <w:rFonts w:ascii="宋体" w:hAnsi="宋体"/>
                <w:b/>
                <w:szCs w:val="21"/>
              </w:rPr>
              <w:t>条款名称</w:t>
            </w:r>
          </w:p>
        </w:tc>
        <w:tc>
          <w:tcPr>
            <w:tcW w:w="6333" w:type="dxa"/>
            <w:vAlign w:val="center"/>
          </w:tcPr>
          <w:p>
            <w:pPr>
              <w:spacing w:line="400" w:lineRule="exact"/>
              <w:jc w:val="center"/>
              <w:rPr>
                <w:rFonts w:ascii="宋体" w:hAnsi="宋体"/>
                <w:b/>
                <w:szCs w:val="21"/>
              </w:rPr>
            </w:pPr>
            <w:r>
              <w:rPr>
                <w:rFonts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vAlign w:val="center"/>
          </w:tcPr>
          <w:p>
            <w:pPr>
              <w:spacing w:line="400" w:lineRule="exact"/>
              <w:jc w:val="center"/>
              <w:rPr>
                <w:rFonts w:ascii="宋体" w:hAnsi="宋体"/>
                <w:szCs w:val="21"/>
              </w:rPr>
            </w:pPr>
            <w:r>
              <w:rPr>
                <w:rFonts w:hint="eastAsia" w:ascii="宋体" w:hAnsi="宋体"/>
                <w:szCs w:val="21"/>
              </w:rPr>
              <w:t>第三章</w:t>
            </w:r>
          </w:p>
        </w:tc>
        <w:tc>
          <w:tcPr>
            <w:tcW w:w="1515" w:type="dxa"/>
            <w:tcBorders>
              <w:bottom w:val="single" w:color="auto" w:sz="4" w:space="0"/>
            </w:tcBorders>
            <w:vAlign w:val="center"/>
          </w:tcPr>
          <w:p>
            <w:pPr>
              <w:spacing w:line="400" w:lineRule="exact"/>
              <w:jc w:val="center"/>
              <w:rPr>
                <w:rFonts w:ascii="宋体" w:hAnsi="宋体"/>
                <w:szCs w:val="21"/>
              </w:rPr>
            </w:pPr>
            <w:r>
              <w:rPr>
                <w:rFonts w:hint="eastAsia" w:ascii="宋体" w:hAnsi="宋体"/>
                <w:szCs w:val="21"/>
              </w:rPr>
              <w:t>技术方案评审</w:t>
            </w:r>
          </w:p>
          <w:p>
            <w:pPr>
              <w:spacing w:line="400" w:lineRule="exact"/>
              <w:jc w:val="center"/>
              <w:rPr>
                <w:rFonts w:ascii="宋体" w:hAnsi="宋体"/>
                <w:szCs w:val="21"/>
              </w:rPr>
            </w:pPr>
            <w:r>
              <w:rPr>
                <w:rFonts w:hint="eastAsia" w:ascii="宋体" w:hAnsi="宋体"/>
                <w:szCs w:val="21"/>
              </w:rPr>
              <w:t>（如有）</w:t>
            </w:r>
          </w:p>
        </w:tc>
        <w:tc>
          <w:tcPr>
            <w:tcW w:w="6333" w:type="dxa"/>
            <w:vAlign w:val="center"/>
          </w:tcPr>
          <w:p>
            <w:pPr>
              <w:spacing w:line="400" w:lineRule="exact"/>
              <w:ind w:firstLine="420" w:firstLineChars="200"/>
              <w:rPr>
                <w:rFonts w:hint="eastAsia" w:ascii="宋体" w:hAnsi="宋体" w:eastAsia="宋体"/>
                <w:szCs w:val="21"/>
                <w:lang w:val="en-US" w:eastAsia="zh-CN"/>
              </w:rPr>
            </w:pPr>
            <w:r>
              <w:rPr>
                <w:rFonts w:hint="eastAsia" w:ascii="宋体" w:hAnsi="宋体"/>
                <w:szCs w:val="21"/>
              </w:rPr>
              <w:t>A-1投标人的技术方案综合性评审不合格，由评标委员会作否决投标处理。</w:t>
            </w:r>
            <w:r>
              <w:rPr>
                <w:rFonts w:hint="eastAsia" w:ascii="宋体" w:hAnsi="宋体"/>
                <w:szCs w:val="21"/>
                <w:lang w:val="en-US" w:eastAsia="zh-CN"/>
              </w:rPr>
              <w:t>技术方案采用暗标评审时，其形式应符合</w:t>
            </w:r>
            <w:r>
              <w:rPr>
                <w:rFonts w:hint="eastAsia" w:ascii="宋体" w:hAnsi="宋体"/>
                <w:szCs w:val="21"/>
              </w:rPr>
              <w:t>第二章投标人须知前附表第3.7.5项（3）技术部分</w:t>
            </w:r>
            <w:r>
              <w:rPr>
                <w:rFonts w:hint="eastAsia" w:ascii="宋体" w:hAnsi="宋体"/>
                <w:szCs w:val="21"/>
                <w:lang w:val="en-US" w:eastAsia="zh-CN"/>
              </w:rPr>
              <w:t>的</w:t>
            </w:r>
            <w:r>
              <w:rPr>
                <w:rFonts w:hint="eastAsia" w:ascii="宋体" w:hAnsi="宋体"/>
                <w:szCs w:val="21"/>
              </w:rPr>
              <w:t>要求</w:t>
            </w:r>
            <w:r>
              <w:rPr>
                <w:rFonts w:hint="eastAsia" w:ascii="宋体" w:hAnsi="宋体"/>
                <w:szCs w:val="21"/>
                <w:lang w:eastAsia="zh-CN"/>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szCs w:val="21"/>
              </w:rPr>
            </w:pPr>
          </w:p>
        </w:tc>
        <w:tc>
          <w:tcPr>
            <w:tcW w:w="1515" w:type="dxa"/>
            <w:vMerge w:val="restart"/>
            <w:tcBorders>
              <w:top w:val="single" w:color="auto" w:sz="4" w:space="0"/>
            </w:tcBorders>
            <w:vAlign w:val="center"/>
          </w:tcPr>
          <w:p>
            <w:pPr>
              <w:spacing w:line="400" w:lineRule="exact"/>
              <w:jc w:val="center"/>
              <w:rPr>
                <w:rFonts w:ascii="宋体" w:hAnsi="宋体"/>
                <w:szCs w:val="21"/>
              </w:rPr>
            </w:pPr>
            <w:r>
              <w:rPr>
                <w:rFonts w:hint="eastAsia" w:ascii="宋体" w:hAnsi="宋体"/>
                <w:szCs w:val="21"/>
              </w:rPr>
              <w:t>资格评审</w:t>
            </w: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A-2投标人的资质条件、独立法人资格及安全生产条件须满足投标人须知前附表第1.4.1项的要求，否则由评标委员会作否决投标处理。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A-3投标人的财务须满足投标人须知前附表第1.4.1项的要求，否则由评标委员会作否决投标处理（如有）。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A-4投标人的业绩须满足投标人须知前附表第1.4.1项的要求，否则由评标委员会作否决投标处理（如有）。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A-5投标人的投标截止日投标资格情况须满足投标人须知前附表第1.4.1项的要求，否则由评标委员会作否决投标处理。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A-6投标人的项目经理资格须满足投标人须知前附表第1.4.1项的要求，否则由评标委员会作否决投标处理。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A-7投标人的其他要求须满足投标人须知前附表第1.4.1项的要求，否则由评标委员会作否决投标处理。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A-8若有联合体投标人，则：</w:t>
            </w:r>
          </w:p>
          <w:p>
            <w:pPr>
              <w:spacing w:line="400" w:lineRule="exact"/>
              <w:ind w:firstLine="420" w:firstLineChars="200"/>
              <w:rPr>
                <w:rFonts w:ascii="宋体" w:hAnsi="宋体"/>
                <w:szCs w:val="21"/>
              </w:rPr>
            </w:pPr>
            <w:r>
              <w:rPr>
                <w:rFonts w:hint="eastAsia" w:ascii="宋体" w:hAnsi="宋体"/>
                <w:szCs w:val="21"/>
              </w:rPr>
              <w:t>（1）联合体各方应按照招标文件提供的格式签订</w:t>
            </w:r>
            <w:r>
              <w:rPr>
                <w:rFonts w:hint="eastAsia" w:ascii="宋体" w:hAnsi="宋体"/>
                <w:szCs w:val="21"/>
                <w:lang w:eastAsia="zh-CN"/>
              </w:rPr>
              <w:t>共同投标协议</w:t>
            </w:r>
            <w:r>
              <w:rPr>
                <w:rFonts w:hint="eastAsia" w:ascii="宋体" w:hAnsi="宋体"/>
                <w:szCs w:val="21"/>
              </w:rPr>
              <w:t>，明确联合体牵头人和各方权利义务；</w:t>
            </w:r>
          </w:p>
          <w:p>
            <w:pPr>
              <w:spacing w:line="400" w:lineRule="exact"/>
              <w:ind w:firstLine="420" w:firstLineChars="200"/>
              <w:rPr>
                <w:rFonts w:ascii="宋体" w:hAnsi="宋体"/>
                <w:szCs w:val="21"/>
              </w:rPr>
            </w:pPr>
            <w:r>
              <w:rPr>
                <w:rFonts w:hint="eastAsia" w:ascii="宋体" w:hAnsi="宋体"/>
                <w:szCs w:val="21"/>
              </w:rPr>
              <w:t>（2）联合体各方均应当具备承担招标项目的相应能力，</w:t>
            </w:r>
            <w:r>
              <w:rPr>
                <w:rFonts w:hint="eastAsia" w:ascii="宋体" w:hAnsi="宋体"/>
                <w:szCs w:val="21"/>
                <w:lang w:eastAsia="zh-CN"/>
              </w:rPr>
              <w:t>共同投标协议</w:t>
            </w:r>
            <w:r>
              <w:rPr>
                <w:rFonts w:hint="eastAsia" w:ascii="宋体" w:hAnsi="宋体"/>
                <w:szCs w:val="21"/>
              </w:rPr>
              <w:t>约定同一专业分工由两个及以上单位共同承担的，按照资质等级较低的单位确定资质等级；</w:t>
            </w:r>
          </w:p>
          <w:p>
            <w:pPr>
              <w:spacing w:line="400" w:lineRule="exact"/>
              <w:ind w:firstLine="420" w:firstLineChars="200"/>
              <w:rPr>
                <w:rFonts w:ascii="宋体" w:hAnsi="宋体"/>
                <w:szCs w:val="21"/>
              </w:rPr>
            </w:pPr>
            <w:r>
              <w:rPr>
                <w:rFonts w:hint="eastAsia" w:ascii="宋体" w:hAnsi="宋体"/>
                <w:szCs w:val="21"/>
              </w:rPr>
              <w:t>（3）联合体各方不得再以自己名义单独或参加其他联合体在同一标段中投标。</w:t>
            </w:r>
          </w:p>
          <w:p>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restart"/>
            <w:vAlign w:val="center"/>
          </w:tcPr>
          <w:p>
            <w:pPr>
              <w:spacing w:line="400" w:lineRule="exact"/>
              <w:jc w:val="center"/>
              <w:rPr>
                <w:rFonts w:ascii="宋体" w:hAnsi="宋体"/>
                <w:szCs w:val="21"/>
              </w:rPr>
            </w:pPr>
            <w:r>
              <w:rPr>
                <w:rFonts w:hint="eastAsia" w:ascii="宋体" w:hAnsi="宋体"/>
                <w:szCs w:val="21"/>
              </w:rPr>
              <w:t>形式评审</w:t>
            </w:r>
          </w:p>
        </w:tc>
        <w:tc>
          <w:tcPr>
            <w:tcW w:w="6333" w:type="dxa"/>
          </w:tcPr>
          <w:p>
            <w:pPr>
              <w:spacing w:line="400" w:lineRule="exact"/>
              <w:ind w:firstLine="420" w:firstLineChars="200"/>
              <w:rPr>
                <w:rFonts w:ascii="宋体" w:hAnsi="宋体"/>
                <w:szCs w:val="21"/>
              </w:rPr>
            </w:pPr>
            <w:r>
              <w:rPr>
                <w:rFonts w:hint="eastAsia" w:ascii="宋体" w:hAnsi="宋体"/>
                <w:szCs w:val="21"/>
              </w:rPr>
              <w:t>A-9投标人名称必须与营业执照、资质证书、安全生产许可证一致，依法变更名称的应提交相应证明材料，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szCs w:val="21"/>
              </w:rPr>
            </w:pPr>
            <w:r>
              <w:rPr>
                <w:rFonts w:hint="eastAsia" w:ascii="宋体" w:hAnsi="宋体"/>
                <w:szCs w:val="21"/>
              </w:rPr>
              <w:t>A-10投标文件格式（不含投标函部分）符合第二章“投标人须知”第3.7款的要求，否则由评标委员会作否决投标处理。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kern w:val="0"/>
                <w:szCs w:val="21"/>
              </w:rPr>
              <w:t>编制投标文件时不得对第八章“投标文件格式”的相应要素作实质性修改，否则</w:t>
            </w:r>
            <w:r>
              <w:rPr>
                <w:rFonts w:hint="eastAsia" w:ascii="宋体" w:hAnsi="宋体"/>
                <w:szCs w:val="21"/>
              </w:rPr>
              <w:t>视为重大偏差，</w:t>
            </w:r>
            <w:r>
              <w:rPr>
                <w:rFonts w:hint="eastAsia" w:ascii="宋体" w:hAnsi="宋体"/>
                <w:kern w:val="0"/>
                <w:szCs w:val="21"/>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szCs w:val="21"/>
              </w:rPr>
            </w:pPr>
            <w:r>
              <w:rPr>
                <w:rFonts w:hint="eastAsia" w:ascii="宋体" w:hAnsi="宋体"/>
                <w:szCs w:val="21"/>
              </w:rPr>
              <w:t>A-11联合体参与投标的应提交</w:t>
            </w:r>
            <w:r>
              <w:rPr>
                <w:rFonts w:hint="eastAsia" w:ascii="宋体" w:hAnsi="宋体"/>
                <w:szCs w:val="21"/>
                <w:lang w:eastAsia="zh-CN"/>
              </w:rPr>
              <w:t>共同投标协议</w:t>
            </w:r>
            <w:r>
              <w:rPr>
                <w:rFonts w:hint="eastAsia" w:ascii="宋体" w:hAnsi="宋体"/>
                <w:szCs w:val="21"/>
              </w:rPr>
              <w:t>，并明确联合体牵头人。在</w:t>
            </w:r>
            <w:r>
              <w:rPr>
                <w:rFonts w:hint="eastAsia" w:ascii="宋体" w:hAnsi="宋体"/>
                <w:szCs w:val="21"/>
                <w:lang w:eastAsia="zh-CN"/>
              </w:rPr>
              <w:t>共同投标协议</w:t>
            </w:r>
            <w:r>
              <w:rPr>
                <w:rFonts w:hint="eastAsia" w:ascii="宋体" w:hAnsi="宋体"/>
                <w:szCs w:val="21"/>
              </w:rPr>
              <w:t>第5条联合体各成员单位内部的职责分工中填写的联合体所有成员单位名称应与其营业执照、资质证书、安全生产许可证一致，依法变更名称的应提交相应证明材料，否则由评标委员会作否决投标处理。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szCs w:val="21"/>
              </w:rPr>
            </w:pPr>
            <w:r>
              <w:rPr>
                <w:rFonts w:hint="eastAsia" w:ascii="宋体" w:hAnsi="宋体"/>
                <w:szCs w:val="21"/>
              </w:rPr>
              <w:t>A-12第八章 投标文件格式（不含投标函部分）要求法定代表人或其委托代理人签名（或盖章）的须齐全，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szCs w:val="21"/>
              </w:rPr>
              <w:t>否则由评标委员会作否决投标处理。</w:t>
            </w:r>
          </w:p>
          <w:p>
            <w:pPr>
              <w:spacing w:line="400" w:lineRule="exact"/>
              <w:ind w:firstLine="420" w:firstLineChars="200"/>
              <w:rPr>
                <w:rFonts w:ascii="宋体" w:hAnsi="宋体"/>
                <w:szCs w:val="21"/>
              </w:rPr>
            </w:pPr>
            <w:r>
              <w:rPr>
                <w:rFonts w:hint="eastAsia" w:ascii="宋体" w:hAnsi="宋体"/>
                <w:szCs w:val="21"/>
              </w:rPr>
              <w:t>若投标单位为联合体，则</w:t>
            </w:r>
            <w:r>
              <w:rPr>
                <w:rFonts w:hint="eastAsia" w:ascii="宋体" w:hAnsi="宋体"/>
                <w:szCs w:val="21"/>
                <w:lang w:eastAsia="zh-CN"/>
              </w:rPr>
              <w:t>共同投标协议</w:t>
            </w:r>
            <w:r>
              <w:rPr>
                <w:rFonts w:hint="eastAsia" w:ascii="宋体" w:hAnsi="宋体"/>
                <w:szCs w:val="21"/>
              </w:rPr>
              <w:t>中各联合体成员单位签名（或盖章）须齐全，</w:t>
            </w:r>
            <w:r>
              <w:rPr>
                <w:rFonts w:hint="eastAsia" w:ascii="宋体" w:hAnsi="宋体"/>
                <w:szCs w:val="21"/>
                <w:lang w:eastAsia="zh-CN"/>
              </w:rPr>
              <w:t>共同投标协议</w:t>
            </w:r>
            <w:r>
              <w:rPr>
                <w:rFonts w:hint="eastAsia" w:ascii="宋体" w:hAnsi="宋体"/>
                <w:szCs w:val="21"/>
              </w:rPr>
              <w:t>以外的投标文件格式中，要求法定代表人或其委托代理人签名（或盖章）的均由联合体牵头人法定代表人或其委托代理人签名（或盖章），否则由评标委员会作否决投标处理。</w:t>
            </w:r>
          </w:p>
          <w:p>
            <w:pPr>
              <w:spacing w:line="400" w:lineRule="exact"/>
              <w:ind w:firstLine="420" w:firstLineChars="200"/>
              <w:rPr>
                <w:rFonts w:ascii="宋体" w:hAnsi="宋体"/>
                <w:szCs w:val="21"/>
              </w:rPr>
            </w:pPr>
            <w:r>
              <w:rPr>
                <w:rFonts w:hint="eastAsia" w:ascii="宋体" w:hAnsi="宋体"/>
                <w:szCs w:val="21"/>
              </w:rPr>
              <w:t>第八章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szCs w:val="21"/>
              </w:rPr>
            </w:pPr>
            <w:r>
              <w:rPr>
                <w:rFonts w:hint="eastAsia" w:ascii="宋体" w:hAnsi="宋体"/>
                <w:szCs w:val="21"/>
              </w:rPr>
              <w:t>若投标单位为联合体，则</w:t>
            </w:r>
            <w:r>
              <w:rPr>
                <w:rFonts w:hint="eastAsia" w:ascii="宋体" w:hAnsi="宋体"/>
                <w:szCs w:val="21"/>
                <w:lang w:eastAsia="zh-CN"/>
              </w:rPr>
              <w:t>共同投标协议</w:t>
            </w:r>
            <w:r>
              <w:rPr>
                <w:rFonts w:hint="eastAsia" w:ascii="宋体" w:hAnsi="宋体"/>
                <w:szCs w:val="21"/>
              </w:rPr>
              <w:t>中要求各联合体成员盖单位法人章的，各联合体成员盖章须齐全，</w:t>
            </w:r>
            <w:r>
              <w:rPr>
                <w:rFonts w:hint="eastAsia" w:ascii="宋体" w:hAnsi="宋体"/>
                <w:szCs w:val="21"/>
                <w:lang w:eastAsia="zh-CN"/>
              </w:rPr>
              <w:t>共同投标协议</w:t>
            </w:r>
            <w:r>
              <w:rPr>
                <w:rFonts w:hint="eastAsia" w:ascii="宋体" w:hAnsi="宋体"/>
                <w:szCs w:val="21"/>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szCs w:val="21"/>
              </w:rPr>
            </w:pPr>
            <w:r>
              <w:rPr>
                <w:rFonts w:hint="eastAsia" w:ascii="宋体" w:hAnsi="宋体"/>
                <w:szCs w:val="21"/>
              </w:rPr>
              <w:t>A-13投标人法定代表人的委托代理人有法定代表人签署的授权委托书和投标人为其缴纳的养老保险证明材料。否则由评标委员会作否决投标处理。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restart"/>
            <w:vAlign w:val="center"/>
          </w:tcPr>
          <w:p>
            <w:pPr>
              <w:spacing w:line="400" w:lineRule="exact"/>
              <w:jc w:val="center"/>
              <w:rPr>
                <w:rFonts w:ascii="宋体" w:hAnsi="宋体"/>
                <w:szCs w:val="21"/>
              </w:rPr>
            </w:pPr>
            <w:r>
              <w:rPr>
                <w:rFonts w:hint="eastAsia" w:ascii="宋体" w:hAnsi="宋体"/>
                <w:szCs w:val="21"/>
              </w:rPr>
              <w:t>响应性评审</w:t>
            </w: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A-14投标内容符合第二章“投标人须知”第1.3.1项规定，否则由评标委员会作否决投标处理。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A-15投标人应按投标人须知前附表第3.4款规定递交投标保证金，并作为其投标文件的组成部分，否则由评标委员会作否决投标处理。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A-16符合第四章“合同条款及格式”规定，投标文件不应附有招标人不能接受的条件。否则由评标委员会作否决投标处理。（由投标人承诺，承诺书格式详见第八章投标文件格式。）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A-17符合第七章“技术标准和要求”规定。否则由评标委员会作否决投标处理（如有）。（由投标人承诺，承诺书格式详见第八章投标文件格式。）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A-18投标人有以下情形之一的，其投标文件由评标委员会</w:t>
            </w:r>
            <w:r>
              <w:rPr>
                <w:rFonts w:ascii="宋体" w:hAnsi="宋体"/>
                <w:szCs w:val="21"/>
              </w:rPr>
              <w:t>作否决投标处理</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1.第二章“投标人须知”第1.4.3项规定的任何一种情形的；</w:t>
            </w:r>
          </w:p>
          <w:p>
            <w:pPr>
              <w:spacing w:line="400" w:lineRule="exact"/>
              <w:ind w:firstLine="420" w:firstLineChars="200"/>
              <w:rPr>
                <w:rFonts w:ascii="宋体" w:hAnsi="宋体"/>
                <w:szCs w:val="21"/>
              </w:rPr>
            </w:pPr>
            <w:r>
              <w:rPr>
                <w:rFonts w:hint="eastAsia" w:ascii="宋体" w:hAnsi="宋体"/>
                <w:szCs w:val="21"/>
              </w:rPr>
              <w:t>2.本次投标有串通投标、弄虚作假等违反招投标相关法律、法规的行为的；</w:t>
            </w:r>
          </w:p>
          <w:p>
            <w:pPr>
              <w:spacing w:line="400" w:lineRule="exact"/>
              <w:ind w:firstLine="420" w:firstLineChars="200"/>
              <w:rPr>
                <w:rFonts w:ascii="宋体" w:hAnsi="宋体"/>
                <w:szCs w:val="21"/>
              </w:rPr>
            </w:pPr>
            <w:r>
              <w:rPr>
                <w:rFonts w:hint="eastAsia" w:ascii="宋体" w:hAnsi="宋体"/>
                <w:szCs w:val="21"/>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restart"/>
            <w:vAlign w:val="center"/>
          </w:tcPr>
          <w:p>
            <w:pPr>
              <w:spacing w:line="400" w:lineRule="exact"/>
              <w:jc w:val="center"/>
              <w:rPr>
                <w:rFonts w:ascii="宋体" w:hAnsi="宋体"/>
                <w:szCs w:val="21"/>
              </w:rPr>
            </w:pPr>
            <w:r>
              <w:rPr>
                <w:rFonts w:hint="eastAsia" w:ascii="宋体" w:hAnsi="宋体"/>
                <w:szCs w:val="21"/>
                <w:lang w:eastAsia="zh-CN"/>
              </w:rPr>
              <w:t>投标函部分及报价部分</w:t>
            </w:r>
            <w:r>
              <w:rPr>
                <w:rFonts w:ascii="宋体" w:hAnsi="宋体"/>
                <w:szCs w:val="21"/>
              </w:rPr>
              <w:t>评审</w:t>
            </w: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A-19</w:t>
            </w:r>
            <w:r>
              <w:rPr>
                <w:rFonts w:hint="eastAsia" w:ascii="宋体" w:hAnsi="宋体" w:cs="宋体"/>
                <w:kern w:val="0"/>
              </w:rPr>
              <w:t>投标函部分的格式要求法定代表人或其委托代理人签名（或盖章）的须齐全，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cs="宋体"/>
                <w:kern w:val="0"/>
              </w:rPr>
              <w:t>要求加盖单位法人章的，应使用 CA 数字证书加盖投标人的单位电子印章</w:t>
            </w:r>
            <w:r>
              <w:rPr>
                <w:rFonts w:hint="eastAsia" w:ascii="宋体" w:hAnsi="宋体"/>
                <w:szCs w:val="21"/>
              </w:rPr>
              <w:t>，否则由评标委员会作否决投标处理。</w:t>
            </w:r>
          </w:p>
          <w:p>
            <w:pPr>
              <w:spacing w:line="400" w:lineRule="exact"/>
              <w:ind w:firstLine="420" w:firstLineChars="200"/>
              <w:rPr>
                <w:rFonts w:ascii="宋体" w:hAnsi="宋体"/>
                <w:szCs w:val="21"/>
              </w:rPr>
            </w:pPr>
            <w:r>
              <w:rPr>
                <w:rFonts w:hint="eastAsia" w:ascii="宋体" w:hAnsi="宋体"/>
                <w:szCs w:val="21"/>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A-20工期符合第二章“投标人须知”第1.3.2项规定，否则由评标委员会作否决投标处理。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A-21工程质量符合第二章“投标人须知”第1.3.3项规定，否则由评标委员会作否决投标处理。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A-22投标有效期符合第二章“投标人须知”第3.3.1项规定，否则由评标委员会作否决投标处理。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A-23投标函中的总报价与已标价工程量清单总报价</w:t>
            </w:r>
            <w:r>
              <w:rPr>
                <w:rFonts w:hint="eastAsia" w:ascii="宋体" w:hAnsi="宋体"/>
                <w:szCs w:val="21"/>
                <w:lang w:val="en-US" w:eastAsia="zh-CN"/>
              </w:rPr>
              <w:t>不</w:t>
            </w:r>
            <w:r>
              <w:rPr>
                <w:rFonts w:hint="eastAsia" w:ascii="宋体" w:hAnsi="宋体"/>
                <w:szCs w:val="21"/>
              </w:rPr>
              <w:t>一致</w:t>
            </w:r>
            <w:r>
              <w:rPr>
                <w:rFonts w:hint="eastAsia" w:ascii="宋体" w:hAnsi="宋体"/>
                <w:szCs w:val="21"/>
                <w:lang w:eastAsia="zh-CN"/>
              </w:rPr>
              <w:t>，</w:t>
            </w:r>
            <w:r>
              <w:rPr>
                <w:rFonts w:hint="eastAsia" w:ascii="宋体" w:hAnsi="宋体"/>
                <w:szCs w:val="21"/>
                <w:lang w:val="en-US" w:eastAsia="zh-CN"/>
              </w:rPr>
              <w:t>或</w:t>
            </w:r>
            <w:r>
              <w:rPr>
                <w:rFonts w:hint="eastAsia" w:ascii="宋体" w:hAnsi="宋体"/>
                <w:szCs w:val="21"/>
              </w:rPr>
              <w:t>工程量清单总报价与依据单价、工程数量、分部分项工程合价计算出的结果</w:t>
            </w:r>
            <w:r>
              <w:rPr>
                <w:rFonts w:hint="eastAsia" w:ascii="宋体" w:hAnsi="宋体"/>
                <w:szCs w:val="21"/>
                <w:lang w:val="en-US" w:eastAsia="zh-CN"/>
              </w:rPr>
              <w:t>不</w:t>
            </w:r>
            <w:r>
              <w:rPr>
                <w:rFonts w:hint="eastAsia" w:ascii="宋体" w:hAnsi="宋体"/>
                <w:szCs w:val="21"/>
              </w:rPr>
              <w:t>一致，由评标委员会作否决投标处理</w:t>
            </w:r>
            <w:r>
              <w:rPr>
                <w:rFonts w:hint="eastAsia" w:ascii="宋体" w:hAnsi="宋体"/>
                <w:szCs w:val="21"/>
                <w:lang w:eastAsia="zh-CN"/>
              </w:rPr>
              <w:t>（</w:t>
            </w:r>
            <w:r>
              <w:rPr>
                <w:rFonts w:hint="eastAsia" w:ascii="宋体" w:hAnsi="宋体"/>
                <w:szCs w:val="21"/>
                <w:lang w:val="en-US" w:eastAsia="zh-CN"/>
              </w:rPr>
              <w:t>如有</w:t>
            </w:r>
            <w:r>
              <w:rPr>
                <w:rFonts w:hint="eastAsia" w:ascii="宋体" w:hAnsi="宋体"/>
                <w:szCs w:val="21"/>
                <w:lang w:eastAsia="zh-CN"/>
              </w:rPr>
              <w:t>）</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A-24 投标函中的总报价不得高于招标人公布的投标总报价最高限价，否则由评标委员会作否决投标处理。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A-25投标人投标总报价或者部分单项报价低于招标文件规定的对应的异常低价警戒线的，应提供报价合理性说明，并提供必要的证明材料</w:t>
            </w:r>
            <w:r>
              <w:rPr>
                <w:rFonts w:hint="eastAsia" w:ascii="宋体" w:hAnsi="宋体"/>
                <w:szCs w:val="21"/>
                <w:lang w:eastAsia="zh-CN"/>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hint="eastAsia" w:ascii="宋体" w:hAnsi="宋体" w:eastAsia="宋体"/>
                <w:szCs w:val="21"/>
                <w:lang w:val="en-US" w:eastAsia="zh-CN"/>
              </w:rPr>
            </w:pPr>
            <w:r>
              <w:rPr>
                <w:rFonts w:hint="eastAsia" w:ascii="宋体" w:hAnsi="宋体"/>
                <w:szCs w:val="21"/>
              </w:rPr>
              <w:t>A-26投标函中的安全文明施工费金额或</w:t>
            </w:r>
            <w:r>
              <w:rPr>
                <w:rFonts w:hint="eastAsia" w:ascii="宋体" w:hAnsi="宋体" w:cs="宋体"/>
                <w:kern w:val="0"/>
                <w:lang w:val="en-US" w:eastAsia="zh-CN"/>
              </w:rPr>
              <w:t>已标价工程量清单中</w:t>
            </w:r>
            <w:r>
              <w:rPr>
                <w:rFonts w:hint="eastAsia" w:ascii="宋体" w:hAnsi="宋体"/>
                <w:szCs w:val="21"/>
              </w:rPr>
              <w:t>安全文明施工费的汇总金额未按照招标人给出的暂定金额填报的，由评标委员会作否决投标处理。</w:t>
            </w:r>
            <w:r>
              <w:rPr>
                <w:rFonts w:hint="eastAsia" w:ascii="宋体" w:hAnsi="宋体"/>
                <w:szCs w:val="21"/>
                <w:lang w:val="en-US" w:eastAsia="zh-CN"/>
              </w:rPr>
              <w:t>暂列金额、暂估价等暂定金额</w:t>
            </w:r>
            <w:r>
              <w:rPr>
                <w:rFonts w:hint="eastAsia" w:ascii="宋体" w:hAnsi="宋体"/>
                <w:szCs w:val="21"/>
              </w:rPr>
              <w:t>未按照招标人给出的暂定金额填报的</w:t>
            </w:r>
            <w:r>
              <w:rPr>
                <w:rFonts w:hint="eastAsia" w:ascii="宋体" w:hAnsi="宋体"/>
                <w:szCs w:val="21"/>
                <w:lang w:eastAsia="zh-CN"/>
              </w:rPr>
              <w:t>，</w:t>
            </w:r>
            <w:r>
              <w:rPr>
                <w:rFonts w:hint="eastAsia" w:ascii="宋体" w:hAnsi="宋体"/>
                <w:szCs w:val="21"/>
              </w:rPr>
              <w:t>由评标委员会作否决投标处理</w:t>
            </w:r>
            <w:r>
              <w:rPr>
                <w:rFonts w:hint="eastAsia" w:ascii="宋体" w:hAnsi="宋体"/>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A-27只能有一个有效报价。在招标文件没有规定的情况下，不得提交选择性报价，否则由评标委员会作否决投标处理。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A-28投标人必须按招标工程量清单填报价格。项目编码、项目名称、项目特征、计量单位、工程量必须与招标工程量清单一致。否则交由评标委员会作否决投标处理。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29</w:t>
            </w:r>
            <w:r>
              <w:rPr>
                <w:rFonts w:hint="eastAsia" w:ascii="宋体" w:hAnsi="宋体"/>
                <w:szCs w:val="21"/>
              </w:rPr>
              <w:t>投标人的每项清单综合单价报价不得超过每项清单综合单价最高限价，否则由评标委员会作否决投标处理。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hint="eastAsia" w:ascii="宋体" w:hAnsi="宋体" w:eastAsia="宋体"/>
                <w:szCs w:val="21"/>
                <w:lang w:val="en-US" w:eastAsia="zh-CN"/>
              </w:rPr>
            </w:pPr>
            <w:r>
              <w:rPr>
                <w:rFonts w:hint="eastAsia" w:ascii="宋体" w:hAnsi="宋体"/>
                <w:szCs w:val="21"/>
                <w:lang w:val="en-US" w:eastAsia="zh-CN"/>
              </w:rPr>
              <w:t>A-30</w:t>
            </w:r>
            <w:r>
              <w:rPr>
                <w:rFonts w:hint="default" w:ascii="宋体" w:hAnsi="宋体"/>
                <w:kern w:val="0"/>
                <w:szCs w:val="21"/>
                <w:u w:val="none"/>
              </w:rPr>
              <w:t>投标人的</w:t>
            </w:r>
            <w:r>
              <w:rPr>
                <w:rFonts w:hint="eastAsia" w:ascii="宋体" w:hAnsi="宋体"/>
                <w:kern w:val="0"/>
                <w:szCs w:val="21"/>
                <w:u w:val="none"/>
                <w:lang w:val="en-US" w:eastAsia="zh-CN"/>
              </w:rPr>
              <w:t>工程量清单单项报价</w:t>
            </w:r>
            <w:r>
              <w:rPr>
                <w:rFonts w:hint="default" w:ascii="宋体" w:hAnsi="宋体"/>
                <w:kern w:val="0"/>
                <w:szCs w:val="21"/>
                <w:u w:val="none"/>
              </w:rPr>
              <w:t>不得</w:t>
            </w:r>
            <w:r>
              <w:rPr>
                <w:rFonts w:hint="eastAsia" w:ascii="宋体" w:hAnsi="宋体"/>
                <w:kern w:val="0"/>
                <w:szCs w:val="21"/>
                <w:u w:val="none"/>
                <w:lang w:val="en-US" w:eastAsia="zh-CN"/>
              </w:rPr>
              <w:t>为零报价或者负数报价，</w:t>
            </w:r>
            <w:r>
              <w:rPr>
                <w:rFonts w:hint="eastAsia" w:ascii="宋体" w:hAnsi="宋体"/>
                <w:szCs w:val="21"/>
              </w:rPr>
              <w:t>否则由评标委员会作否决投标处理</w:t>
            </w:r>
            <w:r>
              <w:rPr>
                <w:rFonts w:hint="eastAsia" w:ascii="宋体" w:hAnsi="宋体"/>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vAlign w:val="center"/>
          </w:tcPr>
          <w:p>
            <w:pPr>
              <w:spacing w:line="400" w:lineRule="exact"/>
              <w:jc w:val="center"/>
              <w:rPr>
                <w:rFonts w:ascii="宋体" w:hAnsi="宋体"/>
                <w:szCs w:val="21"/>
              </w:rPr>
            </w:pPr>
          </w:p>
        </w:tc>
        <w:tc>
          <w:tcPr>
            <w:tcW w:w="1515"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31</w:t>
            </w:r>
            <w:r>
              <w:rPr>
                <w:rFonts w:hint="eastAsia" w:ascii="宋体" w:hAnsi="宋体"/>
                <w:szCs w:val="21"/>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pPr>
              <w:spacing w:line="400" w:lineRule="exact"/>
              <w:jc w:val="center"/>
              <w:rPr>
                <w:rFonts w:ascii="宋体" w:hAnsi="宋体"/>
                <w:szCs w:val="21"/>
              </w:rPr>
            </w:pPr>
            <w:r>
              <w:rPr>
                <w:rFonts w:ascii="宋体" w:hAnsi="宋体"/>
                <w:szCs w:val="21"/>
              </w:rPr>
              <w:t>其他</w:t>
            </w:r>
          </w:p>
        </w:tc>
        <w:tc>
          <w:tcPr>
            <w:tcW w:w="1515" w:type="dxa"/>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i/>
                <w:szCs w:val="21"/>
              </w:rPr>
            </w:pPr>
            <w:r>
              <w:rPr>
                <w:rFonts w:hint="eastAsia" w:ascii="宋体" w:hAnsi="宋体"/>
                <w:i/>
                <w:szCs w:val="21"/>
              </w:rPr>
              <w:t>[提示：招标人必须将所有否决投标条款集中罗列于此表，若无其他否决投标条款则在该条写无。]</w:t>
            </w:r>
          </w:p>
        </w:tc>
      </w:tr>
    </w:tbl>
    <w:p>
      <w:pPr>
        <w:pStyle w:val="33"/>
        <w:spacing w:line="360" w:lineRule="auto"/>
        <w:ind w:firstLine="420" w:firstLineChars="200"/>
        <w:jc w:val="both"/>
        <w:rPr>
          <w:rFonts w:ascii="宋体" w:hAnsi="宋体"/>
          <w:sz w:val="21"/>
          <w:szCs w:val="21"/>
          <w:u w:val="none"/>
          <w:lang w:eastAsia="zh-CN"/>
        </w:rPr>
      </w:pPr>
    </w:p>
    <w:p>
      <w:pPr>
        <w:pStyle w:val="33"/>
        <w:spacing w:line="360" w:lineRule="auto"/>
        <w:ind w:firstLine="420" w:firstLineChars="200"/>
        <w:jc w:val="both"/>
        <w:rPr>
          <w:rFonts w:ascii="宋体" w:hAnsi="宋体"/>
          <w:sz w:val="21"/>
          <w:szCs w:val="21"/>
          <w:u w:val="none"/>
          <w:lang w:eastAsia="zh-CN"/>
        </w:rPr>
      </w:pPr>
    </w:p>
    <w:p>
      <w:pPr>
        <w:pStyle w:val="33"/>
        <w:spacing w:line="360" w:lineRule="auto"/>
        <w:jc w:val="both"/>
        <w:rPr>
          <w:rFonts w:ascii="宋体" w:hAnsi="宋体"/>
          <w:sz w:val="21"/>
          <w:szCs w:val="21"/>
          <w:u w:val="none"/>
          <w:lang w:eastAsia="zh-CN"/>
        </w:rPr>
      </w:pPr>
    </w:p>
    <w:p>
      <w:pPr>
        <w:spacing w:line="200" w:lineRule="exact"/>
        <w:rPr>
          <w:rFonts w:ascii="宋体" w:hAnsi="宋体"/>
          <w:kern w:val="0"/>
        </w:rPr>
      </w:pPr>
      <w:r>
        <w:rPr>
          <w:rFonts w:ascii="宋体" w:hAnsi="宋体"/>
          <w:snapToGrid w:val="0"/>
          <w:kern w:val="0"/>
        </w:rPr>
        <w:br w:type="page"/>
      </w:r>
      <w:bookmarkStart w:id="687" w:name="招标文件03章02评标办法综合评估法00"/>
      <w:bookmarkEnd w:id="687"/>
      <w:bookmarkStart w:id="688" w:name="招标文件03章02评标办法综合评估法"/>
      <w:bookmarkEnd w:id="688"/>
      <w:bookmarkStart w:id="689" w:name="_Toc287607812"/>
      <w:bookmarkStart w:id="690" w:name="_Toc224103384"/>
      <w:bookmarkStart w:id="691" w:name="_Toc200513198"/>
      <w:bookmarkStart w:id="692" w:name="_Toc430530500"/>
      <w:bookmarkStart w:id="693" w:name="_Toc277082618"/>
      <w:bookmarkStart w:id="694" w:name="_Toc287620751"/>
    </w:p>
    <w:p>
      <w:pPr>
        <w:pStyle w:val="3"/>
        <w:spacing w:line="360" w:lineRule="auto"/>
        <w:ind w:firstLine="883" w:firstLineChars="200"/>
        <w:jc w:val="center"/>
        <w:rPr>
          <w:rFonts w:ascii="宋体" w:hAnsi="宋体"/>
        </w:rPr>
      </w:pPr>
      <w:bookmarkStart w:id="695" w:name="_Toc509218774"/>
      <w:bookmarkStart w:id="696" w:name="_Toc18101"/>
      <w:bookmarkStart w:id="697" w:name="_Toc21665"/>
      <w:r>
        <w:rPr>
          <w:rFonts w:ascii="宋体" w:hAnsi="宋体"/>
        </w:rPr>
        <w:t xml:space="preserve">第三章 </w:t>
      </w:r>
      <w:r>
        <w:rPr>
          <w:rFonts w:hint="eastAsia" w:ascii="宋体" w:hAnsi="宋体"/>
        </w:rPr>
        <w:t xml:space="preserve"> </w:t>
      </w:r>
      <w:r>
        <w:rPr>
          <w:rFonts w:ascii="宋体" w:hAnsi="宋体"/>
        </w:rPr>
        <w:t>评标办法（综合评估法）</w:t>
      </w:r>
      <w:bookmarkEnd w:id="695"/>
      <w:bookmarkEnd w:id="696"/>
      <w:bookmarkEnd w:id="697"/>
      <w:bookmarkStart w:id="698" w:name="_Toc224103383"/>
      <w:bookmarkStart w:id="699" w:name="_Toc430530499"/>
      <w:bookmarkStart w:id="700" w:name="_Toc287607811"/>
      <w:bookmarkStart w:id="701" w:name="_Toc277082617"/>
      <w:bookmarkStart w:id="702" w:name="_Toc287620750"/>
    </w:p>
    <w:p>
      <w:pPr>
        <w:pStyle w:val="4"/>
        <w:spacing w:before="100" w:after="100" w:line="360" w:lineRule="auto"/>
        <w:rPr>
          <w:rFonts w:ascii="宋体" w:hAnsi="宋体"/>
        </w:rPr>
      </w:pPr>
      <w:bookmarkStart w:id="703" w:name="_Toc29769"/>
      <w:bookmarkStart w:id="704" w:name="_Toc16967"/>
      <w:bookmarkStart w:id="705" w:name="_Toc509218775"/>
      <w:r>
        <w:rPr>
          <w:rFonts w:hint="eastAsia" w:ascii="宋体" w:hAnsi="宋体"/>
        </w:rPr>
        <w:t>评标办法前附表</w:t>
      </w:r>
      <w:bookmarkEnd w:id="703"/>
      <w:bookmarkEnd w:id="704"/>
      <w:bookmarkEnd w:id="705"/>
    </w:p>
    <w:p>
      <w:pPr>
        <w:spacing w:line="360" w:lineRule="auto"/>
        <w:ind w:firstLine="420" w:firstLineChars="200"/>
        <w:rPr>
          <w:szCs w:val="21"/>
        </w:rPr>
      </w:pPr>
      <w:r>
        <w:rPr>
          <w:szCs w:val="21"/>
        </w:rPr>
        <w:t>评标办法中的评审内容必须和投标人须知中的对应内容一致，若投标人须知中未作要求的内容，不得列入评标办法作为评定依据。</w:t>
      </w:r>
    </w:p>
    <w:bookmarkEnd w:id="698"/>
    <w:bookmarkEnd w:id="699"/>
    <w:bookmarkEnd w:id="700"/>
    <w:bookmarkEnd w:id="701"/>
    <w:bookmarkEnd w:id="702"/>
    <w:tbl>
      <w:tblPr>
        <w:tblStyle w:val="45"/>
        <w:tblW w:w="947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32"/>
        <w:gridCol w:w="535"/>
        <w:gridCol w:w="850"/>
        <w:gridCol w:w="696"/>
        <w:gridCol w:w="1014"/>
        <w:gridCol w:w="549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22" w:type="dxa"/>
            <w:gridSpan w:val="3"/>
            <w:vAlign w:val="center"/>
          </w:tcPr>
          <w:p>
            <w:pPr>
              <w:spacing w:line="400" w:lineRule="exact"/>
              <w:jc w:val="center"/>
              <w:rPr>
                <w:rFonts w:ascii="宋体" w:hAnsi="宋体"/>
                <w:b/>
                <w:kern w:val="0"/>
              </w:rPr>
            </w:pPr>
            <w:bookmarkStart w:id="706" w:name="_Toc509218776"/>
            <w:r>
              <w:rPr>
                <w:rFonts w:ascii="宋体" w:hAnsi="宋体"/>
                <w:b/>
                <w:kern w:val="0"/>
              </w:rPr>
              <w:t>条款号</w:t>
            </w:r>
          </w:p>
        </w:tc>
        <w:tc>
          <w:tcPr>
            <w:tcW w:w="2560" w:type="dxa"/>
            <w:gridSpan w:val="3"/>
            <w:vAlign w:val="center"/>
          </w:tcPr>
          <w:p>
            <w:pPr>
              <w:spacing w:line="400" w:lineRule="exact"/>
              <w:jc w:val="center"/>
              <w:rPr>
                <w:rFonts w:ascii="宋体" w:hAnsi="宋体"/>
                <w:b/>
                <w:kern w:val="0"/>
              </w:rPr>
            </w:pPr>
            <w:r>
              <w:rPr>
                <w:rFonts w:ascii="宋体" w:hAnsi="宋体"/>
                <w:b/>
                <w:kern w:val="0"/>
              </w:rPr>
              <w:t>评审因素</w:t>
            </w:r>
          </w:p>
        </w:tc>
        <w:tc>
          <w:tcPr>
            <w:tcW w:w="5493" w:type="dxa"/>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22" w:type="dxa"/>
            <w:gridSpan w:val="3"/>
            <w:vAlign w:val="center"/>
          </w:tcPr>
          <w:p>
            <w:pPr>
              <w:spacing w:line="400" w:lineRule="exact"/>
              <w:jc w:val="center"/>
              <w:rPr>
                <w:rFonts w:ascii="宋体" w:hAnsi="宋体"/>
                <w:kern w:val="0"/>
              </w:rPr>
            </w:pPr>
            <w:r>
              <w:rPr>
                <w:rFonts w:hint="eastAsia" w:ascii="宋体" w:hAnsi="宋体"/>
                <w:kern w:val="0"/>
              </w:rPr>
              <w:t>1</w:t>
            </w:r>
          </w:p>
        </w:tc>
        <w:tc>
          <w:tcPr>
            <w:tcW w:w="2560" w:type="dxa"/>
            <w:gridSpan w:val="3"/>
            <w:vAlign w:val="center"/>
          </w:tcPr>
          <w:p>
            <w:pPr>
              <w:spacing w:line="400" w:lineRule="exact"/>
              <w:jc w:val="center"/>
              <w:rPr>
                <w:rFonts w:ascii="宋体" w:hAnsi="宋体"/>
                <w:kern w:val="0"/>
              </w:rPr>
            </w:pPr>
            <w:r>
              <w:rPr>
                <w:rFonts w:hint="eastAsia" w:ascii="宋体" w:hAnsi="宋体"/>
                <w:kern w:val="0"/>
              </w:rPr>
              <w:t>评标办法</w:t>
            </w:r>
          </w:p>
        </w:tc>
        <w:tc>
          <w:tcPr>
            <w:tcW w:w="5493" w:type="dxa"/>
            <w:vAlign w:val="center"/>
          </w:tcPr>
          <w:p>
            <w:pPr>
              <w:spacing w:line="400" w:lineRule="exact"/>
              <w:ind w:firstLine="420" w:firstLineChars="200"/>
              <w:jc w:val="left"/>
              <w:rPr>
                <w:rFonts w:ascii="宋体" w:hAnsi="宋体"/>
                <w:kern w:val="0"/>
              </w:rPr>
            </w:pPr>
            <w:r>
              <w:rPr>
                <w:rFonts w:hint="eastAsia" w:ascii="宋体" w:hAnsi="宋体"/>
                <w:kern w:val="0"/>
              </w:rPr>
              <w:t>本次评标采用综合评估法。评标委员会按照本章第 2.2 款规定的评分标准进行</w:t>
            </w:r>
            <w:r>
              <w:rPr>
                <w:rFonts w:hint="eastAsia" w:ascii="宋体" w:hAnsi="宋体"/>
                <w:kern w:val="0"/>
                <w:lang w:eastAsia="zh-CN"/>
              </w:rPr>
              <w:t>评分</w:t>
            </w:r>
            <w:r>
              <w:rPr>
                <w:rFonts w:hint="eastAsia" w:ascii="宋体" w:hAnsi="宋体"/>
                <w:kern w:val="0"/>
              </w:rPr>
              <w:t>，按得分由高到低顺序推荐中标候选人，或根据招标人授权直接确定中标人。综合评分相等时，以投标报价低的优先；投标报价相等的，以“投标人在红名单中优先”的原则排序</w:t>
            </w:r>
            <w:r>
              <w:rPr>
                <w:rFonts w:hint="eastAsia" w:ascii="宋体" w:hAnsi="宋体"/>
                <w:spacing w:val="4"/>
                <w:kern w:val="0"/>
                <w:szCs w:val="21"/>
              </w:rPr>
              <w:t>（其中非联合体投标的，须投标人所属红名单类别包含在招标范围内；联合体投标的，须联合体牵头人在红名单中，并且按照</w:t>
            </w:r>
            <w:r>
              <w:rPr>
                <w:rFonts w:hint="eastAsia" w:ascii="宋体" w:hAnsi="宋体"/>
                <w:spacing w:val="4"/>
                <w:kern w:val="0"/>
                <w:szCs w:val="21"/>
                <w:lang w:eastAsia="zh-CN"/>
              </w:rPr>
              <w:t>共同投标协议</w:t>
            </w:r>
            <w:r>
              <w:rPr>
                <w:rFonts w:hint="eastAsia" w:ascii="宋体" w:hAnsi="宋体"/>
                <w:spacing w:val="4"/>
                <w:kern w:val="0"/>
                <w:szCs w:val="21"/>
              </w:rPr>
              <w:t>牵头人所属红名单类别包含在其工作范围内。），投标人是否属于红名单，以开标环节信用状况查询结果为准</w:t>
            </w:r>
            <w:r>
              <w:rPr>
                <w:rFonts w:hint="eastAsia" w:ascii="宋体" w:hAnsi="宋体"/>
                <w:kern w:val="0"/>
              </w:rPr>
              <w:t>；投标人均在红名单中或均不在红名单中的，由评标委员会按照</w:t>
            </w:r>
            <w:r>
              <w:rPr>
                <w:rFonts w:hint="eastAsia" w:ascii="宋体" w:hAnsi="宋体"/>
                <w:kern w:val="0"/>
                <w:u w:val="single"/>
              </w:rPr>
              <w:t xml:space="preserve">         </w:t>
            </w:r>
            <w:r>
              <w:rPr>
                <w:rFonts w:hint="eastAsia" w:ascii="宋体" w:hAnsi="宋体"/>
                <w:kern w:val="0"/>
              </w:rPr>
              <w:t>原则排序。</w:t>
            </w:r>
            <w:r>
              <w:rPr>
                <w:rFonts w:hint="eastAsia" w:ascii="宋体" w:hAnsi="宋体"/>
                <w:i/>
                <w:kern w:val="0"/>
              </w:rPr>
              <w:t>[提示：由招标人事先在招标文件中按照有利于合同履行的原则确定</w:t>
            </w:r>
            <w:r>
              <w:rPr>
                <w:rFonts w:hint="eastAsia" w:asciiTheme="minorEastAsia" w:hAnsiTheme="minorEastAsia" w:eastAsiaTheme="minorEastAsia" w:cstheme="minorEastAsia"/>
                <w:i/>
                <w:color w:val="auto"/>
                <w:spacing w:val="4"/>
                <w:kern w:val="0"/>
                <w:szCs w:val="21"/>
                <w:highlight w:val="none"/>
                <w:lang w:eastAsia="zh-CN"/>
              </w:rPr>
              <w:t>，</w:t>
            </w:r>
            <w:r>
              <w:rPr>
                <w:rFonts w:hint="eastAsia" w:asciiTheme="minorEastAsia" w:hAnsiTheme="minorEastAsia" w:eastAsiaTheme="minorEastAsia" w:cstheme="minorEastAsia"/>
                <w:i/>
                <w:color w:val="auto"/>
                <w:spacing w:val="4"/>
                <w:kern w:val="0"/>
                <w:szCs w:val="21"/>
                <w:highlight w:val="none"/>
                <w:lang w:val="en-US" w:eastAsia="zh-CN"/>
              </w:rPr>
              <w:t>但不得采用抽签、摇号方式直接确定中标候选人</w:t>
            </w:r>
            <w:r>
              <w:rPr>
                <w:rFonts w:hint="eastAsia" w:ascii="宋体" w:hAnsi="宋体"/>
                <w:i/>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2.1.</w:t>
            </w:r>
            <w:r>
              <w:rPr>
                <w:rFonts w:hint="eastAsia" w:ascii="宋体" w:hAnsi="宋体"/>
                <w:kern w:val="0"/>
              </w:rPr>
              <w:t>1</w:t>
            </w:r>
          </w:p>
        </w:tc>
        <w:tc>
          <w:tcPr>
            <w:tcW w:w="567" w:type="dxa"/>
            <w:gridSpan w:val="2"/>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资格评审标准</w:t>
            </w:r>
          </w:p>
        </w:tc>
        <w:tc>
          <w:tcPr>
            <w:tcW w:w="2560" w:type="dxa"/>
            <w:gridSpan w:val="3"/>
            <w:tcBorders>
              <w:left w:val="single" w:color="auto" w:sz="4" w:space="0"/>
            </w:tcBorders>
            <w:vAlign w:val="center"/>
          </w:tcPr>
          <w:p>
            <w:pPr>
              <w:spacing w:line="400" w:lineRule="exact"/>
              <w:jc w:val="left"/>
              <w:rPr>
                <w:rFonts w:ascii="宋体" w:hAnsi="宋体"/>
                <w:kern w:val="0"/>
              </w:rPr>
            </w:pPr>
            <w:r>
              <w:rPr>
                <w:rFonts w:hint="eastAsia" w:ascii="宋体" w:hAnsi="宋体"/>
                <w:kern w:val="0"/>
              </w:rPr>
              <w:t>资质条件</w:t>
            </w:r>
          </w:p>
        </w:tc>
        <w:tc>
          <w:tcPr>
            <w:tcW w:w="5493"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55" w:type="dxa"/>
            <w:vMerge w:val="continue"/>
            <w:tcBorders>
              <w:right w:val="single" w:color="auto" w:sz="4" w:space="0"/>
            </w:tcBorders>
          </w:tcPr>
          <w:p>
            <w:pPr>
              <w:spacing w:line="400" w:lineRule="exact"/>
              <w:jc w:val="center"/>
              <w:rPr>
                <w:rFonts w:ascii="宋体" w:hAnsi="宋体"/>
                <w:kern w:val="0"/>
              </w:rPr>
            </w:pPr>
          </w:p>
        </w:tc>
        <w:tc>
          <w:tcPr>
            <w:tcW w:w="567" w:type="dxa"/>
            <w:gridSpan w:val="2"/>
            <w:vMerge w:val="continue"/>
            <w:tcBorders>
              <w:right w:val="single" w:color="auto" w:sz="4" w:space="0"/>
            </w:tcBorders>
          </w:tcPr>
          <w:p>
            <w:pPr>
              <w:spacing w:line="400" w:lineRule="exact"/>
              <w:jc w:val="center"/>
              <w:rPr>
                <w:rFonts w:ascii="宋体" w:hAnsi="宋体"/>
                <w:kern w:val="0"/>
              </w:rPr>
            </w:pPr>
          </w:p>
        </w:tc>
        <w:tc>
          <w:tcPr>
            <w:tcW w:w="2560" w:type="dxa"/>
            <w:gridSpan w:val="3"/>
            <w:tcBorders>
              <w:left w:val="single" w:color="auto" w:sz="4" w:space="0"/>
            </w:tcBorders>
          </w:tcPr>
          <w:p>
            <w:pPr>
              <w:spacing w:line="400" w:lineRule="exact"/>
              <w:jc w:val="left"/>
              <w:rPr>
                <w:rFonts w:hint="eastAsia" w:ascii="宋体" w:hAnsi="宋体" w:eastAsia="宋体"/>
                <w:kern w:val="0"/>
                <w:lang w:eastAsia="zh-CN"/>
              </w:rPr>
            </w:pPr>
            <w:r>
              <w:rPr>
                <w:rFonts w:hint="eastAsia" w:ascii="宋体" w:hAnsi="宋体"/>
                <w:kern w:val="0"/>
                <w:lang w:eastAsia="zh-CN"/>
              </w:rPr>
              <w:t>独立法人资格</w:t>
            </w:r>
          </w:p>
        </w:tc>
        <w:tc>
          <w:tcPr>
            <w:tcW w:w="5493"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pPr>
              <w:spacing w:line="400" w:lineRule="exact"/>
              <w:jc w:val="center"/>
              <w:rPr>
                <w:rFonts w:ascii="宋体" w:hAnsi="宋体"/>
                <w:kern w:val="0"/>
              </w:rPr>
            </w:pPr>
          </w:p>
        </w:tc>
        <w:tc>
          <w:tcPr>
            <w:tcW w:w="567" w:type="dxa"/>
            <w:gridSpan w:val="2"/>
            <w:vMerge w:val="continue"/>
            <w:tcBorders>
              <w:right w:val="single" w:color="auto" w:sz="4" w:space="0"/>
            </w:tcBorders>
          </w:tcPr>
          <w:p>
            <w:pPr>
              <w:spacing w:line="400" w:lineRule="exact"/>
              <w:jc w:val="center"/>
              <w:rPr>
                <w:rFonts w:ascii="宋体" w:hAnsi="宋体"/>
                <w:kern w:val="0"/>
              </w:rPr>
            </w:pPr>
          </w:p>
        </w:tc>
        <w:tc>
          <w:tcPr>
            <w:tcW w:w="2560" w:type="dxa"/>
            <w:gridSpan w:val="3"/>
            <w:tcBorders>
              <w:left w:val="single" w:color="auto" w:sz="4" w:space="0"/>
            </w:tcBorders>
          </w:tcPr>
          <w:p>
            <w:pPr>
              <w:spacing w:line="400" w:lineRule="exact"/>
              <w:jc w:val="left"/>
              <w:rPr>
                <w:rFonts w:ascii="宋体" w:hAnsi="宋体"/>
                <w:kern w:val="0"/>
              </w:rPr>
            </w:pPr>
            <w:r>
              <w:rPr>
                <w:rFonts w:hint="eastAsia" w:ascii="宋体" w:hAnsi="宋体"/>
                <w:kern w:val="0"/>
              </w:rPr>
              <w:t>安全生产条件</w:t>
            </w:r>
          </w:p>
        </w:tc>
        <w:tc>
          <w:tcPr>
            <w:tcW w:w="5493"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pPr>
              <w:spacing w:line="400" w:lineRule="exact"/>
              <w:jc w:val="center"/>
              <w:rPr>
                <w:rFonts w:ascii="宋体" w:hAnsi="宋体"/>
                <w:kern w:val="0"/>
              </w:rPr>
            </w:pPr>
          </w:p>
        </w:tc>
        <w:tc>
          <w:tcPr>
            <w:tcW w:w="567" w:type="dxa"/>
            <w:gridSpan w:val="2"/>
            <w:vMerge w:val="continue"/>
            <w:tcBorders>
              <w:right w:val="single" w:color="auto" w:sz="4" w:space="0"/>
            </w:tcBorders>
          </w:tcPr>
          <w:p>
            <w:pPr>
              <w:spacing w:line="400" w:lineRule="exact"/>
              <w:jc w:val="center"/>
              <w:rPr>
                <w:rFonts w:ascii="宋体" w:hAnsi="宋体"/>
                <w:kern w:val="0"/>
              </w:rPr>
            </w:pPr>
          </w:p>
        </w:tc>
        <w:tc>
          <w:tcPr>
            <w:tcW w:w="2560" w:type="dxa"/>
            <w:gridSpan w:val="3"/>
            <w:tcBorders>
              <w:left w:val="single" w:color="auto" w:sz="4" w:space="0"/>
            </w:tcBorders>
            <w:vAlign w:val="center"/>
          </w:tcPr>
          <w:p>
            <w:pPr>
              <w:spacing w:line="400" w:lineRule="exact"/>
              <w:jc w:val="left"/>
              <w:rPr>
                <w:rFonts w:ascii="宋体" w:hAnsi="宋体"/>
                <w:kern w:val="0"/>
              </w:rPr>
            </w:pPr>
            <w:r>
              <w:rPr>
                <w:rFonts w:hint="eastAsia" w:ascii="宋体" w:hAnsi="宋体" w:cs="宋体"/>
                <w:kern w:val="0"/>
              </w:rPr>
              <w:t>□</w:t>
            </w:r>
            <w:r>
              <w:rPr>
                <w:rFonts w:ascii="宋体" w:hAnsi="宋体"/>
                <w:kern w:val="0"/>
              </w:rPr>
              <w:t>财务</w:t>
            </w:r>
            <w:r>
              <w:rPr>
                <w:rFonts w:hint="eastAsia" w:ascii="宋体" w:hAnsi="宋体"/>
                <w:kern w:val="0"/>
              </w:rPr>
              <w:t>要求</w:t>
            </w:r>
          </w:p>
        </w:tc>
        <w:tc>
          <w:tcPr>
            <w:tcW w:w="5493"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pPr>
              <w:spacing w:line="400" w:lineRule="exact"/>
              <w:jc w:val="center"/>
              <w:rPr>
                <w:rFonts w:ascii="宋体" w:hAnsi="宋体"/>
                <w:kern w:val="0"/>
              </w:rPr>
            </w:pPr>
          </w:p>
        </w:tc>
        <w:tc>
          <w:tcPr>
            <w:tcW w:w="567" w:type="dxa"/>
            <w:gridSpan w:val="2"/>
            <w:vMerge w:val="continue"/>
            <w:tcBorders>
              <w:right w:val="single" w:color="auto" w:sz="4" w:space="0"/>
            </w:tcBorders>
          </w:tcPr>
          <w:p>
            <w:pPr>
              <w:spacing w:line="400" w:lineRule="exact"/>
              <w:jc w:val="center"/>
              <w:rPr>
                <w:rFonts w:ascii="宋体" w:hAnsi="宋体"/>
                <w:kern w:val="0"/>
              </w:rPr>
            </w:pPr>
          </w:p>
        </w:tc>
        <w:tc>
          <w:tcPr>
            <w:tcW w:w="2560" w:type="dxa"/>
            <w:gridSpan w:val="3"/>
            <w:tcBorders>
              <w:left w:val="single" w:color="auto" w:sz="4" w:space="0"/>
            </w:tcBorders>
          </w:tcPr>
          <w:p>
            <w:pPr>
              <w:spacing w:line="400" w:lineRule="exact"/>
              <w:jc w:val="left"/>
              <w:rPr>
                <w:rFonts w:ascii="宋体" w:hAnsi="宋体"/>
                <w:kern w:val="0"/>
              </w:rPr>
            </w:pPr>
            <w:r>
              <w:rPr>
                <w:rFonts w:hint="eastAsia" w:ascii="宋体" w:hAnsi="宋体" w:cs="宋体"/>
                <w:kern w:val="0"/>
              </w:rPr>
              <w:t>□</w:t>
            </w:r>
            <w:r>
              <w:rPr>
                <w:rFonts w:hint="eastAsia" w:ascii="宋体" w:hAnsi="宋体"/>
                <w:kern w:val="0"/>
              </w:rPr>
              <w:t>业绩要求</w:t>
            </w:r>
          </w:p>
        </w:tc>
        <w:tc>
          <w:tcPr>
            <w:tcW w:w="5493"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55" w:type="dxa"/>
            <w:vMerge w:val="continue"/>
            <w:tcBorders>
              <w:right w:val="single" w:color="auto" w:sz="4" w:space="0"/>
            </w:tcBorders>
          </w:tcPr>
          <w:p>
            <w:pPr>
              <w:spacing w:line="400" w:lineRule="exact"/>
              <w:jc w:val="center"/>
              <w:rPr>
                <w:rFonts w:ascii="宋体" w:hAnsi="宋体"/>
                <w:kern w:val="0"/>
              </w:rPr>
            </w:pPr>
          </w:p>
        </w:tc>
        <w:tc>
          <w:tcPr>
            <w:tcW w:w="567" w:type="dxa"/>
            <w:gridSpan w:val="2"/>
            <w:vMerge w:val="continue"/>
            <w:tcBorders>
              <w:right w:val="single" w:color="auto" w:sz="4" w:space="0"/>
            </w:tcBorders>
          </w:tcPr>
          <w:p>
            <w:pPr>
              <w:spacing w:line="400" w:lineRule="exact"/>
              <w:jc w:val="center"/>
              <w:rPr>
                <w:rFonts w:ascii="宋体" w:hAnsi="宋体"/>
                <w:kern w:val="0"/>
              </w:rPr>
            </w:pPr>
          </w:p>
        </w:tc>
        <w:tc>
          <w:tcPr>
            <w:tcW w:w="2560" w:type="dxa"/>
            <w:gridSpan w:val="3"/>
            <w:tcBorders>
              <w:left w:val="single" w:color="auto" w:sz="4" w:space="0"/>
            </w:tcBorders>
          </w:tcPr>
          <w:p>
            <w:pPr>
              <w:spacing w:line="400" w:lineRule="exact"/>
              <w:jc w:val="left"/>
              <w:rPr>
                <w:rFonts w:ascii="宋体" w:hAnsi="宋体"/>
                <w:kern w:val="0"/>
              </w:rPr>
            </w:pPr>
            <w:r>
              <w:rPr>
                <w:rFonts w:ascii="宋体" w:hAnsi="宋体"/>
                <w:szCs w:val="21"/>
              </w:rPr>
              <w:t>投标截止日投标资格情况</w:t>
            </w:r>
          </w:p>
        </w:tc>
        <w:tc>
          <w:tcPr>
            <w:tcW w:w="5493"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pPr>
              <w:spacing w:line="400" w:lineRule="exact"/>
              <w:jc w:val="center"/>
              <w:rPr>
                <w:rFonts w:ascii="宋体" w:hAnsi="宋体"/>
                <w:kern w:val="0"/>
              </w:rPr>
            </w:pPr>
          </w:p>
        </w:tc>
        <w:tc>
          <w:tcPr>
            <w:tcW w:w="567" w:type="dxa"/>
            <w:gridSpan w:val="2"/>
            <w:vMerge w:val="continue"/>
            <w:tcBorders>
              <w:right w:val="single" w:color="auto" w:sz="4" w:space="0"/>
            </w:tcBorders>
          </w:tcPr>
          <w:p>
            <w:pPr>
              <w:spacing w:line="400" w:lineRule="exact"/>
              <w:jc w:val="center"/>
              <w:rPr>
                <w:rFonts w:ascii="宋体" w:hAnsi="宋体"/>
                <w:kern w:val="0"/>
              </w:rPr>
            </w:pPr>
          </w:p>
        </w:tc>
        <w:tc>
          <w:tcPr>
            <w:tcW w:w="2560" w:type="dxa"/>
            <w:gridSpan w:val="3"/>
            <w:tcBorders>
              <w:left w:val="single" w:color="auto" w:sz="4" w:space="0"/>
            </w:tcBorders>
          </w:tcPr>
          <w:p>
            <w:pPr>
              <w:spacing w:line="400" w:lineRule="exact"/>
              <w:jc w:val="left"/>
              <w:rPr>
                <w:rFonts w:ascii="宋体" w:hAnsi="宋体"/>
                <w:kern w:val="0"/>
              </w:rPr>
            </w:pPr>
            <w:r>
              <w:rPr>
                <w:rFonts w:ascii="宋体" w:hAnsi="宋体"/>
                <w:kern w:val="0"/>
              </w:rPr>
              <w:t>项目经理资格</w:t>
            </w:r>
            <w:r>
              <w:rPr>
                <w:rFonts w:hint="eastAsia" w:ascii="宋体" w:hAnsi="宋体"/>
                <w:kern w:val="0"/>
              </w:rPr>
              <w:t>要求</w:t>
            </w:r>
          </w:p>
        </w:tc>
        <w:tc>
          <w:tcPr>
            <w:tcW w:w="5493"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pPr>
              <w:spacing w:line="400" w:lineRule="exact"/>
              <w:jc w:val="center"/>
              <w:rPr>
                <w:rFonts w:ascii="宋体" w:hAnsi="宋体"/>
                <w:kern w:val="0"/>
              </w:rPr>
            </w:pPr>
          </w:p>
        </w:tc>
        <w:tc>
          <w:tcPr>
            <w:tcW w:w="567" w:type="dxa"/>
            <w:gridSpan w:val="2"/>
            <w:vMerge w:val="continue"/>
            <w:tcBorders>
              <w:right w:val="single" w:color="auto" w:sz="4" w:space="0"/>
            </w:tcBorders>
          </w:tcPr>
          <w:p>
            <w:pPr>
              <w:spacing w:line="400" w:lineRule="exact"/>
              <w:jc w:val="center"/>
              <w:rPr>
                <w:rFonts w:ascii="宋体" w:hAnsi="宋体"/>
                <w:kern w:val="0"/>
              </w:rPr>
            </w:pPr>
          </w:p>
        </w:tc>
        <w:tc>
          <w:tcPr>
            <w:tcW w:w="2560" w:type="dxa"/>
            <w:gridSpan w:val="3"/>
            <w:tcBorders>
              <w:left w:val="single" w:color="auto" w:sz="4" w:space="0"/>
            </w:tcBorders>
          </w:tcPr>
          <w:p>
            <w:pPr>
              <w:spacing w:line="400" w:lineRule="exact"/>
              <w:jc w:val="left"/>
              <w:rPr>
                <w:rFonts w:ascii="宋体" w:hAnsi="宋体"/>
                <w:kern w:val="0"/>
              </w:rPr>
            </w:pPr>
            <w:r>
              <w:rPr>
                <w:rFonts w:ascii="宋体" w:hAnsi="宋体"/>
                <w:kern w:val="0"/>
              </w:rPr>
              <w:t>其他要求</w:t>
            </w:r>
          </w:p>
        </w:tc>
        <w:tc>
          <w:tcPr>
            <w:tcW w:w="5493"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pPr>
              <w:spacing w:line="400" w:lineRule="exact"/>
              <w:jc w:val="center"/>
              <w:rPr>
                <w:rFonts w:ascii="宋体" w:hAnsi="宋体"/>
                <w:kern w:val="0"/>
              </w:rPr>
            </w:pPr>
          </w:p>
        </w:tc>
        <w:tc>
          <w:tcPr>
            <w:tcW w:w="567" w:type="dxa"/>
            <w:gridSpan w:val="2"/>
            <w:vMerge w:val="continue"/>
            <w:tcBorders>
              <w:right w:val="single" w:color="auto" w:sz="4" w:space="0"/>
            </w:tcBorders>
          </w:tcPr>
          <w:p>
            <w:pPr>
              <w:spacing w:line="400" w:lineRule="exact"/>
              <w:jc w:val="center"/>
              <w:rPr>
                <w:rFonts w:ascii="宋体" w:hAnsi="宋体"/>
                <w:kern w:val="0"/>
              </w:rPr>
            </w:pPr>
          </w:p>
        </w:tc>
        <w:tc>
          <w:tcPr>
            <w:tcW w:w="2560" w:type="dxa"/>
            <w:gridSpan w:val="3"/>
            <w:tcBorders>
              <w:left w:val="single" w:color="auto" w:sz="4" w:space="0"/>
            </w:tcBorders>
          </w:tcPr>
          <w:p>
            <w:pPr>
              <w:spacing w:line="400" w:lineRule="exact"/>
              <w:jc w:val="left"/>
              <w:rPr>
                <w:rFonts w:ascii="宋体" w:hAnsi="宋体"/>
                <w:kern w:val="0"/>
              </w:rPr>
            </w:pPr>
            <w:r>
              <w:rPr>
                <w:rFonts w:hint="eastAsia" w:ascii="宋体" w:hAnsi="宋体" w:cs="宋体"/>
                <w:kern w:val="0"/>
              </w:rPr>
              <w:t>□</w:t>
            </w:r>
            <w:r>
              <w:rPr>
                <w:rFonts w:ascii="宋体" w:hAnsi="宋体"/>
                <w:kern w:val="0"/>
              </w:rPr>
              <w:t>联合体投标人</w:t>
            </w:r>
          </w:p>
        </w:tc>
        <w:tc>
          <w:tcPr>
            <w:tcW w:w="5493"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符合第二章“投标人须知”第1.4.2项规定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55"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2.1.</w:t>
            </w:r>
            <w:r>
              <w:rPr>
                <w:rFonts w:hint="eastAsia" w:ascii="宋体" w:hAnsi="宋体"/>
                <w:kern w:val="0"/>
              </w:rPr>
              <w:t>2</w:t>
            </w:r>
          </w:p>
        </w:tc>
        <w:tc>
          <w:tcPr>
            <w:tcW w:w="567" w:type="dxa"/>
            <w:gridSpan w:val="2"/>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形式评审标准</w:t>
            </w:r>
          </w:p>
        </w:tc>
        <w:tc>
          <w:tcPr>
            <w:tcW w:w="2560" w:type="dxa"/>
            <w:gridSpan w:val="3"/>
            <w:tcBorders>
              <w:left w:val="single" w:color="auto" w:sz="4" w:space="0"/>
            </w:tcBorders>
            <w:vAlign w:val="center"/>
          </w:tcPr>
          <w:p>
            <w:pPr>
              <w:spacing w:line="400" w:lineRule="exact"/>
              <w:jc w:val="left"/>
              <w:rPr>
                <w:rFonts w:ascii="宋体" w:hAnsi="宋体"/>
                <w:kern w:val="0"/>
              </w:rPr>
            </w:pPr>
            <w:r>
              <w:rPr>
                <w:rFonts w:ascii="宋体" w:hAnsi="宋体"/>
                <w:kern w:val="0"/>
              </w:rPr>
              <w:t>投标人名称</w:t>
            </w:r>
          </w:p>
        </w:tc>
        <w:tc>
          <w:tcPr>
            <w:tcW w:w="5493" w:type="dxa"/>
            <w:vAlign w:val="center"/>
          </w:tcPr>
          <w:p>
            <w:pPr>
              <w:spacing w:line="400" w:lineRule="exact"/>
              <w:ind w:firstLine="420" w:firstLineChars="200"/>
              <w:rPr>
                <w:rFonts w:ascii="宋体" w:hAnsi="宋体"/>
                <w:kern w:val="0"/>
              </w:rPr>
            </w:pPr>
            <w:r>
              <w:rPr>
                <w:rFonts w:ascii="宋体" w:hAnsi="宋体"/>
                <w:kern w:val="0"/>
              </w:rPr>
              <w:t>与营业执照、资质证书、安全生产许可证一致</w:t>
            </w:r>
            <w:r>
              <w:rPr>
                <w:rFonts w:hint="eastAsia" w:ascii="宋体" w:hAnsi="宋体"/>
                <w:kern w:val="0"/>
              </w:rPr>
              <w:t>，依法变更名称的应提交相应证明材料</w:t>
            </w:r>
            <w:r>
              <w:rPr>
                <w:rFonts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pPr>
              <w:spacing w:line="400" w:lineRule="exact"/>
              <w:jc w:val="center"/>
              <w:rPr>
                <w:rFonts w:ascii="宋体" w:hAnsi="宋体"/>
                <w:kern w:val="0"/>
              </w:rPr>
            </w:pPr>
          </w:p>
        </w:tc>
        <w:tc>
          <w:tcPr>
            <w:tcW w:w="567" w:type="dxa"/>
            <w:gridSpan w:val="2"/>
            <w:vMerge w:val="continue"/>
            <w:tcBorders>
              <w:right w:val="single" w:color="auto" w:sz="4" w:space="0"/>
            </w:tcBorders>
          </w:tcPr>
          <w:p>
            <w:pPr>
              <w:spacing w:line="400" w:lineRule="exact"/>
              <w:jc w:val="center"/>
              <w:rPr>
                <w:rFonts w:ascii="宋体" w:hAnsi="宋体"/>
                <w:kern w:val="0"/>
              </w:rPr>
            </w:pPr>
          </w:p>
        </w:tc>
        <w:tc>
          <w:tcPr>
            <w:tcW w:w="2560" w:type="dxa"/>
            <w:gridSpan w:val="3"/>
            <w:tcBorders>
              <w:left w:val="single" w:color="auto" w:sz="4" w:space="0"/>
            </w:tcBorders>
            <w:vAlign w:val="center"/>
          </w:tcPr>
          <w:p>
            <w:pPr>
              <w:spacing w:line="400" w:lineRule="exact"/>
              <w:jc w:val="left"/>
              <w:rPr>
                <w:rFonts w:ascii="宋体" w:hAnsi="宋体"/>
                <w:kern w:val="0"/>
              </w:rPr>
            </w:pPr>
            <w:r>
              <w:rPr>
                <w:rFonts w:ascii="宋体" w:hAnsi="宋体"/>
                <w:kern w:val="0"/>
              </w:rPr>
              <w:t>投标文件格式</w:t>
            </w:r>
          </w:p>
        </w:tc>
        <w:tc>
          <w:tcPr>
            <w:tcW w:w="5493" w:type="dxa"/>
            <w:vAlign w:val="center"/>
          </w:tcPr>
          <w:p>
            <w:pPr>
              <w:spacing w:line="400" w:lineRule="exact"/>
              <w:ind w:firstLine="420" w:firstLineChars="200"/>
              <w:rPr>
                <w:rFonts w:ascii="宋体" w:hAnsi="宋体"/>
                <w:kern w:val="0"/>
              </w:rPr>
            </w:pPr>
            <w:r>
              <w:rPr>
                <w:rFonts w:ascii="宋体" w:hAnsi="宋体"/>
                <w:kern w:val="0"/>
              </w:rPr>
              <w:t>符合第</w:t>
            </w:r>
            <w:r>
              <w:rPr>
                <w:rFonts w:hint="eastAsia" w:ascii="宋体" w:hAnsi="宋体"/>
                <w:kern w:val="0"/>
              </w:rPr>
              <w:t>二</w:t>
            </w:r>
            <w:r>
              <w:rPr>
                <w:rFonts w:ascii="宋体" w:hAnsi="宋体"/>
                <w:kern w:val="0"/>
              </w:rPr>
              <w:t>章“投标</w:t>
            </w:r>
            <w:r>
              <w:rPr>
                <w:rFonts w:hint="eastAsia" w:ascii="宋体" w:hAnsi="宋体"/>
                <w:kern w:val="0"/>
              </w:rPr>
              <w:t>人须知</w:t>
            </w:r>
            <w:r>
              <w:rPr>
                <w:rFonts w:ascii="宋体" w:hAnsi="宋体"/>
                <w:kern w:val="0"/>
              </w:rPr>
              <w:t>”</w:t>
            </w:r>
            <w:r>
              <w:rPr>
                <w:rFonts w:hint="eastAsia" w:ascii="宋体" w:hAnsi="宋体"/>
                <w:kern w:val="0"/>
              </w:rPr>
              <w:t>第3.7款</w:t>
            </w:r>
            <w:r>
              <w:rPr>
                <w:rFonts w:ascii="宋体" w:hAnsi="宋体"/>
                <w:kern w:val="0"/>
              </w:rPr>
              <w:t>的要求</w:t>
            </w:r>
            <w:r>
              <w:rPr>
                <w:rFonts w:hint="eastAsia" w:ascii="宋体" w:hAnsi="宋体"/>
                <w:kern w:val="0"/>
              </w:rPr>
              <w:t>（不含投标函部分）</w:t>
            </w:r>
            <w:r>
              <w:rPr>
                <w:rFonts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pPr>
              <w:spacing w:line="400" w:lineRule="exact"/>
              <w:jc w:val="center"/>
              <w:rPr>
                <w:rFonts w:ascii="宋体" w:hAnsi="宋体"/>
                <w:kern w:val="0"/>
              </w:rPr>
            </w:pPr>
          </w:p>
        </w:tc>
        <w:tc>
          <w:tcPr>
            <w:tcW w:w="567" w:type="dxa"/>
            <w:gridSpan w:val="2"/>
            <w:vMerge w:val="continue"/>
            <w:tcBorders>
              <w:right w:val="single" w:color="auto" w:sz="4" w:space="0"/>
            </w:tcBorders>
          </w:tcPr>
          <w:p>
            <w:pPr>
              <w:spacing w:line="400" w:lineRule="exact"/>
              <w:jc w:val="center"/>
              <w:rPr>
                <w:rFonts w:ascii="宋体" w:hAnsi="宋体"/>
                <w:kern w:val="0"/>
              </w:rPr>
            </w:pPr>
          </w:p>
        </w:tc>
        <w:tc>
          <w:tcPr>
            <w:tcW w:w="2560" w:type="dxa"/>
            <w:gridSpan w:val="3"/>
            <w:tcBorders>
              <w:left w:val="single" w:color="auto" w:sz="4" w:space="0"/>
            </w:tcBorders>
            <w:vAlign w:val="center"/>
          </w:tcPr>
          <w:p>
            <w:pPr>
              <w:spacing w:line="400" w:lineRule="exact"/>
              <w:jc w:val="left"/>
              <w:rPr>
                <w:rFonts w:ascii="宋体" w:hAnsi="宋体"/>
                <w:kern w:val="0"/>
              </w:rPr>
            </w:pPr>
            <w:r>
              <w:rPr>
                <w:rFonts w:hint="eastAsia" w:ascii="宋体" w:hAnsi="宋体" w:cs="宋体"/>
                <w:kern w:val="0"/>
              </w:rPr>
              <w:t>□</w:t>
            </w:r>
            <w:r>
              <w:rPr>
                <w:rFonts w:ascii="宋体" w:hAnsi="宋体"/>
                <w:kern w:val="0"/>
              </w:rPr>
              <w:t>联合体投标人</w:t>
            </w:r>
          </w:p>
        </w:tc>
        <w:tc>
          <w:tcPr>
            <w:tcW w:w="5493" w:type="dxa"/>
            <w:vAlign w:val="center"/>
          </w:tcPr>
          <w:p>
            <w:pPr>
              <w:spacing w:line="400" w:lineRule="exact"/>
              <w:ind w:firstLine="420" w:firstLineChars="200"/>
              <w:rPr>
                <w:rFonts w:ascii="宋体" w:hAnsi="宋体"/>
                <w:kern w:val="0"/>
              </w:rPr>
            </w:pPr>
            <w:r>
              <w:rPr>
                <w:rFonts w:ascii="宋体" w:hAnsi="宋体"/>
                <w:kern w:val="0"/>
              </w:rPr>
              <w:t>提交</w:t>
            </w:r>
            <w:r>
              <w:rPr>
                <w:rFonts w:hint="eastAsia" w:ascii="宋体" w:hAnsi="宋体"/>
                <w:kern w:val="0"/>
                <w:lang w:eastAsia="zh-CN"/>
              </w:rPr>
              <w:t>共同投标协议</w:t>
            </w:r>
            <w:r>
              <w:rPr>
                <w:rFonts w:ascii="宋体" w:hAnsi="宋体"/>
                <w:kern w:val="0"/>
              </w:rPr>
              <w:t>，并明确联合体牵头人</w:t>
            </w:r>
            <w:r>
              <w:rPr>
                <w:rFonts w:hint="eastAsia" w:ascii="宋体" w:hAnsi="宋体"/>
                <w:kern w:val="0"/>
              </w:rPr>
              <w:t>。在</w:t>
            </w:r>
            <w:r>
              <w:rPr>
                <w:rFonts w:hint="eastAsia" w:ascii="宋体" w:hAnsi="宋体"/>
                <w:kern w:val="0"/>
                <w:lang w:eastAsia="zh-CN"/>
              </w:rPr>
              <w:t>共同投标协议</w:t>
            </w:r>
            <w:r>
              <w:rPr>
                <w:rFonts w:hint="eastAsia" w:ascii="宋体" w:hAnsi="宋体"/>
                <w:kern w:val="0"/>
              </w:rPr>
              <w:t>第5条联合体各成员单位内部的职责分工中填写的联合体所有成员单位名称应与其营业执照、资质证书、安全生产许可证一致，依法变更名称的应提交相应证明材料。</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pPr>
              <w:spacing w:line="400" w:lineRule="exact"/>
              <w:jc w:val="center"/>
              <w:rPr>
                <w:rFonts w:ascii="宋体" w:hAnsi="宋体"/>
                <w:kern w:val="0"/>
              </w:rPr>
            </w:pPr>
          </w:p>
        </w:tc>
        <w:tc>
          <w:tcPr>
            <w:tcW w:w="567" w:type="dxa"/>
            <w:gridSpan w:val="2"/>
            <w:vMerge w:val="continue"/>
            <w:tcBorders>
              <w:right w:val="single" w:color="auto" w:sz="4" w:space="0"/>
            </w:tcBorders>
          </w:tcPr>
          <w:p>
            <w:pPr>
              <w:spacing w:line="400" w:lineRule="exact"/>
              <w:jc w:val="center"/>
              <w:rPr>
                <w:rFonts w:ascii="宋体" w:hAnsi="宋体"/>
                <w:kern w:val="0"/>
              </w:rPr>
            </w:pPr>
          </w:p>
        </w:tc>
        <w:tc>
          <w:tcPr>
            <w:tcW w:w="2560" w:type="dxa"/>
            <w:gridSpan w:val="3"/>
            <w:tcBorders>
              <w:left w:val="single" w:color="auto" w:sz="4" w:space="0"/>
            </w:tcBorders>
            <w:vAlign w:val="center"/>
          </w:tcPr>
          <w:p>
            <w:pPr>
              <w:spacing w:line="400" w:lineRule="exact"/>
              <w:jc w:val="left"/>
              <w:rPr>
                <w:rFonts w:ascii="宋体" w:hAnsi="宋体"/>
                <w:kern w:val="0"/>
              </w:rPr>
            </w:pPr>
            <w:r>
              <w:rPr>
                <w:rFonts w:ascii="宋体" w:hAnsi="宋体"/>
                <w:kern w:val="0"/>
              </w:rPr>
              <w:t>投标文件的签署</w:t>
            </w:r>
          </w:p>
        </w:tc>
        <w:tc>
          <w:tcPr>
            <w:tcW w:w="5493" w:type="dxa"/>
            <w:vAlign w:val="center"/>
          </w:tcPr>
          <w:p>
            <w:pPr>
              <w:spacing w:line="400" w:lineRule="exact"/>
              <w:ind w:firstLine="420" w:firstLineChars="200"/>
              <w:rPr>
                <w:rFonts w:ascii="宋体" w:hAnsi="宋体"/>
                <w:kern w:val="0"/>
              </w:rPr>
            </w:pPr>
            <w:r>
              <w:rPr>
                <w:rFonts w:hint="eastAsia" w:ascii="宋体" w:hAnsi="宋体"/>
                <w:kern w:val="0"/>
              </w:rPr>
              <w:t xml:space="preserve">第八章 </w:t>
            </w:r>
            <w:r>
              <w:rPr>
                <w:rFonts w:ascii="宋体" w:hAnsi="宋体"/>
                <w:kern w:val="0"/>
              </w:rPr>
              <w:t>投标文件</w:t>
            </w:r>
            <w:r>
              <w:rPr>
                <w:rFonts w:hint="eastAsia" w:ascii="宋体" w:hAnsi="宋体"/>
                <w:kern w:val="0"/>
              </w:rPr>
              <w:t>格式（不含投标函部分）要求</w:t>
            </w:r>
            <w:r>
              <w:rPr>
                <w:rFonts w:ascii="宋体" w:hAnsi="宋体"/>
                <w:kern w:val="0"/>
              </w:rPr>
              <w:t>法定代表人或其委托代理人</w:t>
            </w:r>
            <w:r>
              <w:rPr>
                <w:rFonts w:hint="eastAsia" w:ascii="宋体" w:hAnsi="宋体"/>
                <w:kern w:val="0"/>
              </w:rPr>
              <w:t>签名</w:t>
            </w:r>
            <w:r>
              <w:rPr>
                <w:rFonts w:ascii="宋体" w:hAnsi="宋体"/>
                <w:kern w:val="0"/>
              </w:rPr>
              <w:t>（或盖章）</w:t>
            </w:r>
            <w:r>
              <w:rPr>
                <w:rFonts w:hint="eastAsia" w:ascii="宋体" w:hAnsi="宋体"/>
                <w:kern w:val="0"/>
              </w:rPr>
              <w:t>的须</w:t>
            </w:r>
            <w:r>
              <w:rPr>
                <w:rFonts w:ascii="宋体" w:hAnsi="宋体"/>
                <w:kern w:val="0"/>
              </w:rPr>
              <w:t>齐全</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ascii="宋体" w:hAnsi="宋体"/>
                <w:kern w:val="0"/>
              </w:rPr>
              <w:t>。</w:t>
            </w:r>
          </w:p>
          <w:p>
            <w:pPr>
              <w:autoSpaceDE w:val="0"/>
              <w:autoSpaceDN w:val="0"/>
              <w:adjustRightInd w:val="0"/>
              <w:snapToGrid w:val="0"/>
              <w:spacing w:line="400" w:lineRule="exact"/>
              <w:ind w:firstLine="420" w:firstLineChars="200"/>
              <w:rPr>
                <w:rFonts w:ascii="宋体" w:hAnsi="宋体"/>
                <w:kern w:val="0"/>
              </w:rPr>
            </w:pPr>
            <w:r>
              <w:rPr>
                <w:rFonts w:hint="eastAsia" w:ascii="宋体" w:hAnsi="宋体"/>
                <w:snapToGrid w:val="0"/>
                <w:kern w:val="0"/>
                <w:szCs w:val="21"/>
              </w:rPr>
              <w:t>若投标单位为联合体，则</w:t>
            </w:r>
            <w:r>
              <w:rPr>
                <w:rFonts w:hint="eastAsia" w:ascii="宋体" w:hAnsi="宋体"/>
                <w:snapToGrid w:val="0"/>
                <w:kern w:val="0"/>
                <w:szCs w:val="21"/>
                <w:lang w:eastAsia="zh-CN"/>
              </w:rPr>
              <w:t>共同投标协议</w:t>
            </w:r>
            <w:r>
              <w:rPr>
                <w:rFonts w:hint="eastAsia" w:ascii="宋体" w:hAnsi="宋体"/>
                <w:snapToGrid w:val="0"/>
                <w:kern w:val="0"/>
                <w:szCs w:val="21"/>
              </w:rPr>
              <w:t>各联合体成员单位签名（或盖章）须齐全，</w:t>
            </w:r>
            <w:r>
              <w:rPr>
                <w:rFonts w:hint="eastAsia" w:ascii="宋体" w:hAnsi="宋体"/>
                <w:snapToGrid w:val="0"/>
                <w:kern w:val="0"/>
                <w:szCs w:val="21"/>
                <w:lang w:eastAsia="zh-CN"/>
              </w:rPr>
              <w:t>共同投标协议</w:t>
            </w:r>
            <w:r>
              <w:rPr>
                <w:rFonts w:hint="eastAsia" w:ascii="宋体" w:hAnsi="宋体"/>
                <w:snapToGrid w:val="0"/>
                <w:kern w:val="0"/>
                <w:szCs w:val="21"/>
              </w:rPr>
              <w:t>以外的</w:t>
            </w:r>
            <w:r>
              <w:rPr>
                <w:rFonts w:ascii="宋体" w:hAnsi="宋体"/>
                <w:kern w:val="0"/>
              </w:rPr>
              <w:t>投标文件</w:t>
            </w:r>
            <w:r>
              <w:rPr>
                <w:rFonts w:hint="eastAsia" w:ascii="宋体" w:hAnsi="宋体"/>
                <w:kern w:val="0"/>
              </w:rPr>
              <w:t>格式中，要求法定代表人或其委托代理人签名（或盖章）的均由联合体牵头人法定代表人或其委托代理人签名（或盖章）</w:t>
            </w:r>
            <w:r>
              <w:rPr>
                <w:rFonts w:ascii="宋体" w:hAnsi="宋体"/>
                <w:kern w:val="0"/>
              </w:rPr>
              <w:t>。</w:t>
            </w:r>
          </w:p>
          <w:p>
            <w:pPr>
              <w:autoSpaceDE w:val="0"/>
              <w:autoSpaceDN w:val="0"/>
              <w:adjustRightInd w:val="0"/>
              <w:snapToGrid w:val="0"/>
              <w:spacing w:line="400" w:lineRule="exact"/>
              <w:ind w:firstLine="420" w:firstLineChars="200"/>
              <w:rPr>
                <w:rFonts w:ascii="宋体" w:hAnsi="宋体"/>
                <w:kern w:val="0"/>
              </w:rPr>
            </w:pPr>
            <w:r>
              <w:rPr>
                <w:rFonts w:hint="eastAsia" w:ascii="宋体" w:hAnsi="宋体"/>
                <w:kern w:val="0"/>
              </w:rPr>
              <w:t>第八章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ascii="宋体" w:hAnsi="宋体"/>
                <w:kern w:val="0"/>
              </w:rPr>
            </w:pPr>
            <w:r>
              <w:rPr>
                <w:rFonts w:hint="eastAsia" w:ascii="宋体" w:hAnsi="宋体"/>
                <w:kern w:val="0"/>
              </w:rPr>
              <w:t>若投标单位为联合体，则</w:t>
            </w:r>
            <w:r>
              <w:rPr>
                <w:rFonts w:hint="eastAsia" w:ascii="宋体" w:hAnsi="宋体"/>
                <w:kern w:val="0"/>
                <w:lang w:eastAsia="zh-CN"/>
              </w:rPr>
              <w:t>共同投标协议</w:t>
            </w:r>
            <w:r>
              <w:rPr>
                <w:rFonts w:hint="eastAsia" w:ascii="宋体" w:hAnsi="宋体"/>
                <w:kern w:val="0"/>
              </w:rPr>
              <w:t>中要求各联合体成员盖单位法人章的，各联合体成员盖章须齐全，</w:t>
            </w:r>
            <w:r>
              <w:rPr>
                <w:rFonts w:hint="eastAsia" w:ascii="宋体" w:hAnsi="宋体"/>
                <w:kern w:val="0"/>
                <w:lang w:eastAsia="zh-CN"/>
              </w:rPr>
              <w:t>共同投标协议</w:t>
            </w:r>
            <w:r>
              <w:rPr>
                <w:rFonts w:hint="eastAsia" w:ascii="宋体" w:hAnsi="宋体"/>
                <w:kern w:val="0"/>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55" w:type="dxa"/>
            <w:vMerge w:val="continue"/>
            <w:tcBorders>
              <w:right w:val="single" w:color="auto" w:sz="4" w:space="0"/>
            </w:tcBorders>
          </w:tcPr>
          <w:p>
            <w:pPr>
              <w:spacing w:line="400" w:lineRule="exact"/>
              <w:jc w:val="center"/>
              <w:rPr>
                <w:rFonts w:ascii="宋体" w:hAnsi="宋体"/>
                <w:kern w:val="0"/>
              </w:rPr>
            </w:pPr>
          </w:p>
        </w:tc>
        <w:tc>
          <w:tcPr>
            <w:tcW w:w="567" w:type="dxa"/>
            <w:gridSpan w:val="2"/>
            <w:vMerge w:val="continue"/>
            <w:tcBorders>
              <w:right w:val="single" w:color="auto" w:sz="4" w:space="0"/>
            </w:tcBorders>
          </w:tcPr>
          <w:p>
            <w:pPr>
              <w:spacing w:line="400" w:lineRule="exact"/>
              <w:jc w:val="center"/>
              <w:rPr>
                <w:rFonts w:ascii="宋体" w:hAnsi="宋体"/>
                <w:kern w:val="0"/>
              </w:rPr>
            </w:pPr>
          </w:p>
        </w:tc>
        <w:tc>
          <w:tcPr>
            <w:tcW w:w="2560" w:type="dxa"/>
            <w:gridSpan w:val="3"/>
            <w:tcBorders>
              <w:left w:val="single" w:color="auto" w:sz="4" w:space="0"/>
            </w:tcBorders>
            <w:vAlign w:val="center"/>
          </w:tcPr>
          <w:p>
            <w:pPr>
              <w:spacing w:line="400" w:lineRule="exact"/>
              <w:jc w:val="left"/>
              <w:rPr>
                <w:rFonts w:ascii="宋体" w:hAnsi="宋体"/>
                <w:kern w:val="0"/>
              </w:rPr>
            </w:pPr>
            <w:r>
              <w:rPr>
                <w:rFonts w:ascii="宋体" w:hAnsi="宋体"/>
                <w:kern w:val="0"/>
              </w:rPr>
              <w:t>委托代理人</w:t>
            </w:r>
          </w:p>
        </w:tc>
        <w:tc>
          <w:tcPr>
            <w:tcW w:w="5493" w:type="dxa"/>
            <w:vAlign w:val="center"/>
          </w:tcPr>
          <w:p>
            <w:pPr>
              <w:spacing w:line="400" w:lineRule="exact"/>
              <w:ind w:firstLine="420" w:firstLineChars="200"/>
              <w:rPr>
                <w:rFonts w:ascii="宋体" w:hAnsi="宋体"/>
                <w:kern w:val="0"/>
              </w:rPr>
            </w:pPr>
            <w:r>
              <w:rPr>
                <w:rFonts w:ascii="宋体" w:hAnsi="宋体"/>
                <w:kern w:val="0"/>
              </w:rPr>
              <w:t>投标人法定代表人的委托代理人有法定代表人签署的授权委托书</w:t>
            </w:r>
            <w:r>
              <w:rPr>
                <w:rFonts w:hint="eastAsia" w:ascii="宋体" w:hAnsi="宋体"/>
                <w:kern w:val="0"/>
              </w:rPr>
              <w:t>和投标人为其缴纳的养老保险。</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5" w:type="dxa"/>
            <w:vMerge w:val="restart"/>
            <w:vAlign w:val="center"/>
          </w:tcPr>
          <w:p>
            <w:pPr>
              <w:spacing w:line="400" w:lineRule="exact"/>
              <w:jc w:val="center"/>
              <w:rPr>
                <w:rFonts w:ascii="宋体" w:hAnsi="宋体"/>
                <w:kern w:val="0"/>
              </w:rPr>
            </w:pPr>
            <w:r>
              <w:rPr>
                <w:rFonts w:ascii="宋体" w:hAnsi="宋体"/>
                <w:kern w:val="0"/>
              </w:rPr>
              <w:t>2.1.</w:t>
            </w:r>
            <w:r>
              <w:rPr>
                <w:rFonts w:hint="eastAsia" w:ascii="宋体" w:hAnsi="宋体"/>
                <w:kern w:val="0"/>
              </w:rPr>
              <w:t>3</w:t>
            </w:r>
          </w:p>
        </w:tc>
        <w:tc>
          <w:tcPr>
            <w:tcW w:w="567" w:type="dxa"/>
            <w:gridSpan w:val="2"/>
            <w:vMerge w:val="restart"/>
            <w:vAlign w:val="center"/>
          </w:tcPr>
          <w:p>
            <w:pPr>
              <w:spacing w:line="400" w:lineRule="exact"/>
              <w:jc w:val="center"/>
              <w:rPr>
                <w:rFonts w:ascii="宋体" w:hAnsi="宋体"/>
                <w:kern w:val="0"/>
              </w:rPr>
            </w:pPr>
            <w:r>
              <w:rPr>
                <w:rFonts w:hint="eastAsia" w:ascii="宋体" w:hAnsi="宋体"/>
                <w:kern w:val="0"/>
              </w:rPr>
              <w:t>响应性</w:t>
            </w:r>
            <w:r>
              <w:rPr>
                <w:rFonts w:ascii="宋体" w:hAnsi="宋体"/>
                <w:kern w:val="0"/>
              </w:rPr>
              <w:t>评审标准</w:t>
            </w:r>
          </w:p>
        </w:tc>
        <w:tc>
          <w:tcPr>
            <w:tcW w:w="2560" w:type="dxa"/>
            <w:gridSpan w:val="3"/>
            <w:vAlign w:val="center"/>
          </w:tcPr>
          <w:p>
            <w:pPr>
              <w:spacing w:line="400" w:lineRule="exact"/>
              <w:jc w:val="left"/>
              <w:rPr>
                <w:rFonts w:ascii="宋体" w:hAnsi="宋体"/>
                <w:kern w:val="0"/>
              </w:rPr>
            </w:pPr>
            <w:r>
              <w:rPr>
                <w:rFonts w:ascii="宋体" w:hAnsi="宋体"/>
                <w:kern w:val="0"/>
              </w:rPr>
              <w:t>投标内容</w:t>
            </w:r>
          </w:p>
        </w:tc>
        <w:tc>
          <w:tcPr>
            <w:tcW w:w="5493"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5" w:type="dxa"/>
            <w:vMerge w:val="continue"/>
            <w:vAlign w:val="center"/>
          </w:tcPr>
          <w:p>
            <w:pPr>
              <w:spacing w:line="400" w:lineRule="exact"/>
              <w:jc w:val="center"/>
              <w:rPr>
                <w:rFonts w:ascii="宋体" w:hAnsi="宋体"/>
                <w:kern w:val="0"/>
              </w:rPr>
            </w:pPr>
          </w:p>
        </w:tc>
        <w:tc>
          <w:tcPr>
            <w:tcW w:w="567" w:type="dxa"/>
            <w:gridSpan w:val="2"/>
            <w:vMerge w:val="continue"/>
            <w:textDirection w:val="tbRlV"/>
            <w:vAlign w:val="center"/>
          </w:tcPr>
          <w:p>
            <w:pPr>
              <w:spacing w:line="400" w:lineRule="exact"/>
              <w:jc w:val="center"/>
              <w:rPr>
                <w:rFonts w:ascii="宋体" w:hAnsi="宋体"/>
                <w:kern w:val="0"/>
              </w:rPr>
            </w:pPr>
          </w:p>
        </w:tc>
        <w:tc>
          <w:tcPr>
            <w:tcW w:w="2560" w:type="dxa"/>
            <w:gridSpan w:val="3"/>
            <w:tcBorders>
              <w:top w:val="single" w:color="auto" w:sz="4" w:space="0"/>
            </w:tcBorders>
            <w:vAlign w:val="center"/>
          </w:tcPr>
          <w:p>
            <w:pPr>
              <w:spacing w:line="400" w:lineRule="exact"/>
              <w:jc w:val="left"/>
              <w:rPr>
                <w:rFonts w:ascii="宋体" w:hAnsi="宋体"/>
                <w:kern w:val="0"/>
              </w:rPr>
            </w:pPr>
            <w:r>
              <w:rPr>
                <w:rFonts w:ascii="宋体" w:hAnsi="宋体"/>
                <w:kern w:val="0"/>
              </w:rPr>
              <w:t>投标保证金</w:t>
            </w:r>
          </w:p>
        </w:tc>
        <w:tc>
          <w:tcPr>
            <w:tcW w:w="5493" w:type="dxa"/>
            <w:vAlign w:val="center"/>
          </w:tcPr>
          <w:p>
            <w:pPr>
              <w:tabs>
                <w:tab w:val="left" w:pos="601"/>
                <w:tab w:val="left" w:pos="669"/>
              </w:tabs>
              <w:snapToGrid w:val="0"/>
              <w:spacing w:line="400" w:lineRule="exact"/>
              <w:ind w:firstLine="420" w:firstLineChars="200"/>
              <w:rPr>
                <w:rFonts w:ascii="宋体" w:hAnsi="宋体"/>
                <w:kern w:val="0"/>
              </w:rPr>
            </w:pPr>
            <w:r>
              <w:rPr>
                <w:rFonts w:ascii="宋体" w:hAnsi="宋体"/>
                <w:kern w:val="0"/>
                <w:szCs w:val="21"/>
              </w:rPr>
              <w:t>符合第二章投标人须知前附表第3.4</w:t>
            </w:r>
            <w:r>
              <w:rPr>
                <w:rFonts w:hint="eastAsia" w:ascii="宋体" w:hAnsi="宋体"/>
                <w:kern w:val="0"/>
                <w:szCs w:val="21"/>
              </w:rPr>
              <w:t>款</w:t>
            </w:r>
            <w:r>
              <w:rPr>
                <w:rFonts w:ascii="宋体" w:hAnsi="宋体"/>
                <w:kern w:val="0"/>
              </w:rPr>
              <w:t>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5" w:type="dxa"/>
            <w:vMerge w:val="continue"/>
          </w:tcPr>
          <w:p>
            <w:pPr>
              <w:spacing w:line="400" w:lineRule="exact"/>
              <w:jc w:val="center"/>
              <w:rPr>
                <w:rFonts w:ascii="宋体" w:hAnsi="宋体"/>
              </w:rPr>
            </w:pPr>
          </w:p>
        </w:tc>
        <w:tc>
          <w:tcPr>
            <w:tcW w:w="567" w:type="dxa"/>
            <w:gridSpan w:val="2"/>
            <w:vMerge w:val="continue"/>
          </w:tcPr>
          <w:p>
            <w:pPr>
              <w:spacing w:line="400" w:lineRule="exact"/>
              <w:jc w:val="center"/>
              <w:rPr>
                <w:rFonts w:ascii="宋体" w:hAnsi="宋体"/>
              </w:rPr>
            </w:pPr>
          </w:p>
        </w:tc>
        <w:tc>
          <w:tcPr>
            <w:tcW w:w="2560" w:type="dxa"/>
            <w:gridSpan w:val="3"/>
            <w:vAlign w:val="center"/>
          </w:tcPr>
          <w:p>
            <w:pPr>
              <w:spacing w:line="400" w:lineRule="exact"/>
              <w:jc w:val="left"/>
              <w:rPr>
                <w:rFonts w:ascii="宋体" w:hAnsi="宋体"/>
                <w:kern w:val="0"/>
              </w:rPr>
            </w:pPr>
            <w:r>
              <w:rPr>
                <w:rFonts w:ascii="宋体" w:hAnsi="宋体"/>
                <w:kern w:val="0"/>
              </w:rPr>
              <w:t>权利义务</w:t>
            </w:r>
          </w:p>
        </w:tc>
        <w:tc>
          <w:tcPr>
            <w:tcW w:w="5493" w:type="dxa"/>
            <w:vAlign w:val="center"/>
          </w:tcPr>
          <w:p>
            <w:pPr>
              <w:spacing w:after="62" w:afterLines="20" w:line="400" w:lineRule="exact"/>
              <w:ind w:firstLine="420" w:firstLineChars="200"/>
              <w:rPr>
                <w:rFonts w:ascii="宋体" w:hAnsi="宋体"/>
                <w:kern w:val="0"/>
              </w:rPr>
            </w:pPr>
            <w:r>
              <w:rPr>
                <w:rFonts w:ascii="宋体" w:hAnsi="宋体"/>
                <w:kern w:val="0"/>
              </w:rPr>
              <w:t>符合第四章“合同条款及格式”规定，投标文件不应附有招标人不能接受的条件。</w:t>
            </w:r>
            <w:r>
              <w:rPr>
                <w:rFonts w:hint="eastAsia" w:ascii="宋体" w:hAnsi="宋体"/>
                <w:kern w:val="0"/>
              </w:rPr>
              <w:t>（由投标人承诺，承诺书格式详见第八章投标文件格式。）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855" w:type="dxa"/>
            <w:vMerge w:val="continue"/>
          </w:tcPr>
          <w:p>
            <w:pPr>
              <w:spacing w:line="400" w:lineRule="exact"/>
              <w:jc w:val="center"/>
              <w:rPr>
                <w:rFonts w:ascii="宋体" w:hAnsi="宋体"/>
              </w:rPr>
            </w:pPr>
          </w:p>
        </w:tc>
        <w:tc>
          <w:tcPr>
            <w:tcW w:w="567" w:type="dxa"/>
            <w:gridSpan w:val="2"/>
            <w:vMerge w:val="continue"/>
          </w:tcPr>
          <w:p>
            <w:pPr>
              <w:spacing w:line="400" w:lineRule="exact"/>
              <w:jc w:val="center"/>
              <w:rPr>
                <w:rFonts w:ascii="宋体" w:hAnsi="宋体"/>
              </w:rPr>
            </w:pPr>
          </w:p>
        </w:tc>
        <w:tc>
          <w:tcPr>
            <w:tcW w:w="2560" w:type="dxa"/>
            <w:gridSpan w:val="3"/>
            <w:vAlign w:val="center"/>
          </w:tcPr>
          <w:p>
            <w:pPr>
              <w:spacing w:line="400" w:lineRule="exact"/>
              <w:jc w:val="left"/>
              <w:rPr>
                <w:rFonts w:ascii="宋体" w:hAnsi="宋体"/>
                <w:kern w:val="0"/>
              </w:rPr>
            </w:pPr>
            <w:r>
              <w:rPr>
                <w:rFonts w:hint="eastAsia" w:ascii="宋体" w:hAnsi="宋体"/>
                <w:kern w:val="0"/>
              </w:rPr>
              <w:t>□</w:t>
            </w:r>
            <w:r>
              <w:rPr>
                <w:rFonts w:ascii="宋体" w:hAnsi="宋体"/>
                <w:kern w:val="0"/>
              </w:rPr>
              <w:t>技术标准和要求</w:t>
            </w:r>
          </w:p>
        </w:tc>
        <w:tc>
          <w:tcPr>
            <w:tcW w:w="5493" w:type="dxa"/>
            <w:vAlign w:val="center"/>
          </w:tcPr>
          <w:p>
            <w:pPr>
              <w:spacing w:line="400" w:lineRule="exact"/>
              <w:ind w:firstLine="420" w:firstLineChars="200"/>
              <w:rPr>
                <w:rFonts w:ascii="宋体" w:hAnsi="宋体"/>
                <w:kern w:val="0"/>
              </w:rPr>
            </w:pPr>
            <w:r>
              <w:rPr>
                <w:rFonts w:ascii="宋体" w:hAnsi="宋体"/>
                <w:kern w:val="0"/>
              </w:rPr>
              <w:t>符合第七章“技术标准和要求”规定</w:t>
            </w:r>
            <w:r>
              <w:rPr>
                <w:rFonts w:hint="eastAsia" w:ascii="宋体" w:hAnsi="宋体"/>
                <w:kern w:val="0"/>
              </w:rPr>
              <w:t>。（由投标人承诺，承诺书格式详见第八章投标文件格式。）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5" w:type="dxa"/>
            <w:vMerge w:val="continue"/>
          </w:tcPr>
          <w:p>
            <w:pPr>
              <w:spacing w:line="400" w:lineRule="exact"/>
              <w:rPr>
                <w:rFonts w:ascii="宋体" w:hAnsi="宋体"/>
              </w:rPr>
            </w:pPr>
          </w:p>
        </w:tc>
        <w:tc>
          <w:tcPr>
            <w:tcW w:w="567" w:type="dxa"/>
            <w:gridSpan w:val="2"/>
            <w:vMerge w:val="continue"/>
          </w:tcPr>
          <w:p>
            <w:pPr>
              <w:spacing w:line="400" w:lineRule="exact"/>
              <w:rPr>
                <w:rFonts w:ascii="宋体" w:hAnsi="宋体"/>
              </w:rPr>
            </w:pPr>
          </w:p>
        </w:tc>
        <w:tc>
          <w:tcPr>
            <w:tcW w:w="2560" w:type="dxa"/>
            <w:gridSpan w:val="3"/>
            <w:vAlign w:val="center"/>
          </w:tcPr>
          <w:p>
            <w:pPr>
              <w:spacing w:line="400" w:lineRule="exact"/>
              <w:jc w:val="left"/>
              <w:rPr>
                <w:rFonts w:ascii="宋体" w:hAnsi="宋体"/>
                <w:kern w:val="0"/>
              </w:rPr>
            </w:pPr>
            <w:r>
              <w:rPr>
                <w:rFonts w:ascii="宋体" w:hAnsi="宋体"/>
                <w:kern w:val="0"/>
              </w:rPr>
              <w:t>实质性要求</w:t>
            </w:r>
          </w:p>
        </w:tc>
        <w:tc>
          <w:tcPr>
            <w:tcW w:w="5493" w:type="dxa"/>
            <w:vAlign w:val="center"/>
          </w:tcPr>
          <w:p>
            <w:pPr>
              <w:spacing w:after="62" w:afterLines="20" w:line="400" w:lineRule="exact"/>
              <w:ind w:firstLine="420" w:firstLineChars="200"/>
              <w:rPr>
                <w:rFonts w:ascii="宋体" w:hAnsi="宋体"/>
                <w:kern w:val="0"/>
              </w:rPr>
            </w:pPr>
            <w:r>
              <w:rPr>
                <w:rFonts w:hint="eastAsia" w:ascii="宋体" w:hAnsi="宋体"/>
                <w:kern w:val="0"/>
              </w:rPr>
              <w:t>符合第二章“投标人须知”第1.4.3项规定。</w:t>
            </w:r>
          </w:p>
          <w:p>
            <w:pPr>
              <w:spacing w:after="62" w:afterLines="20" w:line="400" w:lineRule="exact"/>
              <w:ind w:firstLine="420" w:firstLineChars="200"/>
              <w:rPr>
                <w:rFonts w:ascii="宋体" w:hAnsi="宋体"/>
                <w:kern w:val="0"/>
              </w:rPr>
            </w:pPr>
            <w:r>
              <w:rPr>
                <w:rFonts w:hint="eastAsia" w:ascii="宋体" w:hAnsi="宋体"/>
                <w:kern w:val="0"/>
              </w:rPr>
              <w:t>本次投标不得有串通投标</w:t>
            </w:r>
            <w:r>
              <w:rPr>
                <w:rFonts w:ascii="宋体" w:hAnsi="宋体"/>
                <w:kern w:val="0"/>
              </w:rPr>
              <w:t>、弄虚作假等其他违反招投标相关法律、法规行为。</w:t>
            </w:r>
          </w:p>
          <w:p>
            <w:pPr>
              <w:spacing w:after="62" w:afterLines="20" w:line="400" w:lineRule="exact"/>
              <w:ind w:firstLine="420" w:firstLineChars="200"/>
              <w:rPr>
                <w:rFonts w:ascii="宋体" w:hAnsi="宋体"/>
                <w:kern w:val="0"/>
              </w:rPr>
            </w:pPr>
            <w:r>
              <w:rPr>
                <w:rFonts w:hint="eastAsia" w:ascii="宋体" w:hAnsi="宋体"/>
                <w:kern w:val="0"/>
              </w:rPr>
              <w:t>按评标委员会要求澄清、说明或补正。</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22" w:type="dxa"/>
            <w:gridSpan w:val="3"/>
            <w:vAlign w:val="center"/>
          </w:tcPr>
          <w:p>
            <w:pPr>
              <w:spacing w:line="400" w:lineRule="exact"/>
              <w:ind w:firstLine="210" w:firstLineChars="100"/>
              <w:jc w:val="center"/>
              <w:rPr>
                <w:rFonts w:ascii="宋体" w:hAnsi="宋体"/>
                <w:kern w:val="0"/>
              </w:rPr>
            </w:pPr>
            <w:r>
              <w:rPr>
                <w:rFonts w:ascii="宋体" w:hAnsi="宋体"/>
                <w:kern w:val="0"/>
              </w:rPr>
              <w:t>2.2.1</w:t>
            </w:r>
          </w:p>
        </w:tc>
        <w:tc>
          <w:tcPr>
            <w:tcW w:w="2560" w:type="dxa"/>
            <w:gridSpan w:val="3"/>
            <w:vAlign w:val="center"/>
          </w:tcPr>
          <w:p>
            <w:pPr>
              <w:tabs>
                <w:tab w:val="left" w:pos="1875"/>
              </w:tabs>
              <w:spacing w:line="400" w:lineRule="exact"/>
              <w:jc w:val="center"/>
              <w:rPr>
                <w:rFonts w:ascii="宋体" w:hAnsi="宋体"/>
                <w:kern w:val="0"/>
              </w:rPr>
            </w:pPr>
            <w:r>
              <w:rPr>
                <w:rFonts w:ascii="宋体" w:hAnsi="宋体"/>
                <w:kern w:val="0"/>
              </w:rPr>
              <w:t>分值构成 （总分1</w:t>
            </w:r>
            <w:r>
              <w:rPr>
                <w:rFonts w:hint="eastAsia" w:ascii="宋体" w:hAnsi="宋体"/>
                <w:kern w:val="0"/>
              </w:rPr>
              <w:t>00</w:t>
            </w:r>
            <w:r>
              <w:rPr>
                <w:rFonts w:ascii="宋体" w:hAnsi="宋体"/>
                <w:kern w:val="0"/>
              </w:rPr>
              <w:t>分）</w:t>
            </w:r>
          </w:p>
        </w:tc>
        <w:tc>
          <w:tcPr>
            <w:tcW w:w="5493" w:type="dxa"/>
            <w:vAlign w:val="center"/>
          </w:tcPr>
          <w:p>
            <w:pPr>
              <w:snapToGrid w:val="0"/>
              <w:spacing w:line="400" w:lineRule="exact"/>
              <w:ind w:firstLine="420" w:firstLineChars="200"/>
              <w:rPr>
                <w:rFonts w:hint="eastAsia" w:ascii="宋体" w:hAnsi="宋体"/>
                <w:kern w:val="0"/>
              </w:rPr>
            </w:pPr>
            <w:r>
              <w:rPr>
                <w:rFonts w:hint="eastAsia" w:ascii="宋体" w:hAnsi="宋体"/>
                <w:kern w:val="0"/>
              </w:rPr>
              <w:t>1</w:t>
            </w:r>
            <w:r>
              <w:rPr>
                <w:rFonts w:ascii="宋体" w:hAnsi="宋体"/>
                <w:kern w:val="0"/>
              </w:rPr>
              <w:t>.</w:t>
            </w:r>
            <w:r>
              <w:rPr>
                <w:rFonts w:hint="eastAsia" w:ascii="宋体" w:hAnsi="宋体"/>
                <w:kern w:val="0"/>
              </w:rPr>
              <w:t>技术部分</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i/>
                <w:kern w:val="0"/>
              </w:rPr>
              <w:t>[</w:t>
            </w:r>
            <w:r>
              <w:rPr>
                <w:rFonts w:ascii="宋体" w:hAnsi="宋体"/>
                <w:i/>
                <w:kern w:val="0"/>
              </w:rPr>
              <w:t>提示</w:t>
            </w:r>
            <w:r>
              <w:rPr>
                <w:rFonts w:hint="eastAsia" w:ascii="宋体" w:hAnsi="宋体"/>
                <w:i/>
                <w:kern w:val="0"/>
              </w:rPr>
              <w:t>：</w:t>
            </w:r>
            <w:r>
              <w:rPr>
                <w:rFonts w:hint="eastAsia" w:ascii="宋体" w:hAnsi="宋体"/>
                <w:i/>
                <w:kern w:val="0"/>
                <w:lang w:val="en-US" w:eastAsia="zh-CN"/>
              </w:rPr>
              <w:t>一般</w:t>
            </w:r>
            <w:r>
              <w:rPr>
                <w:rFonts w:ascii="宋体" w:hAnsi="宋体"/>
                <w:i/>
                <w:kern w:val="0"/>
              </w:rPr>
              <w:t>不高于</w:t>
            </w:r>
            <w:r>
              <w:rPr>
                <w:rFonts w:hint="eastAsia" w:ascii="宋体" w:hAnsi="宋体"/>
                <w:i/>
                <w:kern w:val="0"/>
              </w:rPr>
              <w:t>30</w:t>
            </w:r>
            <w:r>
              <w:rPr>
                <w:rFonts w:ascii="宋体" w:hAnsi="宋体"/>
                <w:i/>
                <w:kern w:val="0"/>
              </w:rPr>
              <w:t>分</w:t>
            </w:r>
            <w:r>
              <w:rPr>
                <w:rFonts w:hint="eastAsia" w:ascii="宋体" w:hAnsi="宋体"/>
                <w:i/>
                <w:kern w:val="0"/>
              </w:rPr>
              <w:t>]</w:t>
            </w:r>
            <w:r>
              <w:rPr>
                <w:rFonts w:hint="eastAsia" w:ascii="宋体" w:hAnsi="宋体"/>
                <w:kern w:val="0"/>
              </w:rPr>
              <w:t>；</w:t>
            </w:r>
          </w:p>
          <w:p>
            <w:pPr>
              <w:snapToGrid w:val="0"/>
              <w:spacing w:line="400" w:lineRule="exact"/>
              <w:ind w:firstLine="420" w:firstLineChars="200"/>
              <w:rPr>
                <w:rFonts w:hint="eastAsia" w:ascii="宋体" w:hAnsi="宋体" w:eastAsia="宋体"/>
                <w:kern w:val="0"/>
                <w:lang w:eastAsia="zh-CN"/>
              </w:rPr>
            </w:pPr>
            <w:r>
              <w:rPr>
                <w:rFonts w:hint="eastAsia" w:ascii="宋体" w:hAnsi="宋体"/>
                <w:kern w:val="0"/>
              </w:rPr>
              <w:t>2.</w:t>
            </w:r>
            <w:r>
              <w:rPr>
                <w:rFonts w:hint="eastAsia" w:ascii="宋体" w:hAnsi="宋体"/>
                <w:kern w:val="0"/>
                <w:lang w:val="en-US" w:eastAsia="zh-CN"/>
              </w:rPr>
              <w:t>商务部分</w:t>
            </w:r>
            <w:r>
              <w:rPr>
                <w:rFonts w:hint="eastAsia" w:ascii="宋体" w:hAnsi="宋体"/>
                <w:kern w:val="0"/>
                <w:u w:val="single"/>
              </w:rPr>
              <w:t xml:space="preserve">      </w:t>
            </w:r>
            <w:r>
              <w:rPr>
                <w:rFonts w:hint="eastAsia" w:ascii="宋体" w:hAnsi="宋体"/>
                <w:kern w:val="0"/>
              </w:rPr>
              <w:t>分</w:t>
            </w:r>
            <w:r>
              <w:rPr>
                <w:rFonts w:hint="eastAsia" w:ascii="宋体" w:hAnsi="宋体"/>
                <w:i/>
                <w:iCs w:val="0"/>
                <w:kern w:val="0"/>
              </w:rPr>
              <w:t>[</w:t>
            </w:r>
            <w:r>
              <w:rPr>
                <w:rFonts w:ascii="宋体" w:hAnsi="宋体"/>
                <w:i/>
                <w:iCs w:val="0"/>
                <w:kern w:val="0"/>
              </w:rPr>
              <w:t>提示</w:t>
            </w:r>
            <w:r>
              <w:rPr>
                <w:rFonts w:hint="eastAsia" w:ascii="宋体" w:hAnsi="宋体"/>
                <w:i/>
                <w:iCs w:val="0"/>
                <w:kern w:val="0"/>
              </w:rPr>
              <w:t>：</w:t>
            </w:r>
            <w:r>
              <w:rPr>
                <w:rFonts w:hint="eastAsia" w:ascii="宋体" w:hAnsi="宋体"/>
                <w:i/>
                <w:iCs w:val="0"/>
                <w:kern w:val="0"/>
                <w:lang w:val="en-US" w:eastAsia="zh-CN"/>
              </w:rPr>
              <w:t>一般不高于20分</w:t>
            </w:r>
            <w:r>
              <w:rPr>
                <w:rFonts w:hint="eastAsia" w:ascii="宋体" w:hAnsi="宋体"/>
                <w:i/>
                <w:iCs w:val="0"/>
                <w:kern w:val="0"/>
              </w:rPr>
              <w:t>]</w:t>
            </w:r>
            <w:r>
              <w:rPr>
                <w:rFonts w:hint="eastAsia" w:ascii="宋体" w:hAnsi="宋体"/>
                <w:i/>
                <w:kern w:val="0"/>
                <w:lang w:eastAsia="zh-CN"/>
              </w:rPr>
              <w:t>；</w:t>
            </w:r>
          </w:p>
          <w:p>
            <w:pPr>
              <w:snapToGrid w:val="0"/>
              <w:spacing w:line="400" w:lineRule="exact"/>
              <w:ind w:firstLine="420" w:firstLineChars="200"/>
              <w:rPr>
                <w:rFonts w:ascii="宋体" w:hAnsi="宋体"/>
                <w:i/>
                <w:kern w:val="0"/>
              </w:rPr>
            </w:pPr>
            <w:r>
              <w:rPr>
                <w:rFonts w:hint="eastAsia" w:ascii="宋体" w:hAnsi="宋体"/>
                <w:kern w:val="0"/>
                <w:lang w:val="en-US" w:eastAsia="zh-CN"/>
              </w:rPr>
              <w:t>3</w:t>
            </w:r>
            <w:r>
              <w:rPr>
                <w:rFonts w:hint="eastAsia" w:ascii="宋体" w:hAnsi="宋体"/>
                <w:kern w:val="0"/>
              </w:rPr>
              <w:t>.投标总报价</w:t>
            </w:r>
            <w:r>
              <w:rPr>
                <w:rFonts w:hint="eastAsia" w:ascii="宋体" w:hAnsi="宋体"/>
                <w:kern w:val="0"/>
                <w:u w:val="single"/>
              </w:rPr>
              <w:t xml:space="preserve">      </w:t>
            </w:r>
            <w:r>
              <w:rPr>
                <w:rFonts w:hint="eastAsia" w:ascii="宋体" w:hAnsi="宋体"/>
                <w:kern w:val="0"/>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restart"/>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2.2.2（1）</w:t>
            </w:r>
          </w:p>
        </w:tc>
        <w:tc>
          <w:tcPr>
            <w:tcW w:w="535" w:type="dxa"/>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技术部分评分标准</w:t>
            </w:r>
          </w:p>
        </w:tc>
        <w:tc>
          <w:tcPr>
            <w:tcW w:w="850" w:type="dxa"/>
            <w:vMerge w:val="restart"/>
            <w:tcBorders>
              <w:right w:val="single" w:color="auto" w:sz="4" w:space="0"/>
            </w:tcBorders>
            <w:vAlign w:val="center"/>
          </w:tcPr>
          <w:p>
            <w:pPr>
              <w:tabs>
                <w:tab w:val="left" w:pos="1875"/>
              </w:tabs>
              <w:spacing w:line="400" w:lineRule="exact"/>
              <w:jc w:val="center"/>
              <w:rPr>
                <w:rFonts w:ascii="宋体" w:hAnsi="宋体"/>
                <w:kern w:val="0"/>
              </w:rPr>
            </w:pPr>
            <w:r>
              <w:rPr>
                <w:rFonts w:ascii="宋体" w:hAnsi="宋体"/>
                <w:kern w:val="0"/>
              </w:rPr>
              <w:t>技</w:t>
            </w:r>
          </w:p>
          <w:p>
            <w:pPr>
              <w:tabs>
                <w:tab w:val="left" w:pos="1875"/>
              </w:tabs>
              <w:spacing w:line="400" w:lineRule="exact"/>
              <w:jc w:val="center"/>
              <w:rPr>
                <w:rFonts w:ascii="宋体" w:hAnsi="宋体"/>
                <w:kern w:val="0"/>
              </w:rPr>
            </w:pPr>
            <w:r>
              <w:rPr>
                <w:rFonts w:ascii="宋体" w:hAnsi="宋体"/>
                <w:kern w:val="0"/>
              </w:rPr>
              <w:t>术</w:t>
            </w:r>
          </w:p>
          <w:p>
            <w:pPr>
              <w:tabs>
                <w:tab w:val="left" w:pos="1875"/>
              </w:tabs>
              <w:spacing w:line="400" w:lineRule="exact"/>
              <w:jc w:val="center"/>
              <w:rPr>
                <w:rFonts w:ascii="宋体" w:hAnsi="宋体"/>
                <w:kern w:val="0"/>
              </w:rPr>
            </w:pPr>
            <w:r>
              <w:rPr>
                <w:rFonts w:ascii="宋体" w:hAnsi="宋体"/>
                <w:kern w:val="0"/>
              </w:rPr>
              <w:t>方</w:t>
            </w:r>
          </w:p>
          <w:p>
            <w:pPr>
              <w:tabs>
                <w:tab w:val="left" w:pos="1875"/>
              </w:tabs>
              <w:spacing w:line="400" w:lineRule="exact"/>
              <w:jc w:val="center"/>
              <w:rPr>
                <w:rFonts w:ascii="宋体" w:hAnsi="宋体"/>
                <w:kern w:val="0"/>
              </w:rPr>
            </w:pPr>
            <w:r>
              <w:rPr>
                <w:rFonts w:ascii="宋体" w:hAnsi="宋体"/>
                <w:kern w:val="0"/>
              </w:rPr>
              <w:t>案</w:t>
            </w:r>
          </w:p>
          <w:p>
            <w:pPr>
              <w:tabs>
                <w:tab w:val="left" w:pos="1875"/>
              </w:tabs>
              <w:spacing w:line="400" w:lineRule="exact"/>
              <w:jc w:val="center"/>
              <w:rPr>
                <w:rFonts w:ascii="宋体" w:hAnsi="宋体"/>
                <w:kern w:val="0"/>
              </w:rPr>
            </w:pPr>
            <w:r>
              <w:rPr>
                <w:rFonts w:ascii="宋体" w:hAnsi="宋体"/>
                <w:kern w:val="0"/>
              </w:rPr>
              <w:t>评</w:t>
            </w:r>
          </w:p>
          <w:p>
            <w:pPr>
              <w:tabs>
                <w:tab w:val="left" w:pos="1875"/>
              </w:tabs>
              <w:spacing w:line="400" w:lineRule="exact"/>
              <w:jc w:val="center"/>
              <w:rPr>
                <w:rFonts w:ascii="宋体" w:hAnsi="宋体"/>
                <w:kern w:val="0"/>
              </w:rPr>
            </w:pPr>
            <w:r>
              <w:rPr>
                <w:rFonts w:ascii="宋体" w:hAnsi="宋体"/>
                <w:kern w:val="0"/>
              </w:rPr>
              <w:t>审</w:t>
            </w:r>
          </w:p>
        </w:tc>
        <w:tc>
          <w:tcPr>
            <w:tcW w:w="1710" w:type="dxa"/>
            <w:gridSpan w:val="2"/>
            <w:tcBorders>
              <w:left w:val="single" w:color="auto" w:sz="4" w:space="0"/>
            </w:tcBorders>
            <w:vAlign w:val="center"/>
          </w:tcPr>
          <w:p>
            <w:pPr>
              <w:tabs>
                <w:tab w:val="left" w:pos="1875"/>
              </w:tabs>
              <w:spacing w:line="400" w:lineRule="exact"/>
              <w:rPr>
                <w:rFonts w:ascii="宋体" w:hAnsi="宋体"/>
                <w:kern w:val="0"/>
              </w:rPr>
            </w:pPr>
            <w:r>
              <w:rPr>
                <w:rFonts w:hint="eastAsia"/>
              </w:rPr>
              <w:t>□</w:t>
            </w:r>
            <w:r>
              <w:rPr>
                <w:rFonts w:hint="eastAsia" w:ascii="宋体" w:hAnsi="宋体" w:cs="宋体"/>
                <w:kern w:val="0"/>
              </w:rPr>
              <w:t>技术方案部分形式要求</w:t>
            </w:r>
            <w:r>
              <w:rPr>
                <w:rFonts w:hint="eastAsia"/>
                <w:i/>
                <w:iCs/>
              </w:rPr>
              <w:t>[提示：技术部分采用暗标评审时适用]</w:t>
            </w:r>
          </w:p>
        </w:tc>
        <w:tc>
          <w:tcPr>
            <w:tcW w:w="5493" w:type="dxa"/>
            <w:vAlign w:val="center"/>
          </w:tcPr>
          <w:p>
            <w:pPr>
              <w:snapToGrid w:val="0"/>
              <w:spacing w:line="400" w:lineRule="exact"/>
              <w:ind w:firstLine="420" w:firstLineChars="200"/>
              <w:rPr>
                <w:rFonts w:ascii="宋体" w:hAnsi="宋体"/>
                <w:u w:val="single"/>
              </w:rPr>
            </w:pPr>
            <w:r>
              <w:rPr>
                <w:rFonts w:hint="eastAsia" w:ascii="宋体" w:hAnsi="宋体" w:cs="宋体"/>
                <w:kern w:val="0"/>
              </w:rPr>
              <w:t>须符合第二章投标人须知前附表第3.7.5项（3）技术部分</w:t>
            </w:r>
            <w:r>
              <w:rPr>
                <w:rFonts w:hint="eastAsia" w:ascii="宋体" w:hAnsi="宋体" w:cs="宋体"/>
                <w:kern w:val="0"/>
                <w:lang w:val="en-US" w:eastAsia="zh-CN"/>
              </w:rPr>
              <w:t>的</w:t>
            </w:r>
            <w:r>
              <w:rPr>
                <w:rFonts w:hint="eastAsia" w:ascii="宋体" w:hAnsi="宋体" w:cs="宋体"/>
                <w:kern w:val="0"/>
              </w:rPr>
              <w:t>要求，否则其技术方案为0分，不再对技术方案的其他评分标准进行评审。</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87" w:type="dxa"/>
            <w:gridSpan w:val="2"/>
            <w:vMerge w:val="continue"/>
            <w:tcBorders>
              <w:right w:val="single" w:color="auto" w:sz="4" w:space="0"/>
            </w:tcBorders>
            <w:vAlign w:val="center"/>
          </w:tcPr>
          <w:p>
            <w:pPr>
              <w:spacing w:line="400" w:lineRule="exact"/>
              <w:jc w:val="center"/>
              <w:rPr>
                <w:rFonts w:ascii="宋体" w:hAnsi="宋体"/>
                <w:kern w:val="0"/>
              </w:rPr>
            </w:pPr>
          </w:p>
        </w:tc>
        <w:tc>
          <w:tcPr>
            <w:tcW w:w="535" w:type="dxa"/>
            <w:vMerge w:val="continue"/>
            <w:tcBorders>
              <w:left w:val="single" w:color="auto" w:sz="4" w:space="0"/>
            </w:tcBorders>
            <w:vAlign w:val="center"/>
          </w:tcPr>
          <w:p>
            <w:pPr>
              <w:spacing w:line="400" w:lineRule="exact"/>
              <w:jc w:val="center"/>
              <w:rPr>
                <w:rFonts w:ascii="宋体" w:hAnsi="宋体"/>
                <w:kern w:val="0"/>
              </w:rPr>
            </w:pPr>
          </w:p>
        </w:tc>
        <w:tc>
          <w:tcPr>
            <w:tcW w:w="850" w:type="dxa"/>
            <w:vMerge w:val="continue"/>
            <w:tcBorders>
              <w:right w:val="single" w:color="auto" w:sz="4" w:space="0"/>
            </w:tcBorders>
            <w:vAlign w:val="center"/>
          </w:tcPr>
          <w:p>
            <w:pPr>
              <w:tabs>
                <w:tab w:val="left" w:pos="1875"/>
              </w:tabs>
              <w:spacing w:line="400" w:lineRule="exact"/>
              <w:jc w:val="center"/>
              <w:rPr>
                <w:rFonts w:ascii="宋体" w:hAnsi="宋体"/>
                <w:kern w:val="0"/>
              </w:rPr>
            </w:pPr>
          </w:p>
        </w:tc>
        <w:tc>
          <w:tcPr>
            <w:tcW w:w="1710" w:type="dxa"/>
            <w:gridSpan w:val="2"/>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kern w:val="0"/>
              </w:rPr>
              <w:t>内容完整性和编制水平</w:t>
            </w:r>
          </w:p>
        </w:tc>
        <w:tc>
          <w:tcPr>
            <w:tcW w:w="5493" w:type="dxa"/>
            <w:vAlign w:val="center"/>
          </w:tcPr>
          <w:p>
            <w:pPr>
              <w:snapToGrid w:val="0"/>
              <w:spacing w:line="400" w:lineRule="exact"/>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编制要点</w:t>
            </w:r>
            <w:r>
              <w:rPr>
                <w:rFonts w:hint="eastAsia" w:ascii="宋体" w:hAnsi="宋体"/>
              </w:rPr>
              <w:t>：</w:t>
            </w:r>
            <w:r>
              <w:rPr>
                <w:rFonts w:hint="eastAsia"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535"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850"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710" w:type="dxa"/>
            <w:gridSpan w:val="2"/>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kern w:val="0"/>
              </w:rPr>
              <w:t>施工方案与技术措施</w:t>
            </w:r>
          </w:p>
        </w:tc>
        <w:tc>
          <w:tcPr>
            <w:tcW w:w="5493"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编制要点</w:t>
            </w:r>
            <w:r>
              <w:rPr>
                <w:rFonts w:hint="eastAsia" w:ascii="宋体" w:hAnsi="宋体"/>
              </w:rPr>
              <w:t>：</w:t>
            </w:r>
            <w:r>
              <w:rPr>
                <w:rFonts w:hint="eastAsia"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535"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850"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710" w:type="dxa"/>
            <w:gridSpan w:val="2"/>
            <w:tcBorders>
              <w:left w:val="single" w:color="auto" w:sz="4" w:space="0"/>
            </w:tcBorders>
            <w:vAlign w:val="center"/>
          </w:tcPr>
          <w:p>
            <w:pPr>
              <w:tabs>
                <w:tab w:val="left" w:pos="1875"/>
              </w:tabs>
              <w:spacing w:line="400" w:lineRule="exact"/>
              <w:rPr>
                <w:rFonts w:ascii="宋体" w:hAnsi="宋体"/>
                <w:kern w:val="0"/>
              </w:rPr>
            </w:pPr>
            <w:r>
              <w:rPr>
                <w:rFonts w:ascii="宋体" w:hAnsi="宋体"/>
                <w:kern w:val="0"/>
              </w:rPr>
              <w:t>质量管理体系与措施</w:t>
            </w:r>
          </w:p>
        </w:tc>
        <w:tc>
          <w:tcPr>
            <w:tcW w:w="5493"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hint="eastAsia"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535"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850"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710" w:type="dxa"/>
            <w:gridSpan w:val="2"/>
            <w:tcBorders>
              <w:left w:val="single" w:color="auto" w:sz="4" w:space="0"/>
            </w:tcBorders>
            <w:vAlign w:val="center"/>
          </w:tcPr>
          <w:p>
            <w:pPr>
              <w:tabs>
                <w:tab w:val="left" w:pos="1875"/>
              </w:tabs>
              <w:spacing w:line="400" w:lineRule="exact"/>
              <w:rPr>
                <w:rFonts w:ascii="宋体" w:hAnsi="宋体"/>
                <w:kern w:val="0"/>
              </w:rPr>
            </w:pPr>
            <w:r>
              <w:rPr>
                <w:rFonts w:ascii="宋体" w:hAnsi="宋体"/>
                <w:kern w:val="0"/>
              </w:rPr>
              <w:t>安全管理体系与措施</w:t>
            </w:r>
          </w:p>
        </w:tc>
        <w:tc>
          <w:tcPr>
            <w:tcW w:w="5493"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hint="eastAsia"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87" w:type="dxa"/>
            <w:gridSpan w:val="2"/>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535"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850"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710" w:type="dxa"/>
            <w:gridSpan w:val="2"/>
            <w:tcBorders>
              <w:left w:val="single" w:color="auto" w:sz="4" w:space="0"/>
            </w:tcBorders>
            <w:vAlign w:val="center"/>
          </w:tcPr>
          <w:p>
            <w:pPr>
              <w:tabs>
                <w:tab w:val="left" w:pos="1875"/>
              </w:tabs>
              <w:spacing w:line="400" w:lineRule="exact"/>
              <w:rPr>
                <w:rFonts w:ascii="宋体" w:hAnsi="宋体"/>
                <w:kern w:val="0"/>
              </w:rPr>
            </w:pPr>
            <w:r>
              <w:rPr>
                <w:rFonts w:ascii="宋体" w:hAnsi="宋体"/>
                <w:kern w:val="0"/>
              </w:rPr>
              <w:t>环境保护管理体系措施</w:t>
            </w:r>
          </w:p>
        </w:tc>
        <w:tc>
          <w:tcPr>
            <w:tcW w:w="5493"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hint="eastAsia"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535"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850"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710" w:type="dxa"/>
            <w:gridSpan w:val="2"/>
            <w:tcBorders>
              <w:left w:val="single" w:color="auto" w:sz="4" w:space="0"/>
            </w:tcBorders>
            <w:vAlign w:val="center"/>
          </w:tcPr>
          <w:p>
            <w:pPr>
              <w:tabs>
                <w:tab w:val="left" w:pos="1875"/>
              </w:tabs>
              <w:spacing w:line="400" w:lineRule="exact"/>
              <w:rPr>
                <w:rFonts w:ascii="宋体" w:hAnsi="宋体"/>
                <w:kern w:val="0"/>
              </w:rPr>
            </w:pPr>
            <w:r>
              <w:rPr>
                <w:rFonts w:ascii="宋体" w:hAnsi="宋体"/>
                <w:kern w:val="0"/>
              </w:rPr>
              <w:t>工程进度计划与措施</w:t>
            </w:r>
          </w:p>
        </w:tc>
        <w:tc>
          <w:tcPr>
            <w:tcW w:w="5493"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hint="eastAsia"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535"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850"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710" w:type="dxa"/>
            <w:gridSpan w:val="2"/>
            <w:tcBorders>
              <w:left w:val="single" w:color="auto" w:sz="4" w:space="0"/>
            </w:tcBorders>
            <w:vAlign w:val="center"/>
          </w:tcPr>
          <w:p>
            <w:pPr>
              <w:tabs>
                <w:tab w:val="left" w:pos="1875"/>
              </w:tabs>
              <w:spacing w:line="400" w:lineRule="exact"/>
              <w:rPr>
                <w:rFonts w:ascii="宋体" w:hAnsi="宋体"/>
                <w:kern w:val="0"/>
              </w:rPr>
            </w:pPr>
            <w:r>
              <w:rPr>
                <w:rFonts w:ascii="宋体" w:hAnsi="宋体"/>
                <w:kern w:val="0"/>
              </w:rPr>
              <w:t>资源配备计划与先进性</w:t>
            </w:r>
          </w:p>
        </w:tc>
        <w:tc>
          <w:tcPr>
            <w:tcW w:w="5493"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hint="eastAsia"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535"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850" w:type="dxa"/>
            <w:vMerge w:val="continue"/>
            <w:tcBorders>
              <w:right w:val="single" w:color="auto" w:sz="4" w:space="0"/>
            </w:tcBorders>
          </w:tcPr>
          <w:p>
            <w:pPr>
              <w:tabs>
                <w:tab w:val="left" w:pos="1875"/>
              </w:tabs>
              <w:spacing w:line="400" w:lineRule="exact"/>
              <w:jc w:val="left"/>
              <w:rPr>
                <w:rFonts w:ascii="宋体" w:hAnsi="宋体"/>
                <w:kern w:val="0"/>
              </w:rPr>
            </w:pPr>
          </w:p>
        </w:tc>
        <w:tc>
          <w:tcPr>
            <w:tcW w:w="1710" w:type="dxa"/>
            <w:gridSpan w:val="2"/>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cs="宋体"/>
                <w:kern w:val="0"/>
              </w:rPr>
              <w:t>□危大工程清单安全管理措施</w:t>
            </w:r>
          </w:p>
        </w:tc>
        <w:tc>
          <w:tcPr>
            <w:tcW w:w="5493"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hint="eastAsia"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87" w:type="dxa"/>
            <w:gridSpan w:val="2"/>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535"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850" w:type="dxa"/>
            <w:vMerge w:val="continue"/>
            <w:tcBorders>
              <w:right w:val="single" w:color="auto" w:sz="4" w:space="0"/>
            </w:tcBorders>
          </w:tcPr>
          <w:p>
            <w:pPr>
              <w:tabs>
                <w:tab w:val="left" w:pos="1875"/>
              </w:tabs>
              <w:spacing w:line="400" w:lineRule="exact"/>
              <w:jc w:val="left"/>
              <w:rPr>
                <w:rFonts w:ascii="宋体" w:hAnsi="宋体"/>
                <w:kern w:val="0"/>
              </w:rPr>
            </w:pPr>
          </w:p>
        </w:tc>
        <w:tc>
          <w:tcPr>
            <w:tcW w:w="1710" w:type="dxa"/>
            <w:gridSpan w:val="2"/>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cs="宋体"/>
                <w:kern w:val="0"/>
              </w:rPr>
              <w:t>□BIM、智慧工地建设管理方案及措施</w:t>
            </w:r>
          </w:p>
        </w:tc>
        <w:tc>
          <w:tcPr>
            <w:tcW w:w="5493"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hint="eastAsia"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bottom w:val="single" w:color="auto" w:sz="4" w:space="0"/>
              <w:right w:val="single" w:color="auto" w:sz="4" w:space="0"/>
            </w:tcBorders>
            <w:vAlign w:val="center"/>
          </w:tcPr>
          <w:p>
            <w:pPr>
              <w:spacing w:line="400" w:lineRule="exact"/>
              <w:ind w:firstLine="210" w:firstLineChars="100"/>
              <w:jc w:val="center"/>
              <w:rPr>
                <w:rFonts w:ascii="宋体" w:hAnsi="宋体"/>
                <w:kern w:val="0"/>
              </w:rPr>
            </w:pPr>
          </w:p>
        </w:tc>
        <w:tc>
          <w:tcPr>
            <w:tcW w:w="535" w:type="dxa"/>
            <w:vMerge w:val="continue"/>
            <w:tcBorders>
              <w:left w:val="single" w:color="auto" w:sz="4" w:space="0"/>
              <w:bottom w:val="single" w:color="auto" w:sz="4" w:space="0"/>
            </w:tcBorders>
            <w:vAlign w:val="center"/>
          </w:tcPr>
          <w:p>
            <w:pPr>
              <w:spacing w:line="400" w:lineRule="exact"/>
              <w:ind w:firstLine="210" w:firstLineChars="100"/>
              <w:jc w:val="center"/>
              <w:rPr>
                <w:rFonts w:ascii="宋体" w:hAnsi="宋体"/>
                <w:kern w:val="0"/>
              </w:rPr>
            </w:pPr>
          </w:p>
        </w:tc>
        <w:tc>
          <w:tcPr>
            <w:tcW w:w="850" w:type="dxa"/>
            <w:vMerge w:val="continue"/>
            <w:tcBorders>
              <w:bottom w:val="single" w:color="auto" w:sz="4" w:space="0"/>
              <w:right w:val="single" w:color="auto" w:sz="4" w:space="0"/>
            </w:tcBorders>
          </w:tcPr>
          <w:p>
            <w:pPr>
              <w:tabs>
                <w:tab w:val="left" w:pos="1875"/>
              </w:tabs>
              <w:spacing w:line="400" w:lineRule="exact"/>
              <w:jc w:val="left"/>
              <w:rPr>
                <w:rFonts w:ascii="宋体" w:hAnsi="宋体"/>
                <w:kern w:val="0"/>
              </w:rPr>
            </w:pPr>
          </w:p>
        </w:tc>
        <w:tc>
          <w:tcPr>
            <w:tcW w:w="1710" w:type="dxa"/>
            <w:gridSpan w:val="2"/>
            <w:tcBorders>
              <w:left w:val="single" w:color="auto" w:sz="4" w:space="0"/>
              <w:bottom w:val="single" w:color="auto" w:sz="4" w:space="0"/>
            </w:tcBorders>
            <w:vAlign w:val="center"/>
          </w:tcPr>
          <w:p>
            <w:pPr>
              <w:tabs>
                <w:tab w:val="left" w:pos="1875"/>
              </w:tabs>
              <w:spacing w:line="400" w:lineRule="exact"/>
              <w:rPr>
                <w:rFonts w:ascii="宋体" w:hAnsi="宋体"/>
                <w:kern w:val="0"/>
              </w:rPr>
            </w:pPr>
            <w:r>
              <w:rPr>
                <w:rFonts w:hint="eastAsia" w:ascii="宋体" w:hAnsi="宋体" w:cs="宋体"/>
                <w:kern w:val="0"/>
              </w:rPr>
              <w:t>□</w:t>
            </w:r>
            <w:r>
              <w:rPr>
                <w:rFonts w:ascii="宋体" w:hAnsi="宋体" w:cs="宋体"/>
                <w:kern w:val="0"/>
              </w:rPr>
              <w:t>……</w:t>
            </w:r>
          </w:p>
        </w:tc>
        <w:tc>
          <w:tcPr>
            <w:tcW w:w="5493"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restart"/>
            <w:tcBorders>
              <w:top w:val="single" w:color="auto" w:sz="4" w:space="0"/>
              <w:right w:val="single" w:color="auto" w:sz="4" w:space="0"/>
            </w:tcBorders>
            <w:vAlign w:val="center"/>
          </w:tcPr>
          <w:p>
            <w:pPr>
              <w:spacing w:line="400" w:lineRule="exact"/>
              <w:ind w:firstLine="0" w:firstLineChars="0"/>
              <w:jc w:val="center"/>
              <w:rPr>
                <w:rFonts w:hint="default" w:ascii="宋体" w:hAnsi="宋体" w:eastAsia="宋体"/>
                <w:kern w:val="0"/>
                <w:lang w:val="en-US" w:eastAsia="zh-CN"/>
              </w:rPr>
            </w:pPr>
            <w:r>
              <w:rPr>
                <w:rFonts w:hint="eastAsia" w:ascii="宋体" w:hAnsi="宋体"/>
                <w:kern w:val="0"/>
                <w:lang w:val="en-US" w:eastAsia="zh-CN"/>
              </w:rPr>
              <w:t>2.2.2（2）</w:t>
            </w:r>
          </w:p>
        </w:tc>
        <w:tc>
          <w:tcPr>
            <w:tcW w:w="535" w:type="dxa"/>
            <w:vMerge w:val="restart"/>
            <w:tcBorders>
              <w:top w:val="single" w:color="auto" w:sz="4" w:space="0"/>
              <w:left w:val="single" w:color="auto" w:sz="4" w:space="0"/>
            </w:tcBorders>
            <w:vAlign w:val="center"/>
          </w:tcPr>
          <w:p>
            <w:pPr>
              <w:spacing w:line="400" w:lineRule="exact"/>
              <w:ind w:firstLine="0" w:firstLineChars="0"/>
              <w:jc w:val="center"/>
              <w:rPr>
                <w:rFonts w:hint="default" w:ascii="宋体" w:hAnsi="宋体" w:eastAsia="宋体"/>
                <w:kern w:val="0"/>
                <w:lang w:val="en-US" w:eastAsia="zh-CN"/>
              </w:rPr>
            </w:pPr>
            <w:r>
              <w:rPr>
                <w:rFonts w:hint="eastAsia" w:ascii="宋体" w:hAnsi="宋体"/>
                <w:kern w:val="0"/>
                <w:lang w:val="en-US" w:eastAsia="zh-CN"/>
              </w:rPr>
              <w:t>商务部分评分标准</w:t>
            </w:r>
          </w:p>
        </w:tc>
        <w:tc>
          <w:tcPr>
            <w:tcW w:w="2560" w:type="dxa"/>
            <w:gridSpan w:val="3"/>
            <w:tcBorders>
              <w:top w:val="single" w:color="auto" w:sz="4" w:space="0"/>
            </w:tcBorders>
            <w:vAlign w:val="center"/>
          </w:tcPr>
          <w:p>
            <w:pPr>
              <w:tabs>
                <w:tab w:val="left" w:pos="1875"/>
              </w:tabs>
              <w:spacing w:line="400" w:lineRule="exact"/>
              <w:rPr>
                <w:rFonts w:hint="eastAsia" w:ascii="宋体" w:hAnsi="宋体" w:cs="宋体"/>
                <w:kern w:val="0"/>
              </w:rPr>
            </w:pPr>
            <w:r>
              <w:rPr>
                <w:rFonts w:hint="eastAsia" w:ascii="宋体" w:hAnsi="宋体" w:cs="宋体"/>
                <w:szCs w:val="21"/>
              </w:rPr>
              <w:t>□</w:t>
            </w:r>
            <w:r>
              <w:rPr>
                <w:rFonts w:hint="eastAsia" w:ascii="宋体" w:hAnsi="宋体" w:cs="宋体"/>
                <w:color w:val="auto"/>
                <w:kern w:val="0"/>
                <w:szCs w:val="21"/>
                <w:highlight w:val="none"/>
                <w:lang w:val="en-US" w:eastAsia="zh-CN" w:bidi="ar"/>
              </w:rPr>
              <w:t>投标人</w:t>
            </w:r>
            <w:r>
              <w:rPr>
                <w:rFonts w:hint="eastAsia" w:ascii="宋体" w:hAnsi="宋体" w:cs="宋体"/>
                <w:color w:val="auto"/>
                <w:kern w:val="0"/>
                <w:szCs w:val="21"/>
                <w:highlight w:val="none"/>
                <w:lang w:bidi="ar"/>
              </w:rPr>
              <w:t>业绩</w:t>
            </w:r>
          </w:p>
        </w:tc>
        <w:tc>
          <w:tcPr>
            <w:tcW w:w="5493" w:type="dxa"/>
            <w:vAlign w:val="center"/>
          </w:tcPr>
          <w:p>
            <w:pPr>
              <w:autoSpaceDE w:val="0"/>
              <w:autoSpaceDN w:val="0"/>
              <w:adjustRightInd w:val="0"/>
              <w:snapToGrid w:val="0"/>
              <w:spacing w:line="400" w:lineRule="exact"/>
              <w:ind w:firstLine="415" w:firstLineChars="198"/>
              <w:jc w:val="both"/>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参与商务评审的投标人业绩个数不超过3个</w:t>
            </w:r>
            <w:r>
              <w:rPr>
                <w:rFonts w:hint="eastAsia" w:ascii="宋体" w:hAnsi="宋体"/>
                <w:i/>
                <w:color w:val="auto"/>
                <w:kern w:val="0"/>
                <w:szCs w:val="21"/>
                <w:highlight w:val="none"/>
              </w:rPr>
              <w:t>。</w:t>
            </w:r>
            <w:r>
              <w:rPr>
                <w:rFonts w:hint="eastAsia" w:ascii="宋体" w:hAnsi="宋体"/>
                <w:i/>
                <w:szCs w:val="21"/>
                <w:highlight w:val="none"/>
                <w:lang w:val="en-US" w:eastAsia="zh-CN"/>
              </w:rPr>
              <w:t>设置的业绩指标不得超过本项目对应指标。</w:t>
            </w:r>
            <w:r>
              <w:rPr>
                <w:rFonts w:hint="eastAsia" w:ascii="宋体" w:hAnsi="宋体"/>
                <w:i/>
                <w:color w:val="auto"/>
                <w:kern w:val="0"/>
                <w:szCs w:val="21"/>
                <w:highlight w:val="none"/>
              </w:rPr>
              <w:t>]</w:t>
            </w:r>
          </w:p>
          <w:p>
            <w:pPr>
              <w:autoSpaceDE w:val="0"/>
              <w:autoSpaceDN w:val="0"/>
              <w:adjustRightInd w:val="0"/>
              <w:snapToGrid w:val="0"/>
              <w:spacing w:line="400" w:lineRule="exact"/>
              <w:ind w:firstLine="415" w:firstLineChars="198"/>
              <w:rPr>
                <w:rFonts w:hint="eastAsia" w:ascii="宋体" w:hAnsi="宋体"/>
                <w:szCs w:val="21"/>
                <w:highlight w:val="none"/>
                <w:lang w:val="en-US" w:eastAsia="zh-CN"/>
              </w:rPr>
            </w:pPr>
            <w:r>
              <w:rPr>
                <w:rFonts w:hint="eastAsia" w:asciiTheme="minorEastAsia" w:hAnsiTheme="minorEastAsia" w:eastAsiaTheme="minorEastAsia" w:cstheme="minorEastAsia"/>
                <w:kern w:val="0"/>
                <w:sz w:val="21"/>
                <w:szCs w:val="21"/>
                <w:highlight w:val="none"/>
                <w:lang w:eastAsia="zh-CN"/>
              </w:rPr>
              <w:t>在通过资格审查的基础上（通过资格审查的业绩不参与商务评审），投标人</w:t>
            </w:r>
            <w:r>
              <w:rPr>
                <w:rFonts w:hint="eastAsia" w:asciiTheme="minorEastAsia" w:hAnsiTheme="minorEastAsia" w:eastAsiaTheme="minorEastAsia" w:cstheme="minorEastAsia"/>
                <w:snapToGrid/>
                <w:sz w:val="21"/>
                <w:szCs w:val="21"/>
                <w:highlight w:val="none"/>
                <w:u w:val="none"/>
                <w:lang w:eastAsia="zh-CN"/>
              </w:rPr>
              <w:t>自</w:t>
            </w:r>
            <w:r>
              <w:rPr>
                <w:rFonts w:hint="eastAsia" w:asciiTheme="minorEastAsia" w:hAnsiTheme="minorEastAsia" w:eastAsiaTheme="minorEastAsia" w:cstheme="minorEastAsia"/>
                <w:snapToGrid/>
                <w:sz w:val="21"/>
                <w:szCs w:val="21"/>
                <w:highlight w:val="none"/>
                <w:u w:val="single"/>
                <w:lang w:eastAsia="zh-CN"/>
              </w:rPr>
              <w:t xml:space="preserve">    </w:t>
            </w:r>
            <w:r>
              <w:rPr>
                <w:rFonts w:hint="eastAsia" w:asciiTheme="minorEastAsia" w:hAnsiTheme="minorEastAsia" w:eastAsiaTheme="minorEastAsia" w:cstheme="minorEastAsia"/>
                <w:snapToGrid/>
                <w:sz w:val="21"/>
                <w:szCs w:val="21"/>
                <w:highlight w:val="none"/>
                <w:u w:val="none"/>
                <w:lang w:eastAsia="zh-CN"/>
              </w:rPr>
              <w:t>年1月1日起</w:t>
            </w:r>
            <w:r>
              <w:rPr>
                <w:rFonts w:hint="eastAsia" w:asciiTheme="minorEastAsia" w:hAnsiTheme="minorEastAsia" w:eastAsiaTheme="minorEastAsia" w:cstheme="minorEastAsia"/>
                <w:i/>
                <w:iCs/>
                <w:snapToGrid/>
                <w:sz w:val="21"/>
                <w:szCs w:val="21"/>
                <w:highlight w:val="none"/>
                <w:u w:val="none"/>
                <w:lang w:val="en-US" w:eastAsia="zh-CN"/>
              </w:rPr>
              <w:t>[</w:t>
            </w:r>
            <w:r>
              <w:rPr>
                <w:rFonts w:hint="eastAsia" w:asciiTheme="minorEastAsia" w:hAnsiTheme="minorEastAsia" w:eastAsiaTheme="minorEastAsia" w:cstheme="minorEastAsia"/>
                <w:i/>
                <w:iCs/>
                <w:snapToGrid/>
                <w:sz w:val="21"/>
                <w:szCs w:val="21"/>
                <w:highlight w:val="none"/>
                <w:u w:val="none"/>
                <w:lang w:eastAsia="zh-CN"/>
              </w:rPr>
              <w:t>提示：指投标截止日前3年</w:t>
            </w:r>
            <w:r>
              <w:rPr>
                <w:rFonts w:hint="eastAsia" w:asciiTheme="minorEastAsia" w:hAnsiTheme="minorEastAsia" w:eastAsiaTheme="minorEastAsia" w:cstheme="minorEastAsia"/>
                <w:i/>
                <w:iCs/>
                <w:snapToGrid/>
                <w:sz w:val="21"/>
                <w:szCs w:val="21"/>
                <w:highlight w:val="none"/>
                <w:u w:val="none"/>
                <w:lang w:val="en-US" w:eastAsia="zh-CN"/>
              </w:rPr>
              <w:t>及以上</w:t>
            </w:r>
            <w:r>
              <w:rPr>
                <w:rFonts w:hint="eastAsia" w:asciiTheme="minorEastAsia" w:hAnsiTheme="minorEastAsia" w:eastAsiaTheme="minorEastAsia" w:cstheme="minorEastAsia"/>
                <w:i/>
                <w:iCs/>
                <w:snapToGrid/>
                <w:sz w:val="21"/>
                <w:szCs w:val="21"/>
                <w:highlight w:val="none"/>
                <w:u w:val="none"/>
                <w:lang w:eastAsia="zh-CN"/>
              </w:rPr>
              <w:t>，不包含投标截止日当年]</w:t>
            </w:r>
            <w:r>
              <w:rPr>
                <w:rFonts w:hint="eastAsia" w:ascii="宋体" w:hAnsi="宋体"/>
                <w:szCs w:val="21"/>
                <w:highlight w:val="none"/>
              </w:rPr>
              <w:t>至投标截止日止（以竣工时间为准）</w:t>
            </w:r>
            <w:r>
              <w:rPr>
                <w:rFonts w:hint="eastAsia" w:ascii="宋体" w:hAnsi="宋体"/>
                <w:szCs w:val="21"/>
                <w:highlight w:val="none"/>
                <w:lang w:eastAsia="zh-CN"/>
              </w:rPr>
              <w:t>，每增加</w:t>
            </w:r>
            <w:r>
              <w:rPr>
                <w:rFonts w:hint="eastAsia" w:ascii="宋体" w:hAnsi="宋体"/>
                <w:szCs w:val="21"/>
                <w:highlight w:val="none"/>
              </w:rPr>
              <w:t>1个</w:t>
            </w:r>
            <w:r>
              <w:rPr>
                <w:rFonts w:hint="eastAsia" w:ascii="宋体" w:hAnsi="宋体"/>
                <w:szCs w:val="21"/>
                <w:highlight w:val="none"/>
                <w:u w:val="single"/>
                <w:lang w:eastAsia="zh-CN"/>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none"/>
                <w:lang w:val="en-US" w:eastAsia="zh-CN"/>
              </w:rPr>
              <w:t>施工</w:t>
            </w:r>
            <w:r>
              <w:rPr>
                <w:rFonts w:hint="eastAsia" w:ascii="宋体" w:hAnsi="宋体"/>
                <w:szCs w:val="21"/>
                <w:highlight w:val="none"/>
              </w:rPr>
              <w:t>业绩</w:t>
            </w:r>
            <w:r>
              <w:rPr>
                <w:rFonts w:hint="eastAsia" w:ascii="宋体" w:hAnsi="宋体"/>
                <w:szCs w:val="21"/>
                <w:highlight w:val="none"/>
                <w:lang w:val="en-US" w:eastAsia="zh-CN"/>
              </w:rPr>
              <w:t>得</w:t>
            </w:r>
          </w:p>
          <w:p>
            <w:pPr>
              <w:autoSpaceDE w:val="0"/>
              <w:autoSpaceDN w:val="0"/>
              <w:adjustRightInd w:val="0"/>
              <w:snapToGrid w:val="0"/>
              <w:spacing w:line="400" w:lineRule="exact"/>
              <w:ind w:firstLine="0" w:firstLineChars="0"/>
              <w:rPr>
                <w:rFonts w:hint="eastAsia" w:ascii="宋体" w:hAnsi="宋体"/>
                <w:szCs w:val="21"/>
                <w:highlight w:val="none"/>
              </w:rPr>
            </w:pP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分，本项最多得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w:t>
            </w:r>
            <w:r>
              <w:rPr>
                <w:rFonts w:hint="eastAsia" w:ascii="宋体" w:hAnsi="宋体"/>
                <w:szCs w:val="21"/>
                <w:highlight w:val="none"/>
              </w:rPr>
              <w:t>。</w:t>
            </w:r>
          </w:p>
          <w:p>
            <w:pPr>
              <w:autoSpaceDE w:val="0"/>
              <w:autoSpaceDN w:val="0"/>
              <w:adjustRightInd w:val="0"/>
              <w:snapToGrid w:val="0"/>
              <w:spacing w:line="400" w:lineRule="exact"/>
              <w:ind w:firstLine="415" w:firstLineChars="198"/>
              <w:rPr>
                <w:highlight w:val="none"/>
              </w:rPr>
            </w:pPr>
            <w:r>
              <w:rPr>
                <w:rFonts w:hint="eastAsia" w:ascii="宋体" w:hAnsi="宋体"/>
                <w:szCs w:val="21"/>
                <w:highlight w:val="none"/>
              </w:rPr>
              <w:t>提供</w:t>
            </w:r>
            <w:r>
              <w:rPr>
                <w:rFonts w:hint="eastAsia" w:ascii="宋体" w:hAnsi="宋体"/>
                <w:szCs w:val="21"/>
                <w:highlight w:val="none"/>
                <w:lang w:eastAsia="zh-CN"/>
              </w:rPr>
              <w:t>：</w:t>
            </w:r>
            <w:r>
              <w:rPr>
                <w:rFonts w:hint="eastAsia" w:ascii="宋体" w:hAnsi="宋体"/>
                <w:szCs w:val="21"/>
                <w:highlight w:val="none"/>
              </w:rPr>
              <w:t>该业绩的合同协议书和工程竣工验收合格的证明材料。若</w:t>
            </w:r>
            <w:r>
              <w:rPr>
                <w:rFonts w:hint="eastAsia" w:ascii="宋体" w:hAnsi="宋体"/>
                <w:szCs w:val="21"/>
                <w:highlight w:val="none"/>
                <w:lang w:val="en-US" w:eastAsia="zh-CN"/>
              </w:rPr>
              <w:t>提供的业绩证明材料不能</w:t>
            </w:r>
            <w:r>
              <w:rPr>
                <w:rFonts w:hint="eastAsia" w:ascii="宋体" w:hAnsi="宋体"/>
                <w:szCs w:val="21"/>
                <w:highlight w:val="none"/>
              </w:rPr>
              <w:t>体现</w:t>
            </w:r>
            <w:r>
              <w:rPr>
                <w:rFonts w:hint="eastAsia" w:ascii="宋体" w:hAnsi="宋体"/>
                <w:szCs w:val="21"/>
                <w:highlight w:val="none"/>
                <w:lang w:val="en-US" w:eastAsia="zh-CN"/>
              </w:rPr>
              <w:t>上述业绩指标</w:t>
            </w:r>
            <w:r>
              <w:rPr>
                <w:rFonts w:hint="eastAsia" w:ascii="宋体" w:hAnsi="宋体"/>
                <w:szCs w:val="21"/>
                <w:highlight w:val="none"/>
              </w:rPr>
              <w:t>的，应补充提供</w:t>
            </w:r>
            <w:r>
              <w:rPr>
                <w:rFonts w:hint="eastAsia" w:ascii="宋体" w:hAnsi="宋体"/>
                <w:szCs w:val="21"/>
                <w:highlight w:val="none"/>
                <w:u w:val="none"/>
                <w:lang w:eastAsia="zh-CN"/>
              </w:rPr>
              <w:t>业主证明</w:t>
            </w:r>
            <w:r>
              <w:rPr>
                <w:rFonts w:hint="eastAsia" w:ascii="宋体" w:hAnsi="宋体"/>
                <w:szCs w:val="21"/>
                <w:highlight w:val="none"/>
                <w:u w:val="none"/>
                <w:lang w:val="en-US" w:eastAsia="zh-CN"/>
              </w:rPr>
              <w:t>。</w:t>
            </w:r>
          </w:p>
          <w:p>
            <w:pPr>
              <w:autoSpaceDE w:val="0"/>
              <w:autoSpaceDN w:val="0"/>
              <w:adjustRightInd w:val="0"/>
              <w:snapToGrid w:val="0"/>
              <w:spacing w:line="400" w:lineRule="exact"/>
              <w:ind w:firstLine="415" w:firstLineChars="198"/>
              <w:rPr>
                <w:rFonts w:hint="eastAsia" w:ascii="宋体" w:hAnsi="宋体"/>
                <w:szCs w:val="21"/>
                <w:highlight w:val="none"/>
              </w:rPr>
            </w:pPr>
            <w:r>
              <w:rPr>
                <w:rFonts w:hint="eastAsia" w:ascii="宋体" w:hAnsi="宋体"/>
                <w:szCs w:val="21"/>
                <w:highlight w:val="none"/>
              </w:rPr>
              <w:t>□联合体投标的，按</w:t>
            </w:r>
            <w:r>
              <w:rPr>
                <w:rFonts w:hint="eastAsia" w:ascii="宋体" w:hAnsi="宋体"/>
                <w:lang w:val="en-US" w:eastAsia="zh-CN"/>
              </w:rPr>
              <w:t>共同投标协议</w:t>
            </w:r>
            <w:r>
              <w:rPr>
                <w:rFonts w:hint="eastAsia" w:ascii="宋体" w:hAnsi="宋体"/>
                <w:szCs w:val="21"/>
                <w:highlight w:val="none"/>
              </w:rPr>
              <w:t>约定的分工提供。</w:t>
            </w:r>
          </w:p>
          <w:p>
            <w:pPr>
              <w:autoSpaceDE w:val="0"/>
              <w:autoSpaceDN w:val="0"/>
              <w:adjustRightInd w:val="0"/>
              <w:snapToGrid w:val="0"/>
              <w:spacing w:line="400" w:lineRule="exact"/>
              <w:ind w:firstLine="415" w:firstLineChars="198"/>
              <w:rPr>
                <w:rFonts w:hint="eastAsia" w:ascii="宋体" w:hAnsi="宋体"/>
                <w:szCs w:val="21"/>
                <w:highlight w:val="none"/>
              </w:rPr>
            </w:pPr>
            <w:r>
              <w:rPr>
                <w:rFonts w:hint="eastAsia" w:ascii="宋体" w:hAnsi="宋体"/>
                <w:szCs w:val="21"/>
                <w:highlight w:val="none"/>
              </w:rPr>
              <w:t>注：</w:t>
            </w:r>
            <w:r>
              <w:rPr>
                <w:rFonts w:hint="eastAsia" w:ascii="宋体" w:hAnsi="宋体"/>
                <w:szCs w:val="21"/>
                <w:highlight w:val="none"/>
                <w:lang w:eastAsia="zh-CN"/>
              </w:rPr>
              <w:t>（</w:t>
            </w:r>
            <w:r>
              <w:rPr>
                <w:rFonts w:hint="eastAsia" w:ascii="宋体" w:hAnsi="宋体"/>
                <w:szCs w:val="21"/>
                <w:highlight w:val="none"/>
                <w:lang w:val="en-US" w:eastAsia="zh-CN"/>
              </w:rPr>
              <w:t>1</w:t>
            </w:r>
            <w:r>
              <w:rPr>
                <w:rFonts w:hint="eastAsia" w:ascii="宋体" w:hAnsi="宋体"/>
                <w:szCs w:val="21"/>
                <w:highlight w:val="none"/>
                <w:lang w:eastAsia="zh-CN"/>
              </w:rPr>
              <w:t>）</w:t>
            </w:r>
            <w:r>
              <w:rPr>
                <w:rFonts w:hint="eastAsia" w:ascii="宋体" w:hAnsi="宋体"/>
                <w:szCs w:val="21"/>
                <w:highlight w:val="none"/>
              </w:rPr>
              <w:t>当上述</w:t>
            </w:r>
            <w:r>
              <w:rPr>
                <w:rFonts w:hint="eastAsia" w:ascii="宋体" w:hAnsi="宋体"/>
                <w:szCs w:val="21"/>
                <w:highlight w:val="none"/>
                <w:lang w:val="en-US" w:eastAsia="zh-CN"/>
              </w:rPr>
              <w:t>业绩证明材料</w:t>
            </w:r>
            <w:r>
              <w:rPr>
                <w:rFonts w:hint="eastAsia" w:ascii="宋体" w:hAnsi="宋体"/>
                <w:szCs w:val="21"/>
                <w:highlight w:val="none"/>
              </w:rPr>
              <w:t>中针对同一指标存在不一致时，以工程竣工验收合格的证明材料为准。</w:t>
            </w:r>
          </w:p>
          <w:p>
            <w:pPr>
              <w:snapToGrid w:val="0"/>
              <w:spacing w:line="400" w:lineRule="exact"/>
              <w:ind w:firstLine="420" w:firstLineChars="200"/>
              <w:rPr>
                <w:rFonts w:ascii="宋体" w:hAnsi="宋体"/>
                <w:u w:val="single"/>
              </w:rPr>
            </w:pPr>
            <w:r>
              <w:rPr>
                <w:rFonts w:hint="eastAsia" w:ascii="宋体" w:hAnsi="宋体"/>
                <w:szCs w:val="21"/>
                <w:highlight w:val="none"/>
              </w:rPr>
              <w:t>（2）投标人提供的业绩为联合体业绩的，其在该业绩中的工作分工应与本项目承担的工作一致</w:t>
            </w:r>
            <w:r>
              <w:rPr>
                <w:rFonts w:hint="eastAsia" w:ascii="宋体" w:hAnsi="宋体"/>
                <w:szCs w:val="21"/>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pPr>
              <w:spacing w:line="400" w:lineRule="exact"/>
              <w:ind w:firstLine="0" w:firstLineChars="0"/>
              <w:jc w:val="center"/>
              <w:rPr>
                <w:rFonts w:hint="eastAsia" w:ascii="宋体" w:hAnsi="宋体"/>
                <w:kern w:val="0"/>
                <w:lang w:val="en-US" w:eastAsia="zh-CN"/>
              </w:rPr>
            </w:pPr>
          </w:p>
        </w:tc>
        <w:tc>
          <w:tcPr>
            <w:tcW w:w="535" w:type="dxa"/>
            <w:vMerge w:val="continue"/>
            <w:tcBorders>
              <w:left w:val="single" w:color="auto" w:sz="4" w:space="0"/>
            </w:tcBorders>
            <w:vAlign w:val="center"/>
          </w:tcPr>
          <w:p>
            <w:pPr>
              <w:spacing w:line="400" w:lineRule="exact"/>
              <w:ind w:firstLine="0" w:firstLineChars="0"/>
              <w:jc w:val="both"/>
              <w:rPr>
                <w:rFonts w:hint="eastAsia" w:ascii="宋体" w:hAnsi="宋体"/>
                <w:kern w:val="0"/>
                <w:lang w:val="en-US" w:eastAsia="zh-CN"/>
              </w:rPr>
            </w:pPr>
          </w:p>
        </w:tc>
        <w:tc>
          <w:tcPr>
            <w:tcW w:w="2560" w:type="dxa"/>
            <w:gridSpan w:val="3"/>
            <w:tcBorders>
              <w:top w:val="single" w:color="auto" w:sz="4" w:space="0"/>
            </w:tcBorders>
            <w:vAlign w:val="center"/>
          </w:tcPr>
          <w:p>
            <w:pPr>
              <w:tabs>
                <w:tab w:val="left" w:pos="1875"/>
              </w:tabs>
              <w:spacing w:line="400" w:lineRule="exact"/>
              <w:rPr>
                <w:rFonts w:hint="eastAsia" w:ascii="宋体" w:hAnsi="宋体" w:cs="宋体"/>
                <w:kern w:val="0"/>
              </w:rPr>
            </w:pPr>
            <w:r>
              <w:rPr>
                <w:rFonts w:hint="eastAsia" w:ascii="宋体" w:hAnsi="宋体" w:cs="宋体"/>
                <w:szCs w:val="21"/>
              </w:rPr>
              <w:t>□</w:t>
            </w:r>
            <w:r>
              <w:rPr>
                <w:rFonts w:hint="eastAsia" w:ascii="宋体" w:hAnsi="宋体" w:cs="宋体"/>
                <w:kern w:val="0"/>
                <w:lang w:val="en-US" w:eastAsia="zh-CN"/>
              </w:rPr>
              <w:t>人员业绩</w:t>
            </w:r>
          </w:p>
        </w:tc>
        <w:tc>
          <w:tcPr>
            <w:tcW w:w="5493" w:type="dxa"/>
            <w:vAlign w:val="center"/>
          </w:tcPr>
          <w:p>
            <w:pPr>
              <w:snapToGrid w:val="0"/>
              <w:spacing w:after="31" w:afterLines="10" w:line="400" w:lineRule="exact"/>
              <w:ind w:firstLine="420" w:firstLineChars="200"/>
              <w:jc w:val="both"/>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参与商务评审的人员业绩总个数不超过3个</w:t>
            </w:r>
            <w:r>
              <w:rPr>
                <w:rFonts w:hint="eastAsia" w:ascii="宋体" w:hAnsi="宋体"/>
                <w:i/>
                <w:color w:val="auto"/>
                <w:kern w:val="0"/>
                <w:szCs w:val="21"/>
                <w:highlight w:val="none"/>
              </w:rPr>
              <w:t>。</w:t>
            </w:r>
            <w:r>
              <w:rPr>
                <w:rFonts w:hint="eastAsia" w:ascii="宋体" w:hAnsi="宋体"/>
                <w:i/>
                <w:iCs/>
                <w:szCs w:val="21"/>
                <w:highlight w:val="none"/>
                <w:lang w:val="en-US" w:eastAsia="zh-CN"/>
              </w:rPr>
              <w:t>设置的人员业绩指标不得超过本项目对应指标。</w:t>
            </w:r>
            <w:r>
              <w:rPr>
                <w:rFonts w:hint="eastAsia" w:ascii="宋体" w:hAnsi="宋体"/>
                <w:i/>
                <w:color w:val="auto"/>
                <w:kern w:val="0"/>
                <w:szCs w:val="21"/>
                <w:highlight w:val="none"/>
              </w:rPr>
              <w:t>]</w:t>
            </w:r>
          </w:p>
          <w:p>
            <w:pPr>
              <w:snapToGrid w:val="0"/>
              <w:spacing w:after="31" w:afterLines="10" w:line="400" w:lineRule="exact"/>
              <w:ind w:firstLine="420" w:firstLineChars="200"/>
              <w:jc w:val="both"/>
              <w:rPr>
                <w:rFonts w:hint="eastAsia" w:ascii="宋体" w:hAnsi="宋体"/>
                <w:color w:val="auto"/>
                <w:highlight w:val="none"/>
              </w:rPr>
            </w:pPr>
            <w:r>
              <w:rPr>
                <w:rFonts w:hint="eastAsia" w:ascii="宋体" w:hAnsi="宋体"/>
                <w:color w:val="auto"/>
                <w:highlight w:val="none"/>
                <w:u w:val="none"/>
                <w:lang w:val="en-US" w:eastAsia="zh-CN"/>
              </w:rPr>
              <w:t>投标人拟派下列人员中，每增加1个业绩</w:t>
            </w:r>
            <w:r>
              <w:rPr>
                <w:rFonts w:hint="eastAsia" w:asciiTheme="minorEastAsia" w:hAnsiTheme="minorEastAsia" w:eastAsiaTheme="minorEastAsia" w:cstheme="minorEastAsia"/>
                <w:kern w:val="0"/>
                <w:sz w:val="21"/>
                <w:szCs w:val="21"/>
                <w:highlight w:val="none"/>
                <w:lang w:eastAsia="zh-CN"/>
              </w:rPr>
              <w:t>（通过资格审查的业绩不参与商务评审）</w:t>
            </w:r>
            <w:r>
              <w:rPr>
                <w:rFonts w:hint="eastAsia" w:ascii="宋体" w:hAnsi="宋体"/>
                <w:color w:val="auto"/>
                <w:highlight w:val="none"/>
                <w:u w:val="none"/>
                <w:lang w:val="en-US" w:eastAsia="zh-CN"/>
              </w:rPr>
              <w:t>，得</w:t>
            </w:r>
            <w:r>
              <w:rPr>
                <w:rFonts w:hint="eastAsia" w:ascii="宋体" w:hAnsi="宋体"/>
                <w:color w:val="auto"/>
                <w:highlight w:val="none"/>
                <w:u w:val="single"/>
                <w:lang w:val="en-US" w:eastAsia="zh-CN"/>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p>
          <w:p>
            <w:pPr>
              <w:snapToGrid w:val="0"/>
              <w:spacing w:after="31" w:afterLines="10" w:line="400" w:lineRule="exact"/>
              <w:ind w:firstLine="0" w:firstLineChars="0"/>
              <w:jc w:val="both"/>
              <w:rPr>
                <w:rFonts w:hint="default" w:ascii="宋体" w:hAnsi="宋体"/>
                <w:color w:val="auto"/>
                <w:highlight w:val="none"/>
                <w:u w:val="none"/>
                <w:lang w:val="en-US" w:eastAsia="zh-CN"/>
              </w:rPr>
            </w:pP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val="0"/>
              <w:spacing w:after="31" w:afterLines="10" w:line="400" w:lineRule="exact"/>
              <w:ind w:firstLine="420" w:firstLineChars="200"/>
              <w:jc w:val="both"/>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□项目经理业绩：</w:t>
            </w:r>
            <w:r>
              <w:rPr>
                <w:rFonts w:hint="eastAsia" w:ascii="宋体" w:hAnsi="宋体"/>
                <w:color w:val="auto"/>
                <w:highlight w:val="none"/>
                <w:u w:val="single"/>
                <w:lang w:val="en-US" w:eastAsia="zh-CN"/>
              </w:rPr>
              <w:t xml:space="preserve">        </w:t>
            </w:r>
          </w:p>
          <w:p>
            <w:pPr>
              <w:snapToGrid w:val="0"/>
              <w:spacing w:after="31" w:afterLines="10" w:line="400" w:lineRule="exact"/>
              <w:ind w:firstLine="420" w:firstLineChars="200"/>
              <w:jc w:val="both"/>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□技术负责人业绩：</w:t>
            </w:r>
            <w:r>
              <w:rPr>
                <w:rFonts w:hint="eastAsia" w:ascii="宋体" w:hAnsi="宋体"/>
                <w:color w:val="auto"/>
                <w:highlight w:val="none"/>
                <w:u w:val="single"/>
                <w:lang w:val="en-US" w:eastAsia="zh-CN"/>
              </w:rPr>
              <w:t xml:space="preserve">        </w:t>
            </w:r>
          </w:p>
          <w:p>
            <w:pPr>
              <w:snapToGrid w:val="0"/>
              <w:spacing w:after="31" w:afterLines="10" w:line="400" w:lineRule="exact"/>
              <w:ind w:firstLine="420" w:firstLineChars="200"/>
              <w:jc w:val="both"/>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□其他拟派人员业绩：</w:t>
            </w:r>
            <w:r>
              <w:rPr>
                <w:rFonts w:hint="eastAsia" w:ascii="宋体" w:hAnsi="宋体"/>
                <w:color w:val="auto"/>
                <w:highlight w:val="none"/>
                <w:u w:val="single"/>
                <w:lang w:val="en-US" w:eastAsia="zh-CN"/>
              </w:rPr>
              <w:t xml:space="preserve">        </w:t>
            </w:r>
          </w:p>
          <w:p>
            <w:pPr>
              <w:autoSpaceDE/>
              <w:autoSpaceDN/>
              <w:adjustRightInd/>
              <w:snapToGrid w:val="0"/>
              <w:spacing w:after="31" w:afterLines="10" w:line="400" w:lineRule="exact"/>
              <w:ind w:firstLine="420" w:firstLineChars="200"/>
              <w:rPr>
                <w:rFonts w:ascii="宋体" w:hAnsi="宋体"/>
                <w:szCs w:val="21"/>
              </w:rPr>
            </w:pPr>
            <w:r>
              <w:rPr>
                <w:rFonts w:hint="eastAsia" w:ascii="宋体" w:hAnsi="宋体"/>
                <w:szCs w:val="21"/>
              </w:rPr>
              <w:t>提供</w:t>
            </w:r>
            <w:r>
              <w:rPr>
                <w:rFonts w:hint="eastAsia" w:ascii="宋体" w:hAnsi="宋体"/>
                <w:szCs w:val="21"/>
                <w:lang w:eastAsia="zh-CN"/>
              </w:rPr>
              <w:t>：</w:t>
            </w:r>
            <w:r>
              <w:rPr>
                <w:rFonts w:hint="eastAsia" w:ascii="宋体" w:hAnsi="宋体"/>
                <w:szCs w:val="21"/>
                <w:lang w:val="en-US" w:eastAsia="zh-CN"/>
              </w:rPr>
              <w:t>拟派人员</w:t>
            </w:r>
            <w:r>
              <w:rPr>
                <w:rFonts w:hint="eastAsia" w:ascii="宋体" w:hAnsi="宋体"/>
                <w:szCs w:val="21"/>
              </w:rPr>
              <w:t>业绩的合同协议书和工程竣工验收合格的证明材料。若</w:t>
            </w:r>
            <w:r>
              <w:rPr>
                <w:rFonts w:hint="eastAsia" w:ascii="宋体" w:hAnsi="宋体"/>
                <w:szCs w:val="21"/>
                <w:lang w:val="en-US" w:eastAsia="zh-CN"/>
              </w:rPr>
              <w:t>提供的业绩证明材料不能</w:t>
            </w:r>
            <w:r>
              <w:rPr>
                <w:rFonts w:hint="eastAsia" w:ascii="宋体" w:hAnsi="宋体"/>
                <w:szCs w:val="21"/>
              </w:rPr>
              <w:t>体现</w:t>
            </w:r>
            <w:r>
              <w:rPr>
                <w:rFonts w:hint="eastAsia" w:ascii="宋体" w:hAnsi="宋体"/>
                <w:szCs w:val="21"/>
                <w:lang w:val="en-US" w:eastAsia="zh-CN"/>
              </w:rPr>
              <w:t>上述业绩指标</w:t>
            </w:r>
            <w:r>
              <w:rPr>
                <w:rFonts w:hint="eastAsia" w:ascii="宋体" w:hAnsi="宋体"/>
                <w:szCs w:val="21"/>
              </w:rPr>
              <w:t>的，应补充提供</w:t>
            </w:r>
            <w:r>
              <w:rPr>
                <w:rFonts w:hint="eastAsia" w:ascii="宋体" w:hAnsi="宋体"/>
                <w:szCs w:val="21"/>
                <w:highlight w:val="none"/>
                <w:u w:val="none"/>
                <w:lang w:eastAsia="zh-CN"/>
              </w:rPr>
              <w:t>业主证明</w:t>
            </w:r>
            <w:r>
              <w:rPr>
                <w:rFonts w:hint="eastAsia" w:ascii="宋体" w:hAnsi="宋体"/>
                <w:szCs w:val="21"/>
                <w:highlight w:val="none"/>
              </w:rPr>
              <w:t>。</w:t>
            </w:r>
          </w:p>
          <w:p>
            <w:pPr>
              <w:snapToGrid w:val="0"/>
              <w:spacing w:after="31" w:afterLines="10" w:line="400" w:lineRule="exact"/>
              <w:ind w:firstLine="420" w:firstLineChars="200"/>
              <w:rPr>
                <w:rFonts w:hint="eastAsia" w:ascii="宋体" w:hAnsi="宋体"/>
                <w:szCs w:val="21"/>
                <w:highlight w:val="none"/>
                <w:lang w:eastAsia="zh-CN"/>
              </w:rPr>
            </w:pPr>
            <w:r>
              <w:rPr>
                <w:rFonts w:hint="eastAsia" w:ascii="宋体" w:hAnsi="宋体"/>
                <w:i w:val="0"/>
                <w:iCs/>
                <w:color w:val="auto"/>
                <w:kern w:val="0"/>
                <w:szCs w:val="21"/>
                <w:highlight w:val="none"/>
              </w:rPr>
              <w:t>□</w:t>
            </w:r>
            <w:r>
              <w:rPr>
                <w:rFonts w:hint="eastAsia" w:ascii="宋体" w:hAnsi="宋体"/>
                <w:szCs w:val="21"/>
                <w:highlight w:val="none"/>
              </w:rPr>
              <w:t>联合体投标的，按</w:t>
            </w:r>
            <w:r>
              <w:rPr>
                <w:rFonts w:hint="eastAsia" w:ascii="宋体" w:hAnsi="宋体"/>
                <w:lang w:val="en-US" w:eastAsia="zh-CN"/>
              </w:rPr>
              <w:t>共同投标协议</w:t>
            </w:r>
            <w:r>
              <w:rPr>
                <w:rFonts w:hint="eastAsia" w:ascii="宋体" w:hAnsi="宋体"/>
                <w:szCs w:val="21"/>
                <w:highlight w:val="none"/>
              </w:rPr>
              <w:t>约定的分工提供</w:t>
            </w:r>
            <w:r>
              <w:rPr>
                <w:rFonts w:hint="eastAsia" w:ascii="宋体" w:hAnsi="宋体"/>
                <w:szCs w:val="21"/>
                <w:highlight w:val="none"/>
                <w:lang w:eastAsia="zh-CN"/>
              </w:rPr>
              <w:t>。</w:t>
            </w:r>
          </w:p>
          <w:p>
            <w:pPr>
              <w:snapToGrid w:val="0"/>
              <w:spacing w:line="400" w:lineRule="exact"/>
              <w:ind w:firstLine="420" w:firstLineChars="200"/>
              <w:rPr>
                <w:rFonts w:ascii="宋体" w:hAnsi="宋体"/>
                <w:u w:val="single"/>
              </w:rPr>
            </w:pPr>
            <w:r>
              <w:rPr>
                <w:rFonts w:hint="eastAsia" w:ascii="宋体" w:hAnsi="宋体"/>
                <w:szCs w:val="21"/>
              </w:rPr>
              <w:t>注：当上述</w:t>
            </w:r>
            <w:r>
              <w:rPr>
                <w:rFonts w:hint="eastAsia" w:ascii="宋体" w:hAnsi="宋体"/>
                <w:szCs w:val="21"/>
                <w:lang w:val="en-US" w:eastAsia="zh-CN"/>
              </w:rPr>
              <w:t>业绩证明材料</w:t>
            </w:r>
            <w:r>
              <w:rPr>
                <w:rFonts w:hint="eastAsia" w:ascii="宋体" w:hAnsi="宋体"/>
                <w:szCs w:val="21"/>
              </w:rPr>
              <w:t>中针对同一指标存在不一致时，以工程竣工验收合格的证明材料为准</w:t>
            </w:r>
            <w:r>
              <w:rPr>
                <w:rFonts w:hint="eastAsia" w:ascii="宋体" w:hAnsi="宋体"/>
                <w:i w:val="0"/>
                <w:iCs/>
                <w:color w:val="auto"/>
                <w:kern w:val="0"/>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87" w:type="dxa"/>
            <w:gridSpan w:val="2"/>
            <w:vMerge w:val="continue"/>
            <w:tcBorders>
              <w:right w:val="single" w:color="auto" w:sz="4" w:space="0"/>
            </w:tcBorders>
            <w:vAlign w:val="center"/>
          </w:tcPr>
          <w:p>
            <w:pPr>
              <w:spacing w:line="400" w:lineRule="exact"/>
              <w:ind w:firstLine="0" w:firstLineChars="0"/>
              <w:jc w:val="center"/>
              <w:rPr>
                <w:rFonts w:hint="eastAsia" w:ascii="宋体" w:hAnsi="宋体"/>
                <w:kern w:val="0"/>
                <w:lang w:val="en-US" w:eastAsia="zh-CN"/>
              </w:rPr>
            </w:pPr>
          </w:p>
        </w:tc>
        <w:tc>
          <w:tcPr>
            <w:tcW w:w="535" w:type="dxa"/>
            <w:vMerge w:val="continue"/>
            <w:tcBorders>
              <w:left w:val="single" w:color="auto" w:sz="4" w:space="0"/>
            </w:tcBorders>
            <w:vAlign w:val="center"/>
          </w:tcPr>
          <w:p>
            <w:pPr>
              <w:spacing w:line="400" w:lineRule="exact"/>
              <w:ind w:firstLine="0" w:firstLineChars="0"/>
              <w:jc w:val="both"/>
              <w:rPr>
                <w:rFonts w:hint="eastAsia" w:ascii="宋体" w:hAnsi="宋体"/>
                <w:kern w:val="0"/>
                <w:lang w:val="en-US" w:eastAsia="zh-CN"/>
              </w:rPr>
            </w:pPr>
          </w:p>
        </w:tc>
        <w:tc>
          <w:tcPr>
            <w:tcW w:w="2560" w:type="dxa"/>
            <w:gridSpan w:val="3"/>
            <w:tcBorders>
              <w:top w:val="single" w:color="auto" w:sz="4" w:space="0"/>
            </w:tcBorders>
            <w:vAlign w:val="center"/>
          </w:tcPr>
          <w:p>
            <w:pPr>
              <w:tabs>
                <w:tab w:val="left" w:pos="1875"/>
              </w:tabs>
              <w:spacing w:line="400" w:lineRule="exact"/>
              <w:rPr>
                <w:rFonts w:hint="eastAsia" w:ascii="宋体" w:hAnsi="宋体" w:cs="宋体"/>
                <w:kern w:val="0"/>
              </w:rPr>
            </w:pPr>
            <w:r>
              <w:rPr>
                <w:rFonts w:hint="eastAsia" w:ascii="宋体" w:hAnsi="宋体" w:cs="宋体"/>
                <w:szCs w:val="21"/>
              </w:rPr>
              <w:t>□</w:t>
            </w:r>
            <w:r>
              <w:rPr>
                <w:rFonts w:hint="eastAsia" w:ascii="宋体" w:hAnsi="宋体" w:cs="宋体"/>
                <w:kern w:val="0"/>
              </w:rPr>
              <w:t>人员职称（或执业）证书</w:t>
            </w:r>
          </w:p>
        </w:tc>
        <w:tc>
          <w:tcPr>
            <w:tcW w:w="5493" w:type="dxa"/>
            <w:vAlign w:val="center"/>
          </w:tcPr>
          <w:p>
            <w:pPr>
              <w:snapToGrid w:val="0"/>
              <w:spacing w:line="400" w:lineRule="exact"/>
              <w:ind w:firstLine="420" w:firstLineChars="200"/>
              <w:jc w:val="both"/>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参与商务评审的人员</w:t>
            </w:r>
            <w:r>
              <w:rPr>
                <w:rFonts w:hint="eastAsia" w:ascii="宋体" w:hAnsi="宋体" w:cs="宋体"/>
                <w:i/>
                <w:iCs/>
                <w:kern w:val="0"/>
              </w:rPr>
              <w:t>职称（或执业）证书</w:t>
            </w:r>
            <w:r>
              <w:rPr>
                <w:rFonts w:hint="eastAsia" w:ascii="宋体" w:hAnsi="宋体"/>
                <w:i/>
                <w:color w:val="auto"/>
                <w:kern w:val="0"/>
                <w:szCs w:val="21"/>
                <w:highlight w:val="none"/>
                <w:lang w:val="en-US" w:eastAsia="zh-CN"/>
              </w:rPr>
              <w:t>总个数不超过3个</w:t>
            </w:r>
            <w:r>
              <w:rPr>
                <w:rFonts w:hint="eastAsia" w:ascii="宋体" w:hAnsi="宋体"/>
                <w:i/>
                <w:color w:val="auto"/>
                <w:kern w:val="0"/>
                <w:szCs w:val="21"/>
                <w:highlight w:val="none"/>
              </w:rPr>
              <w:t>。]</w:t>
            </w:r>
          </w:p>
          <w:p>
            <w:pPr>
              <w:snapToGrid w:val="0"/>
              <w:spacing w:line="400" w:lineRule="exact"/>
              <w:ind w:firstLine="420" w:firstLineChars="200"/>
              <w:jc w:val="both"/>
              <w:rPr>
                <w:rFonts w:hint="default" w:ascii="宋体" w:hAnsi="宋体"/>
                <w:color w:val="auto"/>
                <w:highlight w:val="none"/>
                <w:u w:val="none"/>
                <w:lang w:val="en-US" w:eastAsia="zh-CN"/>
              </w:rPr>
            </w:pPr>
            <w:r>
              <w:rPr>
                <w:rFonts w:hint="eastAsia" w:ascii="宋体" w:hAnsi="宋体"/>
                <w:color w:val="auto"/>
                <w:highlight w:val="none"/>
                <w:u w:val="none"/>
                <w:lang w:val="en-US" w:eastAsia="zh-CN"/>
              </w:rPr>
              <w:t>投标人拟派下列人员中，每具有1个</w:t>
            </w:r>
            <w:r>
              <w:rPr>
                <w:rFonts w:hint="eastAsia" w:ascii="宋体" w:hAnsi="宋体" w:cs="宋体"/>
                <w:kern w:val="0"/>
              </w:rPr>
              <w:t>职称（或执业）证书</w:t>
            </w:r>
            <w:r>
              <w:rPr>
                <w:rFonts w:hint="eastAsia" w:ascii="宋体" w:hAnsi="宋体" w:cs="宋体"/>
                <w:kern w:val="0"/>
                <w:lang w:eastAsia="zh-CN"/>
              </w:rPr>
              <w:t>（</w:t>
            </w:r>
            <w:r>
              <w:rPr>
                <w:rFonts w:hint="eastAsia" w:ascii="宋体" w:hAnsi="宋体"/>
                <w:i w:val="0"/>
                <w:color w:val="auto"/>
                <w:kern w:val="2"/>
                <w:szCs w:val="24"/>
                <w:highlight w:val="none"/>
                <w:u w:val="none"/>
                <w:lang w:val="en-US" w:eastAsia="zh-CN"/>
              </w:rPr>
              <w:t>通过</w:t>
            </w:r>
            <w:r>
              <w:rPr>
                <w:rFonts w:hint="eastAsia" w:ascii="宋体" w:hAnsi="宋体"/>
                <w:i w:val="0"/>
                <w:color w:val="auto"/>
                <w:kern w:val="2"/>
                <w:szCs w:val="24"/>
                <w:highlight w:val="none"/>
                <w:u w:val="none"/>
              </w:rPr>
              <w:t>资格审查</w:t>
            </w:r>
            <w:r>
              <w:rPr>
                <w:rFonts w:hint="eastAsia" w:ascii="宋体" w:hAnsi="宋体"/>
                <w:i w:val="0"/>
                <w:color w:val="auto"/>
                <w:kern w:val="2"/>
                <w:szCs w:val="24"/>
                <w:highlight w:val="none"/>
                <w:u w:val="none"/>
                <w:lang w:val="en-US" w:eastAsia="zh-CN"/>
              </w:rPr>
              <w:t>的人员</w:t>
            </w:r>
            <w:r>
              <w:rPr>
                <w:rFonts w:hint="eastAsia" w:ascii="宋体" w:hAnsi="宋体" w:cs="Times New Roman"/>
                <w:i w:val="0"/>
                <w:iCs w:val="0"/>
                <w:color w:val="auto"/>
                <w:kern w:val="2"/>
                <w:highlight w:val="none"/>
                <w:u w:val="none"/>
              </w:rPr>
              <w:t>职称（或执业）证书</w:t>
            </w:r>
            <w:r>
              <w:rPr>
                <w:rFonts w:hint="eastAsia" w:ascii="宋体" w:hAnsi="宋体"/>
                <w:i w:val="0"/>
                <w:color w:val="auto"/>
                <w:kern w:val="2"/>
                <w:szCs w:val="24"/>
                <w:highlight w:val="none"/>
                <w:u w:val="none"/>
                <w:lang w:val="en-US" w:eastAsia="zh-CN"/>
              </w:rPr>
              <w:t>不参与商务评审</w:t>
            </w:r>
            <w:r>
              <w:rPr>
                <w:rFonts w:hint="eastAsia" w:ascii="宋体" w:hAnsi="宋体" w:cs="宋体"/>
                <w:kern w:val="0"/>
                <w:lang w:eastAsia="zh-CN"/>
              </w:rPr>
              <w:t>）</w:t>
            </w:r>
            <w:r>
              <w:rPr>
                <w:rFonts w:hint="eastAsia" w:ascii="宋体" w:hAnsi="宋体"/>
                <w:color w:val="auto"/>
                <w:highlight w:val="none"/>
                <w:u w:val="none"/>
                <w:lang w:val="en-US" w:eastAsia="zh-CN"/>
              </w:rPr>
              <w:t>，得</w:t>
            </w:r>
            <w:r>
              <w:rPr>
                <w:rFonts w:hint="eastAsia" w:ascii="宋体" w:hAnsi="宋体"/>
                <w:color w:val="auto"/>
                <w:highlight w:val="none"/>
                <w:u w:val="single"/>
                <w:lang w:val="en-US" w:eastAsia="zh-CN"/>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val="0"/>
              <w:spacing w:line="400" w:lineRule="exact"/>
              <w:ind w:firstLine="420" w:firstLineChars="200"/>
              <w:jc w:val="both"/>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□项目经理</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line="400" w:lineRule="exact"/>
              <w:ind w:firstLine="420" w:firstLineChars="200"/>
              <w:jc w:val="both"/>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□技术负责人</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line="400" w:lineRule="exact"/>
              <w:ind w:firstLine="420" w:firstLineChars="200"/>
              <w:jc w:val="both"/>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□其他拟派人员</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after="31" w:afterLines="10" w:line="400" w:lineRule="exact"/>
              <w:ind w:firstLine="420" w:firstLineChars="200"/>
              <w:rPr>
                <w:rFonts w:hint="eastAsia" w:ascii="宋体" w:hAnsi="宋体"/>
                <w:kern w:val="0"/>
                <w:szCs w:val="21"/>
                <w:lang w:eastAsia="zh-CN"/>
              </w:rPr>
            </w:pPr>
            <w:r>
              <w:rPr>
                <w:rFonts w:hint="eastAsia" w:ascii="宋体" w:hAnsi="宋体"/>
                <w:kern w:val="0"/>
                <w:szCs w:val="21"/>
              </w:rPr>
              <w:t>提供</w:t>
            </w:r>
            <w:r>
              <w:rPr>
                <w:rFonts w:hint="eastAsia" w:ascii="宋体" w:hAnsi="宋体"/>
                <w:kern w:val="0"/>
                <w:szCs w:val="21"/>
                <w:lang w:eastAsia="zh-CN"/>
              </w:rPr>
              <w:t>：</w:t>
            </w:r>
            <w:r>
              <w:rPr>
                <w:rFonts w:hint="eastAsia" w:ascii="宋体" w:hAnsi="宋体"/>
                <w:kern w:val="0"/>
                <w:szCs w:val="21"/>
                <w:lang w:val="en-US" w:eastAsia="zh-CN"/>
              </w:rPr>
              <w:t>拟派人员</w:t>
            </w:r>
            <w:r>
              <w:rPr>
                <w:rFonts w:hint="eastAsia" w:ascii="宋体" w:hAnsi="宋体"/>
                <w:kern w:val="0"/>
                <w:szCs w:val="21"/>
              </w:rPr>
              <w:t>身份证、职称（或执业）证书、投标人为其缴纳的养老保险证明材料</w:t>
            </w:r>
            <w:r>
              <w:rPr>
                <w:rFonts w:hint="eastAsia" w:ascii="宋体" w:hAnsi="宋体"/>
                <w:kern w:val="0"/>
                <w:szCs w:val="21"/>
                <w:lang w:eastAsia="zh-CN"/>
              </w:rPr>
              <w:t>（</w:t>
            </w:r>
            <w:r>
              <w:rPr>
                <w:rFonts w:hint="eastAsia" w:ascii="宋体" w:hAnsi="宋体"/>
                <w:kern w:val="0"/>
                <w:szCs w:val="21"/>
              </w:rPr>
              <w:t>养老保险证明材料</w:t>
            </w:r>
            <w:r>
              <w:rPr>
                <w:rFonts w:hint="eastAsia" w:ascii="宋体" w:hAnsi="宋体"/>
                <w:i w:val="0"/>
                <w:iCs/>
                <w:color w:val="auto"/>
                <w:kern w:val="0"/>
                <w:szCs w:val="21"/>
                <w:highlight w:val="none"/>
              </w:rPr>
              <w:t>按</w:t>
            </w:r>
            <w:r>
              <w:rPr>
                <w:rFonts w:hint="eastAsia" w:ascii="宋体" w:hAnsi="宋体"/>
                <w:iCs/>
                <w:color w:val="auto"/>
                <w:kern w:val="0"/>
                <w:szCs w:val="21"/>
                <w:highlight w:val="none"/>
              </w:rPr>
              <w:t>第二章“投标人须知前附表”第1.4.1项</w:t>
            </w:r>
            <w:r>
              <w:rPr>
                <w:rFonts w:hint="eastAsia" w:ascii="宋体" w:hAnsi="宋体"/>
                <w:i w:val="0"/>
                <w:iCs/>
                <w:color w:val="auto"/>
                <w:kern w:val="0"/>
                <w:szCs w:val="21"/>
                <w:highlight w:val="none"/>
                <w:lang w:val="en-US" w:eastAsia="zh-CN"/>
              </w:rPr>
              <w:t>特别说明（3）</w:t>
            </w:r>
            <w:r>
              <w:rPr>
                <w:rFonts w:hint="eastAsia" w:ascii="宋体" w:hAnsi="宋体"/>
                <w:i w:val="0"/>
                <w:iCs/>
                <w:color w:val="auto"/>
                <w:kern w:val="0"/>
                <w:szCs w:val="21"/>
                <w:highlight w:val="none"/>
              </w:rPr>
              <w:t>相关要求提供</w:t>
            </w:r>
            <w:r>
              <w:rPr>
                <w:rFonts w:hint="eastAsia" w:ascii="宋体" w:hAnsi="宋体"/>
                <w:kern w:val="0"/>
                <w:szCs w:val="21"/>
                <w:lang w:eastAsia="zh-CN"/>
              </w:rPr>
              <w:t>）。</w:t>
            </w:r>
          </w:p>
          <w:p>
            <w:pPr>
              <w:snapToGrid w:val="0"/>
              <w:spacing w:line="400" w:lineRule="exact"/>
              <w:ind w:firstLine="420" w:firstLineChars="200"/>
              <w:rPr>
                <w:rFonts w:ascii="宋体" w:hAnsi="宋体"/>
                <w:u w:val="single"/>
              </w:rPr>
            </w:pPr>
            <w:r>
              <w:rPr>
                <w:rFonts w:hint="eastAsia" w:ascii="宋体" w:hAnsi="宋体"/>
                <w:kern w:val="0"/>
                <w:szCs w:val="21"/>
              </w:rPr>
              <w:t>□联合体投标的，按</w:t>
            </w:r>
            <w:r>
              <w:rPr>
                <w:rFonts w:hint="eastAsia" w:ascii="宋体" w:hAnsi="宋体"/>
                <w:lang w:val="en-US" w:eastAsia="zh-CN"/>
              </w:rPr>
              <w:t>共同投标协议</w:t>
            </w:r>
            <w:r>
              <w:rPr>
                <w:rFonts w:hint="eastAsia" w:ascii="宋体" w:hAnsi="宋体"/>
                <w:kern w:val="0"/>
                <w:szCs w:val="21"/>
              </w:rPr>
              <w:t>约定的分工提供。</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pPr>
              <w:spacing w:line="400" w:lineRule="exact"/>
              <w:ind w:firstLine="0" w:firstLineChars="0"/>
              <w:jc w:val="center"/>
              <w:rPr>
                <w:rFonts w:hint="eastAsia" w:ascii="宋体" w:hAnsi="宋体"/>
                <w:kern w:val="0"/>
                <w:lang w:val="en-US" w:eastAsia="zh-CN"/>
              </w:rPr>
            </w:pPr>
          </w:p>
        </w:tc>
        <w:tc>
          <w:tcPr>
            <w:tcW w:w="535" w:type="dxa"/>
            <w:vMerge w:val="continue"/>
            <w:tcBorders>
              <w:left w:val="single" w:color="auto" w:sz="4" w:space="0"/>
            </w:tcBorders>
            <w:vAlign w:val="center"/>
          </w:tcPr>
          <w:p>
            <w:pPr>
              <w:spacing w:line="400" w:lineRule="exact"/>
              <w:ind w:firstLine="0" w:firstLineChars="0"/>
              <w:jc w:val="both"/>
              <w:rPr>
                <w:rFonts w:hint="eastAsia" w:ascii="宋体" w:hAnsi="宋体"/>
                <w:kern w:val="0"/>
                <w:lang w:val="en-US" w:eastAsia="zh-CN"/>
              </w:rPr>
            </w:pPr>
          </w:p>
        </w:tc>
        <w:tc>
          <w:tcPr>
            <w:tcW w:w="2560" w:type="dxa"/>
            <w:gridSpan w:val="3"/>
            <w:tcBorders>
              <w:top w:val="single" w:color="auto" w:sz="4" w:space="0"/>
            </w:tcBorders>
            <w:vAlign w:val="center"/>
          </w:tcPr>
          <w:p>
            <w:pPr>
              <w:tabs>
                <w:tab w:val="left" w:pos="1875"/>
              </w:tabs>
              <w:spacing w:line="400" w:lineRule="exact"/>
              <w:rPr>
                <w:rFonts w:hint="eastAsia" w:ascii="宋体" w:hAnsi="宋体" w:cs="宋体"/>
                <w:kern w:val="0"/>
              </w:rPr>
            </w:pPr>
            <w:r>
              <w:rPr>
                <w:rFonts w:hint="eastAsia" w:ascii="宋体" w:hAnsi="宋体" w:cs="宋体"/>
                <w:szCs w:val="21"/>
              </w:rPr>
              <w:t>□</w:t>
            </w:r>
            <w:r>
              <w:rPr>
                <w:rFonts w:hint="eastAsia" w:ascii="宋体" w:hAnsi="宋体" w:cs="宋体"/>
                <w:kern w:val="0"/>
              </w:rPr>
              <w:t>获奖情况</w:t>
            </w:r>
          </w:p>
        </w:tc>
        <w:tc>
          <w:tcPr>
            <w:tcW w:w="5493" w:type="dxa"/>
            <w:vAlign w:val="center"/>
          </w:tcPr>
          <w:p>
            <w:pPr>
              <w:snapToGrid w:val="0"/>
              <w:spacing w:line="400" w:lineRule="exact"/>
              <w:ind w:firstLine="420" w:firstLineChars="200"/>
              <w:jc w:val="both"/>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参与商务评审的奖项总个数不超过2个，该项总分不超过2分</w:t>
            </w:r>
            <w:r>
              <w:rPr>
                <w:rFonts w:hint="eastAsia" w:ascii="宋体" w:hAnsi="宋体"/>
                <w:i/>
                <w:color w:val="auto"/>
                <w:kern w:val="0"/>
                <w:szCs w:val="21"/>
                <w:highlight w:val="none"/>
              </w:rPr>
              <w:t>。]</w:t>
            </w:r>
          </w:p>
          <w:p>
            <w:r>
              <w:rPr>
                <w:rFonts w:hint="eastAsia" w:asciiTheme="minorEastAsia" w:hAnsiTheme="minorEastAsia" w:eastAsiaTheme="minorEastAsia" w:cstheme="minorEastAsia"/>
                <w:snapToGrid/>
                <w:sz w:val="21"/>
                <w:szCs w:val="21"/>
                <w:u w:val="none"/>
                <w:lang w:eastAsia="zh-CN"/>
              </w:rPr>
              <w:t>自</w:t>
            </w:r>
            <w:r>
              <w:rPr>
                <w:rFonts w:hint="eastAsia" w:asciiTheme="minorEastAsia" w:hAnsiTheme="minorEastAsia" w:eastAsiaTheme="minorEastAsia" w:cstheme="minorEastAsia"/>
                <w:snapToGrid/>
                <w:sz w:val="21"/>
                <w:szCs w:val="21"/>
                <w:u w:val="single"/>
                <w:lang w:eastAsia="zh-CN"/>
              </w:rPr>
              <w:t xml:space="preserve">    </w:t>
            </w:r>
            <w:r>
              <w:rPr>
                <w:rFonts w:hint="eastAsia" w:asciiTheme="minorEastAsia" w:hAnsiTheme="minorEastAsia" w:eastAsiaTheme="minorEastAsia" w:cstheme="minorEastAsia"/>
                <w:snapToGrid/>
                <w:sz w:val="21"/>
                <w:szCs w:val="21"/>
                <w:u w:val="none"/>
                <w:lang w:eastAsia="zh-CN"/>
              </w:rPr>
              <w:t>年1月1日起</w:t>
            </w:r>
            <w:r>
              <w:rPr>
                <w:rFonts w:hint="eastAsia" w:asciiTheme="minorEastAsia" w:hAnsiTheme="minorEastAsia" w:eastAsiaTheme="minorEastAsia" w:cstheme="minorEastAsia"/>
                <w:i/>
                <w:iCs/>
                <w:snapToGrid/>
                <w:sz w:val="21"/>
                <w:szCs w:val="21"/>
                <w:u w:val="none"/>
                <w:lang w:val="en-US" w:eastAsia="zh-CN"/>
              </w:rPr>
              <w:t>[</w:t>
            </w:r>
            <w:r>
              <w:rPr>
                <w:rFonts w:hint="eastAsia" w:asciiTheme="minorEastAsia" w:hAnsiTheme="minorEastAsia" w:eastAsiaTheme="minorEastAsia" w:cstheme="minorEastAsia"/>
                <w:i/>
                <w:iCs/>
                <w:snapToGrid/>
                <w:sz w:val="21"/>
                <w:szCs w:val="21"/>
                <w:u w:val="none"/>
                <w:lang w:eastAsia="zh-CN"/>
              </w:rPr>
              <w:t>提示：指投标截止日前3年</w:t>
            </w:r>
            <w:r>
              <w:rPr>
                <w:rFonts w:hint="eastAsia" w:asciiTheme="minorEastAsia" w:hAnsiTheme="minorEastAsia" w:eastAsiaTheme="minorEastAsia" w:cstheme="minorEastAsia"/>
                <w:i/>
                <w:iCs/>
                <w:snapToGrid/>
                <w:sz w:val="21"/>
                <w:szCs w:val="21"/>
                <w:u w:val="none"/>
                <w:lang w:val="en-US" w:eastAsia="zh-CN"/>
              </w:rPr>
              <w:t>及以上</w:t>
            </w:r>
            <w:r>
              <w:rPr>
                <w:rFonts w:hint="eastAsia" w:asciiTheme="minorEastAsia" w:hAnsiTheme="minorEastAsia" w:eastAsiaTheme="minorEastAsia" w:cstheme="minorEastAsia"/>
                <w:i/>
                <w:iCs/>
                <w:snapToGrid/>
                <w:sz w:val="21"/>
                <w:szCs w:val="21"/>
                <w:u w:val="none"/>
                <w:lang w:eastAsia="zh-CN"/>
              </w:rPr>
              <w:t>，</w:t>
            </w:r>
            <w:r>
              <w:rPr>
                <w:rFonts w:hint="eastAsia" w:asciiTheme="minorEastAsia" w:hAnsiTheme="minorEastAsia" w:eastAsiaTheme="minorEastAsia" w:cstheme="minorEastAsia"/>
                <w:i/>
                <w:iCs/>
                <w:snapToGrid/>
                <w:sz w:val="21"/>
                <w:szCs w:val="21"/>
                <w:highlight w:val="none"/>
                <w:u w:val="none"/>
                <w:lang w:eastAsia="zh-CN"/>
              </w:rPr>
              <w:t>不包含投标截止日当年]</w:t>
            </w:r>
            <w:r>
              <w:rPr>
                <w:rFonts w:hint="eastAsia" w:ascii="宋体" w:hAnsi="宋体"/>
                <w:szCs w:val="21"/>
                <w:highlight w:val="none"/>
              </w:rPr>
              <w:t>至投标截止日止（</w:t>
            </w:r>
            <w:r>
              <w:rPr>
                <w:rFonts w:hint="eastAsia" w:asciiTheme="minorEastAsia" w:hAnsiTheme="minorEastAsia" w:eastAsiaTheme="minorEastAsia" w:cstheme="minorEastAsia"/>
                <w:color w:val="auto"/>
                <w:szCs w:val="21"/>
                <w:highlight w:val="none"/>
              </w:rPr>
              <w:t>以获奖证书颁发时间为准</w:t>
            </w:r>
            <w:r>
              <w:rPr>
                <w:rFonts w:hint="eastAsia" w:ascii="宋体" w:hAnsi="宋体"/>
                <w:szCs w:val="21"/>
                <w:highlight w:val="none"/>
              </w:rPr>
              <w:t>）</w:t>
            </w:r>
            <w:r>
              <w:rPr>
                <w:rFonts w:hint="eastAsia" w:ascii="宋体" w:hAnsi="宋体"/>
                <w:szCs w:val="21"/>
                <w:highlight w:val="none"/>
                <w:lang w:eastAsia="zh-CN"/>
              </w:rPr>
              <w:t>，</w:t>
            </w:r>
            <w:r>
              <w:rPr>
                <w:rFonts w:hint="eastAsia" w:ascii="宋体" w:hAnsi="宋体"/>
                <w:color w:val="auto"/>
                <w:highlight w:val="none"/>
                <w:u w:val="single"/>
                <w:lang w:val="en-US" w:eastAsia="zh-CN"/>
              </w:rPr>
              <w:t>投标人（或拟派人员）</w:t>
            </w:r>
            <w:r>
              <w:rPr>
                <w:rFonts w:hint="eastAsia" w:ascii="宋体" w:hAnsi="宋体"/>
                <w:color w:val="auto"/>
                <w:highlight w:val="none"/>
                <w:u w:val="none"/>
                <w:lang w:val="en-US" w:eastAsia="zh-CN"/>
              </w:rPr>
              <w:t>承担（或参与）的项目获得过国家级奖项，每有1个得</w:t>
            </w:r>
            <w:r>
              <w:rPr>
                <w:rFonts w:hint="eastAsia" w:ascii="宋体" w:hAnsi="宋体"/>
                <w:color w:val="auto"/>
                <w:highlight w:val="none"/>
                <w:u w:val="single"/>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p>
          <w:p>
            <w:pPr>
              <w:snapToGrid w:val="0"/>
              <w:spacing w:line="400" w:lineRule="exact"/>
              <w:jc w:val="both"/>
            </w:pP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val="0"/>
              <w:spacing w:line="400" w:lineRule="exact"/>
              <w:ind w:firstLine="420" w:firstLineChars="200"/>
              <w:jc w:val="both"/>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获奖</w:t>
            </w:r>
            <w:r>
              <w:rPr>
                <w:rFonts w:hint="eastAsia" w:asciiTheme="minorEastAsia" w:hAnsiTheme="minorEastAsia" w:eastAsiaTheme="minorEastAsia" w:cstheme="minorEastAsia"/>
                <w:color w:val="auto"/>
                <w:szCs w:val="21"/>
                <w:highlight w:val="none"/>
                <w:lang w:val="en-US"/>
              </w:rPr>
              <w:t>证书</w:t>
            </w:r>
            <w:r>
              <w:rPr>
                <w:rFonts w:hint="eastAsia" w:asciiTheme="minorEastAsia" w:hAnsiTheme="minorEastAsia" w:eastAsiaTheme="minorEastAsia" w:cstheme="minorEastAsia"/>
                <w:color w:val="auto"/>
                <w:szCs w:val="21"/>
                <w:highlight w:val="none"/>
                <w:lang w:val="en-US" w:eastAsia="zh-CN"/>
              </w:rPr>
              <w:t>或获奖证明材料</w:t>
            </w:r>
            <w:r>
              <w:rPr>
                <w:rFonts w:hint="eastAsia" w:asciiTheme="minorEastAsia" w:hAnsiTheme="minorEastAsia" w:eastAsiaTheme="minorEastAsia" w:cstheme="minorEastAsia"/>
                <w:color w:val="auto"/>
                <w:szCs w:val="21"/>
                <w:highlight w:val="none"/>
              </w:rPr>
              <w:t>。</w:t>
            </w:r>
          </w:p>
          <w:p>
            <w:pPr>
              <w:snapToGrid w:val="0"/>
              <w:spacing w:line="400" w:lineRule="exact"/>
              <w:ind w:firstLine="420" w:firstLineChars="200"/>
              <w:jc w:val="both"/>
              <w:rPr>
                <w:rFonts w:hint="eastAsia" w:asciiTheme="minorEastAsia" w:hAnsiTheme="minorEastAsia" w:eastAsiaTheme="minorEastAsia" w:cstheme="minorEastAsia"/>
                <w:color w:val="auto"/>
                <w:szCs w:val="21"/>
                <w:highlight w:val="none"/>
              </w:rPr>
            </w:pPr>
            <w:r>
              <w:rPr>
                <w:rFonts w:hint="eastAsia" w:ascii="宋体" w:hAnsi="宋体"/>
                <w:kern w:val="0"/>
                <w:szCs w:val="21"/>
              </w:rPr>
              <w:t>□联合体投标的，</w:t>
            </w:r>
            <w:r>
              <w:rPr>
                <w:rFonts w:hint="eastAsia" w:ascii="宋体" w:hAnsi="宋体"/>
                <w:kern w:val="0"/>
                <w:szCs w:val="21"/>
                <w:lang w:val="en-US" w:eastAsia="zh-CN"/>
              </w:rPr>
              <w:t>由联合体任一单位提供</w:t>
            </w:r>
            <w:r>
              <w:rPr>
                <w:rFonts w:hint="eastAsia" w:ascii="宋体" w:hAnsi="宋体"/>
                <w:kern w:val="0"/>
                <w:szCs w:val="21"/>
              </w:rPr>
              <w:t>。</w:t>
            </w:r>
          </w:p>
          <w:p>
            <w:pPr>
              <w:snapToGrid w:val="0"/>
              <w:spacing w:line="400" w:lineRule="exact"/>
              <w:ind w:firstLine="420" w:firstLineChars="200"/>
              <w:rPr>
                <w:rFonts w:ascii="宋体" w:hAnsi="宋体"/>
                <w:u w:val="single"/>
              </w:rPr>
            </w:pPr>
            <w:r>
              <w:rPr>
                <w:rFonts w:hint="eastAsia" w:asciiTheme="minorEastAsia" w:hAnsiTheme="minorEastAsia" w:eastAsiaTheme="minorEastAsia" w:cstheme="minorEastAsia"/>
                <w:color w:val="auto"/>
                <w:szCs w:val="21"/>
                <w:highlight w:val="none"/>
              </w:rPr>
              <w:t>注：国家级奖项是指：中国建筑业协会评选的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w:t>
            </w:r>
            <w:r>
              <w:rPr>
                <w:rFonts w:hint="eastAsia" w:asciiTheme="minorEastAsia" w:hAnsiTheme="minorEastAsia" w:eastAsiaTheme="minorEastAsia" w:cstheme="minorEastAsia"/>
                <w:color w:val="auto"/>
                <w:szCs w:val="21"/>
                <w:highlight w:val="none"/>
                <w:lang w:eastAsia="zh-CN"/>
              </w:rPr>
              <w:t>建设</w:t>
            </w:r>
            <w:r>
              <w:rPr>
                <w:rFonts w:hint="eastAsia" w:asciiTheme="minorEastAsia" w:hAnsiTheme="minorEastAsia" w:eastAsiaTheme="minorEastAsia" w:cstheme="minorEastAsia"/>
                <w:color w:val="auto"/>
                <w:szCs w:val="21"/>
                <w:highlight w:val="none"/>
              </w:rPr>
              <w:t>工程鲁班奖（国家优质工程）</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；中国土木工程学会评选的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中国土木工程詹天佑奖</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；中国施工企业管理协会评选的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国家优质工程奖</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拟建项目为</w:t>
            </w:r>
            <w:r>
              <w:rPr>
                <w:rFonts w:hint="eastAsia" w:asciiTheme="minorEastAsia" w:hAnsiTheme="minorEastAsia" w:eastAsiaTheme="minorEastAsia" w:cstheme="minorEastAsia"/>
                <w:color w:val="auto"/>
                <w:szCs w:val="21"/>
                <w:highlight w:val="none"/>
              </w:rPr>
              <w:t>市政基础设施工程</w:t>
            </w:r>
            <w:r>
              <w:rPr>
                <w:rFonts w:hint="eastAsia" w:asciiTheme="minorEastAsia" w:hAnsiTheme="minorEastAsia" w:eastAsiaTheme="minorEastAsia" w:cstheme="minorEastAsia"/>
                <w:color w:val="auto"/>
                <w:szCs w:val="21"/>
                <w:highlight w:val="none"/>
                <w:lang w:val="en-US" w:eastAsia="zh-CN"/>
              </w:rPr>
              <w:t>的，还包括</w:t>
            </w:r>
            <w:r>
              <w:rPr>
                <w:rFonts w:hint="eastAsia" w:asciiTheme="minorEastAsia" w:hAnsiTheme="minorEastAsia" w:eastAsiaTheme="minorEastAsia" w:cstheme="minorEastAsia"/>
                <w:color w:val="auto"/>
                <w:szCs w:val="21"/>
                <w:highlight w:val="none"/>
              </w:rPr>
              <w:t>中国市政工程协会</w:t>
            </w:r>
            <w:r>
              <w:rPr>
                <w:rFonts w:hint="eastAsia" w:asciiTheme="minorEastAsia" w:hAnsiTheme="minorEastAsia" w:eastAsiaTheme="minorEastAsia" w:cstheme="minorEastAsia"/>
                <w:color w:val="auto"/>
                <w:szCs w:val="21"/>
                <w:highlight w:val="none"/>
                <w:lang w:val="en-US" w:eastAsia="zh-CN"/>
              </w:rPr>
              <w:t>评选的“</w:t>
            </w:r>
            <w:r>
              <w:rPr>
                <w:rFonts w:hint="eastAsia" w:asciiTheme="minorEastAsia" w:hAnsiTheme="minorEastAsia" w:eastAsiaTheme="minorEastAsia" w:cstheme="minorEastAsia"/>
                <w:color w:val="auto"/>
                <w:szCs w:val="21"/>
                <w:highlight w:val="none"/>
              </w:rPr>
              <w:t>全国市政金杯示范工程</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奖；□拟建项目工作内容以钢结构工程为主的，还包括中国建筑金属结构协会评选的“中国钢结构金奖”；□拟建项目工作内容以安装工程为主的，还包括中国安装协会评选的“中国安装之星”；□</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i/>
                <w:iCs/>
                <w:color w:val="auto"/>
                <w:sz w:val="21"/>
                <w:szCs w:val="21"/>
                <w:highlight w:val="none"/>
                <w:u w:val="none"/>
                <w:lang w:val="en-US" w:eastAsia="zh-CN"/>
              </w:rPr>
              <w:t>[提示：可填写《全国评比达标表彰保留项目目录》中，与房屋建筑和市政基础设施工程施工相关的国家级奖项</w:t>
            </w:r>
            <w:r>
              <w:rPr>
                <w:rFonts w:hint="eastAsia" w:asciiTheme="minorEastAsia" w:hAnsiTheme="minorEastAsia" w:eastAsiaTheme="minorEastAsia" w:cstheme="minorEastAsia"/>
                <w:i/>
                <w:iCs/>
                <w:color w:val="auto"/>
                <w:szCs w:val="21"/>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restart"/>
            <w:tcBorders>
              <w:right w:val="single" w:color="auto" w:sz="4" w:space="0"/>
            </w:tcBorders>
            <w:vAlign w:val="center"/>
          </w:tcPr>
          <w:p>
            <w:pPr>
              <w:spacing w:line="400" w:lineRule="exact"/>
              <w:rPr>
                <w:rFonts w:ascii="宋体" w:hAnsi="宋体"/>
                <w:kern w:val="0"/>
              </w:rPr>
            </w:pPr>
            <w:r>
              <w:rPr>
                <w:rFonts w:hint="eastAsia" w:ascii="宋体" w:hAnsi="宋体"/>
                <w:kern w:val="0"/>
              </w:rPr>
              <w:t>2.2.2（</w:t>
            </w:r>
            <w:r>
              <w:rPr>
                <w:rFonts w:hint="eastAsia" w:ascii="宋体" w:hAnsi="宋体"/>
                <w:kern w:val="0"/>
                <w:lang w:val="en-US" w:eastAsia="zh-CN"/>
              </w:rPr>
              <w:t>3</w:t>
            </w:r>
            <w:r>
              <w:rPr>
                <w:rFonts w:hint="eastAsia" w:ascii="宋体" w:hAnsi="宋体"/>
                <w:kern w:val="0"/>
              </w:rPr>
              <w:t>）</w:t>
            </w:r>
          </w:p>
        </w:tc>
        <w:tc>
          <w:tcPr>
            <w:tcW w:w="535" w:type="dxa"/>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lang w:eastAsia="zh-CN"/>
              </w:rPr>
              <w:t>投标函部分及报价部分</w:t>
            </w:r>
            <w:r>
              <w:rPr>
                <w:rFonts w:hint="eastAsia" w:ascii="宋体" w:hAnsi="宋体"/>
                <w:kern w:val="0"/>
              </w:rPr>
              <w:t>评审标准</w:t>
            </w:r>
          </w:p>
        </w:tc>
        <w:tc>
          <w:tcPr>
            <w:tcW w:w="2560" w:type="dxa"/>
            <w:gridSpan w:val="3"/>
            <w:vAlign w:val="center"/>
          </w:tcPr>
          <w:p>
            <w:pPr>
              <w:tabs>
                <w:tab w:val="left" w:pos="1875"/>
              </w:tabs>
              <w:spacing w:line="400" w:lineRule="exact"/>
              <w:jc w:val="left"/>
              <w:rPr>
                <w:rFonts w:ascii="宋体" w:hAnsi="宋体" w:cs="宋体"/>
                <w:kern w:val="0"/>
              </w:rPr>
            </w:pPr>
            <w:r>
              <w:rPr>
                <w:rFonts w:hint="eastAsia" w:ascii="宋体" w:hAnsi="宋体" w:cs="宋体"/>
                <w:kern w:val="0"/>
              </w:rPr>
              <w:t>投标函部分的签名盖章</w:t>
            </w:r>
          </w:p>
        </w:tc>
        <w:tc>
          <w:tcPr>
            <w:tcW w:w="5493" w:type="dxa"/>
            <w:vAlign w:val="center"/>
          </w:tcPr>
          <w:p>
            <w:pPr>
              <w:snapToGrid w:val="0"/>
              <w:spacing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投标函部分的格式要求法定代表人或其委托代理人签名（或盖章）的须齐全，</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hint="eastAsia" w:asciiTheme="minorEastAsia" w:hAnsiTheme="minorEastAsia" w:eastAsiaTheme="minorEastAsia" w:cstheme="minorEastAsia"/>
                <w:color w:val="auto"/>
                <w:kern w:val="0"/>
                <w:highlight w:val="none"/>
                <w:lang w:eastAsia="zh-CN"/>
              </w:rPr>
              <w:t>，</w:t>
            </w:r>
            <w:r>
              <w:rPr>
                <w:rFonts w:hint="eastAsia" w:ascii="宋体" w:hAnsi="宋体" w:cs="宋体"/>
                <w:kern w:val="0"/>
              </w:rPr>
              <w:t>要求加盖单位法人章的，应使用 CA 数字证书加盖投标人的单位电子印章。</w:t>
            </w:r>
          </w:p>
          <w:p>
            <w:pPr>
              <w:snapToGrid w:val="0"/>
              <w:spacing w:line="400" w:lineRule="exact"/>
              <w:ind w:firstLine="420" w:firstLineChars="200"/>
              <w:rPr>
                <w:rFonts w:ascii="宋体" w:hAnsi="宋体"/>
                <w:u w:val="single"/>
              </w:rPr>
            </w:pPr>
            <w:r>
              <w:rPr>
                <w:rFonts w:hint="eastAsia" w:ascii="宋体" w:hAnsi="宋体" w:cs="宋体"/>
                <w:kern w:val="0"/>
              </w:rPr>
              <w:t>联合体投标的，投标函部分的格式中要求投标人加盖单位法人章的，均由联合体牵头人使用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pPr>
              <w:spacing w:line="400" w:lineRule="exact"/>
              <w:rPr>
                <w:rFonts w:ascii="宋体" w:hAnsi="宋体"/>
                <w:kern w:val="0"/>
              </w:rPr>
            </w:pPr>
          </w:p>
        </w:tc>
        <w:tc>
          <w:tcPr>
            <w:tcW w:w="535"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60" w:type="dxa"/>
            <w:gridSpan w:val="3"/>
            <w:vAlign w:val="center"/>
          </w:tcPr>
          <w:p>
            <w:pPr>
              <w:tabs>
                <w:tab w:val="left" w:pos="1875"/>
              </w:tabs>
              <w:spacing w:line="400" w:lineRule="exact"/>
              <w:jc w:val="left"/>
              <w:rPr>
                <w:rFonts w:ascii="宋体" w:hAnsi="宋体" w:cs="宋体"/>
                <w:kern w:val="0"/>
              </w:rPr>
            </w:pPr>
            <w:r>
              <w:rPr>
                <w:rFonts w:hint="eastAsia" w:ascii="宋体" w:hAnsi="宋体" w:cs="宋体"/>
                <w:kern w:val="0"/>
              </w:rPr>
              <w:t>工期</w:t>
            </w:r>
          </w:p>
        </w:tc>
        <w:tc>
          <w:tcPr>
            <w:tcW w:w="5493" w:type="dxa"/>
            <w:vAlign w:val="center"/>
          </w:tcPr>
          <w:p>
            <w:pPr>
              <w:snapToGrid w:val="0"/>
              <w:spacing w:line="400" w:lineRule="exact"/>
              <w:ind w:firstLine="420" w:firstLineChars="200"/>
              <w:rPr>
                <w:rFonts w:ascii="宋体" w:hAnsi="宋体"/>
                <w:u w:val="single"/>
              </w:rPr>
            </w:pPr>
            <w:r>
              <w:rPr>
                <w:rFonts w:hint="eastAsia" w:ascii="宋体" w:hAnsi="宋体" w:cs="宋体"/>
                <w:kern w:val="0"/>
              </w:rPr>
              <w:t>符合第二章“投标人须知”第1.3.2项规定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87" w:type="dxa"/>
            <w:gridSpan w:val="2"/>
            <w:vMerge w:val="continue"/>
            <w:tcBorders>
              <w:right w:val="single" w:color="auto" w:sz="4" w:space="0"/>
            </w:tcBorders>
            <w:vAlign w:val="center"/>
          </w:tcPr>
          <w:p>
            <w:pPr>
              <w:spacing w:line="400" w:lineRule="exact"/>
              <w:rPr>
                <w:rFonts w:ascii="宋体" w:hAnsi="宋体"/>
                <w:kern w:val="0"/>
              </w:rPr>
            </w:pPr>
          </w:p>
        </w:tc>
        <w:tc>
          <w:tcPr>
            <w:tcW w:w="535"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60" w:type="dxa"/>
            <w:gridSpan w:val="3"/>
            <w:vAlign w:val="center"/>
          </w:tcPr>
          <w:p>
            <w:pPr>
              <w:tabs>
                <w:tab w:val="left" w:pos="1875"/>
              </w:tabs>
              <w:spacing w:line="400" w:lineRule="exact"/>
              <w:jc w:val="left"/>
              <w:rPr>
                <w:rFonts w:ascii="宋体" w:hAnsi="宋体" w:cs="宋体"/>
                <w:kern w:val="0"/>
              </w:rPr>
            </w:pPr>
            <w:r>
              <w:rPr>
                <w:rFonts w:hint="eastAsia" w:ascii="宋体" w:hAnsi="宋体" w:cs="宋体"/>
                <w:kern w:val="0"/>
              </w:rPr>
              <w:t>工程质量</w:t>
            </w:r>
          </w:p>
        </w:tc>
        <w:tc>
          <w:tcPr>
            <w:tcW w:w="5493" w:type="dxa"/>
            <w:vAlign w:val="center"/>
          </w:tcPr>
          <w:p>
            <w:pPr>
              <w:snapToGrid w:val="0"/>
              <w:spacing w:line="400" w:lineRule="exact"/>
              <w:ind w:firstLine="420" w:firstLineChars="200"/>
              <w:rPr>
                <w:rFonts w:ascii="宋体" w:hAnsi="宋体"/>
                <w:u w:val="single"/>
              </w:rPr>
            </w:pPr>
            <w:r>
              <w:rPr>
                <w:rFonts w:hint="eastAsia" w:ascii="宋体" w:hAnsi="宋体" w:cs="宋体"/>
                <w:kern w:val="0"/>
              </w:rPr>
              <w:t>符合第二章“投标人须知”第1.3.3项规定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pPr>
              <w:spacing w:line="400" w:lineRule="exact"/>
              <w:rPr>
                <w:rFonts w:ascii="宋体" w:hAnsi="宋体"/>
                <w:kern w:val="0"/>
              </w:rPr>
            </w:pPr>
          </w:p>
        </w:tc>
        <w:tc>
          <w:tcPr>
            <w:tcW w:w="535"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60" w:type="dxa"/>
            <w:gridSpan w:val="3"/>
            <w:vAlign w:val="center"/>
          </w:tcPr>
          <w:p>
            <w:pPr>
              <w:tabs>
                <w:tab w:val="left" w:pos="1875"/>
              </w:tabs>
              <w:spacing w:line="400" w:lineRule="exact"/>
              <w:jc w:val="left"/>
              <w:rPr>
                <w:rFonts w:ascii="宋体" w:hAnsi="宋体" w:cs="宋体"/>
                <w:kern w:val="0"/>
              </w:rPr>
            </w:pPr>
            <w:r>
              <w:rPr>
                <w:rFonts w:hint="eastAsia" w:ascii="宋体" w:hAnsi="宋体" w:cs="宋体"/>
                <w:kern w:val="0"/>
              </w:rPr>
              <w:t>投标有效期</w:t>
            </w:r>
          </w:p>
        </w:tc>
        <w:tc>
          <w:tcPr>
            <w:tcW w:w="5493" w:type="dxa"/>
            <w:vAlign w:val="center"/>
          </w:tcPr>
          <w:p>
            <w:pPr>
              <w:snapToGrid w:val="0"/>
              <w:spacing w:line="400" w:lineRule="exact"/>
              <w:ind w:firstLine="420" w:firstLineChars="200"/>
              <w:rPr>
                <w:rFonts w:ascii="宋体" w:hAnsi="宋体"/>
                <w:u w:val="single"/>
              </w:rPr>
            </w:pPr>
            <w:r>
              <w:rPr>
                <w:rFonts w:hint="eastAsia" w:ascii="宋体" w:hAnsi="宋体" w:cs="宋体"/>
                <w:kern w:val="0"/>
              </w:rPr>
              <w:t>符合第二章“投标人须知”第3.3.1项规定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pPr>
              <w:spacing w:line="400" w:lineRule="exact"/>
              <w:rPr>
                <w:rFonts w:ascii="宋体" w:hAnsi="宋体"/>
                <w:kern w:val="0"/>
              </w:rPr>
            </w:pPr>
          </w:p>
        </w:tc>
        <w:tc>
          <w:tcPr>
            <w:tcW w:w="535"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60" w:type="dxa"/>
            <w:gridSpan w:val="3"/>
            <w:vAlign w:val="center"/>
          </w:tcPr>
          <w:p>
            <w:pPr>
              <w:tabs>
                <w:tab w:val="left" w:pos="1875"/>
              </w:tabs>
              <w:spacing w:line="400" w:lineRule="exact"/>
              <w:jc w:val="left"/>
              <w:rPr>
                <w:rFonts w:ascii="宋体" w:hAnsi="宋体" w:cs="宋体"/>
                <w:kern w:val="0"/>
              </w:rPr>
            </w:pPr>
            <w:r>
              <w:rPr>
                <w:rFonts w:ascii="宋体" w:hAnsi="宋体"/>
                <w:kern w:val="0"/>
              </w:rPr>
              <w:t>投标总报价</w:t>
            </w:r>
          </w:p>
        </w:tc>
        <w:tc>
          <w:tcPr>
            <w:tcW w:w="5493" w:type="dxa"/>
            <w:vAlign w:val="center"/>
          </w:tcPr>
          <w:p>
            <w:pPr>
              <w:spacing w:line="400" w:lineRule="exact"/>
              <w:ind w:firstLine="420" w:firstLineChars="200"/>
              <w:rPr>
                <w:rFonts w:ascii="宋体" w:hAnsi="宋体"/>
                <w:kern w:val="0"/>
              </w:rPr>
            </w:pPr>
            <w:r>
              <w:rPr>
                <w:rFonts w:hint="eastAsia" w:ascii="宋体" w:hAnsi="宋体"/>
                <w:kern w:val="0"/>
              </w:rPr>
              <w:t>1.投标函中的总报价</w:t>
            </w:r>
            <w:r>
              <w:rPr>
                <w:rFonts w:hint="eastAsia" w:ascii="宋体" w:hAnsi="宋体"/>
                <w:kern w:val="0"/>
                <w:lang w:val="en-US" w:eastAsia="zh-CN"/>
              </w:rPr>
              <w:t>应</w:t>
            </w:r>
            <w:r>
              <w:rPr>
                <w:rFonts w:hint="eastAsia" w:ascii="宋体" w:hAnsi="宋体"/>
                <w:kern w:val="0"/>
              </w:rPr>
              <w:t>与已标价工程量清单总报价一致</w:t>
            </w:r>
            <w:r>
              <w:rPr>
                <w:rFonts w:hint="eastAsia" w:ascii="宋体" w:hAnsi="宋体"/>
                <w:kern w:val="0"/>
                <w:lang w:eastAsia="zh-CN"/>
              </w:rPr>
              <w:t>，</w:t>
            </w:r>
            <w:r>
              <w:rPr>
                <w:rFonts w:hint="eastAsia" w:ascii="宋体" w:hAnsi="宋体"/>
                <w:kern w:val="0"/>
              </w:rPr>
              <w:t>工程量清单总报价</w:t>
            </w:r>
            <w:r>
              <w:rPr>
                <w:rFonts w:hint="eastAsia" w:ascii="宋体" w:hAnsi="宋体"/>
                <w:kern w:val="0"/>
                <w:lang w:val="en-US" w:eastAsia="zh-CN"/>
              </w:rPr>
              <w:t>应</w:t>
            </w:r>
            <w:r>
              <w:rPr>
                <w:rFonts w:hint="eastAsia" w:ascii="宋体" w:hAnsi="宋体"/>
                <w:kern w:val="0"/>
              </w:rPr>
              <w:t>与依据单价、工程数量、分部分项工程合价计算出的结果一致</w:t>
            </w:r>
            <w:r>
              <w:rPr>
                <w:rFonts w:hint="eastAsia" w:ascii="宋体" w:hAnsi="宋体"/>
                <w:kern w:val="0"/>
                <w:lang w:eastAsia="zh-CN"/>
              </w:rPr>
              <w:t>（</w:t>
            </w:r>
            <w:r>
              <w:rPr>
                <w:rFonts w:hint="eastAsia" w:ascii="宋体" w:hAnsi="宋体"/>
                <w:kern w:val="0"/>
                <w:lang w:val="en-US" w:eastAsia="zh-CN"/>
              </w:rPr>
              <w:t>如有</w:t>
            </w:r>
            <w:r>
              <w:rPr>
                <w:rFonts w:hint="eastAsia" w:ascii="宋体" w:hAnsi="宋体"/>
                <w:kern w:val="0"/>
                <w:lang w:eastAsia="zh-CN"/>
              </w:rPr>
              <w:t>）</w:t>
            </w:r>
            <w:r>
              <w:rPr>
                <w:rFonts w:hint="eastAsia" w:ascii="宋体" w:hAnsi="宋体"/>
                <w:kern w:val="0"/>
              </w:rPr>
              <w:t>。</w:t>
            </w:r>
          </w:p>
          <w:p>
            <w:pPr>
              <w:spacing w:line="400" w:lineRule="exact"/>
              <w:ind w:firstLine="420" w:firstLineChars="200"/>
              <w:rPr>
                <w:rFonts w:hint="eastAsia" w:ascii="宋体" w:hAnsi="宋体"/>
                <w:kern w:val="0"/>
              </w:rPr>
            </w:pPr>
            <w:r>
              <w:rPr>
                <w:rFonts w:hint="eastAsia" w:ascii="宋体" w:hAnsi="宋体"/>
                <w:kern w:val="0"/>
              </w:rPr>
              <w:t>2</w:t>
            </w:r>
            <w:r>
              <w:rPr>
                <w:rFonts w:ascii="宋体" w:hAnsi="宋体"/>
                <w:kern w:val="0"/>
              </w:rPr>
              <w:t>.投标总报价不得高于招标人公布的投标总报价最高限价</w:t>
            </w:r>
            <w:r>
              <w:rPr>
                <w:rFonts w:hint="eastAsia" w:ascii="宋体" w:hAnsi="宋体"/>
                <w:kern w:val="0"/>
              </w:rPr>
              <w:t>。</w:t>
            </w:r>
          </w:p>
          <w:p>
            <w:pPr>
              <w:spacing w:line="400" w:lineRule="exact"/>
              <w:ind w:firstLine="420" w:firstLineChars="200"/>
              <w:rPr>
                <w:rFonts w:hint="eastAsia" w:ascii="宋体" w:hAnsi="宋体" w:eastAsia="宋体"/>
                <w:kern w:val="0"/>
                <w:lang w:eastAsia="zh-CN"/>
              </w:rPr>
            </w:pPr>
            <w:r>
              <w:rPr>
                <w:rFonts w:hint="eastAsia" w:ascii="宋体" w:hAnsi="宋体" w:cs="宋体"/>
                <w:kern w:val="0"/>
              </w:rPr>
              <w:t>□3.投标人投标总报价或者部分单项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kern w:val="0"/>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pPr>
              <w:spacing w:line="400" w:lineRule="exact"/>
              <w:rPr>
                <w:rFonts w:ascii="宋体" w:hAnsi="宋体"/>
                <w:kern w:val="0"/>
              </w:rPr>
            </w:pPr>
          </w:p>
        </w:tc>
        <w:tc>
          <w:tcPr>
            <w:tcW w:w="535"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60" w:type="dxa"/>
            <w:gridSpan w:val="3"/>
            <w:vAlign w:val="center"/>
          </w:tcPr>
          <w:p>
            <w:pPr>
              <w:tabs>
                <w:tab w:val="left" w:pos="1875"/>
              </w:tabs>
              <w:spacing w:line="400" w:lineRule="exact"/>
              <w:jc w:val="left"/>
              <w:rPr>
                <w:rFonts w:ascii="宋体" w:hAnsi="宋体"/>
                <w:kern w:val="0"/>
              </w:rPr>
            </w:pPr>
            <w:r>
              <w:rPr>
                <w:rFonts w:hint="eastAsia" w:ascii="宋体" w:hAnsi="宋体"/>
                <w:kern w:val="0"/>
              </w:rPr>
              <w:t>暂定金额</w:t>
            </w:r>
          </w:p>
        </w:tc>
        <w:tc>
          <w:tcPr>
            <w:tcW w:w="5493" w:type="dxa"/>
            <w:vAlign w:val="center"/>
          </w:tcPr>
          <w:p>
            <w:pPr>
              <w:spacing w:line="400" w:lineRule="exact"/>
              <w:ind w:firstLine="420" w:firstLineChars="200"/>
              <w:rPr>
                <w:rFonts w:hint="eastAsia" w:ascii="宋体" w:hAnsi="宋体" w:eastAsia="宋体"/>
                <w:kern w:val="0"/>
                <w:lang w:eastAsia="zh-CN"/>
              </w:rPr>
            </w:pPr>
            <w:r>
              <w:rPr>
                <w:rFonts w:hint="eastAsia" w:ascii="宋体" w:hAnsi="宋体"/>
                <w:kern w:val="0"/>
              </w:rPr>
              <w:t>暂列金额、暂估价、安全文明施工费等暂定金额必须按照招标文件给定的金额填报</w:t>
            </w:r>
            <w:r>
              <w:rPr>
                <w:rFonts w:hint="eastAsia" w:ascii="宋体" w:hAnsi="宋体"/>
                <w:kern w:val="0"/>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87" w:type="dxa"/>
            <w:gridSpan w:val="2"/>
            <w:vMerge w:val="continue"/>
            <w:tcBorders>
              <w:right w:val="single" w:color="auto" w:sz="4" w:space="0"/>
            </w:tcBorders>
            <w:vAlign w:val="center"/>
          </w:tcPr>
          <w:p>
            <w:pPr>
              <w:spacing w:line="400" w:lineRule="exact"/>
              <w:rPr>
                <w:rFonts w:ascii="宋体" w:hAnsi="宋体"/>
                <w:kern w:val="0"/>
              </w:rPr>
            </w:pPr>
          </w:p>
        </w:tc>
        <w:tc>
          <w:tcPr>
            <w:tcW w:w="535"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60" w:type="dxa"/>
            <w:gridSpan w:val="3"/>
            <w:vAlign w:val="center"/>
          </w:tcPr>
          <w:p>
            <w:pPr>
              <w:tabs>
                <w:tab w:val="left" w:pos="1875"/>
              </w:tabs>
              <w:spacing w:line="400" w:lineRule="exact"/>
              <w:jc w:val="left"/>
              <w:rPr>
                <w:rFonts w:ascii="宋体" w:hAnsi="宋体" w:cs="宋体"/>
                <w:kern w:val="0"/>
              </w:rPr>
            </w:pPr>
            <w:r>
              <w:rPr>
                <w:rFonts w:ascii="宋体" w:hAnsi="宋体"/>
                <w:kern w:val="0"/>
              </w:rPr>
              <w:t>报价唯一</w:t>
            </w:r>
          </w:p>
        </w:tc>
        <w:tc>
          <w:tcPr>
            <w:tcW w:w="5493" w:type="dxa"/>
            <w:vAlign w:val="center"/>
          </w:tcPr>
          <w:p>
            <w:pPr>
              <w:snapToGrid w:val="0"/>
              <w:spacing w:line="400" w:lineRule="exact"/>
              <w:ind w:firstLine="420" w:firstLineChars="200"/>
              <w:rPr>
                <w:rFonts w:ascii="宋体" w:hAnsi="宋体"/>
                <w:u w:val="single"/>
              </w:rPr>
            </w:pPr>
            <w:r>
              <w:rPr>
                <w:rFonts w:ascii="宋体" w:hAnsi="宋体"/>
                <w:kern w:val="0"/>
              </w:rPr>
              <w:t>只能有一个有效报价，在招标文件没有规定的情况下，不得提交选择性报价。</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pPr>
              <w:spacing w:line="400" w:lineRule="exact"/>
              <w:rPr>
                <w:rFonts w:ascii="宋体" w:hAnsi="宋体"/>
                <w:kern w:val="0"/>
              </w:rPr>
            </w:pPr>
          </w:p>
        </w:tc>
        <w:tc>
          <w:tcPr>
            <w:tcW w:w="535"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60" w:type="dxa"/>
            <w:gridSpan w:val="3"/>
            <w:vAlign w:val="center"/>
          </w:tcPr>
          <w:p>
            <w:pPr>
              <w:tabs>
                <w:tab w:val="left" w:pos="1875"/>
              </w:tabs>
              <w:spacing w:line="400" w:lineRule="exact"/>
              <w:jc w:val="left"/>
              <w:rPr>
                <w:rFonts w:ascii="宋体" w:hAnsi="宋体" w:cs="宋体"/>
                <w:kern w:val="0"/>
              </w:rPr>
            </w:pPr>
            <w:r>
              <w:rPr>
                <w:rFonts w:ascii="宋体" w:hAnsi="宋体"/>
                <w:kern w:val="0"/>
              </w:rPr>
              <w:t>已标价工程量清单</w:t>
            </w:r>
          </w:p>
        </w:tc>
        <w:tc>
          <w:tcPr>
            <w:tcW w:w="5493" w:type="dxa"/>
            <w:vAlign w:val="center"/>
          </w:tcPr>
          <w:p>
            <w:pPr>
              <w:spacing w:after="62" w:afterLines="20" w:line="400" w:lineRule="exact"/>
              <w:ind w:firstLine="420" w:firstLineChars="200"/>
              <w:rPr>
                <w:rFonts w:ascii="宋体" w:hAnsi="宋体"/>
                <w:kern w:val="0"/>
              </w:rPr>
            </w:pPr>
            <w:r>
              <w:rPr>
                <w:rFonts w:hint="eastAsia" w:ascii="宋体" w:hAnsi="宋体"/>
                <w:kern w:val="0"/>
              </w:rPr>
              <w:t>1</w:t>
            </w:r>
            <w:r>
              <w:rPr>
                <w:rFonts w:ascii="宋体" w:hAnsi="宋体"/>
                <w:kern w:val="0"/>
              </w:rPr>
              <w:t>.</w:t>
            </w:r>
            <w:r>
              <w:rPr>
                <w:rFonts w:hint="eastAsia" w:ascii="宋体" w:hAnsi="宋体" w:cs="宋体"/>
                <w:kern w:val="0"/>
                <w:lang w:val="en-US" w:eastAsia="zh-CN"/>
              </w:rPr>
              <w:t>投标人</w:t>
            </w:r>
            <w:r>
              <w:rPr>
                <w:rFonts w:hint="eastAsia" w:ascii="宋体" w:hAnsi="宋体"/>
                <w:szCs w:val="21"/>
                <w:lang w:val="en-US" w:eastAsia="zh-CN"/>
              </w:rPr>
              <w:t>应当</w:t>
            </w:r>
            <w:r>
              <w:rPr>
                <w:rFonts w:hint="eastAsia" w:ascii="宋体" w:hAnsi="宋体"/>
                <w:szCs w:val="21"/>
              </w:rPr>
              <w:t>按招标工程量清单填报价格。项目编码、项目名称、项目特征、计量单位、工程量</w:t>
            </w:r>
            <w:r>
              <w:rPr>
                <w:rFonts w:hint="eastAsia" w:ascii="宋体" w:hAnsi="宋体"/>
                <w:szCs w:val="21"/>
                <w:lang w:val="en-US" w:eastAsia="zh-CN"/>
              </w:rPr>
              <w:t>应当</w:t>
            </w:r>
            <w:r>
              <w:rPr>
                <w:rFonts w:hint="eastAsia" w:ascii="宋体" w:hAnsi="宋体"/>
                <w:szCs w:val="21"/>
              </w:rPr>
              <w:t>与招标工程量清单一致</w:t>
            </w:r>
            <w:r>
              <w:rPr>
                <w:rFonts w:ascii="宋体" w:hAnsi="宋体"/>
                <w:kern w:val="0"/>
              </w:rPr>
              <w:t>。</w:t>
            </w:r>
          </w:p>
          <w:p>
            <w:pPr>
              <w:snapToGrid w:val="0"/>
              <w:spacing w:line="400" w:lineRule="exact"/>
              <w:ind w:firstLine="420" w:firstLineChars="200"/>
              <w:rPr>
                <w:rFonts w:hint="eastAsia" w:ascii="宋体" w:hAnsi="宋体"/>
                <w:kern w:val="0"/>
              </w:rPr>
            </w:pPr>
            <w:r>
              <w:rPr>
                <w:rFonts w:ascii="宋体" w:hAnsi="宋体"/>
                <w:kern w:val="0"/>
              </w:rPr>
              <w:t>2</w:t>
            </w:r>
            <w:r>
              <w:rPr>
                <w:rFonts w:hint="eastAsia" w:ascii="宋体" w:hAnsi="宋体"/>
                <w:kern w:val="0"/>
              </w:rPr>
              <w:t>.每项清单综合单价报价不得高于每项清单综合单价最高限价。</w:t>
            </w:r>
          </w:p>
          <w:p>
            <w:pPr>
              <w:snapToGrid w:val="0"/>
              <w:spacing w:line="400" w:lineRule="exact"/>
              <w:ind w:firstLine="420" w:firstLineChars="200"/>
              <w:rPr>
                <w:rFonts w:ascii="宋体" w:hAnsi="宋体"/>
                <w:u w:val="single"/>
              </w:rPr>
            </w:pPr>
            <w:r>
              <w:rPr>
                <w:rFonts w:hint="eastAsia" w:ascii="宋体" w:hAnsi="宋体" w:cs="宋体"/>
                <w:kern w:val="0"/>
                <w:lang w:val="en-US" w:eastAsia="zh-CN"/>
              </w:rPr>
              <w:t>3.</w:t>
            </w:r>
            <w:r>
              <w:rPr>
                <w:rFonts w:hint="default" w:ascii="宋体" w:hAnsi="宋体"/>
                <w:kern w:val="0"/>
                <w:szCs w:val="21"/>
                <w:u w:val="none"/>
              </w:rPr>
              <w:t>投标人的</w:t>
            </w:r>
            <w:r>
              <w:rPr>
                <w:rFonts w:hint="eastAsia" w:ascii="宋体" w:hAnsi="宋体"/>
                <w:kern w:val="0"/>
                <w:szCs w:val="21"/>
                <w:u w:val="none"/>
                <w:lang w:val="en-US" w:eastAsia="zh-CN"/>
              </w:rPr>
              <w:t>工程量清单单项报价</w:t>
            </w:r>
            <w:r>
              <w:rPr>
                <w:rFonts w:hint="default" w:ascii="宋体" w:hAnsi="宋体"/>
                <w:kern w:val="0"/>
                <w:szCs w:val="21"/>
                <w:u w:val="none"/>
              </w:rPr>
              <w:t>不得</w:t>
            </w:r>
            <w:r>
              <w:rPr>
                <w:rFonts w:hint="eastAsia" w:ascii="宋体" w:hAnsi="宋体"/>
                <w:kern w:val="0"/>
                <w:szCs w:val="21"/>
                <w:u w:val="none"/>
                <w:lang w:val="en-US" w:eastAsia="zh-CN"/>
              </w:rPr>
              <w:t>为零报价或者负数报价。</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pPr>
              <w:spacing w:line="400" w:lineRule="exact"/>
              <w:rPr>
                <w:rFonts w:ascii="宋体" w:hAnsi="宋体"/>
                <w:kern w:val="0"/>
              </w:rPr>
            </w:pPr>
          </w:p>
        </w:tc>
        <w:tc>
          <w:tcPr>
            <w:tcW w:w="535"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60" w:type="dxa"/>
            <w:gridSpan w:val="3"/>
            <w:vAlign w:val="center"/>
          </w:tcPr>
          <w:p>
            <w:pPr>
              <w:tabs>
                <w:tab w:val="left" w:pos="1875"/>
              </w:tabs>
              <w:spacing w:line="400" w:lineRule="exact"/>
              <w:jc w:val="left"/>
              <w:rPr>
                <w:rFonts w:ascii="宋体" w:hAnsi="宋体" w:cs="宋体"/>
                <w:kern w:val="0"/>
              </w:rPr>
            </w:pPr>
            <w:r>
              <w:rPr>
                <w:rFonts w:ascii="宋体" w:hAnsi="宋体"/>
                <w:kern w:val="0"/>
              </w:rPr>
              <w:t>投标报价算术错误修正</w:t>
            </w:r>
          </w:p>
        </w:tc>
        <w:tc>
          <w:tcPr>
            <w:tcW w:w="5493" w:type="dxa"/>
            <w:vAlign w:val="center"/>
          </w:tcPr>
          <w:p>
            <w:pPr>
              <w:snapToGrid w:val="0"/>
              <w:spacing w:line="400" w:lineRule="exact"/>
              <w:ind w:firstLine="420" w:firstLineChars="200"/>
              <w:rPr>
                <w:rFonts w:ascii="宋体" w:hAnsi="宋体"/>
                <w:u w:val="single"/>
              </w:rPr>
            </w:pPr>
            <w:r>
              <w:rPr>
                <w:rFonts w:ascii="宋体" w:hAnsi="宋体"/>
                <w:kern w:val="0"/>
              </w:rPr>
              <w:t>符合第三章3.评标程序第3.1.3项规定。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422" w:type="dxa"/>
            <w:gridSpan w:val="3"/>
            <w:vAlign w:val="center"/>
          </w:tcPr>
          <w:p>
            <w:pPr>
              <w:spacing w:line="400" w:lineRule="exact"/>
              <w:jc w:val="center"/>
              <w:rPr>
                <w:rFonts w:ascii="宋体" w:hAnsi="宋体"/>
                <w:kern w:val="0"/>
              </w:rPr>
            </w:pPr>
            <w:r>
              <w:rPr>
                <w:rFonts w:ascii="宋体" w:hAnsi="宋体"/>
                <w:kern w:val="0"/>
              </w:rPr>
              <w:t>2.2.</w:t>
            </w:r>
            <w:r>
              <w:rPr>
                <w:rFonts w:hint="eastAsia" w:ascii="宋体" w:hAnsi="宋体"/>
                <w:kern w:val="0"/>
              </w:rPr>
              <w:t>3</w:t>
            </w:r>
          </w:p>
        </w:tc>
        <w:tc>
          <w:tcPr>
            <w:tcW w:w="1546" w:type="dxa"/>
            <w:gridSpan w:val="2"/>
            <w:vAlign w:val="center"/>
          </w:tcPr>
          <w:p>
            <w:pPr>
              <w:snapToGrid w:val="0"/>
              <w:spacing w:line="400" w:lineRule="exact"/>
              <w:jc w:val="left"/>
              <w:rPr>
                <w:rFonts w:ascii="宋体" w:hAnsi="宋体"/>
                <w:b/>
                <w:kern w:val="0"/>
              </w:rPr>
            </w:pPr>
            <w:r>
              <w:rPr>
                <w:rFonts w:hint="eastAsia" w:ascii="宋体" w:hAnsi="宋体"/>
                <w:b/>
                <w:kern w:val="0"/>
              </w:rPr>
              <w:t>□选项一：</w:t>
            </w:r>
          </w:p>
          <w:p>
            <w:pPr>
              <w:spacing w:line="400" w:lineRule="exact"/>
              <w:jc w:val="center"/>
              <w:rPr>
                <w:rFonts w:ascii="宋体" w:hAnsi="宋体"/>
                <w:kern w:val="0"/>
              </w:rPr>
            </w:pPr>
            <w:r>
              <w:rPr>
                <w:rFonts w:ascii="宋体" w:hAnsi="宋体"/>
                <w:kern w:val="0"/>
              </w:rPr>
              <w:t>评标基准价计算方法</w:t>
            </w:r>
          </w:p>
        </w:tc>
        <w:tc>
          <w:tcPr>
            <w:tcW w:w="1014" w:type="dxa"/>
            <w:vAlign w:val="center"/>
          </w:tcPr>
          <w:p>
            <w:pPr>
              <w:spacing w:line="400" w:lineRule="exact"/>
              <w:jc w:val="center"/>
              <w:rPr>
                <w:rFonts w:ascii="宋体" w:hAnsi="宋体"/>
                <w:kern w:val="0"/>
              </w:rPr>
            </w:pPr>
            <w:r>
              <w:rPr>
                <w:rFonts w:ascii="宋体" w:hAnsi="宋体"/>
                <w:kern w:val="0"/>
              </w:rPr>
              <w:t>投标总报价</w:t>
            </w:r>
          </w:p>
        </w:tc>
        <w:tc>
          <w:tcPr>
            <w:tcW w:w="5493" w:type="dxa"/>
          </w:tcPr>
          <w:p>
            <w:pPr>
              <w:snapToGrid w:val="0"/>
              <w:spacing w:line="400" w:lineRule="exact"/>
              <w:ind w:firstLine="420" w:firstLineChars="200"/>
              <w:jc w:val="left"/>
              <w:rPr>
                <w:rFonts w:ascii="宋体" w:hAnsi="宋体"/>
                <w:kern w:val="0"/>
                <w:szCs w:val="21"/>
              </w:rPr>
            </w:pPr>
            <w:r>
              <w:rPr>
                <w:rFonts w:ascii="宋体" w:hAnsi="宋体"/>
                <w:kern w:val="0"/>
                <w:szCs w:val="21"/>
              </w:rPr>
              <w:t>所有通过初步评审</w:t>
            </w:r>
            <w:r>
              <w:rPr>
                <w:rFonts w:hint="eastAsia" w:ascii="宋体" w:hAnsi="宋体"/>
                <w:kern w:val="0"/>
                <w:szCs w:val="21"/>
              </w:rPr>
              <w:t>和本章第2.2.2（2）目评审</w:t>
            </w:r>
            <w:r>
              <w:rPr>
                <w:rFonts w:ascii="宋体" w:hAnsi="宋体"/>
                <w:kern w:val="0"/>
                <w:szCs w:val="21"/>
              </w:rPr>
              <w:t>合格的投标人</w:t>
            </w:r>
            <w:r>
              <w:rPr>
                <w:rFonts w:ascii="宋体" w:hAnsi="宋体"/>
                <w:szCs w:val="21"/>
              </w:rPr>
              <w:t>的投标总报</w:t>
            </w:r>
            <w:r>
              <w:rPr>
                <w:rFonts w:ascii="宋体" w:hAnsi="宋体"/>
                <w:kern w:val="0"/>
                <w:szCs w:val="21"/>
              </w:rPr>
              <w:t>价中去掉六分之一（不能整除的按小数点前整数取整，不足六家报价则不去掉）的最低价和相同家数的最高价后的算术平均值</w:t>
            </w:r>
            <w:r>
              <w:rPr>
                <w:rFonts w:hint="eastAsia" w:ascii="宋体" w:hAnsi="宋体"/>
                <w:kern w:val="0"/>
                <w:szCs w:val="21"/>
              </w:rPr>
              <w:t>，即为本项目的投标总报价的评标基准价。</w:t>
            </w:r>
          </w:p>
          <w:p>
            <w:pPr>
              <w:snapToGrid w:val="0"/>
              <w:spacing w:line="400" w:lineRule="exact"/>
              <w:ind w:firstLine="420" w:firstLineChars="200"/>
              <w:rPr>
                <w:rFonts w:ascii="宋体" w:hAnsi="宋体"/>
                <w:kern w:val="0"/>
                <w:szCs w:val="21"/>
              </w:rPr>
            </w:pPr>
            <w:r>
              <w:rPr>
                <w:rFonts w:hint="eastAsia" w:ascii="宋体" w:hAnsi="宋体"/>
                <w:kern w:val="0"/>
                <w:szCs w:val="21"/>
              </w:rPr>
              <w:t>评标基准价计算的最终</w:t>
            </w:r>
            <w:r>
              <w:rPr>
                <w:rFonts w:ascii="宋体" w:hAnsi="宋体"/>
                <w:kern w:val="0"/>
                <w:szCs w:val="21"/>
              </w:rPr>
              <w:t>结果取小数点后两位，第三位四舍五入。</w:t>
            </w:r>
          </w:p>
          <w:p>
            <w:pPr>
              <w:snapToGrid w:val="0"/>
              <w:spacing w:line="400" w:lineRule="exact"/>
              <w:ind w:firstLine="420" w:firstLineChars="200"/>
              <w:rPr>
                <w:rFonts w:ascii="宋体" w:hAnsi="宋体"/>
                <w:kern w:val="0"/>
                <w:szCs w:val="21"/>
              </w:rPr>
            </w:pPr>
            <w:r>
              <w:rPr>
                <w:rFonts w:ascii="宋体" w:hAnsi="宋体"/>
                <w:kern w:val="0"/>
                <w:szCs w:val="21"/>
              </w:rPr>
              <w:t>在评标基准价计算完成后（除计算错误外），在后续的评审中不得再对其做出调整。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1422" w:type="dxa"/>
            <w:gridSpan w:val="3"/>
            <w:vAlign w:val="center"/>
          </w:tcPr>
          <w:p>
            <w:pPr>
              <w:spacing w:line="400" w:lineRule="exact"/>
              <w:jc w:val="center"/>
              <w:rPr>
                <w:rFonts w:ascii="宋体" w:hAnsi="宋体"/>
                <w:kern w:val="0"/>
              </w:rPr>
            </w:pPr>
            <w:r>
              <w:rPr>
                <w:rFonts w:ascii="宋体" w:hAnsi="宋体"/>
                <w:kern w:val="0"/>
              </w:rPr>
              <w:t>2.2.</w:t>
            </w:r>
            <w:r>
              <w:rPr>
                <w:rFonts w:hint="eastAsia" w:ascii="宋体" w:hAnsi="宋体"/>
                <w:kern w:val="0"/>
              </w:rPr>
              <w:t>3</w:t>
            </w:r>
          </w:p>
        </w:tc>
        <w:tc>
          <w:tcPr>
            <w:tcW w:w="1546" w:type="dxa"/>
            <w:gridSpan w:val="2"/>
            <w:vAlign w:val="center"/>
          </w:tcPr>
          <w:p>
            <w:pPr>
              <w:snapToGrid w:val="0"/>
              <w:spacing w:line="400" w:lineRule="exact"/>
              <w:jc w:val="left"/>
              <w:rPr>
                <w:rFonts w:ascii="宋体" w:hAnsi="宋体"/>
                <w:b/>
                <w:kern w:val="0"/>
              </w:rPr>
            </w:pPr>
            <w:r>
              <w:rPr>
                <w:rFonts w:hint="eastAsia" w:ascii="宋体" w:hAnsi="宋体"/>
                <w:b/>
                <w:kern w:val="0"/>
              </w:rPr>
              <w:t>□选项二：</w:t>
            </w:r>
          </w:p>
          <w:p>
            <w:pPr>
              <w:spacing w:line="400" w:lineRule="exact"/>
              <w:jc w:val="center"/>
              <w:rPr>
                <w:rFonts w:ascii="宋体" w:hAnsi="宋体"/>
                <w:kern w:val="0"/>
              </w:rPr>
            </w:pPr>
            <w:r>
              <w:rPr>
                <w:rFonts w:ascii="宋体" w:hAnsi="宋体"/>
                <w:kern w:val="0"/>
              </w:rPr>
              <w:t>评标基准价计算方法</w:t>
            </w:r>
          </w:p>
        </w:tc>
        <w:tc>
          <w:tcPr>
            <w:tcW w:w="1014" w:type="dxa"/>
            <w:vAlign w:val="center"/>
          </w:tcPr>
          <w:p>
            <w:pPr>
              <w:spacing w:line="400" w:lineRule="exact"/>
              <w:jc w:val="center"/>
              <w:rPr>
                <w:rFonts w:ascii="宋体" w:hAnsi="宋体"/>
                <w:kern w:val="0"/>
              </w:rPr>
            </w:pPr>
            <w:r>
              <w:rPr>
                <w:rFonts w:ascii="宋体" w:hAnsi="宋体"/>
                <w:kern w:val="0"/>
              </w:rPr>
              <w:t>投标总报价</w:t>
            </w:r>
          </w:p>
        </w:tc>
        <w:tc>
          <w:tcPr>
            <w:tcW w:w="5493" w:type="dxa"/>
          </w:tcPr>
          <w:p>
            <w:pPr>
              <w:snapToGrid w:val="0"/>
              <w:spacing w:line="400" w:lineRule="exact"/>
              <w:ind w:firstLine="420" w:firstLineChars="200"/>
              <w:rPr>
                <w:rFonts w:ascii="宋体" w:hAnsi="宋体"/>
                <w:kern w:val="0"/>
                <w:szCs w:val="21"/>
              </w:rPr>
            </w:pPr>
            <w:r>
              <w:rPr>
                <w:rFonts w:ascii="宋体" w:hAnsi="宋体"/>
                <w:kern w:val="0"/>
                <w:szCs w:val="21"/>
              </w:rPr>
              <w:t>所有通过初步评审</w:t>
            </w:r>
            <w:r>
              <w:rPr>
                <w:rFonts w:hint="eastAsia" w:ascii="宋体" w:hAnsi="宋体"/>
                <w:kern w:val="0"/>
                <w:szCs w:val="21"/>
              </w:rPr>
              <w:t>和本章第2.2.2（2）目评审</w:t>
            </w:r>
            <w:r>
              <w:rPr>
                <w:rFonts w:ascii="宋体" w:hAnsi="宋体"/>
                <w:kern w:val="0"/>
                <w:szCs w:val="21"/>
              </w:rPr>
              <w:t>合格的投标人</w:t>
            </w:r>
            <w:r>
              <w:rPr>
                <w:rFonts w:ascii="宋体" w:hAnsi="宋体"/>
                <w:szCs w:val="21"/>
              </w:rPr>
              <w:t>的投标总报</w:t>
            </w:r>
            <w:r>
              <w:rPr>
                <w:rFonts w:ascii="宋体" w:hAnsi="宋体"/>
                <w:kern w:val="0"/>
                <w:szCs w:val="21"/>
              </w:rPr>
              <w:t>价中去掉六分之一（不能整除的按小数点前整数取整，不足六家报价则不去掉）的最低价和相同家数的最高价后的算术平均值乘以</w:t>
            </w:r>
            <w:r>
              <w:rPr>
                <w:rFonts w:hint="eastAsia" w:ascii="宋体" w:hAnsi="宋体"/>
                <w:kern w:val="0"/>
                <w:szCs w:val="21"/>
              </w:rPr>
              <w:t>（1-</w:t>
            </w:r>
            <w:r>
              <w:rPr>
                <w:rFonts w:ascii="宋体" w:hAnsi="宋体"/>
                <w:kern w:val="0"/>
                <w:szCs w:val="21"/>
              </w:rPr>
              <w:t>本项目评标基准价浮动值N</w:t>
            </w:r>
            <w:r>
              <w:rPr>
                <w:rFonts w:hint="eastAsia" w:ascii="宋体" w:hAnsi="宋体"/>
                <w:kern w:val="0"/>
                <w:szCs w:val="21"/>
              </w:rPr>
              <w:t>）</w:t>
            </w:r>
            <w:r>
              <w:rPr>
                <w:rFonts w:ascii="宋体" w:hAnsi="宋体"/>
                <w:kern w:val="0"/>
                <w:szCs w:val="21"/>
              </w:rPr>
              <w:t>，即为本项目的投标总报价的评标基准价。（评标基准价浮动值N为</w:t>
            </w:r>
            <w:r>
              <w:rPr>
                <w:rFonts w:hint="eastAsia" w:ascii="宋体" w:hAnsi="宋体"/>
                <w:kern w:val="0"/>
              </w:rPr>
              <w:t>1</w:t>
            </w:r>
            <w:r>
              <w:rPr>
                <w:rFonts w:ascii="宋体" w:hAnsi="宋体"/>
                <w:kern w:val="0"/>
              </w:rPr>
              <w:t>%～</w:t>
            </w:r>
            <w:r>
              <w:rPr>
                <w:rFonts w:hint="eastAsia" w:ascii="宋体" w:hAnsi="宋体"/>
                <w:kern w:val="0"/>
              </w:rPr>
              <w:t>5%范围内百分数取整</w:t>
            </w:r>
            <w:r>
              <w:rPr>
                <w:rFonts w:ascii="宋体" w:hAnsi="宋体"/>
                <w:kern w:val="0"/>
              </w:rPr>
              <w:t>，</w:t>
            </w:r>
            <w:r>
              <w:rPr>
                <w:rFonts w:ascii="宋体" w:hAnsi="宋体"/>
                <w:kern w:val="0"/>
                <w:szCs w:val="21"/>
              </w:rPr>
              <w:t>在开标现场随机抽取决定）</w:t>
            </w:r>
          </w:p>
          <w:p>
            <w:pPr>
              <w:snapToGrid w:val="0"/>
              <w:spacing w:line="400" w:lineRule="exact"/>
              <w:ind w:firstLine="420" w:firstLineChars="200"/>
              <w:rPr>
                <w:rFonts w:ascii="宋体" w:hAnsi="宋体"/>
                <w:kern w:val="0"/>
                <w:szCs w:val="21"/>
              </w:rPr>
            </w:pPr>
            <w:r>
              <w:rPr>
                <w:rFonts w:hint="eastAsia" w:ascii="宋体" w:hAnsi="宋体"/>
                <w:kern w:val="0"/>
                <w:szCs w:val="21"/>
              </w:rPr>
              <w:t>评标基准价计算的最终</w:t>
            </w:r>
            <w:r>
              <w:rPr>
                <w:rFonts w:ascii="宋体" w:hAnsi="宋体"/>
                <w:kern w:val="0"/>
                <w:szCs w:val="21"/>
              </w:rPr>
              <w:t>结果取小数点后两位，第三位四舍五入。</w:t>
            </w:r>
          </w:p>
          <w:p>
            <w:pPr>
              <w:snapToGrid w:val="0"/>
              <w:spacing w:line="400" w:lineRule="exact"/>
              <w:ind w:firstLine="420" w:firstLineChars="200"/>
              <w:rPr>
                <w:rFonts w:ascii="宋体" w:hAnsi="宋体"/>
                <w:kern w:val="0"/>
              </w:rPr>
            </w:pPr>
            <w:r>
              <w:rPr>
                <w:rFonts w:ascii="宋体" w:hAnsi="宋体"/>
                <w:kern w:val="0"/>
                <w:szCs w:val="21"/>
              </w:rPr>
              <w:t>在评标基准价计算完成后（除计算错误外），在后续的评审中不得再对其做出调整。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422" w:type="dxa"/>
            <w:gridSpan w:val="3"/>
            <w:vAlign w:val="center"/>
          </w:tcPr>
          <w:p>
            <w:pPr>
              <w:spacing w:line="400" w:lineRule="exact"/>
              <w:jc w:val="center"/>
              <w:rPr>
                <w:rFonts w:ascii="宋体" w:hAnsi="宋体"/>
                <w:kern w:val="0"/>
              </w:rPr>
            </w:pPr>
            <w:r>
              <w:rPr>
                <w:rFonts w:ascii="宋体" w:hAnsi="宋体"/>
                <w:kern w:val="0"/>
              </w:rPr>
              <w:t>2.2.</w:t>
            </w:r>
            <w:r>
              <w:rPr>
                <w:rFonts w:hint="eastAsia" w:ascii="宋体" w:hAnsi="宋体"/>
                <w:kern w:val="0"/>
              </w:rPr>
              <w:t>3</w:t>
            </w:r>
          </w:p>
        </w:tc>
        <w:tc>
          <w:tcPr>
            <w:tcW w:w="1546" w:type="dxa"/>
            <w:gridSpan w:val="2"/>
            <w:vAlign w:val="center"/>
          </w:tcPr>
          <w:p>
            <w:pPr>
              <w:snapToGrid w:val="0"/>
              <w:spacing w:line="400" w:lineRule="exact"/>
              <w:jc w:val="left"/>
              <w:rPr>
                <w:rFonts w:ascii="宋体" w:hAnsi="宋体"/>
                <w:b/>
                <w:kern w:val="0"/>
              </w:rPr>
            </w:pPr>
            <w:r>
              <w:rPr>
                <w:rFonts w:hint="eastAsia" w:ascii="宋体" w:hAnsi="宋体"/>
                <w:b/>
                <w:kern w:val="0"/>
              </w:rPr>
              <w:t>□选项三：</w:t>
            </w:r>
          </w:p>
          <w:p>
            <w:pPr>
              <w:spacing w:line="400" w:lineRule="exact"/>
              <w:jc w:val="center"/>
              <w:rPr>
                <w:rFonts w:ascii="宋体" w:hAnsi="宋体"/>
                <w:kern w:val="0"/>
              </w:rPr>
            </w:pPr>
            <w:r>
              <w:rPr>
                <w:rFonts w:ascii="宋体" w:hAnsi="宋体"/>
                <w:kern w:val="0"/>
              </w:rPr>
              <w:t>评标基准价计算方法</w:t>
            </w:r>
          </w:p>
        </w:tc>
        <w:tc>
          <w:tcPr>
            <w:tcW w:w="1014" w:type="dxa"/>
            <w:vAlign w:val="center"/>
          </w:tcPr>
          <w:p>
            <w:pPr>
              <w:spacing w:line="400" w:lineRule="exact"/>
              <w:jc w:val="center"/>
              <w:rPr>
                <w:rFonts w:ascii="宋体" w:hAnsi="宋体"/>
                <w:kern w:val="0"/>
              </w:rPr>
            </w:pPr>
            <w:r>
              <w:rPr>
                <w:rFonts w:ascii="宋体" w:hAnsi="宋体"/>
                <w:kern w:val="0"/>
              </w:rPr>
              <w:t>投标总报价</w:t>
            </w:r>
          </w:p>
        </w:tc>
        <w:tc>
          <w:tcPr>
            <w:tcW w:w="5493" w:type="dxa"/>
          </w:tcPr>
          <w:p>
            <w:pPr>
              <w:snapToGrid w:val="0"/>
              <w:spacing w:line="400" w:lineRule="exact"/>
              <w:ind w:firstLine="420" w:firstLineChars="200"/>
              <w:rPr>
                <w:rFonts w:ascii="宋体" w:hAnsi="宋体"/>
                <w:kern w:val="0"/>
                <w:szCs w:val="21"/>
              </w:rPr>
            </w:pPr>
            <w:r>
              <w:rPr>
                <w:rFonts w:ascii="宋体" w:hAnsi="宋体"/>
                <w:kern w:val="0"/>
                <w:szCs w:val="21"/>
              </w:rPr>
              <w:t>所有通过初步评审</w:t>
            </w:r>
            <w:r>
              <w:rPr>
                <w:rFonts w:hint="eastAsia" w:ascii="宋体" w:hAnsi="宋体"/>
                <w:kern w:val="0"/>
                <w:szCs w:val="21"/>
              </w:rPr>
              <w:t>和本章第2.2.2（2）目评审</w:t>
            </w:r>
            <w:r>
              <w:rPr>
                <w:rFonts w:ascii="宋体" w:hAnsi="宋体"/>
                <w:kern w:val="0"/>
                <w:szCs w:val="21"/>
              </w:rPr>
              <w:t>合格的投标人</w:t>
            </w:r>
            <w:r>
              <w:rPr>
                <w:rFonts w:ascii="宋体" w:hAnsi="宋体"/>
                <w:szCs w:val="21"/>
              </w:rPr>
              <w:t>的投标总报</w:t>
            </w:r>
            <w:r>
              <w:rPr>
                <w:rFonts w:ascii="宋体" w:hAnsi="宋体"/>
                <w:kern w:val="0"/>
                <w:szCs w:val="21"/>
              </w:rPr>
              <w:t>价中去掉六分之一（不能整除的按小数点前整数取整，不足六家报价则不去掉）的最低价和相同家数的最高价后的算术平均值</w:t>
            </w:r>
            <w:r>
              <w:rPr>
                <w:rFonts w:hint="eastAsia" w:ascii="宋体" w:hAnsi="宋体"/>
                <w:kern w:val="0"/>
                <w:szCs w:val="21"/>
              </w:rPr>
              <w:t>乘以（1-本项目评标基准价</w:t>
            </w:r>
            <w:r>
              <w:rPr>
                <w:rFonts w:ascii="宋体" w:hAnsi="宋体"/>
                <w:kern w:val="0"/>
                <w:szCs w:val="21"/>
              </w:rPr>
              <w:t>下浮</w:t>
            </w:r>
            <w:r>
              <w:rPr>
                <w:rFonts w:hint="eastAsia" w:ascii="宋体" w:hAnsi="宋体"/>
                <w:kern w:val="0"/>
                <w:szCs w:val="21"/>
              </w:rPr>
              <w:t>比例</w:t>
            </w:r>
            <w:r>
              <w:rPr>
                <w:rFonts w:ascii="宋体" w:hAnsi="宋体"/>
                <w:kern w:val="0"/>
                <w:szCs w:val="21"/>
              </w:rPr>
              <w:t>M</w:t>
            </w:r>
            <w:r>
              <w:rPr>
                <w:rFonts w:hint="eastAsia" w:ascii="宋体" w:hAnsi="宋体"/>
                <w:kern w:val="0"/>
                <w:szCs w:val="21"/>
              </w:rPr>
              <w:t>），</w:t>
            </w:r>
            <w:r>
              <w:rPr>
                <w:rFonts w:ascii="宋体" w:hAnsi="宋体"/>
                <w:kern w:val="0"/>
                <w:szCs w:val="21"/>
              </w:rPr>
              <w:t>即为本项目的投标总报价的评标基准价。（</w:t>
            </w:r>
            <w:r>
              <w:rPr>
                <w:rFonts w:hint="eastAsia" w:ascii="宋体" w:hAnsi="宋体"/>
                <w:kern w:val="0"/>
                <w:szCs w:val="21"/>
              </w:rPr>
              <w:t>评标基准价下浮比例</w:t>
            </w:r>
            <w:r>
              <w:rPr>
                <w:rFonts w:ascii="宋体" w:hAnsi="宋体"/>
                <w:kern w:val="0"/>
                <w:szCs w:val="21"/>
              </w:rPr>
              <w:t>M为</w:t>
            </w:r>
            <w:r>
              <w:rPr>
                <w:rFonts w:hint="eastAsia" w:ascii="宋体" w:hAnsi="宋体"/>
                <w:kern w:val="0"/>
              </w:rPr>
              <w:t>1%</w:t>
            </w:r>
            <w:r>
              <w:rPr>
                <w:rFonts w:ascii="宋体" w:hAnsi="宋体"/>
                <w:kern w:val="0"/>
              </w:rPr>
              <w:t>～</w:t>
            </w:r>
            <w:r>
              <w:rPr>
                <w:rFonts w:hint="eastAsia" w:ascii="宋体" w:hAnsi="宋体"/>
                <w:kern w:val="0"/>
              </w:rPr>
              <w:t>5%范围内百分数取整</w:t>
            </w:r>
            <w:r>
              <w:rPr>
                <w:rFonts w:ascii="宋体" w:hAnsi="宋体"/>
                <w:kern w:val="0"/>
              </w:rPr>
              <w:t>，具体值在招标文件中明确</w:t>
            </w:r>
            <w:r>
              <w:rPr>
                <w:rFonts w:ascii="宋体" w:hAnsi="宋体"/>
                <w:kern w:val="0"/>
                <w:szCs w:val="21"/>
              </w:rPr>
              <w:t>）</w:t>
            </w:r>
          </w:p>
          <w:p>
            <w:pPr>
              <w:snapToGrid w:val="0"/>
              <w:spacing w:line="400" w:lineRule="exact"/>
              <w:ind w:firstLine="420" w:firstLineChars="200"/>
              <w:rPr>
                <w:rFonts w:ascii="宋体" w:hAnsi="宋体"/>
                <w:kern w:val="0"/>
                <w:szCs w:val="21"/>
              </w:rPr>
            </w:pPr>
            <w:r>
              <w:rPr>
                <w:rFonts w:hint="eastAsia" w:ascii="宋体" w:hAnsi="宋体"/>
                <w:kern w:val="0"/>
                <w:szCs w:val="21"/>
              </w:rPr>
              <w:t>评标基准价计算的最终</w:t>
            </w:r>
            <w:r>
              <w:rPr>
                <w:rFonts w:ascii="宋体" w:hAnsi="宋体"/>
                <w:kern w:val="0"/>
                <w:szCs w:val="21"/>
              </w:rPr>
              <w:t>结果取小数点后两位，第三位四舍五入。</w:t>
            </w:r>
          </w:p>
          <w:p>
            <w:pPr>
              <w:snapToGrid w:val="0"/>
              <w:spacing w:line="400" w:lineRule="exact"/>
              <w:ind w:firstLine="420" w:firstLineChars="200"/>
              <w:rPr>
                <w:rFonts w:ascii="宋体" w:hAnsi="宋体"/>
                <w:kern w:val="0"/>
              </w:rPr>
            </w:pPr>
            <w:r>
              <w:rPr>
                <w:rFonts w:ascii="宋体" w:hAnsi="宋体"/>
                <w:kern w:val="0"/>
                <w:szCs w:val="21"/>
              </w:rPr>
              <w:t>在评标基准价计算完成后（除计算错误外），在后续的评审中不得再对其做出调整。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22" w:type="dxa"/>
            <w:gridSpan w:val="3"/>
            <w:vMerge w:val="restart"/>
            <w:vAlign w:val="center"/>
          </w:tcPr>
          <w:p>
            <w:pPr>
              <w:spacing w:line="400" w:lineRule="exact"/>
              <w:jc w:val="center"/>
              <w:rPr>
                <w:rFonts w:ascii="宋体" w:hAnsi="宋体"/>
                <w:kern w:val="0"/>
              </w:rPr>
            </w:pPr>
            <w:r>
              <w:rPr>
                <w:rFonts w:ascii="宋体" w:hAnsi="宋体"/>
                <w:kern w:val="0"/>
              </w:rPr>
              <w:t>2.2.</w:t>
            </w:r>
            <w:r>
              <w:rPr>
                <w:rFonts w:hint="eastAsia" w:ascii="宋体" w:hAnsi="宋体"/>
                <w:kern w:val="0"/>
              </w:rPr>
              <w:t>4</w:t>
            </w:r>
          </w:p>
          <w:p>
            <w:pPr>
              <w:spacing w:line="400" w:lineRule="exact"/>
              <w:jc w:val="center"/>
              <w:rPr>
                <w:rFonts w:ascii="宋体" w:hAnsi="宋体"/>
                <w:kern w:val="0"/>
              </w:rPr>
            </w:pPr>
            <w:r>
              <w:rPr>
                <w:rFonts w:hint="eastAsia" w:ascii="宋体" w:hAnsi="宋体"/>
                <w:kern w:val="0"/>
              </w:rPr>
              <w:t>（1）</w:t>
            </w:r>
          </w:p>
        </w:tc>
        <w:tc>
          <w:tcPr>
            <w:tcW w:w="2560" w:type="dxa"/>
            <w:gridSpan w:val="3"/>
            <w:vMerge w:val="restart"/>
            <w:vAlign w:val="center"/>
          </w:tcPr>
          <w:p>
            <w:pPr>
              <w:spacing w:line="400" w:lineRule="exact"/>
              <w:jc w:val="center"/>
              <w:rPr>
                <w:rFonts w:ascii="宋体" w:hAnsi="宋体"/>
                <w:kern w:val="0"/>
              </w:rPr>
            </w:pPr>
            <w:r>
              <w:rPr>
                <w:rFonts w:hint="eastAsia" w:ascii="宋体" w:hAnsi="宋体"/>
                <w:kern w:val="0"/>
              </w:rPr>
              <w:t>允许偏差率</w:t>
            </w:r>
          </w:p>
        </w:tc>
        <w:tc>
          <w:tcPr>
            <w:tcW w:w="5493" w:type="dxa"/>
            <w:vAlign w:val="center"/>
          </w:tcPr>
          <w:p>
            <w:pPr>
              <w:spacing w:line="400" w:lineRule="exact"/>
              <w:ind w:firstLine="420" w:firstLineChars="200"/>
              <w:jc w:val="left"/>
              <w:rPr>
                <w:rFonts w:ascii="宋体" w:hAnsi="宋体"/>
                <w:kern w:val="0"/>
              </w:rPr>
            </w:pPr>
            <w:r>
              <w:rPr>
                <w:rFonts w:ascii="宋体" w:hAnsi="宋体"/>
                <w:kern w:val="0"/>
              </w:rPr>
              <w:t>投标总报价的偏差率计算公式</w:t>
            </w:r>
          </w:p>
          <w:p>
            <w:pPr>
              <w:spacing w:line="400" w:lineRule="exact"/>
              <w:ind w:firstLine="420" w:firstLineChars="200"/>
              <w:jc w:val="left"/>
              <w:rPr>
                <w:rFonts w:ascii="宋体" w:hAnsi="宋体"/>
                <w:kern w:val="0"/>
              </w:rPr>
            </w:pPr>
            <w:r>
              <w:rPr>
                <w:rFonts w:ascii="宋体" w:hAnsi="宋体"/>
                <w:kern w:val="0"/>
              </w:rPr>
              <w:t>偏差率</w:t>
            </w:r>
            <w:r>
              <w:rPr>
                <w:rFonts w:ascii="宋体" w:hAnsi="宋体"/>
                <w:kern w:val="0"/>
                <w:sz w:val="28"/>
                <w:szCs w:val="28"/>
              </w:rPr>
              <w:t>=</w:t>
            </w:r>
            <w:r>
              <w:rPr>
                <w:rFonts w:ascii="宋体" w:hAnsi="宋体"/>
                <w:kern w:val="0"/>
              </w:rPr>
              <w:t>100％×（投标人报价一评标基准价）／评标基准价</w:t>
            </w:r>
          </w:p>
          <w:p>
            <w:pPr>
              <w:spacing w:line="400" w:lineRule="exact"/>
              <w:ind w:firstLine="200"/>
              <w:rPr>
                <w:rFonts w:ascii="宋体" w:hAnsi="宋体"/>
                <w:kern w:val="0"/>
              </w:rPr>
            </w:pPr>
            <w:r>
              <w:rPr>
                <w:rFonts w:ascii="宋体" w:hAnsi="宋体"/>
                <w:kern w:val="0"/>
              </w:rPr>
              <w:t xml:space="preserve">  偏差率</w:t>
            </w:r>
            <w:r>
              <w:rPr>
                <w:rFonts w:ascii="宋体" w:hAnsi="宋体"/>
                <w:kern w:val="0"/>
                <w:szCs w:val="21"/>
              </w:rPr>
              <w:t>计算的最终结果</w:t>
            </w:r>
            <w:r>
              <w:rPr>
                <w:rFonts w:hint="eastAsia" w:ascii="宋体" w:hAnsi="宋体"/>
                <w:kern w:val="0"/>
                <w:szCs w:val="21"/>
              </w:rPr>
              <w:t>取</w:t>
            </w:r>
            <w:r>
              <w:rPr>
                <w:rFonts w:ascii="宋体" w:hAnsi="宋体"/>
                <w:kern w:val="0"/>
                <w:szCs w:val="21"/>
              </w:rPr>
              <w:t>小数点后两位，小数点后第三位“四舍五入”。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22" w:type="dxa"/>
            <w:gridSpan w:val="3"/>
            <w:vMerge w:val="continue"/>
            <w:vAlign w:val="center"/>
          </w:tcPr>
          <w:p>
            <w:pPr>
              <w:spacing w:line="400" w:lineRule="exact"/>
              <w:jc w:val="center"/>
              <w:rPr>
                <w:rFonts w:ascii="宋体" w:hAnsi="宋体"/>
                <w:kern w:val="0"/>
              </w:rPr>
            </w:pPr>
          </w:p>
        </w:tc>
        <w:tc>
          <w:tcPr>
            <w:tcW w:w="2560" w:type="dxa"/>
            <w:gridSpan w:val="3"/>
            <w:vMerge w:val="continue"/>
            <w:vAlign w:val="center"/>
          </w:tcPr>
          <w:p>
            <w:pPr>
              <w:spacing w:line="400" w:lineRule="exact"/>
              <w:jc w:val="center"/>
              <w:rPr>
                <w:rFonts w:ascii="宋体" w:hAnsi="宋体"/>
                <w:kern w:val="0"/>
              </w:rPr>
            </w:pPr>
          </w:p>
        </w:tc>
        <w:tc>
          <w:tcPr>
            <w:tcW w:w="5493" w:type="dxa"/>
            <w:vAlign w:val="center"/>
          </w:tcPr>
          <w:p>
            <w:pPr>
              <w:snapToGrid w:val="0"/>
              <w:spacing w:line="400" w:lineRule="exact"/>
              <w:ind w:firstLine="420" w:firstLineChars="200"/>
              <w:jc w:val="left"/>
              <w:rPr>
                <w:rFonts w:ascii="宋体" w:hAnsi="宋体"/>
                <w:szCs w:val="28"/>
              </w:rPr>
            </w:pPr>
            <w:r>
              <w:rPr>
                <w:rFonts w:hint="eastAsia" w:ascii="宋体" w:hAnsi="宋体"/>
                <w:szCs w:val="28"/>
              </w:rPr>
              <w:t>本项目</w:t>
            </w:r>
            <w:r>
              <w:rPr>
                <w:rFonts w:ascii="宋体" w:hAnsi="宋体"/>
                <w:szCs w:val="28"/>
              </w:rPr>
              <w:t>投标总报价</w:t>
            </w:r>
            <w:r>
              <w:rPr>
                <w:rFonts w:hint="eastAsia" w:ascii="宋体" w:hAnsi="宋体"/>
                <w:szCs w:val="28"/>
              </w:rPr>
              <w:t>允许偏差范围</w:t>
            </w:r>
            <w:r>
              <w:rPr>
                <w:rFonts w:ascii="宋体" w:hAnsi="宋体"/>
                <w:szCs w:val="28"/>
              </w:rPr>
              <w:t>为：</w:t>
            </w:r>
          </w:p>
          <w:p>
            <w:pPr>
              <w:snapToGrid w:val="0"/>
              <w:spacing w:line="400" w:lineRule="exact"/>
              <w:ind w:firstLine="420" w:firstLineChars="200"/>
              <w:jc w:val="left"/>
              <w:rPr>
                <w:rFonts w:ascii="宋体" w:hAnsi="宋体"/>
                <w:szCs w:val="28"/>
              </w:rPr>
            </w:pPr>
            <w:r>
              <w:rPr>
                <w:rFonts w:hint="eastAsia" w:ascii="宋体" w:hAnsi="宋体"/>
                <w:szCs w:val="28"/>
              </w:rPr>
              <w:t>□</w:t>
            </w:r>
            <w:r>
              <w:rPr>
                <w:rFonts w:ascii="宋体" w:hAnsi="宋体"/>
                <w:szCs w:val="28"/>
                <w:u w:val="single"/>
              </w:rPr>
              <w:t>　    　</w:t>
            </w:r>
            <w:r>
              <w:rPr>
                <w:rFonts w:ascii="宋体" w:hAnsi="宋体"/>
                <w:szCs w:val="28"/>
              </w:rPr>
              <w:t>% 至</w:t>
            </w:r>
            <w:r>
              <w:rPr>
                <w:rFonts w:ascii="宋体" w:hAnsi="宋体"/>
                <w:szCs w:val="28"/>
                <w:u w:val="single"/>
              </w:rPr>
              <w:t>　    　</w:t>
            </w:r>
            <w:r>
              <w:rPr>
                <w:rFonts w:ascii="宋体" w:hAnsi="宋体"/>
                <w:szCs w:val="28"/>
              </w:rPr>
              <w:t>%</w:t>
            </w:r>
            <w:r>
              <w:rPr>
                <w:rFonts w:hint="eastAsia" w:ascii="宋体" w:hAnsi="宋体"/>
                <w:szCs w:val="28"/>
              </w:rPr>
              <w:t>；</w:t>
            </w:r>
          </w:p>
          <w:p>
            <w:pPr>
              <w:snapToGrid w:val="0"/>
              <w:spacing w:line="400" w:lineRule="exact"/>
              <w:ind w:firstLine="420" w:firstLineChars="200"/>
              <w:jc w:val="left"/>
              <w:rPr>
                <w:rFonts w:ascii="宋体" w:hAnsi="宋体"/>
                <w:szCs w:val="28"/>
              </w:rPr>
            </w:pPr>
            <w:r>
              <w:rPr>
                <w:rFonts w:hint="eastAsia" w:ascii="宋体" w:hAnsi="宋体"/>
                <w:szCs w:val="28"/>
              </w:rPr>
              <w:t>□不设偏差范围。</w:t>
            </w:r>
          </w:p>
          <w:p>
            <w:pPr>
              <w:spacing w:line="400" w:lineRule="exact"/>
              <w:ind w:firstLine="420" w:firstLineChars="200"/>
              <w:jc w:val="left"/>
              <w:rPr>
                <w:rFonts w:ascii="宋体" w:hAnsi="宋体"/>
                <w:i/>
                <w:kern w:val="0"/>
              </w:rPr>
            </w:pPr>
            <w:r>
              <w:rPr>
                <w:rFonts w:ascii="宋体" w:hAnsi="宋体"/>
                <w:i/>
                <w:szCs w:val="28"/>
              </w:rPr>
              <w:t>[提示：填入本工程具体允许偏差范围</w:t>
            </w:r>
            <w:r>
              <w:rPr>
                <w:rFonts w:hint="eastAsia" w:ascii="宋体" w:hAnsi="宋体"/>
                <w:i/>
                <w:szCs w:val="28"/>
              </w:rPr>
              <w:t>，招标人可以不设偏差范围。采用本章第3.2.1（2）目选项三的不设置允许偏差范围。</w:t>
            </w:r>
            <w:r>
              <w:rPr>
                <w:rFonts w:ascii="宋体" w:hAnsi="宋体"/>
                <w:i/>
                <w:szCs w:val="28"/>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422" w:type="dxa"/>
            <w:gridSpan w:val="3"/>
            <w:vAlign w:val="center"/>
          </w:tcPr>
          <w:p>
            <w:pPr>
              <w:spacing w:line="400" w:lineRule="exact"/>
              <w:jc w:val="center"/>
              <w:rPr>
                <w:rFonts w:ascii="宋体" w:hAnsi="宋体"/>
                <w:kern w:val="0"/>
              </w:rPr>
            </w:pPr>
            <w:r>
              <w:rPr>
                <w:rFonts w:ascii="宋体" w:hAnsi="宋体"/>
                <w:kern w:val="0"/>
              </w:rPr>
              <w:t>2.2.</w:t>
            </w:r>
            <w:r>
              <w:rPr>
                <w:rFonts w:hint="eastAsia" w:ascii="宋体" w:hAnsi="宋体"/>
                <w:kern w:val="0"/>
              </w:rPr>
              <w:t>4</w:t>
            </w:r>
          </w:p>
          <w:p>
            <w:pPr>
              <w:spacing w:line="400" w:lineRule="exact"/>
              <w:jc w:val="center"/>
              <w:rPr>
                <w:rFonts w:ascii="宋体" w:hAnsi="宋体"/>
                <w:kern w:val="0"/>
              </w:rPr>
            </w:pPr>
            <w:r>
              <w:rPr>
                <w:rFonts w:hint="eastAsia" w:ascii="宋体" w:hAnsi="宋体"/>
                <w:kern w:val="0"/>
              </w:rPr>
              <w:t>（2）</w:t>
            </w:r>
          </w:p>
        </w:tc>
        <w:tc>
          <w:tcPr>
            <w:tcW w:w="2560" w:type="dxa"/>
            <w:gridSpan w:val="3"/>
            <w:vAlign w:val="center"/>
          </w:tcPr>
          <w:p>
            <w:pPr>
              <w:spacing w:line="400" w:lineRule="exact"/>
              <w:jc w:val="center"/>
              <w:rPr>
                <w:rFonts w:ascii="宋体" w:hAnsi="宋体"/>
                <w:kern w:val="0"/>
              </w:rPr>
            </w:pPr>
            <w:r>
              <w:rPr>
                <w:rFonts w:ascii="宋体" w:hAnsi="宋体"/>
                <w:kern w:val="0"/>
              </w:rPr>
              <w:t>投标</w:t>
            </w:r>
            <w:r>
              <w:rPr>
                <w:rFonts w:hint="eastAsia" w:ascii="宋体" w:hAnsi="宋体"/>
                <w:kern w:val="0"/>
              </w:rPr>
              <w:t>总</w:t>
            </w:r>
            <w:r>
              <w:rPr>
                <w:rFonts w:ascii="宋体" w:hAnsi="宋体"/>
                <w:kern w:val="0"/>
              </w:rPr>
              <w:t>报价的允许偏差范围</w:t>
            </w:r>
          </w:p>
        </w:tc>
        <w:tc>
          <w:tcPr>
            <w:tcW w:w="5493" w:type="dxa"/>
            <w:vAlign w:val="center"/>
          </w:tcPr>
          <w:p>
            <w:pPr>
              <w:spacing w:line="400" w:lineRule="exact"/>
              <w:ind w:firstLine="420" w:firstLineChars="200"/>
              <w:rPr>
                <w:rFonts w:ascii="宋体" w:hAnsi="宋体"/>
                <w:kern w:val="0"/>
              </w:rPr>
            </w:pPr>
            <w:r>
              <w:rPr>
                <w:rFonts w:hint="eastAsia" w:ascii="宋体" w:hAnsi="宋体"/>
                <w:kern w:val="0"/>
              </w:rPr>
              <w:t>允许偏差范围：</w:t>
            </w:r>
          </w:p>
          <w:p>
            <w:pPr>
              <w:tabs>
                <w:tab w:val="left" w:pos="718"/>
              </w:tabs>
              <w:spacing w:line="400" w:lineRule="exact"/>
              <w:ind w:firstLine="420" w:firstLineChars="200"/>
              <w:rPr>
                <w:rFonts w:ascii="宋体" w:hAnsi="宋体"/>
                <w:kern w:val="0"/>
              </w:rPr>
            </w:pPr>
            <w:r>
              <w:rPr>
                <w:rFonts w:ascii="宋体" w:hAnsi="宋体"/>
                <w:kern w:val="0"/>
              </w:rPr>
              <w:t>1.</w:t>
            </w:r>
            <w:r>
              <w:rPr>
                <w:rFonts w:hint="eastAsia" w:ascii="宋体" w:hAnsi="宋体"/>
                <w:kern w:val="0"/>
              </w:rPr>
              <w:t xml:space="preserve"> </w:t>
            </w:r>
            <w:r>
              <w:rPr>
                <w:rFonts w:ascii="宋体" w:hAnsi="宋体"/>
                <w:kern w:val="0"/>
              </w:rPr>
              <w:t>房屋建筑工程：－10%～－5%至＋3%；</w:t>
            </w:r>
          </w:p>
          <w:p>
            <w:pPr>
              <w:tabs>
                <w:tab w:val="left" w:pos="718"/>
              </w:tabs>
              <w:spacing w:line="400" w:lineRule="exact"/>
              <w:ind w:firstLine="420" w:firstLineChars="200"/>
              <w:rPr>
                <w:rFonts w:ascii="宋体" w:hAnsi="宋体"/>
                <w:kern w:val="0"/>
              </w:rPr>
            </w:pPr>
            <w:r>
              <w:rPr>
                <w:rFonts w:hint="eastAsia" w:ascii="宋体" w:hAnsi="宋体"/>
                <w:kern w:val="0"/>
              </w:rPr>
              <w:t>2</w:t>
            </w:r>
            <w:r>
              <w:rPr>
                <w:rFonts w:ascii="宋体" w:hAnsi="宋体"/>
                <w:kern w:val="0"/>
              </w:rPr>
              <w:t>.</w:t>
            </w:r>
            <w:r>
              <w:rPr>
                <w:rFonts w:hint="eastAsia" w:ascii="宋体" w:hAnsi="宋体"/>
                <w:kern w:val="0"/>
              </w:rPr>
              <w:t xml:space="preserve"> </w:t>
            </w:r>
            <w:r>
              <w:rPr>
                <w:rFonts w:ascii="宋体" w:hAnsi="宋体"/>
                <w:kern w:val="0"/>
              </w:rPr>
              <w:t>装饰装修工程、土石方及构筑物工程、市政基础设施工程：－15%～－10%至＋3%；</w:t>
            </w:r>
          </w:p>
          <w:p>
            <w:pPr>
              <w:spacing w:line="400" w:lineRule="exact"/>
              <w:ind w:firstLine="420" w:firstLineChars="200"/>
              <w:rPr>
                <w:rFonts w:ascii="宋体" w:hAnsi="宋体"/>
                <w:kern w:val="0"/>
              </w:rPr>
            </w:pPr>
            <w:r>
              <w:rPr>
                <w:rFonts w:hint="eastAsia" w:ascii="宋体" w:hAnsi="宋体"/>
                <w:kern w:val="0"/>
              </w:rPr>
              <w:t>3</w:t>
            </w:r>
            <w:r>
              <w:rPr>
                <w:rFonts w:ascii="宋体" w:hAnsi="宋体"/>
                <w:kern w:val="0"/>
              </w:rPr>
              <w:t>.</w:t>
            </w:r>
            <w:r>
              <w:rPr>
                <w:rFonts w:hint="eastAsia" w:ascii="宋体" w:hAnsi="宋体"/>
                <w:kern w:val="0"/>
              </w:rPr>
              <w:t xml:space="preserve"> </w:t>
            </w:r>
            <w:r>
              <w:rPr>
                <w:rFonts w:ascii="宋体" w:hAnsi="宋体"/>
                <w:kern w:val="0"/>
              </w:rPr>
              <w:t>设备安装工程：－15%～－7%至＋3%；</w:t>
            </w:r>
          </w:p>
          <w:p>
            <w:pPr>
              <w:spacing w:line="400" w:lineRule="exact"/>
              <w:ind w:firstLine="420" w:firstLineChars="200"/>
              <w:rPr>
                <w:rFonts w:ascii="宋体" w:hAnsi="宋体"/>
                <w:i/>
                <w:kern w:val="0"/>
              </w:rPr>
            </w:pPr>
            <w:r>
              <w:rPr>
                <w:rFonts w:ascii="宋体" w:hAnsi="宋体"/>
                <w:i/>
                <w:kern w:val="0"/>
              </w:rPr>
              <w:t>[提示：招标人在编制招标文件时，可在</w:t>
            </w:r>
            <w:r>
              <w:rPr>
                <w:rFonts w:hint="eastAsia" w:ascii="宋体" w:hAnsi="宋体"/>
                <w:i/>
                <w:kern w:val="0"/>
              </w:rPr>
              <w:t>上述</w:t>
            </w:r>
            <w:r>
              <w:rPr>
                <w:rFonts w:ascii="宋体" w:hAnsi="宋体"/>
                <w:i/>
                <w:kern w:val="0"/>
              </w:rPr>
              <w:t>范围内自行确定具体上下限值]</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5" w:type="dxa"/>
            <w:vAlign w:val="center"/>
          </w:tcPr>
          <w:p>
            <w:pPr>
              <w:spacing w:line="400" w:lineRule="exact"/>
              <w:jc w:val="center"/>
              <w:rPr>
                <w:rFonts w:ascii="宋体" w:hAnsi="宋体"/>
                <w:kern w:val="0"/>
              </w:rPr>
            </w:pPr>
            <w:r>
              <w:rPr>
                <w:rFonts w:ascii="宋体" w:hAnsi="宋体"/>
              </w:rPr>
              <w:t>3</w:t>
            </w:r>
          </w:p>
        </w:tc>
        <w:tc>
          <w:tcPr>
            <w:tcW w:w="1417" w:type="dxa"/>
            <w:gridSpan w:val="3"/>
            <w:vAlign w:val="center"/>
          </w:tcPr>
          <w:p>
            <w:pPr>
              <w:spacing w:line="400" w:lineRule="exact"/>
              <w:jc w:val="center"/>
              <w:rPr>
                <w:rFonts w:ascii="宋体" w:hAnsi="宋体"/>
                <w:kern w:val="0"/>
              </w:rPr>
            </w:pPr>
            <w:r>
              <w:rPr>
                <w:rFonts w:ascii="宋体" w:hAnsi="宋体"/>
              </w:rPr>
              <w:t>评标程序</w:t>
            </w:r>
          </w:p>
        </w:tc>
        <w:tc>
          <w:tcPr>
            <w:tcW w:w="7203" w:type="dxa"/>
            <w:gridSpan w:val="3"/>
          </w:tcPr>
          <w:p>
            <w:pPr>
              <w:spacing w:line="400" w:lineRule="exact"/>
              <w:ind w:firstLine="420" w:firstLineChars="200"/>
              <w:rPr>
                <w:rFonts w:ascii="宋体" w:hAnsi="宋体"/>
                <w:szCs w:val="21"/>
              </w:rPr>
            </w:pPr>
            <w:r>
              <w:rPr>
                <w:rFonts w:hint="eastAsia" w:ascii="宋体" w:hAnsi="宋体"/>
                <w:szCs w:val="21"/>
              </w:rPr>
              <w:t>1.按本章评标办法第3.1款进行初步评审。未通过初步评审或评标委员会认定为无效的投标文件的不再进行后续评审。</w:t>
            </w:r>
          </w:p>
          <w:p>
            <w:pPr>
              <w:spacing w:line="400" w:lineRule="exact"/>
              <w:ind w:firstLine="420" w:firstLineChars="200"/>
              <w:rPr>
                <w:rFonts w:ascii="宋体" w:hAnsi="宋体"/>
                <w:szCs w:val="21"/>
              </w:rPr>
            </w:pPr>
            <w:r>
              <w:rPr>
                <w:rFonts w:hint="eastAsia" w:ascii="宋体" w:hAnsi="宋体"/>
                <w:szCs w:val="21"/>
              </w:rPr>
              <w:t>2.按本章评标办法前附表第2.2.2（1）目及第3.2.1（1）目的规定对技术部分进行评审。</w:t>
            </w:r>
          </w:p>
          <w:p>
            <w:pPr>
              <w:spacing w:line="400" w:lineRule="exact"/>
              <w:ind w:firstLine="420" w:firstLineChars="200"/>
              <w:rPr>
                <w:rFonts w:hint="eastAsia" w:ascii="宋体" w:hAnsi="宋体"/>
                <w:szCs w:val="21"/>
              </w:rPr>
            </w:pPr>
            <w:r>
              <w:rPr>
                <w:rFonts w:hint="eastAsia" w:ascii="宋体" w:hAnsi="宋体"/>
                <w:szCs w:val="21"/>
                <w:lang w:val="en-US" w:eastAsia="zh-CN"/>
              </w:rPr>
              <w:t>3</w:t>
            </w:r>
            <w:r>
              <w:rPr>
                <w:rFonts w:hint="eastAsia" w:ascii="宋体" w:hAnsi="宋体"/>
                <w:szCs w:val="21"/>
              </w:rPr>
              <w:t>.按本章评标办法前附表第2.2.2（</w:t>
            </w:r>
            <w:r>
              <w:rPr>
                <w:rFonts w:hint="eastAsia" w:ascii="宋体" w:hAnsi="宋体"/>
                <w:szCs w:val="21"/>
                <w:lang w:val="en-US" w:eastAsia="zh-CN"/>
              </w:rPr>
              <w:t>2</w:t>
            </w:r>
            <w:r>
              <w:rPr>
                <w:rFonts w:hint="eastAsia" w:ascii="宋体" w:hAnsi="宋体"/>
                <w:szCs w:val="21"/>
              </w:rPr>
              <w:t>）目及第3.2.1（</w:t>
            </w:r>
            <w:r>
              <w:rPr>
                <w:rFonts w:hint="eastAsia" w:ascii="宋体" w:hAnsi="宋体"/>
                <w:szCs w:val="21"/>
                <w:lang w:val="en-US" w:eastAsia="zh-CN"/>
              </w:rPr>
              <w:t>2</w:t>
            </w:r>
            <w:r>
              <w:rPr>
                <w:rFonts w:hint="eastAsia" w:ascii="宋体" w:hAnsi="宋体"/>
                <w:szCs w:val="21"/>
              </w:rPr>
              <w:t>）目的规定对</w:t>
            </w:r>
            <w:r>
              <w:rPr>
                <w:rFonts w:hint="eastAsia" w:ascii="宋体" w:hAnsi="宋体"/>
                <w:szCs w:val="21"/>
                <w:lang w:val="en-US" w:eastAsia="zh-CN"/>
              </w:rPr>
              <w:t>商务</w:t>
            </w:r>
            <w:r>
              <w:rPr>
                <w:rFonts w:hint="eastAsia" w:ascii="宋体" w:hAnsi="宋体"/>
                <w:szCs w:val="21"/>
              </w:rPr>
              <w:t>部分进行评审。</w:t>
            </w:r>
          </w:p>
          <w:p>
            <w:pPr>
              <w:spacing w:line="400" w:lineRule="exact"/>
              <w:ind w:firstLine="420" w:firstLineChars="200"/>
              <w:rPr>
                <w:rFonts w:ascii="宋体" w:hAnsi="宋体"/>
                <w:szCs w:val="21"/>
              </w:rPr>
            </w:pPr>
            <w:r>
              <w:rPr>
                <w:rFonts w:hint="eastAsia" w:ascii="宋体" w:hAnsi="宋体"/>
                <w:szCs w:val="21"/>
                <w:lang w:val="en-US" w:eastAsia="zh-CN"/>
              </w:rPr>
              <w:t>4</w:t>
            </w:r>
            <w:r>
              <w:rPr>
                <w:rFonts w:hint="eastAsia" w:ascii="宋体" w:hAnsi="宋体"/>
                <w:szCs w:val="21"/>
              </w:rPr>
              <w:t>.按本章评标办法前附表第2.2.2（</w:t>
            </w:r>
            <w:r>
              <w:rPr>
                <w:rFonts w:hint="eastAsia" w:ascii="宋体" w:hAnsi="宋体"/>
                <w:szCs w:val="21"/>
                <w:lang w:val="en-US" w:eastAsia="zh-CN"/>
              </w:rPr>
              <w:t>3</w:t>
            </w:r>
            <w:r>
              <w:rPr>
                <w:rFonts w:hint="eastAsia" w:ascii="宋体" w:hAnsi="宋体"/>
                <w:szCs w:val="21"/>
              </w:rPr>
              <w:t>）目的规定对</w:t>
            </w:r>
            <w:r>
              <w:rPr>
                <w:rFonts w:hint="eastAsia" w:ascii="宋体" w:hAnsi="宋体"/>
                <w:szCs w:val="21"/>
                <w:lang w:eastAsia="zh-CN"/>
              </w:rPr>
              <w:t>投标函部分及报价部分</w:t>
            </w:r>
            <w:r>
              <w:rPr>
                <w:rFonts w:hint="eastAsia" w:ascii="宋体" w:hAnsi="宋体"/>
                <w:szCs w:val="21"/>
              </w:rPr>
              <w:t>部分进行评审，经评审不合格的投标文件不再参与后续评审。</w:t>
            </w:r>
          </w:p>
          <w:p>
            <w:pPr>
              <w:spacing w:line="400" w:lineRule="exact"/>
              <w:ind w:firstLine="420" w:firstLineChars="200"/>
              <w:rPr>
                <w:rFonts w:ascii="宋体" w:hAnsi="宋体"/>
                <w:szCs w:val="21"/>
              </w:rPr>
            </w:pPr>
            <w:r>
              <w:rPr>
                <w:rFonts w:hint="eastAsia" w:ascii="宋体" w:hAnsi="宋体"/>
                <w:szCs w:val="21"/>
                <w:lang w:val="en-US" w:eastAsia="zh-CN"/>
              </w:rPr>
              <w:t>5</w:t>
            </w:r>
            <w:r>
              <w:rPr>
                <w:rFonts w:hint="eastAsia" w:ascii="宋体" w:hAnsi="宋体"/>
                <w:szCs w:val="21"/>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szCs w:val="21"/>
              </w:rPr>
              <w:t>经济、技术等指标仍然具有市场竞争力，能够满足招标文件要求的，评标委员会可以继续评标并确定中标候选人。</w:t>
            </w:r>
          </w:p>
          <w:p>
            <w:pPr>
              <w:spacing w:line="400" w:lineRule="exact"/>
              <w:ind w:firstLine="420" w:firstLineChars="200"/>
              <w:rPr>
                <w:rFonts w:ascii="宋体" w:hAnsi="宋体"/>
                <w:szCs w:val="21"/>
              </w:rPr>
            </w:pPr>
            <w:r>
              <w:rPr>
                <w:rFonts w:hint="eastAsia" w:ascii="宋体" w:hAnsi="宋体"/>
                <w:szCs w:val="21"/>
                <w:lang w:val="en-US" w:eastAsia="zh-CN"/>
              </w:rPr>
              <w:t>6</w:t>
            </w:r>
            <w:r>
              <w:rPr>
                <w:rFonts w:hint="eastAsia" w:ascii="宋体" w:hAnsi="宋体"/>
                <w:szCs w:val="21"/>
              </w:rPr>
              <w:t>.经评审合格的投标人按照本章第2.2.3项计算方法计算评标基准价，并按本附表第3.2.1（</w:t>
            </w:r>
            <w:r>
              <w:rPr>
                <w:rFonts w:hint="eastAsia" w:ascii="宋体" w:hAnsi="宋体"/>
                <w:szCs w:val="21"/>
                <w:lang w:val="en-US" w:eastAsia="zh-CN"/>
              </w:rPr>
              <w:t>3</w:t>
            </w:r>
            <w:r>
              <w:rPr>
                <w:rFonts w:hint="eastAsia" w:ascii="宋体" w:hAnsi="宋体"/>
                <w:szCs w:val="21"/>
              </w:rPr>
              <w:t>）目规定的评分方法对投标总报价进行评分。</w:t>
            </w:r>
          </w:p>
          <w:p>
            <w:pPr>
              <w:spacing w:line="400" w:lineRule="exact"/>
              <w:ind w:firstLine="420" w:firstLineChars="200"/>
              <w:rPr>
                <w:rFonts w:ascii="宋体" w:hAnsi="宋体"/>
                <w:szCs w:val="21"/>
              </w:rPr>
            </w:pPr>
            <w:r>
              <w:rPr>
                <w:rFonts w:hint="eastAsia" w:ascii="宋体" w:hAnsi="宋体"/>
                <w:szCs w:val="21"/>
                <w:lang w:val="en-US" w:eastAsia="zh-CN"/>
              </w:rPr>
              <w:t>7</w:t>
            </w:r>
            <w:r>
              <w:rPr>
                <w:rFonts w:hint="eastAsia" w:ascii="宋体" w:hAnsi="宋体"/>
                <w:szCs w:val="21"/>
              </w:rPr>
              <w:t>.对技术部分、</w:t>
            </w:r>
            <w:r>
              <w:rPr>
                <w:rFonts w:hint="eastAsia" w:ascii="宋体" w:hAnsi="宋体"/>
                <w:szCs w:val="21"/>
                <w:lang w:val="en-US" w:eastAsia="zh-CN"/>
              </w:rPr>
              <w:t>商务部分、</w:t>
            </w:r>
            <w:r>
              <w:rPr>
                <w:rFonts w:hint="eastAsia" w:ascii="宋体" w:hAnsi="宋体"/>
                <w:szCs w:val="21"/>
              </w:rPr>
              <w:t>投标总报价得分进行汇总，确定得分由高至低前三名投标人为中标候选人。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5" w:type="dxa"/>
            <w:vMerge w:val="restart"/>
            <w:vAlign w:val="center"/>
          </w:tcPr>
          <w:p>
            <w:pPr>
              <w:spacing w:line="400" w:lineRule="exact"/>
              <w:jc w:val="center"/>
              <w:rPr>
                <w:rFonts w:ascii="宋体" w:hAnsi="宋体"/>
              </w:rPr>
            </w:pPr>
            <w:r>
              <w:rPr>
                <w:rFonts w:ascii="宋体" w:hAnsi="宋体"/>
              </w:rPr>
              <w:t>3.2.1</w:t>
            </w:r>
          </w:p>
          <w:p>
            <w:pPr>
              <w:spacing w:line="400" w:lineRule="exact"/>
              <w:jc w:val="center"/>
              <w:rPr>
                <w:rFonts w:ascii="宋体" w:hAnsi="宋体"/>
              </w:rPr>
            </w:pPr>
            <w:r>
              <w:rPr>
                <w:rFonts w:ascii="宋体" w:hAnsi="宋体"/>
              </w:rPr>
              <w:t>（</w:t>
            </w:r>
            <w:r>
              <w:rPr>
                <w:rFonts w:hint="eastAsia" w:ascii="宋体" w:hAnsi="宋体"/>
              </w:rPr>
              <w:t>1</w:t>
            </w:r>
            <w:r>
              <w:rPr>
                <w:rFonts w:ascii="宋体" w:hAnsi="宋体"/>
              </w:rPr>
              <w:t>）</w:t>
            </w:r>
          </w:p>
        </w:tc>
        <w:tc>
          <w:tcPr>
            <w:tcW w:w="1417" w:type="dxa"/>
            <w:gridSpan w:val="3"/>
            <w:vMerge w:val="restart"/>
            <w:vAlign w:val="center"/>
          </w:tcPr>
          <w:p>
            <w:pPr>
              <w:spacing w:line="400" w:lineRule="exact"/>
              <w:jc w:val="center"/>
              <w:rPr>
                <w:rFonts w:ascii="宋体" w:hAnsi="宋体"/>
              </w:rPr>
            </w:pPr>
            <w:r>
              <w:rPr>
                <w:rFonts w:hint="eastAsia" w:ascii="宋体" w:hAnsi="宋体"/>
              </w:rPr>
              <w:t>技术部分</w:t>
            </w:r>
            <w:r>
              <w:rPr>
                <w:rFonts w:ascii="宋体" w:hAnsi="宋体"/>
                <w:kern w:val="0"/>
              </w:rPr>
              <w:t>得分</w:t>
            </w:r>
            <w:r>
              <w:rPr>
                <w:rFonts w:ascii="宋体" w:hAnsi="宋体"/>
                <w:spacing w:val="-4"/>
              </w:rPr>
              <w:t>（</w:t>
            </w:r>
            <w:r>
              <w:rPr>
                <w:rFonts w:hint="eastAsia" w:ascii="宋体" w:hAnsi="宋体"/>
                <w:spacing w:val="-4"/>
              </w:rPr>
              <w:t>A）</w:t>
            </w:r>
          </w:p>
        </w:tc>
        <w:tc>
          <w:tcPr>
            <w:tcW w:w="1710" w:type="dxa"/>
            <w:gridSpan w:val="2"/>
            <w:tcBorders>
              <w:bottom w:val="single" w:color="auto" w:sz="4" w:space="0"/>
            </w:tcBorders>
            <w:vAlign w:val="center"/>
          </w:tcPr>
          <w:p>
            <w:pPr>
              <w:spacing w:line="400" w:lineRule="exact"/>
              <w:jc w:val="left"/>
              <w:rPr>
                <w:rFonts w:ascii="宋体" w:hAnsi="宋体"/>
              </w:rPr>
            </w:pPr>
            <w:r>
              <w:rPr>
                <w:rFonts w:hint="eastAsia"/>
              </w:rPr>
              <w:t>□</w:t>
            </w:r>
            <w:r>
              <w:rPr>
                <w:rFonts w:hint="eastAsia" w:ascii="宋体" w:hAnsi="宋体" w:cs="宋体"/>
                <w:kern w:val="0"/>
              </w:rPr>
              <w:t>技术方案部分形式要求</w:t>
            </w:r>
          </w:p>
        </w:tc>
        <w:tc>
          <w:tcPr>
            <w:tcW w:w="5493" w:type="dxa"/>
            <w:tcBorders>
              <w:bottom w:val="single" w:color="auto" w:sz="4" w:space="0"/>
            </w:tcBorders>
            <w:vAlign w:val="center"/>
          </w:tcPr>
          <w:p>
            <w:pPr>
              <w:spacing w:line="400" w:lineRule="exact"/>
              <w:ind w:firstLine="420" w:firstLineChars="200"/>
              <w:rPr>
                <w:rFonts w:ascii="宋体" w:hAnsi="宋体"/>
                <w:kern w:val="0"/>
                <w:szCs w:val="21"/>
              </w:rPr>
            </w:pPr>
            <w:r>
              <w:rPr>
                <w:rFonts w:hint="eastAsia" w:ascii="宋体" w:hAnsi="宋体"/>
                <w:kern w:val="0"/>
              </w:rPr>
              <w:t>不符合</w:t>
            </w:r>
            <w:r>
              <w:rPr>
                <w:rFonts w:hint="eastAsia" w:ascii="宋体" w:hAnsi="宋体" w:cs="宋体"/>
                <w:kern w:val="0"/>
              </w:rPr>
              <w:t>第二章投标人须知前附表第3.7.5项（3）技术部分要求的</w:t>
            </w:r>
            <w:r>
              <w:rPr>
                <w:rFonts w:hint="eastAsia" w:ascii="宋体" w:hAnsi="宋体"/>
                <w:kern w:val="0"/>
              </w:rPr>
              <w:t>，技术方案得0分。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5" w:type="dxa"/>
            <w:vMerge w:val="continue"/>
            <w:vAlign w:val="center"/>
          </w:tcPr>
          <w:p>
            <w:pPr>
              <w:spacing w:line="400" w:lineRule="exact"/>
              <w:jc w:val="center"/>
              <w:rPr>
                <w:rFonts w:ascii="宋体" w:hAnsi="宋体"/>
              </w:rPr>
            </w:pPr>
          </w:p>
        </w:tc>
        <w:tc>
          <w:tcPr>
            <w:tcW w:w="1417" w:type="dxa"/>
            <w:gridSpan w:val="3"/>
            <w:vMerge w:val="continue"/>
            <w:vAlign w:val="center"/>
          </w:tcPr>
          <w:p>
            <w:pPr>
              <w:spacing w:line="400" w:lineRule="exact"/>
              <w:jc w:val="center"/>
              <w:rPr>
                <w:rFonts w:ascii="宋体" w:hAnsi="宋体"/>
              </w:rPr>
            </w:pPr>
          </w:p>
        </w:tc>
        <w:tc>
          <w:tcPr>
            <w:tcW w:w="1710" w:type="dxa"/>
            <w:gridSpan w:val="2"/>
            <w:tcBorders>
              <w:bottom w:val="single" w:color="auto" w:sz="4" w:space="0"/>
            </w:tcBorders>
            <w:vAlign w:val="center"/>
          </w:tcPr>
          <w:p>
            <w:pPr>
              <w:spacing w:line="400" w:lineRule="exact"/>
              <w:jc w:val="left"/>
              <w:rPr>
                <w:rFonts w:ascii="宋体" w:hAnsi="宋体"/>
                <w:kern w:val="0"/>
              </w:rPr>
            </w:pPr>
            <w:r>
              <w:rPr>
                <w:rFonts w:ascii="宋体" w:hAnsi="宋体"/>
                <w:kern w:val="0"/>
              </w:rPr>
              <w:t>内容完整性和编制水平</w:t>
            </w:r>
          </w:p>
        </w:tc>
        <w:tc>
          <w:tcPr>
            <w:tcW w:w="5493" w:type="dxa"/>
            <w:vMerge w:val="restart"/>
            <w:tcBorders>
              <w:top w:val="single" w:color="auto" w:sz="4" w:space="0"/>
            </w:tcBorders>
            <w:vAlign w:val="center"/>
          </w:tcPr>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评标委员会按第2.2.</w:t>
            </w:r>
            <w:r>
              <w:rPr>
                <w:rFonts w:hint="eastAsia" w:ascii="宋体" w:hAnsi="宋体"/>
                <w:szCs w:val="21"/>
              </w:rPr>
              <w:t>2（1）目</w:t>
            </w:r>
            <w:r>
              <w:rPr>
                <w:rFonts w:ascii="宋体" w:hAnsi="宋体"/>
                <w:szCs w:val="21"/>
              </w:rPr>
              <w:t>各评审因素设定的分值评分。</w:t>
            </w:r>
          </w:p>
          <w:p>
            <w:pPr>
              <w:spacing w:line="400" w:lineRule="exact"/>
              <w:ind w:firstLine="420" w:firstLineChars="200"/>
              <w:rPr>
                <w:rFonts w:ascii="宋体" w:hAnsi="宋体"/>
                <w:snapToGrid w:val="0"/>
                <w:kern w:val="0"/>
                <w:szCs w:val="21"/>
              </w:rPr>
            </w:pPr>
            <w:r>
              <w:rPr>
                <w:rFonts w:ascii="宋体" w:hAnsi="宋体"/>
                <w:snapToGrid w:val="0"/>
                <w:kern w:val="0"/>
                <w:szCs w:val="21"/>
              </w:rPr>
              <w:t>评标委员会成员为5人及以上时，所有评委</w:t>
            </w:r>
            <w:r>
              <w:rPr>
                <w:rFonts w:hint="eastAsia" w:ascii="宋体" w:hAnsi="宋体"/>
                <w:snapToGrid w:val="0"/>
                <w:kern w:val="0"/>
                <w:szCs w:val="21"/>
                <w:lang w:eastAsia="zh-CN"/>
              </w:rPr>
              <w:t>评分</w:t>
            </w:r>
            <w:r>
              <w:rPr>
                <w:rFonts w:ascii="宋体" w:hAnsi="宋体"/>
                <w:snapToGrid w:val="0"/>
                <w:kern w:val="0"/>
                <w:szCs w:val="21"/>
              </w:rPr>
              <w:t>中去掉一个最高和一个最低分，余下评委</w:t>
            </w:r>
            <w:r>
              <w:rPr>
                <w:rFonts w:hint="eastAsia" w:ascii="宋体" w:hAnsi="宋体"/>
                <w:snapToGrid w:val="0"/>
                <w:kern w:val="0"/>
                <w:szCs w:val="21"/>
                <w:lang w:eastAsia="zh-CN"/>
              </w:rPr>
              <w:t>评分</w:t>
            </w:r>
            <w:r>
              <w:rPr>
                <w:rFonts w:ascii="宋体" w:hAnsi="宋体"/>
                <w:snapToGrid w:val="0"/>
                <w:kern w:val="0"/>
                <w:szCs w:val="21"/>
              </w:rPr>
              <w:t>取算术平均值为该投标人技术方案得分。</w:t>
            </w:r>
          </w:p>
          <w:p>
            <w:pPr>
              <w:spacing w:line="400" w:lineRule="exact"/>
              <w:ind w:firstLine="420" w:firstLineChars="200"/>
              <w:rPr>
                <w:rFonts w:ascii="宋体" w:hAnsi="宋体"/>
                <w:kern w:val="0"/>
                <w:szCs w:val="21"/>
              </w:rPr>
            </w:pPr>
            <w:r>
              <w:rPr>
                <w:rFonts w:ascii="宋体" w:hAnsi="宋体"/>
                <w:kern w:val="0"/>
                <w:szCs w:val="21"/>
              </w:rPr>
              <w:t>技术方案得分的最终结果取小数点后两位，第三位四舍五入。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6" w:hRule="atLeast"/>
          <w:jc w:val="center"/>
        </w:trPr>
        <w:tc>
          <w:tcPr>
            <w:tcW w:w="855" w:type="dxa"/>
            <w:vMerge w:val="continue"/>
            <w:vAlign w:val="center"/>
          </w:tcPr>
          <w:p>
            <w:pPr>
              <w:spacing w:line="400" w:lineRule="exact"/>
              <w:jc w:val="center"/>
              <w:rPr>
                <w:rFonts w:ascii="宋体" w:hAnsi="宋体"/>
              </w:rPr>
            </w:pPr>
          </w:p>
        </w:tc>
        <w:tc>
          <w:tcPr>
            <w:tcW w:w="1417" w:type="dxa"/>
            <w:gridSpan w:val="3"/>
            <w:vMerge w:val="continue"/>
            <w:vAlign w:val="center"/>
          </w:tcPr>
          <w:p>
            <w:pPr>
              <w:spacing w:line="400" w:lineRule="exact"/>
              <w:jc w:val="center"/>
              <w:rPr>
                <w:rFonts w:ascii="宋体" w:hAnsi="宋体"/>
              </w:rPr>
            </w:pPr>
          </w:p>
        </w:tc>
        <w:tc>
          <w:tcPr>
            <w:tcW w:w="1710" w:type="dxa"/>
            <w:gridSpan w:val="2"/>
            <w:tcBorders>
              <w:top w:val="single" w:color="auto" w:sz="4" w:space="0"/>
              <w:bottom w:val="single" w:color="auto" w:sz="4" w:space="0"/>
            </w:tcBorders>
            <w:vAlign w:val="center"/>
          </w:tcPr>
          <w:p>
            <w:pPr>
              <w:spacing w:line="400" w:lineRule="exact"/>
              <w:jc w:val="left"/>
              <w:rPr>
                <w:rFonts w:ascii="宋体" w:hAnsi="宋体"/>
              </w:rPr>
            </w:pPr>
            <w:r>
              <w:rPr>
                <w:rFonts w:ascii="宋体" w:hAnsi="宋体"/>
                <w:kern w:val="0"/>
              </w:rPr>
              <w:t>施工方案与技术措施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51" w:hRule="atLeast"/>
          <w:jc w:val="center"/>
        </w:trPr>
        <w:tc>
          <w:tcPr>
            <w:tcW w:w="855" w:type="dxa"/>
            <w:vMerge w:val="continue"/>
            <w:vAlign w:val="center"/>
          </w:tcPr>
          <w:p>
            <w:pPr>
              <w:spacing w:line="400" w:lineRule="exact"/>
              <w:jc w:val="center"/>
              <w:rPr>
                <w:rFonts w:ascii="宋体" w:hAnsi="宋体"/>
              </w:rPr>
            </w:pPr>
          </w:p>
        </w:tc>
        <w:tc>
          <w:tcPr>
            <w:tcW w:w="1417" w:type="dxa"/>
            <w:gridSpan w:val="3"/>
            <w:vMerge w:val="continue"/>
            <w:vAlign w:val="center"/>
          </w:tcPr>
          <w:p>
            <w:pPr>
              <w:spacing w:line="400" w:lineRule="exact"/>
              <w:jc w:val="center"/>
              <w:rPr>
                <w:rFonts w:ascii="宋体" w:hAnsi="宋体"/>
              </w:rPr>
            </w:pPr>
          </w:p>
        </w:tc>
        <w:tc>
          <w:tcPr>
            <w:tcW w:w="1710" w:type="dxa"/>
            <w:gridSpan w:val="2"/>
            <w:tcBorders>
              <w:top w:val="single" w:color="auto" w:sz="4" w:space="0"/>
              <w:bottom w:val="single" w:color="auto" w:sz="4" w:space="0"/>
            </w:tcBorders>
            <w:vAlign w:val="center"/>
          </w:tcPr>
          <w:p>
            <w:pPr>
              <w:spacing w:line="400" w:lineRule="exact"/>
              <w:jc w:val="left"/>
              <w:rPr>
                <w:rFonts w:ascii="宋体" w:hAnsi="宋体"/>
              </w:rPr>
            </w:pPr>
            <w:r>
              <w:rPr>
                <w:rFonts w:ascii="宋体" w:hAnsi="宋体"/>
                <w:kern w:val="0"/>
              </w:rPr>
              <w:t>质量管理体系与措施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855" w:type="dxa"/>
            <w:vMerge w:val="continue"/>
            <w:vAlign w:val="center"/>
          </w:tcPr>
          <w:p>
            <w:pPr>
              <w:spacing w:line="400" w:lineRule="exact"/>
              <w:jc w:val="center"/>
              <w:rPr>
                <w:rFonts w:ascii="宋体" w:hAnsi="宋体"/>
              </w:rPr>
            </w:pPr>
          </w:p>
        </w:tc>
        <w:tc>
          <w:tcPr>
            <w:tcW w:w="1417" w:type="dxa"/>
            <w:gridSpan w:val="3"/>
            <w:vMerge w:val="continue"/>
            <w:vAlign w:val="center"/>
          </w:tcPr>
          <w:p>
            <w:pPr>
              <w:spacing w:line="400" w:lineRule="exact"/>
              <w:jc w:val="center"/>
              <w:rPr>
                <w:rFonts w:ascii="宋体" w:hAnsi="宋体"/>
              </w:rPr>
            </w:pPr>
          </w:p>
        </w:tc>
        <w:tc>
          <w:tcPr>
            <w:tcW w:w="1710" w:type="dxa"/>
            <w:gridSpan w:val="2"/>
            <w:tcBorders>
              <w:top w:val="single" w:color="auto" w:sz="4" w:space="0"/>
              <w:bottom w:val="single" w:color="auto" w:sz="4" w:space="0"/>
            </w:tcBorders>
            <w:vAlign w:val="center"/>
          </w:tcPr>
          <w:p>
            <w:pPr>
              <w:spacing w:line="400" w:lineRule="exact"/>
              <w:jc w:val="left"/>
              <w:rPr>
                <w:rFonts w:ascii="宋体" w:hAnsi="宋体"/>
              </w:rPr>
            </w:pPr>
            <w:r>
              <w:rPr>
                <w:rFonts w:ascii="宋体" w:hAnsi="宋体"/>
                <w:kern w:val="0"/>
              </w:rPr>
              <w:t>安全管理体系与措施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18" w:hRule="atLeast"/>
          <w:jc w:val="center"/>
        </w:trPr>
        <w:tc>
          <w:tcPr>
            <w:tcW w:w="855" w:type="dxa"/>
            <w:vMerge w:val="continue"/>
            <w:vAlign w:val="center"/>
          </w:tcPr>
          <w:p>
            <w:pPr>
              <w:spacing w:line="400" w:lineRule="exact"/>
              <w:jc w:val="center"/>
              <w:rPr>
                <w:rFonts w:ascii="宋体" w:hAnsi="宋体"/>
              </w:rPr>
            </w:pPr>
          </w:p>
        </w:tc>
        <w:tc>
          <w:tcPr>
            <w:tcW w:w="1417" w:type="dxa"/>
            <w:gridSpan w:val="3"/>
            <w:vMerge w:val="continue"/>
            <w:vAlign w:val="center"/>
          </w:tcPr>
          <w:p>
            <w:pPr>
              <w:spacing w:line="400" w:lineRule="exact"/>
              <w:jc w:val="center"/>
              <w:rPr>
                <w:rFonts w:ascii="宋体" w:hAnsi="宋体"/>
              </w:rPr>
            </w:pPr>
          </w:p>
        </w:tc>
        <w:tc>
          <w:tcPr>
            <w:tcW w:w="1710" w:type="dxa"/>
            <w:gridSpan w:val="2"/>
            <w:tcBorders>
              <w:top w:val="single" w:color="auto" w:sz="4" w:space="0"/>
              <w:bottom w:val="single" w:color="auto" w:sz="4" w:space="0"/>
            </w:tcBorders>
            <w:vAlign w:val="center"/>
          </w:tcPr>
          <w:p>
            <w:pPr>
              <w:spacing w:line="400" w:lineRule="exact"/>
              <w:jc w:val="left"/>
              <w:rPr>
                <w:rFonts w:ascii="宋体" w:hAnsi="宋体"/>
              </w:rPr>
            </w:pPr>
            <w:r>
              <w:rPr>
                <w:rFonts w:ascii="宋体" w:hAnsi="宋体"/>
                <w:kern w:val="0"/>
              </w:rPr>
              <w:t>环境保护管理体系措施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855" w:type="dxa"/>
            <w:vMerge w:val="continue"/>
            <w:vAlign w:val="center"/>
          </w:tcPr>
          <w:p>
            <w:pPr>
              <w:spacing w:line="400" w:lineRule="exact"/>
              <w:jc w:val="center"/>
              <w:rPr>
                <w:rFonts w:ascii="宋体" w:hAnsi="宋体"/>
              </w:rPr>
            </w:pPr>
          </w:p>
        </w:tc>
        <w:tc>
          <w:tcPr>
            <w:tcW w:w="1417" w:type="dxa"/>
            <w:gridSpan w:val="3"/>
            <w:vMerge w:val="continue"/>
            <w:vAlign w:val="center"/>
          </w:tcPr>
          <w:p>
            <w:pPr>
              <w:spacing w:line="400" w:lineRule="exact"/>
              <w:jc w:val="center"/>
              <w:rPr>
                <w:rFonts w:ascii="宋体" w:hAnsi="宋体"/>
              </w:rPr>
            </w:pPr>
          </w:p>
        </w:tc>
        <w:tc>
          <w:tcPr>
            <w:tcW w:w="1710" w:type="dxa"/>
            <w:gridSpan w:val="2"/>
            <w:tcBorders>
              <w:top w:val="single" w:color="auto" w:sz="4" w:space="0"/>
              <w:bottom w:val="single" w:color="auto" w:sz="4" w:space="0"/>
            </w:tcBorders>
            <w:vAlign w:val="center"/>
          </w:tcPr>
          <w:p>
            <w:pPr>
              <w:spacing w:line="400" w:lineRule="exact"/>
              <w:jc w:val="left"/>
              <w:rPr>
                <w:rFonts w:ascii="宋体" w:hAnsi="宋体"/>
              </w:rPr>
            </w:pPr>
            <w:r>
              <w:rPr>
                <w:rFonts w:ascii="宋体" w:hAnsi="宋体"/>
                <w:kern w:val="0"/>
              </w:rPr>
              <w:t>工程进度计划与措施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855" w:type="dxa"/>
            <w:vMerge w:val="continue"/>
            <w:vAlign w:val="center"/>
          </w:tcPr>
          <w:p>
            <w:pPr>
              <w:spacing w:line="400" w:lineRule="exact"/>
              <w:jc w:val="center"/>
              <w:rPr>
                <w:rFonts w:ascii="宋体" w:hAnsi="宋体"/>
              </w:rPr>
            </w:pPr>
          </w:p>
        </w:tc>
        <w:tc>
          <w:tcPr>
            <w:tcW w:w="1417" w:type="dxa"/>
            <w:gridSpan w:val="3"/>
            <w:vMerge w:val="continue"/>
            <w:vAlign w:val="center"/>
          </w:tcPr>
          <w:p>
            <w:pPr>
              <w:spacing w:line="400" w:lineRule="exact"/>
              <w:jc w:val="center"/>
              <w:rPr>
                <w:rFonts w:ascii="宋体" w:hAnsi="宋体"/>
              </w:rPr>
            </w:pPr>
          </w:p>
        </w:tc>
        <w:tc>
          <w:tcPr>
            <w:tcW w:w="1710" w:type="dxa"/>
            <w:gridSpan w:val="2"/>
            <w:tcBorders>
              <w:top w:val="single" w:color="auto" w:sz="4" w:space="0"/>
              <w:bottom w:val="single" w:color="auto" w:sz="4" w:space="0"/>
            </w:tcBorders>
            <w:vAlign w:val="center"/>
          </w:tcPr>
          <w:p>
            <w:pPr>
              <w:spacing w:line="400" w:lineRule="exact"/>
              <w:jc w:val="left"/>
              <w:rPr>
                <w:rFonts w:ascii="宋体" w:hAnsi="宋体"/>
              </w:rPr>
            </w:pPr>
            <w:r>
              <w:rPr>
                <w:rFonts w:ascii="宋体" w:hAnsi="宋体"/>
                <w:kern w:val="0"/>
              </w:rPr>
              <w:t>资源配备计划与先进性</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855" w:type="dxa"/>
            <w:vMerge w:val="continue"/>
            <w:vAlign w:val="center"/>
          </w:tcPr>
          <w:p>
            <w:pPr>
              <w:spacing w:line="400" w:lineRule="exact"/>
              <w:jc w:val="center"/>
              <w:rPr>
                <w:rFonts w:ascii="宋体" w:hAnsi="宋体"/>
              </w:rPr>
            </w:pPr>
          </w:p>
        </w:tc>
        <w:tc>
          <w:tcPr>
            <w:tcW w:w="1417" w:type="dxa"/>
            <w:gridSpan w:val="3"/>
            <w:vMerge w:val="continue"/>
            <w:vAlign w:val="center"/>
          </w:tcPr>
          <w:p>
            <w:pPr>
              <w:spacing w:line="400" w:lineRule="exact"/>
              <w:jc w:val="center"/>
              <w:rPr>
                <w:rFonts w:ascii="宋体" w:hAnsi="宋体"/>
              </w:rPr>
            </w:pPr>
          </w:p>
        </w:tc>
        <w:tc>
          <w:tcPr>
            <w:tcW w:w="1710" w:type="dxa"/>
            <w:gridSpan w:val="2"/>
            <w:tcBorders>
              <w:top w:val="single" w:color="auto" w:sz="4" w:space="0"/>
              <w:bottom w:val="single" w:color="auto" w:sz="4" w:space="0"/>
            </w:tcBorders>
          </w:tcPr>
          <w:p>
            <w:pPr>
              <w:spacing w:line="400" w:lineRule="exact"/>
              <w:jc w:val="left"/>
              <w:rPr>
                <w:rFonts w:ascii="宋体" w:hAnsi="宋体"/>
              </w:rPr>
            </w:pPr>
            <w:r>
              <w:rPr>
                <w:rFonts w:hint="eastAsia" w:ascii="宋体" w:hAnsi="宋体" w:cs="宋体"/>
                <w:kern w:val="0"/>
              </w:rPr>
              <w:t>□危大工程清单安全管理措施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855" w:type="dxa"/>
            <w:vMerge w:val="continue"/>
            <w:vAlign w:val="center"/>
          </w:tcPr>
          <w:p>
            <w:pPr>
              <w:spacing w:line="400" w:lineRule="exact"/>
              <w:jc w:val="center"/>
              <w:rPr>
                <w:rFonts w:ascii="宋体" w:hAnsi="宋体"/>
              </w:rPr>
            </w:pPr>
          </w:p>
        </w:tc>
        <w:tc>
          <w:tcPr>
            <w:tcW w:w="1417" w:type="dxa"/>
            <w:gridSpan w:val="3"/>
            <w:vMerge w:val="continue"/>
            <w:vAlign w:val="center"/>
          </w:tcPr>
          <w:p>
            <w:pPr>
              <w:spacing w:line="400" w:lineRule="exact"/>
              <w:jc w:val="center"/>
              <w:rPr>
                <w:rFonts w:ascii="宋体" w:hAnsi="宋体"/>
              </w:rPr>
            </w:pPr>
          </w:p>
        </w:tc>
        <w:tc>
          <w:tcPr>
            <w:tcW w:w="1710" w:type="dxa"/>
            <w:gridSpan w:val="2"/>
            <w:tcBorders>
              <w:top w:val="single" w:color="auto" w:sz="4" w:space="0"/>
              <w:bottom w:val="single" w:color="auto" w:sz="4" w:space="0"/>
            </w:tcBorders>
          </w:tcPr>
          <w:p>
            <w:pPr>
              <w:spacing w:line="400" w:lineRule="exact"/>
              <w:jc w:val="left"/>
              <w:rPr>
                <w:rFonts w:ascii="宋体" w:hAnsi="宋体"/>
              </w:rPr>
            </w:pPr>
            <w:r>
              <w:rPr>
                <w:rFonts w:hint="eastAsia" w:ascii="宋体" w:hAnsi="宋体" w:cs="宋体"/>
                <w:kern w:val="0"/>
              </w:rPr>
              <w:t>□BIM、智慧工地建设管理方案及措施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855" w:type="dxa"/>
            <w:vMerge w:val="continue"/>
            <w:tcBorders>
              <w:bottom w:val="single" w:color="auto" w:sz="4" w:space="0"/>
            </w:tcBorders>
            <w:vAlign w:val="center"/>
          </w:tcPr>
          <w:p>
            <w:pPr>
              <w:spacing w:line="400" w:lineRule="exact"/>
              <w:jc w:val="center"/>
              <w:rPr>
                <w:rFonts w:ascii="宋体" w:hAnsi="宋体"/>
              </w:rPr>
            </w:pPr>
          </w:p>
        </w:tc>
        <w:tc>
          <w:tcPr>
            <w:tcW w:w="1417" w:type="dxa"/>
            <w:gridSpan w:val="3"/>
            <w:vMerge w:val="continue"/>
            <w:tcBorders>
              <w:bottom w:val="single" w:color="auto" w:sz="4" w:space="0"/>
            </w:tcBorders>
            <w:vAlign w:val="center"/>
          </w:tcPr>
          <w:p>
            <w:pPr>
              <w:spacing w:line="400" w:lineRule="exact"/>
              <w:jc w:val="center"/>
              <w:rPr>
                <w:rFonts w:ascii="宋体" w:hAnsi="宋体"/>
              </w:rPr>
            </w:pPr>
          </w:p>
        </w:tc>
        <w:tc>
          <w:tcPr>
            <w:tcW w:w="1710" w:type="dxa"/>
            <w:gridSpan w:val="2"/>
            <w:tcBorders>
              <w:top w:val="single" w:color="auto" w:sz="4" w:space="0"/>
              <w:bottom w:val="single" w:color="auto" w:sz="4" w:space="0"/>
            </w:tcBorders>
          </w:tcPr>
          <w:p>
            <w:pPr>
              <w:spacing w:line="400" w:lineRule="exact"/>
              <w:jc w:val="left"/>
              <w:rPr>
                <w:rFonts w:ascii="宋体" w:hAnsi="宋体"/>
              </w:rPr>
            </w:pPr>
            <w:r>
              <w:rPr>
                <w:rFonts w:hint="eastAsia" w:ascii="宋体" w:hAnsi="宋体" w:cs="宋体"/>
                <w:kern w:val="0"/>
              </w:rPr>
              <w:t>□</w:t>
            </w:r>
            <w:r>
              <w:rPr>
                <w:rFonts w:ascii="宋体" w:hAnsi="宋体" w:cs="宋体"/>
                <w:kern w:val="0"/>
              </w:rPr>
              <w:t>……</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855" w:type="dxa"/>
            <w:vMerge w:val="restart"/>
            <w:tcBorders>
              <w:top w:val="single" w:color="auto" w:sz="4" w:space="0"/>
            </w:tcBorders>
            <w:vAlign w:val="center"/>
          </w:tcPr>
          <w:p>
            <w:pPr>
              <w:spacing w:line="400" w:lineRule="exact"/>
              <w:jc w:val="center"/>
              <w:rPr>
                <w:rFonts w:ascii="宋体" w:hAnsi="宋体"/>
              </w:rPr>
            </w:pPr>
            <w:r>
              <w:rPr>
                <w:rFonts w:hint="eastAsia" w:ascii="宋体" w:hAnsi="宋体"/>
                <w:lang w:val="en-US" w:eastAsia="zh-CN"/>
              </w:rPr>
              <w:t>□3.2.1（2）</w:t>
            </w:r>
          </w:p>
        </w:tc>
        <w:tc>
          <w:tcPr>
            <w:tcW w:w="1417" w:type="dxa"/>
            <w:gridSpan w:val="3"/>
            <w:vMerge w:val="restart"/>
            <w:tcBorders>
              <w:top w:val="single" w:color="auto" w:sz="4" w:space="0"/>
            </w:tcBorders>
            <w:vAlign w:val="center"/>
          </w:tcPr>
          <w:p>
            <w:pPr>
              <w:spacing w:line="400" w:lineRule="exact"/>
              <w:jc w:val="center"/>
              <w:rPr>
                <w:rFonts w:hint="default" w:ascii="宋体" w:hAnsi="宋体" w:eastAsia="宋体"/>
                <w:lang w:val="en-US" w:eastAsia="zh-CN"/>
              </w:rPr>
            </w:pPr>
            <w:r>
              <w:rPr>
                <w:rFonts w:hint="eastAsia" w:ascii="宋体" w:hAnsi="宋体"/>
                <w:lang w:val="en-US" w:eastAsia="zh-CN"/>
              </w:rPr>
              <w:t>商务部分得分（B）</w:t>
            </w:r>
          </w:p>
        </w:tc>
        <w:tc>
          <w:tcPr>
            <w:tcW w:w="1710" w:type="dxa"/>
            <w:gridSpan w:val="2"/>
            <w:tcBorders>
              <w:top w:val="single" w:color="auto" w:sz="4" w:space="0"/>
              <w:bottom w:val="single" w:color="auto" w:sz="4" w:space="0"/>
            </w:tcBorders>
            <w:vAlign w:val="center"/>
          </w:tcPr>
          <w:p>
            <w:pPr>
              <w:spacing w:line="400" w:lineRule="exact"/>
              <w:jc w:val="center"/>
              <w:rPr>
                <w:rFonts w:hint="eastAsia" w:ascii="宋体" w:hAnsi="宋体"/>
                <w:color w:val="auto"/>
                <w:highlight w:val="none"/>
              </w:rPr>
            </w:pPr>
            <w:r>
              <w:rPr>
                <w:rFonts w:hint="eastAsia" w:ascii="宋体" w:hAnsi="宋体"/>
                <w:color w:val="auto"/>
                <w:highlight w:val="none"/>
              </w:rPr>
              <w:t>评标标准详见</w:t>
            </w:r>
          </w:p>
          <w:p>
            <w:pPr>
              <w:spacing w:line="400" w:lineRule="exact"/>
              <w:jc w:val="center"/>
              <w:rPr>
                <w:rFonts w:hint="eastAsia" w:ascii="宋体" w:hAnsi="宋体" w:cs="宋体"/>
                <w:kern w:val="0"/>
              </w:rPr>
            </w:pPr>
            <w:r>
              <w:rPr>
                <w:rFonts w:hint="eastAsia" w:ascii="宋体" w:hAnsi="宋体"/>
                <w:color w:val="auto"/>
                <w:highlight w:val="none"/>
              </w:rPr>
              <w:t>2.2.2（2）</w:t>
            </w:r>
          </w:p>
        </w:tc>
        <w:tc>
          <w:tcPr>
            <w:tcW w:w="5493" w:type="dxa"/>
            <w:vAlign w:val="center"/>
          </w:tcPr>
          <w:p>
            <w:pPr>
              <w:autoSpaceDE w:val="0"/>
              <w:autoSpaceDN w:val="0"/>
              <w:adjustRightInd w:val="0"/>
              <w:snapToGrid w:val="0"/>
              <w:spacing w:line="400" w:lineRule="exact"/>
              <w:ind w:firstLine="420" w:firstLineChars="200"/>
              <w:rPr>
                <w:rFonts w:ascii="宋体" w:hAnsi="宋体"/>
                <w:szCs w:val="21"/>
              </w:rPr>
            </w:pPr>
            <w:r>
              <w:rPr>
                <w:rFonts w:hint="eastAsia" w:ascii="宋体" w:hAnsi="宋体"/>
                <w:color w:val="auto"/>
                <w:szCs w:val="21"/>
                <w:highlight w:val="none"/>
              </w:rPr>
              <w:t>商务部分评分为客观评分，评标委员会按第</w:t>
            </w:r>
            <w:r>
              <w:rPr>
                <w:rFonts w:ascii="宋体" w:hAnsi="宋体"/>
                <w:color w:val="auto"/>
                <w:szCs w:val="21"/>
                <w:highlight w:val="none"/>
              </w:rPr>
              <w:t>2.2.</w:t>
            </w:r>
            <w:r>
              <w:rPr>
                <w:rFonts w:hint="eastAsia" w:ascii="宋体" w:hAnsi="宋体"/>
                <w:color w:val="auto"/>
                <w:szCs w:val="21"/>
                <w:highlight w:val="none"/>
              </w:rPr>
              <w:t>2（2）目各评审因素设定的分值统一进行评分。商务评分的最终结果取小数点后两位，第三位四舍五入。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855" w:type="dxa"/>
            <w:tcBorders>
              <w:top w:val="single" w:color="auto" w:sz="4" w:space="0"/>
            </w:tcBorders>
            <w:vAlign w:val="center"/>
          </w:tcPr>
          <w:p>
            <w:pPr>
              <w:spacing w:line="400" w:lineRule="exact"/>
              <w:jc w:val="center"/>
              <w:rPr>
                <w:rFonts w:ascii="宋体" w:hAnsi="宋体"/>
              </w:rPr>
            </w:pPr>
            <w:r>
              <w:rPr>
                <w:rFonts w:ascii="宋体" w:hAnsi="宋体"/>
              </w:rPr>
              <w:t>3.2.1（</w:t>
            </w:r>
            <w:r>
              <w:rPr>
                <w:rFonts w:hint="eastAsia" w:ascii="宋体" w:hAnsi="宋体"/>
                <w:lang w:val="en-US" w:eastAsia="zh-CN"/>
              </w:rPr>
              <w:t>3</w:t>
            </w:r>
            <w:r>
              <w:rPr>
                <w:rFonts w:ascii="宋体" w:hAnsi="宋体"/>
              </w:rPr>
              <w:t>）</w:t>
            </w:r>
          </w:p>
        </w:tc>
        <w:tc>
          <w:tcPr>
            <w:tcW w:w="1417" w:type="dxa"/>
            <w:gridSpan w:val="3"/>
            <w:tcBorders>
              <w:top w:val="single" w:color="auto" w:sz="4" w:space="0"/>
            </w:tcBorders>
            <w:vAlign w:val="center"/>
          </w:tcPr>
          <w:p>
            <w:pPr>
              <w:spacing w:line="400" w:lineRule="exact"/>
              <w:rPr>
                <w:rFonts w:ascii="宋体" w:hAnsi="宋体"/>
                <w:b/>
                <w:kern w:val="0"/>
                <w:szCs w:val="21"/>
              </w:rPr>
            </w:pPr>
            <w:r>
              <w:rPr>
                <w:rFonts w:hint="eastAsia" w:ascii="宋体" w:hAnsi="宋体"/>
                <w:b/>
                <w:kern w:val="0"/>
                <w:szCs w:val="21"/>
              </w:rPr>
              <w:t>□</w:t>
            </w:r>
            <w:r>
              <w:rPr>
                <w:rFonts w:ascii="宋体" w:hAnsi="宋体"/>
                <w:b/>
                <w:kern w:val="0"/>
                <w:szCs w:val="21"/>
              </w:rPr>
              <w:t>选项一</w:t>
            </w:r>
            <w:r>
              <w:rPr>
                <w:rFonts w:ascii="宋体" w:hAnsi="宋体"/>
                <w:b/>
                <w:kern w:val="0"/>
              </w:rPr>
              <w:t>：</w:t>
            </w:r>
          </w:p>
          <w:p>
            <w:pPr>
              <w:spacing w:line="400" w:lineRule="exact"/>
              <w:jc w:val="center"/>
              <w:rPr>
                <w:rFonts w:ascii="宋体" w:hAnsi="宋体"/>
              </w:rPr>
            </w:pPr>
            <w:r>
              <w:rPr>
                <w:rFonts w:ascii="宋体" w:hAnsi="宋体"/>
              </w:rPr>
              <w:t>投标报价</w:t>
            </w:r>
            <w:r>
              <w:rPr>
                <w:rFonts w:ascii="宋体" w:hAnsi="宋体"/>
                <w:kern w:val="0"/>
              </w:rPr>
              <w:t>得分</w:t>
            </w:r>
            <w:r>
              <w:rPr>
                <w:rFonts w:ascii="宋体" w:hAnsi="宋体"/>
                <w:spacing w:val="-8"/>
              </w:rPr>
              <w:t>（</w:t>
            </w:r>
            <w:r>
              <w:rPr>
                <w:rFonts w:hint="eastAsia" w:ascii="宋体" w:hAnsi="宋体"/>
                <w:spacing w:val="-8"/>
                <w:lang w:val="en-US" w:eastAsia="zh-CN"/>
              </w:rPr>
              <w:t>C</w:t>
            </w:r>
            <w:r>
              <w:rPr>
                <w:rFonts w:ascii="宋体" w:hAnsi="宋体"/>
                <w:spacing w:val="-8"/>
              </w:rPr>
              <w:t>）</w:t>
            </w:r>
          </w:p>
        </w:tc>
        <w:tc>
          <w:tcPr>
            <w:tcW w:w="1710" w:type="dxa"/>
            <w:gridSpan w:val="2"/>
            <w:tcBorders>
              <w:top w:val="single" w:color="auto" w:sz="4" w:space="0"/>
            </w:tcBorders>
            <w:vAlign w:val="center"/>
          </w:tcPr>
          <w:p>
            <w:pPr>
              <w:spacing w:line="400" w:lineRule="exact"/>
              <w:jc w:val="center"/>
              <w:rPr>
                <w:rFonts w:ascii="宋体" w:hAnsi="宋体"/>
              </w:rPr>
            </w:pPr>
            <w:r>
              <w:rPr>
                <w:rFonts w:ascii="宋体" w:hAnsi="宋体"/>
              </w:rPr>
              <w:t>投标总报价</w:t>
            </w:r>
          </w:p>
        </w:tc>
        <w:tc>
          <w:tcPr>
            <w:tcW w:w="5493" w:type="dxa"/>
            <w:vAlign w:val="center"/>
          </w:tcPr>
          <w:p>
            <w:pPr>
              <w:spacing w:line="400" w:lineRule="exact"/>
              <w:ind w:firstLine="420" w:firstLineChars="200"/>
              <w:rPr>
                <w:rFonts w:ascii="宋体" w:hAnsi="宋体"/>
                <w:szCs w:val="21"/>
              </w:rPr>
            </w:pPr>
            <w:r>
              <w:rPr>
                <w:rFonts w:hint="eastAsia" w:ascii="宋体" w:hAnsi="宋体"/>
                <w:szCs w:val="21"/>
              </w:rPr>
              <w:t>设置</w:t>
            </w:r>
            <w:r>
              <w:rPr>
                <w:rFonts w:ascii="宋体" w:hAnsi="宋体"/>
                <w:szCs w:val="21"/>
              </w:rPr>
              <w:t>允许偏差范围</w:t>
            </w:r>
            <w:r>
              <w:rPr>
                <w:rFonts w:hint="eastAsia" w:ascii="宋体" w:hAnsi="宋体"/>
                <w:szCs w:val="21"/>
              </w:rPr>
              <w:t>的，</w:t>
            </w:r>
            <w:r>
              <w:rPr>
                <w:rFonts w:ascii="宋体" w:hAnsi="宋体"/>
                <w:kern w:val="0"/>
              </w:rPr>
              <w:t>投标总报价的偏差在</w:t>
            </w:r>
            <w:r>
              <w:rPr>
                <w:rFonts w:ascii="宋体" w:hAnsi="宋体"/>
                <w:szCs w:val="21"/>
              </w:rPr>
              <w:t>允许偏差范围外，</w:t>
            </w:r>
            <w:r>
              <w:rPr>
                <w:rFonts w:ascii="宋体" w:hAnsi="宋体"/>
                <w:bCs/>
                <w:szCs w:val="28"/>
              </w:rPr>
              <w:t>得零分</w:t>
            </w:r>
            <w:r>
              <w:rPr>
                <w:rFonts w:ascii="宋体" w:hAnsi="宋体"/>
                <w:kern w:val="0"/>
              </w:rPr>
              <w:t>；</w:t>
            </w:r>
            <w:r>
              <w:rPr>
                <w:rFonts w:hint="eastAsia" w:ascii="宋体" w:hAnsi="宋体"/>
                <w:kern w:val="0"/>
              </w:rPr>
              <w:t>不设置允许偏差范围或</w:t>
            </w:r>
            <w:r>
              <w:rPr>
                <w:rFonts w:ascii="宋体" w:hAnsi="宋体"/>
                <w:szCs w:val="21"/>
              </w:rPr>
              <w:t>投标总报价偏差在允许范围内的（含上、下限值），得</w:t>
            </w:r>
            <w:r>
              <w:rPr>
                <w:rFonts w:ascii="宋体" w:hAnsi="宋体"/>
                <w:bCs/>
                <w:szCs w:val="28"/>
              </w:rPr>
              <w:t>本附表第2.2.1项规定分值的满分</w:t>
            </w:r>
            <w:r>
              <w:rPr>
                <w:rFonts w:ascii="宋体" w:hAnsi="宋体"/>
                <w:bCs/>
                <w:szCs w:val="28"/>
                <w:u w:val="single"/>
              </w:rPr>
              <w:t xml:space="preserve">     </w:t>
            </w:r>
            <w:r>
              <w:rPr>
                <w:rFonts w:ascii="宋体" w:hAnsi="宋体"/>
                <w:szCs w:val="21"/>
              </w:rPr>
              <w:t>分。在此基础上，投标总报价与评标基准价相比，每增加1%扣</w:t>
            </w:r>
            <w:r>
              <w:rPr>
                <w:rFonts w:ascii="宋体" w:hAnsi="宋体"/>
                <w:szCs w:val="21"/>
                <w:u w:val="single"/>
              </w:rPr>
              <w:t>　</w:t>
            </w:r>
            <w:r>
              <w:rPr>
                <w:rFonts w:hint="eastAsia" w:ascii="宋体" w:hAnsi="宋体"/>
                <w:szCs w:val="21"/>
                <w:u w:val="single"/>
              </w:rPr>
              <w:t xml:space="preserve">   </w:t>
            </w:r>
            <w:r>
              <w:rPr>
                <w:rFonts w:ascii="宋体" w:hAnsi="宋体"/>
                <w:szCs w:val="21"/>
                <w:u w:val="single"/>
              </w:rPr>
              <w:t>　</w:t>
            </w:r>
            <w:r>
              <w:rPr>
                <w:rFonts w:hint="eastAsia" w:ascii="宋体" w:hAnsi="宋体"/>
                <w:szCs w:val="21"/>
              </w:rPr>
              <w:t>（1～2）</w:t>
            </w:r>
            <w:r>
              <w:rPr>
                <w:rFonts w:ascii="宋体" w:hAnsi="宋体"/>
                <w:szCs w:val="21"/>
              </w:rPr>
              <w:t>分，每减少1%扣</w:t>
            </w:r>
            <w:r>
              <w:rPr>
                <w:rFonts w:ascii="宋体" w:hAnsi="宋体"/>
                <w:szCs w:val="21"/>
                <w:u w:val="single"/>
              </w:rPr>
              <w:t>　</w:t>
            </w:r>
            <w:r>
              <w:rPr>
                <w:rFonts w:hint="eastAsia" w:ascii="宋体" w:hAnsi="宋体"/>
                <w:szCs w:val="21"/>
                <w:u w:val="single"/>
              </w:rPr>
              <w:t xml:space="preserve">  </w:t>
            </w:r>
            <w:r>
              <w:rPr>
                <w:rFonts w:ascii="宋体" w:hAnsi="宋体"/>
                <w:szCs w:val="21"/>
                <w:u w:val="single"/>
              </w:rPr>
              <w:t>　</w:t>
            </w:r>
            <w:r>
              <w:rPr>
                <w:rFonts w:hint="eastAsia" w:ascii="宋体" w:hAnsi="宋体"/>
                <w:szCs w:val="21"/>
              </w:rPr>
              <w:t>（0.5～1）</w:t>
            </w:r>
            <w:r>
              <w:rPr>
                <w:rFonts w:ascii="宋体" w:hAnsi="宋体"/>
                <w:szCs w:val="21"/>
              </w:rPr>
              <w:t>分，扣完为止。</w:t>
            </w:r>
          </w:p>
          <w:p>
            <w:pPr>
              <w:spacing w:line="400" w:lineRule="exact"/>
              <w:ind w:firstLine="420" w:firstLineChars="200"/>
              <w:rPr>
                <w:rFonts w:ascii="宋体" w:hAnsi="宋体"/>
                <w:szCs w:val="21"/>
              </w:rPr>
            </w:pPr>
            <w:r>
              <w:rPr>
                <w:rFonts w:ascii="宋体" w:hAnsi="宋体"/>
                <w:szCs w:val="21"/>
              </w:rPr>
              <w:t>按插入法计算得分。</w:t>
            </w:r>
          </w:p>
          <w:p>
            <w:pPr>
              <w:spacing w:line="400" w:lineRule="exact"/>
              <w:ind w:firstLine="420" w:firstLineChars="200"/>
              <w:rPr>
                <w:rFonts w:ascii="宋体" w:hAnsi="宋体"/>
                <w:szCs w:val="21"/>
              </w:rPr>
            </w:pPr>
            <w:r>
              <w:rPr>
                <w:rFonts w:ascii="宋体" w:hAnsi="宋体"/>
                <w:szCs w:val="21"/>
              </w:rPr>
              <w:t>在偏差范围内，未参与评标基准价计算的投标报价，仍应参加计算相应分值。</w:t>
            </w:r>
          </w:p>
          <w:p>
            <w:pPr>
              <w:spacing w:line="400" w:lineRule="exact"/>
              <w:ind w:firstLine="420" w:firstLineChars="200"/>
              <w:rPr>
                <w:rFonts w:ascii="宋体" w:hAnsi="宋体"/>
                <w:kern w:val="0"/>
                <w:szCs w:val="21"/>
              </w:rPr>
            </w:pPr>
            <w:r>
              <w:rPr>
                <w:rFonts w:hint="eastAsia" w:ascii="宋体" w:hAnsi="宋体"/>
                <w:kern w:val="0"/>
                <w:szCs w:val="21"/>
              </w:rPr>
              <w:t>投标总报价得分最终结果</w:t>
            </w:r>
            <w:r>
              <w:rPr>
                <w:rFonts w:ascii="宋体" w:hAnsi="宋体"/>
                <w:kern w:val="0"/>
                <w:szCs w:val="21"/>
              </w:rPr>
              <w:t>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Align w:val="center"/>
          </w:tcPr>
          <w:p>
            <w:pPr>
              <w:spacing w:line="400" w:lineRule="exact"/>
              <w:jc w:val="center"/>
              <w:rPr>
                <w:rFonts w:ascii="宋体" w:hAnsi="宋体"/>
              </w:rPr>
            </w:pPr>
            <w:r>
              <w:rPr>
                <w:rFonts w:ascii="宋体" w:hAnsi="宋体"/>
              </w:rPr>
              <w:t>3.2.1（</w:t>
            </w:r>
            <w:r>
              <w:rPr>
                <w:rFonts w:hint="eastAsia" w:ascii="宋体" w:hAnsi="宋体"/>
                <w:lang w:val="en-US" w:eastAsia="zh-CN"/>
              </w:rPr>
              <w:t>3</w:t>
            </w:r>
            <w:r>
              <w:rPr>
                <w:rFonts w:ascii="宋体" w:hAnsi="宋体"/>
              </w:rPr>
              <w:t>）</w:t>
            </w:r>
          </w:p>
        </w:tc>
        <w:tc>
          <w:tcPr>
            <w:tcW w:w="1417" w:type="dxa"/>
            <w:gridSpan w:val="3"/>
            <w:vAlign w:val="center"/>
          </w:tcPr>
          <w:p>
            <w:pPr>
              <w:spacing w:line="400" w:lineRule="exact"/>
              <w:rPr>
                <w:rFonts w:ascii="宋体" w:hAnsi="宋体"/>
                <w:b/>
                <w:kern w:val="0"/>
                <w:szCs w:val="21"/>
              </w:rPr>
            </w:pPr>
            <w:r>
              <w:rPr>
                <w:rFonts w:hint="eastAsia" w:ascii="宋体" w:hAnsi="宋体"/>
                <w:b/>
                <w:kern w:val="0"/>
                <w:szCs w:val="21"/>
              </w:rPr>
              <w:t>□</w:t>
            </w:r>
            <w:r>
              <w:rPr>
                <w:rFonts w:ascii="宋体" w:hAnsi="宋体"/>
                <w:b/>
                <w:kern w:val="0"/>
                <w:szCs w:val="21"/>
              </w:rPr>
              <w:t>选项二：</w:t>
            </w:r>
          </w:p>
          <w:p>
            <w:pPr>
              <w:spacing w:line="400" w:lineRule="exact"/>
              <w:jc w:val="center"/>
              <w:rPr>
                <w:rFonts w:ascii="宋体" w:hAnsi="宋体"/>
              </w:rPr>
            </w:pPr>
            <w:r>
              <w:rPr>
                <w:rFonts w:ascii="宋体" w:hAnsi="宋体"/>
              </w:rPr>
              <w:t>投标报价</w:t>
            </w:r>
            <w:r>
              <w:rPr>
                <w:rFonts w:ascii="宋体" w:hAnsi="宋体"/>
                <w:kern w:val="0"/>
              </w:rPr>
              <w:t>得分</w:t>
            </w:r>
            <w:r>
              <w:rPr>
                <w:rFonts w:ascii="宋体" w:hAnsi="宋体"/>
                <w:spacing w:val="-8"/>
              </w:rPr>
              <w:t>（</w:t>
            </w:r>
            <w:r>
              <w:rPr>
                <w:rFonts w:hint="eastAsia" w:ascii="宋体" w:hAnsi="宋体"/>
                <w:spacing w:val="-8"/>
                <w:lang w:val="en-US" w:eastAsia="zh-CN"/>
              </w:rPr>
              <w:t>C</w:t>
            </w:r>
            <w:r>
              <w:rPr>
                <w:rFonts w:ascii="宋体" w:hAnsi="宋体"/>
                <w:spacing w:val="-8"/>
              </w:rPr>
              <w:t>）</w:t>
            </w:r>
          </w:p>
        </w:tc>
        <w:tc>
          <w:tcPr>
            <w:tcW w:w="1710" w:type="dxa"/>
            <w:gridSpan w:val="2"/>
            <w:vAlign w:val="center"/>
          </w:tcPr>
          <w:p>
            <w:pPr>
              <w:spacing w:line="400" w:lineRule="exact"/>
              <w:jc w:val="center"/>
              <w:rPr>
                <w:rFonts w:ascii="宋体" w:hAnsi="宋体"/>
              </w:rPr>
            </w:pPr>
            <w:r>
              <w:rPr>
                <w:rFonts w:ascii="宋体" w:hAnsi="宋体"/>
              </w:rPr>
              <w:t>投标总报价</w:t>
            </w:r>
          </w:p>
        </w:tc>
        <w:tc>
          <w:tcPr>
            <w:tcW w:w="5493" w:type="dxa"/>
            <w:vAlign w:val="center"/>
          </w:tcPr>
          <w:p>
            <w:pPr>
              <w:spacing w:line="400" w:lineRule="exact"/>
              <w:ind w:firstLine="420" w:firstLineChars="200"/>
              <w:rPr>
                <w:rFonts w:ascii="宋体" w:hAnsi="宋体"/>
                <w:szCs w:val="21"/>
              </w:rPr>
            </w:pPr>
            <w:r>
              <w:rPr>
                <w:rFonts w:hint="eastAsia" w:ascii="宋体" w:hAnsi="宋体"/>
                <w:szCs w:val="21"/>
              </w:rPr>
              <w:t>设置</w:t>
            </w:r>
            <w:r>
              <w:rPr>
                <w:rFonts w:ascii="宋体" w:hAnsi="宋体"/>
                <w:szCs w:val="21"/>
              </w:rPr>
              <w:t>允许偏差范围</w:t>
            </w:r>
            <w:r>
              <w:rPr>
                <w:rFonts w:hint="eastAsia" w:ascii="宋体" w:hAnsi="宋体"/>
                <w:szCs w:val="21"/>
              </w:rPr>
              <w:t>的，</w:t>
            </w:r>
            <w:r>
              <w:rPr>
                <w:rFonts w:ascii="宋体" w:hAnsi="宋体"/>
                <w:kern w:val="0"/>
              </w:rPr>
              <w:t>投标总报价的偏差在</w:t>
            </w:r>
            <w:r>
              <w:rPr>
                <w:rFonts w:ascii="宋体" w:hAnsi="宋体"/>
                <w:szCs w:val="21"/>
              </w:rPr>
              <w:t>允许偏差范围外，</w:t>
            </w:r>
            <w:r>
              <w:rPr>
                <w:rFonts w:ascii="宋体" w:hAnsi="宋体"/>
                <w:bCs/>
                <w:szCs w:val="28"/>
              </w:rPr>
              <w:t>得零分</w:t>
            </w:r>
            <w:r>
              <w:rPr>
                <w:rFonts w:ascii="宋体" w:hAnsi="宋体"/>
                <w:kern w:val="0"/>
              </w:rPr>
              <w:t>；</w:t>
            </w:r>
            <w:r>
              <w:rPr>
                <w:rFonts w:hint="eastAsia" w:ascii="宋体" w:hAnsi="宋体"/>
                <w:kern w:val="0"/>
              </w:rPr>
              <w:t>不设置允许偏差范围或</w:t>
            </w:r>
            <w:r>
              <w:rPr>
                <w:rFonts w:ascii="宋体" w:hAnsi="宋体"/>
                <w:szCs w:val="21"/>
              </w:rPr>
              <w:t>投标总报价偏差在允许范围内的（含上、下限值），得</w:t>
            </w:r>
            <w:r>
              <w:rPr>
                <w:rFonts w:ascii="宋体" w:hAnsi="宋体"/>
                <w:bCs/>
                <w:szCs w:val="28"/>
                <w:u w:val="single"/>
              </w:rPr>
              <w:t xml:space="preserve">     </w:t>
            </w:r>
            <w:r>
              <w:rPr>
                <w:rFonts w:ascii="宋体" w:hAnsi="宋体"/>
                <w:szCs w:val="21"/>
              </w:rPr>
              <w:t>分。在此基础上，投标总报价与评标基准价相比，每增加1%扣</w:t>
            </w:r>
            <w:r>
              <w:rPr>
                <w:rFonts w:ascii="宋体" w:hAnsi="宋体"/>
                <w:szCs w:val="21"/>
                <w:u w:val="single"/>
              </w:rPr>
              <w:t>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（1～2）</w:t>
            </w:r>
            <w:r>
              <w:rPr>
                <w:rFonts w:ascii="宋体" w:hAnsi="宋体"/>
                <w:szCs w:val="21"/>
              </w:rPr>
              <w:t>分，扣完为止，每减少1%加</w:t>
            </w:r>
            <w:r>
              <w:rPr>
                <w:rFonts w:ascii="宋体" w:hAnsi="宋体"/>
                <w:szCs w:val="21"/>
                <w:u w:val="single"/>
              </w:rPr>
              <w:t>　</w:t>
            </w:r>
            <w:r>
              <w:rPr>
                <w:rFonts w:hint="eastAsia" w:ascii="宋体" w:hAnsi="宋体"/>
                <w:szCs w:val="21"/>
                <w:u w:val="single"/>
              </w:rPr>
              <w:t xml:space="preserve">   </w:t>
            </w:r>
            <w:r>
              <w:rPr>
                <w:rFonts w:hint="eastAsia" w:ascii="宋体" w:hAnsi="宋体"/>
                <w:szCs w:val="21"/>
              </w:rPr>
              <w:t>（1～2）</w:t>
            </w:r>
            <w:r>
              <w:rPr>
                <w:rFonts w:ascii="宋体" w:hAnsi="宋体"/>
                <w:szCs w:val="21"/>
              </w:rPr>
              <w:t>分，最多加</w:t>
            </w:r>
            <w:r>
              <w:rPr>
                <w:rFonts w:ascii="宋体" w:hAnsi="宋体"/>
                <w:szCs w:val="21"/>
                <w:u w:val="single"/>
              </w:rPr>
              <w:t>　</w:t>
            </w:r>
            <w:r>
              <w:rPr>
                <w:rFonts w:hint="eastAsia" w:ascii="宋体" w:hAnsi="宋体"/>
                <w:szCs w:val="21"/>
                <w:u w:val="single"/>
              </w:rPr>
              <w:t xml:space="preserve">    </w:t>
            </w:r>
            <w:r>
              <w:rPr>
                <w:rFonts w:ascii="宋体" w:hAnsi="宋体"/>
                <w:szCs w:val="21"/>
              </w:rPr>
              <w:t>分。</w:t>
            </w:r>
          </w:p>
          <w:p>
            <w:pPr>
              <w:spacing w:line="400" w:lineRule="exact"/>
              <w:ind w:firstLine="420" w:firstLineChars="200"/>
              <w:rPr>
                <w:rFonts w:ascii="宋体" w:hAnsi="宋体"/>
                <w:szCs w:val="21"/>
              </w:rPr>
            </w:pPr>
            <w:r>
              <w:rPr>
                <w:rFonts w:ascii="宋体" w:hAnsi="宋体"/>
                <w:szCs w:val="21"/>
              </w:rPr>
              <w:t>按插入法计算得分。</w:t>
            </w:r>
          </w:p>
          <w:p>
            <w:pPr>
              <w:spacing w:line="400" w:lineRule="exact"/>
              <w:ind w:firstLine="420" w:firstLineChars="200"/>
              <w:rPr>
                <w:rFonts w:ascii="宋体" w:hAnsi="宋体"/>
                <w:szCs w:val="21"/>
              </w:rPr>
            </w:pPr>
            <w:r>
              <w:rPr>
                <w:rFonts w:ascii="宋体" w:hAnsi="宋体"/>
                <w:szCs w:val="21"/>
              </w:rPr>
              <w:t>在偏差范围内，未参与评标基准价计算的投标报价，仍应参加计算相应分值。</w:t>
            </w:r>
          </w:p>
          <w:p>
            <w:pPr>
              <w:spacing w:line="400" w:lineRule="exact"/>
              <w:ind w:firstLine="420" w:firstLineChars="200"/>
              <w:rPr>
                <w:rFonts w:ascii="宋体" w:hAnsi="宋体"/>
                <w:kern w:val="0"/>
              </w:rPr>
            </w:pPr>
            <w:r>
              <w:rPr>
                <w:rFonts w:hint="eastAsia" w:ascii="宋体" w:hAnsi="宋体"/>
                <w:kern w:val="0"/>
                <w:szCs w:val="21"/>
              </w:rPr>
              <w:t>投标总报价得分最终结果</w:t>
            </w:r>
            <w:r>
              <w:rPr>
                <w:rFonts w:ascii="宋体" w:hAnsi="宋体"/>
                <w:kern w:val="0"/>
                <w:szCs w:val="21"/>
              </w:rPr>
              <w:t>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Align w:val="center"/>
          </w:tcPr>
          <w:p>
            <w:pPr>
              <w:spacing w:line="400" w:lineRule="exact"/>
              <w:jc w:val="center"/>
              <w:rPr>
                <w:rFonts w:ascii="宋体" w:hAnsi="宋体"/>
              </w:rPr>
            </w:pPr>
            <w:r>
              <w:rPr>
                <w:rFonts w:hint="eastAsia" w:ascii="宋体" w:hAnsi="宋体"/>
              </w:rPr>
              <w:t>3.2.1</w:t>
            </w:r>
          </w:p>
          <w:p>
            <w:pPr>
              <w:spacing w:line="400" w:lineRule="exact"/>
              <w:jc w:val="center"/>
              <w:rPr>
                <w:rFonts w:ascii="宋体" w:hAnsi="宋体"/>
              </w:rPr>
            </w:pPr>
            <w:r>
              <w:rPr>
                <w:rFonts w:hint="eastAsia" w:ascii="宋体" w:hAnsi="宋体"/>
              </w:rPr>
              <w:t>（</w:t>
            </w:r>
            <w:r>
              <w:rPr>
                <w:rFonts w:hint="eastAsia" w:ascii="宋体" w:hAnsi="宋体"/>
                <w:lang w:val="en-US" w:eastAsia="zh-CN"/>
              </w:rPr>
              <w:t>3</w:t>
            </w:r>
            <w:r>
              <w:rPr>
                <w:rFonts w:hint="eastAsia" w:ascii="宋体" w:hAnsi="宋体"/>
              </w:rPr>
              <w:t>）</w:t>
            </w:r>
          </w:p>
        </w:tc>
        <w:tc>
          <w:tcPr>
            <w:tcW w:w="1417" w:type="dxa"/>
            <w:gridSpan w:val="3"/>
            <w:vAlign w:val="center"/>
          </w:tcPr>
          <w:p>
            <w:pPr>
              <w:spacing w:line="400" w:lineRule="exact"/>
              <w:rPr>
                <w:rFonts w:ascii="宋体" w:hAnsi="宋体"/>
                <w:b/>
                <w:kern w:val="0"/>
                <w:szCs w:val="21"/>
              </w:rPr>
            </w:pPr>
            <w:r>
              <w:rPr>
                <w:rFonts w:hint="eastAsia" w:ascii="宋体" w:hAnsi="宋体"/>
                <w:b/>
                <w:kern w:val="0"/>
                <w:szCs w:val="21"/>
              </w:rPr>
              <w:t>□选项三：</w:t>
            </w:r>
          </w:p>
          <w:p>
            <w:pPr>
              <w:spacing w:line="400" w:lineRule="exact"/>
              <w:jc w:val="center"/>
              <w:rPr>
                <w:rFonts w:ascii="宋体" w:hAnsi="宋体"/>
              </w:rPr>
            </w:pPr>
            <w:r>
              <w:rPr>
                <w:rFonts w:hint="eastAsia" w:ascii="宋体" w:hAnsi="宋体"/>
              </w:rPr>
              <w:t>投标报价得分（</w:t>
            </w:r>
            <w:r>
              <w:rPr>
                <w:rFonts w:hint="eastAsia" w:ascii="宋体" w:hAnsi="宋体"/>
                <w:lang w:val="en-US" w:eastAsia="zh-CN"/>
              </w:rPr>
              <w:t>C</w:t>
            </w:r>
            <w:r>
              <w:rPr>
                <w:rFonts w:hint="eastAsia" w:ascii="宋体" w:hAnsi="宋体"/>
              </w:rPr>
              <w:t>）</w:t>
            </w:r>
          </w:p>
        </w:tc>
        <w:tc>
          <w:tcPr>
            <w:tcW w:w="1710" w:type="dxa"/>
            <w:gridSpan w:val="2"/>
            <w:vAlign w:val="center"/>
          </w:tcPr>
          <w:p>
            <w:pPr>
              <w:spacing w:line="400" w:lineRule="exact"/>
              <w:jc w:val="center"/>
              <w:rPr>
                <w:rFonts w:ascii="宋体" w:hAnsi="宋体"/>
              </w:rPr>
            </w:pPr>
            <w:r>
              <w:rPr>
                <w:rFonts w:hint="eastAsia" w:ascii="宋体" w:hAnsi="宋体"/>
              </w:rPr>
              <w:t>投标总报价</w:t>
            </w:r>
          </w:p>
        </w:tc>
        <w:tc>
          <w:tcPr>
            <w:tcW w:w="5493" w:type="dxa"/>
            <w:vAlign w:val="center"/>
          </w:tcPr>
          <w:p>
            <w:pPr>
              <w:spacing w:line="400" w:lineRule="exact"/>
              <w:ind w:firstLine="420" w:firstLineChars="200"/>
              <w:rPr>
                <w:rFonts w:ascii="宋体" w:hAnsi="宋体"/>
                <w:kern w:val="0"/>
                <w:szCs w:val="21"/>
              </w:rPr>
            </w:pPr>
            <w:r>
              <w:rPr>
                <w:rFonts w:hint="eastAsia" w:ascii="宋体" w:hAnsi="宋体"/>
                <w:kern w:val="0"/>
                <w:szCs w:val="21"/>
              </w:rPr>
              <w:t>所有通过初步评审和本章第2.2.2（2）目评审合格的投标人，投标报价得本附表第2.2.1项规定分值的满分</w:t>
            </w:r>
            <w:r>
              <w:rPr>
                <w:rFonts w:hint="eastAsia" w:ascii="宋体" w:hAnsi="宋体"/>
                <w:kern w:val="0"/>
                <w:szCs w:val="21"/>
                <w:u w:val="single"/>
              </w:rPr>
              <w:t xml:space="preserve">     </w:t>
            </w:r>
            <w:r>
              <w:rPr>
                <w:rFonts w:hint="eastAsia" w:ascii="宋体" w:hAnsi="宋体"/>
                <w:kern w:val="0"/>
                <w:szCs w:val="21"/>
              </w:rPr>
              <w:t>分。在此基础上，投标总报价与评标基准价相比，每增加1%扣</w:t>
            </w:r>
            <w:r>
              <w:rPr>
                <w:rFonts w:hint="eastAsia" w:ascii="宋体" w:hAnsi="宋体"/>
                <w:kern w:val="0"/>
                <w:szCs w:val="21"/>
                <w:u w:val="single"/>
              </w:rPr>
              <w:t xml:space="preserve">　  </w:t>
            </w:r>
            <w:r>
              <w:rPr>
                <w:rFonts w:hint="eastAsia" w:ascii="宋体" w:hAnsi="宋体"/>
                <w:kern w:val="0"/>
                <w:szCs w:val="21"/>
              </w:rPr>
              <w:t>（1～2）分，扣完为止，低于评标基准价的不加分、不扣分。</w:t>
            </w:r>
          </w:p>
          <w:p>
            <w:pPr>
              <w:spacing w:line="400" w:lineRule="exact"/>
              <w:ind w:firstLine="420" w:firstLineChars="200"/>
              <w:rPr>
                <w:rFonts w:ascii="宋体" w:hAnsi="宋体"/>
                <w:kern w:val="0"/>
                <w:szCs w:val="21"/>
              </w:rPr>
            </w:pPr>
            <w:r>
              <w:rPr>
                <w:rFonts w:hint="eastAsia" w:ascii="宋体" w:hAnsi="宋体"/>
                <w:kern w:val="0"/>
                <w:szCs w:val="21"/>
              </w:rPr>
              <w:t>按插入法计算得分。</w:t>
            </w:r>
          </w:p>
          <w:p>
            <w:pPr>
              <w:spacing w:line="400" w:lineRule="exact"/>
              <w:ind w:firstLine="420" w:firstLineChars="200"/>
              <w:rPr>
                <w:rFonts w:ascii="宋体" w:hAnsi="宋体"/>
                <w:kern w:val="0"/>
                <w:szCs w:val="21"/>
              </w:rPr>
            </w:pPr>
            <w:r>
              <w:rPr>
                <w:rFonts w:hint="eastAsia" w:ascii="宋体" w:hAnsi="宋体"/>
                <w:kern w:val="0"/>
                <w:szCs w:val="21"/>
              </w:rPr>
              <w:t>未参与评标基准价计算的投标报价，仍应参加计算相应分值。</w:t>
            </w:r>
          </w:p>
          <w:p>
            <w:pPr>
              <w:spacing w:line="400" w:lineRule="exact"/>
              <w:ind w:firstLine="420" w:firstLineChars="200"/>
              <w:rPr>
                <w:rFonts w:ascii="宋体" w:hAnsi="宋体"/>
                <w:kern w:val="0"/>
                <w:szCs w:val="21"/>
              </w:rPr>
            </w:pPr>
            <w:r>
              <w:rPr>
                <w:rFonts w:hint="eastAsia" w:ascii="宋体" w:hAnsi="宋体"/>
                <w:kern w:val="0"/>
                <w:szCs w:val="21"/>
              </w:rPr>
              <w:t>投标总报价得分最终结果取小数点后两位，第三位四舍五入。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2272" w:type="dxa"/>
            <w:gridSpan w:val="4"/>
            <w:vAlign w:val="center"/>
          </w:tcPr>
          <w:p>
            <w:pPr>
              <w:spacing w:line="400" w:lineRule="exact"/>
              <w:ind w:firstLine="18" w:firstLineChars="9"/>
              <w:jc w:val="center"/>
              <w:rPr>
                <w:rFonts w:ascii="宋体" w:hAnsi="宋体"/>
                <w:szCs w:val="21"/>
              </w:rPr>
            </w:pPr>
            <w:r>
              <w:rPr>
                <w:rFonts w:ascii="宋体" w:hAnsi="宋体"/>
                <w:szCs w:val="21"/>
              </w:rPr>
              <w:t>3.2.3</w:t>
            </w:r>
          </w:p>
        </w:tc>
        <w:tc>
          <w:tcPr>
            <w:tcW w:w="1710" w:type="dxa"/>
            <w:gridSpan w:val="2"/>
            <w:vAlign w:val="center"/>
          </w:tcPr>
          <w:p>
            <w:pPr>
              <w:spacing w:line="400" w:lineRule="exact"/>
              <w:ind w:firstLine="18" w:firstLineChars="9"/>
              <w:jc w:val="center"/>
              <w:rPr>
                <w:rFonts w:ascii="宋体" w:hAnsi="宋体"/>
                <w:szCs w:val="21"/>
              </w:rPr>
            </w:pPr>
            <w:r>
              <w:rPr>
                <w:rFonts w:ascii="宋体" w:hAnsi="宋体"/>
                <w:szCs w:val="21"/>
              </w:rPr>
              <w:t>投标人得分</w:t>
            </w:r>
          </w:p>
        </w:tc>
        <w:tc>
          <w:tcPr>
            <w:tcW w:w="5493" w:type="dxa"/>
            <w:vAlign w:val="center"/>
          </w:tcPr>
          <w:p>
            <w:pPr>
              <w:spacing w:line="400" w:lineRule="exact"/>
              <w:jc w:val="center"/>
              <w:rPr>
                <w:rFonts w:hint="default" w:ascii="宋体" w:hAnsi="宋体" w:eastAsia="宋体"/>
                <w:szCs w:val="21"/>
                <w:u w:val="single"/>
                <w:lang w:val="en-US" w:eastAsia="zh-CN"/>
              </w:rPr>
            </w:pPr>
            <w:r>
              <w:rPr>
                <w:rFonts w:ascii="宋体" w:hAnsi="宋体"/>
                <w:szCs w:val="21"/>
                <w:u w:val="single"/>
              </w:rPr>
              <w:t>投标人得分=A+B</w:t>
            </w:r>
            <w:r>
              <w:rPr>
                <w:rFonts w:hint="eastAsia" w:ascii="宋体" w:hAnsi="宋体"/>
                <w:szCs w:val="21"/>
                <w:u w:val="single"/>
                <w:lang w:val="en-US" w:eastAsia="zh-CN"/>
              </w:rPr>
              <w:t>+C</w:t>
            </w:r>
          </w:p>
        </w:tc>
      </w:tr>
    </w:tbl>
    <w:p>
      <w:pPr>
        <w:pStyle w:val="4"/>
        <w:spacing w:before="0" w:after="0" w:line="360" w:lineRule="auto"/>
        <w:rPr>
          <w:rFonts w:ascii="宋体" w:hAnsi="宋体"/>
          <w:b w:val="0"/>
          <w:snapToGrid w:val="0"/>
        </w:rPr>
      </w:pPr>
      <w:r>
        <w:rPr>
          <w:rFonts w:ascii="宋体" w:hAnsi="宋体"/>
          <w:b w:val="0"/>
          <w:snapToGrid w:val="0"/>
        </w:rPr>
        <w:br w:type="page"/>
      </w:r>
      <w:bookmarkEnd w:id="689"/>
      <w:bookmarkEnd w:id="690"/>
      <w:bookmarkEnd w:id="691"/>
      <w:bookmarkEnd w:id="692"/>
      <w:bookmarkEnd w:id="693"/>
      <w:bookmarkEnd w:id="694"/>
      <w:bookmarkEnd w:id="706"/>
      <w:bookmarkStart w:id="707" w:name="_Toc30803"/>
      <w:bookmarkStart w:id="708" w:name="_Toc57820627"/>
      <w:bookmarkStart w:id="709" w:name="_Toc15010"/>
      <w:r>
        <w:rPr>
          <w:rFonts w:ascii="宋体" w:hAnsi="宋体"/>
          <w:b w:val="0"/>
          <w:snapToGrid w:val="0"/>
        </w:rPr>
        <w:t>1.  评标方法</w:t>
      </w:r>
      <w:bookmarkEnd w:id="707"/>
      <w:bookmarkEnd w:id="708"/>
      <w:bookmarkEnd w:id="709"/>
    </w:p>
    <w:p>
      <w:pPr>
        <w:autoSpaceDE w:val="0"/>
        <w:autoSpaceDN w:val="0"/>
        <w:adjustRightInd w:val="0"/>
        <w:snapToGrid w:val="0"/>
        <w:spacing w:line="360" w:lineRule="auto"/>
        <w:ind w:firstLine="420"/>
        <w:rPr>
          <w:rFonts w:ascii="宋体" w:hAnsi="宋体"/>
          <w:kern w:val="0"/>
          <w:szCs w:val="21"/>
        </w:rPr>
      </w:pPr>
      <w:r>
        <w:rPr>
          <w:rFonts w:ascii="宋体" w:hAnsi="宋体"/>
          <w:kern w:val="0"/>
          <w:szCs w:val="21"/>
        </w:rPr>
        <w:t>本次评标采用综合评估法</w:t>
      </w:r>
      <w:r>
        <w:rPr>
          <w:rFonts w:ascii="宋体" w:hAnsi="宋体"/>
          <w:spacing w:val="-47"/>
          <w:kern w:val="0"/>
          <w:szCs w:val="21"/>
        </w:rPr>
        <w:t>。</w:t>
      </w:r>
      <w:r>
        <w:rPr>
          <w:rFonts w:ascii="宋体" w:hAnsi="宋体"/>
          <w:kern w:val="0"/>
          <w:szCs w:val="21"/>
        </w:rPr>
        <w:t xml:space="preserve">评标委员会按照本章第 </w:t>
      </w:r>
      <w:r>
        <w:rPr>
          <w:rFonts w:ascii="宋体" w:hAnsi="宋体"/>
          <w:spacing w:val="1"/>
          <w:kern w:val="0"/>
          <w:szCs w:val="21"/>
        </w:rPr>
        <w:t>2</w:t>
      </w:r>
      <w:r>
        <w:rPr>
          <w:rFonts w:ascii="宋体" w:hAnsi="宋体"/>
          <w:spacing w:val="-1"/>
          <w:kern w:val="0"/>
          <w:szCs w:val="21"/>
        </w:rPr>
        <w:t>.</w:t>
      </w:r>
      <w:r>
        <w:rPr>
          <w:rFonts w:ascii="宋体" w:hAnsi="宋体"/>
          <w:kern w:val="0"/>
          <w:szCs w:val="21"/>
        </w:rPr>
        <w:t>2</w:t>
      </w:r>
      <w:r>
        <w:rPr>
          <w:rFonts w:ascii="宋体" w:hAnsi="宋体"/>
          <w:spacing w:val="1"/>
          <w:kern w:val="0"/>
          <w:szCs w:val="21"/>
        </w:rPr>
        <w:t xml:space="preserve"> </w:t>
      </w:r>
      <w:r>
        <w:rPr>
          <w:rFonts w:ascii="宋体" w:hAnsi="宋体"/>
          <w:kern w:val="0"/>
          <w:szCs w:val="21"/>
        </w:rPr>
        <w:t>款</w:t>
      </w:r>
      <w:r>
        <w:rPr>
          <w:rFonts w:ascii="宋体" w:hAnsi="宋体"/>
          <w:spacing w:val="-1"/>
          <w:kern w:val="0"/>
          <w:szCs w:val="21"/>
        </w:rPr>
        <w:t>规</w:t>
      </w:r>
      <w:r>
        <w:rPr>
          <w:rFonts w:ascii="宋体" w:hAnsi="宋体"/>
          <w:kern w:val="0"/>
          <w:szCs w:val="21"/>
        </w:rPr>
        <w:t>定的评分标准进行</w:t>
      </w:r>
      <w:r>
        <w:rPr>
          <w:rFonts w:hint="eastAsia" w:ascii="宋体" w:hAnsi="宋体"/>
          <w:kern w:val="0"/>
          <w:szCs w:val="21"/>
          <w:lang w:eastAsia="zh-CN"/>
        </w:rPr>
        <w:t>评分</w:t>
      </w:r>
      <w:r>
        <w:rPr>
          <w:rFonts w:ascii="宋体" w:hAnsi="宋体"/>
          <w:kern w:val="0"/>
          <w:szCs w:val="21"/>
        </w:rPr>
        <w:t>，按得分由高到低顺序推荐中标候选人</w:t>
      </w:r>
      <w:r>
        <w:rPr>
          <w:rFonts w:ascii="宋体" w:hAnsi="宋体"/>
          <w:spacing w:val="-20"/>
          <w:kern w:val="0"/>
          <w:szCs w:val="21"/>
        </w:rPr>
        <w:t>，</w:t>
      </w:r>
      <w:r>
        <w:rPr>
          <w:rFonts w:ascii="宋体" w:hAnsi="宋体"/>
          <w:kern w:val="0"/>
          <w:szCs w:val="21"/>
        </w:rPr>
        <w:t>或根据招标人授权直接确定中标人</w:t>
      </w:r>
      <w:r>
        <w:rPr>
          <w:rFonts w:hint="eastAsia" w:ascii="宋体" w:hAnsi="宋体"/>
          <w:kern w:val="0"/>
          <w:szCs w:val="21"/>
        </w:rPr>
        <w:t>，若出现投标人投标报价相同的，以评标办法前附表约定的原则确定排序</w:t>
      </w:r>
      <w:r>
        <w:rPr>
          <w:rFonts w:ascii="宋体" w:hAnsi="宋体"/>
          <w:spacing w:val="-31"/>
          <w:kern w:val="0"/>
          <w:szCs w:val="21"/>
        </w:rPr>
        <w:t>。</w:t>
      </w:r>
    </w:p>
    <w:p>
      <w:pPr>
        <w:pStyle w:val="4"/>
        <w:spacing w:before="0" w:after="0" w:line="360" w:lineRule="auto"/>
        <w:rPr>
          <w:rFonts w:ascii="宋体" w:hAnsi="宋体"/>
          <w:b w:val="0"/>
          <w:snapToGrid w:val="0"/>
        </w:rPr>
      </w:pPr>
      <w:bookmarkStart w:id="710" w:name="_Toc200513199"/>
      <w:bookmarkStart w:id="711" w:name="_Toc287620752"/>
      <w:bookmarkStart w:id="712" w:name="_Toc277082619"/>
      <w:bookmarkStart w:id="713" w:name="_Toc30934"/>
      <w:bookmarkStart w:id="714" w:name="_Toc509218777"/>
      <w:bookmarkStart w:id="715" w:name="_Toc430530501"/>
      <w:bookmarkStart w:id="716" w:name="_Toc287607813"/>
      <w:bookmarkStart w:id="717" w:name="_Toc57820628"/>
      <w:bookmarkStart w:id="718" w:name="_Toc224103385"/>
      <w:bookmarkStart w:id="719" w:name="_Toc26598"/>
      <w:r>
        <w:rPr>
          <w:rFonts w:ascii="宋体" w:hAnsi="宋体"/>
          <w:b w:val="0"/>
          <w:snapToGrid w:val="0"/>
        </w:rPr>
        <w:t>2.  评审标准</w:t>
      </w:r>
      <w:bookmarkEnd w:id="710"/>
      <w:bookmarkEnd w:id="711"/>
      <w:bookmarkEnd w:id="712"/>
      <w:bookmarkEnd w:id="713"/>
      <w:bookmarkEnd w:id="714"/>
      <w:bookmarkEnd w:id="715"/>
      <w:bookmarkEnd w:id="716"/>
      <w:bookmarkEnd w:id="717"/>
      <w:bookmarkEnd w:id="718"/>
      <w:bookmarkEnd w:id="719"/>
    </w:p>
    <w:p>
      <w:pPr>
        <w:pStyle w:val="5"/>
        <w:snapToGrid w:val="0"/>
        <w:spacing w:before="0" w:after="0" w:line="360" w:lineRule="auto"/>
        <w:rPr>
          <w:rFonts w:ascii="宋体" w:hAnsi="宋体"/>
          <w:b w:val="0"/>
          <w:snapToGrid w:val="0"/>
          <w:sz w:val="24"/>
          <w:szCs w:val="24"/>
        </w:rPr>
      </w:pPr>
      <w:bookmarkStart w:id="720" w:name="_Toc277082620"/>
      <w:bookmarkStart w:id="721" w:name="_Toc509218778"/>
      <w:bookmarkStart w:id="722" w:name="_Toc287607814"/>
      <w:bookmarkStart w:id="723" w:name="_Toc287620753"/>
      <w:bookmarkStart w:id="724" w:name="_Toc224103386"/>
      <w:bookmarkStart w:id="725" w:name="_Toc30852"/>
      <w:bookmarkStart w:id="726" w:name="_Toc57820629"/>
      <w:bookmarkStart w:id="727" w:name="_Toc307"/>
      <w:bookmarkStart w:id="728" w:name="_Toc430530502"/>
      <w:bookmarkStart w:id="729" w:name="_Toc200513200"/>
      <w:r>
        <w:rPr>
          <w:rFonts w:ascii="宋体" w:hAnsi="宋体"/>
          <w:b w:val="0"/>
          <w:snapToGrid w:val="0"/>
          <w:sz w:val="24"/>
          <w:szCs w:val="24"/>
        </w:rPr>
        <w:t>2.1  初步评审标准</w:t>
      </w:r>
      <w:bookmarkEnd w:id="720"/>
      <w:bookmarkEnd w:id="721"/>
      <w:bookmarkEnd w:id="722"/>
      <w:bookmarkEnd w:id="723"/>
      <w:bookmarkEnd w:id="724"/>
      <w:bookmarkEnd w:id="725"/>
      <w:bookmarkEnd w:id="726"/>
      <w:bookmarkEnd w:id="727"/>
      <w:bookmarkEnd w:id="728"/>
      <w:bookmarkEnd w:id="729"/>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2.1.</w:t>
      </w:r>
      <w:r>
        <w:rPr>
          <w:rFonts w:hint="eastAsia" w:ascii="宋体" w:hAnsi="宋体"/>
          <w:kern w:val="0"/>
          <w:szCs w:val="21"/>
        </w:rPr>
        <w:t>1A</w:t>
      </w:r>
      <w:r>
        <w:rPr>
          <w:rFonts w:ascii="宋体" w:hAnsi="宋体"/>
          <w:kern w:val="0"/>
          <w:szCs w:val="21"/>
        </w:rPr>
        <w:t xml:space="preserve">  资格评审标准：见评标办法前附表（适用于未进行资格预审的）。</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2.1.</w:t>
      </w:r>
      <w:r>
        <w:rPr>
          <w:rFonts w:hint="eastAsia" w:ascii="宋体" w:hAnsi="宋体"/>
          <w:kern w:val="0"/>
          <w:szCs w:val="21"/>
        </w:rPr>
        <w:t>1B</w:t>
      </w:r>
      <w:r>
        <w:rPr>
          <w:rFonts w:ascii="宋体" w:hAnsi="宋体"/>
          <w:kern w:val="0"/>
          <w:szCs w:val="21"/>
        </w:rPr>
        <w:t xml:space="preserve">  资格评审标准：见资格预审文件第三章“资格审查办法”详细审查标准（适用于已进行资格预审的）。</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2.1.</w:t>
      </w:r>
      <w:r>
        <w:rPr>
          <w:rFonts w:hint="eastAsia" w:ascii="宋体" w:hAnsi="宋体"/>
          <w:kern w:val="0"/>
          <w:szCs w:val="21"/>
        </w:rPr>
        <w:t>2</w:t>
      </w:r>
      <w:r>
        <w:rPr>
          <w:rFonts w:ascii="宋体" w:hAnsi="宋体"/>
          <w:kern w:val="0"/>
          <w:szCs w:val="21"/>
        </w:rPr>
        <w:t xml:space="preserve">  形式评审标准：见评标办法前附表。</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2.1.3  响应性评审标准：见评标办法前附表。</w:t>
      </w:r>
    </w:p>
    <w:p>
      <w:pPr>
        <w:pStyle w:val="5"/>
        <w:snapToGrid w:val="0"/>
        <w:spacing w:before="0" w:after="0" w:line="360" w:lineRule="auto"/>
        <w:rPr>
          <w:rFonts w:ascii="宋体" w:hAnsi="宋体"/>
          <w:b w:val="0"/>
          <w:snapToGrid w:val="0"/>
          <w:sz w:val="24"/>
          <w:szCs w:val="24"/>
        </w:rPr>
      </w:pPr>
      <w:bookmarkStart w:id="730" w:name="_Toc57820630"/>
      <w:bookmarkStart w:id="731" w:name="_Toc200513201"/>
      <w:bookmarkStart w:id="732" w:name="_Toc287607815"/>
      <w:bookmarkStart w:id="733" w:name="_Toc430530503"/>
      <w:bookmarkStart w:id="734" w:name="_Toc287620754"/>
      <w:bookmarkStart w:id="735" w:name="_Toc14132"/>
      <w:bookmarkStart w:id="736" w:name="_Toc509218779"/>
      <w:bookmarkStart w:id="737" w:name="_Toc224103387"/>
      <w:bookmarkStart w:id="738" w:name="_Toc277082621"/>
      <w:bookmarkStart w:id="739" w:name="_Toc31303"/>
      <w:r>
        <w:rPr>
          <w:rFonts w:ascii="宋体" w:hAnsi="宋体"/>
          <w:b w:val="0"/>
          <w:snapToGrid w:val="0"/>
          <w:sz w:val="24"/>
          <w:szCs w:val="24"/>
        </w:rPr>
        <w:t>2.2  分值构成与评分标准</w:t>
      </w:r>
      <w:bookmarkEnd w:id="730"/>
      <w:bookmarkEnd w:id="731"/>
      <w:bookmarkEnd w:id="732"/>
      <w:bookmarkEnd w:id="733"/>
      <w:bookmarkEnd w:id="734"/>
      <w:bookmarkEnd w:id="735"/>
      <w:bookmarkEnd w:id="736"/>
      <w:bookmarkEnd w:id="737"/>
      <w:bookmarkEnd w:id="738"/>
      <w:bookmarkEnd w:id="739"/>
    </w:p>
    <w:p>
      <w:pPr>
        <w:autoSpaceDE w:val="0"/>
        <w:autoSpaceDN w:val="0"/>
        <w:adjustRightInd w:val="0"/>
        <w:snapToGrid w:val="0"/>
        <w:spacing w:line="360" w:lineRule="auto"/>
        <w:ind w:firstLine="525" w:firstLineChars="250"/>
        <w:rPr>
          <w:rFonts w:ascii="宋体" w:hAnsi="宋体"/>
          <w:kern w:val="0"/>
          <w:szCs w:val="21"/>
        </w:rPr>
      </w:pPr>
      <w:r>
        <w:rPr>
          <w:rFonts w:ascii="宋体" w:hAnsi="宋体"/>
          <w:kern w:val="0"/>
          <w:szCs w:val="21"/>
        </w:rPr>
        <w:t>2.2.1  分值构成</w:t>
      </w:r>
    </w:p>
    <w:p>
      <w:pPr>
        <w:autoSpaceDE w:val="0"/>
        <w:autoSpaceDN w:val="0"/>
        <w:adjustRightInd w:val="0"/>
        <w:snapToGrid w:val="0"/>
        <w:spacing w:line="360" w:lineRule="auto"/>
        <w:ind w:firstLine="420" w:firstLineChars="200"/>
        <w:rPr>
          <w:rFonts w:hint="eastAsia" w:ascii="宋体" w:hAnsi="宋体"/>
          <w:kern w:val="0"/>
          <w:szCs w:val="21"/>
        </w:rPr>
      </w:pPr>
      <w:r>
        <w:rPr>
          <w:rFonts w:ascii="宋体" w:hAnsi="宋体"/>
          <w:kern w:val="0"/>
          <w:szCs w:val="21"/>
        </w:rPr>
        <w:t>（</w:t>
      </w:r>
      <w:r>
        <w:rPr>
          <w:rFonts w:hint="eastAsia" w:ascii="宋体" w:hAnsi="宋体"/>
          <w:spacing w:val="1"/>
          <w:kern w:val="0"/>
          <w:szCs w:val="21"/>
        </w:rPr>
        <w:t>1</w:t>
      </w:r>
      <w:r>
        <w:rPr>
          <w:rFonts w:ascii="宋体" w:hAnsi="宋体"/>
          <w:kern w:val="0"/>
          <w:szCs w:val="21"/>
        </w:rPr>
        <w:t>）技术</w:t>
      </w:r>
      <w:r>
        <w:rPr>
          <w:rFonts w:hint="eastAsia" w:ascii="宋体" w:hAnsi="宋体"/>
          <w:kern w:val="0"/>
          <w:szCs w:val="21"/>
        </w:rPr>
        <w:t>部分</w:t>
      </w:r>
      <w:r>
        <w:rPr>
          <w:rFonts w:ascii="宋体" w:hAnsi="宋体"/>
          <w:kern w:val="0"/>
          <w:szCs w:val="21"/>
        </w:rPr>
        <w:t>：见评标办法前附表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hint="eastAsia" w:ascii="宋体" w:hAnsi="宋体" w:eastAsia="宋体"/>
          <w:kern w:val="0"/>
          <w:szCs w:val="21"/>
          <w:lang w:val="en-US" w:eastAsia="zh-CN"/>
        </w:rPr>
      </w:pPr>
      <w:r>
        <w:rPr>
          <w:rFonts w:hint="eastAsia" w:ascii="宋体" w:hAnsi="宋体"/>
          <w:color w:val="auto"/>
          <w:kern w:val="0"/>
          <w:szCs w:val="21"/>
          <w:highlight w:val="none"/>
        </w:rPr>
        <w:t>（2）商务部分：</w:t>
      </w:r>
      <w:r>
        <w:rPr>
          <w:rFonts w:ascii="宋体" w:hAnsi="宋体"/>
          <w:color w:val="auto"/>
          <w:kern w:val="0"/>
          <w:szCs w:val="21"/>
          <w:highlight w:val="none"/>
        </w:rPr>
        <w:t>见评标办法前附表</w:t>
      </w:r>
      <w:r>
        <w:rPr>
          <w:rFonts w:hint="eastAsia" w:ascii="宋体" w:hAnsi="宋体"/>
          <w:color w:val="auto"/>
          <w:kern w:val="0"/>
          <w:szCs w:val="21"/>
          <w:highlight w:val="none"/>
          <w:lang w:eastAsia="zh-CN"/>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lang w:val="en-US" w:eastAsia="zh-CN"/>
        </w:rPr>
        <w:t>3</w:t>
      </w:r>
      <w:r>
        <w:rPr>
          <w:rFonts w:ascii="宋体" w:hAnsi="宋体"/>
          <w:kern w:val="0"/>
          <w:szCs w:val="21"/>
        </w:rPr>
        <w:t>）投标</w:t>
      </w:r>
      <w:r>
        <w:rPr>
          <w:rFonts w:hint="eastAsia" w:ascii="宋体" w:hAnsi="宋体"/>
          <w:kern w:val="0"/>
          <w:szCs w:val="21"/>
        </w:rPr>
        <w:t>总</w:t>
      </w:r>
      <w:r>
        <w:rPr>
          <w:rFonts w:ascii="宋体" w:hAnsi="宋体"/>
          <w:spacing w:val="-1"/>
          <w:kern w:val="0"/>
          <w:szCs w:val="21"/>
        </w:rPr>
        <w:t>报</w:t>
      </w:r>
      <w:r>
        <w:rPr>
          <w:rFonts w:ascii="宋体" w:hAnsi="宋体"/>
          <w:kern w:val="0"/>
          <w:szCs w:val="21"/>
        </w:rPr>
        <w:t>价：见评标办法前附表</w:t>
      </w:r>
      <w:r>
        <w:rPr>
          <w:rFonts w:hint="eastAsia" w:ascii="宋体" w:hAnsi="宋体"/>
          <w:kern w:val="0"/>
          <w:szCs w:val="21"/>
        </w:rPr>
        <w:t>。</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2.2.</w:t>
      </w:r>
      <w:r>
        <w:rPr>
          <w:rFonts w:hint="eastAsia" w:ascii="宋体" w:hAnsi="宋体"/>
          <w:kern w:val="0"/>
          <w:szCs w:val="21"/>
        </w:rPr>
        <w:t>2  评审标准</w:t>
      </w:r>
    </w:p>
    <w:p>
      <w:pPr>
        <w:autoSpaceDE w:val="0"/>
        <w:autoSpaceDN w:val="0"/>
        <w:adjustRightInd w:val="0"/>
        <w:snapToGrid w:val="0"/>
        <w:spacing w:line="360" w:lineRule="auto"/>
        <w:ind w:firstLine="535" w:firstLineChars="255"/>
        <w:rPr>
          <w:rFonts w:ascii="宋体" w:hAnsi="宋体"/>
          <w:kern w:val="0"/>
          <w:szCs w:val="21"/>
        </w:rPr>
      </w:pPr>
      <w:r>
        <w:rPr>
          <w:rFonts w:hint="eastAsia" w:ascii="宋体" w:hAnsi="宋体"/>
          <w:kern w:val="0"/>
          <w:szCs w:val="21"/>
        </w:rPr>
        <w:t>（1）</w:t>
      </w:r>
      <w:r>
        <w:rPr>
          <w:rFonts w:ascii="宋体" w:hAnsi="宋体"/>
          <w:kern w:val="0"/>
          <w:szCs w:val="21"/>
        </w:rPr>
        <w:t>技术</w:t>
      </w:r>
      <w:r>
        <w:rPr>
          <w:rFonts w:hint="eastAsia" w:ascii="宋体" w:hAnsi="宋体"/>
          <w:kern w:val="0"/>
          <w:szCs w:val="21"/>
        </w:rPr>
        <w:t>部分</w:t>
      </w:r>
      <w:r>
        <w:rPr>
          <w:rFonts w:ascii="宋体" w:hAnsi="宋体"/>
          <w:kern w:val="0"/>
          <w:szCs w:val="21"/>
        </w:rPr>
        <w:t>评分标准：见评标办法前附表；（对于施工难度大、专业技术复杂的项目，应由招标人会同设计单位提出技术方案编写要点，作为评分标准）。</w:t>
      </w:r>
    </w:p>
    <w:p>
      <w:pPr>
        <w:autoSpaceDE w:val="0"/>
        <w:autoSpaceDN w:val="0"/>
        <w:adjustRightInd w:val="0"/>
        <w:snapToGrid w:val="0"/>
        <w:spacing w:line="360" w:lineRule="auto"/>
        <w:ind w:firstLine="535" w:firstLineChars="255"/>
        <w:rPr>
          <w:rFonts w:hint="eastAsia" w:ascii="宋体" w:hAnsi="宋体" w:eastAsia="宋体"/>
          <w:kern w:val="0"/>
          <w:szCs w:val="21"/>
          <w:lang w:eastAsia="zh-CN"/>
        </w:rPr>
      </w:pPr>
      <w:r>
        <w:rPr>
          <w:rFonts w:hint="eastAsia" w:ascii="宋体" w:hAnsi="宋体"/>
          <w:color w:val="auto"/>
          <w:kern w:val="0"/>
          <w:szCs w:val="21"/>
          <w:highlight w:val="none"/>
        </w:rPr>
        <w:t>（2）商务部分评分标准：</w:t>
      </w:r>
      <w:r>
        <w:rPr>
          <w:rFonts w:ascii="宋体" w:hAnsi="宋体"/>
          <w:color w:val="auto"/>
          <w:kern w:val="0"/>
          <w:szCs w:val="21"/>
          <w:highlight w:val="none"/>
        </w:rPr>
        <w:t>见评标办法前附表</w:t>
      </w:r>
      <w:r>
        <w:rPr>
          <w:rFonts w:hint="eastAsia" w:ascii="宋体" w:hAnsi="宋体"/>
          <w:color w:val="auto"/>
          <w:kern w:val="0"/>
          <w:szCs w:val="21"/>
          <w:highlight w:val="none"/>
          <w:lang w:eastAsia="zh-CN"/>
        </w:rPr>
        <w:t>；</w:t>
      </w:r>
    </w:p>
    <w:p>
      <w:pPr>
        <w:autoSpaceDE w:val="0"/>
        <w:autoSpaceDN w:val="0"/>
        <w:adjustRightInd w:val="0"/>
        <w:snapToGrid w:val="0"/>
        <w:spacing w:line="360" w:lineRule="auto"/>
        <w:ind w:firstLine="535" w:firstLineChars="255"/>
        <w:rPr>
          <w:rFonts w:hint="eastAsia" w:ascii="宋体" w:hAnsi="宋体" w:eastAsia="宋体"/>
          <w:kern w:val="0"/>
          <w:szCs w:val="21"/>
          <w:lang w:val="en-US" w:eastAsia="zh-CN"/>
        </w:rPr>
      </w:pPr>
      <w:r>
        <w:rPr>
          <w:rFonts w:hint="eastAsia" w:ascii="宋体" w:hAnsi="宋体"/>
          <w:kern w:val="0"/>
          <w:szCs w:val="21"/>
        </w:rPr>
        <w:t>（</w:t>
      </w:r>
      <w:r>
        <w:rPr>
          <w:rFonts w:hint="eastAsia" w:ascii="宋体" w:hAnsi="宋体"/>
          <w:kern w:val="0"/>
          <w:szCs w:val="21"/>
          <w:lang w:val="en-US" w:eastAsia="zh-CN"/>
        </w:rPr>
        <w:t>3</w:t>
      </w:r>
      <w:r>
        <w:rPr>
          <w:rFonts w:hint="eastAsia" w:ascii="宋体" w:hAnsi="宋体"/>
          <w:kern w:val="0"/>
          <w:szCs w:val="21"/>
        </w:rPr>
        <w:t>）</w:t>
      </w:r>
      <w:r>
        <w:rPr>
          <w:rFonts w:hint="eastAsia" w:ascii="宋体" w:hAnsi="宋体"/>
          <w:kern w:val="0"/>
          <w:szCs w:val="21"/>
          <w:lang w:eastAsia="zh-CN"/>
        </w:rPr>
        <w:t>投标函部分及报价部分</w:t>
      </w:r>
      <w:r>
        <w:rPr>
          <w:rFonts w:hint="eastAsia" w:ascii="宋体" w:hAnsi="宋体"/>
          <w:kern w:val="0"/>
          <w:szCs w:val="21"/>
        </w:rPr>
        <w:t>评审标准：见评标办法前附表</w:t>
      </w:r>
      <w:r>
        <w:rPr>
          <w:rFonts w:hint="eastAsia" w:ascii="宋体" w:hAnsi="宋体"/>
          <w:kern w:val="0"/>
          <w:szCs w:val="21"/>
          <w:lang w:val="en-US" w:eastAsia="zh-CN"/>
        </w:rPr>
        <w:t>。</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2.2.</w:t>
      </w:r>
      <w:r>
        <w:rPr>
          <w:rFonts w:hint="eastAsia" w:ascii="宋体" w:hAnsi="宋体"/>
          <w:kern w:val="0"/>
          <w:szCs w:val="21"/>
        </w:rPr>
        <w:t>3</w:t>
      </w:r>
      <w:r>
        <w:rPr>
          <w:rFonts w:ascii="宋体" w:hAnsi="宋体"/>
          <w:kern w:val="0"/>
          <w:szCs w:val="21"/>
        </w:rPr>
        <w:t xml:space="preserve">  评标基准价计算</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评标基准价计算方法：见评标办法前附表。</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2.2.</w:t>
      </w:r>
      <w:r>
        <w:rPr>
          <w:rFonts w:hint="eastAsia" w:ascii="宋体" w:hAnsi="宋体"/>
          <w:kern w:val="0"/>
          <w:szCs w:val="21"/>
        </w:rPr>
        <w:t>4</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投标报价的偏差率计算</w:t>
      </w:r>
      <w:r>
        <w:rPr>
          <w:rFonts w:hint="eastAsia" w:ascii="宋体" w:hAnsi="宋体"/>
          <w:kern w:val="0"/>
          <w:szCs w:val="21"/>
        </w:rPr>
        <w:t>和允许偏差范围</w:t>
      </w:r>
    </w:p>
    <w:p>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（1）</w:t>
      </w:r>
      <w:r>
        <w:rPr>
          <w:rFonts w:ascii="宋体" w:hAnsi="宋体"/>
          <w:kern w:val="0"/>
          <w:szCs w:val="21"/>
        </w:rPr>
        <w:t>投标报价的偏差率计算公式：见评标办法前附表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（2）投标报价的允许偏差范围</w:t>
      </w:r>
      <w:r>
        <w:rPr>
          <w:rFonts w:ascii="宋体" w:hAnsi="宋体"/>
          <w:kern w:val="0"/>
          <w:szCs w:val="21"/>
        </w:rPr>
        <w:t>：见评标办法前附表</w:t>
      </w:r>
      <w:r>
        <w:rPr>
          <w:rFonts w:hint="eastAsia" w:ascii="宋体" w:hAnsi="宋体"/>
          <w:kern w:val="0"/>
          <w:szCs w:val="21"/>
        </w:rPr>
        <w:t>。</w:t>
      </w:r>
    </w:p>
    <w:p>
      <w:pPr>
        <w:pStyle w:val="4"/>
        <w:spacing w:before="0" w:after="0" w:line="360" w:lineRule="auto"/>
        <w:rPr>
          <w:rFonts w:ascii="宋体" w:hAnsi="宋体"/>
          <w:b w:val="0"/>
          <w:snapToGrid w:val="0"/>
        </w:rPr>
      </w:pPr>
      <w:bookmarkStart w:id="740" w:name="_Toc509218780"/>
      <w:bookmarkStart w:id="741" w:name="_Toc200513202"/>
      <w:bookmarkStart w:id="742" w:name="_Toc430530504"/>
      <w:bookmarkStart w:id="743" w:name="_Toc287607816"/>
      <w:bookmarkStart w:id="744" w:name="_Toc9544"/>
      <w:bookmarkStart w:id="745" w:name="_Toc57820631"/>
      <w:bookmarkStart w:id="746" w:name="_Toc224103388"/>
      <w:bookmarkStart w:id="747" w:name="_Toc277082622"/>
      <w:bookmarkStart w:id="748" w:name="_Toc8164"/>
      <w:bookmarkStart w:id="749" w:name="_Toc287620755"/>
      <w:r>
        <w:rPr>
          <w:rFonts w:ascii="宋体" w:hAnsi="宋体"/>
          <w:b w:val="0"/>
          <w:snapToGrid w:val="0"/>
        </w:rPr>
        <w:t>3.  评标程序</w:t>
      </w:r>
      <w:bookmarkEnd w:id="740"/>
      <w:bookmarkEnd w:id="741"/>
      <w:bookmarkEnd w:id="742"/>
      <w:bookmarkEnd w:id="743"/>
      <w:bookmarkEnd w:id="744"/>
      <w:bookmarkEnd w:id="745"/>
      <w:bookmarkEnd w:id="746"/>
      <w:bookmarkEnd w:id="747"/>
      <w:bookmarkEnd w:id="748"/>
      <w:bookmarkEnd w:id="749"/>
    </w:p>
    <w:p>
      <w:pPr>
        <w:pStyle w:val="5"/>
        <w:snapToGrid w:val="0"/>
        <w:spacing w:before="0" w:after="0" w:line="360" w:lineRule="auto"/>
        <w:rPr>
          <w:rFonts w:ascii="宋体" w:hAnsi="宋体"/>
          <w:b w:val="0"/>
          <w:snapToGrid w:val="0"/>
          <w:sz w:val="24"/>
          <w:szCs w:val="24"/>
        </w:rPr>
      </w:pPr>
      <w:bookmarkStart w:id="750" w:name="_Toc287607817"/>
      <w:bookmarkStart w:id="751" w:name="_Toc277082623"/>
      <w:bookmarkStart w:id="752" w:name="_Toc287620756"/>
      <w:bookmarkStart w:id="753" w:name="_Toc57820632"/>
      <w:bookmarkStart w:id="754" w:name="_Toc200513203"/>
      <w:bookmarkStart w:id="755" w:name="_Toc509218781"/>
      <w:bookmarkStart w:id="756" w:name="_Toc224103389"/>
      <w:bookmarkStart w:id="757" w:name="_Toc21609"/>
      <w:bookmarkStart w:id="758" w:name="_Toc430530505"/>
      <w:bookmarkStart w:id="759" w:name="_Toc15193"/>
      <w:r>
        <w:rPr>
          <w:rFonts w:ascii="宋体" w:hAnsi="宋体"/>
          <w:b w:val="0"/>
          <w:snapToGrid w:val="0"/>
          <w:sz w:val="24"/>
          <w:szCs w:val="24"/>
        </w:rPr>
        <w:t>3.1  初步评审</w:t>
      </w:r>
      <w:bookmarkEnd w:id="750"/>
      <w:bookmarkEnd w:id="751"/>
      <w:bookmarkEnd w:id="752"/>
      <w:bookmarkEnd w:id="753"/>
      <w:bookmarkEnd w:id="754"/>
      <w:bookmarkEnd w:id="755"/>
      <w:bookmarkEnd w:id="756"/>
      <w:bookmarkEnd w:id="757"/>
      <w:bookmarkEnd w:id="758"/>
      <w:bookmarkEnd w:id="759"/>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3.1.1  评标委员会依据本章第 2.1 款规定的标准对投标文件进行初步评审。有一项不符合评审标准的，作否决投标处理。（适用于未进行资格预审的）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3.1.1  评标委员会依据本章第2.1.1项</w:t>
      </w:r>
      <w:r>
        <w:rPr>
          <w:rFonts w:hint="eastAsia" w:ascii="宋体" w:hAnsi="宋体"/>
          <w:kern w:val="0"/>
          <w:szCs w:val="21"/>
        </w:rPr>
        <w:t>至</w:t>
      </w:r>
      <w:r>
        <w:rPr>
          <w:rFonts w:ascii="宋体" w:hAnsi="宋体"/>
          <w:kern w:val="0"/>
          <w:szCs w:val="21"/>
        </w:rPr>
        <w:t>第2.1.3项规定的评审标准对投标文件进行初步评审。有一项不符合评审标准的，作否决投标处理。当投标人资格预审申请文件的内容发生重大变化时，评标委员会依据本章第2.1.2项规定的标准对其更新资料进行评审。（适用于已进行资格预审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3.1.2  投标人有以下情形之一的，其投标作否决投标处理：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1</w:t>
      </w:r>
      <w:r>
        <w:rPr>
          <w:rFonts w:ascii="宋体" w:hAnsi="宋体"/>
          <w:kern w:val="0"/>
          <w:szCs w:val="21"/>
        </w:rPr>
        <w:t>）第二</w:t>
      </w:r>
      <w:r>
        <w:rPr>
          <w:rFonts w:ascii="宋体" w:hAnsi="宋体"/>
          <w:spacing w:val="-1"/>
          <w:kern w:val="0"/>
          <w:szCs w:val="21"/>
        </w:rPr>
        <w:t>章</w:t>
      </w:r>
      <w:r>
        <w:rPr>
          <w:rFonts w:ascii="宋体" w:hAnsi="宋体"/>
          <w:kern w:val="0"/>
          <w:szCs w:val="21"/>
        </w:rPr>
        <w:t>“投标人须知”第</w:t>
      </w:r>
      <w:r>
        <w:rPr>
          <w:rFonts w:ascii="宋体" w:hAnsi="宋体"/>
          <w:spacing w:val="1"/>
          <w:kern w:val="0"/>
          <w:szCs w:val="21"/>
        </w:rPr>
        <w:t>1</w:t>
      </w:r>
      <w:r>
        <w:rPr>
          <w:rFonts w:ascii="宋体" w:hAnsi="宋体"/>
          <w:spacing w:val="-1"/>
          <w:kern w:val="0"/>
          <w:szCs w:val="21"/>
        </w:rPr>
        <w:t>.</w:t>
      </w:r>
      <w:r>
        <w:rPr>
          <w:rFonts w:ascii="宋体" w:hAnsi="宋体"/>
          <w:spacing w:val="1"/>
          <w:kern w:val="0"/>
          <w:szCs w:val="21"/>
        </w:rPr>
        <w:t>4</w:t>
      </w:r>
      <w:r>
        <w:rPr>
          <w:rFonts w:ascii="宋体" w:hAnsi="宋体"/>
          <w:spacing w:val="-1"/>
          <w:kern w:val="0"/>
          <w:szCs w:val="21"/>
        </w:rPr>
        <w:t>.</w:t>
      </w:r>
      <w:r>
        <w:rPr>
          <w:rFonts w:ascii="宋体" w:hAnsi="宋体"/>
          <w:kern w:val="0"/>
          <w:szCs w:val="21"/>
        </w:rPr>
        <w:t>3项规定的任何一种情形的；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2</w:t>
      </w:r>
      <w:r>
        <w:rPr>
          <w:rFonts w:ascii="宋体" w:hAnsi="宋体"/>
          <w:kern w:val="0"/>
          <w:szCs w:val="21"/>
        </w:rPr>
        <w:t>）</w:t>
      </w:r>
      <w:r>
        <w:rPr>
          <w:rFonts w:hint="eastAsia" w:ascii="宋体" w:hAnsi="宋体" w:cs="宋体"/>
          <w:szCs w:val="21"/>
        </w:rPr>
        <w:t>本次投标有串通投标、弄虚作假等其他违反招投标相关法律、法规行为的</w:t>
      </w:r>
      <w:r>
        <w:rPr>
          <w:rFonts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3</w:t>
      </w:r>
      <w:r>
        <w:rPr>
          <w:rFonts w:ascii="宋体" w:hAnsi="宋体"/>
          <w:kern w:val="0"/>
          <w:szCs w:val="21"/>
        </w:rPr>
        <w:t>）</w:t>
      </w:r>
      <w:r>
        <w:rPr>
          <w:rFonts w:hint="eastAsia" w:ascii="宋体" w:hAnsi="宋体"/>
          <w:kern w:val="0"/>
          <w:szCs w:val="21"/>
        </w:rPr>
        <w:t>拒绝</w:t>
      </w:r>
      <w:r>
        <w:rPr>
          <w:rFonts w:ascii="宋体" w:hAnsi="宋体"/>
          <w:kern w:val="0"/>
          <w:szCs w:val="21"/>
        </w:rPr>
        <w:t>按</w:t>
      </w:r>
      <w:r>
        <w:rPr>
          <w:rFonts w:ascii="宋体" w:hAnsi="宋体"/>
          <w:spacing w:val="-1"/>
          <w:kern w:val="0"/>
          <w:szCs w:val="21"/>
        </w:rPr>
        <w:t>评</w:t>
      </w:r>
      <w:r>
        <w:rPr>
          <w:rFonts w:ascii="宋体" w:hAnsi="宋体"/>
          <w:kern w:val="0"/>
          <w:szCs w:val="21"/>
        </w:rPr>
        <w:t>标委员会要求澄清、说明或补正的</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3.1.3  投标报价有算术错误的，评标委员会按以下原则对投标报价进行修正，修正的价格经投标人书面确认后具有约束力</w:t>
      </w:r>
      <w:r>
        <w:rPr>
          <w:rFonts w:hint="eastAsia" w:ascii="宋体" w:hAnsi="宋体"/>
          <w:kern w:val="0"/>
          <w:szCs w:val="21"/>
        </w:rPr>
        <w:t>，修正原则如下：</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（1）投标文件中的大写金额与小写金额不一致的，以大写金额为准；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w:t>
      </w:r>
      <w:r>
        <w:rPr>
          <w:rFonts w:hint="eastAsia" w:ascii="宋体" w:hAnsi="宋体"/>
          <w:kern w:val="0"/>
          <w:szCs w:val="21"/>
        </w:rPr>
        <w:t>投标函中的总报价与已标价工程量清单总报价不一致，</w:t>
      </w:r>
      <w:r>
        <w:rPr>
          <w:rFonts w:hint="eastAsia" w:ascii="宋体" w:hAnsi="宋体"/>
          <w:kern w:val="0"/>
          <w:szCs w:val="21"/>
          <w:lang w:val="en-US" w:eastAsia="zh-CN"/>
        </w:rPr>
        <w:t>或</w:t>
      </w:r>
      <w:r>
        <w:rPr>
          <w:rFonts w:hint="eastAsia" w:ascii="宋体" w:hAnsi="宋体"/>
          <w:kern w:val="0"/>
          <w:szCs w:val="21"/>
        </w:rPr>
        <w:t>工程量清单总报价与依据单价、工程数量、分部分项工程合价计算出的结果</w:t>
      </w:r>
      <w:r>
        <w:rPr>
          <w:rFonts w:ascii="宋体" w:hAnsi="宋体"/>
          <w:kern w:val="0"/>
          <w:szCs w:val="21"/>
        </w:rPr>
        <w:t>不一致的，</w:t>
      </w:r>
      <w:r>
        <w:rPr>
          <w:rFonts w:hint="eastAsia" w:ascii="宋体" w:hAnsi="宋体"/>
          <w:kern w:val="0"/>
          <w:szCs w:val="21"/>
        </w:rPr>
        <w:t>由评标委员会作否决投标处理</w:t>
      </w:r>
      <w:r>
        <w:rPr>
          <w:rFonts w:ascii="宋体" w:hAnsi="宋体"/>
          <w:kern w:val="0"/>
          <w:szCs w:val="21"/>
        </w:rPr>
        <w:t>。</w:t>
      </w:r>
    </w:p>
    <w:p>
      <w:pPr>
        <w:pStyle w:val="5"/>
        <w:snapToGrid w:val="0"/>
        <w:spacing w:before="0" w:after="0" w:line="360" w:lineRule="auto"/>
        <w:rPr>
          <w:rFonts w:ascii="宋体" w:hAnsi="宋体"/>
          <w:b w:val="0"/>
          <w:snapToGrid w:val="0"/>
          <w:sz w:val="24"/>
          <w:szCs w:val="24"/>
        </w:rPr>
      </w:pPr>
      <w:bookmarkStart w:id="760" w:name="_Toc224103390"/>
      <w:bookmarkStart w:id="761" w:name="_Toc277082624"/>
      <w:bookmarkStart w:id="762" w:name="_Toc200513204"/>
      <w:bookmarkStart w:id="763" w:name="_Toc287607818"/>
      <w:bookmarkStart w:id="764" w:name="_Toc430530506"/>
      <w:bookmarkStart w:id="765" w:name="_Toc32525"/>
      <w:bookmarkStart w:id="766" w:name="_Toc57820633"/>
      <w:bookmarkStart w:id="767" w:name="_Toc509218782"/>
      <w:bookmarkStart w:id="768" w:name="_Toc287620757"/>
      <w:bookmarkStart w:id="769" w:name="_Toc31770"/>
      <w:r>
        <w:rPr>
          <w:rFonts w:ascii="宋体" w:hAnsi="宋体"/>
          <w:b w:val="0"/>
          <w:snapToGrid w:val="0"/>
          <w:sz w:val="24"/>
          <w:szCs w:val="24"/>
        </w:rPr>
        <w:t>3.2  详细评审</w:t>
      </w:r>
      <w:bookmarkEnd w:id="760"/>
      <w:bookmarkEnd w:id="761"/>
      <w:bookmarkEnd w:id="762"/>
      <w:bookmarkEnd w:id="763"/>
      <w:bookmarkEnd w:id="764"/>
      <w:bookmarkEnd w:id="765"/>
      <w:bookmarkEnd w:id="766"/>
      <w:bookmarkEnd w:id="767"/>
      <w:bookmarkEnd w:id="768"/>
      <w:bookmarkEnd w:id="769"/>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3.2.1  评标委员会按本章第2.2款规定的量化因素和分值进行</w:t>
      </w:r>
      <w:r>
        <w:rPr>
          <w:rFonts w:hint="eastAsia" w:ascii="宋体" w:hAnsi="宋体"/>
          <w:kern w:val="0"/>
          <w:szCs w:val="21"/>
          <w:lang w:eastAsia="zh-CN"/>
        </w:rPr>
        <w:t>评分</w:t>
      </w:r>
      <w:r>
        <w:rPr>
          <w:rFonts w:ascii="宋体" w:hAnsi="宋体"/>
          <w:kern w:val="0"/>
          <w:szCs w:val="21"/>
        </w:rPr>
        <w:t>，并计算出综合评估得分。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kern w:val="0"/>
          <w:szCs w:val="21"/>
        </w:rPr>
        <w:t>1</w:t>
      </w:r>
      <w:r>
        <w:rPr>
          <w:rFonts w:ascii="宋体" w:hAnsi="宋体"/>
          <w:kern w:val="0"/>
          <w:szCs w:val="21"/>
        </w:rPr>
        <w:t>）按本章第3.2.1（</w:t>
      </w:r>
      <w:r>
        <w:rPr>
          <w:rFonts w:hint="eastAsia" w:ascii="宋体" w:hAnsi="宋体"/>
          <w:kern w:val="0"/>
          <w:szCs w:val="21"/>
        </w:rPr>
        <w:t>1</w:t>
      </w:r>
      <w:r>
        <w:rPr>
          <w:rFonts w:ascii="宋体" w:hAnsi="宋体"/>
          <w:kern w:val="0"/>
          <w:szCs w:val="21"/>
        </w:rPr>
        <w:t>）目规定的评审因素和分值对技术</w:t>
      </w:r>
      <w:r>
        <w:rPr>
          <w:rFonts w:hint="eastAsia" w:ascii="宋体" w:hAnsi="宋体"/>
          <w:kern w:val="0"/>
          <w:szCs w:val="21"/>
        </w:rPr>
        <w:t>部分</w:t>
      </w:r>
      <w:r>
        <w:rPr>
          <w:rFonts w:ascii="宋体" w:hAnsi="宋体"/>
          <w:kern w:val="0"/>
          <w:szCs w:val="21"/>
        </w:rPr>
        <w:t>计算出得分</w:t>
      </w:r>
      <w:r>
        <w:rPr>
          <w:rFonts w:hint="eastAsia" w:ascii="宋体" w:hAnsi="宋体"/>
          <w:kern w:val="0"/>
          <w:szCs w:val="21"/>
        </w:rPr>
        <w:t>A（</w:t>
      </w:r>
      <w:r>
        <w:rPr>
          <w:rFonts w:ascii="宋体" w:hAnsi="宋体"/>
          <w:snapToGrid w:val="0"/>
          <w:kern w:val="0"/>
          <w:szCs w:val="21"/>
        </w:rPr>
        <w:t>所有评委</w:t>
      </w:r>
      <w:r>
        <w:rPr>
          <w:rFonts w:hint="eastAsia" w:ascii="宋体" w:hAnsi="宋体"/>
          <w:snapToGrid w:val="0"/>
          <w:kern w:val="0"/>
          <w:szCs w:val="21"/>
          <w:lang w:eastAsia="zh-CN"/>
        </w:rPr>
        <w:t>评分</w:t>
      </w:r>
      <w:r>
        <w:rPr>
          <w:rFonts w:ascii="宋体" w:hAnsi="宋体"/>
          <w:snapToGrid w:val="0"/>
          <w:kern w:val="0"/>
          <w:szCs w:val="21"/>
        </w:rPr>
        <w:t>中去掉一个最高和一个最低分，余下评委</w:t>
      </w:r>
      <w:r>
        <w:rPr>
          <w:rFonts w:hint="eastAsia" w:ascii="宋体" w:hAnsi="宋体"/>
          <w:snapToGrid w:val="0"/>
          <w:kern w:val="0"/>
          <w:szCs w:val="21"/>
          <w:lang w:eastAsia="zh-CN"/>
        </w:rPr>
        <w:t>评分</w:t>
      </w:r>
      <w:r>
        <w:rPr>
          <w:rFonts w:ascii="宋体" w:hAnsi="宋体"/>
          <w:snapToGrid w:val="0"/>
          <w:kern w:val="0"/>
          <w:szCs w:val="21"/>
        </w:rPr>
        <w:t>取算术平均值为该投标人技术</w:t>
      </w:r>
      <w:r>
        <w:rPr>
          <w:rFonts w:hint="eastAsia" w:ascii="宋体" w:hAnsi="宋体"/>
          <w:snapToGrid w:val="0"/>
          <w:kern w:val="0"/>
          <w:szCs w:val="21"/>
        </w:rPr>
        <w:t>部分</w:t>
      </w:r>
      <w:r>
        <w:rPr>
          <w:rFonts w:ascii="宋体" w:hAnsi="宋体"/>
          <w:snapToGrid w:val="0"/>
          <w:kern w:val="0"/>
          <w:szCs w:val="21"/>
        </w:rPr>
        <w:t>得分。</w:t>
      </w:r>
      <w:r>
        <w:rPr>
          <w:rFonts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color w:val="auto"/>
          <w:kern w:val="0"/>
          <w:szCs w:val="21"/>
          <w:highlight w:val="none"/>
        </w:rPr>
        <w:t>（2）</w:t>
      </w:r>
      <w:r>
        <w:rPr>
          <w:rFonts w:ascii="宋体" w:hAnsi="宋体"/>
          <w:color w:val="auto"/>
          <w:kern w:val="0"/>
          <w:szCs w:val="21"/>
          <w:highlight w:val="none"/>
        </w:rPr>
        <w:t>按本章第3.2.1（</w:t>
      </w:r>
      <w:r>
        <w:rPr>
          <w:rFonts w:hint="eastAsia" w:ascii="宋体" w:hAnsi="宋体"/>
          <w:color w:val="auto"/>
          <w:kern w:val="0"/>
          <w:szCs w:val="21"/>
          <w:highlight w:val="none"/>
        </w:rPr>
        <w:t>2</w:t>
      </w:r>
      <w:r>
        <w:rPr>
          <w:rFonts w:ascii="宋体" w:hAnsi="宋体"/>
          <w:color w:val="auto"/>
          <w:kern w:val="0"/>
          <w:szCs w:val="21"/>
          <w:highlight w:val="none"/>
        </w:rPr>
        <w:t>）目规定的评审因素和分值对</w:t>
      </w:r>
      <w:r>
        <w:rPr>
          <w:rFonts w:hint="eastAsia" w:ascii="宋体" w:hAnsi="宋体"/>
          <w:color w:val="auto"/>
          <w:kern w:val="0"/>
          <w:szCs w:val="21"/>
          <w:highlight w:val="none"/>
        </w:rPr>
        <w:t>商务部分</w:t>
      </w:r>
      <w:r>
        <w:rPr>
          <w:rFonts w:ascii="宋体" w:hAnsi="宋体"/>
          <w:color w:val="auto"/>
          <w:kern w:val="0"/>
          <w:szCs w:val="21"/>
          <w:highlight w:val="none"/>
        </w:rPr>
        <w:t>计算出得分</w:t>
      </w:r>
      <w:r>
        <w:rPr>
          <w:rFonts w:hint="eastAsia" w:ascii="宋体" w:hAnsi="宋体"/>
          <w:color w:val="auto"/>
          <w:kern w:val="0"/>
          <w:szCs w:val="21"/>
          <w:highlight w:val="none"/>
        </w:rPr>
        <w:t>B</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kern w:val="0"/>
          <w:szCs w:val="21"/>
          <w:lang w:val="en-US" w:eastAsia="zh-CN"/>
        </w:rPr>
        <w:t>3</w:t>
      </w:r>
      <w:r>
        <w:rPr>
          <w:rFonts w:ascii="宋体" w:hAnsi="宋体"/>
          <w:kern w:val="0"/>
          <w:szCs w:val="21"/>
        </w:rPr>
        <w:t>）按本章第3.2.1（</w:t>
      </w:r>
      <w:r>
        <w:rPr>
          <w:rFonts w:hint="eastAsia" w:ascii="宋体" w:hAnsi="宋体"/>
          <w:kern w:val="0"/>
          <w:szCs w:val="21"/>
          <w:lang w:val="en-US" w:eastAsia="zh-CN"/>
        </w:rPr>
        <w:t>3</w:t>
      </w:r>
      <w:r>
        <w:rPr>
          <w:rFonts w:ascii="宋体" w:hAnsi="宋体"/>
          <w:kern w:val="0"/>
          <w:szCs w:val="21"/>
        </w:rPr>
        <w:t>）目规定的评审因素和分值对投标总报价计算出得分</w:t>
      </w:r>
      <w:r>
        <w:rPr>
          <w:rFonts w:hint="eastAsia" w:ascii="宋体" w:hAnsi="宋体"/>
          <w:kern w:val="0"/>
          <w:szCs w:val="21"/>
          <w:lang w:val="en-US" w:eastAsia="zh-CN"/>
        </w:rPr>
        <w:t>C</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3.2.2  各类评分分值的最终计算结果保留小数点后两位，小数点后第三位“四舍五入”。</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3.2.3  投标人得分=A+B</w:t>
      </w:r>
      <w:r>
        <w:rPr>
          <w:rFonts w:hint="eastAsia" w:ascii="宋体" w:hAnsi="宋体"/>
          <w:kern w:val="0"/>
          <w:szCs w:val="21"/>
          <w:lang w:val="en-US" w:eastAsia="zh-CN"/>
        </w:rPr>
        <w:t>+C</w:t>
      </w:r>
      <w:r>
        <w:rPr>
          <w:rFonts w:hint="eastAsia" w:ascii="宋体" w:hAnsi="宋体"/>
          <w:kern w:val="0"/>
          <w:szCs w:val="21"/>
        </w:rPr>
        <w:t>。</w:t>
      </w:r>
    </w:p>
    <w:p>
      <w:pPr>
        <w:pStyle w:val="5"/>
        <w:snapToGrid w:val="0"/>
        <w:spacing w:before="0" w:after="0" w:line="360" w:lineRule="auto"/>
        <w:rPr>
          <w:rFonts w:ascii="宋体" w:hAnsi="宋体"/>
          <w:b w:val="0"/>
          <w:snapToGrid w:val="0"/>
          <w:sz w:val="24"/>
          <w:szCs w:val="24"/>
        </w:rPr>
      </w:pPr>
      <w:bookmarkStart w:id="770" w:name="_Toc200513205"/>
      <w:bookmarkStart w:id="771" w:name="_Toc287620758"/>
      <w:bookmarkStart w:id="772" w:name="_Toc57820634"/>
      <w:bookmarkStart w:id="773" w:name="_Toc224103391"/>
      <w:bookmarkStart w:id="774" w:name="_Toc509218783"/>
      <w:bookmarkStart w:id="775" w:name="_Toc6252"/>
      <w:bookmarkStart w:id="776" w:name="_Toc277082625"/>
      <w:bookmarkStart w:id="777" w:name="_Toc287607819"/>
      <w:bookmarkStart w:id="778" w:name="_Toc430530507"/>
      <w:bookmarkStart w:id="779" w:name="_Toc10934"/>
      <w:r>
        <w:rPr>
          <w:rFonts w:ascii="宋体" w:hAnsi="宋体"/>
          <w:b w:val="0"/>
          <w:snapToGrid w:val="0"/>
          <w:sz w:val="24"/>
          <w:szCs w:val="24"/>
        </w:rPr>
        <w:t>3.3  投标文件的澄清和补正</w:t>
      </w:r>
      <w:bookmarkEnd w:id="770"/>
      <w:bookmarkEnd w:id="771"/>
      <w:bookmarkEnd w:id="772"/>
      <w:bookmarkEnd w:id="773"/>
      <w:bookmarkEnd w:id="774"/>
      <w:bookmarkEnd w:id="775"/>
      <w:bookmarkEnd w:id="776"/>
      <w:bookmarkEnd w:id="777"/>
      <w:bookmarkEnd w:id="778"/>
      <w:bookmarkEnd w:id="779"/>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3.3.1  在评标过程中，评标委员会可以书面形式要求投标人对所提交投标文件中不明确的内容进行书面澄清或说明，或者对细微偏差进行补正。评标委员会不接受投标人主动提出的澄清、说明或补正。</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3.3.2  澄清、说明和补正不得改变投标文件的实质性内容（算术性错误修正的除外）。投标人的书面澄清、说明和补正属于投标文件的组成部分。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3.3.3  评标委员会对投标人提交的澄清、说明或补正有疑问的，可以要求投标人进一步澄清、说明或补正，直至满足评标委员会的要求。</w:t>
      </w:r>
    </w:p>
    <w:p>
      <w:pPr>
        <w:pStyle w:val="5"/>
        <w:snapToGrid w:val="0"/>
        <w:spacing w:before="0" w:after="0" w:line="360" w:lineRule="auto"/>
        <w:rPr>
          <w:rFonts w:ascii="宋体" w:hAnsi="宋体"/>
          <w:b w:val="0"/>
          <w:snapToGrid w:val="0"/>
          <w:sz w:val="24"/>
          <w:szCs w:val="24"/>
        </w:rPr>
      </w:pPr>
      <w:bookmarkStart w:id="780" w:name="_Toc430530508"/>
      <w:bookmarkStart w:id="781" w:name="_Toc57820635"/>
      <w:bookmarkStart w:id="782" w:name="_Toc509218784"/>
      <w:bookmarkStart w:id="783" w:name="_Toc200513206"/>
      <w:bookmarkStart w:id="784" w:name="_Toc287607820"/>
      <w:bookmarkStart w:id="785" w:name="_Toc287620759"/>
      <w:bookmarkStart w:id="786" w:name="_Toc22633"/>
      <w:bookmarkStart w:id="787" w:name="_Toc224103392"/>
      <w:bookmarkStart w:id="788" w:name="_Toc277082626"/>
      <w:bookmarkStart w:id="789" w:name="_Toc12642"/>
      <w:r>
        <w:rPr>
          <w:rFonts w:ascii="宋体" w:hAnsi="宋体"/>
          <w:b w:val="0"/>
          <w:snapToGrid w:val="0"/>
          <w:sz w:val="24"/>
          <w:szCs w:val="24"/>
        </w:rPr>
        <w:t>3.4  评标结果</w:t>
      </w:r>
      <w:bookmarkEnd w:id="780"/>
      <w:bookmarkEnd w:id="781"/>
      <w:bookmarkEnd w:id="782"/>
      <w:bookmarkEnd w:id="783"/>
      <w:bookmarkEnd w:id="784"/>
      <w:bookmarkEnd w:id="785"/>
      <w:bookmarkEnd w:id="786"/>
      <w:bookmarkEnd w:id="787"/>
      <w:bookmarkEnd w:id="788"/>
      <w:bookmarkEnd w:id="789"/>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 xml:space="preserve">.1 </w:t>
      </w:r>
      <w:r>
        <w:rPr>
          <w:rFonts w:ascii="宋体" w:hAnsi="宋体"/>
          <w:spacing w:val="1"/>
          <w:kern w:val="0"/>
          <w:szCs w:val="21"/>
        </w:rPr>
        <w:t xml:space="preserve"> </w:t>
      </w: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员会按照</w:t>
      </w:r>
      <w:r>
        <w:rPr>
          <w:rFonts w:ascii="宋体" w:hAnsi="宋体"/>
          <w:spacing w:val="1"/>
          <w:kern w:val="0"/>
          <w:szCs w:val="21"/>
        </w:rPr>
        <w:t>得分</w:t>
      </w:r>
      <w:r>
        <w:rPr>
          <w:rFonts w:ascii="宋体" w:hAnsi="宋体"/>
          <w:kern w:val="0"/>
          <w:szCs w:val="21"/>
        </w:rPr>
        <w:t>由高到低的顺序推荐中标候选人。</w:t>
      </w:r>
    </w:p>
    <w:p>
      <w:pPr>
        <w:autoSpaceDE w:val="0"/>
        <w:autoSpaceDN w:val="0"/>
        <w:adjustRightInd w:val="0"/>
        <w:snapToGrid w:val="0"/>
        <w:spacing w:line="360" w:lineRule="auto"/>
        <w:ind w:firstLine="424" w:firstLineChars="200"/>
        <w:rPr>
          <w:rFonts w:ascii="宋体" w:hAnsi="宋体"/>
          <w:kern w:val="0"/>
          <w:sz w:val="20"/>
          <w:szCs w:val="20"/>
        </w:rPr>
      </w:pPr>
      <w:r>
        <w:rPr>
          <w:rFonts w:ascii="宋体" w:hAnsi="宋体"/>
          <w:spacing w:val="1"/>
          <w:kern w:val="0"/>
          <w:szCs w:val="21"/>
        </w:rPr>
        <w:t>3</w:t>
      </w:r>
      <w:r>
        <w:rPr>
          <w:rFonts w:ascii="宋体" w:hAnsi="宋体"/>
          <w:kern w:val="0"/>
          <w:szCs w:val="21"/>
        </w:rPr>
        <w:t>.4.2  评标</w:t>
      </w:r>
      <w:r>
        <w:rPr>
          <w:rFonts w:ascii="宋体" w:hAnsi="宋体"/>
          <w:spacing w:val="-1"/>
          <w:kern w:val="0"/>
          <w:szCs w:val="21"/>
        </w:rPr>
        <w:t>委</w:t>
      </w:r>
      <w:r>
        <w:rPr>
          <w:rFonts w:ascii="宋体" w:hAnsi="宋体"/>
          <w:kern w:val="0"/>
          <w:szCs w:val="21"/>
        </w:rPr>
        <w:t>员会完成评标后，应当向招标人提交书面评标报告。</w:t>
      </w:r>
    </w:p>
    <w:p>
      <w:pPr>
        <w:spacing w:line="360" w:lineRule="auto"/>
        <w:rPr>
          <w:rFonts w:ascii="宋体" w:hAnsi="宋体"/>
          <w:b/>
          <w:szCs w:val="20"/>
        </w:rPr>
      </w:pPr>
      <w:r>
        <w:rPr>
          <w:rFonts w:ascii="宋体" w:hAnsi="宋体"/>
          <w:kern w:val="0"/>
          <w:sz w:val="20"/>
          <w:szCs w:val="20"/>
        </w:rPr>
        <w:br w:type="page"/>
      </w:r>
    </w:p>
    <w:p>
      <w:pPr>
        <w:pStyle w:val="33"/>
        <w:spacing w:line="360" w:lineRule="auto"/>
        <w:rPr>
          <w:rFonts w:ascii="宋体" w:hAnsi="宋体"/>
          <w:b/>
          <w:sz w:val="28"/>
          <w:szCs w:val="28"/>
          <w:u w:val="none"/>
          <w:lang w:eastAsia="zh-CN"/>
        </w:rPr>
      </w:pPr>
      <w:bookmarkStart w:id="790" w:name="招标文件04章合同条款及格式"/>
      <w:bookmarkEnd w:id="790"/>
      <w:bookmarkStart w:id="791" w:name="招标文件03章02评标办法综合评估法02附件02"/>
      <w:bookmarkEnd w:id="791"/>
      <w:bookmarkStart w:id="792" w:name="_Toc230410480"/>
      <w:bookmarkStart w:id="793" w:name="_Toc277082627"/>
      <w:r>
        <w:rPr>
          <w:rFonts w:ascii="宋体" w:hAnsi="宋体"/>
          <w:b/>
          <w:sz w:val="28"/>
          <w:szCs w:val="28"/>
          <w:u w:val="none"/>
          <w:lang w:eastAsia="zh-CN"/>
        </w:rPr>
        <w:t>附件A：综合评估法否决投标情况一览表</w:t>
      </w:r>
      <w:bookmarkEnd w:id="792"/>
    </w:p>
    <w:bookmarkEnd w:id="793"/>
    <w:p>
      <w:pPr>
        <w:pStyle w:val="33"/>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r>
        <w:rPr>
          <w:rFonts w:ascii="宋体" w:hAnsi="宋体"/>
          <w:sz w:val="21"/>
          <w:szCs w:val="21"/>
          <w:u w:val="none"/>
          <w:lang w:eastAsia="zh-CN"/>
        </w:rPr>
        <w:t>。</w:t>
      </w:r>
    </w:p>
    <w:tbl>
      <w:tblPr>
        <w:tblStyle w:val="45"/>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spacing w:line="400" w:lineRule="exact"/>
              <w:jc w:val="center"/>
              <w:rPr>
                <w:rFonts w:ascii="宋体" w:hAnsi="宋体"/>
                <w:b/>
                <w:szCs w:val="21"/>
              </w:rPr>
            </w:pPr>
            <w:r>
              <w:rPr>
                <w:rFonts w:ascii="宋体" w:hAnsi="宋体"/>
                <w:b/>
                <w:szCs w:val="21"/>
              </w:rPr>
              <w:t>章节号</w:t>
            </w:r>
          </w:p>
        </w:tc>
        <w:tc>
          <w:tcPr>
            <w:tcW w:w="1899" w:type="dxa"/>
            <w:vAlign w:val="center"/>
          </w:tcPr>
          <w:p>
            <w:pPr>
              <w:spacing w:line="400" w:lineRule="exact"/>
              <w:jc w:val="center"/>
              <w:rPr>
                <w:rFonts w:ascii="宋体" w:hAnsi="宋体"/>
                <w:b/>
                <w:szCs w:val="21"/>
              </w:rPr>
            </w:pPr>
            <w:r>
              <w:rPr>
                <w:rFonts w:ascii="宋体" w:hAnsi="宋体"/>
                <w:b/>
                <w:szCs w:val="21"/>
              </w:rPr>
              <w:t>条款名称</w:t>
            </w:r>
          </w:p>
        </w:tc>
        <w:tc>
          <w:tcPr>
            <w:tcW w:w="6333" w:type="dxa"/>
            <w:vAlign w:val="center"/>
          </w:tcPr>
          <w:p>
            <w:pPr>
              <w:spacing w:line="400" w:lineRule="exact"/>
              <w:jc w:val="center"/>
              <w:rPr>
                <w:rFonts w:ascii="宋体" w:hAnsi="宋体"/>
                <w:b/>
                <w:szCs w:val="21"/>
              </w:rPr>
            </w:pPr>
            <w:r>
              <w:rPr>
                <w:rFonts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restart"/>
            <w:vAlign w:val="center"/>
          </w:tcPr>
          <w:p>
            <w:pPr>
              <w:spacing w:line="400" w:lineRule="exact"/>
              <w:jc w:val="center"/>
              <w:rPr>
                <w:rFonts w:ascii="宋体" w:hAnsi="宋体"/>
                <w:szCs w:val="21"/>
              </w:rPr>
            </w:pPr>
            <w:r>
              <w:rPr>
                <w:rFonts w:hint="eastAsia" w:ascii="宋体" w:hAnsi="宋体"/>
                <w:szCs w:val="21"/>
              </w:rPr>
              <w:t>第三章</w:t>
            </w:r>
          </w:p>
        </w:tc>
        <w:tc>
          <w:tcPr>
            <w:tcW w:w="1899" w:type="dxa"/>
            <w:vMerge w:val="restart"/>
            <w:vAlign w:val="center"/>
          </w:tcPr>
          <w:p>
            <w:pPr>
              <w:spacing w:line="400" w:lineRule="exact"/>
              <w:jc w:val="center"/>
              <w:rPr>
                <w:rFonts w:ascii="宋体" w:hAnsi="宋体"/>
                <w:szCs w:val="21"/>
              </w:rPr>
            </w:pPr>
            <w:r>
              <w:rPr>
                <w:rFonts w:hint="eastAsia" w:ascii="宋体" w:hAnsi="宋体"/>
                <w:szCs w:val="21"/>
              </w:rPr>
              <w:t>资格评审</w:t>
            </w: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A-1投标人的资质条件、独立法人资格及安全生产条件须满足投标人须知前附表1.4.1项的要求，否则由评标委员会作否决投标处理。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A-2投标人的财务须满足投标人须知前附表第1.4.1项的要求，否则由评标委员会作否决投标处理（如有）。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A-3投标人的业绩须满足投标人须知前附表第1.4.1项的要求，否则由评标委员会作否决投标处理（如有）。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A-4投标人的投标截止日投标资格情况须满足投标人须知前附表第1.4.1项的要求，否则由评标委员会作否决投标处理。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A-5投标人的项目经理资格须满足投标人须知前附表第1.4.1项的要求，否则由评标委员会作否决投标处理。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A-6投标人的其他要求须满足投标人须知前附表1.4.1项的要求，否则由评标委员会作否决投标处理。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A-7若有联合体投标人，则：</w:t>
            </w:r>
          </w:p>
          <w:p>
            <w:pPr>
              <w:spacing w:line="400" w:lineRule="exact"/>
              <w:ind w:firstLine="420" w:firstLineChars="200"/>
              <w:rPr>
                <w:rFonts w:ascii="宋体" w:hAnsi="宋体"/>
                <w:szCs w:val="21"/>
              </w:rPr>
            </w:pPr>
            <w:r>
              <w:rPr>
                <w:rFonts w:hint="eastAsia" w:ascii="宋体" w:hAnsi="宋体"/>
                <w:szCs w:val="21"/>
              </w:rPr>
              <w:t>（1）联合体各方应按照招标文件提供的格式签订</w:t>
            </w:r>
            <w:r>
              <w:rPr>
                <w:rFonts w:hint="eastAsia" w:ascii="宋体" w:hAnsi="宋体"/>
                <w:szCs w:val="21"/>
                <w:lang w:eastAsia="zh-CN"/>
              </w:rPr>
              <w:t>共同投标协议</w:t>
            </w:r>
            <w:r>
              <w:rPr>
                <w:rFonts w:hint="eastAsia" w:ascii="宋体" w:hAnsi="宋体"/>
                <w:szCs w:val="21"/>
              </w:rPr>
              <w:t>，明确联合体牵头人和各方权利义务；</w:t>
            </w:r>
          </w:p>
          <w:p>
            <w:pPr>
              <w:spacing w:line="400" w:lineRule="exact"/>
              <w:ind w:firstLine="420" w:firstLineChars="200"/>
              <w:rPr>
                <w:rFonts w:ascii="宋体" w:hAnsi="宋体"/>
                <w:szCs w:val="21"/>
              </w:rPr>
            </w:pPr>
            <w:r>
              <w:rPr>
                <w:rFonts w:hint="eastAsia" w:ascii="宋体" w:hAnsi="宋体"/>
                <w:szCs w:val="21"/>
              </w:rPr>
              <w:t>（2）联合体各方均应当具备承担招标项目的相应能力，</w:t>
            </w:r>
            <w:r>
              <w:rPr>
                <w:rFonts w:hint="eastAsia" w:ascii="宋体" w:hAnsi="宋体"/>
                <w:szCs w:val="21"/>
                <w:lang w:eastAsia="zh-CN"/>
              </w:rPr>
              <w:t>共同投标协议</w:t>
            </w:r>
            <w:r>
              <w:rPr>
                <w:rFonts w:hint="eastAsia" w:ascii="宋体" w:hAnsi="宋体"/>
                <w:szCs w:val="21"/>
              </w:rPr>
              <w:t>约定同一专业分工由两个及以上单位共同承担的，按照资质等级较低的单位确定资质等级；</w:t>
            </w:r>
          </w:p>
          <w:p>
            <w:pPr>
              <w:spacing w:line="400" w:lineRule="exact"/>
              <w:ind w:firstLine="420" w:firstLineChars="200"/>
              <w:rPr>
                <w:rFonts w:ascii="宋体" w:hAnsi="宋体"/>
                <w:szCs w:val="21"/>
              </w:rPr>
            </w:pPr>
            <w:r>
              <w:rPr>
                <w:rFonts w:hint="eastAsia" w:ascii="宋体" w:hAnsi="宋体"/>
                <w:szCs w:val="21"/>
              </w:rPr>
              <w:t>（3）联合体各方不得再以自己名义单独或参加其他联合体在同一标段中投标。</w:t>
            </w:r>
          </w:p>
          <w:p>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restart"/>
            <w:vAlign w:val="center"/>
          </w:tcPr>
          <w:p>
            <w:pPr>
              <w:spacing w:line="400" w:lineRule="exact"/>
              <w:jc w:val="center"/>
              <w:rPr>
                <w:rFonts w:ascii="宋体" w:hAnsi="宋体"/>
                <w:szCs w:val="21"/>
              </w:rPr>
            </w:pPr>
            <w:r>
              <w:rPr>
                <w:rFonts w:hint="eastAsia" w:ascii="宋体" w:hAnsi="宋体"/>
                <w:szCs w:val="21"/>
              </w:rPr>
              <w:t>形式评审</w:t>
            </w:r>
          </w:p>
        </w:tc>
        <w:tc>
          <w:tcPr>
            <w:tcW w:w="6333" w:type="dxa"/>
          </w:tcPr>
          <w:p>
            <w:pPr>
              <w:spacing w:line="400" w:lineRule="exact"/>
              <w:ind w:firstLine="420" w:firstLineChars="200"/>
              <w:rPr>
                <w:rFonts w:ascii="宋体" w:hAnsi="宋体"/>
                <w:szCs w:val="21"/>
              </w:rPr>
            </w:pPr>
            <w:r>
              <w:rPr>
                <w:rFonts w:hint="eastAsia" w:ascii="宋体" w:hAnsi="宋体"/>
                <w:szCs w:val="21"/>
              </w:rPr>
              <w:t>A-8投标人名称必须与营业执照、资质证书、安全生产许可证一致，依法变更名称的应提交相应证明材料，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szCs w:val="21"/>
              </w:rPr>
            </w:pPr>
            <w:r>
              <w:rPr>
                <w:rFonts w:hint="eastAsia" w:ascii="宋体" w:hAnsi="宋体"/>
                <w:szCs w:val="21"/>
              </w:rPr>
              <w:t>A-9投标文件格式（不含投标函部分）符合第二章“投标人须知”第3.7款的要求，否则由评标委员会作否决投标处理。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szCs w:val="21"/>
              </w:rPr>
              <w:t>编制投标文件时不得对第八章“投标文件格式”的相应要素作实质性修改，否则视为重大偏差，由评标委员会作否决投标处理。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szCs w:val="21"/>
              </w:rPr>
            </w:pPr>
            <w:r>
              <w:rPr>
                <w:rFonts w:hint="eastAsia" w:ascii="宋体" w:hAnsi="宋体"/>
                <w:szCs w:val="21"/>
              </w:rPr>
              <w:t>A-10联合体参与投标的应提交</w:t>
            </w:r>
            <w:r>
              <w:rPr>
                <w:rFonts w:hint="eastAsia" w:ascii="宋体" w:hAnsi="宋体"/>
                <w:szCs w:val="21"/>
                <w:lang w:eastAsia="zh-CN"/>
              </w:rPr>
              <w:t>共同投标协议</w:t>
            </w:r>
            <w:r>
              <w:rPr>
                <w:rFonts w:hint="eastAsia" w:ascii="宋体" w:hAnsi="宋体"/>
                <w:szCs w:val="21"/>
              </w:rPr>
              <w:t>，并明确联合体牵头人。在</w:t>
            </w:r>
            <w:r>
              <w:rPr>
                <w:rFonts w:hint="eastAsia" w:ascii="宋体" w:hAnsi="宋体"/>
                <w:szCs w:val="21"/>
                <w:lang w:eastAsia="zh-CN"/>
              </w:rPr>
              <w:t>共同投标协议</w:t>
            </w:r>
            <w:r>
              <w:rPr>
                <w:rFonts w:hint="eastAsia" w:ascii="宋体" w:hAnsi="宋体"/>
                <w:szCs w:val="21"/>
              </w:rPr>
              <w:t>第5条联合体各成员单位内部的职责分工中填写的联合体所有成员单位名称应与其营业执照、资质证书、安全生产许可证一致，依法变更名称的应提交相应证明材料，否则由评标委员会作否决投标处理。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szCs w:val="21"/>
              </w:rPr>
            </w:pPr>
            <w:r>
              <w:rPr>
                <w:rFonts w:hint="eastAsia" w:ascii="宋体" w:hAnsi="宋体"/>
                <w:szCs w:val="21"/>
              </w:rPr>
              <w:t>A-11第八章 投标文件格式（不含投标函部分）要求法定代表人或其委托代理人签名（或盖章）的须齐全，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szCs w:val="21"/>
              </w:rPr>
              <w:t>否则由评标委员会作否决投标处理。</w:t>
            </w:r>
          </w:p>
          <w:p>
            <w:pPr>
              <w:spacing w:line="400" w:lineRule="exact"/>
              <w:ind w:firstLine="420" w:firstLineChars="200"/>
              <w:rPr>
                <w:rFonts w:ascii="宋体" w:hAnsi="宋体"/>
                <w:szCs w:val="21"/>
              </w:rPr>
            </w:pPr>
            <w:r>
              <w:rPr>
                <w:rFonts w:hint="eastAsia" w:ascii="宋体" w:hAnsi="宋体"/>
                <w:szCs w:val="21"/>
              </w:rPr>
              <w:t>若投标单位为联合体，则</w:t>
            </w:r>
            <w:r>
              <w:rPr>
                <w:rFonts w:hint="eastAsia" w:ascii="宋体" w:hAnsi="宋体"/>
                <w:szCs w:val="21"/>
                <w:lang w:eastAsia="zh-CN"/>
              </w:rPr>
              <w:t>共同投标协议</w:t>
            </w:r>
            <w:r>
              <w:rPr>
                <w:rFonts w:hint="eastAsia" w:ascii="宋体" w:hAnsi="宋体"/>
                <w:szCs w:val="21"/>
              </w:rPr>
              <w:t>中各联合体成员单位签名（或盖章）须齐全，</w:t>
            </w:r>
            <w:r>
              <w:rPr>
                <w:rFonts w:hint="eastAsia" w:ascii="宋体" w:hAnsi="宋体"/>
                <w:szCs w:val="21"/>
                <w:lang w:eastAsia="zh-CN"/>
              </w:rPr>
              <w:t>共同投标协议</w:t>
            </w:r>
            <w:r>
              <w:rPr>
                <w:rFonts w:hint="eastAsia" w:ascii="宋体" w:hAnsi="宋体"/>
                <w:szCs w:val="21"/>
              </w:rPr>
              <w:t>以外的投标文件格式中，要求法定代表人或其委托代理人签名（或盖章）的均由联合体牵头人法定代表人或其委托代理人签名（或盖章），否则由评标委员会作否决投标处理。</w:t>
            </w:r>
          </w:p>
          <w:p>
            <w:pPr>
              <w:spacing w:line="400" w:lineRule="exact"/>
              <w:ind w:firstLine="420" w:firstLineChars="200"/>
              <w:rPr>
                <w:rFonts w:ascii="宋体" w:hAnsi="宋体"/>
                <w:szCs w:val="21"/>
              </w:rPr>
            </w:pPr>
            <w:r>
              <w:rPr>
                <w:rFonts w:hint="eastAsia" w:ascii="宋体" w:hAnsi="宋体"/>
                <w:szCs w:val="21"/>
              </w:rPr>
              <w:t>第八章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szCs w:val="21"/>
              </w:rPr>
            </w:pPr>
            <w:r>
              <w:rPr>
                <w:rFonts w:hint="eastAsia" w:ascii="宋体" w:hAnsi="宋体"/>
                <w:szCs w:val="21"/>
              </w:rPr>
              <w:t>若投标单位为联合体，则</w:t>
            </w:r>
            <w:r>
              <w:rPr>
                <w:rFonts w:hint="eastAsia" w:ascii="宋体" w:hAnsi="宋体"/>
                <w:szCs w:val="21"/>
                <w:lang w:eastAsia="zh-CN"/>
              </w:rPr>
              <w:t>共同投标协议</w:t>
            </w:r>
            <w:r>
              <w:rPr>
                <w:rFonts w:hint="eastAsia" w:ascii="宋体" w:hAnsi="宋体"/>
                <w:szCs w:val="21"/>
              </w:rPr>
              <w:t>中要求各联合体成员盖单位法人章的，各联合体成员盖章须齐全，</w:t>
            </w:r>
            <w:r>
              <w:rPr>
                <w:rFonts w:hint="eastAsia" w:ascii="宋体" w:hAnsi="宋体"/>
                <w:szCs w:val="21"/>
                <w:lang w:eastAsia="zh-CN"/>
              </w:rPr>
              <w:t>共同投标协议</w:t>
            </w:r>
            <w:r>
              <w:rPr>
                <w:rFonts w:hint="eastAsia" w:ascii="宋体" w:hAnsi="宋体"/>
                <w:szCs w:val="21"/>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szCs w:val="21"/>
              </w:rPr>
            </w:pPr>
            <w:r>
              <w:rPr>
                <w:rFonts w:hint="eastAsia" w:ascii="宋体" w:hAnsi="宋体"/>
                <w:szCs w:val="21"/>
              </w:rPr>
              <w:t>A-12投标人法定代表人的委托代理人有法定代表人签署的授权委托书和投标人为其缴纳的养老保险证明材料，否则由评标委员会作否决投标处理。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restart"/>
            <w:vAlign w:val="center"/>
          </w:tcPr>
          <w:p>
            <w:pPr>
              <w:spacing w:line="400" w:lineRule="exact"/>
              <w:jc w:val="center"/>
              <w:rPr>
                <w:rFonts w:ascii="宋体" w:hAnsi="宋体"/>
                <w:szCs w:val="21"/>
              </w:rPr>
            </w:pPr>
            <w:r>
              <w:rPr>
                <w:rFonts w:hint="eastAsia" w:ascii="宋体" w:hAnsi="宋体"/>
                <w:szCs w:val="21"/>
              </w:rPr>
              <w:t>响应性评审</w:t>
            </w: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A-13投标内容符合第二章“投标人须知”第1.3.1项规定，否则由评标委员会作否决投标处理。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A-14投标人应按投标人须知前附表第3.4款规定递交投标保证金，并作为其投标文件的组成部分，否则由评标委员会作否决投标处理。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A-15符合第四章“合同条款及格式”规定，投标文件不应附有招标人不能接受的条件。否则由评标委员会作否决投标处理。（由投标人承诺，承诺书格式详见第八章投标文件格式。）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A-16符合第七章“技术标准和要求”规定。否则由评标委员会作否决投标处理（如有）。（由投标人承诺，承诺书格式详见第八章投标文件格式。）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A-17投标人有以下情形之一的，其投标文件由评标委员会</w:t>
            </w:r>
            <w:r>
              <w:rPr>
                <w:rFonts w:ascii="宋体" w:hAnsi="宋体"/>
                <w:szCs w:val="21"/>
              </w:rPr>
              <w:t>作否决投标处理</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1.第二章“投标人须知”第1.4.3项规定的任何一种情形的；</w:t>
            </w:r>
          </w:p>
          <w:p>
            <w:pPr>
              <w:spacing w:line="400" w:lineRule="exact"/>
              <w:ind w:firstLine="420" w:firstLineChars="200"/>
              <w:rPr>
                <w:rFonts w:ascii="宋体" w:hAnsi="宋体"/>
                <w:szCs w:val="21"/>
              </w:rPr>
            </w:pPr>
            <w:r>
              <w:rPr>
                <w:rFonts w:hint="eastAsia" w:ascii="宋体" w:hAnsi="宋体"/>
                <w:szCs w:val="21"/>
              </w:rPr>
              <w:t>2.本次投标有串通投标、弄虚作假等违反招投标相关法律、法规的行为的；</w:t>
            </w:r>
          </w:p>
          <w:p>
            <w:pPr>
              <w:spacing w:line="400" w:lineRule="exact"/>
              <w:ind w:firstLine="420" w:firstLineChars="200"/>
              <w:rPr>
                <w:rFonts w:ascii="宋体" w:hAnsi="宋体"/>
                <w:szCs w:val="21"/>
              </w:rPr>
            </w:pPr>
            <w:r>
              <w:rPr>
                <w:rFonts w:hint="eastAsia" w:ascii="宋体" w:hAnsi="宋体"/>
                <w:szCs w:val="21"/>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restart"/>
            <w:vAlign w:val="center"/>
          </w:tcPr>
          <w:p>
            <w:pPr>
              <w:spacing w:line="400" w:lineRule="exact"/>
              <w:jc w:val="center"/>
              <w:rPr>
                <w:rFonts w:ascii="宋体" w:hAnsi="宋体"/>
                <w:szCs w:val="21"/>
              </w:rPr>
            </w:pPr>
            <w:r>
              <w:rPr>
                <w:rFonts w:hint="eastAsia" w:ascii="宋体" w:hAnsi="宋体"/>
                <w:szCs w:val="21"/>
                <w:lang w:eastAsia="zh-CN"/>
              </w:rPr>
              <w:t>投标函部分及报价部分</w:t>
            </w:r>
            <w:r>
              <w:rPr>
                <w:rFonts w:hint="eastAsia" w:ascii="宋体" w:hAnsi="宋体"/>
                <w:szCs w:val="21"/>
              </w:rPr>
              <w:t>评审</w:t>
            </w:r>
          </w:p>
        </w:tc>
        <w:tc>
          <w:tcPr>
            <w:tcW w:w="6333" w:type="dxa"/>
          </w:tcPr>
          <w:p>
            <w:pPr>
              <w:spacing w:line="400" w:lineRule="exact"/>
              <w:ind w:firstLine="420" w:firstLineChars="200"/>
              <w:rPr>
                <w:rFonts w:ascii="宋体" w:hAnsi="宋体"/>
                <w:szCs w:val="21"/>
              </w:rPr>
            </w:pPr>
            <w:r>
              <w:rPr>
                <w:rFonts w:hint="eastAsia" w:ascii="宋体" w:hAnsi="宋体"/>
                <w:szCs w:val="21"/>
              </w:rPr>
              <w:t>A-18</w:t>
            </w:r>
            <w:r>
              <w:rPr>
                <w:rFonts w:hint="eastAsia" w:ascii="宋体" w:hAnsi="宋体" w:cs="宋体"/>
                <w:kern w:val="0"/>
              </w:rPr>
              <w:t>投标函部分的格式要求法定代表人或其委托代理人签名（或盖章）的须齐全，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cs="宋体"/>
                <w:kern w:val="0"/>
              </w:rPr>
              <w:t>要求加盖单位法人章的，应使用 CA 数字证书加盖投标人的单位电子印章</w:t>
            </w:r>
            <w:r>
              <w:rPr>
                <w:rFonts w:hint="eastAsia" w:ascii="宋体" w:hAnsi="宋体"/>
                <w:szCs w:val="21"/>
              </w:rPr>
              <w:t>，否则由评标委员会作否决投标处理。</w:t>
            </w:r>
          </w:p>
          <w:p>
            <w:pPr>
              <w:spacing w:line="400" w:lineRule="exact"/>
              <w:ind w:firstLine="420" w:firstLineChars="200"/>
              <w:rPr>
                <w:rFonts w:ascii="宋体" w:hAnsi="宋体"/>
                <w:i/>
                <w:szCs w:val="21"/>
              </w:rPr>
            </w:pPr>
            <w:r>
              <w:rPr>
                <w:rFonts w:hint="eastAsia" w:ascii="宋体" w:hAnsi="宋体"/>
                <w:szCs w:val="21"/>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i/>
                <w:szCs w:val="21"/>
              </w:rPr>
            </w:pPr>
            <w:r>
              <w:rPr>
                <w:rFonts w:hint="eastAsia" w:ascii="宋体" w:hAnsi="宋体"/>
                <w:szCs w:val="21"/>
              </w:rPr>
              <w:t>A-19工期符合第二章“投标人须知”第1.3.2项规定，否则由评标委员会作否决投标处理。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i/>
                <w:szCs w:val="21"/>
              </w:rPr>
            </w:pPr>
            <w:r>
              <w:rPr>
                <w:rFonts w:hint="eastAsia" w:ascii="宋体" w:hAnsi="宋体"/>
                <w:szCs w:val="21"/>
              </w:rPr>
              <w:t>A-20工程质量符合第二章“投标人须知”第1.3.3项规定，否则由评标委员会作否决投标处理。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i/>
                <w:szCs w:val="21"/>
              </w:rPr>
            </w:pPr>
            <w:r>
              <w:rPr>
                <w:rFonts w:hint="eastAsia" w:ascii="宋体" w:hAnsi="宋体"/>
                <w:szCs w:val="21"/>
              </w:rPr>
              <w:t>A-21投标有效期符合第二章“投标人须知”第3.3.1项规定，否则由评标委员会作否决投标处理。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i/>
                <w:szCs w:val="21"/>
              </w:rPr>
            </w:pPr>
            <w:r>
              <w:rPr>
                <w:rFonts w:hint="eastAsia" w:ascii="宋体" w:hAnsi="宋体"/>
                <w:szCs w:val="21"/>
              </w:rPr>
              <w:t>A-22投标函中的总报价与已标价工程量清单总报价</w:t>
            </w:r>
            <w:r>
              <w:rPr>
                <w:rFonts w:hint="eastAsia" w:ascii="宋体" w:hAnsi="宋体"/>
                <w:szCs w:val="21"/>
                <w:lang w:val="en-US" w:eastAsia="zh-CN"/>
              </w:rPr>
              <w:t>不</w:t>
            </w:r>
            <w:r>
              <w:rPr>
                <w:rFonts w:hint="eastAsia" w:ascii="宋体" w:hAnsi="宋体"/>
                <w:szCs w:val="21"/>
              </w:rPr>
              <w:t>一致</w:t>
            </w:r>
            <w:r>
              <w:rPr>
                <w:rFonts w:hint="eastAsia" w:ascii="宋体" w:hAnsi="宋体"/>
                <w:szCs w:val="21"/>
                <w:lang w:eastAsia="zh-CN"/>
              </w:rPr>
              <w:t>，</w:t>
            </w:r>
            <w:r>
              <w:rPr>
                <w:rFonts w:hint="eastAsia" w:ascii="宋体" w:hAnsi="宋体"/>
                <w:szCs w:val="21"/>
                <w:lang w:val="en-US" w:eastAsia="zh-CN"/>
              </w:rPr>
              <w:t>或</w:t>
            </w:r>
            <w:r>
              <w:rPr>
                <w:rFonts w:hint="eastAsia" w:ascii="宋体" w:hAnsi="宋体"/>
                <w:szCs w:val="21"/>
              </w:rPr>
              <w:t>工程量清单总报价与依据单价、工程数量、分部分项工程合价计算出的结果</w:t>
            </w:r>
            <w:r>
              <w:rPr>
                <w:rFonts w:hint="eastAsia" w:ascii="宋体" w:hAnsi="宋体"/>
                <w:szCs w:val="21"/>
                <w:lang w:val="en-US" w:eastAsia="zh-CN"/>
              </w:rPr>
              <w:t>不</w:t>
            </w:r>
            <w:r>
              <w:rPr>
                <w:rFonts w:hint="eastAsia" w:ascii="宋体" w:hAnsi="宋体"/>
                <w:szCs w:val="21"/>
              </w:rPr>
              <w:t>一致，由评标委员会作否决投标处理</w:t>
            </w:r>
            <w:r>
              <w:rPr>
                <w:rFonts w:hint="eastAsia" w:ascii="宋体" w:hAnsi="宋体"/>
                <w:szCs w:val="21"/>
                <w:lang w:eastAsia="zh-CN"/>
              </w:rPr>
              <w:t>（</w:t>
            </w:r>
            <w:r>
              <w:rPr>
                <w:rFonts w:hint="eastAsia" w:ascii="宋体" w:hAnsi="宋体"/>
                <w:szCs w:val="21"/>
                <w:lang w:val="en-US" w:eastAsia="zh-CN"/>
              </w:rPr>
              <w:t>如有</w:t>
            </w:r>
            <w:r>
              <w:rPr>
                <w:rFonts w:hint="eastAsia" w:ascii="宋体" w:hAnsi="宋体"/>
                <w:szCs w:val="21"/>
                <w:lang w:eastAsia="zh-CN"/>
              </w:rPr>
              <w:t>）</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i/>
                <w:szCs w:val="21"/>
              </w:rPr>
            </w:pPr>
            <w:r>
              <w:rPr>
                <w:rFonts w:hint="eastAsia" w:ascii="宋体" w:hAnsi="宋体"/>
                <w:szCs w:val="21"/>
              </w:rPr>
              <w:t>A-23投标人的投标总报价不得超过投标总报价最高限价，否则由评标委员会作否决投标处理。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hint="eastAsia" w:ascii="宋体" w:hAnsi="宋体"/>
                <w:szCs w:val="21"/>
              </w:rPr>
            </w:pPr>
            <w:r>
              <w:rPr>
                <w:rFonts w:hint="eastAsia" w:ascii="宋体" w:hAnsi="宋体"/>
                <w:szCs w:val="21"/>
              </w:rPr>
              <w:t>A-</w:t>
            </w:r>
            <w:r>
              <w:rPr>
                <w:rFonts w:hint="eastAsia" w:ascii="宋体" w:hAnsi="宋体"/>
                <w:szCs w:val="21"/>
                <w:lang w:val="en-US" w:eastAsia="zh-CN"/>
              </w:rPr>
              <w:t>24</w:t>
            </w:r>
            <w:r>
              <w:rPr>
                <w:rFonts w:hint="eastAsia" w:ascii="宋体" w:hAnsi="宋体"/>
                <w:szCs w:val="21"/>
              </w:rPr>
              <w:t>投标人投标总报价或者部分单项报价低于招标文件规定的对应的异常低价警戒线的，应提供报价合理性说明，并提供必要的证明材料</w:t>
            </w:r>
            <w:r>
              <w:rPr>
                <w:rFonts w:hint="eastAsia" w:ascii="宋体" w:hAnsi="宋体"/>
                <w:szCs w:val="21"/>
                <w:lang w:eastAsia="zh-CN"/>
              </w:rPr>
              <w:t>，</w:t>
            </w:r>
            <w:r>
              <w:rPr>
                <w:rFonts w:hint="eastAsia" w:ascii="宋体" w:hAnsi="宋体"/>
                <w:szCs w:val="21"/>
              </w:rPr>
              <w:t>否则由评标委员会作否决投标处理</w:t>
            </w:r>
            <w:r>
              <w:rPr>
                <w:rFonts w:hint="eastAsia" w:ascii="宋体" w:hAnsi="宋体"/>
                <w:szCs w:val="21"/>
                <w:lang w:eastAsia="zh-CN"/>
              </w:rPr>
              <w:t>（</w:t>
            </w:r>
            <w:r>
              <w:rPr>
                <w:rFonts w:hint="eastAsia" w:ascii="宋体" w:hAnsi="宋体"/>
                <w:szCs w:val="21"/>
                <w:lang w:val="en-US" w:eastAsia="zh-CN"/>
              </w:rPr>
              <w:t>如有</w:t>
            </w:r>
            <w:r>
              <w:rPr>
                <w:rFonts w:hint="eastAsia" w:ascii="宋体" w:hAnsi="宋体"/>
                <w:szCs w:val="21"/>
                <w:lang w:eastAsia="zh-CN"/>
              </w:rPr>
              <w:t>）</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25</w:t>
            </w:r>
            <w:r>
              <w:rPr>
                <w:rFonts w:hint="eastAsia" w:ascii="宋体" w:hAnsi="宋体"/>
                <w:szCs w:val="21"/>
              </w:rPr>
              <w:t>投标函中的安全文明施工费金额或</w:t>
            </w:r>
            <w:r>
              <w:rPr>
                <w:rFonts w:hint="eastAsia" w:ascii="宋体" w:hAnsi="宋体" w:cs="宋体"/>
                <w:kern w:val="0"/>
                <w:lang w:val="en-US" w:eastAsia="zh-CN"/>
              </w:rPr>
              <w:t>已标价工程量清单</w:t>
            </w:r>
            <w:r>
              <w:rPr>
                <w:rFonts w:hint="eastAsia" w:ascii="宋体" w:hAnsi="宋体"/>
                <w:szCs w:val="21"/>
              </w:rPr>
              <w:t>中安全文明施工费的汇总金额未按照招标人给出的暂定金额填报的，由评标委员会作否决投标处理。</w:t>
            </w:r>
            <w:r>
              <w:rPr>
                <w:rFonts w:hint="eastAsia" w:ascii="宋体" w:hAnsi="宋体"/>
                <w:szCs w:val="21"/>
                <w:lang w:val="en-US" w:eastAsia="zh-CN"/>
              </w:rPr>
              <w:t>暂列金额、暂估价等暂定金额</w:t>
            </w:r>
            <w:r>
              <w:rPr>
                <w:rFonts w:hint="eastAsia" w:ascii="宋体" w:hAnsi="宋体"/>
                <w:szCs w:val="21"/>
              </w:rPr>
              <w:t>未按照招标人给出的暂定金额填报的</w:t>
            </w:r>
            <w:r>
              <w:rPr>
                <w:rFonts w:hint="eastAsia" w:ascii="宋体" w:hAnsi="宋体"/>
                <w:szCs w:val="21"/>
                <w:lang w:eastAsia="zh-CN"/>
              </w:rPr>
              <w:t>，</w:t>
            </w:r>
            <w:r>
              <w:rPr>
                <w:rFonts w:hint="eastAsia" w:ascii="宋体" w:hAnsi="宋体"/>
                <w:szCs w:val="21"/>
              </w:rPr>
              <w:t>由评标委员会作否决投标处理</w:t>
            </w:r>
            <w:r>
              <w:rPr>
                <w:rFonts w:hint="eastAsia" w:ascii="宋体" w:hAnsi="宋体"/>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26</w:t>
            </w:r>
            <w:r>
              <w:rPr>
                <w:rFonts w:hint="eastAsia" w:ascii="宋体" w:hAnsi="宋体"/>
                <w:szCs w:val="21"/>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i/>
                <w:szCs w:val="21"/>
              </w:rPr>
            </w:pPr>
            <w:r>
              <w:rPr>
                <w:rFonts w:hint="eastAsia" w:ascii="宋体" w:hAnsi="宋体"/>
                <w:szCs w:val="21"/>
              </w:rPr>
              <w:t>A-</w:t>
            </w:r>
            <w:r>
              <w:rPr>
                <w:rFonts w:hint="eastAsia" w:ascii="宋体" w:hAnsi="宋体"/>
                <w:szCs w:val="21"/>
                <w:lang w:val="en-US" w:eastAsia="zh-CN"/>
              </w:rPr>
              <w:t>27</w:t>
            </w:r>
            <w:r>
              <w:rPr>
                <w:rFonts w:hint="eastAsia" w:ascii="宋体" w:hAnsi="宋体"/>
                <w:szCs w:val="21"/>
              </w:rPr>
              <w:t>投标人必须按招标工程量清单填报价格。项目编码、项目名称、项目特征、计量单位、工程量必须与招标工程量清单一致。否则交由评标委员会作否决投标处理。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ascii="宋体" w:hAnsi="宋体"/>
                <w:i/>
                <w:szCs w:val="21"/>
              </w:rPr>
            </w:pPr>
            <w:r>
              <w:rPr>
                <w:rFonts w:hint="eastAsia" w:ascii="宋体" w:hAnsi="宋体"/>
                <w:szCs w:val="21"/>
              </w:rPr>
              <w:t>A-</w:t>
            </w:r>
            <w:r>
              <w:rPr>
                <w:rFonts w:hint="eastAsia" w:ascii="宋体" w:hAnsi="宋体"/>
                <w:szCs w:val="21"/>
                <w:lang w:val="en-US" w:eastAsia="zh-CN"/>
              </w:rPr>
              <w:t>28</w:t>
            </w:r>
            <w:r>
              <w:rPr>
                <w:rFonts w:hint="eastAsia" w:ascii="宋体" w:hAnsi="宋体"/>
                <w:szCs w:val="21"/>
              </w:rPr>
              <w:t>投标人的每项清单综合单价报价不得超过每项清单综合单价最高限价，否则由评标委员会作否决投标处理。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vAlign w:val="center"/>
          </w:tcPr>
          <w:p>
            <w:pPr>
              <w:spacing w:line="400" w:lineRule="exact"/>
              <w:ind w:firstLine="420" w:firstLineChars="200"/>
              <w:rPr>
                <w:rFonts w:hint="eastAsia" w:ascii="宋体" w:hAnsi="宋体" w:eastAsia="宋体"/>
                <w:szCs w:val="21"/>
                <w:lang w:eastAsia="zh-CN"/>
              </w:rPr>
            </w:pPr>
            <w:r>
              <w:rPr>
                <w:rFonts w:hint="eastAsia" w:ascii="宋体" w:hAnsi="宋体"/>
                <w:szCs w:val="21"/>
                <w:lang w:val="en-US" w:eastAsia="zh-CN"/>
              </w:rPr>
              <w:t>A-29</w:t>
            </w:r>
            <w:r>
              <w:rPr>
                <w:rFonts w:hint="default" w:ascii="宋体" w:hAnsi="宋体"/>
                <w:kern w:val="0"/>
                <w:szCs w:val="21"/>
                <w:u w:val="none"/>
              </w:rPr>
              <w:t>投标人的</w:t>
            </w:r>
            <w:r>
              <w:rPr>
                <w:rFonts w:hint="eastAsia" w:ascii="宋体" w:hAnsi="宋体"/>
                <w:kern w:val="0"/>
                <w:szCs w:val="21"/>
                <w:u w:val="none"/>
                <w:lang w:val="en-US" w:eastAsia="zh-CN"/>
              </w:rPr>
              <w:t>工程量清单单项报价</w:t>
            </w:r>
            <w:r>
              <w:rPr>
                <w:rFonts w:hint="default" w:ascii="宋体" w:hAnsi="宋体"/>
                <w:kern w:val="0"/>
                <w:szCs w:val="21"/>
                <w:u w:val="none"/>
              </w:rPr>
              <w:t>不得</w:t>
            </w:r>
            <w:r>
              <w:rPr>
                <w:rFonts w:hint="eastAsia" w:ascii="宋体" w:hAnsi="宋体"/>
                <w:kern w:val="0"/>
                <w:szCs w:val="21"/>
                <w:u w:val="none"/>
                <w:lang w:val="en-US" w:eastAsia="zh-CN"/>
              </w:rPr>
              <w:t>为零报价或者负数报价，</w:t>
            </w:r>
            <w:r>
              <w:rPr>
                <w:rFonts w:hint="eastAsia" w:ascii="宋体" w:hAnsi="宋体"/>
                <w:szCs w:val="21"/>
              </w:rPr>
              <w:t>否则由评标委员会作否决投标处理</w:t>
            </w:r>
            <w:r>
              <w:rPr>
                <w:rFonts w:hint="eastAsia" w:ascii="宋体" w:hAnsi="宋体"/>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rPr>
            </w:pPr>
          </w:p>
        </w:tc>
        <w:tc>
          <w:tcPr>
            <w:tcW w:w="1899" w:type="dxa"/>
            <w:vMerge w:val="continue"/>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i/>
                <w:szCs w:val="21"/>
              </w:rPr>
            </w:pPr>
            <w:r>
              <w:rPr>
                <w:rFonts w:hint="eastAsia" w:ascii="宋体" w:hAnsi="宋体"/>
                <w:szCs w:val="21"/>
              </w:rPr>
              <w:t>A-</w:t>
            </w:r>
            <w:r>
              <w:rPr>
                <w:rFonts w:hint="eastAsia" w:ascii="宋体" w:hAnsi="宋体"/>
                <w:szCs w:val="21"/>
                <w:lang w:val="en-US" w:eastAsia="zh-CN"/>
              </w:rPr>
              <w:t>30</w:t>
            </w:r>
            <w:r>
              <w:rPr>
                <w:rFonts w:hint="eastAsia" w:ascii="宋体" w:hAnsi="宋体"/>
                <w:szCs w:val="21"/>
              </w:rPr>
              <w:t>投标报价有算术错误的，按照第三章3.评标程序第3.1.3项规定执行，否则由评标委员会作否决投标处理。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Align w:val="center"/>
          </w:tcPr>
          <w:p>
            <w:pPr>
              <w:spacing w:line="400" w:lineRule="exact"/>
              <w:jc w:val="center"/>
              <w:rPr>
                <w:rFonts w:ascii="宋体" w:hAnsi="宋体"/>
                <w:szCs w:val="21"/>
              </w:rPr>
            </w:pPr>
            <w:r>
              <w:rPr>
                <w:rFonts w:ascii="宋体" w:hAnsi="宋体"/>
                <w:szCs w:val="21"/>
              </w:rPr>
              <w:t>其他</w:t>
            </w:r>
          </w:p>
        </w:tc>
        <w:tc>
          <w:tcPr>
            <w:tcW w:w="1899" w:type="dxa"/>
            <w:vAlign w:val="center"/>
          </w:tcPr>
          <w:p>
            <w:pPr>
              <w:spacing w:line="400" w:lineRule="exact"/>
              <w:jc w:val="center"/>
              <w:rPr>
                <w:rFonts w:ascii="宋体" w:hAnsi="宋体"/>
                <w:szCs w:val="21"/>
              </w:rPr>
            </w:pPr>
          </w:p>
        </w:tc>
        <w:tc>
          <w:tcPr>
            <w:tcW w:w="6333" w:type="dxa"/>
          </w:tcPr>
          <w:p>
            <w:pPr>
              <w:spacing w:line="400" w:lineRule="exact"/>
              <w:ind w:firstLine="420" w:firstLineChars="200"/>
              <w:rPr>
                <w:rFonts w:ascii="宋体" w:hAnsi="宋体"/>
                <w:i/>
                <w:szCs w:val="21"/>
              </w:rPr>
            </w:pPr>
            <w:r>
              <w:rPr>
                <w:rFonts w:hint="eastAsia" w:ascii="宋体" w:hAnsi="宋体"/>
                <w:i/>
                <w:szCs w:val="21"/>
              </w:rPr>
              <w:t>[提示：招标人必须将所有否决投标条款集中罗列于此表，若无其他否决投标条款则在该条写无。]</w:t>
            </w:r>
          </w:p>
        </w:tc>
      </w:tr>
    </w:tbl>
    <w:p>
      <w:pPr>
        <w:pStyle w:val="33"/>
        <w:spacing w:line="360" w:lineRule="auto"/>
        <w:ind w:firstLine="420" w:firstLineChars="200"/>
        <w:jc w:val="both"/>
        <w:rPr>
          <w:rFonts w:ascii="宋体" w:hAnsi="宋体"/>
          <w:sz w:val="21"/>
          <w:szCs w:val="21"/>
          <w:u w:val="none"/>
          <w:lang w:eastAsia="zh-CN"/>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before="340" w:after="330" w:line="360" w:lineRule="auto"/>
        <w:jc w:val="left"/>
        <w:rPr>
          <w:rFonts w:ascii="宋体" w:hAnsi="宋体"/>
          <w:kern w:val="0"/>
          <w:sz w:val="52"/>
          <w:szCs w:val="52"/>
        </w:rPr>
      </w:pPr>
      <w:r>
        <w:rPr>
          <w:rFonts w:ascii="宋体" w:hAnsi="宋体"/>
          <w:kern w:val="0"/>
        </w:rPr>
        <w:br w:type="page"/>
      </w:r>
    </w:p>
    <w:p>
      <w:pPr>
        <w:pStyle w:val="3"/>
        <w:spacing w:line="360" w:lineRule="auto"/>
        <w:jc w:val="center"/>
        <w:rPr>
          <w:rFonts w:ascii="宋体" w:hAnsi="宋体"/>
          <w:kern w:val="0"/>
        </w:rPr>
      </w:pPr>
      <w:bookmarkStart w:id="794" w:name="_Toc430530509"/>
      <w:bookmarkStart w:id="795" w:name="_Toc16302"/>
      <w:bookmarkStart w:id="796" w:name="_Toc509218785"/>
      <w:bookmarkStart w:id="797" w:name="_Toc16689"/>
      <w:r>
        <w:rPr>
          <w:rFonts w:hint="eastAsia" w:ascii="宋体" w:hAnsi="宋体"/>
          <w:kern w:val="0"/>
        </w:rPr>
        <w:t>第四章  合同条款及格式</w:t>
      </w:r>
      <w:bookmarkEnd w:id="794"/>
      <w:bookmarkEnd w:id="795"/>
      <w:bookmarkEnd w:id="796"/>
      <w:bookmarkEnd w:id="797"/>
    </w:p>
    <w:p>
      <w:pPr>
        <w:rPr>
          <w:rFonts w:ascii="宋体" w:hAnsi="宋体"/>
          <w:sz w:val="44"/>
          <w:szCs w:val="44"/>
        </w:rPr>
      </w:pPr>
      <w:r>
        <w:rPr>
          <w:rFonts w:ascii="宋体" w:hAnsi="宋体"/>
        </w:rPr>
        <w:br w:type="page"/>
      </w:r>
      <w:bookmarkStart w:id="798" w:name="_Toc296503025"/>
      <w:bookmarkStart w:id="799" w:name="_Toc296890982"/>
      <w:bookmarkStart w:id="800" w:name="_Toc351203480"/>
    </w:p>
    <w:p>
      <w:pPr>
        <w:spacing w:line="360" w:lineRule="auto"/>
        <w:jc w:val="center"/>
        <w:rPr>
          <w:rFonts w:ascii="宋体" w:hAnsi="宋体"/>
          <w:sz w:val="44"/>
          <w:szCs w:val="44"/>
        </w:rPr>
      </w:pPr>
      <w:r>
        <w:rPr>
          <w:rFonts w:hint="eastAsia" w:ascii="宋体" w:hAnsi="宋体"/>
          <w:sz w:val="44"/>
          <w:szCs w:val="44"/>
        </w:rPr>
        <w:t>第一部分 合同协议书</w:t>
      </w:r>
    </w:p>
    <w:p>
      <w:pPr>
        <w:pStyle w:val="123"/>
        <w:snapToGrid w:val="0"/>
        <w:spacing w:before="0" w:line="360" w:lineRule="auto"/>
        <w:ind w:firstLine="562" w:firstLineChars="200"/>
        <w:rPr>
          <w:rFonts w:ascii="宋体" w:hAnsi="宋体"/>
          <w:color w:val="auto"/>
        </w:rPr>
      </w:pPr>
    </w:p>
    <w:p>
      <w:pPr>
        <w:spacing w:line="360" w:lineRule="auto"/>
        <w:ind w:firstLine="420" w:firstLineChars="200"/>
        <w:rPr>
          <w:rFonts w:ascii="宋体" w:hAnsi="宋体"/>
          <w:bCs/>
          <w:i/>
          <w:szCs w:val="21"/>
        </w:rPr>
      </w:pPr>
      <w:r>
        <w:rPr>
          <w:rFonts w:hint="eastAsia" w:ascii="宋体" w:hAnsi="宋体"/>
          <w:bCs/>
          <w:i/>
          <w:szCs w:val="21"/>
        </w:rPr>
        <w:t>[提示：合同协议书为示范性内容，招标人在编制招标文件时不必填写，供中标后签订合同时填写。]</w:t>
      </w:r>
    </w:p>
    <w:p>
      <w:pPr>
        <w:rPr>
          <w:rFonts w:ascii="宋体" w:hAnsi="宋体"/>
          <w:b/>
        </w:rPr>
      </w:pPr>
      <w:r>
        <w:rPr>
          <w:rFonts w:ascii="宋体" w:hAnsi="宋体"/>
        </w:rPr>
        <w:br w:type="page"/>
      </w:r>
    </w:p>
    <w:p>
      <w:pPr>
        <w:pStyle w:val="5"/>
        <w:jc w:val="center"/>
        <w:rPr>
          <w:rFonts w:ascii="宋体" w:hAnsi="宋体"/>
          <w:b w:val="0"/>
          <w:sz w:val="44"/>
          <w:szCs w:val="44"/>
        </w:rPr>
      </w:pPr>
      <w:bookmarkStart w:id="801" w:name="_Toc21898"/>
      <w:bookmarkStart w:id="802" w:name="_Toc509218786"/>
      <w:bookmarkStart w:id="803" w:name="_Toc11406"/>
      <w:bookmarkStart w:id="804" w:name="_Toc534185765"/>
      <w:bookmarkStart w:id="805" w:name="_Toc351203494"/>
      <w:r>
        <w:rPr>
          <w:rFonts w:ascii="宋体" w:hAnsi="宋体"/>
          <w:sz w:val="44"/>
          <w:szCs w:val="44"/>
        </w:rPr>
        <w:t>第一部分 合同协议书</w:t>
      </w:r>
      <w:bookmarkEnd w:id="801"/>
      <w:bookmarkEnd w:id="802"/>
      <w:bookmarkEnd w:id="803"/>
      <w:bookmarkEnd w:id="804"/>
    </w:p>
    <w:bookmarkEnd w:id="805"/>
    <w:p>
      <w:pPr>
        <w:snapToGrid w:val="0"/>
        <w:spacing w:line="600" w:lineRule="exact"/>
        <w:ind w:firstLine="480" w:firstLineChars="200"/>
        <w:rPr>
          <w:rFonts w:ascii="宋体" w:hAnsi="宋体"/>
          <w:sz w:val="24"/>
        </w:rPr>
      </w:pPr>
      <w:bookmarkStart w:id="806" w:name="_Toc351203632"/>
    </w:p>
    <w:p>
      <w:pPr>
        <w:snapToGrid w:val="0"/>
        <w:spacing w:line="360" w:lineRule="auto"/>
        <w:ind w:firstLine="421"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1"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ascii="宋体" w:hAnsi="宋体"/>
          <w:b/>
          <w:szCs w:val="21"/>
          <w:u w:val="single"/>
        </w:rPr>
      </w:pPr>
      <w:r>
        <w:rPr>
          <w:rFonts w:hint="eastAsia" w:ascii="宋体" w:hAnsi="宋体"/>
          <w:szCs w:val="21"/>
        </w:rPr>
        <w:t>根据《中华人民共和国民法典》、《中华人民共和国建筑法》及有关法律、法规规定，遵循平等、自愿、公平和诚实信用的原则，双方就</w:t>
      </w:r>
      <w:r>
        <w:rPr>
          <w:rFonts w:hint="eastAsia" w:ascii="宋体" w:hAnsi="宋体"/>
          <w:szCs w:val="21"/>
          <w:u w:val="single"/>
        </w:rPr>
        <w:t xml:space="preserve">                           </w:t>
      </w:r>
      <w:r>
        <w:rPr>
          <w:rFonts w:hint="eastAsia" w:ascii="宋体" w:hAnsi="宋体"/>
          <w:szCs w:val="21"/>
        </w:rPr>
        <w:t>工程施工及有关事项协商一致，共同达成如下协议：</w:t>
      </w:r>
    </w:p>
    <w:p>
      <w:pPr>
        <w:pStyle w:val="6"/>
        <w:keepNext/>
        <w:keepLines/>
        <w:spacing w:before="120" w:after="120" w:line="360" w:lineRule="auto"/>
        <w:ind w:firstLine="421" w:firstLineChars="200"/>
        <w:jc w:val="both"/>
        <w:rPr>
          <w:kern w:val="2"/>
          <w:sz w:val="21"/>
          <w:szCs w:val="21"/>
        </w:rPr>
      </w:pPr>
      <w:bookmarkStart w:id="807" w:name="_Toc532375573"/>
      <w:bookmarkStart w:id="808" w:name="_Toc351203481"/>
      <w:bookmarkStart w:id="809" w:name="_Toc532377166"/>
      <w:r>
        <w:rPr>
          <w:rFonts w:hint="eastAsia"/>
          <w:kern w:val="2"/>
          <w:sz w:val="21"/>
          <w:szCs w:val="21"/>
        </w:rPr>
        <w:t>一、工程概况</w:t>
      </w:r>
      <w:bookmarkEnd w:id="807"/>
      <w:bookmarkEnd w:id="808"/>
      <w:bookmarkEnd w:id="809"/>
    </w:p>
    <w:p>
      <w:pPr>
        <w:snapToGrid w:val="0"/>
        <w:spacing w:line="360" w:lineRule="auto"/>
        <w:ind w:firstLine="420" w:firstLineChars="200"/>
        <w:rPr>
          <w:rFonts w:ascii="宋体" w:hAnsi="宋体"/>
          <w:szCs w:val="21"/>
          <w:u w:val="single"/>
        </w:rPr>
      </w:pPr>
      <w:r>
        <w:rPr>
          <w:rFonts w:hint="eastAsia" w:ascii="宋体" w:hAnsi="宋体"/>
          <w:bCs/>
          <w:szCs w:val="21"/>
        </w:rPr>
        <w:t>1.工程名称</w:t>
      </w:r>
      <w:r>
        <w:rPr>
          <w:rFonts w:hint="eastAsia" w:ascii="宋体" w:hAnsi="宋体"/>
          <w:szCs w:val="21"/>
        </w:rPr>
        <w:t>：</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2.工程地点：</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3.工程立项批准文号：</w:t>
      </w:r>
      <w:r>
        <w:rPr>
          <w:rFonts w:hint="eastAsia" w:ascii="宋体" w:hAnsi="宋体"/>
          <w:szCs w:val="21"/>
          <w:u w:val="single"/>
        </w:rPr>
        <w:t xml:space="preserve">                        </w:t>
      </w:r>
      <w:r>
        <w:rPr>
          <w:rFonts w:hint="eastAsia" w:ascii="宋体" w:hAnsi="宋体"/>
          <w:bCs/>
          <w:szCs w:val="21"/>
        </w:rPr>
        <w:t>。</w:t>
      </w:r>
    </w:p>
    <w:p>
      <w:pPr>
        <w:snapToGrid w:val="0"/>
        <w:spacing w:line="360" w:lineRule="auto"/>
        <w:ind w:firstLine="420" w:firstLineChars="200"/>
        <w:rPr>
          <w:rFonts w:ascii="宋体" w:hAnsi="宋体"/>
          <w:bCs/>
          <w:szCs w:val="21"/>
        </w:rPr>
      </w:pPr>
      <w:r>
        <w:rPr>
          <w:rFonts w:hint="eastAsia" w:ascii="宋体" w:hAnsi="宋体"/>
          <w:bCs/>
          <w:szCs w:val="21"/>
        </w:rPr>
        <w:t>4.资金来源：</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5.工程内容：</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jc w:val="left"/>
        <w:rPr>
          <w:rFonts w:ascii="宋体" w:hAnsi="宋体"/>
          <w:bCs/>
          <w:szCs w:val="21"/>
        </w:rPr>
      </w:pPr>
      <w:r>
        <w:rPr>
          <w:rFonts w:hint="eastAsia" w:ascii="宋体" w:hAnsi="宋体"/>
          <w:bCs/>
          <w:szCs w:val="21"/>
        </w:rPr>
        <w:t>6.工程承包范围：</w:t>
      </w:r>
      <w:r>
        <w:rPr>
          <w:rFonts w:hint="eastAsia" w:ascii="宋体" w:hAnsi="宋体"/>
          <w:szCs w:val="21"/>
          <w:u w:val="single"/>
        </w:rPr>
        <w:t xml:space="preserve">                     </w:t>
      </w:r>
      <w:r>
        <w:rPr>
          <w:rFonts w:hint="eastAsia" w:ascii="宋体" w:hAnsi="宋体"/>
          <w:szCs w:val="21"/>
        </w:rPr>
        <w:t>。</w:t>
      </w:r>
    </w:p>
    <w:p>
      <w:pPr>
        <w:pStyle w:val="6"/>
        <w:keepNext/>
        <w:keepLines/>
        <w:spacing w:before="120" w:after="120" w:line="360" w:lineRule="auto"/>
        <w:ind w:firstLine="421" w:firstLineChars="200"/>
        <w:jc w:val="both"/>
        <w:rPr>
          <w:kern w:val="2"/>
          <w:sz w:val="21"/>
          <w:szCs w:val="21"/>
        </w:rPr>
      </w:pPr>
      <w:bookmarkStart w:id="810" w:name="_Toc351203482"/>
      <w:bookmarkStart w:id="811" w:name="_Toc532377167"/>
      <w:bookmarkStart w:id="812" w:name="_Toc532375574"/>
      <w:r>
        <w:rPr>
          <w:rFonts w:hint="eastAsia"/>
          <w:kern w:val="2"/>
          <w:sz w:val="21"/>
          <w:szCs w:val="21"/>
        </w:rPr>
        <w:t>二、合同工期</w:t>
      </w:r>
      <w:bookmarkEnd w:id="810"/>
      <w:bookmarkEnd w:id="811"/>
      <w:bookmarkEnd w:id="812"/>
    </w:p>
    <w:p>
      <w:pPr>
        <w:spacing w:line="360" w:lineRule="auto"/>
        <w:ind w:firstLine="420" w:firstLineChars="200"/>
        <w:rPr>
          <w:rFonts w:ascii="宋体" w:hAnsi="宋体"/>
          <w:bCs/>
          <w:szCs w:val="21"/>
        </w:rPr>
      </w:pPr>
      <w:r>
        <w:rPr>
          <w:rFonts w:hint="eastAsia" w:ascii="宋体" w:hAnsi="宋体"/>
          <w:bCs/>
          <w:szCs w:val="21"/>
        </w:rPr>
        <w:t>承包人投标函中承诺的工期：</w:t>
      </w:r>
      <w:r>
        <w:rPr>
          <w:rFonts w:hint="eastAsia" w:ascii="宋体" w:hAnsi="宋体"/>
          <w:bCs/>
          <w:szCs w:val="21"/>
          <w:u w:val="single"/>
        </w:rPr>
        <w:t>日历天</w:t>
      </w:r>
      <w:r>
        <w:rPr>
          <w:rFonts w:hint="eastAsia" w:ascii="宋体" w:hAnsi="宋体"/>
          <w:bCs/>
          <w:szCs w:val="21"/>
        </w:rPr>
        <w:t>。</w:t>
      </w:r>
    </w:p>
    <w:p>
      <w:pPr>
        <w:spacing w:line="360" w:lineRule="auto"/>
        <w:ind w:firstLine="420" w:firstLineChars="200"/>
        <w:rPr>
          <w:rFonts w:ascii="宋体" w:hAnsi="宋体"/>
          <w:bCs/>
          <w:szCs w:val="21"/>
        </w:rPr>
      </w:pPr>
      <w:r>
        <w:rPr>
          <w:rFonts w:hint="eastAsia" w:ascii="宋体" w:hAnsi="宋体"/>
          <w:bCs/>
          <w:szCs w:val="21"/>
        </w:rPr>
        <w:t>计划开工日期：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日，实际开工日期以监理工程师签发的工程开工通知明确的开工日期为准。</w:t>
      </w:r>
    </w:p>
    <w:p>
      <w:pPr>
        <w:spacing w:line="360" w:lineRule="auto"/>
        <w:ind w:firstLine="420" w:firstLineChars="200"/>
        <w:rPr>
          <w:rFonts w:ascii="宋体" w:hAnsi="宋体"/>
          <w:bCs/>
          <w:szCs w:val="21"/>
        </w:rPr>
      </w:pPr>
      <w:r>
        <w:rPr>
          <w:rFonts w:hint="eastAsia" w:ascii="宋体" w:hAnsi="宋体"/>
          <w:bCs/>
          <w:szCs w:val="21"/>
        </w:rPr>
        <w:t>计划竣工日期：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日，实际竣工日期以工程竣工验收合格之日为准。</w:t>
      </w:r>
    </w:p>
    <w:p>
      <w:pPr>
        <w:spacing w:line="360" w:lineRule="auto"/>
        <w:ind w:firstLine="420" w:firstLineChars="200"/>
        <w:rPr>
          <w:rFonts w:ascii="宋体" w:hAnsi="宋体"/>
          <w:szCs w:val="21"/>
        </w:rPr>
      </w:pPr>
      <w:r>
        <w:rPr>
          <w:rFonts w:hint="eastAsia" w:ascii="宋体" w:hAnsi="宋体"/>
          <w:bCs/>
          <w:szCs w:val="21"/>
        </w:rPr>
        <w:t>工期总日历天数</w:t>
      </w:r>
      <w:r>
        <w:rPr>
          <w:rFonts w:hint="eastAsia" w:ascii="宋体" w:hAnsi="宋体"/>
          <w:bCs/>
          <w:szCs w:val="21"/>
          <w:u w:val="single"/>
        </w:rPr>
        <w:t></w:t>
      </w:r>
      <w:r>
        <w:rPr>
          <w:rFonts w:hint="eastAsia" w:ascii="宋体" w:hAnsi="宋体"/>
          <w:bCs/>
          <w:szCs w:val="21"/>
        </w:rPr>
        <w:t>天。工期总日历天数与根据前述计划开竣工日期计算的工期天数不一</w:t>
      </w:r>
      <w:r>
        <w:rPr>
          <w:rFonts w:hint="eastAsia" w:ascii="宋体" w:hAnsi="宋体"/>
          <w:szCs w:val="21"/>
        </w:rPr>
        <w:t>致的，以工期总日历天数为准。</w:t>
      </w:r>
    </w:p>
    <w:p>
      <w:pPr>
        <w:pStyle w:val="6"/>
        <w:keepNext/>
        <w:keepLines/>
        <w:spacing w:before="120" w:after="120" w:line="360" w:lineRule="auto"/>
        <w:ind w:firstLine="421" w:firstLineChars="200"/>
        <w:jc w:val="both"/>
        <w:rPr>
          <w:kern w:val="2"/>
          <w:sz w:val="21"/>
          <w:szCs w:val="21"/>
        </w:rPr>
      </w:pPr>
      <w:bookmarkStart w:id="813" w:name="_Toc532375575"/>
      <w:bookmarkStart w:id="814" w:name="_Toc532377168"/>
      <w:bookmarkStart w:id="815" w:name="_Toc351203483"/>
      <w:r>
        <w:rPr>
          <w:rFonts w:hint="eastAsia"/>
          <w:kern w:val="2"/>
          <w:sz w:val="21"/>
          <w:szCs w:val="21"/>
        </w:rPr>
        <w:t>三、质量标准</w:t>
      </w:r>
      <w:bookmarkEnd w:id="813"/>
      <w:bookmarkEnd w:id="814"/>
      <w:bookmarkEnd w:id="815"/>
    </w:p>
    <w:p>
      <w:pPr>
        <w:snapToGrid w:val="0"/>
        <w:spacing w:line="360" w:lineRule="auto"/>
        <w:ind w:firstLine="420" w:firstLineChars="200"/>
        <w:rPr>
          <w:rFonts w:ascii="宋体" w:hAnsi="宋体"/>
          <w:szCs w:val="21"/>
        </w:rPr>
      </w:pPr>
      <w:r>
        <w:rPr>
          <w:rFonts w:hint="eastAsia" w:ascii="宋体" w:hAnsi="宋体"/>
          <w:szCs w:val="21"/>
        </w:rPr>
        <w:t>工程质量符合强制性质量标准，</w:t>
      </w:r>
      <w:r>
        <w:rPr>
          <w:rFonts w:hint="eastAsia" w:ascii="宋体" w:hAnsi="宋体"/>
          <w:szCs w:val="21"/>
          <w:u w:val="single"/>
        </w:rPr>
        <w:t>符合国家</w:t>
      </w:r>
      <w:r>
        <w:rPr>
          <w:rFonts w:ascii="宋体" w:hAnsi="宋体"/>
          <w:szCs w:val="21"/>
          <w:u w:val="single"/>
        </w:rPr>
        <w:t>和重庆市现行</w:t>
      </w:r>
      <w:r>
        <w:rPr>
          <w:rFonts w:hint="eastAsia" w:ascii="宋体" w:hAnsi="宋体"/>
          <w:szCs w:val="21"/>
          <w:u w:val="single"/>
        </w:rPr>
        <w:t>有关施工质量验收规范要求，并达到合格</w:t>
      </w:r>
      <w:r>
        <w:rPr>
          <w:rFonts w:hint="eastAsia" w:ascii="宋体" w:hAnsi="宋体"/>
          <w:szCs w:val="21"/>
        </w:rPr>
        <w:t>标准。</w:t>
      </w:r>
    </w:p>
    <w:p>
      <w:pPr>
        <w:pStyle w:val="6"/>
        <w:keepNext/>
        <w:keepLines/>
        <w:spacing w:before="120" w:after="120" w:line="360" w:lineRule="auto"/>
        <w:ind w:firstLine="421" w:firstLineChars="200"/>
        <w:jc w:val="both"/>
        <w:rPr>
          <w:kern w:val="2"/>
          <w:sz w:val="21"/>
          <w:szCs w:val="21"/>
        </w:rPr>
      </w:pPr>
      <w:bookmarkStart w:id="816" w:name="_Toc532377169"/>
      <w:bookmarkStart w:id="817" w:name="_Toc532375576"/>
      <w:bookmarkStart w:id="818" w:name="_Toc351203484"/>
      <w:r>
        <w:rPr>
          <w:rFonts w:hint="eastAsia"/>
          <w:kern w:val="2"/>
          <w:sz w:val="21"/>
          <w:szCs w:val="21"/>
        </w:rPr>
        <w:t>四、签约合同价与合同价格形式</w:t>
      </w:r>
      <w:bookmarkEnd w:id="816"/>
      <w:bookmarkEnd w:id="817"/>
      <w:bookmarkEnd w:id="818"/>
      <w:r>
        <w:rPr>
          <w:rFonts w:hint="eastAsia"/>
          <w:kern w:val="2"/>
          <w:sz w:val="21"/>
          <w:szCs w:val="21"/>
        </w:rPr>
        <w:tab/>
      </w:r>
    </w:p>
    <w:p>
      <w:pPr>
        <w:spacing w:line="360" w:lineRule="auto"/>
        <w:ind w:firstLine="420" w:firstLineChars="200"/>
        <w:rPr>
          <w:rFonts w:ascii="宋体" w:hAnsi="宋体"/>
          <w:szCs w:val="21"/>
        </w:rPr>
      </w:pPr>
      <w:r>
        <w:rPr>
          <w:rFonts w:hint="eastAsia" w:ascii="宋体" w:hAnsi="宋体"/>
          <w:szCs w:val="21"/>
        </w:rPr>
        <w:t>1.承包人投标函中承诺的中标价为：</w:t>
      </w:r>
    </w:p>
    <w:p>
      <w:pPr>
        <w:spacing w:line="360" w:lineRule="auto"/>
        <w:ind w:firstLine="420" w:firstLineChars="200"/>
        <w:rPr>
          <w:rFonts w:ascii="宋体" w:hAnsi="宋体"/>
          <w:szCs w:val="21"/>
        </w:rPr>
      </w:pPr>
      <w:r>
        <w:rPr>
          <w:rFonts w:hint="eastAsia" w:ascii="宋体" w:hAnsi="宋体"/>
          <w:szCs w:val="21"/>
        </w:rPr>
        <w:t>人民币（大写）</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元）；</w:t>
      </w:r>
    </w:p>
    <w:p>
      <w:pPr>
        <w:spacing w:line="360" w:lineRule="auto"/>
        <w:ind w:firstLine="420" w:firstLineChars="200"/>
        <w:rPr>
          <w:rFonts w:ascii="宋体" w:hAnsi="宋体"/>
          <w:szCs w:val="21"/>
        </w:rPr>
      </w:pPr>
      <w:r>
        <w:rPr>
          <w:rFonts w:hint="eastAsia" w:ascii="宋体" w:hAnsi="宋体"/>
          <w:szCs w:val="21"/>
        </w:rPr>
        <w:t>2.签约合同价为：</w:t>
      </w:r>
    </w:p>
    <w:p>
      <w:pPr>
        <w:snapToGrid w:val="0"/>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napToGrid w:val="0"/>
        <w:spacing w:line="360" w:lineRule="auto"/>
        <w:ind w:firstLine="420" w:firstLineChars="200"/>
        <w:rPr>
          <w:rFonts w:ascii="宋体" w:hAnsi="宋体"/>
          <w:szCs w:val="21"/>
        </w:rPr>
      </w:pPr>
      <w:r>
        <w:rPr>
          <w:rFonts w:hint="eastAsia" w:ascii="宋体" w:hAnsi="宋体"/>
          <w:szCs w:val="21"/>
        </w:rPr>
        <w:t>其中：</w:t>
      </w:r>
    </w:p>
    <w:p>
      <w:pPr>
        <w:spacing w:line="360" w:lineRule="auto"/>
        <w:ind w:firstLine="420" w:firstLineChars="200"/>
        <w:rPr>
          <w:rFonts w:ascii="宋体" w:hAnsi="宋体"/>
          <w:szCs w:val="21"/>
        </w:rPr>
      </w:pPr>
      <w:r>
        <w:rPr>
          <w:rFonts w:hint="eastAsia" w:ascii="宋体" w:hAnsi="宋体"/>
          <w:szCs w:val="21"/>
        </w:rPr>
        <w:t>（1）安全文明施工费：</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（2）材料和工程设备暂估价金额：</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（3）专业工程暂估价金额：</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（4）暂列金额：</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（5）人工费（工资款）</w:t>
      </w:r>
    </w:p>
    <w:p>
      <w:pPr>
        <w:spacing w:line="360" w:lineRule="auto"/>
        <w:ind w:firstLine="420" w:firstLineChars="200"/>
        <w:rPr>
          <w:rFonts w:ascii="宋体" w:hAnsi="宋体"/>
          <w:szCs w:val="21"/>
        </w:rPr>
      </w:pPr>
      <w:r>
        <w:rPr>
          <w:rFonts w:hint="eastAsia" w:ascii="宋体" w:hAnsi="宋体"/>
          <w:szCs w:val="21"/>
        </w:rPr>
        <w:t>该项目实行人工费（工资款）与其他工程款分账管理，发包人将应付工程款中的人工费（工资款），以不低于已完成合同价款的</w:t>
      </w:r>
      <w:r>
        <w:rPr>
          <w:rFonts w:hint="eastAsia" w:ascii="宋体" w:hAnsi="宋体"/>
          <w:szCs w:val="21"/>
          <w:u w:val="single"/>
        </w:rPr>
        <w:t xml:space="preserve">    </w:t>
      </w:r>
      <w:r>
        <w:rPr>
          <w:rFonts w:hint="eastAsia" w:ascii="宋体" w:hAnsi="宋体"/>
          <w:szCs w:val="21"/>
          <w:u w:val="none"/>
          <w:lang w:val="en-US" w:eastAsia="zh-CN"/>
        </w:rPr>
        <w:t>支付农民工工资</w:t>
      </w:r>
      <w:r>
        <w:rPr>
          <w:rFonts w:hint="eastAsia" w:ascii="宋体" w:hAnsi="宋体"/>
          <w:szCs w:val="21"/>
        </w:rPr>
        <w:t>，农民工工资单独支付至承包人设立的农民工工资专用账户。</w:t>
      </w:r>
    </w:p>
    <w:p>
      <w:pPr>
        <w:spacing w:line="360" w:lineRule="auto"/>
        <w:ind w:firstLine="420" w:firstLineChars="200"/>
        <w:rPr>
          <w:rFonts w:ascii="宋体" w:hAnsi="宋体"/>
          <w:szCs w:val="21"/>
        </w:rPr>
      </w:pPr>
      <w:r>
        <w:rPr>
          <w:rFonts w:hint="eastAsia" w:ascii="宋体" w:hAnsi="宋体"/>
          <w:szCs w:val="21"/>
        </w:rPr>
        <w:t>3.合同价格形式：</w:t>
      </w:r>
      <w:r>
        <w:rPr>
          <w:rFonts w:ascii="宋体" w:hAnsi="宋体"/>
          <w:szCs w:val="21"/>
          <w:u w:val="single"/>
        </w:rPr>
        <w:t xml:space="preserve">              </w:t>
      </w:r>
      <w:r>
        <w:rPr>
          <w:rFonts w:hint="eastAsia" w:ascii="宋体" w:hAnsi="宋体"/>
          <w:szCs w:val="21"/>
        </w:rPr>
        <w:t>。</w:t>
      </w:r>
    </w:p>
    <w:p>
      <w:pPr>
        <w:pStyle w:val="6"/>
        <w:keepNext/>
        <w:keepLines/>
        <w:spacing w:before="120" w:after="120" w:line="360" w:lineRule="auto"/>
        <w:ind w:firstLine="421" w:firstLineChars="200"/>
        <w:jc w:val="both"/>
        <w:rPr>
          <w:kern w:val="2"/>
          <w:sz w:val="21"/>
          <w:szCs w:val="21"/>
        </w:rPr>
      </w:pPr>
      <w:bookmarkStart w:id="819" w:name="_Toc351203485"/>
      <w:bookmarkStart w:id="820" w:name="_Toc532377170"/>
      <w:bookmarkStart w:id="821" w:name="_Toc532375577"/>
      <w:r>
        <w:rPr>
          <w:rFonts w:hint="eastAsia"/>
          <w:kern w:val="2"/>
          <w:sz w:val="21"/>
          <w:szCs w:val="21"/>
        </w:rPr>
        <w:t>五、</w:t>
      </w:r>
      <w:bookmarkEnd w:id="819"/>
      <w:r>
        <w:rPr>
          <w:rFonts w:hint="eastAsia"/>
          <w:kern w:val="2"/>
          <w:sz w:val="21"/>
          <w:szCs w:val="21"/>
        </w:rPr>
        <w:t>项目经理及技术负责人</w:t>
      </w:r>
      <w:bookmarkEnd w:id="820"/>
      <w:bookmarkEnd w:id="821"/>
    </w:p>
    <w:p>
      <w:pPr>
        <w:spacing w:line="360" w:lineRule="auto"/>
        <w:ind w:firstLine="420" w:firstLineChars="200"/>
        <w:rPr>
          <w:rFonts w:ascii="宋体" w:hAnsi="宋体"/>
          <w:szCs w:val="21"/>
        </w:rPr>
      </w:pPr>
      <w:r>
        <w:rPr>
          <w:rFonts w:hint="eastAsia" w:ascii="宋体" w:hAnsi="宋体"/>
          <w:szCs w:val="21"/>
        </w:rPr>
        <w:t>承包人投标文件中承诺的项目经理：</w:t>
      </w:r>
    </w:p>
    <w:p>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建造师</w:t>
      </w:r>
      <w:r>
        <w:rPr>
          <w:rFonts w:ascii="宋体" w:hAnsi="宋体"/>
          <w:szCs w:val="21"/>
        </w:rPr>
        <w:t>注册证书号</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承包人投标文件中承诺的技术负责人：</w:t>
      </w:r>
    </w:p>
    <w:p>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pStyle w:val="2"/>
        <w:spacing w:line="360" w:lineRule="auto"/>
        <w:rPr>
          <w:rFonts w:ascii="宋体" w:hAnsi="宋体"/>
          <w:szCs w:val="21"/>
        </w:rPr>
      </w:pPr>
      <w:r>
        <w:rPr>
          <w:rFonts w:hint="eastAsia" w:ascii="宋体" w:hAnsi="宋体"/>
          <w:szCs w:val="21"/>
        </w:rPr>
        <w:t xml:space="preserve">    证书名称</w:t>
      </w:r>
      <w:r>
        <w:rPr>
          <w:rFonts w:ascii="宋体" w:hAnsi="宋体"/>
          <w:szCs w:val="21"/>
        </w:rPr>
        <w:t>及号码：</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6"/>
        <w:keepNext/>
        <w:keepLines/>
        <w:spacing w:before="120" w:after="120" w:line="360" w:lineRule="auto"/>
        <w:ind w:firstLine="421" w:firstLineChars="200"/>
        <w:jc w:val="both"/>
        <w:rPr>
          <w:kern w:val="2"/>
          <w:sz w:val="21"/>
          <w:szCs w:val="21"/>
        </w:rPr>
      </w:pPr>
      <w:bookmarkStart w:id="822" w:name="_Toc532377171"/>
      <w:bookmarkStart w:id="823" w:name="_Toc532375578"/>
      <w:bookmarkStart w:id="824" w:name="_Toc351203486"/>
      <w:r>
        <w:rPr>
          <w:rFonts w:hint="eastAsia"/>
          <w:kern w:val="2"/>
          <w:sz w:val="21"/>
          <w:szCs w:val="21"/>
        </w:rPr>
        <w:t>六、合同文件构成</w:t>
      </w:r>
      <w:bookmarkEnd w:id="822"/>
      <w:bookmarkEnd w:id="823"/>
      <w:bookmarkEnd w:id="824"/>
    </w:p>
    <w:p>
      <w:pPr>
        <w:spacing w:line="360" w:lineRule="auto"/>
        <w:ind w:firstLine="420" w:firstLineChars="200"/>
        <w:rPr>
          <w:rFonts w:ascii="宋体" w:hAnsi="宋体"/>
          <w:bCs/>
          <w:szCs w:val="21"/>
        </w:rPr>
      </w:pPr>
      <w:r>
        <w:rPr>
          <w:rFonts w:hint="eastAsia" w:ascii="宋体" w:hAnsi="宋体"/>
          <w:bCs/>
          <w:szCs w:val="21"/>
        </w:rPr>
        <w:t>合同由以下文件构成：</w:t>
      </w:r>
    </w:p>
    <w:p>
      <w:pPr>
        <w:spacing w:line="360" w:lineRule="auto"/>
        <w:ind w:firstLine="420" w:firstLineChars="200"/>
        <w:rPr>
          <w:rFonts w:ascii="宋体" w:hAnsi="宋体"/>
          <w:szCs w:val="21"/>
        </w:rPr>
      </w:pPr>
      <w:r>
        <w:rPr>
          <w:rFonts w:hint="eastAsia" w:ascii="宋体" w:hAnsi="宋体"/>
          <w:szCs w:val="21"/>
        </w:rPr>
        <w:t>（1）合同协议书；</w:t>
      </w:r>
    </w:p>
    <w:p>
      <w:pPr>
        <w:spacing w:line="360" w:lineRule="auto"/>
        <w:ind w:firstLine="420" w:firstLineChars="200"/>
        <w:rPr>
          <w:rFonts w:ascii="宋体" w:hAnsi="宋体"/>
          <w:szCs w:val="21"/>
        </w:rPr>
      </w:pPr>
      <w:r>
        <w:rPr>
          <w:rFonts w:hint="eastAsia" w:ascii="宋体" w:hAnsi="宋体"/>
          <w:szCs w:val="21"/>
        </w:rPr>
        <w:t>（2）中标通知书；</w:t>
      </w:r>
    </w:p>
    <w:p>
      <w:pPr>
        <w:spacing w:line="360" w:lineRule="auto"/>
        <w:ind w:firstLine="420" w:firstLineChars="200"/>
        <w:rPr>
          <w:rFonts w:ascii="宋体" w:hAnsi="宋体"/>
          <w:szCs w:val="21"/>
        </w:rPr>
      </w:pPr>
      <w:r>
        <w:rPr>
          <w:rFonts w:hint="eastAsia" w:ascii="宋体" w:hAnsi="宋体"/>
          <w:szCs w:val="21"/>
        </w:rPr>
        <w:t>（3）投标函及投标函附录；</w:t>
      </w:r>
    </w:p>
    <w:p>
      <w:pPr>
        <w:spacing w:line="360" w:lineRule="auto"/>
        <w:ind w:firstLine="420" w:firstLineChars="200"/>
        <w:rPr>
          <w:rFonts w:ascii="宋体" w:hAnsi="宋体"/>
          <w:szCs w:val="21"/>
        </w:rPr>
      </w:pPr>
      <w:r>
        <w:rPr>
          <w:rFonts w:hint="eastAsia" w:ascii="宋体" w:hAnsi="宋体"/>
          <w:szCs w:val="21"/>
        </w:rPr>
        <w:t>（4）专用合同条款及其附件；</w:t>
      </w:r>
    </w:p>
    <w:p>
      <w:pPr>
        <w:spacing w:line="360" w:lineRule="auto"/>
        <w:ind w:firstLine="420" w:firstLineChars="200"/>
        <w:rPr>
          <w:rFonts w:ascii="宋体" w:hAnsi="宋体"/>
          <w:szCs w:val="21"/>
        </w:rPr>
      </w:pPr>
      <w:r>
        <w:rPr>
          <w:rFonts w:hint="eastAsia" w:ascii="宋体" w:hAnsi="宋体"/>
          <w:szCs w:val="21"/>
        </w:rPr>
        <w:t>（5）通用合同条款；</w:t>
      </w:r>
    </w:p>
    <w:p>
      <w:pPr>
        <w:spacing w:line="360" w:lineRule="auto"/>
        <w:ind w:firstLine="420" w:firstLineChars="200"/>
        <w:rPr>
          <w:rFonts w:ascii="宋体" w:hAnsi="宋体"/>
          <w:szCs w:val="21"/>
        </w:rPr>
      </w:pPr>
      <w:r>
        <w:rPr>
          <w:rFonts w:hint="eastAsia" w:ascii="宋体" w:hAnsi="宋体"/>
          <w:szCs w:val="21"/>
        </w:rPr>
        <w:t>（6）投标文件（投标函及投标函附录除外）；</w:t>
      </w:r>
    </w:p>
    <w:p>
      <w:pPr>
        <w:spacing w:line="360" w:lineRule="auto"/>
        <w:ind w:firstLine="420" w:firstLineChars="200"/>
        <w:rPr>
          <w:rFonts w:ascii="宋体" w:hAnsi="宋体"/>
          <w:szCs w:val="21"/>
        </w:rPr>
      </w:pPr>
      <w:r>
        <w:rPr>
          <w:rFonts w:hint="eastAsia" w:ascii="宋体" w:hAnsi="宋体"/>
          <w:szCs w:val="21"/>
        </w:rPr>
        <w:t>（7）招标文件及修改文件；</w:t>
      </w:r>
    </w:p>
    <w:p>
      <w:pPr>
        <w:spacing w:line="360" w:lineRule="auto"/>
        <w:ind w:firstLine="420" w:firstLineChars="200"/>
        <w:rPr>
          <w:rFonts w:ascii="宋体" w:hAnsi="宋体"/>
          <w:szCs w:val="21"/>
        </w:rPr>
      </w:pPr>
      <w:r>
        <w:rPr>
          <w:rFonts w:hint="eastAsia" w:ascii="宋体" w:hAnsi="宋体"/>
          <w:szCs w:val="21"/>
        </w:rPr>
        <w:t>（8）技术标准和要求；</w:t>
      </w:r>
    </w:p>
    <w:p>
      <w:pPr>
        <w:spacing w:line="360" w:lineRule="auto"/>
        <w:ind w:firstLine="420" w:firstLineChars="200"/>
        <w:rPr>
          <w:rFonts w:ascii="宋体" w:hAnsi="宋体"/>
          <w:szCs w:val="21"/>
        </w:rPr>
      </w:pPr>
      <w:r>
        <w:rPr>
          <w:rFonts w:hint="eastAsia" w:ascii="宋体" w:hAnsi="宋体"/>
          <w:szCs w:val="21"/>
        </w:rPr>
        <w:t>（9）图纸；</w:t>
      </w:r>
    </w:p>
    <w:p>
      <w:pPr>
        <w:spacing w:line="360" w:lineRule="auto"/>
        <w:ind w:firstLine="420" w:firstLineChars="200"/>
        <w:rPr>
          <w:rFonts w:ascii="宋体" w:hAnsi="宋体"/>
          <w:szCs w:val="21"/>
        </w:rPr>
      </w:pPr>
      <w:r>
        <w:rPr>
          <w:rFonts w:hint="eastAsia" w:ascii="宋体" w:hAnsi="宋体"/>
          <w:szCs w:val="21"/>
        </w:rPr>
        <w:t>（10）其他合同文件。</w:t>
      </w:r>
    </w:p>
    <w:p>
      <w:pPr>
        <w:spacing w:line="360" w:lineRule="auto"/>
        <w:ind w:firstLine="420" w:firstLineChars="200"/>
        <w:rPr>
          <w:rFonts w:ascii="宋体" w:hAnsi="宋体"/>
          <w:szCs w:val="21"/>
        </w:rPr>
      </w:pPr>
      <w:r>
        <w:rPr>
          <w:rFonts w:hint="eastAsia" w:ascii="宋体" w:hAnsi="宋体"/>
          <w:szCs w:val="21"/>
        </w:rPr>
        <w:t>在合同订立、履行过程中形成的与合同有关的书面形式的文件均构成合同文件组成部分。</w:t>
      </w:r>
    </w:p>
    <w:p>
      <w:pPr>
        <w:spacing w:line="360" w:lineRule="auto"/>
        <w:ind w:firstLine="420" w:firstLineChars="200"/>
        <w:rPr>
          <w:rFonts w:ascii="宋体" w:hAnsi="宋体"/>
          <w:szCs w:val="21"/>
        </w:rPr>
      </w:pPr>
      <w:r>
        <w:rPr>
          <w:rFonts w:hint="eastAsia" w:ascii="宋体" w:hAnsi="宋体"/>
          <w:szCs w:val="21"/>
        </w:rPr>
        <w:t>上述各项合同文件包括合同当事人就该项合同文件所作出的补充和修改，属于同一类内容的文件，应以最新签署的为准。专用合同条款及其附件须经合同当事人签名或盖章。</w:t>
      </w:r>
    </w:p>
    <w:p>
      <w:pPr>
        <w:pStyle w:val="6"/>
        <w:keepNext/>
        <w:keepLines/>
        <w:spacing w:before="120" w:after="120" w:line="360" w:lineRule="auto"/>
        <w:ind w:firstLine="421" w:firstLineChars="200"/>
        <w:jc w:val="both"/>
        <w:rPr>
          <w:kern w:val="2"/>
          <w:sz w:val="21"/>
          <w:szCs w:val="21"/>
        </w:rPr>
      </w:pPr>
      <w:bookmarkStart w:id="825" w:name="_Toc532375579"/>
      <w:bookmarkStart w:id="826" w:name="_Toc351203487"/>
      <w:bookmarkStart w:id="827" w:name="_Toc532377172"/>
      <w:r>
        <w:rPr>
          <w:rFonts w:hint="eastAsia"/>
          <w:kern w:val="2"/>
          <w:sz w:val="21"/>
          <w:szCs w:val="21"/>
        </w:rPr>
        <w:t>七、承诺</w:t>
      </w:r>
      <w:bookmarkEnd w:id="825"/>
      <w:bookmarkEnd w:id="826"/>
      <w:bookmarkEnd w:id="827"/>
    </w:p>
    <w:p>
      <w:pPr>
        <w:spacing w:line="360" w:lineRule="auto"/>
        <w:ind w:firstLine="420" w:firstLineChars="200"/>
        <w:rPr>
          <w:rFonts w:ascii="宋体" w:hAnsi="宋体"/>
          <w:bCs/>
          <w:szCs w:val="21"/>
        </w:rPr>
      </w:pPr>
      <w:r>
        <w:rPr>
          <w:rFonts w:hint="eastAsia" w:ascii="宋体" w:hAnsi="宋体"/>
          <w:bCs/>
          <w:szCs w:val="21"/>
        </w:rPr>
        <w:t>1.发包人承诺按照法律规定履行项目审批手续、筹集工程建设资金并按照合同约定的期限和方式支付合同价款。</w:t>
      </w:r>
    </w:p>
    <w:p>
      <w:pPr>
        <w:spacing w:line="360" w:lineRule="auto"/>
        <w:ind w:firstLine="420" w:firstLineChars="200"/>
        <w:rPr>
          <w:rFonts w:ascii="宋体" w:hAnsi="宋体"/>
          <w:bCs/>
          <w:szCs w:val="21"/>
        </w:rPr>
      </w:pPr>
      <w:r>
        <w:rPr>
          <w:rFonts w:hint="eastAsia" w:ascii="宋体" w:hAnsi="宋体"/>
          <w:bCs/>
          <w:szCs w:val="21"/>
        </w:rPr>
        <w:t>2.</w:t>
      </w:r>
      <w:r>
        <w:rPr>
          <w:rFonts w:hint="eastAsia" w:ascii="宋体" w:hAnsi="宋体"/>
          <w:szCs w:val="21"/>
        </w:rPr>
        <w:t>承包人承诺按照法律规定及合同约定组织完成工程施工，确保工程质量和安全，不进行转包及违法分包，并在缺陷责任期及保修期内承担相应的工程维修责任</w:t>
      </w:r>
      <w:r>
        <w:rPr>
          <w:rFonts w:hint="eastAsia" w:ascii="宋体" w:hAnsi="宋体"/>
          <w:bCs/>
          <w:szCs w:val="21"/>
        </w:rPr>
        <w:t>。</w:t>
      </w:r>
    </w:p>
    <w:p>
      <w:pPr>
        <w:spacing w:line="360" w:lineRule="auto"/>
        <w:ind w:firstLine="420" w:firstLineChars="200"/>
        <w:rPr>
          <w:rFonts w:ascii="宋体" w:hAnsi="宋体"/>
          <w:bCs/>
          <w:szCs w:val="21"/>
        </w:rPr>
      </w:pPr>
      <w:r>
        <w:rPr>
          <w:rFonts w:hint="eastAsia" w:ascii="宋体" w:hAnsi="宋体"/>
          <w:bCs/>
          <w:szCs w:val="21"/>
        </w:rPr>
        <w:t>3.发包人和承包人通过招投标形式签订合同的，双方理解并承诺不再就同一工程另行签订与合同实质性内容相背离的协议。</w:t>
      </w:r>
    </w:p>
    <w:p>
      <w:pPr>
        <w:pStyle w:val="6"/>
        <w:keepNext/>
        <w:keepLines/>
        <w:spacing w:before="120" w:after="120" w:line="360" w:lineRule="auto"/>
        <w:ind w:firstLine="421" w:firstLineChars="200"/>
        <w:jc w:val="both"/>
        <w:rPr>
          <w:kern w:val="2"/>
          <w:sz w:val="21"/>
          <w:szCs w:val="21"/>
        </w:rPr>
      </w:pPr>
      <w:bookmarkStart w:id="828" w:name="_Toc532377173"/>
      <w:bookmarkStart w:id="829" w:name="_Toc351203488"/>
      <w:bookmarkStart w:id="830" w:name="_Toc532375580"/>
      <w:r>
        <w:rPr>
          <w:rFonts w:hint="eastAsia"/>
          <w:kern w:val="2"/>
          <w:sz w:val="21"/>
          <w:szCs w:val="21"/>
        </w:rPr>
        <w:t>八、词语含义</w:t>
      </w:r>
      <w:bookmarkEnd w:id="828"/>
      <w:bookmarkEnd w:id="829"/>
      <w:bookmarkEnd w:id="830"/>
    </w:p>
    <w:p>
      <w:pPr>
        <w:spacing w:line="360" w:lineRule="auto"/>
        <w:ind w:firstLine="420" w:firstLineChars="200"/>
        <w:rPr>
          <w:rFonts w:ascii="宋体" w:hAnsi="宋体"/>
          <w:bCs/>
          <w:szCs w:val="21"/>
        </w:rPr>
      </w:pPr>
      <w:r>
        <w:rPr>
          <w:rFonts w:hint="eastAsia" w:ascii="宋体" w:hAnsi="宋体"/>
          <w:bCs/>
          <w:szCs w:val="21"/>
        </w:rPr>
        <w:t>本协议书中词语含义与专用合同条款及通用合同条款中赋予的含义相同。</w:t>
      </w:r>
    </w:p>
    <w:p>
      <w:pPr>
        <w:pStyle w:val="6"/>
        <w:keepNext/>
        <w:keepLines/>
        <w:spacing w:before="120" w:after="120" w:line="360" w:lineRule="auto"/>
        <w:ind w:firstLine="421" w:firstLineChars="200"/>
        <w:jc w:val="both"/>
        <w:rPr>
          <w:kern w:val="2"/>
          <w:sz w:val="21"/>
          <w:szCs w:val="21"/>
        </w:rPr>
      </w:pPr>
      <w:bookmarkStart w:id="831" w:name="_Toc532375581"/>
      <w:bookmarkStart w:id="832" w:name="_Toc532377174"/>
      <w:r>
        <w:rPr>
          <w:rFonts w:hint="eastAsia"/>
          <w:kern w:val="2"/>
          <w:sz w:val="21"/>
          <w:szCs w:val="21"/>
        </w:rPr>
        <w:t>九、签订时间</w:t>
      </w:r>
      <w:bookmarkEnd w:id="831"/>
      <w:bookmarkEnd w:id="832"/>
    </w:p>
    <w:p>
      <w:pPr>
        <w:spacing w:line="360" w:lineRule="auto"/>
        <w:ind w:firstLine="420" w:firstLineChars="200"/>
        <w:rPr>
          <w:rFonts w:ascii="宋体" w:hAnsi="宋体"/>
          <w:szCs w:val="21"/>
        </w:rPr>
      </w:pPr>
      <w:r>
        <w:rPr>
          <w:rFonts w:hint="eastAsia" w:ascii="宋体" w:hAnsi="宋体"/>
          <w:bCs/>
          <w:szCs w:val="21"/>
        </w:rPr>
        <w:t>合同于</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日签订</w:t>
      </w:r>
    </w:p>
    <w:p>
      <w:pPr>
        <w:pStyle w:val="6"/>
        <w:keepNext/>
        <w:keepLines/>
        <w:spacing w:before="120" w:after="120" w:line="360" w:lineRule="auto"/>
        <w:ind w:firstLine="421" w:firstLineChars="200"/>
        <w:jc w:val="both"/>
        <w:rPr>
          <w:kern w:val="2"/>
          <w:sz w:val="21"/>
          <w:szCs w:val="21"/>
        </w:rPr>
      </w:pPr>
      <w:bookmarkStart w:id="833" w:name="_Toc351203489"/>
      <w:bookmarkStart w:id="834" w:name="_Toc532375582"/>
      <w:bookmarkStart w:id="835" w:name="_Toc532377175"/>
      <w:r>
        <w:rPr>
          <w:rFonts w:hint="eastAsia"/>
          <w:kern w:val="2"/>
          <w:sz w:val="21"/>
          <w:szCs w:val="21"/>
        </w:rPr>
        <w:t>十、</w:t>
      </w:r>
      <w:bookmarkEnd w:id="833"/>
      <w:bookmarkStart w:id="836" w:name="_Toc351203490"/>
      <w:r>
        <w:rPr>
          <w:rFonts w:hint="eastAsia"/>
          <w:kern w:val="2"/>
          <w:sz w:val="21"/>
          <w:szCs w:val="21"/>
        </w:rPr>
        <w:t>签订地点</w:t>
      </w:r>
      <w:bookmarkEnd w:id="834"/>
      <w:bookmarkEnd w:id="835"/>
      <w:bookmarkEnd w:id="836"/>
    </w:p>
    <w:p>
      <w:pPr>
        <w:spacing w:line="360" w:lineRule="auto"/>
        <w:ind w:firstLine="420" w:firstLineChars="200"/>
        <w:rPr>
          <w:rFonts w:ascii="宋体" w:hAnsi="宋体"/>
          <w:bCs/>
          <w:szCs w:val="21"/>
        </w:rPr>
      </w:pPr>
      <w:r>
        <w:rPr>
          <w:rFonts w:hint="eastAsia" w:ascii="宋体" w:hAnsi="宋体"/>
          <w:bCs/>
          <w:szCs w:val="21"/>
        </w:rPr>
        <w:t>合同在</w:t>
      </w:r>
      <w:r>
        <w:rPr>
          <w:rFonts w:hint="eastAsia" w:ascii="宋体" w:hAnsi="宋体"/>
          <w:bCs/>
          <w:szCs w:val="21"/>
          <w:u w:val="single"/>
        </w:rPr>
        <w:t xml:space="preserve">            </w:t>
      </w:r>
      <w:r>
        <w:rPr>
          <w:rFonts w:hint="eastAsia" w:ascii="宋体" w:hAnsi="宋体"/>
          <w:bCs/>
          <w:szCs w:val="21"/>
        </w:rPr>
        <w:t>签订。</w:t>
      </w:r>
    </w:p>
    <w:p>
      <w:pPr>
        <w:pStyle w:val="6"/>
        <w:keepNext/>
        <w:keepLines/>
        <w:spacing w:before="120" w:after="120" w:line="360" w:lineRule="auto"/>
        <w:ind w:firstLine="421" w:firstLineChars="200"/>
        <w:jc w:val="both"/>
        <w:rPr>
          <w:kern w:val="2"/>
          <w:sz w:val="21"/>
          <w:szCs w:val="21"/>
        </w:rPr>
      </w:pPr>
      <w:bookmarkStart w:id="837" w:name="_Toc532375583"/>
      <w:bookmarkStart w:id="838" w:name="_Toc532377176"/>
      <w:bookmarkStart w:id="839" w:name="_Toc351203491"/>
      <w:r>
        <w:rPr>
          <w:rFonts w:hint="eastAsia"/>
          <w:kern w:val="2"/>
          <w:sz w:val="21"/>
          <w:szCs w:val="21"/>
        </w:rPr>
        <w:t>十一、补充协议</w:t>
      </w:r>
      <w:bookmarkEnd w:id="837"/>
      <w:bookmarkEnd w:id="838"/>
      <w:bookmarkEnd w:id="839"/>
    </w:p>
    <w:p>
      <w:pPr>
        <w:spacing w:line="360" w:lineRule="auto"/>
        <w:ind w:firstLine="420" w:firstLineChars="200"/>
        <w:rPr>
          <w:rFonts w:ascii="宋体" w:hAnsi="宋体"/>
          <w:b/>
          <w:bCs/>
          <w:szCs w:val="21"/>
        </w:rPr>
      </w:pPr>
      <w:r>
        <w:rPr>
          <w:rFonts w:hint="eastAsia" w:ascii="宋体" w:hAnsi="宋体"/>
          <w:bCs/>
          <w:szCs w:val="21"/>
        </w:rPr>
        <w:t>合同未尽事宜，合同当事人另行签订补充协议，补充协议是合同的组成部分。</w:t>
      </w:r>
    </w:p>
    <w:p>
      <w:pPr>
        <w:pStyle w:val="6"/>
        <w:keepNext/>
        <w:keepLines/>
        <w:spacing w:before="120" w:after="120" w:line="360" w:lineRule="auto"/>
        <w:ind w:firstLine="421" w:firstLineChars="200"/>
        <w:jc w:val="both"/>
        <w:rPr>
          <w:kern w:val="2"/>
          <w:sz w:val="21"/>
          <w:szCs w:val="21"/>
        </w:rPr>
      </w:pPr>
      <w:bookmarkStart w:id="840" w:name="_Toc532377177"/>
      <w:bookmarkStart w:id="841" w:name="_Toc351203492"/>
      <w:bookmarkStart w:id="842" w:name="_Toc532375584"/>
      <w:r>
        <w:rPr>
          <w:rFonts w:hint="eastAsia"/>
          <w:kern w:val="2"/>
          <w:sz w:val="21"/>
          <w:szCs w:val="21"/>
        </w:rPr>
        <w:t>十二、合同生效</w:t>
      </w:r>
      <w:bookmarkEnd w:id="840"/>
      <w:bookmarkEnd w:id="841"/>
      <w:bookmarkEnd w:id="842"/>
    </w:p>
    <w:p>
      <w:pPr>
        <w:spacing w:line="360" w:lineRule="auto"/>
        <w:ind w:firstLine="420" w:firstLineChars="200"/>
        <w:rPr>
          <w:rFonts w:ascii="宋体" w:hAnsi="宋体"/>
          <w:bCs/>
          <w:szCs w:val="21"/>
        </w:rPr>
      </w:pPr>
      <w:r>
        <w:rPr>
          <w:rFonts w:hint="eastAsia" w:ascii="宋体" w:hAnsi="宋体"/>
          <w:bCs/>
          <w:szCs w:val="21"/>
        </w:rPr>
        <w:t>合同在以下条件全部满足之后生效：</w:t>
      </w:r>
    </w:p>
    <w:p>
      <w:pPr>
        <w:spacing w:line="360" w:lineRule="auto"/>
        <w:ind w:firstLine="420" w:firstLineChars="200"/>
        <w:rPr>
          <w:rFonts w:ascii="宋体" w:hAnsi="宋体"/>
          <w:szCs w:val="21"/>
        </w:rPr>
      </w:pPr>
      <w:r>
        <w:rPr>
          <w:rFonts w:hint="eastAsia" w:ascii="宋体" w:hAnsi="宋体"/>
          <w:bCs/>
          <w:szCs w:val="21"/>
        </w:rPr>
        <w:t>1.合同</w:t>
      </w:r>
      <w:r>
        <w:rPr>
          <w:rFonts w:hint="eastAsia" w:ascii="宋体" w:hAnsi="宋体"/>
          <w:szCs w:val="21"/>
        </w:rPr>
        <w:t>经双方法定代表人或其委托代理人签名并加盖</w:t>
      </w:r>
      <w:r>
        <w:rPr>
          <w:rFonts w:hint="eastAsia" w:ascii="宋体" w:hAnsi="宋体"/>
          <w:szCs w:val="21"/>
          <w:lang w:val="en-US" w:eastAsia="zh-CN"/>
        </w:rPr>
        <w:t>单位</w:t>
      </w:r>
      <w:r>
        <w:rPr>
          <w:rFonts w:hint="eastAsia" w:ascii="宋体" w:hAnsi="宋体"/>
          <w:snapToGrid w:val="0"/>
          <w:kern w:val="0"/>
          <w:szCs w:val="21"/>
        </w:rPr>
        <w:t>公章或合同专用章</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2.采用保函形式递交履约担保的，承包人按合同约定向发包人提交履约担保后；</w:t>
      </w:r>
    </w:p>
    <w:p>
      <w:pPr>
        <w:spacing w:line="360" w:lineRule="auto"/>
        <w:ind w:firstLine="420" w:firstLineChars="200"/>
        <w:rPr>
          <w:rFonts w:ascii="宋体" w:hAnsi="宋体"/>
          <w:bCs/>
          <w:szCs w:val="21"/>
        </w:rPr>
      </w:pPr>
      <w:r>
        <w:rPr>
          <w:rFonts w:hint="eastAsia" w:ascii="宋体" w:hAnsi="宋体"/>
          <w:bCs/>
          <w:szCs w:val="21"/>
        </w:rPr>
        <w:t>3.</w:t>
      </w:r>
      <w:r>
        <w:rPr>
          <w:rFonts w:hint="eastAsia" w:ascii="宋体" w:hAnsi="宋体"/>
          <w:szCs w:val="21"/>
          <w:u w:val="single"/>
        </w:rPr>
        <w:t xml:space="preserve">        </w:t>
      </w:r>
      <w:r>
        <w:rPr>
          <w:rFonts w:hint="eastAsia" w:ascii="宋体" w:hAnsi="宋体"/>
          <w:szCs w:val="21"/>
        </w:rPr>
        <w:t>。</w:t>
      </w:r>
    </w:p>
    <w:p>
      <w:pPr>
        <w:pStyle w:val="6"/>
        <w:keepNext/>
        <w:keepLines/>
        <w:spacing w:before="120" w:after="120" w:line="360" w:lineRule="auto"/>
        <w:ind w:firstLine="421" w:firstLineChars="200"/>
        <w:jc w:val="both"/>
        <w:rPr>
          <w:kern w:val="2"/>
          <w:sz w:val="21"/>
          <w:szCs w:val="21"/>
        </w:rPr>
      </w:pPr>
      <w:bookmarkStart w:id="843" w:name="_Toc351203493"/>
      <w:bookmarkStart w:id="844" w:name="_Toc532377178"/>
      <w:bookmarkStart w:id="845" w:name="_Toc532375585"/>
      <w:r>
        <w:rPr>
          <w:rFonts w:hint="eastAsia"/>
          <w:kern w:val="2"/>
          <w:sz w:val="21"/>
          <w:szCs w:val="21"/>
        </w:rPr>
        <w:t>十三、合同份数</w:t>
      </w:r>
      <w:bookmarkEnd w:id="843"/>
      <w:bookmarkEnd w:id="844"/>
      <w:bookmarkEnd w:id="845"/>
    </w:p>
    <w:p>
      <w:pPr>
        <w:spacing w:line="360" w:lineRule="auto"/>
        <w:ind w:firstLine="420" w:firstLineChars="200"/>
        <w:rPr>
          <w:rFonts w:ascii="宋体" w:hAnsi="宋体"/>
          <w:bCs/>
          <w:szCs w:val="21"/>
        </w:rPr>
      </w:pPr>
      <w:r>
        <w:rPr>
          <w:rFonts w:hint="eastAsia" w:ascii="宋体" w:hAnsi="宋体" w:cs="Microsoft Sans Serif"/>
          <w:bCs/>
          <w:szCs w:val="21"/>
        </w:rPr>
        <w:t>合同一式</w:t>
      </w:r>
      <w:r>
        <w:rPr>
          <w:rFonts w:hint="eastAsia" w:ascii="宋体" w:hAnsi="宋体" w:cs="Microsoft Sans Serif"/>
          <w:bCs/>
          <w:szCs w:val="21"/>
          <w:u w:val="single"/>
        </w:rPr>
        <w:t xml:space="preserve">     </w:t>
      </w:r>
      <w:r>
        <w:rPr>
          <w:rFonts w:hint="eastAsia" w:ascii="宋体" w:hAnsi="宋体" w:cs="Microsoft Sans Serif"/>
          <w:bCs/>
          <w:szCs w:val="21"/>
        </w:rPr>
        <w:t>份，其中正本</w:t>
      </w:r>
      <w:r>
        <w:rPr>
          <w:rFonts w:hint="eastAsia" w:ascii="宋体" w:hAnsi="宋体" w:cs="Microsoft Sans Serif"/>
          <w:bCs/>
          <w:szCs w:val="21"/>
          <w:u w:val="single"/>
        </w:rPr>
        <w:t xml:space="preserve">    </w:t>
      </w:r>
      <w:r>
        <w:rPr>
          <w:rFonts w:hint="eastAsia" w:ascii="宋体" w:hAnsi="宋体" w:cs="Microsoft Sans Serif"/>
          <w:bCs/>
          <w:szCs w:val="21"/>
        </w:rPr>
        <w:t>份，双方各持</w:t>
      </w:r>
      <w:r>
        <w:rPr>
          <w:rFonts w:hint="eastAsia" w:ascii="宋体" w:hAnsi="宋体" w:cs="Microsoft Sans Serif"/>
          <w:bCs/>
          <w:szCs w:val="21"/>
          <w:u w:val="single"/>
        </w:rPr>
        <w:t xml:space="preserve">    </w:t>
      </w:r>
      <w:r>
        <w:rPr>
          <w:rFonts w:hint="eastAsia" w:ascii="宋体" w:hAnsi="宋体" w:cs="Microsoft Sans Serif"/>
          <w:bCs/>
          <w:szCs w:val="21"/>
        </w:rPr>
        <w:t>份，副本</w:t>
      </w:r>
      <w:r>
        <w:rPr>
          <w:rFonts w:hint="eastAsia" w:ascii="宋体" w:hAnsi="宋体" w:cs="Microsoft Sans Serif"/>
          <w:bCs/>
          <w:szCs w:val="21"/>
          <w:u w:val="single"/>
        </w:rPr>
        <w:t xml:space="preserve">    </w:t>
      </w:r>
      <w:r>
        <w:rPr>
          <w:rFonts w:hint="eastAsia" w:ascii="宋体" w:hAnsi="宋体" w:cs="Microsoft Sans Serif"/>
          <w:bCs/>
          <w:szCs w:val="21"/>
        </w:rPr>
        <w:t>份，双方各执</w:t>
      </w:r>
      <w:r>
        <w:rPr>
          <w:rFonts w:hint="eastAsia" w:ascii="宋体" w:hAnsi="宋体" w:cs="Microsoft Sans Serif"/>
          <w:bCs/>
          <w:szCs w:val="21"/>
          <w:u w:val="single"/>
        </w:rPr>
        <w:t xml:space="preserve">    </w:t>
      </w:r>
      <w:r>
        <w:rPr>
          <w:rFonts w:hint="eastAsia" w:ascii="宋体" w:hAnsi="宋体" w:cs="Microsoft Sans Serif"/>
          <w:bCs/>
          <w:szCs w:val="21"/>
        </w:rPr>
        <w:t>份。副本与正本不一致时，以正本为准</w:t>
      </w:r>
      <w:r>
        <w:rPr>
          <w:rFonts w:hint="eastAsia" w:ascii="宋体" w:hAnsi="宋体"/>
          <w:bCs/>
          <w:szCs w:val="21"/>
        </w:rPr>
        <w:t>。</w:t>
      </w:r>
    </w:p>
    <w:p>
      <w:pPr>
        <w:spacing w:line="360" w:lineRule="auto"/>
        <w:ind w:firstLine="420" w:firstLineChars="200"/>
        <w:rPr>
          <w:rFonts w:ascii="宋体" w:hAnsi="宋体"/>
          <w:bCs/>
          <w:szCs w:val="21"/>
        </w:rPr>
      </w:pPr>
    </w:p>
    <w:p>
      <w:pPr>
        <w:spacing w:line="360" w:lineRule="auto"/>
        <w:ind w:firstLine="420" w:firstLineChars="200"/>
        <w:rPr>
          <w:rFonts w:ascii="宋体" w:hAnsi="宋体"/>
          <w:bCs/>
          <w:szCs w:val="21"/>
        </w:rPr>
      </w:pPr>
      <w:r>
        <w:rPr>
          <w:rFonts w:hint="eastAsia" w:ascii="宋体" w:hAnsi="宋体"/>
          <w:bCs/>
          <w:szCs w:val="21"/>
        </w:rPr>
        <w:t>（以下为签名盖章页）。</w:t>
      </w:r>
    </w:p>
    <w:p>
      <w:pPr>
        <w:pStyle w:val="2"/>
        <w:spacing w:line="360" w:lineRule="auto"/>
        <w:ind w:firstLine="420" w:firstLineChars="200"/>
        <w:rPr>
          <w:rFonts w:ascii="宋体" w:hAnsi="宋体"/>
          <w:szCs w:val="21"/>
        </w:rPr>
      </w:pPr>
    </w:p>
    <w:p>
      <w:pPr>
        <w:pStyle w:val="2"/>
        <w:spacing w:line="360" w:lineRule="auto"/>
        <w:ind w:firstLine="420" w:firstLineChars="200"/>
        <w:rPr>
          <w:rFonts w:ascii="宋体" w:hAnsi="宋体"/>
          <w:szCs w:val="21"/>
        </w:rPr>
      </w:pPr>
    </w:p>
    <w:p>
      <w:pPr>
        <w:adjustRightInd w:val="0"/>
        <w:spacing w:line="360" w:lineRule="auto"/>
        <w:ind w:firstLine="420" w:firstLineChars="200"/>
        <w:rPr>
          <w:rFonts w:ascii="宋体" w:hAnsi="宋体"/>
          <w:snapToGrid w:val="0"/>
          <w:kern w:val="0"/>
          <w:szCs w:val="21"/>
        </w:rPr>
      </w:pPr>
      <w:bookmarkStart w:id="846" w:name="_Toc467689623"/>
      <w:r>
        <w:rPr>
          <w:rFonts w:ascii="宋体" w:hAnsi="宋体"/>
          <w:snapToGrid w:val="0"/>
          <w:kern w:val="0"/>
          <w:szCs w:val="21"/>
        </w:rPr>
        <w:t>发包人：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lang w:val="en-US" w:eastAsia="zh-CN"/>
        </w:rPr>
        <w:t>盖单位</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zCs w:val="21"/>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rPr>
          <w:rFonts w:ascii="宋体" w:hAnsi="宋体"/>
          <w:snapToGrid w:val="0"/>
          <w:kern w:val="0"/>
          <w:szCs w:val="21"/>
        </w:rPr>
      </w:pPr>
    </w:p>
    <w:p>
      <w:pPr>
        <w:spacing w:line="360" w:lineRule="auto"/>
        <w:ind w:firstLine="420" w:firstLineChars="200"/>
        <w:rPr>
          <w:rFonts w:ascii="宋体" w:hAnsi="宋体"/>
          <w:szCs w:val="21"/>
        </w:rPr>
      </w:pPr>
      <w:r>
        <w:rPr>
          <w:rFonts w:ascii="宋体" w:hAnsi="宋体"/>
          <w:snapToGrid w:val="0"/>
          <w:kern w:val="0"/>
          <w:szCs w:val="21"/>
        </w:rPr>
        <w:t>承包人：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lang w:val="en-US" w:eastAsia="zh-CN"/>
        </w:rPr>
        <w:t>盖单位</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pStyle w:val="2"/>
        <w:spacing w:line="360" w:lineRule="auto"/>
        <w:rPr>
          <w:rFonts w:ascii="宋体" w:hAnsi="宋体"/>
          <w:szCs w:val="21"/>
        </w:rPr>
      </w:pPr>
    </w:p>
    <w:p>
      <w:pPr>
        <w:spacing w:line="360" w:lineRule="auto"/>
        <w:jc w:val="right"/>
        <w:rPr>
          <w:rFonts w:ascii="宋体" w:hAnsi="宋体"/>
          <w:snapToGrid w:val="0"/>
          <w:kern w:val="0"/>
          <w:szCs w:val="21"/>
        </w:rPr>
      </w:pPr>
    </w:p>
    <w:p>
      <w:pPr>
        <w:spacing w:line="360" w:lineRule="auto"/>
        <w:jc w:val="right"/>
        <w:rPr>
          <w:rFonts w:ascii="宋体" w:hAnsi="宋体"/>
          <w:snapToGrid w:val="0"/>
          <w:kern w:val="0"/>
          <w:szCs w:val="21"/>
        </w:rPr>
      </w:pPr>
    </w:p>
    <w:p>
      <w:pPr>
        <w:spacing w:line="360" w:lineRule="auto"/>
        <w:jc w:val="right"/>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bookmarkEnd w:id="846"/>
    </w:p>
    <w:p>
      <w:pPr>
        <w:pStyle w:val="5"/>
        <w:jc w:val="center"/>
        <w:rPr>
          <w:rFonts w:ascii="宋体" w:hAnsi="宋体"/>
          <w:bCs w:val="0"/>
          <w:sz w:val="21"/>
          <w:szCs w:val="21"/>
        </w:rPr>
      </w:pPr>
      <w:r>
        <w:rPr>
          <w:rFonts w:hint="eastAsia" w:ascii="宋体" w:hAnsi="宋体"/>
          <w:b w:val="0"/>
          <w:snapToGrid w:val="0"/>
          <w:sz w:val="21"/>
          <w:szCs w:val="21"/>
          <w:lang w:val="zh-CN"/>
        </w:rPr>
        <w:br w:type="page"/>
      </w:r>
      <w:bookmarkStart w:id="847" w:name="_Toc185"/>
      <w:bookmarkStart w:id="848" w:name="_Toc532375586"/>
      <w:bookmarkStart w:id="849" w:name="_Toc532377179"/>
      <w:bookmarkStart w:id="850" w:name="_Toc529388289"/>
      <w:bookmarkStart w:id="851" w:name="_Toc17274"/>
      <w:r>
        <w:rPr>
          <w:rFonts w:hint="eastAsia" w:ascii="宋体" w:hAnsi="宋体"/>
          <w:sz w:val="44"/>
          <w:szCs w:val="44"/>
        </w:rPr>
        <w:t>第二部分 通用合同条款</w:t>
      </w:r>
      <w:bookmarkEnd w:id="847"/>
      <w:bookmarkEnd w:id="848"/>
      <w:bookmarkEnd w:id="849"/>
      <w:bookmarkEnd w:id="850"/>
      <w:bookmarkEnd w:id="851"/>
    </w:p>
    <w:p>
      <w:pPr>
        <w:pStyle w:val="6"/>
        <w:keepNext/>
        <w:keepLines/>
        <w:spacing w:before="156" w:beforeLines="50" w:beforeAutospacing="0" w:after="156" w:afterLines="50" w:afterAutospacing="0" w:line="360" w:lineRule="auto"/>
        <w:jc w:val="both"/>
        <w:rPr>
          <w:kern w:val="2"/>
          <w:sz w:val="21"/>
          <w:szCs w:val="21"/>
        </w:rPr>
      </w:pPr>
      <w:bookmarkStart w:id="852" w:name="_Toc532375587"/>
      <w:bookmarkStart w:id="853" w:name="_Toc351203495"/>
      <w:bookmarkStart w:id="854" w:name="_Toc532377180"/>
      <w:r>
        <w:rPr>
          <w:rFonts w:hint="eastAsia"/>
          <w:kern w:val="2"/>
          <w:sz w:val="21"/>
          <w:szCs w:val="21"/>
        </w:rPr>
        <w:t>1.</w:t>
      </w:r>
      <w:bookmarkStart w:id="855" w:name="_Toc303538974"/>
      <w:bookmarkEnd w:id="855"/>
      <w:bookmarkStart w:id="856" w:name="_Toc303538976"/>
      <w:bookmarkEnd w:id="856"/>
      <w:bookmarkStart w:id="857" w:name="_Toc303538972"/>
      <w:bookmarkEnd w:id="857"/>
      <w:bookmarkStart w:id="858" w:name="_Toc303538975"/>
      <w:bookmarkEnd w:id="858"/>
      <w:bookmarkStart w:id="859" w:name="_Toc303538973"/>
      <w:bookmarkEnd w:id="859"/>
      <w:bookmarkStart w:id="860" w:name="_Toc296503027"/>
      <w:bookmarkStart w:id="861" w:name="_Toc296346528"/>
      <w:r>
        <w:rPr>
          <w:rFonts w:hint="eastAsia"/>
          <w:kern w:val="2"/>
          <w:sz w:val="21"/>
          <w:szCs w:val="21"/>
        </w:rPr>
        <w:t>一般约定</w:t>
      </w:r>
      <w:bookmarkEnd w:id="852"/>
      <w:bookmarkEnd w:id="853"/>
      <w:bookmarkEnd w:id="854"/>
      <w:bookmarkEnd w:id="860"/>
      <w:bookmarkEnd w:id="861"/>
    </w:p>
    <w:p>
      <w:pPr>
        <w:pStyle w:val="7"/>
        <w:spacing w:before="0" w:beforeAutospacing="0" w:after="0" w:afterAutospacing="0" w:line="360" w:lineRule="auto"/>
        <w:ind w:firstLine="421" w:firstLineChars="200"/>
        <w:rPr>
          <w:sz w:val="21"/>
          <w:szCs w:val="21"/>
        </w:rPr>
      </w:pPr>
      <w:bookmarkStart w:id="862" w:name="_Toc337558728"/>
      <w:bookmarkStart w:id="863" w:name="_Toc296346529"/>
      <w:bookmarkStart w:id="864" w:name="_Toc296503028"/>
      <w:bookmarkStart w:id="865" w:name="_Toc351203496"/>
      <w:bookmarkStart w:id="866" w:name="_Toc532377181"/>
      <w:r>
        <w:rPr>
          <w:rFonts w:hint="eastAsia"/>
          <w:sz w:val="21"/>
          <w:szCs w:val="21"/>
        </w:rPr>
        <w:t>1.1词语定义</w:t>
      </w:r>
      <w:bookmarkEnd w:id="862"/>
      <w:bookmarkEnd w:id="863"/>
      <w:bookmarkEnd w:id="864"/>
      <w:r>
        <w:rPr>
          <w:rFonts w:hint="eastAsia"/>
          <w:sz w:val="21"/>
          <w:szCs w:val="21"/>
        </w:rPr>
        <w:t>与解释</w:t>
      </w:r>
      <w:bookmarkEnd w:id="865"/>
      <w:bookmarkEnd w:id="86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合同协议书、通用合同条款、专用合同条款中的下列词语具有本款所赋予的含义：</w:t>
      </w:r>
    </w:p>
    <w:p>
      <w:pPr>
        <w:pStyle w:val="7"/>
        <w:spacing w:before="0" w:beforeAutospacing="0" w:after="0" w:afterAutospacing="0" w:line="360" w:lineRule="auto"/>
        <w:ind w:firstLine="420" w:firstLineChars="200"/>
        <w:rPr>
          <w:b w:val="0"/>
          <w:bCs w:val="0"/>
          <w:sz w:val="21"/>
          <w:szCs w:val="21"/>
        </w:rPr>
      </w:pPr>
      <w:bookmarkStart w:id="867" w:name="_Toc532377182"/>
      <w:r>
        <w:rPr>
          <w:rFonts w:hint="eastAsia"/>
          <w:b w:val="0"/>
          <w:bCs w:val="0"/>
          <w:sz w:val="21"/>
          <w:szCs w:val="21"/>
        </w:rPr>
        <w:t>1.1.1 合同</w:t>
      </w:r>
      <w:bookmarkEnd w:id="86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合同：是指根据法律规定和合同当事人约定具有约束力的文件，构成合同的文件包括合同协议书、中标通知书（如有）、投标函及其附录（如有）、专用合同条款</w:t>
      </w:r>
      <w:r>
        <w:rPr>
          <w:rFonts w:hint="eastAsia" w:ascii="宋体" w:hAnsi="宋体"/>
          <w:szCs w:val="21"/>
        </w:rPr>
        <w:t>及其附件</w:t>
      </w:r>
      <w:r>
        <w:rPr>
          <w:rFonts w:hint="eastAsia" w:ascii="宋体" w:hAnsi="宋体"/>
          <w:kern w:val="0"/>
          <w:szCs w:val="21"/>
        </w:rPr>
        <w:t>、通用合同条款、技术标准和要求、图纸、已标价工程量清单或预算书以及其他合同文件。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合同协议书：是指构成合同的由发包人和承包人共同签署的称为“合同协议书”的书面文件。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中标通知书：是指构成合同的由发包人通知承包人中标的书面文件。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1.1.1.4 投标函：是指构成合同的由承包人填写并签署的用于投标的称为“投标函”的文件。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1.1.1.5 投标函附录：是指构成合同的附在投标函后的称为“投标函附录”的文件。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1.1.1.6 技术标准和要求：是指构成合同的施工应当遵守的或指导施工的国家、行业或地方的技术标准和要求，以及合同约定的技术标准和要求。</w:t>
      </w:r>
    </w:p>
    <w:p>
      <w:pPr>
        <w:spacing w:line="360" w:lineRule="auto"/>
        <w:ind w:firstLine="420" w:firstLineChars="200"/>
        <w:jc w:val="left"/>
        <w:rPr>
          <w:rFonts w:ascii="宋体" w:hAnsi="宋体"/>
          <w:kern w:val="0"/>
          <w:szCs w:val="21"/>
        </w:rPr>
      </w:pPr>
      <w:r>
        <w:rPr>
          <w:rFonts w:hint="eastAsia" w:ascii="宋体" w:hAnsi="宋体"/>
          <w:kern w:val="0"/>
          <w:szCs w:val="21"/>
        </w:rPr>
        <w:t>1.1.1.7 图纸：是指构成合同的图纸，包括由发包人按照合同约定提供或经发包人批准的设计文件、施工图、鸟瞰图及模型等，以及在合同履行过程中形成的图纸文件。图纸应当按照法律规定审查合格。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1.1.1.8 已标价工程量清单：是指构成合同的由承包人按照规定的格式和要求填写并标明价格的工程量清单，包括说明和表格。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1.1.1.9 预算书：是指构成合同的由承包人按照发包人规定的格式和要求编制的工程预算文件。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1.1.1.10 其他合同文件：是指经合同当事人约定的与工程施工有关的具有合同约束力的文件或书面协议。合同当事人可以在专用合同条款中进行约定。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 合同当事人及其他相关方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1.1.2.1 合同当事人：是指发包人和（或）承包人。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1.1.2.2 发包人：是指与承包人签订合同协议书的当事人及取得该当事人资格的合法继承人。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1.1.2.3 承包人：是指与发包人签订合同协议书的，具有相应工程施工承包资质的当事人及取得该当事人资格的合法继承人。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1.1.2.4 监理人：是指在专用合同条款中指明的，受发包人委托按照法律规定进行工程监督管理的法人或其他组织。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1.1.2.5 设计人：是指在专用合同条款中指明的，受发包人委托负责工程设计并具备相应工程设计资质的法人或其他组织。</w:t>
      </w:r>
    </w:p>
    <w:p>
      <w:pPr>
        <w:spacing w:line="360" w:lineRule="auto"/>
        <w:ind w:firstLine="420" w:firstLineChars="200"/>
        <w:jc w:val="left"/>
        <w:rPr>
          <w:rFonts w:ascii="宋体" w:hAnsi="宋体"/>
          <w:kern w:val="0"/>
          <w:szCs w:val="21"/>
        </w:rPr>
      </w:pPr>
      <w:r>
        <w:rPr>
          <w:rFonts w:hint="eastAsia" w:ascii="宋体" w:hAnsi="宋体"/>
          <w:kern w:val="0"/>
          <w:szCs w:val="21"/>
        </w:rPr>
        <w:t>1.1.2.6 分包人：</w:t>
      </w:r>
      <w:bookmarkStart w:id="868" w:name="#go5"/>
      <w:bookmarkEnd w:id="868"/>
      <w:r>
        <w:rPr>
          <w:rFonts w:hint="eastAsia" w:ascii="宋体" w:hAnsi="宋体"/>
          <w:kern w:val="0"/>
          <w:szCs w:val="21"/>
        </w:rPr>
        <w:t>是指按照法律规定和合同约定，分包部分工程或工作，并与承包人签订分包合同的具有相应资质的法人。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1.1.2.7 发包人代表：是指由发包人任命并派驻施工现场在发包人授权范围内行使发包人权利的人。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1.1.2.8 项目经理：是指由承包人任命并派驻施工现场，在承包人授权范围内负责合同履行，且按照法律规定具有相应资格的项目负责人。</w:t>
      </w:r>
    </w:p>
    <w:p>
      <w:pPr>
        <w:spacing w:line="360" w:lineRule="auto"/>
        <w:ind w:firstLine="420" w:firstLineChars="200"/>
        <w:jc w:val="left"/>
        <w:rPr>
          <w:rFonts w:ascii="宋体" w:hAnsi="宋体"/>
          <w:kern w:val="0"/>
          <w:szCs w:val="21"/>
        </w:rPr>
      </w:pPr>
      <w:r>
        <w:rPr>
          <w:rFonts w:hint="eastAsia" w:ascii="宋体" w:hAnsi="宋体"/>
          <w:kern w:val="0"/>
          <w:szCs w:val="21"/>
        </w:rPr>
        <w:t>1.1.2.9 总监理工程师：是指由监理人任命并派驻施工现场进行工程监理的总负责人。</w:t>
      </w:r>
    </w:p>
    <w:p>
      <w:pPr>
        <w:spacing w:line="360" w:lineRule="auto"/>
        <w:ind w:firstLine="420" w:firstLineChars="200"/>
        <w:jc w:val="left"/>
        <w:rPr>
          <w:rFonts w:ascii="宋体" w:hAnsi="宋体"/>
          <w:kern w:val="0"/>
          <w:szCs w:val="21"/>
        </w:rPr>
      </w:pPr>
      <w:r>
        <w:rPr>
          <w:rFonts w:hint="eastAsia" w:ascii="宋体" w:hAnsi="宋体"/>
          <w:kern w:val="0"/>
          <w:szCs w:val="21"/>
        </w:rPr>
        <w:t>1.1.3 工程和设备</w:t>
      </w:r>
    </w:p>
    <w:p>
      <w:pPr>
        <w:spacing w:line="360" w:lineRule="auto"/>
        <w:ind w:firstLine="420" w:firstLineChars="200"/>
        <w:jc w:val="left"/>
        <w:rPr>
          <w:rFonts w:ascii="宋体" w:hAnsi="宋体"/>
          <w:kern w:val="0"/>
          <w:szCs w:val="21"/>
        </w:rPr>
      </w:pPr>
      <w:r>
        <w:rPr>
          <w:rFonts w:hint="eastAsia" w:ascii="宋体" w:hAnsi="宋体"/>
          <w:kern w:val="0"/>
          <w:szCs w:val="21"/>
        </w:rPr>
        <w:t>1.1.3.1 工程：是指与合同协议书中工程承包范围对应的永久工程和（或）临时工程。</w:t>
      </w:r>
    </w:p>
    <w:p>
      <w:pPr>
        <w:spacing w:line="360" w:lineRule="auto"/>
        <w:ind w:firstLine="420" w:firstLineChars="200"/>
        <w:jc w:val="left"/>
        <w:rPr>
          <w:rFonts w:ascii="宋体" w:hAnsi="宋体"/>
          <w:kern w:val="0"/>
          <w:szCs w:val="21"/>
        </w:rPr>
      </w:pPr>
      <w:r>
        <w:rPr>
          <w:rFonts w:hint="eastAsia" w:ascii="宋体" w:hAnsi="宋体"/>
          <w:kern w:val="0"/>
          <w:szCs w:val="21"/>
        </w:rPr>
        <w:t>1.1.3.2 永久工程：是指按合同约定建造并移交给发包人的工程，包括工程设备。</w:t>
      </w:r>
    </w:p>
    <w:p>
      <w:pPr>
        <w:spacing w:line="360" w:lineRule="auto"/>
        <w:ind w:firstLine="420" w:firstLineChars="200"/>
        <w:jc w:val="left"/>
        <w:rPr>
          <w:rFonts w:ascii="宋体" w:hAnsi="宋体"/>
          <w:kern w:val="0"/>
          <w:szCs w:val="21"/>
        </w:rPr>
      </w:pPr>
      <w:r>
        <w:rPr>
          <w:rFonts w:hint="eastAsia" w:ascii="宋体" w:hAnsi="宋体"/>
          <w:kern w:val="0"/>
          <w:szCs w:val="21"/>
        </w:rPr>
        <w:t>1.1.3.3 临时工程：是指为完成合同约定的永久工程所修建的各类临时性工程，不包括施工设备。</w:t>
      </w:r>
    </w:p>
    <w:p>
      <w:pPr>
        <w:spacing w:line="360" w:lineRule="auto"/>
        <w:ind w:firstLine="420" w:firstLineChars="200"/>
        <w:jc w:val="left"/>
        <w:rPr>
          <w:rFonts w:ascii="宋体" w:hAnsi="宋体"/>
          <w:kern w:val="0"/>
          <w:szCs w:val="21"/>
        </w:rPr>
      </w:pPr>
      <w:r>
        <w:rPr>
          <w:rFonts w:hint="eastAsia" w:ascii="宋体" w:hAnsi="宋体"/>
          <w:kern w:val="0"/>
          <w:szCs w:val="21"/>
        </w:rPr>
        <w:t>1.1.3.4 单位工程：是指在合同协议书中指明的，具备独立施工条件并能形成独立使用功能的永久工程。</w:t>
      </w:r>
    </w:p>
    <w:p>
      <w:pPr>
        <w:spacing w:line="360" w:lineRule="auto"/>
        <w:ind w:firstLine="420" w:firstLineChars="200"/>
        <w:jc w:val="left"/>
        <w:rPr>
          <w:rFonts w:ascii="宋体" w:hAnsi="宋体"/>
          <w:kern w:val="0"/>
          <w:szCs w:val="21"/>
        </w:rPr>
      </w:pPr>
      <w:r>
        <w:rPr>
          <w:rFonts w:hint="eastAsia" w:ascii="宋体" w:hAnsi="宋体"/>
          <w:kern w:val="0"/>
          <w:szCs w:val="21"/>
        </w:rPr>
        <w:t>1.1.3.5 工程设备：是指构成永久工程的机电设备、金属结构设备、仪器及其他类似的设备和装置。</w:t>
      </w:r>
    </w:p>
    <w:p>
      <w:pPr>
        <w:spacing w:line="360" w:lineRule="auto"/>
        <w:ind w:firstLine="420" w:firstLineChars="200"/>
        <w:jc w:val="left"/>
        <w:rPr>
          <w:rFonts w:ascii="宋体" w:hAnsi="宋体"/>
          <w:kern w:val="0"/>
          <w:szCs w:val="21"/>
        </w:rPr>
      </w:pPr>
      <w:r>
        <w:rPr>
          <w:rFonts w:hint="eastAsia" w:ascii="宋体" w:hAnsi="宋体"/>
          <w:kern w:val="0"/>
          <w:szCs w:val="21"/>
        </w:rPr>
        <w:t>1.1.3.6 施工设备：是指为完成合同约定的各项工作所需的设备、器具和其他物品，但不包括工程设备、临时工程和材料。</w:t>
      </w:r>
    </w:p>
    <w:p>
      <w:pPr>
        <w:spacing w:line="360" w:lineRule="auto"/>
        <w:ind w:firstLine="420" w:firstLineChars="200"/>
        <w:jc w:val="left"/>
        <w:rPr>
          <w:rFonts w:ascii="宋体" w:hAnsi="宋体"/>
          <w:kern w:val="0"/>
          <w:szCs w:val="21"/>
        </w:rPr>
      </w:pPr>
      <w:r>
        <w:rPr>
          <w:rFonts w:hint="eastAsia" w:ascii="宋体" w:hAnsi="宋体"/>
          <w:kern w:val="0"/>
          <w:szCs w:val="21"/>
        </w:rPr>
        <w:t>1.1.3.7 施工现场：是指用于工程施工的场所，以及在专用合同条款中指明作为施工场所组成部分的其他场所，包括永久占地和临时占地。</w:t>
      </w:r>
    </w:p>
    <w:p>
      <w:pPr>
        <w:spacing w:line="360" w:lineRule="auto"/>
        <w:ind w:firstLine="420" w:firstLineChars="200"/>
        <w:jc w:val="left"/>
        <w:rPr>
          <w:rFonts w:ascii="宋体" w:hAnsi="宋体"/>
          <w:kern w:val="0"/>
          <w:szCs w:val="21"/>
        </w:rPr>
      </w:pPr>
      <w:r>
        <w:rPr>
          <w:rFonts w:hint="eastAsia" w:ascii="宋体" w:hAnsi="宋体"/>
          <w:kern w:val="0"/>
          <w:szCs w:val="21"/>
        </w:rPr>
        <w:t>1.1.3.8临时设施：是指为完成合同约定的各项工作所服务的临时性生产和生活设施。</w:t>
      </w:r>
    </w:p>
    <w:p>
      <w:pPr>
        <w:spacing w:line="360" w:lineRule="auto"/>
        <w:ind w:firstLine="420" w:firstLineChars="200"/>
        <w:jc w:val="left"/>
        <w:rPr>
          <w:rFonts w:ascii="宋体" w:hAnsi="宋体"/>
          <w:kern w:val="0"/>
          <w:szCs w:val="21"/>
        </w:rPr>
      </w:pPr>
      <w:r>
        <w:rPr>
          <w:rFonts w:hint="eastAsia" w:ascii="宋体" w:hAnsi="宋体"/>
          <w:kern w:val="0"/>
          <w:szCs w:val="21"/>
        </w:rPr>
        <w:t>1.1.3.9 永久占地：是指专用合同条款中指明为实施工程需永久占用的土地。</w:t>
      </w:r>
    </w:p>
    <w:p>
      <w:pPr>
        <w:spacing w:line="360" w:lineRule="auto"/>
        <w:ind w:firstLine="420" w:firstLineChars="200"/>
        <w:jc w:val="left"/>
        <w:rPr>
          <w:rFonts w:ascii="宋体" w:hAnsi="宋体"/>
          <w:kern w:val="0"/>
          <w:szCs w:val="21"/>
        </w:rPr>
      </w:pPr>
      <w:r>
        <w:rPr>
          <w:rFonts w:hint="eastAsia" w:ascii="宋体" w:hAnsi="宋体"/>
          <w:kern w:val="0"/>
          <w:szCs w:val="21"/>
        </w:rPr>
        <w:t>1.1.3.10 临时占地：是指专用合同条款中指明为实施工程需要临时占用的土地。</w:t>
      </w:r>
    </w:p>
    <w:p>
      <w:pPr>
        <w:spacing w:line="360" w:lineRule="auto"/>
        <w:ind w:firstLine="420" w:firstLineChars="200"/>
        <w:jc w:val="left"/>
        <w:rPr>
          <w:rFonts w:ascii="宋体" w:hAnsi="宋体"/>
          <w:kern w:val="0"/>
          <w:szCs w:val="21"/>
        </w:rPr>
      </w:pPr>
      <w:r>
        <w:rPr>
          <w:rFonts w:hint="eastAsia" w:ascii="宋体" w:hAnsi="宋体"/>
          <w:kern w:val="0"/>
          <w:szCs w:val="21"/>
        </w:rPr>
        <w:t>1.1.4 日期和期限</w:t>
      </w:r>
    </w:p>
    <w:p>
      <w:pPr>
        <w:spacing w:line="360" w:lineRule="auto"/>
        <w:ind w:firstLine="420" w:firstLineChars="200"/>
        <w:jc w:val="left"/>
        <w:rPr>
          <w:rFonts w:ascii="宋体" w:hAnsi="宋体"/>
          <w:kern w:val="0"/>
          <w:szCs w:val="21"/>
        </w:rPr>
      </w:pPr>
      <w:r>
        <w:rPr>
          <w:rFonts w:hint="eastAsia" w:ascii="宋体" w:hAnsi="宋体"/>
          <w:kern w:val="0"/>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spacing w:line="360" w:lineRule="auto"/>
        <w:ind w:firstLine="420" w:firstLineChars="200"/>
        <w:jc w:val="left"/>
        <w:rPr>
          <w:rFonts w:ascii="宋体" w:hAnsi="宋体"/>
          <w:kern w:val="0"/>
          <w:szCs w:val="21"/>
        </w:rPr>
      </w:pPr>
      <w:r>
        <w:rPr>
          <w:rFonts w:hint="eastAsia" w:ascii="宋体" w:hAnsi="宋体"/>
          <w:kern w:val="0"/>
          <w:szCs w:val="21"/>
        </w:rPr>
        <w:t xml:space="preserve">1.1.4.2 竣工日期：包括计划竣工日期和实际竣工日期。计划竣工日期是指合同协议书约定的竣工日期；实际竣工日期按照第13.2.3项〔竣工日期〕的约定确定。 </w:t>
      </w:r>
    </w:p>
    <w:p>
      <w:pPr>
        <w:spacing w:line="360" w:lineRule="auto"/>
        <w:ind w:firstLine="420" w:firstLineChars="200"/>
        <w:jc w:val="left"/>
        <w:rPr>
          <w:rFonts w:ascii="宋体" w:hAnsi="宋体"/>
          <w:szCs w:val="21"/>
        </w:rPr>
      </w:pPr>
      <w:r>
        <w:rPr>
          <w:rFonts w:hint="eastAsia" w:ascii="宋体" w:hAnsi="宋体"/>
          <w:kern w:val="0"/>
          <w:szCs w:val="21"/>
        </w:rPr>
        <w:t>1.1.4.3 工期：是指在合同协议书约定的承包人完成工程所需的期限，包括按照合同约定所作的期限变更。</w:t>
      </w:r>
    </w:p>
    <w:p>
      <w:pPr>
        <w:spacing w:line="360" w:lineRule="auto"/>
        <w:ind w:firstLine="420" w:firstLineChars="200"/>
        <w:jc w:val="left"/>
        <w:rPr>
          <w:rFonts w:ascii="宋体" w:hAnsi="宋体"/>
          <w:kern w:val="0"/>
          <w:szCs w:val="21"/>
        </w:rPr>
      </w:pPr>
      <w:r>
        <w:rPr>
          <w:rFonts w:hint="eastAsia" w:ascii="宋体" w:hAnsi="宋体"/>
          <w:kern w:val="0"/>
          <w:szCs w:val="21"/>
        </w:rPr>
        <w:t>1.1.4.4 缺陷责任期：是指承包人按照合同约定承担缺陷修复义务，且发包人预留质量保证金（已缴纳履约保证金的除外）的期限，自工程实际竣工日期起计算。</w:t>
      </w:r>
    </w:p>
    <w:p>
      <w:pPr>
        <w:spacing w:line="360" w:lineRule="auto"/>
        <w:ind w:firstLine="420" w:firstLineChars="200"/>
        <w:jc w:val="left"/>
        <w:rPr>
          <w:rFonts w:ascii="宋体" w:hAnsi="宋体"/>
          <w:kern w:val="0"/>
          <w:szCs w:val="21"/>
        </w:rPr>
      </w:pPr>
      <w:r>
        <w:rPr>
          <w:rFonts w:hint="eastAsia" w:ascii="宋体" w:hAnsi="宋体"/>
          <w:kern w:val="0"/>
          <w:szCs w:val="21"/>
        </w:rPr>
        <w:t>1.1.4.5 保修期：是指承包人按照合同约定对工程承担保修责任的期限，从工程竣工验收合格之日起计算。</w:t>
      </w:r>
    </w:p>
    <w:p>
      <w:pPr>
        <w:spacing w:line="360" w:lineRule="auto"/>
        <w:ind w:firstLine="420" w:firstLineChars="200"/>
        <w:jc w:val="left"/>
        <w:rPr>
          <w:rFonts w:ascii="宋体" w:hAnsi="宋体"/>
          <w:kern w:val="0"/>
          <w:szCs w:val="21"/>
        </w:rPr>
      </w:pPr>
      <w:r>
        <w:rPr>
          <w:rFonts w:hint="eastAsia" w:ascii="宋体" w:hAnsi="宋体"/>
          <w:kern w:val="0"/>
          <w:szCs w:val="21"/>
        </w:rPr>
        <w:t>1.1.4.6 基准日期：招标发包的工程以投标截止日前28天的日期为基准日期，直接发包的工程以合同签订日前28天的日期为基准日期。</w:t>
      </w:r>
    </w:p>
    <w:p>
      <w:pPr>
        <w:spacing w:line="360" w:lineRule="auto"/>
        <w:ind w:firstLine="420" w:firstLineChars="200"/>
        <w:jc w:val="left"/>
        <w:rPr>
          <w:rFonts w:ascii="宋体" w:hAnsi="宋体"/>
          <w:kern w:val="0"/>
          <w:szCs w:val="21"/>
        </w:rPr>
      </w:pPr>
      <w:r>
        <w:rPr>
          <w:rFonts w:hint="eastAsia" w:ascii="宋体" w:hAnsi="宋体"/>
          <w:kern w:val="0"/>
          <w:szCs w:val="21"/>
        </w:rPr>
        <w:t>1.1.4.7 天：除特别指明外，均指日历天。合同中按天计算时间的，开始当天不计入，从次日开始计算，期限最后一天的截止时间为当天24：00时。</w:t>
      </w:r>
    </w:p>
    <w:p>
      <w:pPr>
        <w:spacing w:line="360" w:lineRule="auto"/>
        <w:ind w:firstLine="420" w:firstLineChars="200"/>
        <w:jc w:val="left"/>
        <w:rPr>
          <w:rFonts w:ascii="宋体" w:hAnsi="宋体"/>
          <w:kern w:val="0"/>
          <w:szCs w:val="21"/>
        </w:rPr>
      </w:pPr>
      <w:r>
        <w:rPr>
          <w:rFonts w:hint="eastAsia" w:ascii="宋体" w:hAnsi="宋体"/>
          <w:kern w:val="0"/>
          <w:szCs w:val="21"/>
        </w:rPr>
        <w:t>1.1.5 合同价格和费用</w:t>
      </w:r>
    </w:p>
    <w:p>
      <w:pPr>
        <w:spacing w:line="360" w:lineRule="auto"/>
        <w:ind w:firstLine="420" w:firstLineChars="200"/>
        <w:jc w:val="left"/>
        <w:rPr>
          <w:rFonts w:ascii="宋体" w:hAnsi="宋体"/>
          <w:szCs w:val="21"/>
        </w:rPr>
      </w:pPr>
      <w:r>
        <w:rPr>
          <w:rFonts w:hint="eastAsia" w:ascii="宋体" w:hAnsi="宋体"/>
          <w:kern w:val="0"/>
          <w:szCs w:val="21"/>
        </w:rPr>
        <w:t>1.1.5.1 签约合同价：是指</w:t>
      </w:r>
      <w:r>
        <w:rPr>
          <w:rFonts w:hint="eastAsia" w:ascii="宋体" w:hAnsi="宋体"/>
          <w:szCs w:val="21"/>
        </w:rPr>
        <w:t>发包人和承包人在合同协议书中确定的总金额，包括安全文明施工费、暂估价及暂列金额等。</w:t>
      </w:r>
    </w:p>
    <w:p>
      <w:pPr>
        <w:spacing w:line="360" w:lineRule="auto"/>
        <w:ind w:firstLine="420" w:firstLineChars="200"/>
        <w:jc w:val="left"/>
        <w:rPr>
          <w:rFonts w:ascii="宋体" w:hAnsi="宋体"/>
          <w:kern w:val="0"/>
          <w:szCs w:val="21"/>
        </w:rPr>
      </w:pPr>
      <w:r>
        <w:rPr>
          <w:rFonts w:hint="eastAsia" w:ascii="宋体" w:hAnsi="宋体"/>
          <w:kern w:val="0"/>
          <w:szCs w:val="21"/>
        </w:rPr>
        <w:t>1.1.5.2 合同价格：是指发包人用于支付承包人按照合同约定完成承包范围内全部工作的金额，包括合同履行过程中按合同约定发生的价格变化。</w:t>
      </w:r>
    </w:p>
    <w:p>
      <w:pPr>
        <w:spacing w:line="360" w:lineRule="auto"/>
        <w:ind w:firstLine="420" w:firstLineChars="200"/>
        <w:jc w:val="left"/>
        <w:rPr>
          <w:rFonts w:ascii="宋体" w:hAnsi="宋体"/>
          <w:kern w:val="0"/>
          <w:szCs w:val="21"/>
        </w:rPr>
      </w:pPr>
      <w:r>
        <w:rPr>
          <w:rFonts w:hint="eastAsia" w:ascii="宋体" w:hAnsi="宋体"/>
          <w:kern w:val="0"/>
          <w:szCs w:val="21"/>
        </w:rPr>
        <w:t>1.1.5.3 费用：是指为履行合同所发生的或将要发生的所有必需的开支，包括管理费和应分摊的其他费用，但不包括利润。</w:t>
      </w:r>
    </w:p>
    <w:p>
      <w:pPr>
        <w:spacing w:line="360" w:lineRule="auto"/>
        <w:ind w:firstLine="420" w:firstLineChars="200"/>
        <w:jc w:val="left"/>
        <w:rPr>
          <w:rFonts w:ascii="宋体" w:hAnsi="宋体"/>
          <w:kern w:val="0"/>
          <w:szCs w:val="21"/>
        </w:rPr>
      </w:pPr>
      <w:r>
        <w:rPr>
          <w:rFonts w:hint="eastAsia" w:ascii="宋体" w:hAnsi="宋体"/>
          <w:kern w:val="0"/>
          <w:szCs w:val="21"/>
        </w:rPr>
        <w:t>1.1.5.4 暂估价：是指发包人在工程量清单或预算书中提供的用于支付必然发生但暂时不能确定价格的材料、工程设备的单价、专业工程以及服务工作的金额。</w:t>
      </w:r>
    </w:p>
    <w:p>
      <w:pPr>
        <w:spacing w:line="360" w:lineRule="auto"/>
        <w:ind w:firstLine="420" w:firstLineChars="200"/>
        <w:jc w:val="left"/>
        <w:rPr>
          <w:rFonts w:ascii="宋体" w:hAnsi="宋体"/>
          <w:kern w:val="0"/>
          <w:szCs w:val="21"/>
        </w:rPr>
      </w:pPr>
      <w:r>
        <w:rPr>
          <w:rFonts w:hint="eastAsia" w:ascii="宋体" w:hAnsi="宋体"/>
          <w:kern w:val="0"/>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spacing w:line="360" w:lineRule="auto"/>
        <w:ind w:firstLine="420" w:firstLineChars="200"/>
        <w:jc w:val="left"/>
        <w:rPr>
          <w:rFonts w:ascii="宋体" w:hAnsi="宋体"/>
          <w:kern w:val="0"/>
          <w:szCs w:val="21"/>
        </w:rPr>
      </w:pPr>
      <w:r>
        <w:rPr>
          <w:rFonts w:hint="eastAsia" w:ascii="宋体" w:hAnsi="宋体"/>
          <w:kern w:val="0"/>
          <w:szCs w:val="21"/>
        </w:rPr>
        <w:t>1.1.5.6 计日工：是指合同履行过程中，承包人完成发包人提出的零星工作或需要采用计日工计价的变更工作时，按合同中约定的单价计价的一种方式。</w:t>
      </w:r>
    </w:p>
    <w:p>
      <w:pPr>
        <w:spacing w:line="360" w:lineRule="auto"/>
        <w:ind w:firstLine="420" w:firstLineChars="200"/>
        <w:jc w:val="left"/>
        <w:rPr>
          <w:rFonts w:ascii="宋体" w:hAnsi="宋体"/>
          <w:szCs w:val="21"/>
        </w:rPr>
      </w:pPr>
      <w:r>
        <w:rPr>
          <w:rFonts w:hint="eastAsia" w:ascii="宋体" w:hAnsi="宋体"/>
          <w:kern w:val="0"/>
          <w:szCs w:val="21"/>
        </w:rPr>
        <w:t>1.1.5.7 质量保证金</w:t>
      </w:r>
      <w:bookmarkStart w:id="869" w:name="#go2"/>
      <w:bookmarkEnd w:id="869"/>
      <w:r>
        <w:rPr>
          <w:rFonts w:hint="eastAsia" w:ascii="宋体" w:hAnsi="宋体"/>
          <w:kern w:val="0"/>
          <w:szCs w:val="21"/>
        </w:rPr>
        <w:t>：是指按照第15.3款〔质量保证金〕约定承包人用于保证其在缺陷责任期内履行缺陷修补义务的担保</w:t>
      </w:r>
      <w:r>
        <w:rPr>
          <w:rFonts w:hint="eastAsia" w:ascii="宋体" w:hAnsi="宋体"/>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1.1.5.8 总价项目：是指在现行国家、行业以及地方的计量规则中无工程量计算规则，在已标价工程量清单或预算书中以总价或以费率形式计算的项目。</w:t>
      </w:r>
    </w:p>
    <w:p>
      <w:pPr>
        <w:spacing w:line="360" w:lineRule="auto"/>
        <w:ind w:firstLine="420" w:firstLineChars="200"/>
        <w:jc w:val="left"/>
        <w:rPr>
          <w:rFonts w:ascii="宋体" w:hAnsi="宋体"/>
          <w:szCs w:val="21"/>
        </w:rPr>
      </w:pPr>
      <w:r>
        <w:rPr>
          <w:rFonts w:hint="eastAsia" w:ascii="宋体" w:hAnsi="宋体"/>
          <w:szCs w:val="21"/>
        </w:rPr>
        <w:t>1.1.6 其他</w:t>
      </w:r>
    </w:p>
    <w:p>
      <w:pPr>
        <w:spacing w:line="360" w:lineRule="auto"/>
        <w:ind w:firstLine="420" w:firstLineChars="200"/>
        <w:jc w:val="left"/>
        <w:rPr>
          <w:rFonts w:ascii="宋体" w:hAnsi="宋体"/>
          <w:kern w:val="0"/>
          <w:szCs w:val="21"/>
        </w:rPr>
      </w:pPr>
      <w:r>
        <w:rPr>
          <w:rFonts w:hint="eastAsia" w:ascii="宋体" w:hAnsi="宋体"/>
          <w:kern w:val="0"/>
          <w:szCs w:val="21"/>
        </w:rPr>
        <w:t>1.1.6.1 书面形式：是指合同文件、信函、电报、传真等可以有形地表现所载内容的形式。</w:t>
      </w:r>
    </w:p>
    <w:p>
      <w:pPr>
        <w:pStyle w:val="7"/>
        <w:spacing w:before="0" w:beforeAutospacing="0" w:after="0" w:afterAutospacing="0" w:line="360" w:lineRule="auto"/>
        <w:ind w:firstLine="421" w:firstLineChars="200"/>
        <w:rPr>
          <w:sz w:val="21"/>
          <w:szCs w:val="21"/>
        </w:rPr>
      </w:pPr>
      <w:bookmarkStart w:id="870" w:name="_Toc532377183"/>
      <w:r>
        <w:rPr>
          <w:rFonts w:hint="eastAsia"/>
          <w:sz w:val="21"/>
          <w:szCs w:val="21"/>
        </w:rPr>
        <w:t>1.2 语言文字</w:t>
      </w:r>
      <w:bookmarkEnd w:id="870"/>
    </w:p>
    <w:p>
      <w:pPr>
        <w:spacing w:line="360" w:lineRule="auto"/>
        <w:ind w:firstLine="420" w:firstLineChars="200"/>
        <w:jc w:val="left"/>
        <w:rPr>
          <w:rFonts w:ascii="宋体" w:hAnsi="宋体"/>
          <w:kern w:val="0"/>
          <w:szCs w:val="21"/>
        </w:rPr>
      </w:pPr>
      <w:r>
        <w:rPr>
          <w:rFonts w:hint="eastAsia" w:ascii="宋体" w:hAnsi="宋体"/>
          <w:kern w:val="0"/>
          <w:szCs w:val="21"/>
        </w:rPr>
        <w:t>合同以中国的汉语简体文字编写、解释和说明。合同当事人在专用合同条款中约定使用两种以上语言时，汉语为优先解释和说明合同的语言。</w:t>
      </w:r>
    </w:p>
    <w:p>
      <w:pPr>
        <w:pStyle w:val="7"/>
        <w:spacing w:before="0" w:beforeAutospacing="0" w:after="0" w:afterAutospacing="0" w:line="360" w:lineRule="auto"/>
        <w:ind w:firstLine="421" w:firstLineChars="200"/>
        <w:rPr>
          <w:sz w:val="21"/>
          <w:szCs w:val="21"/>
        </w:rPr>
      </w:pPr>
      <w:bookmarkStart w:id="871" w:name="_Toc296503030"/>
      <w:bookmarkStart w:id="872" w:name="_Toc337558730"/>
      <w:bookmarkStart w:id="873" w:name="_Toc532377184"/>
      <w:bookmarkStart w:id="874" w:name="_Toc351203498"/>
      <w:bookmarkStart w:id="875" w:name="_Toc296346531"/>
      <w:r>
        <w:rPr>
          <w:rFonts w:hint="eastAsia"/>
          <w:sz w:val="21"/>
          <w:szCs w:val="21"/>
        </w:rPr>
        <w:t>1.3法律</w:t>
      </w:r>
      <w:bookmarkEnd w:id="871"/>
      <w:bookmarkEnd w:id="872"/>
      <w:bookmarkEnd w:id="873"/>
      <w:bookmarkEnd w:id="874"/>
      <w:bookmarkEnd w:id="875"/>
    </w:p>
    <w:p>
      <w:pPr>
        <w:spacing w:line="360" w:lineRule="auto"/>
        <w:ind w:firstLine="420" w:firstLineChars="200"/>
        <w:jc w:val="left"/>
        <w:rPr>
          <w:rFonts w:ascii="宋体" w:hAnsi="宋体"/>
          <w:kern w:val="0"/>
          <w:szCs w:val="21"/>
        </w:rPr>
      </w:pPr>
      <w:r>
        <w:rPr>
          <w:rFonts w:hint="eastAsia" w:ascii="宋体" w:hAnsi="宋体"/>
          <w:kern w:val="0"/>
          <w:szCs w:val="21"/>
        </w:rPr>
        <w:t>合同所称法律是指中华人民共和国法律、行政法规、部门规章，以及工程所在地的地方性法规、自治条例、单行条例和地方政府规章等。</w:t>
      </w:r>
    </w:p>
    <w:p>
      <w:pPr>
        <w:spacing w:line="360" w:lineRule="auto"/>
        <w:ind w:firstLine="420" w:firstLineChars="200"/>
        <w:jc w:val="left"/>
        <w:rPr>
          <w:rFonts w:ascii="宋体" w:hAnsi="宋体"/>
          <w:kern w:val="0"/>
          <w:szCs w:val="21"/>
        </w:rPr>
      </w:pPr>
      <w:r>
        <w:rPr>
          <w:rFonts w:hint="eastAsia" w:ascii="宋体" w:hAnsi="宋体"/>
          <w:kern w:val="0"/>
          <w:szCs w:val="21"/>
        </w:rPr>
        <w:t>合同当事人可以在专用合同条款中约定合同适用的其他规范性文件。</w:t>
      </w:r>
    </w:p>
    <w:p>
      <w:pPr>
        <w:pStyle w:val="7"/>
        <w:spacing w:before="0" w:beforeAutospacing="0" w:after="0" w:afterAutospacing="0" w:line="360" w:lineRule="auto"/>
        <w:ind w:firstLine="421" w:firstLineChars="200"/>
        <w:rPr>
          <w:sz w:val="21"/>
          <w:szCs w:val="21"/>
        </w:rPr>
      </w:pPr>
      <w:bookmarkStart w:id="876" w:name="_Toc351203499"/>
      <w:bookmarkStart w:id="877" w:name="_Toc532377185"/>
      <w:r>
        <w:rPr>
          <w:rFonts w:hint="eastAsia"/>
          <w:sz w:val="21"/>
          <w:szCs w:val="21"/>
        </w:rPr>
        <w:t>1.4 标准和规范</w:t>
      </w:r>
      <w:bookmarkEnd w:id="876"/>
      <w:bookmarkEnd w:id="877"/>
    </w:p>
    <w:p>
      <w:pPr>
        <w:spacing w:line="360" w:lineRule="auto"/>
        <w:ind w:firstLine="420" w:firstLineChars="200"/>
        <w:jc w:val="left"/>
        <w:rPr>
          <w:rFonts w:ascii="宋体" w:hAnsi="宋体"/>
          <w:kern w:val="0"/>
          <w:szCs w:val="21"/>
        </w:rPr>
      </w:pPr>
      <w:r>
        <w:rPr>
          <w:rFonts w:hint="eastAsia" w:ascii="宋体" w:hAnsi="宋体"/>
          <w:kern w:val="0"/>
          <w:szCs w:val="21"/>
        </w:rPr>
        <w:t>1.4.1 适用于工程的国家标准、行业标准、工程所在地的地方性标准，以及相应的规范、规程等，合同当事人有特别要求的，应在专用合同条款中约定。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1.4.2 发包人要求使用国外标准、规范的，发包人负责提供原文版本和中文译本，并在专用合同条款中约定提供标准规范的名称、份数和时间。</w:t>
      </w:r>
    </w:p>
    <w:p>
      <w:pPr>
        <w:spacing w:line="360" w:lineRule="auto"/>
        <w:ind w:firstLine="420" w:firstLineChars="200"/>
        <w:jc w:val="left"/>
        <w:rPr>
          <w:rFonts w:ascii="宋体" w:hAnsi="宋体"/>
          <w:kern w:val="0"/>
          <w:szCs w:val="21"/>
        </w:rPr>
      </w:pPr>
      <w:r>
        <w:rPr>
          <w:rFonts w:hint="eastAsia" w:ascii="宋体" w:hAnsi="宋体"/>
          <w:kern w:val="0"/>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pStyle w:val="7"/>
        <w:spacing w:before="0" w:beforeAutospacing="0" w:after="0" w:afterAutospacing="0" w:line="360" w:lineRule="auto"/>
        <w:ind w:firstLine="421" w:firstLineChars="200"/>
        <w:rPr>
          <w:sz w:val="21"/>
          <w:szCs w:val="21"/>
        </w:rPr>
      </w:pPr>
      <w:bookmarkStart w:id="878" w:name="_Toc532377186"/>
      <w:bookmarkStart w:id="879" w:name="_Toc351203500"/>
      <w:r>
        <w:rPr>
          <w:rFonts w:hint="eastAsia"/>
          <w:sz w:val="21"/>
          <w:szCs w:val="21"/>
        </w:rPr>
        <w:t>1</w:t>
      </w:r>
      <w:bookmarkStart w:id="880" w:name="_Toc296503031"/>
      <w:bookmarkStart w:id="881" w:name="_Toc296346532"/>
      <w:bookmarkStart w:id="882" w:name="_Toc337558731"/>
      <w:r>
        <w:rPr>
          <w:rFonts w:hint="eastAsia"/>
          <w:sz w:val="21"/>
          <w:szCs w:val="21"/>
        </w:rPr>
        <w:t>.5 合同文件的优先顺序</w:t>
      </w:r>
      <w:bookmarkEnd w:id="878"/>
      <w:bookmarkEnd w:id="879"/>
    </w:p>
    <w:bookmarkEnd w:id="880"/>
    <w:bookmarkEnd w:id="881"/>
    <w:bookmarkEnd w:id="882"/>
    <w:p>
      <w:pPr>
        <w:spacing w:line="360" w:lineRule="auto"/>
        <w:ind w:firstLine="420" w:firstLineChars="200"/>
        <w:jc w:val="left"/>
        <w:rPr>
          <w:rFonts w:ascii="宋体" w:hAnsi="宋体"/>
          <w:kern w:val="0"/>
          <w:szCs w:val="21"/>
        </w:rPr>
      </w:pPr>
      <w:r>
        <w:rPr>
          <w:rFonts w:hint="eastAsia" w:ascii="宋体" w:hAnsi="宋体"/>
          <w:kern w:val="0"/>
          <w:szCs w:val="21"/>
        </w:rPr>
        <w:t>组成合同的各项文件应互相解释，互为说明。除专用合同条款另有约定外，解释合同文件的优先顺序如下：</w:t>
      </w:r>
    </w:p>
    <w:p>
      <w:pPr>
        <w:spacing w:line="360" w:lineRule="auto"/>
        <w:ind w:firstLine="420" w:firstLineChars="200"/>
        <w:jc w:val="left"/>
        <w:rPr>
          <w:rFonts w:ascii="宋体" w:hAnsi="宋体"/>
          <w:kern w:val="0"/>
          <w:szCs w:val="21"/>
        </w:rPr>
      </w:pPr>
      <w:r>
        <w:rPr>
          <w:rFonts w:hint="eastAsia" w:ascii="宋体" w:hAnsi="宋体"/>
          <w:kern w:val="0"/>
          <w:szCs w:val="21"/>
        </w:rPr>
        <w:t>（1）合同协议书；</w:t>
      </w:r>
    </w:p>
    <w:p>
      <w:pPr>
        <w:spacing w:line="360" w:lineRule="auto"/>
        <w:ind w:firstLine="420" w:firstLineChars="200"/>
        <w:jc w:val="left"/>
        <w:rPr>
          <w:rFonts w:ascii="宋体" w:hAnsi="宋体"/>
          <w:kern w:val="0"/>
          <w:szCs w:val="21"/>
        </w:rPr>
      </w:pPr>
      <w:r>
        <w:rPr>
          <w:rFonts w:hint="eastAsia" w:ascii="宋体" w:hAnsi="宋体"/>
          <w:kern w:val="0"/>
          <w:szCs w:val="21"/>
        </w:rPr>
        <w:t>（2）中标通知书（如有）；</w:t>
      </w:r>
    </w:p>
    <w:p>
      <w:pPr>
        <w:spacing w:line="360" w:lineRule="auto"/>
        <w:ind w:firstLine="420" w:firstLineChars="200"/>
        <w:jc w:val="left"/>
        <w:rPr>
          <w:rFonts w:ascii="宋体" w:hAnsi="宋体"/>
          <w:kern w:val="0"/>
          <w:szCs w:val="21"/>
        </w:rPr>
      </w:pPr>
      <w:r>
        <w:rPr>
          <w:rFonts w:hint="eastAsia" w:ascii="宋体" w:hAnsi="宋体"/>
          <w:kern w:val="0"/>
          <w:szCs w:val="21"/>
        </w:rPr>
        <w:t>（3）投标函及其附录（如有）；</w:t>
      </w:r>
    </w:p>
    <w:p>
      <w:pPr>
        <w:spacing w:line="360" w:lineRule="auto"/>
        <w:ind w:firstLine="420" w:firstLineChars="200"/>
        <w:jc w:val="left"/>
        <w:rPr>
          <w:rFonts w:ascii="宋体" w:hAnsi="宋体"/>
          <w:kern w:val="0"/>
          <w:szCs w:val="21"/>
        </w:rPr>
      </w:pPr>
      <w:r>
        <w:rPr>
          <w:rFonts w:hint="eastAsia" w:ascii="宋体" w:hAnsi="宋体"/>
          <w:kern w:val="0"/>
          <w:szCs w:val="21"/>
        </w:rPr>
        <w:t>（4）专用合同条款及其附件；</w:t>
      </w:r>
    </w:p>
    <w:p>
      <w:pPr>
        <w:spacing w:line="360" w:lineRule="auto"/>
        <w:ind w:firstLine="420" w:firstLineChars="200"/>
        <w:jc w:val="left"/>
        <w:rPr>
          <w:rFonts w:ascii="宋体" w:hAnsi="宋体"/>
          <w:kern w:val="0"/>
          <w:szCs w:val="21"/>
        </w:rPr>
      </w:pPr>
      <w:r>
        <w:rPr>
          <w:rFonts w:hint="eastAsia" w:ascii="宋体" w:hAnsi="宋体"/>
          <w:kern w:val="0"/>
          <w:szCs w:val="21"/>
        </w:rPr>
        <w:t>（5）通用合同条款；</w:t>
      </w:r>
    </w:p>
    <w:p>
      <w:pPr>
        <w:spacing w:line="360" w:lineRule="auto"/>
        <w:ind w:firstLine="420" w:firstLineChars="200"/>
        <w:jc w:val="left"/>
        <w:rPr>
          <w:rFonts w:ascii="宋体" w:hAnsi="宋体"/>
          <w:kern w:val="0"/>
          <w:szCs w:val="21"/>
        </w:rPr>
      </w:pPr>
      <w:r>
        <w:rPr>
          <w:rFonts w:hint="eastAsia" w:ascii="宋体" w:hAnsi="宋体"/>
          <w:kern w:val="0"/>
          <w:szCs w:val="21"/>
        </w:rPr>
        <w:t>（6）技术标准和要求；</w:t>
      </w:r>
    </w:p>
    <w:p>
      <w:pPr>
        <w:spacing w:line="360" w:lineRule="auto"/>
        <w:ind w:firstLine="420" w:firstLineChars="200"/>
        <w:jc w:val="left"/>
        <w:rPr>
          <w:rFonts w:ascii="宋体" w:hAnsi="宋体"/>
          <w:kern w:val="0"/>
          <w:szCs w:val="21"/>
        </w:rPr>
      </w:pPr>
      <w:r>
        <w:rPr>
          <w:rFonts w:hint="eastAsia" w:ascii="宋体" w:hAnsi="宋体"/>
          <w:kern w:val="0"/>
          <w:szCs w:val="21"/>
        </w:rPr>
        <w:t>（7）图纸；</w:t>
      </w:r>
    </w:p>
    <w:p>
      <w:pPr>
        <w:spacing w:line="360" w:lineRule="auto"/>
        <w:ind w:firstLine="420" w:firstLineChars="200"/>
        <w:jc w:val="left"/>
        <w:rPr>
          <w:rFonts w:ascii="宋体" w:hAnsi="宋体"/>
          <w:kern w:val="0"/>
          <w:szCs w:val="21"/>
        </w:rPr>
      </w:pPr>
      <w:r>
        <w:rPr>
          <w:rFonts w:hint="eastAsia" w:ascii="宋体" w:hAnsi="宋体"/>
          <w:kern w:val="0"/>
          <w:szCs w:val="21"/>
        </w:rPr>
        <w:t>（8）已标价工程量清单或预算书；</w:t>
      </w:r>
    </w:p>
    <w:p>
      <w:pPr>
        <w:spacing w:line="360" w:lineRule="auto"/>
        <w:ind w:firstLine="420" w:firstLineChars="200"/>
        <w:jc w:val="left"/>
        <w:rPr>
          <w:rFonts w:ascii="宋体" w:hAnsi="宋体"/>
          <w:kern w:val="0"/>
          <w:szCs w:val="21"/>
        </w:rPr>
      </w:pPr>
      <w:r>
        <w:rPr>
          <w:rFonts w:hint="eastAsia" w:ascii="宋体" w:hAnsi="宋体"/>
          <w:kern w:val="0"/>
          <w:szCs w:val="21"/>
        </w:rPr>
        <w:t>（9）其他合同文件。</w:t>
      </w:r>
    </w:p>
    <w:p>
      <w:pPr>
        <w:spacing w:line="360" w:lineRule="auto"/>
        <w:ind w:firstLine="420" w:firstLineChars="200"/>
        <w:jc w:val="left"/>
        <w:rPr>
          <w:rFonts w:ascii="宋体" w:hAnsi="宋体"/>
          <w:kern w:val="0"/>
          <w:szCs w:val="21"/>
        </w:rPr>
      </w:pPr>
      <w:r>
        <w:rPr>
          <w:rFonts w:hint="eastAsia" w:ascii="宋体" w:hAnsi="宋体"/>
          <w:kern w:val="0"/>
          <w:szCs w:val="21"/>
        </w:rPr>
        <w:t>上述各项合同文件包括合同当事人就该项合同文件所作出的补充和修改，属于同一类内容的文件，应以最新签署的为准。</w:t>
      </w:r>
    </w:p>
    <w:p>
      <w:pPr>
        <w:spacing w:line="360" w:lineRule="auto"/>
        <w:ind w:firstLine="420" w:firstLineChars="200"/>
        <w:jc w:val="left"/>
        <w:rPr>
          <w:rFonts w:ascii="宋体" w:hAnsi="宋体"/>
          <w:kern w:val="0"/>
          <w:szCs w:val="21"/>
        </w:rPr>
      </w:pPr>
      <w:r>
        <w:rPr>
          <w:rFonts w:hint="eastAsia" w:ascii="宋体" w:hAnsi="宋体"/>
          <w:kern w:val="0"/>
          <w:szCs w:val="21"/>
        </w:rPr>
        <w:t>在合同订立及履行过程中形成的与合同有关的文件均构成合同文件组成部分，并根据其性质确定优先解释顺序。</w:t>
      </w:r>
    </w:p>
    <w:p>
      <w:pPr>
        <w:pStyle w:val="7"/>
        <w:spacing w:before="0" w:beforeAutospacing="0" w:after="0" w:afterAutospacing="0" w:line="360" w:lineRule="auto"/>
        <w:ind w:firstLine="421" w:firstLineChars="200"/>
        <w:rPr>
          <w:sz w:val="21"/>
          <w:szCs w:val="21"/>
        </w:rPr>
      </w:pPr>
      <w:bookmarkStart w:id="883" w:name="_Toc351203501"/>
      <w:bookmarkStart w:id="884" w:name="_Toc532377187"/>
      <w:r>
        <w:rPr>
          <w:rFonts w:hint="eastAsia"/>
          <w:sz w:val="21"/>
          <w:szCs w:val="21"/>
        </w:rPr>
        <w:t>1</w:t>
      </w:r>
      <w:bookmarkStart w:id="885" w:name="_Toc296346533"/>
      <w:bookmarkStart w:id="886" w:name="_Toc337558732"/>
      <w:bookmarkStart w:id="887" w:name="_Toc296503032"/>
      <w:r>
        <w:rPr>
          <w:rFonts w:hint="eastAsia"/>
          <w:sz w:val="21"/>
          <w:szCs w:val="21"/>
        </w:rPr>
        <w:t>.6图纸和承包人文件</w:t>
      </w:r>
      <w:bookmarkEnd w:id="883"/>
      <w:bookmarkEnd w:id="884"/>
    </w:p>
    <w:bookmarkEnd w:id="885"/>
    <w:bookmarkEnd w:id="886"/>
    <w:bookmarkEnd w:id="887"/>
    <w:p>
      <w:pPr>
        <w:spacing w:line="360" w:lineRule="auto"/>
        <w:ind w:firstLine="420" w:firstLineChars="200"/>
        <w:jc w:val="left"/>
        <w:rPr>
          <w:rFonts w:ascii="宋体" w:hAnsi="宋体"/>
          <w:kern w:val="0"/>
          <w:szCs w:val="21"/>
        </w:rPr>
      </w:pPr>
      <w:r>
        <w:rPr>
          <w:rFonts w:hint="eastAsia" w:ascii="宋体" w:hAnsi="宋体"/>
          <w:kern w:val="0"/>
          <w:szCs w:val="21"/>
        </w:rPr>
        <w:t>1.6.1 图纸的提供和交底</w:t>
      </w:r>
    </w:p>
    <w:p>
      <w:pPr>
        <w:spacing w:line="360" w:lineRule="auto"/>
        <w:ind w:firstLine="420" w:firstLineChars="200"/>
        <w:jc w:val="left"/>
        <w:rPr>
          <w:rFonts w:ascii="宋体" w:hAnsi="宋体"/>
          <w:kern w:val="0"/>
          <w:szCs w:val="21"/>
        </w:rPr>
      </w:pPr>
      <w:r>
        <w:rPr>
          <w:rFonts w:hint="eastAsia" w:ascii="宋体" w:hAnsi="宋体"/>
          <w:kern w:val="0"/>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spacing w:line="360" w:lineRule="auto"/>
        <w:ind w:firstLine="420" w:firstLineChars="200"/>
        <w:jc w:val="left"/>
        <w:rPr>
          <w:rFonts w:ascii="宋体" w:hAnsi="宋体"/>
          <w:kern w:val="0"/>
          <w:szCs w:val="21"/>
        </w:rPr>
      </w:pPr>
      <w:r>
        <w:rPr>
          <w:rFonts w:hint="eastAsia" w:ascii="宋体" w:hAnsi="宋体"/>
          <w:kern w:val="0"/>
          <w:szCs w:val="21"/>
        </w:rPr>
        <w:t>因发包人未按合同约定提供图纸导致承包人费用增加和（或）工期延误的，按照第7.5.1项〔因发包人原因导致工期延误〕约定办理。</w:t>
      </w:r>
    </w:p>
    <w:p>
      <w:pPr>
        <w:spacing w:line="360" w:lineRule="auto"/>
        <w:ind w:firstLine="420" w:firstLineChars="200"/>
        <w:jc w:val="left"/>
        <w:rPr>
          <w:rFonts w:ascii="宋体" w:hAnsi="宋体"/>
          <w:kern w:val="0"/>
          <w:szCs w:val="21"/>
        </w:rPr>
      </w:pPr>
      <w:r>
        <w:rPr>
          <w:rFonts w:hint="eastAsia" w:ascii="宋体" w:hAnsi="宋体"/>
          <w:kern w:val="0"/>
          <w:szCs w:val="21"/>
        </w:rPr>
        <w:t>1.6.2 图纸的错误</w:t>
      </w:r>
    </w:p>
    <w:p>
      <w:pPr>
        <w:spacing w:line="360" w:lineRule="auto"/>
        <w:ind w:firstLine="420" w:firstLineChars="200"/>
        <w:jc w:val="left"/>
        <w:rPr>
          <w:rFonts w:ascii="宋体" w:hAnsi="宋体"/>
          <w:kern w:val="0"/>
          <w:szCs w:val="21"/>
        </w:rPr>
      </w:pPr>
      <w:r>
        <w:rPr>
          <w:rFonts w:hint="eastAsia" w:ascii="宋体" w:hAnsi="宋体"/>
          <w:kern w:val="0"/>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spacing w:line="360" w:lineRule="auto"/>
        <w:ind w:firstLine="420" w:firstLineChars="200"/>
        <w:jc w:val="left"/>
        <w:rPr>
          <w:rFonts w:ascii="宋体" w:hAnsi="宋体"/>
          <w:kern w:val="0"/>
          <w:szCs w:val="21"/>
        </w:rPr>
      </w:pPr>
      <w:r>
        <w:rPr>
          <w:rFonts w:hint="eastAsia" w:ascii="宋体" w:hAnsi="宋体"/>
          <w:kern w:val="0"/>
          <w:szCs w:val="21"/>
        </w:rPr>
        <w:t>1.6.3 图纸的修改和补充</w:t>
      </w:r>
    </w:p>
    <w:p>
      <w:pPr>
        <w:spacing w:line="360" w:lineRule="auto"/>
        <w:ind w:firstLine="420" w:firstLineChars="200"/>
        <w:jc w:val="left"/>
        <w:rPr>
          <w:rFonts w:ascii="宋体" w:hAnsi="宋体"/>
          <w:kern w:val="0"/>
          <w:szCs w:val="21"/>
        </w:rPr>
      </w:pPr>
      <w:r>
        <w:rPr>
          <w:rFonts w:hint="eastAsia" w:ascii="宋体" w:hAnsi="宋体"/>
          <w:kern w:val="0"/>
          <w:szCs w:val="21"/>
        </w:rPr>
        <w:t>图纸需要修改和补充的，应经图纸原设计人及审批部门同意，并由监理人在工程或工程相应部位施工前将修改后的图纸或补充图纸提交给承包人，承包人应按修改或补充后的图纸施工。</w:t>
      </w:r>
    </w:p>
    <w:p>
      <w:pPr>
        <w:spacing w:line="360" w:lineRule="auto"/>
        <w:ind w:firstLine="420" w:firstLineChars="200"/>
        <w:jc w:val="left"/>
        <w:rPr>
          <w:rFonts w:ascii="宋体" w:hAnsi="宋体"/>
          <w:kern w:val="0"/>
          <w:szCs w:val="21"/>
        </w:rPr>
      </w:pPr>
      <w:r>
        <w:rPr>
          <w:rFonts w:hint="eastAsia" w:ascii="宋体" w:hAnsi="宋体"/>
          <w:kern w:val="0"/>
          <w:szCs w:val="21"/>
        </w:rPr>
        <w:t>1.6.4 承包人文件</w:t>
      </w:r>
    </w:p>
    <w:p>
      <w:pPr>
        <w:spacing w:line="360" w:lineRule="auto"/>
        <w:ind w:firstLine="420" w:firstLineChars="200"/>
        <w:jc w:val="left"/>
        <w:rPr>
          <w:rFonts w:ascii="宋体" w:hAnsi="宋体"/>
          <w:kern w:val="0"/>
          <w:szCs w:val="21"/>
        </w:rPr>
      </w:pPr>
      <w:r>
        <w:rPr>
          <w:rFonts w:hint="eastAsia" w:ascii="宋体" w:hAnsi="宋体"/>
          <w:kern w:val="0"/>
          <w:szCs w:val="21"/>
        </w:rPr>
        <w:t>承包人应按照专用合同条款的约定提供应当由其编制的与工程施工有关的文件，并按照专用合同条款约定的期限、数量和形式提交监理人，并由监理人报送发包人。</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360" w:lineRule="auto"/>
        <w:ind w:firstLine="420" w:firstLineChars="200"/>
        <w:jc w:val="left"/>
        <w:rPr>
          <w:rFonts w:ascii="宋体" w:hAnsi="宋体"/>
          <w:kern w:val="0"/>
          <w:szCs w:val="21"/>
        </w:rPr>
      </w:pPr>
      <w:r>
        <w:rPr>
          <w:rFonts w:hint="eastAsia" w:ascii="宋体" w:hAnsi="宋体"/>
          <w:kern w:val="0"/>
          <w:szCs w:val="21"/>
        </w:rPr>
        <w:t>1.6.5 图纸和承包人文件的保管</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除专用合同条款另有约定外，承包人应在施工现场另外保存一套完整的图纸和承包人文件，供发包人、监理人及有关人员进行工程检查时使用。</w:t>
      </w:r>
    </w:p>
    <w:p>
      <w:pPr>
        <w:pStyle w:val="7"/>
        <w:spacing w:before="0" w:beforeAutospacing="0" w:after="0" w:afterAutospacing="0" w:line="360" w:lineRule="auto"/>
        <w:ind w:firstLine="421" w:firstLineChars="200"/>
        <w:rPr>
          <w:sz w:val="21"/>
          <w:szCs w:val="21"/>
        </w:rPr>
      </w:pPr>
      <w:bookmarkStart w:id="888" w:name="_Toc532377188"/>
      <w:bookmarkStart w:id="889" w:name="_Toc351203502"/>
      <w:r>
        <w:rPr>
          <w:rFonts w:hint="eastAsia"/>
          <w:sz w:val="21"/>
          <w:szCs w:val="21"/>
        </w:rPr>
        <w:t>1</w:t>
      </w:r>
      <w:bookmarkStart w:id="890" w:name="_Toc296346534"/>
      <w:bookmarkStart w:id="891" w:name="_Toc296503033"/>
      <w:bookmarkStart w:id="892" w:name="_Toc337558733"/>
      <w:r>
        <w:rPr>
          <w:rFonts w:hint="eastAsia"/>
          <w:sz w:val="21"/>
          <w:szCs w:val="21"/>
        </w:rPr>
        <w:t>.7联络</w:t>
      </w:r>
      <w:bookmarkEnd w:id="888"/>
      <w:bookmarkEnd w:id="889"/>
    </w:p>
    <w:bookmarkEnd w:id="890"/>
    <w:bookmarkEnd w:id="891"/>
    <w:bookmarkEnd w:id="89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1.7.1 与合同有关的通知、批准、证明、证书、指示、指令、要求、请求、同意、意见、确定和决定等，均应采用书面形式，并应在合同约定的期限内送达接收人和送达地点。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1.7.2 发包人和承包人应在专用合同条款中约定各自的送达接收人和送达地点。任何一方合同当事人指定的接收人或送达地点发生变动的，应提前3天以书面形式通知对方。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 发包人和承包人应当及时签收另一方送达至送达地点和指定接收人的来往信函。拒不签收的，由此增加的费用和（或）延误的工期由拒绝接收一方承担。</w:t>
      </w:r>
    </w:p>
    <w:p>
      <w:pPr>
        <w:pStyle w:val="7"/>
        <w:spacing w:before="0" w:beforeAutospacing="0" w:after="0" w:afterAutospacing="0" w:line="360" w:lineRule="auto"/>
        <w:ind w:firstLine="421" w:firstLineChars="200"/>
        <w:rPr>
          <w:sz w:val="21"/>
          <w:szCs w:val="21"/>
        </w:rPr>
      </w:pPr>
      <w:bookmarkStart w:id="893" w:name="_Toc532377189"/>
      <w:bookmarkStart w:id="894" w:name="_Toc351203503"/>
      <w:r>
        <w:rPr>
          <w:rFonts w:hint="eastAsia"/>
          <w:sz w:val="21"/>
          <w:szCs w:val="21"/>
        </w:rPr>
        <w:t>1</w:t>
      </w:r>
      <w:bookmarkStart w:id="895" w:name="_Toc296346536"/>
      <w:bookmarkStart w:id="896" w:name="_Toc337558734"/>
      <w:bookmarkStart w:id="897" w:name="_Toc296503035"/>
      <w:r>
        <w:rPr>
          <w:rFonts w:hint="eastAsia"/>
          <w:sz w:val="21"/>
          <w:szCs w:val="21"/>
        </w:rPr>
        <w:t>.8严禁贿赂</w:t>
      </w:r>
      <w:bookmarkEnd w:id="893"/>
      <w:bookmarkEnd w:id="894"/>
    </w:p>
    <w:bookmarkEnd w:id="895"/>
    <w:bookmarkEnd w:id="896"/>
    <w:bookmarkEnd w:id="89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合同当事人不得以贿赂或变相贿赂的方式，谋取非法利益或损害对方权益。因一方合同当事人的贿赂造成对方损失的，应赔偿损失，并承担相应的法律责任。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7"/>
        <w:spacing w:before="0" w:beforeAutospacing="0" w:after="0" w:afterAutospacing="0" w:line="360" w:lineRule="auto"/>
        <w:ind w:firstLine="421" w:firstLineChars="200"/>
        <w:rPr>
          <w:sz w:val="21"/>
          <w:szCs w:val="21"/>
        </w:rPr>
      </w:pPr>
      <w:bookmarkStart w:id="898" w:name="_Toc351203504"/>
      <w:bookmarkStart w:id="899" w:name="_Toc532377190"/>
      <w:r>
        <w:rPr>
          <w:rFonts w:hint="eastAsia"/>
          <w:sz w:val="21"/>
          <w:szCs w:val="21"/>
        </w:rPr>
        <w:t>1</w:t>
      </w:r>
      <w:bookmarkStart w:id="900" w:name="_Toc296346537"/>
      <w:bookmarkStart w:id="901" w:name="_Toc296503036"/>
      <w:bookmarkStart w:id="902" w:name="_Toc337558735"/>
      <w:r>
        <w:rPr>
          <w:rFonts w:hint="eastAsia"/>
          <w:sz w:val="21"/>
          <w:szCs w:val="21"/>
        </w:rPr>
        <w:t>.9化石、文物</w:t>
      </w:r>
      <w:bookmarkEnd w:id="898"/>
      <w:bookmarkEnd w:id="899"/>
    </w:p>
    <w:bookmarkEnd w:id="900"/>
    <w:bookmarkEnd w:id="901"/>
    <w:bookmarkEnd w:id="90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发包人、监理人和承包人应按有关政府行政管理部门要求采取妥善的保护措施，由此增加的费用和（或）延误的工期由发包人承担。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承包人发现文物后不及时报告或隐瞒不报，致使文物丢失或损坏的，应赔偿损失，并承担相应的法律责任。</w:t>
      </w:r>
    </w:p>
    <w:p>
      <w:pPr>
        <w:pStyle w:val="7"/>
        <w:spacing w:before="0" w:beforeAutospacing="0" w:after="0" w:afterAutospacing="0" w:line="360" w:lineRule="auto"/>
        <w:ind w:firstLine="421" w:firstLineChars="200"/>
        <w:rPr>
          <w:sz w:val="21"/>
          <w:szCs w:val="21"/>
        </w:rPr>
      </w:pPr>
      <w:bookmarkStart w:id="903" w:name="_Toc532377191"/>
      <w:bookmarkStart w:id="904" w:name="_Toc351203505"/>
      <w:r>
        <w:rPr>
          <w:rFonts w:hint="eastAsia"/>
          <w:sz w:val="21"/>
          <w:szCs w:val="21"/>
        </w:rPr>
        <w:t>1</w:t>
      </w:r>
      <w:bookmarkStart w:id="905" w:name="_Toc337558736"/>
      <w:r>
        <w:rPr>
          <w:rFonts w:hint="eastAsia"/>
          <w:sz w:val="21"/>
          <w:szCs w:val="21"/>
        </w:rPr>
        <w:t>.10交通运输</w:t>
      </w:r>
      <w:bookmarkEnd w:id="903"/>
      <w:bookmarkEnd w:id="904"/>
    </w:p>
    <w:bookmarkEnd w:id="905"/>
    <w:p>
      <w:pPr>
        <w:spacing w:line="360" w:lineRule="auto"/>
        <w:ind w:firstLine="420" w:firstLineChars="200"/>
        <w:jc w:val="left"/>
        <w:rPr>
          <w:rFonts w:ascii="宋体" w:hAnsi="宋体"/>
          <w:kern w:val="0"/>
          <w:szCs w:val="21"/>
        </w:rPr>
      </w:pPr>
      <w:r>
        <w:rPr>
          <w:rFonts w:hint="eastAsia" w:ascii="宋体" w:hAnsi="宋体"/>
          <w:kern w:val="0"/>
          <w:szCs w:val="21"/>
        </w:rPr>
        <w:t>1.10.1 出入现场的权利</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spacing w:line="360" w:lineRule="auto"/>
        <w:ind w:firstLine="420" w:firstLineChars="200"/>
        <w:jc w:val="left"/>
        <w:rPr>
          <w:rFonts w:ascii="宋体" w:hAnsi="宋体"/>
          <w:kern w:val="0"/>
          <w:szCs w:val="21"/>
        </w:rPr>
      </w:pPr>
      <w:r>
        <w:rPr>
          <w:rFonts w:hint="eastAsia" w:ascii="宋体" w:hAnsi="宋体"/>
          <w:kern w:val="0"/>
          <w:szCs w:val="21"/>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1.10.2 场外交通</w:t>
      </w:r>
    </w:p>
    <w:p>
      <w:pPr>
        <w:spacing w:line="360" w:lineRule="auto"/>
        <w:ind w:firstLine="420" w:firstLineChars="200"/>
        <w:jc w:val="left"/>
        <w:rPr>
          <w:rFonts w:ascii="宋体" w:hAnsi="宋体"/>
          <w:kern w:val="0"/>
          <w:szCs w:val="21"/>
        </w:rPr>
      </w:pPr>
      <w:r>
        <w:rPr>
          <w:rFonts w:hint="eastAsia" w:ascii="宋体" w:hAnsi="宋体"/>
          <w:kern w:val="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360" w:lineRule="auto"/>
        <w:ind w:firstLine="420" w:firstLineChars="200"/>
        <w:jc w:val="left"/>
        <w:rPr>
          <w:rFonts w:ascii="宋体" w:hAnsi="宋体"/>
          <w:kern w:val="0"/>
          <w:szCs w:val="21"/>
        </w:rPr>
      </w:pPr>
      <w:r>
        <w:rPr>
          <w:rFonts w:hint="eastAsia" w:ascii="宋体" w:hAnsi="宋体"/>
          <w:kern w:val="0"/>
          <w:szCs w:val="21"/>
        </w:rPr>
        <w:t>1.10.3场内交通</w:t>
      </w:r>
    </w:p>
    <w:p>
      <w:pPr>
        <w:spacing w:line="360" w:lineRule="auto"/>
        <w:ind w:firstLine="420" w:firstLineChars="200"/>
        <w:jc w:val="left"/>
        <w:rPr>
          <w:rFonts w:ascii="宋体" w:hAnsi="宋体"/>
          <w:kern w:val="0"/>
          <w:szCs w:val="21"/>
        </w:rPr>
      </w:pPr>
      <w:r>
        <w:rPr>
          <w:rFonts w:hint="eastAsia" w:ascii="宋体" w:hAnsi="宋体"/>
          <w:kern w:val="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360" w:lineRule="auto"/>
        <w:ind w:firstLine="420" w:firstLineChars="200"/>
        <w:jc w:val="left"/>
        <w:rPr>
          <w:rFonts w:ascii="宋体" w:hAnsi="宋体"/>
          <w:kern w:val="0"/>
          <w:szCs w:val="21"/>
        </w:rPr>
      </w:pPr>
      <w:r>
        <w:rPr>
          <w:rFonts w:hint="eastAsia" w:ascii="宋体" w:hAnsi="宋体"/>
          <w:kern w:val="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360" w:lineRule="auto"/>
        <w:ind w:firstLine="420" w:firstLineChars="200"/>
        <w:jc w:val="left"/>
        <w:rPr>
          <w:rFonts w:ascii="宋体" w:hAnsi="宋体"/>
          <w:kern w:val="0"/>
          <w:szCs w:val="21"/>
        </w:rPr>
      </w:pPr>
      <w:r>
        <w:rPr>
          <w:rFonts w:hint="eastAsia" w:ascii="宋体" w:hAnsi="宋体"/>
          <w:kern w:val="0"/>
          <w:szCs w:val="21"/>
        </w:rPr>
        <w:t>场外交通和场内交通的边界由合同当事人在专用合同条款中约定。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1.10.4 超大件和超重件的运输</w:t>
      </w:r>
    </w:p>
    <w:p>
      <w:pPr>
        <w:spacing w:line="360" w:lineRule="auto"/>
        <w:ind w:firstLine="420" w:firstLineChars="200"/>
        <w:jc w:val="left"/>
        <w:rPr>
          <w:rFonts w:ascii="宋体" w:hAnsi="宋体"/>
          <w:kern w:val="0"/>
          <w:szCs w:val="21"/>
        </w:rPr>
      </w:pPr>
      <w:r>
        <w:rPr>
          <w:rFonts w:hint="eastAsia" w:ascii="宋体" w:hAnsi="宋体"/>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auto"/>
        <w:ind w:firstLine="420" w:firstLineChars="200"/>
        <w:jc w:val="left"/>
        <w:rPr>
          <w:rFonts w:ascii="宋体" w:hAnsi="宋体"/>
          <w:kern w:val="0"/>
          <w:szCs w:val="21"/>
        </w:rPr>
      </w:pPr>
      <w:r>
        <w:rPr>
          <w:rFonts w:hint="eastAsia" w:ascii="宋体" w:hAnsi="宋体"/>
          <w:kern w:val="0"/>
          <w:szCs w:val="21"/>
        </w:rPr>
        <w:t>1.10.5 道路和桥梁的损坏责任</w:t>
      </w:r>
    </w:p>
    <w:p>
      <w:pPr>
        <w:spacing w:line="360" w:lineRule="auto"/>
        <w:ind w:firstLine="420" w:firstLineChars="200"/>
        <w:jc w:val="left"/>
        <w:rPr>
          <w:rFonts w:ascii="宋体" w:hAnsi="宋体"/>
          <w:kern w:val="0"/>
          <w:szCs w:val="21"/>
        </w:rPr>
      </w:pPr>
      <w:r>
        <w:rPr>
          <w:rFonts w:hint="eastAsia" w:ascii="宋体" w:hAnsi="宋体"/>
          <w:kern w:val="0"/>
          <w:szCs w:val="21"/>
        </w:rPr>
        <w:t>因承包人运输造成施工场地内外公共道路和桥梁损坏的，由承包人承担修复损坏的全部费用和可能引起的赔偿。</w:t>
      </w:r>
    </w:p>
    <w:p>
      <w:pPr>
        <w:spacing w:line="360" w:lineRule="auto"/>
        <w:ind w:firstLine="420" w:firstLineChars="200"/>
        <w:jc w:val="left"/>
        <w:rPr>
          <w:rFonts w:ascii="宋体" w:hAnsi="宋体"/>
          <w:kern w:val="0"/>
          <w:szCs w:val="21"/>
        </w:rPr>
      </w:pPr>
      <w:r>
        <w:rPr>
          <w:rFonts w:hint="eastAsia" w:ascii="宋体" w:hAnsi="宋体"/>
          <w:kern w:val="0"/>
          <w:szCs w:val="21"/>
        </w:rPr>
        <w:t>1.10.6 水路和航空运输</w:t>
      </w:r>
    </w:p>
    <w:p>
      <w:pPr>
        <w:spacing w:line="360" w:lineRule="auto"/>
        <w:ind w:firstLine="420" w:firstLineChars="200"/>
        <w:jc w:val="left"/>
        <w:rPr>
          <w:rFonts w:ascii="宋体" w:hAnsi="宋体"/>
          <w:kern w:val="0"/>
          <w:szCs w:val="21"/>
        </w:rPr>
      </w:pPr>
      <w:r>
        <w:rPr>
          <w:rFonts w:hint="eastAsia" w:ascii="宋体" w:hAnsi="宋体"/>
          <w:kern w:val="0"/>
          <w:szCs w:val="21"/>
        </w:rPr>
        <w:t>本款前述各项的内容适用于水路运输和航空运输，其中“道路”一词的涵义包括河道、航线、船闸、机场、码头、堤防以及水路或航空运输中其他相似结构物；“车辆”一词的涵义包括船舶和飞机等。</w:t>
      </w:r>
    </w:p>
    <w:p>
      <w:pPr>
        <w:pStyle w:val="7"/>
        <w:spacing w:before="0" w:beforeAutospacing="0" w:after="0" w:afterAutospacing="0" w:line="360" w:lineRule="auto"/>
        <w:ind w:firstLine="421" w:firstLineChars="200"/>
        <w:rPr>
          <w:sz w:val="21"/>
          <w:szCs w:val="21"/>
        </w:rPr>
      </w:pPr>
      <w:bookmarkStart w:id="906" w:name="_Toc532377192"/>
      <w:bookmarkStart w:id="907" w:name="_Toc351203506"/>
      <w:r>
        <w:rPr>
          <w:rFonts w:hint="eastAsia"/>
          <w:sz w:val="21"/>
          <w:szCs w:val="21"/>
        </w:rPr>
        <w:t>1</w:t>
      </w:r>
      <w:bookmarkStart w:id="908" w:name="_Toc337558737"/>
      <w:bookmarkStart w:id="909" w:name="_Toc296503037"/>
      <w:bookmarkStart w:id="910" w:name="_Toc296346538"/>
      <w:r>
        <w:rPr>
          <w:rFonts w:hint="eastAsia"/>
          <w:sz w:val="21"/>
          <w:szCs w:val="21"/>
        </w:rPr>
        <w:t>.11知识产权</w:t>
      </w:r>
      <w:bookmarkEnd w:id="906"/>
      <w:bookmarkEnd w:id="907"/>
      <w:bookmarkEnd w:id="908"/>
    </w:p>
    <w:bookmarkEnd w:id="909"/>
    <w:bookmarkEnd w:id="91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spacing w:line="360" w:lineRule="auto"/>
        <w:ind w:firstLine="420" w:firstLineChars="200"/>
        <w:jc w:val="left"/>
        <w:rPr>
          <w:rFonts w:ascii="宋体" w:hAnsi="宋体"/>
          <w:kern w:val="0"/>
          <w:szCs w:val="21"/>
        </w:rPr>
      </w:pPr>
      <w:r>
        <w:rPr>
          <w:rFonts w:hint="eastAsia" w:ascii="宋体" w:hAnsi="宋体"/>
          <w:kern w:val="0"/>
          <w:szCs w:val="21"/>
        </w:rPr>
        <w:t>1.11.4 除专用合同条款另有约定外，承包人在合同签订前和签订时已确定采用的专利、专有技术、技术秘密的使用费已包含在签约合同价中。</w:t>
      </w:r>
    </w:p>
    <w:p>
      <w:pPr>
        <w:pStyle w:val="7"/>
        <w:spacing w:before="0" w:beforeAutospacing="0" w:after="0" w:afterAutospacing="0" w:line="360" w:lineRule="auto"/>
        <w:ind w:firstLine="421" w:firstLineChars="200"/>
        <w:rPr>
          <w:sz w:val="21"/>
          <w:szCs w:val="21"/>
        </w:rPr>
      </w:pPr>
      <w:bookmarkStart w:id="911" w:name="_Toc532377193"/>
      <w:bookmarkStart w:id="912" w:name="_Toc351203507"/>
      <w:r>
        <w:rPr>
          <w:rFonts w:hint="eastAsia"/>
          <w:sz w:val="21"/>
          <w:szCs w:val="21"/>
        </w:rPr>
        <w:t>1</w:t>
      </w:r>
      <w:bookmarkStart w:id="913" w:name="_Toc337558738"/>
      <w:r>
        <w:rPr>
          <w:rFonts w:hint="eastAsia"/>
          <w:sz w:val="21"/>
          <w:szCs w:val="21"/>
        </w:rPr>
        <w:t>.12保密</w:t>
      </w:r>
      <w:bookmarkEnd w:id="911"/>
      <w:bookmarkEnd w:id="912"/>
    </w:p>
    <w:bookmarkEnd w:id="91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除法律规定或合同另有约定外，未经发包人同意，承包人不得将发包人提供的图纸、文件以及声明需要保密的资料信息等商业秘密泄露给第三方。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除法律规定或合同另有约定外，未经承包人同意，发包人不得将承包人提供的技术秘密及声明需要保密的资料信息等商业秘密泄露给第三方。</w:t>
      </w:r>
    </w:p>
    <w:p>
      <w:pPr>
        <w:pStyle w:val="7"/>
        <w:spacing w:before="0" w:beforeAutospacing="0" w:after="0" w:afterAutospacing="0" w:line="360" w:lineRule="auto"/>
        <w:ind w:firstLine="421" w:firstLineChars="200"/>
        <w:rPr>
          <w:sz w:val="21"/>
          <w:szCs w:val="21"/>
        </w:rPr>
      </w:pPr>
      <w:bookmarkStart w:id="914" w:name="_Toc351203508"/>
      <w:bookmarkStart w:id="915" w:name="_Toc532377194"/>
      <w:r>
        <w:rPr>
          <w:rFonts w:hint="eastAsia"/>
          <w:sz w:val="21"/>
          <w:szCs w:val="21"/>
        </w:rPr>
        <w:t>1.13工程量清单错误的修正</w:t>
      </w:r>
      <w:bookmarkEnd w:id="914"/>
      <w:bookmarkEnd w:id="915"/>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除专用合同条款另有约定外，发包人提供的工程量清单，应被认为是准确的和完整的。出现下列情形之一时，发包人应予以修正，并相应调整合同价格：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（1）工程量清单存在缺项、漏项的；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（2）工程量清单偏差超出专用合同条款约定的工程量偏差范围的；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（3）未按照国家现行计量规范强制性规定计量的。</w:t>
      </w:r>
    </w:p>
    <w:p>
      <w:pPr>
        <w:pStyle w:val="6"/>
        <w:keepNext/>
        <w:keepLines/>
        <w:spacing w:before="156" w:beforeLines="50" w:beforeAutospacing="0" w:after="156" w:afterLines="50" w:afterAutospacing="0" w:line="360" w:lineRule="auto"/>
        <w:jc w:val="both"/>
        <w:rPr>
          <w:kern w:val="2"/>
          <w:sz w:val="21"/>
          <w:szCs w:val="21"/>
        </w:rPr>
      </w:pPr>
      <w:bookmarkStart w:id="916" w:name="_Toc532377195"/>
      <w:bookmarkStart w:id="917" w:name="_Toc351203509"/>
      <w:bookmarkStart w:id="918" w:name="_Toc532375588"/>
      <w:r>
        <w:rPr>
          <w:rFonts w:hint="eastAsia"/>
          <w:kern w:val="2"/>
          <w:sz w:val="21"/>
          <w:szCs w:val="21"/>
        </w:rPr>
        <w:t>2</w:t>
      </w:r>
      <w:bookmarkStart w:id="919" w:name="_Toc296346539"/>
      <w:bookmarkStart w:id="920" w:name="_Toc337558739"/>
      <w:bookmarkStart w:id="921" w:name="_Toc296503038"/>
      <w:bookmarkStart w:id="922" w:name="OLE_LINK2"/>
      <w:r>
        <w:rPr>
          <w:rFonts w:hint="eastAsia"/>
          <w:kern w:val="2"/>
          <w:sz w:val="21"/>
          <w:szCs w:val="21"/>
        </w:rPr>
        <w:t>. 发包人</w:t>
      </w:r>
      <w:bookmarkEnd w:id="916"/>
      <w:bookmarkEnd w:id="917"/>
      <w:bookmarkEnd w:id="918"/>
    </w:p>
    <w:bookmarkEnd w:id="919"/>
    <w:bookmarkEnd w:id="920"/>
    <w:bookmarkEnd w:id="921"/>
    <w:p>
      <w:pPr>
        <w:pStyle w:val="7"/>
        <w:spacing w:before="0" w:beforeAutospacing="0" w:after="0" w:afterAutospacing="0" w:line="360" w:lineRule="auto"/>
        <w:ind w:firstLine="421" w:firstLineChars="200"/>
        <w:rPr>
          <w:sz w:val="21"/>
          <w:szCs w:val="21"/>
        </w:rPr>
      </w:pPr>
      <w:bookmarkStart w:id="923" w:name="_Toc351203510"/>
      <w:bookmarkStart w:id="924" w:name="_Toc532377196"/>
      <w:r>
        <w:rPr>
          <w:rFonts w:hint="eastAsia"/>
          <w:sz w:val="21"/>
          <w:szCs w:val="21"/>
        </w:rPr>
        <w:t>2</w:t>
      </w:r>
      <w:bookmarkStart w:id="925" w:name="_Toc296346540"/>
      <w:bookmarkStart w:id="926" w:name="_Toc296503039"/>
      <w:bookmarkStart w:id="927" w:name="_Toc337558740"/>
      <w:r>
        <w:rPr>
          <w:rFonts w:hint="eastAsia"/>
          <w:sz w:val="21"/>
          <w:szCs w:val="21"/>
        </w:rPr>
        <w:t>.1 许可或批准</w:t>
      </w:r>
      <w:bookmarkEnd w:id="923"/>
      <w:bookmarkEnd w:id="92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因发包人原因未能及时办理完毕前述许可、批准或备案，由发包人承担由此增加的费用和（或）延误的工期，并支付承包人合理的利润。</w:t>
      </w:r>
    </w:p>
    <w:p>
      <w:pPr>
        <w:pStyle w:val="7"/>
        <w:spacing w:before="0" w:beforeAutospacing="0" w:after="0" w:afterAutospacing="0" w:line="360" w:lineRule="auto"/>
        <w:ind w:firstLine="421" w:firstLineChars="200"/>
        <w:rPr>
          <w:sz w:val="21"/>
          <w:szCs w:val="21"/>
        </w:rPr>
      </w:pPr>
      <w:bookmarkStart w:id="928" w:name="_Toc351203511"/>
      <w:bookmarkStart w:id="929" w:name="_Toc532377197"/>
      <w:r>
        <w:rPr>
          <w:rFonts w:hint="eastAsia"/>
          <w:sz w:val="21"/>
          <w:szCs w:val="21"/>
        </w:rPr>
        <w:t>2.2 发包人代表</w:t>
      </w:r>
      <w:bookmarkEnd w:id="928"/>
      <w:bookmarkEnd w:id="929"/>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spacing w:line="360" w:lineRule="auto"/>
        <w:ind w:firstLine="420" w:firstLineChars="200"/>
        <w:jc w:val="left"/>
        <w:rPr>
          <w:rFonts w:ascii="宋体" w:hAnsi="宋体"/>
          <w:kern w:val="0"/>
          <w:szCs w:val="21"/>
        </w:rPr>
      </w:pPr>
      <w:r>
        <w:rPr>
          <w:rFonts w:hint="eastAsia" w:ascii="宋体" w:hAnsi="宋体"/>
          <w:kern w:val="0"/>
          <w:szCs w:val="21"/>
        </w:rPr>
        <w:t>发包人代表不能按照合同约定履行其职责及义务，并导致合同无法继续正常履行的，承包人可以要求发包人撤换发包人代表。</w:t>
      </w:r>
    </w:p>
    <w:p>
      <w:pPr>
        <w:spacing w:line="360" w:lineRule="auto"/>
        <w:ind w:firstLine="420" w:firstLineChars="200"/>
        <w:jc w:val="left"/>
        <w:rPr>
          <w:rFonts w:ascii="宋体" w:hAnsi="宋体"/>
          <w:kern w:val="0"/>
          <w:szCs w:val="21"/>
        </w:rPr>
      </w:pPr>
      <w:r>
        <w:rPr>
          <w:rFonts w:hint="eastAsia" w:ascii="宋体" w:hAnsi="宋体"/>
          <w:kern w:val="0"/>
          <w:szCs w:val="21"/>
        </w:rPr>
        <w:t>不属于法定必须监理的工程，监理人的职权可以由发包人代表或发包人指定的其他人员行使。</w:t>
      </w:r>
    </w:p>
    <w:p>
      <w:pPr>
        <w:pStyle w:val="7"/>
        <w:spacing w:before="0" w:beforeAutospacing="0" w:after="0" w:afterAutospacing="0" w:line="360" w:lineRule="auto"/>
        <w:ind w:firstLine="421" w:firstLineChars="200"/>
        <w:rPr>
          <w:sz w:val="21"/>
          <w:szCs w:val="21"/>
        </w:rPr>
      </w:pPr>
      <w:bookmarkStart w:id="930" w:name="_Toc351203512"/>
      <w:bookmarkStart w:id="931" w:name="_Toc532377198"/>
      <w:r>
        <w:rPr>
          <w:rFonts w:hint="eastAsia"/>
          <w:sz w:val="21"/>
          <w:szCs w:val="21"/>
        </w:rPr>
        <w:t>2.3 发包人人员</w:t>
      </w:r>
      <w:bookmarkEnd w:id="930"/>
      <w:bookmarkEnd w:id="931"/>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发包人应要求在施工现场的发包人人员遵守法律及有关安全、质量、环境保护、文明施工等规定，并保障承包人免于承受因发包人人员未遵守上述要求给承包人造成的损失和责任。</w:t>
      </w:r>
    </w:p>
    <w:p>
      <w:pPr>
        <w:spacing w:line="360" w:lineRule="auto"/>
        <w:ind w:firstLine="420" w:firstLineChars="200"/>
        <w:jc w:val="left"/>
        <w:rPr>
          <w:rFonts w:ascii="宋体" w:hAnsi="宋体"/>
          <w:kern w:val="0"/>
          <w:szCs w:val="21"/>
        </w:rPr>
      </w:pPr>
      <w:r>
        <w:rPr>
          <w:rFonts w:hint="eastAsia" w:ascii="宋体" w:hAnsi="宋体"/>
          <w:kern w:val="0"/>
          <w:szCs w:val="21"/>
        </w:rPr>
        <w:t>发包人人员包括发包人代表及其他由发包人派驻施工现场的人员。</w:t>
      </w:r>
      <w:bookmarkEnd w:id="925"/>
      <w:bookmarkEnd w:id="926"/>
      <w:bookmarkEnd w:id="927"/>
    </w:p>
    <w:p>
      <w:pPr>
        <w:pStyle w:val="7"/>
        <w:spacing w:before="0" w:beforeAutospacing="0" w:after="0" w:afterAutospacing="0" w:line="360" w:lineRule="auto"/>
        <w:ind w:firstLine="421" w:firstLineChars="200"/>
        <w:rPr>
          <w:sz w:val="21"/>
          <w:szCs w:val="21"/>
        </w:rPr>
      </w:pPr>
      <w:bookmarkStart w:id="932" w:name="_Toc351203513"/>
      <w:bookmarkStart w:id="933" w:name="_Toc532377199"/>
      <w:r>
        <w:rPr>
          <w:rFonts w:hint="eastAsia"/>
          <w:sz w:val="21"/>
          <w:szCs w:val="21"/>
        </w:rPr>
        <w:t>2</w:t>
      </w:r>
      <w:bookmarkStart w:id="934" w:name="_Toc296346541"/>
      <w:bookmarkStart w:id="935" w:name="_Toc296503040"/>
      <w:bookmarkStart w:id="936" w:name="_Toc337558741"/>
      <w:r>
        <w:rPr>
          <w:rFonts w:hint="eastAsia"/>
          <w:sz w:val="21"/>
          <w:szCs w:val="21"/>
        </w:rPr>
        <w:t>.4 施工现场、施工条件和基础资料的提供</w:t>
      </w:r>
      <w:bookmarkEnd w:id="932"/>
      <w:bookmarkEnd w:id="933"/>
      <w:bookmarkEnd w:id="934"/>
      <w:bookmarkEnd w:id="935"/>
      <w:bookmarkEnd w:id="93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2.4.1 提供施工现场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w:t>
      </w:r>
      <w:bookmarkEnd w:id="922"/>
      <w:r>
        <w:rPr>
          <w:rFonts w:hint="eastAsia" w:ascii="宋体" w:hAnsi="宋体"/>
          <w:kern w:val="0"/>
          <w:szCs w:val="21"/>
        </w:rPr>
        <w:t>专用合同条款另有约定外，发包人应最迟于开工日期7天前向承包人移交施工现场。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2.4.2 提供施工条件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除专用合同条款另有约定外，发包人应负责提供施工所需要的条件，包括：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（1）将施工用水、电力、通讯线路等施工所必需的条件接至施工现场内；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（2）保证向承包人提供正常施工所需要的进入施工现场的交通条件；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（3）协调处理施工现场周围地下管线和邻近建筑物、构筑物、古树名木的保护工作，并承担相关费用；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（4）按照专用合同条款约定应提供的其他设施和条件。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2.4.3 提供基础资料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按照法律规定确需在开工后方能提供的基础资料，发包人应尽其努力及时地在相应工程施工前的合理期限内提供，合理期限应以不影响承包人的正常施工为限。</w:t>
      </w:r>
    </w:p>
    <w:p>
      <w:pPr>
        <w:spacing w:line="360" w:lineRule="auto"/>
        <w:ind w:firstLine="420" w:firstLineChars="200"/>
        <w:jc w:val="left"/>
        <w:rPr>
          <w:rFonts w:ascii="宋体" w:hAnsi="宋体"/>
          <w:kern w:val="0"/>
          <w:szCs w:val="21"/>
        </w:rPr>
      </w:pPr>
      <w:r>
        <w:rPr>
          <w:rFonts w:hint="eastAsia" w:ascii="宋体" w:hAnsi="宋体"/>
          <w:kern w:val="0"/>
          <w:szCs w:val="21"/>
        </w:rPr>
        <w:t>2.4.4 逾期提供的责任</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因发包人原因未能按合同约定及时向承包人提供施工现场、施工条件、基础资料的，由发包人承担由此增加的费用和（或）延误的工期。</w:t>
      </w:r>
    </w:p>
    <w:p>
      <w:pPr>
        <w:pStyle w:val="7"/>
        <w:spacing w:before="0" w:beforeAutospacing="0" w:after="0" w:afterAutospacing="0" w:line="360" w:lineRule="auto"/>
        <w:ind w:firstLine="421" w:firstLineChars="200"/>
        <w:rPr>
          <w:sz w:val="21"/>
          <w:szCs w:val="21"/>
        </w:rPr>
      </w:pPr>
      <w:bookmarkStart w:id="937" w:name="_Toc351203514"/>
      <w:bookmarkStart w:id="938" w:name="_Toc532377200"/>
      <w:r>
        <w:rPr>
          <w:rFonts w:hint="eastAsia"/>
          <w:sz w:val="21"/>
          <w:szCs w:val="21"/>
        </w:rPr>
        <w:t>2</w:t>
      </w:r>
      <w:bookmarkStart w:id="939" w:name="_Toc296346543"/>
      <w:bookmarkStart w:id="940" w:name="_Toc337558745"/>
      <w:bookmarkStart w:id="941" w:name="_Toc296503042"/>
      <w:r>
        <w:rPr>
          <w:rFonts w:hint="eastAsia"/>
          <w:sz w:val="21"/>
          <w:szCs w:val="21"/>
        </w:rPr>
        <w:t>.5 资</w:t>
      </w:r>
      <w:bookmarkEnd w:id="939"/>
      <w:bookmarkEnd w:id="940"/>
      <w:bookmarkEnd w:id="941"/>
      <w:r>
        <w:rPr>
          <w:rFonts w:hint="eastAsia"/>
          <w:sz w:val="21"/>
          <w:szCs w:val="21"/>
        </w:rPr>
        <w:t>金来源证明及支付担保</w:t>
      </w:r>
      <w:bookmarkEnd w:id="937"/>
      <w:bookmarkEnd w:id="938"/>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除专用合同条款另有约定外，发包人应在收到承包人要求提供资金来源证明的书面通知后28天内，向承包人提供能够按照合同约定支付合同价款的相应资金来源证明。</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pPr>
        <w:pStyle w:val="7"/>
        <w:spacing w:before="0" w:beforeAutospacing="0" w:after="0" w:afterAutospacing="0" w:line="360" w:lineRule="auto"/>
        <w:ind w:firstLine="421" w:firstLineChars="200"/>
        <w:rPr>
          <w:sz w:val="21"/>
          <w:szCs w:val="21"/>
        </w:rPr>
      </w:pPr>
      <w:bookmarkStart w:id="942" w:name="_Toc351203515"/>
      <w:bookmarkStart w:id="943" w:name="_Toc532377201"/>
      <w:r>
        <w:rPr>
          <w:rFonts w:hint="eastAsia"/>
          <w:sz w:val="21"/>
          <w:szCs w:val="21"/>
        </w:rPr>
        <w:t>2.6 支付合同价款</w:t>
      </w:r>
      <w:bookmarkEnd w:id="942"/>
      <w:bookmarkEnd w:id="94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发包人应按合同约定向承包人及时支付合同价款。</w:t>
      </w:r>
    </w:p>
    <w:p>
      <w:pPr>
        <w:pStyle w:val="7"/>
        <w:spacing w:before="0" w:beforeAutospacing="0" w:after="0" w:afterAutospacing="0" w:line="360" w:lineRule="auto"/>
        <w:ind w:firstLine="421" w:firstLineChars="200"/>
        <w:rPr>
          <w:sz w:val="21"/>
          <w:szCs w:val="21"/>
        </w:rPr>
      </w:pPr>
      <w:bookmarkStart w:id="944" w:name="_Toc351203516"/>
      <w:bookmarkStart w:id="945" w:name="_Toc532377202"/>
      <w:r>
        <w:rPr>
          <w:rFonts w:hint="eastAsia"/>
          <w:sz w:val="21"/>
          <w:szCs w:val="21"/>
        </w:rPr>
        <w:t>2.7 组织竣工验收</w:t>
      </w:r>
      <w:bookmarkEnd w:id="944"/>
      <w:bookmarkEnd w:id="945"/>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发包人应按合同约定及时组织竣工验收。</w:t>
      </w:r>
    </w:p>
    <w:p>
      <w:pPr>
        <w:pStyle w:val="7"/>
        <w:spacing w:before="0" w:beforeAutospacing="0" w:after="0" w:afterAutospacing="0" w:line="360" w:lineRule="auto"/>
        <w:ind w:firstLine="421" w:firstLineChars="200"/>
        <w:rPr>
          <w:sz w:val="21"/>
          <w:szCs w:val="21"/>
        </w:rPr>
      </w:pPr>
      <w:bookmarkStart w:id="946" w:name="_Toc351203517"/>
      <w:bookmarkStart w:id="947" w:name="_Toc532377203"/>
      <w:r>
        <w:rPr>
          <w:rFonts w:hint="eastAsia"/>
          <w:sz w:val="21"/>
          <w:szCs w:val="21"/>
        </w:rPr>
        <w:t>2.8 现场统一管理协议</w:t>
      </w:r>
      <w:bookmarkEnd w:id="946"/>
      <w:bookmarkEnd w:id="947"/>
    </w:p>
    <w:p>
      <w:pPr>
        <w:spacing w:line="360" w:lineRule="auto"/>
        <w:ind w:firstLine="420" w:firstLineChars="200"/>
        <w:jc w:val="left"/>
        <w:rPr>
          <w:rFonts w:ascii="宋体" w:hAnsi="宋体"/>
          <w:kern w:val="0"/>
          <w:szCs w:val="21"/>
        </w:rPr>
      </w:pPr>
      <w:r>
        <w:rPr>
          <w:rFonts w:hint="eastAsia" w:ascii="宋体" w:hAnsi="宋体"/>
          <w:kern w:val="0"/>
          <w:szCs w:val="21"/>
        </w:rPr>
        <w:t>发包人应与承包人、由发包人直接发包的专业工程的承包人签订施工现场统一管理协议，明确各方的权利义务。施工现场统一管理协议作为专用合同条款的附件。</w:t>
      </w:r>
    </w:p>
    <w:p>
      <w:pPr>
        <w:pStyle w:val="6"/>
        <w:keepNext/>
        <w:keepLines/>
        <w:spacing w:before="156" w:beforeLines="50" w:beforeAutospacing="0" w:after="156" w:afterLines="50" w:afterAutospacing="0" w:line="360" w:lineRule="auto"/>
        <w:jc w:val="both"/>
        <w:rPr>
          <w:bCs w:val="0"/>
          <w:kern w:val="2"/>
          <w:sz w:val="21"/>
          <w:szCs w:val="21"/>
        </w:rPr>
      </w:pPr>
      <w:bookmarkStart w:id="948" w:name="_Toc532377204"/>
      <w:bookmarkStart w:id="949" w:name="_Toc351203518"/>
      <w:bookmarkStart w:id="950" w:name="_Toc532375589"/>
      <w:r>
        <w:rPr>
          <w:rFonts w:hint="eastAsia"/>
          <w:kern w:val="2"/>
          <w:sz w:val="21"/>
          <w:szCs w:val="21"/>
        </w:rPr>
        <w:t>3</w:t>
      </w:r>
      <w:bookmarkStart w:id="951" w:name="_Toc296346546"/>
      <w:bookmarkStart w:id="952" w:name="_Toc296503045"/>
      <w:bookmarkStart w:id="953" w:name="_Toc337558746"/>
      <w:r>
        <w:rPr>
          <w:rFonts w:hint="eastAsia"/>
          <w:kern w:val="2"/>
          <w:sz w:val="21"/>
          <w:szCs w:val="21"/>
        </w:rPr>
        <w:t>. 承包人</w:t>
      </w:r>
      <w:bookmarkEnd w:id="948"/>
      <w:bookmarkEnd w:id="949"/>
      <w:bookmarkEnd w:id="950"/>
    </w:p>
    <w:bookmarkEnd w:id="951"/>
    <w:bookmarkEnd w:id="952"/>
    <w:bookmarkEnd w:id="953"/>
    <w:p>
      <w:pPr>
        <w:pStyle w:val="7"/>
        <w:spacing w:before="0" w:beforeAutospacing="0" w:after="0" w:afterAutospacing="0" w:line="360" w:lineRule="auto"/>
        <w:ind w:firstLine="421" w:firstLineChars="200"/>
        <w:rPr>
          <w:sz w:val="21"/>
          <w:szCs w:val="21"/>
        </w:rPr>
      </w:pPr>
      <w:bookmarkStart w:id="954" w:name="_Toc532377205"/>
      <w:bookmarkStart w:id="955" w:name="_Toc351203519"/>
      <w:r>
        <w:rPr>
          <w:rFonts w:hint="eastAsia"/>
          <w:sz w:val="21"/>
          <w:szCs w:val="21"/>
        </w:rPr>
        <w:t>3</w:t>
      </w:r>
      <w:bookmarkStart w:id="956" w:name="_Toc296503046"/>
      <w:bookmarkStart w:id="957" w:name="_Toc337558747"/>
      <w:bookmarkStart w:id="958" w:name="_Toc296346547"/>
      <w:r>
        <w:rPr>
          <w:rFonts w:hint="eastAsia"/>
          <w:sz w:val="21"/>
          <w:szCs w:val="21"/>
        </w:rPr>
        <w:t>.1 承包人的一般义务</w:t>
      </w:r>
      <w:bookmarkEnd w:id="954"/>
      <w:bookmarkEnd w:id="955"/>
    </w:p>
    <w:bookmarkEnd w:id="956"/>
    <w:bookmarkEnd w:id="957"/>
    <w:bookmarkEnd w:id="95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承包人在履行合同过程中应遵守法律和工程建设标准规范，并履行以下义务：</w:t>
      </w:r>
    </w:p>
    <w:p>
      <w:pPr>
        <w:numPr>
          <w:ilvl w:val="0"/>
          <w:numId w:val="1"/>
        </w:num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办理法律规定应由承包人办理的许可和批准，并将办理结果书面报送发包人留存；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（2）按法律规定和合同约定完成工程，并在保修期内承担保修义务；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（3）按法律规定和合同约定采取施工安全和环境保护措施，办理工伤保险，确保工程及人员、材料、设备和设施的安全；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（4）按合同约定的工作内容和施工进度要求，编制施工组织设计和施工措施计划，并对所有施工作业和施工方法的完备性和安全可靠性负责；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（6）按照第6.3款〔环境保护〕约定负责施工场地及其周边环境与生态的保护工作；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（7）按第6.1款〔安全文明施工〕约定采取施工安全措施，确保工程及其人员、材料、设备和设施的安全，防止因工程施工造成的人身伤害和财产损失；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（8）将发包人按合同约定支付的各项价款专用于合同工程，且应及时支付其雇用人员工资，并及时向分包人支付合同价款；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（9）按照法律规定和合同约定编制竣工资料，完成竣工资料立卷及归档，并按专用合同条款约定的竣工资料的套数、内容、时间等要求移交发包人；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（10）应履行的其他义务。</w:t>
      </w:r>
    </w:p>
    <w:p>
      <w:pPr>
        <w:pStyle w:val="7"/>
        <w:spacing w:before="0" w:beforeAutospacing="0" w:after="0" w:afterAutospacing="0" w:line="360" w:lineRule="auto"/>
        <w:ind w:firstLine="421" w:firstLineChars="200"/>
        <w:rPr>
          <w:sz w:val="21"/>
          <w:szCs w:val="21"/>
        </w:rPr>
      </w:pPr>
      <w:bookmarkStart w:id="959" w:name="_Toc351203520"/>
      <w:bookmarkStart w:id="960" w:name="_Toc532377206"/>
      <w:r>
        <w:rPr>
          <w:rFonts w:hint="eastAsia"/>
          <w:sz w:val="21"/>
          <w:szCs w:val="21"/>
        </w:rPr>
        <w:t>3</w:t>
      </w:r>
      <w:bookmarkStart w:id="961" w:name="_Toc337558748"/>
      <w:bookmarkStart w:id="962" w:name="_Toc296503047"/>
      <w:bookmarkStart w:id="963" w:name="_Toc296346548"/>
      <w:r>
        <w:rPr>
          <w:rFonts w:hint="eastAsia"/>
          <w:sz w:val="21"/>
          <w:szCs w:val="21"/>
        </w:rPr>
        <w:t xml:space="preserve">.2 </w:t>
      </w:r>
      <w:bookmarkEnd w:id="959"/>
      <w:r>
        <w:rPr>
          <w:rFonts w:hint="eastAsia"/>
          <w:sz w:val="21"/>
          <w:szCs w:val="21"/>
        </w:rPr>
        <w:t>项目经理</w:t>
      </w:r>
      <w:bookmarkEnd w:id="960"/>
    </w:p>
    <w:bookmarkEnd w:id="961"/>
    <w:bookmarkEnd w:id="962"/>
    <w:bookmarkEnd w:id="96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承包人违反上述约定的，应按照专用合同条款的约定，承担违约责任。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3.2.5 项目经理因特殊情况授权其下属人员履行其某项工作职责的，该下属人员应具备履行相应职责的能力，并应提前7天将上述人员的姓名和授权范围书面通知监理人，并征得发包人书面同意。</w:t>
      </w:r>
    </w:p>
    <w:p>
      <w:pPr>
        <w:pStyle w:val="7"/>
        <w:spacing w:before="0" w:beforeAutospacing="0" w:after="0" w:afterAutospacing="0" w:line="360" w:lineRule="auto"/>
        <w:ind w:firstLine="421" w:firstLineChars="200"/>
        <w:rPr>
          <w:sz w:val="21"/>
          <w:szCs w:val="21"/>
        </w:rPr>
      </w:pPr>
      <w:bookmarkStart w:id="964" w:name="_Toc532377207"/>
      <w:bookmarkStart w:id="965" w:name="_Toc351203521"/>
      <w:r>
        <w:rPr>
          <w:rFonts w:hint="eastAsia"/>
          <w:sz w:val="21"/>
          <w:szCs w:val="21"/>
        </w:rPr>
        <w:t>3</w:t>
      </w:r>
      <w:bookmarkStart w:id="966" w:name="_Toc296346549"/>
      <w:bookmarkStart w:id="967" w:name="_Toc296503048"/>
      <w:bookmarkStart w:id="968" w:name="_Toc337558749"/>
      <w:r>
        <w:rPr>
          <w:rFonts w:hint="eastAsia"/>
          <w:sz w:val="21"/>
          <w:szCs w:val="21"/>
        </w:rPr>
        <w:t xml:space="preserve">.3 </w:t>
      </w:r>
      <w:bookmarkEnd w:id="966"/>
      <w:bookmarkEnd w:id="967"/>
      <w:r>
        <w:rPr>
          <w:rFonts w:hint="eastAsia"/>
          <w:sz w:val="21"/>
          <w:szCs w:val="21"/>
        </w:rPr>
        <w:t>承包人人员</w:t>
      </w:r>
      <w:bookmarkEnd w:id="964"/>
      <w:bookmarkEnd w:id="965"/>
    </w:p>
    <w:bookmarkEnd w:id="96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特殊工种作业人员均应持有相应的资格证明，监理人可以随时检查。</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3.3.5 承包人擅自更换主要施工管理人员，或前述人员未经监理人或发包人同意擅自离开施工现场的，应按照专用合同条款约定承担违约责任。</w:t>
      </w:r>
    </w:p>
    <w:p>
      <w:pPr>
        <w:pStyle w:val="7"/>
        <w:spacing w:before="0" w:beforeAutospacing="0" w:after="0" w:afterAutospacing="0" w:line="360" w:lineRule="auto"/>
        <w:ind w:firstLine="421" w:firstLineChars="200"/>
        <w:rPr>
          <w:sz w:val="21"/>
          <w:szCs w:val="21"/>
        </w:rPr>
      </w:pPr>
      <w:bookmarkStart w:id="969" w:name="_Toc532377208"/>
      <w:bookmarkStart w:id="970" w:name="_Toc351203522"/>
      <w:r>
        <w:rPr>
          <w:rFonts w:hint="eastAsia"/>
          <w:sz w:val="21"/>
          <w:szCs w:val="21"/>
        </w:rPr>
        <w:t>3</w:t>
      </w:r>
      <w:bookmarkStart w:id="971" w:name="_Toc296346551"/>
      <w:bookmarkStart w:id="972" w:name="_Toc337558750"/>
      <w:bookmarkStart w:id="973" w:name="_Toc296503050"/>
      <w:r>
        <w:rPr>
          <w:rFonts w:hint="eastAsia"/>
          <w:sz w:val="21"/>
          <w:szCs w:val="21"/>
        </w:rPr>
        <w:t>.4 承包人现场查勘</w:t>
      </w:r>
      <w:bookmarkEnd w:id="969"/>
      <w:bookmarkEnd w:id="970"/>
    </w:p>
    <w:bookmarkEnd w:id="971"/>
    <w:bookmarkEnd w:id="972"/>
    <w:bookmarkEnd w:id="97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承包人应对基于发包人按照第2.4.3项〔提供基础资料〕提交的基础资料所做出的解释和推断负责，但因基础资料存在错误、遗漏导致承包人解释或推断失实的，由发包人承担责任。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7"/>
        <w:spacing w:before="0" w:beforeAutospacing="0" w:after="0" w:afterAutospacing="0" w:line="360" w:lineRule="auto"/>
        <w:ind w:firstLine="421" w:firstLineChars="200"/>
        <w:rPr>
          <w:sz w:val="21"/>
          <w:szCs w:val="21"/>
        </w:rPr>
      </w:pPr>
      <w:bookmarkStart w:id="974" w:name="_Toc532377209"/>
      <w:bookmarkStart w:id="975" w:name="_Toc351203523"/>
      <w:r>
        <w:rPr>
          <w:rFonts w:hint="eastAsia"/>
          <w:sz w:val="21"/>
          <w:szCs w:val="21"/>
        </w:rPr>
        <w:t>3</w:t>
      </w:r>
      <w:bookmarkStart w:id="976" w:name="_Toc337558751"/>
      <w:bookmarkStart w:id="977" w:name="_Toc296346552"/>
      <w:bookmarkStart w:id="978" w:name="_Toc296503051"/>
      <w:r>
        <w:rPr>
          <w:rFonts w:hint="eastAsia"/>
          <w:sz w:val="21"/>
          <w:szCs w:val="21"/>
        </w:rPr>
        <w:t>.5 分包</w:t>
      </w:r>
      <w:bookmarkEnd w:id="974"/>
      <w:bookmarkEnd w:id="975"/>
    </w:p>
    <w:bookmarkEnd w:id="976"/>
    <w:bookmarkEnd w:id="977"/>
    <w:bookmarkEnd w:id="978"/>
    <w:p>
      <w:pPr>
        <w:spacing w:line="360" w:lineRule="auto"/>
        <w:ind w:firstLine="420" w:firstLineChars="200"/>
        <w:jc w:val="left"/>
        <w:rPr>
          <w:rFonts w:ascii="宋体" w:hAnsi="宋体"/>
          <w:kern w:val="0"/>
          <w:szCs w:val="21"/>
        </w:rPr>
      </w:pPr>
      <w:r>
        <w:rPr>
          <w:rFonts w:hint="eastAsia" w:ascii="宋体" w:hAnsi="宋体"/>
          <w:kern w:val="0"/>
          <w:szCs w:val="21"/>
        </w:rPr>
        <w:t>3.5.1 分包的一般约定</w:t>
      </w:r>
    </w:p>
    <w:p>
      <w:pPr>
        <w:spacing w:line="360" w:lineRule="auto"/>
        <w:ind w:firstLine="420" w:firstLineChars="200"/>
        <w:jc w:val="left"/>
        <w:rPr>
          <w:rFonts w:ascii="宋体" w:hAnsi="宋体"/>
          <w:kern w:val="0"/>
          <w:szCs w:val="21"/>
        </w:rPr>
      </w:pPr>
      <w:r>
        <w:rPr>
          <w:rFonts w:hint="eastAsia" w:ascii="宋体" w:hAnsi="宋体"/>
          <w:kern w:val="0"/>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360" w:lineRule="auto"/>
        <w:ind w:firstLine="420" w:firstLineChars="200"/>
        <w:jc w:val="left"/>
        <w:rPr>
          <w:rFonts w:ascii="宋体" w:hAnsi="宋体"/>
          <w:kern w:val="0"/>
          <w:szCs w:val="21"/>
        </w:rPr>
      </w:pPr>
      <w:r>
        <w:rPr>
          <w:rFonts w:hint="eastAsia" w:ascii="宋体" w:hAnsi="宋体"/>
          <w:kern w:val="0"/>
          <w:szCs w:val="21"/>
        </w:rPr>
        <w:t>承包人不得以劳务分包的名义转包或违法分包工程。</w:t>
      </w:r>
    </w:p>
    <w:p>
      <w:pPr>
        <w:spacing w:line="360" w:lineRule="auto"/>
        <w:ind w:firstLine="420" w:firstLineChars="200"/>
        <w:jc w:val="left"/>
        <w:rPr>
          <w:rFonts w:ascii="宋体" w:hAnsi="宋体"/>
          <w:kern w:val="0"/>
          <w:szCs w:val="21"/>
        </w:rPr>
      </w:pPr>
      <w:r>
        <w:rPr>
          <w:rFonts w:hint="eastAsia" w:ascii="宋体" w:hAnsi="宋体"/>
          <w:kern w:val="0"/>
          <w:szCs w:val="21"/>
        </w:rPr>
        <w:t>3.5.2 分包的确定</w:t>
      </w:r>
    </w:p>
    <w:p>
      <w:pPr>
        <w:spacing w:line="360" w:lineRule="auto"/>
        <w:ind w:firstLine="420" w:firstLineChars="200"/>
        <w:jc w:val="left"/>
        <w:rPr>
          <w:rFonts w:ascii="宋体" w:hAnsi="宋体"/>
          <w:kern w:val="0"/>
          <w:szCs w:val="21"/>
        </w:rPr>
      </w:pPr>
      <w:r>
        <w:rPr>
          <w:rFonts w:hint="eastAsia" w:ascii="宋体" w:hAnsi="宋体"/>
          <w:kern w:val="0"/>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360" w:lineRule="auto"/>
        <w:ind w:firstLine="420" w:firstLineChars="200"/>
        <w:jc w:val="left"/>
        <w:rPr>
          <w:rFonts w:ascii="宋体" w:hAnsi="宋体"/>
          <w:kern w:val="0"/>
          <w:szCs w:val="21"/>
        </w:rPr>
      </w:pPr>
      <w:r>
        <w:rPr>
          <w:rFonts w:hint="eastAsia" w:ascii="宋体" w:hAnsi="宋体"/>
          <w:kern w:val="0"/>
          <w:szCs w:val="21"/>
        </w:rPr>
        <w:t>3.5.3 分包管理</w:t>
      </w:r>
    </w:p>
    <w:p>
      <w:pPr>
        <w:spacing w:line="360" w:lineRule="auto"/>
        <w:ind w:firstLine="420" w:firstLineChars="200"/>
        <w:jc w:val="left"/>
        <w:rPr>
          <w:rFonts w:ascii="宋体" w:hAnsi="宋体"/>
          <w:kern w:val="0"/>
          <w:szCs w:val="21"/>
        </w:rPr>
      </w:pPr>
      <w:r>
        <w:rPr>
          <w:rFonts w:hint="eastAsia" w:ascii="宋体" w:hAnsi="宋体"/>
          <w:kern w:val="0"/>
          <w:szCs w:val="21"/>
        </w:rPr>
        <w:t>承包人应向监理人提交分包人的主要施工管理人员表，并对分包人的施工人员进行实名制管理，包括但不限于进出场管理、登记造册以及各种证照的办理。</w:t>
      </w:r>
    </w:p>
    <w:p>
      <w:pPr>
        <w:spacing w:line="360" w:lineRule="auto"/>
        <w:ind w:firstLine="420" w:firstLineChars="200"/>
        <w:jc w:val="left"/>
        <w:rPr>
          <w:rFonts w:ascii="宋体" w:hAnsi="宋体"/>
          <w:kern w:val="0"/>
          <w:szCs w:val="21"/>
        </w:rPr>
      </w:pPr>
      <w:r>
        <w:rPr>
          <w:rFonts w:hint="eastAsia" w:ascii="宋体" w:hAnsi="宋体"/>
          <w:kern w:val="0"/>
          <w:szCs w:val="21"/>
        </w:rPr>
        <w:t>3.5.4 分包合同价款</w:t>
      </w:r>
    </w:p>
    <w:p>
      <w:pPr>
        <w:spacing w:line="360" w:lineRule="auto"/>
        <w:ind w:firstLine="420" w:firstLineChars="200"/>
        <w:jc w:val="left"/>
        <w:rPr>
          <w:rFonts w:ascii="宋体" w:hAnsi="宋体"/>
          <w:kern w:val="0"/>
          <w:szCs w:val="21"/>
        </w:rPr>
      </w:pPr>
      <w:r>
        <w:rPr>
          <w:rFonts w:hint="eastAsia" w:ascii="宋体" w:hAnsi="宋体"/>
          <w:kern w:val="0"/>
          <w:szCs w:val="21"/>
        </w:rPr>
        <w:t>（1）除本项第（2）目约定的情况或专用合同条款另有约定外，分包合同价款由承包人与分包人结算，未经承包人同意，发包人不得向分包人支付分包工程价款；</w:t>
      </w:r>
    </w:p>
    <w:p>
      <w:pPr>
        <w:spacing w:line="360" w:lineRule="auto"/>
        <w:ind w:firstLine="420" w:firstLineChars="200"/>
        <w:jc w:val="left"/>
        <w:rPr>
          <w:rFonts w:ascii="宋体" w:hAnsi="宋体"/>
          <w:kern w:val="0"/>
          <w:szCs w:val="21"/>
        </w:rPr>
      </w:pPr>
      <w:r>
        <w:rPr>
          <w:rFonts w:hint="eastAsia" w:ascii="宋体" w:hAnsi="宋体"/>
          <w:kern w:val="0"/>
          <w:szCs w:val="21"/>
        </w:rPr>
        <w:t>（2）生效法律文书要求发包人向分包人支付分包合同价款的，发包人有权从应付承包人工程款中扣除该部分款项。</w:t>
      </w:r>
    </w:p>
    <w:p>
      <w:pPr>
        <w:spacing w:line="360" w:lineRule="auto"/>
        <w:ind w:firstLine="420" w:firstLineChars="200"/>
        <w:jc w:val="left"/>
        <w:rPr>
          <w:rFonts w:ascii="宋体" w:hAnsi="宋体"/>
          <w:kern w:val="0"/>
          <w:szCs w:val="21"/>
        </w:rPr>
      </w:pPr>
      <w:r>
        <w:rPr>
          <w:rFonts w:hint="eastAsia" w:ascii="宋体" w:hAnsi="宋体"/>
          <w:kern w:val="0"/>
          <w:szCs w:val="21"/>
        </w:rPr>
        <w:t>3.5.5 分包合同权益的转让</w:t>
      </w:r>
    </w:p>
    <w:p>
      <w:pPr>
        <w:spacing w:line="360" w:lineRule="auto"/>
        <w:ind w:firstLine="420" w:firstLineChars="200"/>
        <w:jc w:val="left"/>
        <w:rPr>
          <w:rFonts w:ascii="宋体" w:hAnsi="宋体"/>
          <w:kern w:val="0"/>
          <w:szCs w:val="21"/>
        </w:rPr>
      </w:pPr>
      <w:r>
        <w:rPr>
          <w:rFonts w:hint="eastAsia" w:ascii="宋体" w:hAnsi="宋体"/>
          <w:kern w:val="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979" w:name="_Toc351203524"/>
    </w:p>
    <w:p>
      <w:pPr>
        <w:pStyle w:val="7"/>
        <w:spacing w:before="0" w:beforeAutospacing="0" w:after="0" w:afterAutospacing="0" w:line="360" w:lineRule="auto"/>
        <w:ind w:firstLine="421" w:firstLineChars="200"/>
        <w:rPr>
          <w:sz w:val="21"/>
          <w:szCs w:val="21"/>
        </w:rPr>
      </w:pPr>
      <w:bookmarkStart w:id="980" w:name="_Toc532377210"/>
      <w:r>
        <w:rPr>
          <w:rFonts w:hint="eastAsia"/>
          <w:sz w:val="21"/>
          <w:szCs w:val="21"/>
        </w:rPr>
        <w:t>3.6 工程照管与成品、半成品保护</w:t>
      </w:r>
      <w:bookmarkEnd w:id="979"/>
      <w:bookmarkEnd w:id="980"/>
    </w:p>
    <w:p>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（1）除专用合同条款另有约定外，自发包人向承包人移交施工现场之日起，承包人应负责照管工程及工程相关的材料、工程设备，直到颁发工程接收证书之日止。</w:t>
      </w:r>
    </w:p>
    <w:p>
      <w:pPr>
        <w:spacing w:line="360" w:lineRule="auto"/>
        <w:ind w:firstLine="420" w:firstLineChars="200"/>
        <w:jc w:val="left"/>
        <w:rPr>
          <w:rFonts w:ascii="宋体" w:hAnsi="宋体"/>
          <w:kern w:val="0"/>
          <w:szCs w:val="21"/>
        </w:rPr>
      </w:pPr>
      <w:r>
        <w:rPr>
          <w:rFonts w:hint="eastAsia" w:ascii="宋体" w:hAnsi="宋体"/>
          <w:kern w:val="0"/>
          <w:szCs w:val="21"/>
        </w:rPr>
        <w:t>（2）在承包人负责照管期间，因承包人原因造成工程、材料、工程设备损坏的，由承包人负责修复或更换，并承担由此增加的费用和（或）延误的工期。</w:t>
      </w:r>
    </w:p>
    <w:p>
      <w:pPr>
        <w:spacing w:line="360" w:lineRule="auto"/>
        <w:ind w:firstLine="420" w:firstLineChars="200"/>
        <w:jc w:val="left"/>
        <w:rPr>
          <w:rFonts w:ascii="宋体" w:hAnsi="宋体"/>
          <w:kern w:val="0"/>
          <w:szCs w:val="21"/>
        </w:rPr>
      </w:pPr>
      <w:r>
        <w:rPr>
          <w:rFonts w:hint="eastAsia" w:ascii="宋体" w:hAnsi="宋体"/>
          <w:kern w:val="0"/>
          <w:szCs w:val="21"/>
        </w:rPr>
        <w:t>（3）对合同内分期完成的成品和半成品，在工程接收证书颁发前，由承包人承担保护责任。因承包人原因造成成品或半成品损坏的，由承包人负责修复或更换，并承担由此增加的费用和（或）延误的工期。</w:t>
      </w:r>
    </w:p>
    <w:p>
      <w:pPr>
        <w:pStyle w:val="7"/>
        <w:spacing w:before="0" w:beforeAutospacing="0" w:after="0" w:afterAutospacing="0" w:line="360" w:lineRule="auto"/>
        <w:ind w:firstLine="421" w:firstLineChars="200"/>
        <w:rPr>
          <w:sz w:val="21"/>
          <w:szCs w:val="21"/>
        </w:rPr>
      </w:pPr>
      <w:bookmarkStart w:id="981" w:name="_Toc351203525"/>
      <w:bookmarkStart w:id="982" w:name="_Toc532377211"/>
      <w:r>
        <w:rPr>
          <w:rFonts w:hint="eastAsia"/>
          <w:sz w:val="21"/>
          <w:szCs w:val="21"/>
        </w:rPr>
        <w:t>3</w:t>
      </w:r>
      <w:bookmarkStart w:id="983" w:name="_Toc296346553"/>
      <w:bookmarkStart w:id="984" w:name="_Toc337558752"/>
      <w:bookmarkStart w:id="985" w:name="_Toc296503052"/>
      <w:r>
        <w:rPr>
          <w:rFonts w:hint="eastAsia"/>
          <w:sz w:val="21"/>
          <w:szCs w:val="21"/>
        </w:rPr>
        <w:t>.7 履约担保</w:t>
      </w:r>
      <w:bookmarkEnd w:id="981"/>
      <w:bookmarkEnd w:id="982"/>
    </w:p>
    <w:bookmarkEnd w:id="983"/>
    <w:bookmarkEnd w:id="984"/>
    <w:bookmarkEnd w:id="98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因承包人原因导致工期延长的，继续提供履约担保所增加的费用由承包人承担；非因承包人原因导致工期延长的，继续提供履约担保所增加的费用由发包人承担。</w:t>
      </w:r>
    </w:p>
    <w:p>
      <w:pPr>
        <w:pStyle w:val="7"/>
        <w:spacing w:before="0" w:beforeAutospacing="0" w:after="0" w:afterAutospacing="0" w:line="360" w:lineRule="auto"/>
        <w:ind w:firstLine="421" w:firstLineChars="200"/>
        <w:rPr>
          <w:sz w:val="21"/>
          <w:szCs w:val="21"/>
        </w:rPr>
      </w:pPr>
      <w:bookmarkStart w:id="986" w:name="_Toc351203526"/>
      <w:bookmarkStart w:id="987" w:name="_Toc532377212"/>
      <w:r>
        <w:rPr>
          <w:rFonts w:hint="eastAsia"/>
          <w:sz w:val="21"/>
          <w:szCs w:val="21"/>
        </w:rPr>
        <w:t>3.8 联合体</w:t>
      </w:r>
      <w:bookmarkEnd w:id="986"/>
      <w:bookmarkEnd w:id="98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3.8.1 联合体各方应共同与发包人签订合同协议书。联合体各方应为履行合同向发包人承担连带责任。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3.8.2 </w:t>
      </w:r>
      <w:r>
        <w:rPr>
          <w:rFonts w:hint="eastAsia" w:ascii="宋体" w:hAnsi="宋体"/>
          <w:lang w:val="en-US" w:eastAsia="zh-CN"/>
        </w:rPr>
        <w:t>共同投标协议</w:t>
      </w:r>
      <w:r>
        <w:rPr>
          <w:rFonts w:hint="eastAsia" w:ascii="宋体" w:hAnsi="宋体"/>
          <w:kern w:val="0"/>
          <w:szCs w:val="21"/>
        </w:rPr>
        <w:t>经发包人确认后作为合同附件。在履行合同过程中，未经发包人同意，不得修改</w:t>
      </w:r>
      <w:r>
        <w:rPr>
          <w:rFonts w:hint="eastAsia" w:ascii="宋体" w:hAnsi="宋体"/>
          <w:lang w:val="en-US" w:eastAsia="zh-CN"/>
        </w:rPr>
        <w:t>共同投标协议</w:t>
      </w:r>
      <w:r>
        <w:rPr>
          <w:rFonts w:hint="eastAsia" w:ascii="宋体" w:hAnsi="宋体"/>
          <w:kern w:val="0"/>
          <w:szCs w:val="21"/>
        </w:rPr>
        <w:t>。</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3.8.3 联合体牵头人负责与发包人和监理人联系，并接受指示，负责组织联合体各成员全面履行合同。</w:t>
      </w:r>
    </w:p>
    <w:p>
      <w:pPr>
        <w:pStyle w:val="6"/>
        <w:keepNext/>
        <w:keepLines/>
        <w:spacing w:before="156" w:beforeLines="50" w:beforeAutospacing="0" w:after="156" w:afterLines="50" w:afterAutospacing="0" w:line="360" w:lineRule="auto"/>
        <w:jc w:val="both"/>
        <w:rPr>
          <w:bCs w:val="0"/>
          <w:kern w:val="2"/>
          <w:sz w:val="21"/>
          <w:szCs w:val="21"/>
        </w:rPr>
      </w:pPr>
      <w:bookmarkStart w:id="988" w:name="_Toc532375590"/>
      <w:bookmarkStart w:id="989" w:name="_Toc532377213"/>
      <w:bookmarkStart w:id="990" w:name="_Toc351203527"/>
      <w:r>
        <w:rPr>
          <w:rFonts w:hint="eastAsia"/>
          <w:kern w:val="2"/>
          <w:sz w:val="21"/>
          <w:szCs w:val="21"/>
        </w:rPr>
        <w:t>4</w:t>
      </w:r>
      <w:bookmarkStart w:id="991" w:name="_Toc296346554"/>
      <w:bookmarkStart w:id="992" w:name="_Toc296503053"/>
      <w:bookmarkStart w:id="993" w:name="_Toc337558753"/>
      <w:r>
        <w:rPr>
          <w:rFonts w:hint="eastAsia"/>
          <w:kern w:val="2"/>
          <w:sz w:val="21"/>
          <w:szCs w:val="21"/>
        </w:rPr>
        <w:t>. 监</w:t>
      </w:r>
      <w:bookmarkEnd w:id="991"/>
      <w:bookmarkEnd w:id="992"/>
      <w:r>
        <w:rPr>
          <w:rFonts w:hint="eastAsia"/>
          <w:kern w:val="2"/>
          <w:sz w:val="21"/>
          <w:szCs w:val="21"/>
        </w:rPr>
        <w:t>理人</w:t>
      </w:r>
      <w:bookmarkEnd w:id="988"/>
      <w:bookmarkEnd w:id="989"/>
      <w:bookmarkEnd w:id="990"/>
    </w:p>
    <w:bookmarkEnd w:id="993"/>
    <w:p>
      <w:pPr>
        <w:pStyle w:val="7"/>
        <w:spacing w:before="0" w:beforeAutospacing="0" w:after="0" w:afterAutospacing="0" w:line="360" w:lineRule="auto"/>
        <w:ind w:firstLine="421" w:firstLineChars="200"/>
        <w:rPr>
          <w:sz w:val="21"/>
          <w:szCs w:val="21"/>
        </w:rPr>
      </w:pPr>
      <w:bookmarkStart w:id="994" w:name="_Toc351203528"/>
      <w:bookmarkStart w:id="995" w:name="_Toc532377214"/>
      <w:r>
        <w:rPr>
          <w:rFonts w:hint="eastAsia"/>
          <w:sz w:val="21"/>
          <w:szCs w:val="21"/>
        </w:rPr>
        <w:t>4</w:t>
      </w:r>
      <w:bookmarkStart w:id="996" w:name="_Toc337558754"/>
      <w:bookmarkStart w:id="997" w:name="_Toc296503054"/>
      <w:bookmarkStart w:id="998" w:name="_Toc296346555"/>
      <w:r>
        <w:rPr>
          <w:rFonts w:hint="eastAsia"/>
          <w:sz w:val="21"/>
          <w:szCs w:val="21"/>
        </w:rPr>
        <w:t>.1监理人的一般规定</w:t>
      </w:r>
      <w:bookmarkEnd w:id="994"/>
      <w:bookmarkEnd w:id="995"/>
    </w:p>
    <w:bookmarkEnd w:id="996"/>
    <w:bookmarkEnd w:id="997"/>
    <w:bookmarkEnd w:id="99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除专用合同条款另有约定外，监理人在施工现场的办公场所、生活场所由承包人提供，所发生的费用由发包人承担。</w:t>
      </w:r>
    </w:p>
    <w:p>
      <w:pPr>
        <w:pStyle w:val="7"/>
        <w:spacing w:before="0" w:beforeAutospacing="0" w:after="0" w:afterAutospacing="0" w:line="360" w:lineRule="auto"/>
        <w:ind w:firstLine="421" w:firstLineChars="200"/>
        <w:rPr>
          <w:sz w:val="21"/>
          <w:szCs w:val="21"/>
        </w:rPr>
      </w:pPr>
      <w:bookmarkStart w:id="999" w:name="_Toc351203529"/>
      <w:bookmarkStart w:id="1000" w:name="_Toc532377215"/>
      <w:r>
        <w:rPr>
          <w:rFonts w:hint="eastAsia"/>
          <w:sz w:val="21"/>
          <w:szCs w:val="21"/>
        </w:rPr>
        <w:t>4</w:t>
      </w:r>
      <w:bookmarkStart w:id="1001" w:name="_Toc337558755"/>
      <w:r>
        <w:rPr>
          <w:rFonts w:hint="eastAsia"/>
          <w:sz w:val="21"/>
          <w:szCs w:val="21"/>
        </w:rPr>
        <w:t>.2监理人员</w:t>
      </w:r>
      <w:bookmarkEnd w:id="999"/>
      <w:bookmarkEnd w:id="1000"/>
    </w:p>
    <w:bookmarkEnd w:id="100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pStyle w:val="7"/>
        <w:spacing w:before="0" w:beforeAutospacing="0" w:after="0" w:afterAutospacing="0" w:line="360" w:lineRule="auto"/>
        <w:ind w:firstLine="421" w:firstLineChars="200"/>
        <w:rPr>
          <w:sz w:val="21"/>
          <w:szCs w:val="21"/>
        </w:rPr>
      </w:pPr>
      <w:bookmarkStart w:id="1002" w:name="_Toc532377216"/>
      <w:bookmarkStart w:id="1003" w:name="_Toc351203530"/>
      <w:r>
        <w:rPr>
          <w:rFonts w:hint="eastAsia"/>
          <w:sz w:val="21"/>
          <w:szCs w:val="21"/>
        </w:rPr>
        <w:t>4</w:t>
      </w:r>
      <w:bookmarkStart w:id="1004" w:name="_Toc296346556"/>
      <w:bookmarkStart w:id="1005" w:name="_Toc296503055"/>
      <w:bookmarkStart w:id="1006" w:name="_Toc337558756"/>
      <w:r>
        <w:rPr>
          <w:rFonts w:hint="eastAsia"/>
          <w:sz w:val="21"/>
          <w:szCs w:val="21"/>
        </w:rPr>
        <w:t>.3</w:t>
      </w:r>
      <w:bookmarkEnd w:id="1004"/>
      <w:bookmarkEnd w:id="1005"/>
      <w:r>
        <w:rPr>
          <w:rFonts w:hint="eastAsia"/>
          <w:sz w:val="21"/>
          <w:szCs w:val="21"/>
        </w:rPr>
        <w:t>监理人的指</w:t>
      </w:r>
      <w:bookmarkEnd w:id="1006"/>
      <w:r>
        <w:rPr>
          <w:rFonts w:hint="eastAsia"/>
          <w:sz w:val="21"/>
          <w:szCs w:val="21"/>
        </w:rPr>
        <w:t>示</w:t>
      </w:r>
      <w:bookmarkEnd w:id="1002"/>
      <w:bookmarkEnd w:id="100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按照发包人的授权发出监理指示。监理人的指示应采用书面形式，并经其授权的监理人员签名。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承包人对监理人发出的指示有疑问的，应向监理人提出书面异议，监理人应在48小时内对该指示予以确认、更改或撤销，监理人逾期未回复的，承包人有权拒绝执行上述指示。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监理人对承包人的任何工作、工程或其采用的材料和工程设备未在约定的或合理期限内提出意见的，视为批准，但不免除或减轻承包人对该工作、工程、材料、工程设备等应承担的责任和义务。</w:t>
      </w:r>
    </w:p>
    <w:p>
      <w:pPr>
        <w:pStyle w:val="7"/>
        <w:spacing w:before="0" w:beforeAutospacing="0" w:after="0" w:afterAutospacing="0" w:line="360" w:lineRule="auto"/>
        <w:ind w:firstLine="421" w:firstLineChars="200"/>
        <w:rPr>
          <w:sz w:val="21"/>
          <w:szCs w:val="21"/>
        </w:rPr>
      </w:pPr>
      <w:bookmarkStart w:id="1007" w:name="_Toc351203531"/>
      <w:bookmarkStart w:id="1008" w:name="_Toc532377217"/>
      <w:r>
        <w:rPr>
          <w:rFonts w:hint="eastAsia"/>
          <w:sz w:val="21"/>
          <w:szCs w:val="21"/>
        </w:rPr>
        <w:t>4</w:t>
      </w:r>
      <w:bookmarkStart w:id="1009" w:name="_Toc337558757"/>
      <w:bookmarkStart w:id="1010" w:name="_Toc296503057"/>
      <w:bookmarkStart w:id="1011" w:name="_Toc296346558"/>
      <w:r>
        <w:rPr>
          <w:rFonts w:hint="eastAsia"/>
          <w:sz w:val="21"/>
          <w:szCs w:val="21"/>
        </w:rPr>
        <w:t>.4 商定或确定</w:t>
      </w:r>
      <w:bookmarkEnd w:id="1007"/>
      <w:bookmarkEnd w:id="1008"/>
    </w:p>
    <w:bookmarkEnd w:id="1009"/>
    <w:bookmarkEnd w:id="1010"/>
    <w:bookmarkEnd w:id="101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合同当事人进行商定或确定时，总监理工程师应当会同合同当事人尽量通过协商达成一致，不能达成一致的，由总监理工程师按照合同约定审慎做出公正的确定。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pPr>
        <w:pStyle w:val="6"/>
        <w:keepNext/>
        <w:keepLines/>
        <w:spacing w:before="156" w:beforeLines="50" w:beforeAutospacing="0" w:after="156" w:afterLines="50" w:afterAutospacing="0" w:line="360" w:lineRule="auto"/>
        <w:jc w:val="both"/>
        <w:rPr>
          <w:bCs w:val="0"/>
          <w:kern w:val="2"/>
          <w:sz w:val="21"/>
          <w:szCs w:val="21"/>
        </w:rPr>
      </w:pPr>
      <w:bookmarkStart w:id="1012" w:name="_Toc351203532"/>
      <w:bookmarkStart w:id="1013" w:name="_Toc532377218"/>
      <w:bookmarkStart w:id="1014" w:name="_Toc532375591"/>
      <w:r>
        <w:rPr>
          <w:rFonts w:hint="eastAsia"/>
          <w:kern w:val="2"/>
          <w:sz w:val="21"/>
          <w:szCs w:val="21"/>
        </w:rPr>
        <w:t>5</w:t>
      </w:r>
      <w:bookmarkStart w:id="1015" w:name="_Toc337558758"/>
      <w:r>
        <w:rPr>
          <w:rFonts w:hint="eastAsia"/>
          <w:kern w:val="2"/>
          <w:sz w:val="21"/>
          <w:szCs w:val="21"/>
        </w:rPr>
        <w:t>. 工程质量</w:t>
      </w:r>
      <w:bookmarkEnd w:id="1012"/>
      <w:bookmarkEnd w:id="1013"/>
      <w:bookmarkEnd w:id="1014"/>
    </w:p>
    <w:bookmarkEnd w:id="1015"/>
    <w:p>
      <w:pPr>
        <w:pStyle w:val="7"/>
        <w:spacing w:before="0" w:beforeAutospacing="0" w:after="0" w:afterAutospacing="0" w:line="360" w:lineRule="auto"/>
        <w:ind w:firstLine="421" w:firstLineChars="200"/>
        <w:rPr>
          <w:sz w:val="21"/>
          <w:szCs w:val="21"/>
        </w:rPr>
      </w:pPr>
      <w:bookmarkStart w:id="1016" w:name="_Toc532377219"/>
      <w:bookmarkStart w:id="1017" w:name="_Toc351203533"/>
      <w:r>
        <w:rPr>
          <w:rFonts w:hint="eastAsia"/>
          <w:sz w:val="21"/>
          <w:szCs w:val="21"/>
        </w:rPr>
        <w:t>5</w:t>
      </w:r>
      <w:bookmarkStart w:id="1018" w:name="_Toc337558759"/>
      <w:r>
        <w:rPr>
          <w:rFonts w:hint="eastAsia"/>
          <w:sz w:val="21"/>
          <w:szCs w:val="21"/>
        </w:rPr>
        <w:t>.1质量要求</w:t>
      </w:r>
      <w:bookmarkEnd w:id="1016"/>
      <w:bookmarkEnd w:id="1017"/>
    </w:p>
    <w:bookmarkEnd w:id="101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5.1.1 工程质量标准必须符合现行国家有关工程施工质量验收规范和标准的要求。有关工程质量的特殊标准或要求由合同当事人在专用合同条款中约定。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5.1.2 因发包人原因造成工程质量未达到合同约定标准的，由发包人承担由此增加的费用和（或）延误的工期，并支付承包人合理的利润。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5.1.3 因承包人原因造成工程质量未达到合同约定标准的，发包人有权要求承包人返工直至工程质量达到合同约定的标准为止，并由承包人承担由此增加的费用和（或）延误的工期。</w:t>
      </w:r>
    </w:p>
    <w:p>
      <w:pPr>
        <w:pStyle w:val="7"/>
        <w:spacing w:before="0" w:beforeAutospacing="0" w:after="0" w:afterAutospacing="0" w:line="360" w:lineRule="auto"/>
        <w:ind w:firstLine="421" w:firstLineChars="200"/>
        <w:rPr>
          <w:sz w:val="21"/>
          <w:szCs w:val="21"/>
        </w:rPr>
      </w:pPr>
      <w:bookmarkStart w:id="1019" w:name="_Toc351203534"/>
      <w:bookmarkStart w:id="1020" w:name="_Toc532377220"/>
      <w:r>
        <w:rPr>
          <w:rFonts w:hint="eastAsia"/>
          <w:sz w:val="21"/>
          <w:szCs w:val="21"/>
        </w:rPr>
        <w:t>5</w:t>
      </w:r>
      <w:bookmarkStart w:id="1021" w:name="_Toc337558760"/>
      <w:r>
        <w:rPr>
          <w:rFonts w:hint="eastAsia"/>
          <w:sz w:val="21"/>
          <w:szCs w:val="21"/>
        </w:rPr>
        <w:t>.2质量保证措施</w:t>
      </w:r>
      <w:bookmarkEnd w:id="1019"/>
      <w:bookmarkEnd w:id="1020"/>
    </w:p>
    <w:bookmarkEnd w:id="102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5.2.1 发包人的质量管理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发包人应按照法律规定及合同约定完成与工程质量有关的各项工作。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5.2.2 承包人的质量管理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承包人应对施工人员进行质量教育和技术培训，定期考核施工人员的劳动技能，严格执行施工规范和操作规程。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5.2.3 监理人的质量检查和检验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Style w:val="7"/>
        <w:spacing w:before="0" w:beforeAutospacing="0" w:after="0" w:afterAutospacing="0" w:line="360" w:lineRule="auto"/>
        <w:ind w:firstLine="421" w:firstLineChars="200"/>
        <w:rPr>
          <w:sz w:val="21"/>
          <w:szCs w:val="21"/>
        </w:rPr>
      </w:pPr>
      <w:bookmarkStart w:id="1022" w:name="_Toc532377221"/>
      <w:bookmarkStart w:id="1023" w:name="_Toc351203535"/>
      <w:r>
        <w:rPr>
          <w:rFonts w:hint="eastAsia"/>
          <w:sz w:val="21"/>
          <w:szCs w:val="21"/>
        </w:rPr>
        <w:t>5</w:t>
      </w:r>
      <w:bookmarkStart w:id="1024" w:name="_Toc337558761"/>
      <w:r>
        <w:rPr>
          <w:rFonts w:hint="eastAsia"/>
          <w:sz w:val="21"/>
          <w:szCs w:val="21"/>
        </w:rPr>
        <w:t>.3 隐蔽工程检查</w:t>
      </w:r>
      <w:bookmarkEnd w:id="1022"/>
      <w:bookmarkEnd w:id="1023"/>
    </w:p>
    <w:bookmarkEnd w:id="1024"/>
    <w:p>
      <w:pPr>
        <w:spacing w:line="360" w:lineRule="auto"/>
        <w:ind w:firstLine="420" w:firstLineChars="200"/>
        <w:jc w:val="left"/>
        <w:rPr>
          <w:rFonts w:ascii="宋体" w:hAnsi="宋体"/>
          <w:kern w:val="0"/>
          <w:szCs w:val="21"/>
        </w:rPr>
      </w:pPr>
      <w:r>
        <w:rPr>
          <w:rFonts w:hint="eastAsia" w:ascii="宋体" w:hAnsi="宋体"/>
          <w:kern w:val="0"/>
          <w:szCs w:val="21"/>
        </w:rPr>
        <w:t>5.3.1承包人自检</w:t>
      </w:r>
    </w:p>
    <w:p>
      <w:pPr>
        <w:spacing w:line="360" w:lineRule="auto"/>
        <w:ind w:firstLine="420" w:firstLineChars="200"/>
        <w:jc w:val="left"/>
        <w:rPr>
          <w:rFonts w:ascii="宋体" w:hAnsi="宋体"/>
          <w:kern w:val="0"/>
          <w:szCs w:val="21"/>
        </w:rPr>
      </w:pPr>
      <w:r>
        <w:rPr>
          <w:rFonts w:hint="eastAsia" w:ascii="宋体" w:hAnsi="宋体"/>
          <w:kern w:val="0"/>
          <w:szCs w:val="21"/>
        </w:rPr>
        <w:t>承包人应当对工程隐蔽部位进行自检，并经自检确认是否具备覆盖条件。</w:t>
      </w:r>
    </w:p>
    <w:p>
      <w:pPr>
        <w:spacing w:line="360" w:lineRule="auto"/>
        <w:ind w:firstLine="420" w:firstLineChars="200"/>
        <w:jc w:val="left"/>
        <w:rPr>
          <w:rFonts w:ascii="宋体" w:hAnsi="宋体"/>
          <w:kern w:val="0"/>
          <w:szCs w:val="21"/>
        </w:rPr>
      </w:pPr>
      <w:r>
        <w:rPr>
          <w:rFonts w:hint="eastAsia" w:ascii="宋体" w:hAnsi="宋体"/>
          <w:kern w:val="0"/>
          <w:szCs w:val="21"/>
        </w:rPr>
        <w:t>5.3.2检查程序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pPr>
        <w:spacing w:line="360" w:lineRule="auto"/>
        <w:ind w:firstLine="420" w:firstLineChars="200"/>
        <w:jc w:val="left"/>
        <w:rPr>
          <w:rFonts w:ascii="宋体" w:hAnsi="宋体"/>
          <w:kern w:val="0"/>
          <w:szCs w:val="21"/>
        </w:rPr>
      </w:pPr>
      <w:r>
        <w:rPr>
          <w:rFonts w:hint="eastAsia" w:ascii="宋体" w:hAnsi="宋体"/>
          <w:kern w:val="0"/>
          <w:szCs w:val="21"/>
        </w:rPr>
        <w:t>监理人应按时到场并对隐蔽工程及其施工工艺、材料和工程设备进行检查。经监理人检查确认质量符合隐蔽要求，并在验收记录上签名后，承包人才能进行覆盖。经监理人检查质量不合格的，承包人应在监理人指示的时间内完成修复，并由监理人重新检查，由此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名确认。监理人事后对检查记录有疑问的，可按第5.3.3项〔重新检查〕的约定重新检查。</w:t>
      </w:r>
    </w:p>
    <w:p>
      <w:pPr>
        <w:spacing w:line="360" w:lineRule="auto"/>
        <w:ind w:firstLine="420" w:firstLineChars="200"/>
        <w:jc w:val="left"/>
        <w:rPr>
          <w:rFonts w:ascii="宋体" w:hAnsi="宋体"/>
          <w:kern w:val="0"/>
          <w:szCs w:val="21"/>
        </w:rPr>
      </w:pPr>
      <w:r>
        <w:rPr>
          <w:rFonts w:hint="eastAsia" w:ascii="宋体" w:hAnsi="宋体"/>
          <w:kern w:val="0"/>
          <w:szCs w:val="21"/>
        </w:rPr>
        <w:t>5.3.3 重新检查</w:t>
      </w:r>
    </w:p>
    <w:p>
      <w:pPr>
        <w:spacing w:line="360" w:lineRule="auto"/>
        <w:ind w:firstLine="420" w:firstLineChars="200"/>
        <w:jc w:val="left"/>
        <w:rPr>
          <w:rFonts w:ascii="宋体" w:hAnsi="宋体"/>
          <w:kern w:val="0"/>
          <w:szCs w:val="21"/>
        </w:rPr>
      </w:pPr>
      <w:r>
        <w:rPr>
          <w:rFonts w:hint="eastAsia" w:ascii="宋体" w:hAnsi="宋体"/>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5.3.4 承包人私自覆盖</w:t>
      </w:r>
    </w:p>
    <w:p>
      <w:pPr>
        <w:spacing w:line="360" w:lineRule="auto"/>
        <w:ind w:firstLine="420" w:firstLineChars="200"/>
        <w:jc w:val="left"/>
        <w:rPr>
          <w:rFonts w:ascii="宋体" w:hAnsi="宋体"/>
          <w:kern w:val="0"/>
          <w:szCs w:val="21"/>
        </w:rPr>
      </w:pPr>
      <w:r>
        <w:rPr>
          <w:rFonts w:hint="eastAsia" w:ascii="宋体" w:hAnsi="宋体"/>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pPr>
        <w:pStyle w:val="7"/>
        <w:spacing w:before="0" w:beforeAutospacing="0" w:after="0" w:afterAutospacing="0" w:line="360" w:lineRule="auto"/>
        <w:ind w:firstLine="421" w:firstLineChars="200"/>
        <w:rPr>
          <w:sz w:val="21"/>
          <w:szCs w:val="21"/>
        </w:rPr>
      </w:pPr>
      <w:bookmarkStart w:id="1025" w:name="_Toc532377222"/>
      <w:r>
        <w:rPr>
          <w:rFonts w:hint="eastAsia"/>
          <w:sz w:val="21"/>
          <w:szCs w:val="21"/>
        </w:rPr>
        <w:t>5.4不合格工程的处理</w:t>
      </w:r>
      <w:bookmarkEnd w:id="1025"/>
    </w:p>
    <w:p>
      <w:pPr>
        <w:spacing w:line="360" w:lineRule="auto"/>
        <w:ind w:firstLine="420" w:firstLineChars="200"/>
        <w:jc w:val="left"/>
        <w:rPr>
          <w:rFonts w:ascii="宋体" w:hAnsi="宋体"/>
          <w:kern w:val="0"/>
          <w:szCs w:val="21"/>
        </w:rPr>
      </w:pPr>
      <w:r>
        <w:rPr>
          <w:rFonts w:hint="eastAsia" w:ascii="宋体" w:hAnsi="宋体"/>
          <w:kern w:val="0"/>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pPr>
        <w:spacing w:line="360" w:lineRule="auto"/>
        <w:ind w:firstLine="420" w:firstLineChars="200"/>
        <w:jc w:val="left"/>
        <w:rPr>
          <w:rFonts w:ascii="宋体" w:hAnsi="宋体"/>
          <w:kern w:val="0"/>
          <w:szCs w:val="21"/>
        </w:rPr>
      </w:pPr>
      <w:r>
        <w:rPr>
          <w:rFonts w:hint="eastAsia" w:ascii="宋体" w:hAnsi="宋体"/>
          <w:kern w:val="0"/>
          <w:szCs w:val="21"/>
        </w:rPr>
        <w:t>5.4.2 因发包人原因造成工程不合格的，由此增加的费用和（或）延误的工期由发包人承担，并支付承包人合理的利润。</w:t>
      </w:r>
    </w:p>
    <w:p>
      <w:pPr>
        <w:pStyle w:val="7"/>
        <w:spacing w:before="0" w:beforeAutospacing="0" w:after="0" w:afterAutospacing="0" w:line="360" w:lineRule="auto"/>
        <w:ind w:firstLine="421" w:firstLineChars="200"/>
        <w:rPr>
          <w:sz w:val="21"/>
          <w:szCs w:val="21"/>
        </w:rPr>
      </w:pPr>
      <w:bookmarkStart w:id="1026" w:name="_Toc351203537"/>
      <w:bookmarkStart w:id="1027" w:name="_Toc532377223"/>
      <w:r>
        <w:rPr>
          <w:rFonts w:hint="eastAsia"/>
          <w:sz w:val="21"/>
          <w:szCs w:val="21"/>
        </w:rPr>
        <w:t>5.5 质量争议检测</w:t>
      </w:r>
      <w:bookmarkEnd w:id="1026"/>
      <w:bookmarkEnd w:id="102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合同当事人对工程质量有争议的，由双方协商确定的工程质量检测机构鉴定，由此产生的费用及因此造成的损失，由责任方承担。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合同当事人均有责任的，由双方根据其责任分别承担。合同当事人无法达成一致的，按照第4.4款〔商定或确定〕执行。</w:t>
      </w:r>
    </w:p>
    <w:p>
      <w:pPr>
        <w:pStyle w:val="6"/>
        <w:keepNext/>
        <w:keepLines/>
        <w:spacing w:before="156" w:beforeLines="50" w:beforeAutospacing="0" w:after="156" w:afterLines="50" w:afterAutospacing="0" w:line="360" w:lineRule="auto"/>
        <w:jc w:val="both"/>
        <w:rPr>
          <w:bCs w:val="0"/>
          <w:kern w:val="2"/>
          <w:sz w:val="21"/>
          <w:szCs w:val="21"/>
        </w:rPr>
      </w:pPr>
      <w:bookmarkStart w:id="1028" w:name="_Toc532377224"/>
      <w:bookmarkStart w:id="1029" w:name="_Toc351203538"/>
      <w:bookmarkStart w:id="1030" w:name="_Toc532375592"/>
      <w:r>
        <w:rPr>
          <w:rFonts w:hint="eastAsia"/>
          <w:kern w:val="2"/>
          <w:sz w:val="21"/>
          <w:szCs w:val="21"/>
        </w:rPr>
        <w:t>6</w:t>
      </w:r>
      <w:bookmarkStart w:id="1031" w:name="_Toc337558763"/>
      <w:r>
        <w:rPr>
          <w:rFonts w:hint="eastAsia"/>
          <w:kern w:val="2"/>
          <w:sz w:val="21"/>
          <w:szCs w:val="21"/>
        </w:rPr>
        <w:t>. 安全文明施工与环境保护</w:t>
      </w:r>
      <w:bookmarkEnd w:id="1028"/>
      <w:bookmarkEnd w:id="1029"/>
      <w:bookmarkEnd w:id="1030"/>
    </w:p>
    <w:bookmarkEnd w:id="1031"/>
    <w:p>
      <w:pPr>
        <w:pStyle w:val="7"/>
        <w:spacing w:before="0" w:beforeAutospacing="0" w:after="0" w:afterAutospacing="0" w:line="360" w:lineRule="auto"/>
        <w:ind w:firstLine="421" w:firstLineChars="200"/>
        <w:rPr>
          <w:sz w:val="21"/>
          <w:szCs w:val="21"/>
        </w:rPr>
      </w:pPr>
      <w:bookmarkStart w:id="1032" w:name="_Toc532377225"/>
      <w:bookmarkStart w:id="1033" w:name="_Toc351203539"/>
      <w:r>
        <w:rPr>
          <w:rFonts w:hint="eastAsia"/>
          <w:sz w:val="21"/>
          <w:szCs w:val="21"/>
        </w:rPr>
        <w:t>6</w:t>
      </w:r>
      <w:bookmarkStart w:id="1034" w:name="_Toc337558764"/>
      <w:r>
        <w:rPr>
          <w:rFonts w:hint="eastAsia"/>
          <w:sz w:val="21"/>
          <w:szCs w:val="21"/>
        </w:rPr>
        <w:t>.1安全文明施工</w:t>
      </w:r>
      <w:bookmarkEnd w:id="1032"/>
      <w:bookmarkEnd w:id="1033"/>
    </w:p>
    <w:bookmarkEnd w:id="1034"/>
    <w:p>
      <w:pPr>
        <w:spacing w:line="360" w:lineRule="auto"/>
        <w:ind w:firstLine="420" w:firstLineChars="200"/>
        <w:jc w:val="left"/>
        <w:rPr>
          <w:rFonts w:ascii="宋体" w:hAnsi="宋体"/>
          <w:kern w:val="0"/>
          <w:szCs w:val="21"/>
        </w:rPr>
      </w:pPr>
      <w:r>
        <w:rPr>
          <w:rFonts w:hint="eastAsia" w:ascii="宋体" w:hAnsi="宋体"/>
          <w:kern w:val="0"/>
          <w:szCs w:val="21"/>
        </w:rPr>
        <w:t>6.1.1安全生产要求</w:t>
      </w:r>
    </w:p>
    <w:p>
      <w:pPr>
        <w:spacing w:line="360" w:lineRule="auto"/>
        <w:ind w:firstLine="420" w:firstLineChars="200"/>
        <w:jc w:val="left"/>
        <w:rPr>
          <w:rFonts w:ascii="宋体" w:hAnsi="宋体"/>
          <w:kern w:val="0"/>
          <w:szCs w:val="21"/>
        </w:rPr>
      </w:pPr>
      <w:r>
        <w:rPr>
          <w:rFonts w:hint="eastAsia" w:ascii="宋体" w:hAnsi="宋体"/>
          <w:kern w:val="0"/>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360" w:lineRule="auto"/>
        <w:ind w:firstLine="420" w:firstLineChars="200"/>
        <w:jc w:val="left"/>
        <w:rPr>
          <w:rFonts w:ascii="宋体" w:hAnsi="宋体"/>
          <w:kern w:val="0"/>
          <w:szCs w:val="21"/>
        </w:rPr>
      </w:pPr>
      <w:r>
        <w:rPr>
          <w:rFonts w:hint="eastAsia" w:ascii="宋体" w:hAnsi="宋体"/>
          <w:kern w:val="0"/>
          <w:szCs w:val="21"/>
        </w:rPr>
        <w:t>在施工过程中，如遇到突发的地质变动、事先未知的地下施工障碍等影响施工安全的紧急情况，承包人应及时报告监理人和发包人，发包人应当及时下令停工并报政府有关行政管理部门采取应急措施。</w:t>
      </w:r>
    </w:p>
    <w:p>
      <w:pPr>
        <w:spacing w:line="360" w:lineRule="auto"/>
        <w:ind w:firstLine="420" w:firstLineChars="200"/>
        <w:jc w:val="left"/>
        <w:rPr>
          <w:rFonts w:ascii="宋体" w:hAnsi="宋体"/>
          <w:kern w:val="0"/>
          <w:szCs w:val="21"/>
        </w:rPr>
      </w:pPr>
      <w:r>
        <w:rPr>
          <w:rFonts w:hint="eastAsia" w:ascii="宋体" w:hAnsi="宋体"/>
          <w:kern w:val="0"/>
          <w:szCs w:val="21"/>
        </w:rPr>
        <w:t>因安全生产需要暂停施工的，按照第7.8款〔暂停施工〕的约定执行。</w:t>
      </w:r>
    </w:p>
    <w:p>
      <w:pPr>
        <w:spacing w:line="360" w:lineRule="auto"/>
        <w:ind w:firstLine="420" w:firstLineChars="200"/>
        <w:jc w:val="left"/>
        <w:rPr>
          <w:rFonts w:ascii="宋体" w:hAnsi="宋体"/>
          <w:kern w:val="0"/>
          <w:szCs w:val="21"/>
        </w:rPr>
      </w:pPr>
      <w:r>
        <w:rPr>
          <w:rFonts w:hint="eastAsia" w:ascii="宋体" w:hAnsi="宋体"/>
          <w:kern w:val="0"/>
          <w:szCs w:val="21"/>
        </w:rPr>
        <w:t>6.1.2 安全生产保证措施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pPr>
        <w:spacing w:line="360" w:lineRule="auto"/>
        <w:ind w:firstLine="420" w:firstLineChars="200"/>
        <w:jc w:val="left"/>
        <w:rPr>
          <w:rFonts w:ascii="宋体" w:hAnsi="宋体"/>
          <w:kern w:val="0"/>
          <w:szCs w:val="21"/>
        </w:rPr>
      </w:pPr>
      <w:r>
        <w:rPr>
          <w:rFonts w:hint="eastAsia" w:ascii="宋体" w:hAnsi="宋体"/>
          <w:kern w:val="0"/>
          <w:szCs w:val="21"/>
        </w:rPr>
        <w:t>6.1.3特别安全生产事项</w:t>
      </w:r>
    </w:p>
    <w:p>
      <w:pPr>
        <w:spacing w:line="360" w:lineRule="auto"/>
        <w:ind w:firstLine="420" w:firstLineChars="200"/>
        <w:jc w:val="left"/>
        <w:rPr>
          <w:rFonts w:ascii="宋体" w:hAnsi="宋体"/>
          <w:kern w:val="0"/>
          <w:szCs w:val="21"/>
        </w:rPr>
      </w:pPr>
      <w:r>
        <w:rPr>
          <w:rFonts w:hint="eastAsia" w:ascii="宋体" w:hAnsi="宋体"/>
          <w:kern w:val="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360" w:lineRule="auto"/>
        <w:ind w:firstLine="420" w:firstLineChars="200"/>
        <w:jc w:val="left"/>
        <w:rPr>
          <w:rFonts w:ascii="宋体" w:hAnsi="宋体"/>
          <w:kern w:val="0"/>
          <w:szCs w:val="21"/>
        </w:rPr>
      </w:pPr>
      <w:r>
        <w:rPr>
          <w:rFonts w:hint="eastAsia" w:ascii="宋体" w:hAnsi="宋体"/>
          <w:kern w:val="0"/>
          <w:szCs w:val="21"/>
        </w:rPr>
        <w:t xml:space="preserve">承包人在动力设备、输电线路、地下管道、密封防震车间、易燃易爆地段以及临街交通要道附近施工时，施工开始前应向发包人和监理人提出安全防护措施，经发包人认可后实施。 </w:t>
      </w:r>
    </w:p>
    <w:p>
      <w:pPr>
        <w:spacing w:line="360" w:lineRule="auto"/>
        <w:ind w:firstLine="420" w:firstLineChars="200"/>
        <w:jc w:val="left"/>
        <w:rPr>
          <w:rFonts w:ascii="宋体" w:hAnsi="宋体"/>
          <w:kern w:val="0"/>
          <w:szCs w:val="21"/>
        </w:rPr>
      </w:pPr>
      <w:r>
        <w:rPr>
          <w:rFonts w:hint="eastAsia" w:ascii="宋体" w:hAnsi="宋体"/>
          <w:kern w:val="0"/>
          <w:szCs w:val="21"/>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360" w:lineRule="auto"/>
        <w:ind w:firstLine="420" w:firstLineChars="200"/>
        <w:jc w:val="left"/>
        <w:rPr>
          <w:rFonts w:ascii="宋体" w:hAnsi="宋体"/>
          <w:kern w:val="0"/>
          <w:szCs w:val="21"/>
        </w:rPr>
      </w:pPr>
      <w:r>
        <w:rPr>
          <w:rFonts w:hint="eastAsia" w:ascii="宋体" w:hAnsi="宋体"/>
          <w:kern w:val="0"/>
          <w:szCs w:val="21"/>
        </w:rPr>
        <w:t>需单独编制危险性较大分部分项专项工程施工方案的，及要求进行专家论证的超过一定规模的危险性较大的分部分项工程，承包人应及时编制和组织论证。</w:t>
      </w:r>
    </w:p>
    <w:p>
      <w:pPr>
        <w:spacing w:line="360" w:lineRule="auto"/>
        <w:ind w:firstLine="420" w:firstLineChars="200"/>
        <w:jc w:val="left"/>
        <w:rPr>
          <w:rFonts w:ascii="宋体" w:hAnsi="宋体"/>
          <w:kern w:val="0"/>
          <w:szCs w:val="21"/>
        </w:rPr>
      </w:pPr>
      <w:r>
        <w:rPr>
          <w:rFonts w:hint="eastAsia" w:ascii="宋体" w:hAnsi="宋体"/>
          <w:kern w:val="0"/>
          <w:szCs w:val="21"/>
        </w:rPr>
        <w:t>6.1.4 治安保卫</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除专用合同条款另有约定外，发包人应与当地公安部门协商，在现场建立治安管理机构或联防组织，统一管理施工场地的治安保卫事项，履行合同工程的治安保卫职责。</w:t>
      </w:r>
    </w:p>
    <w:p>
      <w:pPr>
        <w:spacing w:line="360" w:lineRule="auto"/>
        <w:ind w:firstLine="420" w:firstLineChars="200"/>
        <w:jc w:val="left"/>
        <w:rPr>
          <w:rFonts w:ascii="宋体" w:hAnsi="宋体"/>
          <w:kern w:val="0"/>
          <w:szCs w:val="21"/>
        </w:rPr>
      </w:pPr>
      <w:r>
        <w:rPr>
          <w:rFonts w:hint="eastAsia" w:ascii="宋体" w:hAnsi="宋体"/>
          <w:kern w:val="0"/>
          <w:szCs w:val="21"/>
        </w:rPr>
        <w:t>发包人和承包人除应协助现场治安管理机构或联防组织维护施工场地的社会治安外，还应做好包括生活区在内的各自管辖区的治安保卫工作。</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spacing w:line="360" w:lineRule="auto"/>
        <w:ind w:firstLine="420" w:firstLineChars="200"/>
        <w:jc w:val="left"/>
        <w:rPr>
          <w:rFonts w:ascii="宋体" w:hAnsi="宋体"/>
          <w:kern w:val="0"/>
          <w:szCs w:val="21"/>
        </w:rPr>
      </w:pPr>
      <w:r>
        <w:rPr>
          <w:rFonts w:hint="eastAsia" w:ascii="宋体" w:hAnsi="宋体"/>
          <w:kern w:val="0"/>
          <w:szCs w:val="21"/>
        </w:rPr>
        <w:t>6.1.5 文明施工</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360" w:lineRule="auto"/>
        <w:ind w:firstLine="420" w:firstLineChars="200"/>
        <w:jc w:val="left"/>
        <w:rPr>
          <w:rFonts w:ascii="宋体" w:hAnsi="宋体"/>
          <w:kern w:val="0"/>
          <w:szCs w:val="21"/>
        </w:rPr>
      </w:pPr>
      <w:r>
        <w:rPr>
          <w:rFonts w:hint="eastAsia" w:ascii="宋体" w:hAnsi="宋体"/>
          <w:kern w:val="0"/>
          <w:szCs w:val="21"/>
        </w:rPr>
        <w:t>6.1.6 安全文明施工费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安全文明施工费由发包人承担，发包人不得以任何形式扣减该部分费用。因基准日期后合同所适用的法律或政府有关规定发生变化，增加的安全文明施工费由发包人承担。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6.1.7 紧急情况处理</w:t>
      </w:r>
    </w:p>
    <w:p>
      <w:pPr>
        <w:spacing w:line="360" w:lineRule="auto"/>
        <w:ind w:firstLine="420" w:firstLineChars="200"/>
        <w:jc w:val="left"/>
        <w:rPr>
          <w:rFonts w:ascii="宋体" w:hAnsi="宋体"/>
          <w:kern w:val="0"/>
          <w:szCs w:val="21"/>
        </w:rPr>
      </w:pPr>
      <w:r>
        <w:rPr>
          <w:rFonts w:hint="eastAsia" w:ascii="宋体" w:hAnsi="宋体"/>
          <w:kern w:val="0"/>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6.1.8 事故处理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 安全生产责任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6.1.9.1 发包人的安全责任</w:t>
      </w:r>
    </w:p>
    <w:p>
      <w:pPr>
        <w:spacing w:line="360" w:lineRule="auto"/>
        <w:ind w:firstLine="420" w:firstLineChars="200"/>
        <w:jc w:val="left"/>
        <w:rPr>
          <w:rFonts w:ascii="宋体" w:hAnsi="宋体"/>
          <w:kern w:val="0"/>
          <w:szCs w:val="21"/>
        </w:rPr>
      </w:pPr>
      <w:r>
        <w:rPr>
          <w:rFonts w:hint="eastAsia" w:ascii="宋体" w:hAnsi="宋体"/>
          <w:kern w:val="0"/>
          <w:szCs w:val="21"/>
        </w:rPr>
        <w:t>发包人应负责赔偿以下各种情况造成的损失：</w:t>
      </w:r>
    </w:p>
    <w:p>
      <w:pPr>
        <w:spacing w:line="360" w:lineRule="auto"/>
        <w:ind w:firstLine="420" w:firstLineChars="200"/>
        <w:jc w:val="left"/>
        <w:rPr>
          <w:rFonts w:ascii="宋体" w:hAnsi="宋体"/>
          <w:kern w:val="0"/>
          <w:szCs w:val="21"/>
        </w:rPr>
      </w:pPr>
      <w:r>
        <w:rPr>
          <w:rFonts w:hint="eastAsia" w:ascii="宋体" w:hAnsi="宋体"/>
          <w:kern w:val="0"/>
          <w:szCs w:val="21"/>
        </w:rPr>
        <w:t>（1）工程或工程的任何部分对土地的占用所造成的第三者财产损失；</w:t>
      </w:r>
    </w:p>
    <w:p>
      <w:pPr>
        <w:spacing w:line="360" w:lineRule="auto"/>
        <w:ind w:firstLine="420" w:firstLineChars="200"/>
        <w:jc w:val="left"/>
        <w:rPr>
          <w:rFonts w:ascii="宋体" w:hAnsi="宋体"/>
          <w:kern w:val="0"/>
          <w:szCs w:val="21"/>
        </w:rPr>
      </w:pPr>
      <w:r>
        <w:rPr>
          <w:rFonts w:hint="eastAsia" w:ascii="宋体" w:hAnsi="宋体"/>
          <w:kern w:val="0"/>
          <w:szCs w:val="21"/>
        </w:rPr>
        <w:t>（2）由于发包人原因在施工场地及其毗邻地带造成的第三者人身伤亡和财产损失；</w:t>
      </w:r>
    </w:p>
    <w:p>
      <w:pPr>
        <w:spacing w:line="360" w:lineRule="auto"/>
        <w:ind w:firstLine="420" w:firstLineChars="200"/>
        <w:jc w:val="left"/>
        <w:rPr>
          <w:rFonts w:ascii="宋体" w:hAnsi="宋体"/>
          <w:kern w:val="0"/>
          <w:szCs w:val="21"/>
        </w:rPr>
      </w:pPr>
      <w:r>
        <w:rPr>
          <w:rFonts w:hint="eastAsia" w:ascii="宋体" w:hAnsi="宋体"/>
          <w:kern w:val="0"/>
          <w:szCs w:val="21"/>
        </w:rPr>
        <w:t>（3）由于发包人原因对承包人、监理人造成的人员人身伤亡和财产损失；</w:t>
      </w:r>
    </w:p>
    <w:p>
      <w:pPr>
        <w:spacing w:line="360" w:lineRule="auto"/>
        <w:ind w:firstLine="420" w:firstLineChars="200"/>
        <w:jc w:val="left"/>
        <w:rPr>
          <w:rFonts w:ascii="宋体" w:hAnsi="宋体"/>
          <w:kern w:val="0"/>
          <w:szCs w:val="21"/>
        </w:rPr>
      </w:pPr>
      <w:r>
        <w:rPr>
          <w:rFonts w:hint="eastAsia" w:ascii="宋体" w:hAnsi="宋体"/>
          <w:kern w:val="0"/>
          <w:szCs w:val="21"/>
        </w:rPr>
        <w:t>（4）由于发包人原因造成的发包人自身人员的人身伤害以及财产损失。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6.1.9.2 承包人的安全责任</w:t>
      </w:r>
    </w:p>
    <w:p>
      <w:pPr>
        <w:spacing w:line="360" w:lineRule="auto"/>
        <w:ind w:firstLine="420" w:firstLineChars="200"/>
        <w:jc w:val="left"/>
        <w:rPr>
          <w:rFonts w:ascii="宋体" w:hAnsi="宋体"/>
          <w:kern w:val="0"/>
          <w:szCs w:val="21"/>
        </w:rPr>
      </w:pPr>
      <w:r>
        <w:rPr>
          <w:rFonts w:hint="eastAsia" w:ascii="宋体" w:hAnsi="宋体"/>
          <w:kern w:val="0"/>
          <w:szCs w:val="21"/>
        </w:rPr>
        <w:t>由于承包人原因在施工场地内及其毗邻地带造成的发包人、监理人以及第三者人员伤亡和财产损失，由承包人负责赔偿。</w:t>
      </w:r>
    </w:p>
    <w:p>
      <w:pPr>
        <w:pStyle w:val="7"/>
        <w:spacing w:before="0" w:beforeAutospacing="0" w:after="0" w:afterAutospacing="0" w:line="360" w:lineRule="auto"/>
        <w:ind w:firstLine="421" w:firstLineChars="200"/>
        <w:rPr>
          <w:sz w:val="21"/>
          <w:szCs w:val="21"/>
        </w:rPr>
      </w:pPr>
      <w:bookmarkStart w:id="1035" w:name="_Toc532377226"/>
      <w:bookmarkStart w:id="1036" w:name="_Toc351203540"/>
      <w:r>
        <w:rPr>
          <w:rFonts w:hint="eastAsia"/>
          <w:sz w:val="21"/>
          <w:szCs w:val="21"/>
        </w:rPr>
        <w:t>6</w:t>
      </w:r>
      <w:bookmarkStart w:id="1037" w:name="_Toc337558765"/>
      <w:r>
        <w:rPr>
          <w:rFonts w:hint="eastAsia"/>
          <w:sz w:val="21"/>
          <w:szCs w:val="21"/>
        </w:rPr>
        <w:t>.2 职业健康</w:t>
      </w:r>
      <w:bookmarkEnd w:id="1035"/>
      <w:bookmarkEnd w:id="1036"/>
    </w:p>
    <w:bookmarkEnd w:id="103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6.2.1 劳动保护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承包人应按法律规定安排工作时间，保证其雇佣人员享有休息和休假的权利。因工程施工的特殊需要占用休假日或延长工作时间的，应不超过法律规定的限度，并按法律规定给予补休或付酬。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6.2.2 生活条件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pStyle w:val="7"/>
        <w:spacing w:before="0" w:beforeAutospacing="0" w:after="0" w:afterAutospacing="0" w:line="360" w:lineRule="auto"/>
        <w:ind w:firstLine="421" w:firstLineChars="200"/>
        <w:rPr>
          <w:sz w:val="21"/>
          <w:szCs w:val="21"/>
        </w:rPr>
      </w:pPr>
      <w:bookmarkStart w:id="1038" w:name="_Toc351203541"/>
      <w:bookmarkStart w:id="1039" w:name="_Toc532377227"/>
      <w:r>
        <w:rPr>
          <w:rFonts w:hint="eastAsia"/>
          <w:sz w:val="21"/>
          <w:szCs w:val="21"/>
        </w:rPr>
        <w:t>6</w:t>
      </w:r>
      <w:bookmarkStart w:id="1040" w:name="_Toc337558766"/>
      <w:r>
        <w:rPr>
          <w:rFonts w:hint="eastAsia"/>
          <w:sz w:val="21"/>
          <w:szCs w:val="21"/>
        </w:rPr>
        <w:t>.3 环境保护</w:t>
      </w:r>
      <w:bookmarkEnd w:id="1038"/>
      <w:bookmarkEnd w:id="1039"/>
    </w:p>
    <w:bookmarkEnd w:id="104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承包人应当承担因其原因引起的环境污染侵权损害赔偿责任，因上述环境污染引起纠纷而导致暂停施工的，由此增加的费用和（或）延误的工期由承包人承担。</w:t>
      </w:r>
    </w:p>
    <w:p>
      <w:pPr>
        <w:pStyle w:val="6"/>
        <w:keepNext/>
        <w:keepLines/>
        <w:spacing w:before="156" w:beforeLines="50" w:beforeAutospacing="0" w:after="156" w:afterLines="50" w:afterAutospacing="0" w:line="360" w:lineRule="auto"/>
        <w:jc w:val="both"/>
        <w:rPr>
          <w:bCs w:val="0"/>
          <w:kern w:val="2"/>
          <w:sz w:val="21"/>
          <w:szCs w:val="21"/>
        </w:rPr>
      </w:pPr>
      <w:bookmarkStart w:id="1041" w:name="_Toc532375593"/>
      <w:bookmarkStart w:id="1042" w:name="_Toc532377228"/>
      <w:bookmarkStart w:id="1043" w:name="_Toc351203542"/>
      <w:r>
        <w:rPr>
          <w:rFonts w:hint="eastAsia"/>
          <w:kern w:val="2"/>
          <w:sz w:val="21"/>
          <w:szCs w:val="21"/>
        </w:rPr>
        <w:t>7</w:t>
      </w:r>
      <w:bookmarkStart w:id="1044" w:name="_Toc337558767"/>
      <w:r>
        <w:rPr>
          <w:rFonts w:hint="eastAsia"/>
          <w:kern w:val="2"/>
          <w:sz w:val="21"/>
          <w:szCs w:val="21"/>
        </w:rPr>
        <w:t>. 工期和进度</w:t>
      </w:r>
      <w:bookmarkEnd w:id="1041"/>
      <w:bookmarkEnd w:id="1042"/>
      <w:bookmarkEnd w:id="1043"/>
    </w:p>
    <w:bookmarkEnd w:id="1044"/>
    <w:p>
      <w:pPr>
        <w:pStyle w:val="7"/>
        <w:spacing w:before="0" w:beforeAutospacing="0" w:after="0" w:afterAutospacing="0" w:line="360" w:lineRule="auto"/>
        <w:ind w:firstLine="421" w:firstLineChars="200"/>
        <w:rPr>
          <w:sz w:val="21"/>
          <w:szCs w:val="21"/>
        </w:rPr>
      </w:pPr>
      <w:bookmarkStart w:id="1045" w:name="_Toc532377229"/>
      <w:bookmarkStart w:id="1046" w:name="_Toc351203543"/>
      <w:r>
        <w:rPr>
          <w:rFonts w:hint="eastAsia"/>
          <w:sz w:val="21"/>
          <w:szCs w:val="21"/>
        </w:rPr>
        <w:t>7</w:t>
      </w:r>
      <w:bookmarkStart w:id="1047" w:name="_Toc337558768"/>
      <w:bookmarkStart w:id="1048" w:name="_Toc296503066"/>
      <w:bookmarkStart w:id="1049" w:name="_Toc296346567"/>
      <w:r>
        <w:rPr>
          <w:rFonts w:hint="eastAsia"/>
          <w:sz w:val="21"/>
          <w:szCs w:val="21"/>
        </w:rPr>
        <w:t>.1施工组织设计</w:t>
      </w:r>
      <w:bookmarkEnd w:id="1045"/>
      <w:bookmarkEnd w:id="1046"/>
    </w:p>
    <w:bookmarkEnd w:id="104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7.1.1 施工组织设计的内容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施工组织设计应包含以下内容：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（1）施工方案；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（2）施工现场平面布置图；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（3）施工进度计划和保证措施；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（4）劳动力及材料供应计划；</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（5）施工机械设备的选用；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（6）质量保证体系及措施；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（7）安全生产、文明施工措施；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（8）环境保护、成本控制措施；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（9）合同当事人约定的其他内容。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7.1.2 施工组织设计的提交和修改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施工进度计划的编制和修改按照第7.2款〔施工进度计划〕执行。</w:t>
      </w:r>
    </w:p>
    <w:p>
      <w:pPr>
        <w:pStyle w:val="7"/>
        <w:spacing w:before="0" w:beforeAutospacing="0" w:after="0" w:afterAutospacing="0" w:line="360" w:lineRule="auto"/>
        <w:ind w:firstLine="421" w:firstLineChars="200"/>
        <w:rPr>
          <w:sz w:val="21"/>
          <w:szCs w:val="21"/>
        </w:rPr>
      </w:pPr>
      <w:bookmarkStart w:id="1050" w:name="_Toc351203544"/>
      <w:bookmarkStart w:id="1051" w:name="_Toc532377230"/>
      <w:r>
        <w:rPr>
          <w:rFonts w:hint="eastAsia"/>
          <w:sz w:val="21"/>
          <w:szCs w:val="21"/>
        </w:rPr>
        <w:t>7</w:t>
      </w:r>
      <w:bookmarkStart w:id="1052" w:name="_Toc337558769"/>
      <w:r>
        <w:rPr>
          <w:rFonts w:hint="eastAsia"/>
          <w:sz w:val="21"/>
          <w:szCs w:val="21"/>
        </w:rPr>
        <w:t>.2 施工进度计划</w:t>
      </w:r>
      <w:bookmarkEnd w:id="1050"/>
      <w:bookmarkEnd w:id="1051"/>
    </w:p>
    <w:bookmarkEnd w:id="105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7.2.1 施工进度计划的编制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7.2.2 施工进度计划的修订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pStyle w:val="7"/>
        <w:spacing w:before="0" w:beforeAutospacing="0" w:after="0" w:afterAutospacing="0" w:line="360" w:lineRule="auto"/>
        <w:ind w:firstLine="421" w:firstLineChars="200"/>
        <w:rPr>
          <w:sz w:val="21"/>
          <w:szCs w:val="21"/>
        </w:rPr>
      </w:pPr>
      <w:bookmarkStart w:id="1053" w:name="_Toc532377231"/>
      <w:bookmarkStart w:id="1054" w:name="_Toc351203545"/>
      <w:r>
        <w:rPr>
          <w:rFonts w:hint="eastAsia"/>
          <w:sz w:val="21"/>
          <w:szCs w:val="21"/>
        </w:rPr>
        <w:t>7</w:t>
      </w:r>
      <w:bookmarkStart w:id="1055" w:name="_Toc337558770"/>
      <w:r>
        <w:rPr>
          <w:rFonts w:hint="eastAsia"/>
          <w:sz w:val="21"/>
          <w:szCs w:val="21"/>
        </w:rPr>
        <w:t>.3 开工</w:t>
      </w:r>
      <w:bookmarkEnd w:id="1053"/>
      <w:bookmarkEnd w:id="1054"/>
    </w:p>
    <w:p>
      <w:pPr>
        <w:spacing w:line="360" w:lineRule="auto"/>
        <w:ind w:firstLine="420" w:firstLineChars="200"/>
        <w:jc w:val="left"/>
        <w:rPr>
          <w:rFonts w:ascii="宋体" w:hAnsi="宋体"/>
          <w:kern w:val="0"/>
          <w:szCs w:val="21"/>
        </w:rPr>
      </w:pPr>
      <w:r>
        <w:rPr>
          <w:rFonts w:hint="eastAsia" w:ascii="宋体" w:hAnsi="宋体"/>
          <w:kern w:val="0"/>
          <w:szCs w:val="21"/>
        </w:rPr>
        <w:t>7.3.1 开工准备</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除专用合同条款另有约定外，合同当事人应按约定完成开工准备工作。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7.3.2 开工通知</w:t>
      </w:r>
    </w:p>
    <w:bookmarkEnd w:id="105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pStyle w:val="7"/>
        <w:spacing w:before="0" w:beforeAutospacing="0" w:after="0" w:afterAutospacing="0" w:line="360" w:lineRule="auto"/>
        <w:ind w:firstLine="421" w:firstLineChars="200"/>
        <w:rPr>
          <w:sz w:val="21"/>
          <w:szCs w:val="21"/>
        </w:rPr>
      </w:pPr>
      <w:bookmarkStart w:id="1056" w:name="_Toc532377232"/>
      <w:bookmarkStart w:id="1057" w:name="_Toc351203546"/>
      <w:r>
        <w:rPr>
          <w:rFonts w:hint="eastAsia"/>
          <w:sz w:val="21"/>
          <w:szCs w:val="21"/>
        </w:rPr>
        <w:t>7.4测量放线</w:t>
      </w:r>
      <w:bookmarkEnd w:id="1056"/>
      <w:bookmarkEnd w:id="105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施工过程中对施工现场内水准点等测量标志物的保护工作由承包人负责。</w:t>
      </w:r>
      <w:bookmarkStart w:id="1058" w:name="_Toc351203547"/>
    </w:p>
    <w:p>
      <w:pPr>
        <w:pStyle w:val="7"/>
        <w:spacing w:before="0" w:beforeAutospacing="0" w:after="0" w:afterAutospacing="0" w:line="360" w:lineRule="auto"/>
        <w:ind w:firstLine="421" w:firstLineChars="200"/>
        <w:rPr>
          <w:sz w:val="21"/>
          <w:szCs w:val="21"/>
        </w:rPr>
      </w:pPr>
      <w:bookmarkStart w:id="1059" w:name="_Toc532377233"/>
      <w:r>
        <w:rPr>
          <w:rFonts w:hint="eastAsia"/>
          <w:sz w:val="21"/>
          <w:szCs w:val="21"/>
        </w:rPr>
        <w:t>7</w:t>
      </w:r>
      <w:bookmarkEnd w:id="1048"/>
      <w:bookmarkEnd w:id="1049"/>
      <w:bookmarkStart w:id="1060" w:name="_Toc296503073"/>
      <w:bookmarkStart w:id="1061" w:name="_Toc296346574"/>
      <w:bookmarkStart w:id="1062" w:name="_Toc337558772"/>
      <w:r>
        <w:rPr>
          <w:rFonts w:hint="eastAsia"/>
          <w:sz w:val="21"/>
          <w:szCs w:val="21"/>
        </w:rPr>
        <w:t>.5 工期延误</w:t>
      </w:r>
      <w:bookmarkEnd w:id="1058"/>
      <w:bookmarkEnd w:id="1059"/>
    </w:p>
    <w:bookmarkEnd w:id="1060"/>
    <w:bookmarkEnd w:id="1061"/>
    <w:bookmarkEnd w:id="1062"/>
    <w:p>
      <w:pPr>
        <w:spacing w:line="360" w:lineRule="auto"/>
        <w:ind w:firstLine="420" w:firstLineChars="200"/>
        <w:jc w:val="left"/>
        <w:rPr>
          <w:rFonts w:ascii="宋体" w:hAnsi="宋体"/>
          <w:kern w:val="0"/>
          <w:szCs w:val="21"/>
        </w:rPr>
      </w:pPr>
      <w:r>
        <w:rPr>
          <w:rFonts w:hint="eastAsia" w:ascii="宋体" w:hAnsi="宋体"/>
          <w:kern w:val="0"/>
          <w:szCs w:val="21"/>
        </w:rPr>
        <w:t>7.5.1 因发包人原因导致工期延误</w:t>
      </w:r>
    </w:p>
    <w:p>
      <w:pPr>
        <w:spacing w:line="360" w:lineRule="auto"/>
        <w:ind w:firstLine="420" w:firstLineChars="200"/>
        <w:jc w:val="left"/>
        <w:rPr>
          <w:rFonts w:ascii="宋体" w:hAnsi="宋体"/>
          <w:kern w:val="0"/>
          <w:szCs w:val="21"/>
        </w:rPr>
      </w:pPr>
      <w:r>
        <w:rPr>
          <w:rFonts w:hint="eastAsia" w:ascii="宋体" w:hAnsi="宋体"/>
          <w:kern w:val="0"/>
          <w:szCs w:val="21"/>
        </w:rPr>
        <w:t xml:space="preserve">在合同履行过程中，因下列情况导致工期延误和（或）费用增加的，由发包人承担由此延误的工期和（或）增加的费用，且发包人应支付承包人合理的利润： </w:t>
      </w:r>
    </w:p>
    <w:p>
      <w:pPr>
        <w:spacing w:line="360" w:lineRule="auto"/>
        <w:ind w:firstLine="420" w:firstLineChars="200"/>
        <w:jc w:val="left"/>
        <w:rPr>
          <w:rFonts w:ascii="宋体" w:hAnsi="宋体"/>
          <w:kern w:val="0"/>
          <w:szCs w:val="21"/>
        </w:rPr>
      </w:pPr>
      <w:r>
        <w:rPr>
          <w:rFonts w:hint="eastAsia" w:ascii="宋体" w:hAnsi="宋体"/>
          <w:kern w:val="0"/>
          <w:szCs w:val="21"/>
        </w:rPr>
        <w:t>（1）发包人未能按合同约定提供图纸或所提供图纸不符合合同约定的；</w:t>
      </w:r>
    </w:p>
    <w:p>
      <w:pPr>
        <w:spacing w:line="360" w:lineRule="auto"/>
        <w:ind w:firstLine="420" w:firstLineChars="200"/>
        <w:jc w:val="left"/>
        <w:rPr>
          <w:rFonts w:ascii="宋体" w:hAnsi="宋体"/>
          <w:kern w:val="0"/>
          <w:szCs w:val="21"/>
        </w:rPr>
      </w:pPr>
      <w:r>
        <w:rPr>
          <w:rFonts w:hint="eastAsia" w:ascii="宋体" w:hAnsi="宋体"/>
          <w:kern w:val="0"/>
          <w:szCs w:val="21"/>
        </w:rPr>
        <w:t>（2）发包人未能按合同约定提供施工现场、施工条件、基础资料、许可、批准等开工条件的；</w:t>
      </w:r>
    </w:p>
    <w:p>
      <w:pPr>
        <w:spacing w:line="360" w:lineRule="auto"/>
        <w:ind w:firstLine="420" w:firstLineChars="200"/>
        <w:jc w:val="left"/>
        <w:rPr>
          <w:rFonts w:ascii="宋体" w:hAnsi="宋体"/>
          <w:kern w:val="0"/>
          <w:szCs w:val="21"/>
        </w:rPr>
      </w:pPr>
      <w:r>
        <w:rPr>
          <w:rFonts w:hint="eastAsia" w:ascii="宋体" w:hAnsi="宋体"/>
          <w:kern w:val="0"/>
          <w:szCs w:val="21"/>
        </w:rPr>
        <w:t>（3）发包人提供的测量基准点、基准线和水准点及其书面资料存在错误或疏漏的；</w:t>
      </w:r>
    </w:p>
    <w:p>
      <w:pPr>
        <w:spacing w:line="360" w:lineRule="auto"/>
        <w:ind w:firstLine="420" w:firstLineChars="200"/>
        <w:jc w:val="left"/>
        <w:rPr>
          <w:rFonts w:ascii="宋体" w:hAnsi="宋体"/>
          <w:kern w:val="0"/>
          <w:szCs w:val="21"/>
        </w:rPr>
      </w:pPr>
      <w:r>
        <w:rPr>
          <w:rFonts w:hint="eastAsia" w:ascii="宋体" w:hAnsi="宋体"/>
          <w:kern w:val="0"/>
          <w:szCs w:val="21"/>
        </w:rPr>
        <w:t>（4）发包人未能在计划开工日期之日起7天内同意下达开工通知的；</w:t>
      </w:r>
    </w:p>
    <w:p>
      <w:pPr>
        <w:spacing w:line="360" w:lineRule="auto"/>
        <w:ind w:firstLine="420" w:firstLineChars="200"/>
        <w:jc w:val="left"/>
        <w:rPr>
          <w:rFonts w:ascii="宋体" w:hAnsi="宋体"/>
          <w:kern w:val="0"/>
          <w:szCs w:val="21"/>
        </w:rPr>
      </w:pPr>
      <w:r>
        <w:rPr>
          <w:rFonts w:hint="eastAsia" w:ascii="宋体" w:hAnsi="宋体"/>
          <w:kern w:val="0"/>
          <w:szCs w:val="21"/>
        </w:rPr>
        <w:t>（5）发包人未能按合同约定日期支付工程预付款、进度款或竣工结算款的；</w:t>
      </w:r>
    </w:p>
    <w:p>
      <w:pPr>
        <w:spacing w:line="360" w:lineRule="auto"/>
        <w:ind w:firstLine="420" w:firstLineChars="200"/>
        <w:jc w:val="left"/>
        <w:rPr>
          <w:rFonts w:ascii="宋体" w:hAnsi="宋体"/>
          <w:kern w:val="0"/>
          <w:szCs w:val="21"/>
        </w:rPr>
      </w:pPr>
      <w:r>
        <w:rPr>
          <w:rFonts w:hint="eastAsia" w:ascii="宋体" w:hAnsi="宋体"/>
          <w:kern w:val="0"/>
          <w:szCs w:val="21"/>
        </w:rPr>
        <w:t>（6）监理人未按合同约定发出指示、批准等文件的；</w:t>
      </w:r>
    </w:p>
    <w:p>
      <w:pPr>
        <w:spacing w:line="360" w:lineRule="auto"/>
        <w:ind w:firstLine="420" w:firstLineChars="200"/>
        <w:jc w:val="left"/>
        <w:rPr>
          <w:rFonts w:ascii="宋体" w:hAnsi="宋体"/>
          <w:kern w:val="0"/>
          <w:szCs w:val="21"/>
        </w:rPr>
      </w:pPr>
      <w:r>
        <w:rPr>
          <w:rFonts w:hint="eastAsia" w:ascii="宋体" w:hAnsi="宋体"/>
          <w:kern w:val="0"/>
          <w:szCs w:val="21"/>
        </w:rPr>
        <w:t>（7）专用合同条款中约定的其他情形。</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7.5.2 因承包人原因导致工期延误</w:t>
      </w:r>
    </w:p>
    <w:p>
      <w:pPr>
        <w:autoSpaceDE w:val="0"/>
        <w:autoSpaceDN w:val="0"/>
        <w:spacing w:line="360" w:lineRule="auto"/>
        <w:ind w:firstLine="420" w:firstLineChars="200"/>
        <w:jc w:val="left"/>
        <w:rPr>
          <w:rFonts w:ascii="宋体" w:hAnsi="宋体"/>
          <w:kern w:val="0"/>
          <w:szCs w:val="21"/>
        </w:rPr>
      </w:pPr>
      <w:bookmarkStart w:id="1063" w:name="_Toc296503076"/>
      <w:bookmarkStart w:id="1064" w:name="_Toc296346577"/>
      <w:r>
        <w:rPr>
          <w:rFonts w:hint="eastAsia" w:ascii="宋体" w:hAnsi="宋体"/>
          <w:kern w:val="0"/>
          <w:szCs w:val="21"/>
        </w:rPr>
        <w:t>因</w:t>
      </w:r>
      <w:bookmarkEnd w:id="1063"/>
      <w:bookmarkEnd w:id="1064"/>
      <w:r>
        <w:rPr>
          <w:rFonts w:hint="eastAsia" w:ascii="宋体" w:hAnsi="宋体"/>
          <w:kern w:val="0"/>
          <w:szCs w:val="21"/>
        </w:rPr>
        <w:t>承包人原因造成工期延误的，可以在专用合同条款中约定逾期竣工违约金的计算方法和逾期竣工违约金的上限。承包人支付逾期竣工违约金后，不免除承包人继续完成工程及修补缺陷的义务。</w:t>
      </w:r>
    </w:p>
    <w:p>
      <w:pPr>
        <w:pStyle w:val="7"/>
        <w:spacing w:before="0" w:beforeAutospacing="0" w:after="0" w:afterAutospacing="0" w:line="360" w:lineRule="auto"/>
        <w:ind w:firstLine="421" w:firstLineChars="200"/>
        <w:rPr>
          <w:sz w:val="21"/>
          <w:szCs w:val="21"/>
        </w:rPr>
      </w:pPr>
      <w:bookmarkStart w:id="1065" w:name="_Toc351203548"/>
      <w:bookmarkStart w:id="1066" w:name="_Toc532377234"/>
      <w:r>
        <w:rPr>
          <w:rFonts w:hint="eastAsia"/>
          <w:sz w:val="21"/>
          <w:szCs w:val="21"/>
        </w:rPr>
        <w:t>7</w:t>
      </w:r>
      <w:bookmarkStart w:id="1067" w:name="_Toc296503074"/>
      <w:bookmarkStart w:id="1068" w:name="_Toc296346575"/>
      <w:bookmarkStart w:id="1069" w:name="_Toc337558773"/>
      <w:bookmarkStart w:id="1070" w:name="_Toc296346578"/>
      <w:bookmarkStart w:id="1071" w:name="_Toc296503077"/>
      <w:r>
        <w:rPr>
          <w:rFonts w:hint="eastAsia"/>
          <w:sz w:val="21"/>
          <w:szCs w:val="21"/>
        </w:rPr>
        <w:t>.6 不利物质条件</w:t>
      </w:r>
      <w:bookmarkEnd w:id="1065"/>
      <w:bookmarkEnd w:id="1066"/>
    </w:p>
    <w:bookmarkEnd w:id="1067"/>
    <w:bookmarkEnd w:id="1068"/>
    <w:bookmarkEnd w:id="106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pPr>
        <w:pStyle w:val="7"/>
        <w:spacing w:before="0" w:beforeAutospacing="0" w:after="0" w:afterAutospacing="0" w:line="360" w:lineRule="auto"/>
        <w:ind w:firstLine="421" w:firstLineChars="200"/>
        <w:rPr>
          <w:sz w:val="21"/>
          <w:szCs w:val="21"/>
        </w:rPr>
      </w:pPr>
      <w:bookmarkStart w:id="1072" w:name="_Toc351203549"/>
      <w:bookmarkStart w:id="1073" w:name="_Toc532377235"/>
      <w:r>
        <w:rPr>
          <w:rFonts w:hint="eastAsia"/>
          <w:sz w:val="21"/>
          <w:szCs w:val="21"/>
        </w:rPr>
        <w:t>7</w:t>
      </w:r>
      <w:bookmarkStart w:id="1074" w:name="_Toc337558774"/>
      <w:bookmarkStart w:id="1075" w:name="_Toc296503075"/>
      <w:bookmarkStart w:id="1076" w:name="_Toc296346576"/>
      <w:r>
        <w:rPr>
          <w:rFonts w:hint="eastAsia"/>
          <w:sz w:val="21"/>
          <w:szCs w:val="21"/>
        </w:rPr>
        <w:t>.7 异常恶劣的气候条件</w:t>
      </w:r>
      <w:bookmarkEnd w:id="1072"/>
      <w:bookmarkEnd w:id="1073"/>
    </w:p>
    <w:bookmarkEnd w:id="1074"/>
    <w:bookmarkEnd w:id="1075"/>
    <w:bookmarkEnd w:id="107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077" w:name="_Toc351203550"/>
    </w:p>
    <w:p>
      <w:pPr>
        <w:pStyle w:val="7"/>
        <w:spacing w:before="0" w:beforeAutospacing="0" w:after="0" w:afterAutospacing="0" w:line="360" w:lineRule="auto"/>
        <w:ind w:firstLine="421" w:firstLineChars="200"/>
        <w:rPr>
          <w:sz w:val="21"/>
          <w:szCs w:val="21"/>
        </w:rPr>
      </w:pPr>
      <w:bookmarkStart w:id="1078" w:name="_Toc532377236"/>
      <w:r>
        <w:rPr>
          <w:rFonts w:hint="eastAsia"/>
          <w:sz w:val="21"/>
          <w:szCs w:val="21"/>
        </w:rPr>
        <w:t>7</w:t>
      </w:r>
      <w:bookmarkStart w:id="1079" w:name="_Toc337558775"/>
      <w:r>
        <w:rPr>
          <w:rFonts w:hint="eastAsia"/>
          <w:sz w:val="21"/>
          <w:szCs w:val="21"/>
        </w:rPr>
        <w:t>.8 暂停施工</w:t>
      </w:r>
      <w:bookmarkEnd w:id="1077"/>
      <w:bookmarkEnd w:id="1078"/>
    </w:p>
    <w:bookmarkEnd w:id="1070"/>
    <w:bookmarkEnd w:id="1071"/>
    <w:bookmarkEnd w:id="1079"/>
    <w:p>
      <w:pPr>
        <w:spacing w:line="360" w:lineRule="auto"/>
        <w:ind w:firstLine="420" w:firstLineChars="200"/>
        <w:jc w:val="left"/>
        <w:rPr>
          <w:rFonts w:ascii="宋体" w:hAnsi="宋体"/>
          <w:kern w:val="0"/>
          <w:szCs w:val="21"/>
        </w:rPr>
      </w:pPr>
      <w:r>
        <w:rPr>
          <w:rFonts w:hint="eastAsia" w:ascii="宋体" w:hAnsi="宋体"/>
          <w:kern w:val="0"/>
          <w:szCs w:val="21"/>
        </w:rPr>
        <w:t>7.8.1发包人原因引起的暂停施工</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因发包人原因引起暂停施工的，监理人经发包人同意后，应及时下达暂停施工指示。情况紧急且监理人未及时下达暂停施工指示的，按照第7.8.4项〔紧急情况下的暂停施工〕执行。</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因发包人原因引起的暂停施工，发包人应承担由此增加的费用和（或）延误的工期，并支付承包人合理的利润。</w:t>
      </w:r>
    </w:p>
    <w:p>
      <w:pPr>
        <w:spacing w:line="360" w:lineRule="auto"/>
        <w:ind w:firstLine="420" w:firstLineChars="200"/>
        <w:jc w:val="left"/>
        <w:rPr>
          <w:rFonts w:ascii="宋体" w:hAnsi="宋体"/>
          <w:kern w:val="0"/>
          <w:szCs w:val="21"/>
        </w:rPr>
      </w:pPr>
      <w:r>
        <w:rPr>
          <w:rFonts w:hint="eastAsia" w:ascii="宋体" w:hAnsi="宋体"/>
          <w:kern w:val="0"/>
          <w:szCs w:val="21"/>
        </w:rPr>
        <w:t>7.8.2 承包人原因引起的暂停施工</w:t>
      </w:r>
    </w:p>
    <w:p>
      <w:pPr>
        <w:spacing w:line="360" w:lineRule="auto"/>
        <w:ind w:firstLine="420" w:firstLineChars="200"/>
        <w:jc w:val="left"/>
        <w:rPr>
          <w:rFonts w:ascii="宋体" w:hAnsi="宋体"/>
          <w:kern w:val="0"/>
          <w:szCs w:val="21"/>
        </w:rPr>
      </w:pPr>
      <w:r>
        <w:rPr>
          <w:rFonts w:hint="eastAsia" w:ascii="宋体" w:hAnsi="宋体"/>
          <w:kern w:val="0"/>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pPr>
        <w:spacing w:line="360" w:lineRule="auto"/>
        <w:ind w:firstLine="420" w:firstLineChars="200"/>
        <w:jc w:val="left"/>
        <w:rPr>
          <w:rFonts w:ascii="宋体" w:hAnsi="宋体"/>
          <w:kern w:val="0"/>
          <w:szCs w:val="21"/>
        </w:rPr>
      </w:pPr>
      <w:r>
        <w:rPr>
          <w:rFonts w:hint="eastAsia" w:ascii="宋体" w:hAnsi="宋体"/>
          <w:kern w:val="0"/>
          <w:szCs w:val="21"/>
        </w:rPr>
        <w:t>7.8.3 指示暂停施工</w:t>
      </w:r>
    </w:p>
    <w:p>
      <w:pPr>
        <w:spacing w:line="360" w:lineRule="auto"/>
        <w:ind w:firstLine="420" w:firstLineChars="200"/>
        <w:jc w:val="left"/>
        <w:rPr>
          <w:rFonts w:ascii="宋体" w:hAnsi="宋体"/>
          <w:kern w:val="0"/>
          <w:szCs w:val="21"/>
        </w:rPr>
      </w:pPr>
      <w:r>
        <w:rPr>
          <w:rFonts w:hint="eastAsia" w:ascii="宋体" w:hAnsi="宋体"/>
          <w:kern w:val="0"/>
          <w:szCs w:val="21"/>
        </w:rPr>
        <w:t>监理人认为有必要时，并经发包人批准后，可向承包人作出暂停施工的指示，承包人应按监理人指示暂停施工。</w:t>
      </w:r>
    </w:p>
    <w:p>
      <w:pPr>
        <w:spacing w:line="360" w:lineRule="auto"/>
        <w:ind w:firstLine="420" w:firstLineChars="200"/>
        <w:jc w:val="left"/>
        <w:rPr>
          <w:rFonts w:ascii="宋体" w:hAnsi="宋体"/>
          <w:kern w:val="0"/>
          <w:szCs w:val="21"/>
        </w:rPr>
      </w:pPr>
      <w:r>
        <w:rPr>
          <w:rFonts w:hint="eastAsia" w:ascii="宋体" w:hAnsi="宋体"/>
          <w:kern w:val="0"/>
          <w:szCs w:val="21"/>
        </w:rPr>
        <w:t>7.8.4 紧急情况下的暂停施工</w:t>
      </w:r>
    </w:p>
    <w:p>
      <w:pPr>
        <w:spacing w:line="360" w:lineRule="auto"/>
        <w:ind w:firstLine="420" w:firstLineChars="200"/>
        <w:jc w:val="left"/>
        <w:rPr>
          <w:rFonts w:ascii="宋体" w:hAnsi="宋体"/>
          <w:kern w:val="0"/>
          <w:szCs w:val="21"/>
        </w:rPr>
      </w:pPr>
      <w:r>
        <w:rPr>
          <w:rFonts w:hint="eastAsia" w:ascii="宋体" w:hAnsi="宋体"/>
          <w:kern w:val="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pPr>
        <w:spacing w:line="360" w:lineRule="auto"/>
        <w:ind w:firstLine="420" w:firstLineChars="200"/>
        <w:jc w:val="left"/>
        <w:rPr>
          <w:rFonts w:ascii="宋体" w:hAnsi="宋体"/>
          <w:kern w:val="0"/>
          <w:szCs w:val="21"/>
        </w:rPr>
      </w:pPr>
      <w:r>
        <w:rPr>
          <w:rFonts w:hint="eastAsia" w:ascii="宋体" w:hAnsi="宋体"/>
          <w:kern w:val="0"/>
          <w:szCs w:val="21"/>
        </w:rPr>
        <w:t>7.8.5 暂停施工后的复工</w:t>
      </w:r>
    </w:p>
    <w:p>
      <w:pPr>
        <w:spacing w:line="360" w:lineRule="auto"/>
        <w:ind w:firstLine="420" w:firstLineChars="200"/>
        <w:jc w:val="left"/>
        <w:rPr>
          <w:rFonts w:ascii="宋体" w:hAnsi="宋体"/>
          <w:kern w:val="0"/>
          <w:szCs w:val="21"/>
        </w:rPr>
      </w:pPr>
      <w:r>
        <w:rPr>
          <w:rFonts w:hint="eastAsia" w:ascii="宋体" w:hAnsi="宋体"/>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360" w:lineRule="auto"/>
        <w:ind w:firstLine="420" w:firstLineChars="200"/>
        <w:jc w:val="left"/>
        <w:rPr>
          <w:rFonts w:ascii="宋体" w:hAnsi="宋体"/>
          <w:kern w:val="0"/>
          <w:szCs w:val="21"/>
        </w:rPr>
      </w:pPr>
      <w:r>
        <w:rPr>
          <w:rFonts w:hint="eastAsia" w:ascii="宋体" w:hAnsi="宋体"/>
          <w:kern w:val="0"/>
          <w:szCs w:val="21"/>
        </w:rPr>
        <w:t>承包人无故拖延和拒绝复工的，承包人承担由此增加的费用和（或）延误的工期；因发包人原因无法按时复工的，按照第7.5.1项〔因发包人原因导致工期延误〕约定办理。</w:t>
      </w:r>
    </w:p>
    <w:p>
      <w:pPr>
        <w:spacing w:line="360" w:lineRule="auto"/>
        <w:ind w:firstLine="420" w:firstLineChars="200"/>
        <w:jc w:val="left"/>
        <w:rPr>
          <w:rFonts w:ascii="宋体" w:hAnsi="宋体"/>
          <w:kern w:val="0"/>
          <w:szCs w:val="21"/>
        </w:rPr>
      </w:pPr>
      <w:r>
        <w:rPr>
          <w:rFonts w:hint="eastAsia" w:ascii="宋体" w:hAnsi="宋体"/>
          <w:kern w:val="0"/>
          <w:szCs w:val="21"/>
        </w:rPr>
        <w:t>7.8.6 暂停施工持续56天以上</w:t>
      </w:r>
    </w:p>
    <w:p>
      <w:pPr>
        <w:spacing w:line="360" w:lineRule="auto"/>
        <w:ind w:firstLine="420" w:firstLineChars="200"/>
        <w:jc w:val="left"/>
        <w:rPr>
          <w:rFonts w:ascii="宋体" w:hAnsi="宋体"/>
          <w:kern w:val="0"/>
          <w:szCs w:val="21"/>
        </w:rPr>
      </w:pPr>
      <w:r>
        <w:rPr>
          <w:rFonts w:hint="eastAsia" w:ascii="宋体" w:hAnsi="宋体"/>
          <w:kern w:val="0"/>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pPr>
        <w:spacing w:line="360" w:lineRule="auto"/>
        <w:ind w:firstLine="420" w:firstLineChars="200"/>
        <w:jc w:val="left"/>
        <w:rPr>
          <w:rFonts w:ascii="宋体" w:hAnsi="宋体"/>
          <w:kern w:val="0"/>
          <w:szCs w:val="21"/>
        </w:rPr>
      </w:pPr>
      <w:r>
        <w:rPr>
          <w:rFonts w:hint="eastAsia" w:ascii="宋体" w:hAnsi="宋体"/>
          <w:kern w:val="0"/>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pPr>
        <w:spacing w:line="360" w:lineRule="auto"/>
        <w:ind w:firstLine="420" w:firstLineChars="200"/>
        <w:jc w:val="left"/>
        <w:rPr>
          <w:rFonts w:ascii="宋体" w:hAnsi="宋体"/>
          <w:kern w:val="0"/>
          <w:szCs w:val="21"/>
        </w:rPr>
      </w:pPr>
      <w:r>
        <w:rPr>
          <w:rFonts w:hint="eastAsia" w:ascii="宋体" w:hAnsi="宋体"/>
          <w:kern w:val="0"/>
          <w:szCs w:val="21"/>
        </w:rPr>
        <w:t>7.8.7 暂停施工期间的工程照管</w:t>
      </w:r>
    </w:p>
    <w:p>
      <w:pPr>
        <w:spacing w:line="360" w:lineRule="auto"/>
        <w:ind w:firstLine="420" w:firstLineChars="200"/>
        <w:jc w:val="left"/>
        <w:rPr>
          <w:rFonts w:ascii="宋体" w:hAnsi="宋体"/>
          <w:kern w:val="0"/>
          <w:szCs w:val="21"/>
        </w:rPr>
      </w:pPr>
      <w:r>
        <w:rPr>
          <w:rFonts w:hint="eastAsia" w:ascii="宋体" w:hAnsi="宋体"/>
          <w:kern w:val="0"/>
          <w:szCs w:val="21"/>
        </w:rPr>
        <w:t>暂停施工期间，承包人应负责妥善照管工程并提供安全保障，由此增加的费用由责任方承担。</w:t>
      </w:r>
    </w:p>
    <w:p>
      <w:pPr>
        <w:spacing w:line="360" w:lineRule="auto"/>
        <w:ind w:firstLine="420" w:firstLineChars="200"/>
        <w:jc w:val="left"/>
        <w:rPr>
          <w:rFonts w:ascii="宋体" w:hAnsi="宋体"/>
          <w:kern w:val="0"/>
          <w:szCs w:val="21"/>
        </w:rPr>
      </w:pPr>
      <w:r>
        <w:rPr>
          <w:rFonts w:hint="eastAsia" w:ascii="宋体" w:hAnsi="宋体"/>
          <w:kern w:val="0"/>
          <w:szCs w:val="21"/>
        </w:rPr>
        <w:t>7.8.8 暂停施工的措施</w:t>
      </w:r>
    </w:p>
    <w:p>
      <w:pPr>
        <w:spacing w:line="360" w:lineRule="auto"/>
        <w:ind w:firstLine="420" w:firstLineChars="200"/>
        <w:jc w:val="left"/>
        <w:rPr>
          <w:rFonts w:ascii="宋体" w:hAnsi="宋体"/>
          <w:kern w:val="0"/>
          <w:szCs w:val="21"/>
        </w:rPr>
      </w:pPr>
      <w:r>
        <w:rPr>
          <w:rFonts w:hint="eastAsia" w:ascii="宋体" w:hAnsi="宋体"/>
          <w:kern w:val="0"/>
          <w:szCs w:val="21"/>
        </w:rPr>
        <w:t>暂停施工期间，发包人和承包人均应采取必要的措施确保工程质量及安全，防止因暂停施工扩大损失。</w:t>
      </w:r>
    </w:p>
    <w:p>
      <w:pPr>
        <w:pStyle w:val="7"/>
        <w:spacing w:before="0" w:beforeAutospacing="0" w:after="0" w:afterAutospacing="0" w:line="360" w:lineRule="auto"/>
        <w:ind w:firstLine="421" w:firstLineChars="200"/>
        <w:rPr>
          <w:sz w:val="21"/>
          <w:szCs w:val="21"/>
        </w:rPr>
      </w:pPr>
      <w:bookmarkStart w:id="1080" w:name="_Toc532377237"/>
      <w:bookmarkStart w:id="1081" w:name="_Toc351203551"/>
      <w:r>
        <w:rPr>
          <w:rFonts w:hint="eastAsia"/>
          <w:sz w:val="21"/>
          <w:szCs w:val="21"/>
        </w:rPr>
        <w:t>7.9提前竣工</w:t>
      </w:r>
      <w:bookmarkEnd w:id="1080"/>
      <w:bookmarkEnd w:id="1081"/>
    </w:p>
    <w:p>
      <w:pPr>
        <w:spacing w:line="360" w:lineRule="auto"/>
        <w:ind w:firstLine="420" w:firstLineChars="200"/>
        <w:jc w:val="left"/>
        <w:rPr>
          <w:rFonts w:ascii="宋体" w:hAnsi="宋体"/>
          <w:kern w:val="0"/>
          <w:szCs w:val="21"/>
        </w:rPr>
      </w:pPr>
      <w:r>
        <w:rPr>
          <w:rFonts w:hint="eastAsia" w:ascii="宋体" w:hAnsi="宋体"/>
          <w:kern w:val="0"/>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pPr>
        <w:spacing w:line="360" w:lineRule="auto"/>
        <w:ind w:firstLine="420" w:firstLineChars="200"/>
        <w:jc w:val="left"/>
        <w:rPr>
          <w:rFonts w:ascii="宋体" w:hAnsi="宋体"/>
          <w:kern w:val="0"/>
          <w:szCs w:val="21"/>
        </w:rPr>
      </w:pPr>
      <w:r>
        <w:rPr>
          <w:rFonts w:hint="eastAsia" w:ascii="宋体" w:hAnsi="宋体"/>
          <w:kern w:val="0"/>
          <w:szCs w:val="21"/>
        </w:rPr>
        <w:t>7.9.2 发包人要求承包人提前竣工，或承包人提出提前竣工的建议能够给发包人带来效益的，合同当事人可以在专用合同条款中约定提前竣工的奖励。</w:t>
      </w:r>
    </w:p>
    <w:p>
      <w:pPr>
        <w:pStyle w:val="6"/>
        <w:keepNext/>
        <w:keepLines/>
        <w:spacing w:before="156" w:beforeLines="50" w:beforeAutospacing="0" w:after="156" w:afterLines="50" w:afterAutospacing="0" w:line="360" w:lineRule="auto"/>
        <w:jc w:val="both"/>
        <w:rPr>
          <w:bCs w:val="0"/>
          <w:kern w:val="2"/>
          <w:sz w:val="21"/>
          <w:szCs w:val="21"/>
        </w:rPr>
      </w:pPr>
      <w:bookmarkStart w:id="1082" w:name="_Toc351203552"/>
      <w:bookmarkStart w:id="1083" w:name="_Toc532375594"/>
      <w:bookmarkStart w:id="1084" w:name="_Toc532377238"/>
      <w:r>
        <w:rPr>
          <w:rFonts w:hint="eastAsia"/>
          <w:kern w:val="2"/>
          <w:sz w:val="21"/>
          <w:szCs w:val="21"/>
        </w:rPr>
        <w:t>8</w:t>
      </w:r>
      <w:bookmarkStart w:id="1085" w:name="_Toc296503058"/>
      <w:bookmarkStart w:id="1086" w:name="_Toc337558776"/>
      <w:bookmarkStart w:id="1087" w:name="_Toc296346559"/>
      <w:r>
        <w:rPr>
          <w:rFonts w:hint="eastAsia"/>
          <w:kern w:val="2"/>
          <w:sz w:val="21"/>
          <w:szCs w:val="21"/>
        </w:rPr>
        <w:t>. 材料与设备</w:t>
      </w:r>
      <w:bookmarkEnd w:id="1082"/>
      <w:bookmarkEnd w:id="1083"/>
      <w:bookmarkEnd w:id="1084"/>
    </w:p>
    <w:bookmarkEnd w:id="1085"/>
    <w:bookmarkEnd w:id="1086"/>
    <w:bookmarkEnd w:id="1087"/>
    <w:p>
      <w:pPr>
        <w:pStyle w:val="7"/>
        <w:spacing w:before="0" w:beforeAutospacing="0" w:after="0" w:afterAutospacing="0" w:line="360" w:lineRule="auto"/>
        <w:ind w:firstLine="421" w:firstLineChars="200"/>
        <w:rPr>
          <w:sz w:val="21"/>
          <w:szCs w:val="21"/>
        </w:rPr>
      </w:pPr>
      <w:bookmarkStart w:id="1088" w:name="_Toc532377239"/>
      <w:bookmarkStart w:id="1089" w:name="_Toc351203553"/>
      <w:r>
        <w:rPr>
          <w:rFonts w:hint="eastAsia"/>
          <w:sz w:val="21"/>
          <w:szCs w:val="21"/>
        </w:rPr>
        <w:t>8</w:t>
      </w:r>
      <w:bookmarkStart w:id="1090" w:name="_Toc337558777"/>
      <w:bookmarkStart w:id="1091" w:name="_Toc296503059"/>
      <w:bookmarkStart w:id="1092" w:name="_Toc296346560"/>
      <w:bookmarkStart w:id="1093" w:name="_Toc468936960"/>
      <w:r>
        <w:rPr>
          <w:rFonts w:hint="eastAsia"/>
          <w:sz w:val="21"/>
          <w:szCs w:val="21"/>
        </w:rPr>
        <w:t>.1发包人供应材料与工程设备</w:t>
      </w:r>
      <w:bookmarkEnd w:id="1088"/>
      <w:bookmarkEnd w:id="1089"/>
    </w:p>
    <w:bookmarkEnd w:id="1090"/>
    <w:bookmarkEnd w:id="1091"/>
    <w:bookmarkEnd w:id="109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pStyle w:val="7"/>
        <w:spacing w:before="0" w:beforeAutospacing="0" w:after="0" w:afterAutospacing="0" w:line="360" w:lineRule="auto"/>
        <w:ind w:firstLine="421" w:firstLineChars="200"/>
        <w:rPr>
          <w:sz w:val="21"/>
          <w:szCs w:val="21"/>
        </w:rPr>
      </w:pPr>
      <w:bookmarkStart w:id="1094" w:name="_Toc532377240"/>
      <w:r>
        <w:rPr>
          <w:rFonts w:hint="eastAsia"/>
          <w:sz w:val="21"/>
          <w:szCs w:val="21"/>
        </w:rPr>
        <w:t>8.2承包人采购材料与工程设备</w:t>
      </w:r>
      <w:bookmarkEnd w:id="109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pStyle w:val="7"/>
        <w:spacing w:before="0" w:beforeAutospacing="0" w:after="0" w:afterAutospacing="0" w:line="360" w:lineRule="auto"/>
        <w:ind w:firstLine="421" w:firstLineChars="200"/>
        <w:rPr>
          <w:sz w:val="21"/>
          <w:szCs w:val="21"/>
        </w:rPr>
      </w:pPr>
      <w:bookmarkStart w:id="1095" w:name="_Toc532377241"/>
      <w:bookmarkStart w:id="1096" w:name="_Toc351203555"/>
      <w:r>
        <w:rPr>
          <w:rFonts w:hint="eastAsia"/>
          <w:sz w:val="21"/>
          <w:szCs w:val="21"/>
        </w:rPr>
        <w:t>8</w:t>
      </w:r>
      <w:bookmarkStart w:id="1097" w:name="_Toc337558779"/>
      <w:bookmarkStart w:id="1098" w:name="_Toc296503061"/>
      <w:bookmarkStart w:id="1099" w:name="_Toc296346562"/>
      <w:r>
        <w:rPr>
          <w:rFonts w:hint="eastAsia"/>
          <w:sz w:val="21"/>
          <w:szCs w:val="21"/>
        </w:rPr>
        <w:t>.3材料与工程设备的接收与拒收</w:t>
      </w:r>
      <w:bookmarkEnd w:id="1095"/>
      <w:bookmarkEnd w:id="1096"/>
    </w:p>
    <w:bookmarkEnd w:id="1097"/>
    <w:bookmarkEnd w:id="1098"/>
    <w:bookmarkEnd w:id="109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发包人提供的材料和工程设备的规格、数量或质量不符合合同约定的，或因发包人原因导致交货日期延误或交货地点变更等情况的，按照第16.1款〔发包人违约〕约定办理。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8.3.2 承包人采购的材料和工程设备，应保证产品质量合格，承包人应在材料和工程设备到货前24小时通知监理人检验。承</w:t>
      </w:r>
      <w:bookmarkStart w:id="1100" w:name="_Toc250655469"/>
      <w:r>
        <w:rPr>
          <w:rFonts w:hint="eastAsia" w:ascii="宋体" w:hAnsi="宋体"/>
          <w:kern w:val="0"/>
          <w:szCs w:val="21"/>
        </w:rPr>
        <w:t>包人进行永久设备、材料的制造和生产的，应符合相关质量标准，并向监理人提交材料的样本以及有关资料，并应在使用该材料或工程设备之前获得监理人同意。</w:t>
      </w:r>
    </w:p>
    <w:bookmarkEnd w:id="110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Style w:val="7"/>
        <w:spacing w:before="0" w:beforeAutospacing="0" w:after="0" w:afterAutospacing="0" w:line="360" w:lineRule="auto"/>
        <w:ind w:firstLine="421" w:firstLineChars="200"/>
        <w:rPr>
          <w:sz w:val="21"/>
          <w:szCs w:val="21"/>
        </w:rPr>
      </w:pPr>
      <w:bookmarkStart w:id="1101" w:name="_Toc351203556"/>
      <w:bookmarkStart w:id="1102" w:name="_Toc532377242"/>
      <w:r>
        <w:rPr>
          <w:rFonts w:hint="eastAsia"/>
          <w:sz w:val="21"/>
          <w:szCs w:val="21"/>
        </w:rPr>
        <w:t>8</w:t>
      </w:r>
      <w:bookmarkStart w:id="1103" w:name="_Toc296503062"/>
      <w:bookmarkStart w:id="1104" w:name="_Toc337558780"/>
      <w:bookmarkStart w:id="1105" w:name="_Toc296346563"/>
      <w:r>
        <w:rPr>
          <w:rFonts w:hint="eastAsia"/>
          <w:sz w:val="21"/>
          <w:szCs w:val="21"/>
        </w:rPr>
        <w:t>.4材料与工程设备的保管与使用</w:t>
      </w:r>
      <w:bookmarkEnd w:id="1101"/>
      <w:bookmarkEnd w:id="1102"/>
    </w:p>
    <w:bookmarkEnd w:id="1103"/>
    <w:bookmarkEnd w:id="1104"/>
    <w:bookmarkEnd w:id="110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8.4.1 发包人供应材料与工程设备的保管与使用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发包人供应的材料和工程设备使用前，由承包人负责检验，检验费用由发包人承担，不合格的不得使用。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8.4.2 承包人采购材料与工程设备的保管与使用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发包人或监理人发现承包人使用不符合设计或有关标准要求的材料和工程设备时，有权要求承包人进行修复、拆除或重新采购，由此增加的费用和（或）延误的工期，由承包人承担。</w:t>
      </w:r>
    </w:p>
    <w:p>
      <w:pPr>
        <w:pStyle w:val="7"/>
        <w:spacing w:before="0" w:beforeAutospacing="0" w:after="0" w:afterAutospacing="0" w:line="360" w:lineRule="auto"/>
        <w:ind w:firstLine="421" w:firstLineChars="200"/>
        <w:rPr>
          <w:sz w:val="21"/>
          <w:szCs w:val="21"/>
        </w:rPr>
      </w:pPr>
      <w:bookmarkStart w:id="1106" w:name="_Toc532377243"/>
      <w:bookmarkStart w:id="1107" w:name="_Toc351203557"/>
      <w:r>
        <w:rPr>
          <w:rFonts w:hint="eastAsia"/>
          <w:sz w:val="21"/>
          <w:szCs w:val="21"/>
        </w:rPr>
        <w:t>8.5禁止使用不合格的材料和工程设备</w:t>
      </w:r>
      <w:bookmarkEnd w:id="1106"/>
      <w:bookmarkEnd w:id="110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8.5.2 监理人发现承包人使用了不合格的材料和工程设备，承包人应按照监理人的指示立即改正，并禁止在工程中继续使用不合格的材料和工程设备。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8.5.3 发包人提供的材料或工程设备不符合合同要求的，承包人有权拒绝，并可要求发包人更换，由此增加的费用和（或）延误的工期由发包人承担，并支付承包人合理的利润。</w:t>
      </w:r>
    </w:p>
    <w:p>
      <w:pPr>
        <w:pStyle w:val="7"/>
        <w:spacing w:before="0" w:beforeAutospacing="0" w:after="0" w:afterAutospacing="0" w:line="360" w:lineRule="auto"/>
        <w:ind w:firstLine="421" w:firstLineChars="200"/>
        <w:rPr>
          <w:sz w:val="21"/>
          <w:szCs w:val="21"/>
        </w:rPr>
      </w:pPr>
      <w:bookmarkStart w:id="1108" w:name="_Toc532377244"/>
      <w:bookmarkStart w:id="1109" w:name="_Toc351203558"/>
      <w:r>
        <w:rPr>
          <w:rFonts w:hint="eastAsia"/>
          <w:sz w:val="21"/>
          <w:szCs w:val="21"/>
        </w:rPr>
        <w:t>8.6 样品</w:t>
      </w:r>
      <w:bookmarkEnd w:id="1108"/>
      <w:bookmarkEnd w:id="1109"/>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8.6.1</w:t>
      </w:r>
      <w:r>
        <w:rPr>
          <w:rFonts w:hint="eastAsia" w:ascii="宋体" w:hAnsi="宋体"/>
          <w:kern w:val="0"/>
          <w:szCs w:val="21"/>
        </w:rPr>
        <w:tab/>
      </w:r>
      <w:r>
        <w:rPr>
          <w:rFonts w:hint="eastAsia" w:ascii="宋体" w:hAnsi="宋体"/>
          <w:kern w:val="0"/>
          <w:szCs w:val="21"/>
        </w:rPr>
        <w:t>样品的报送与封存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需要承包人报送样品的材料或工程设备，样品的种类、名称、规格、数量等要求均应在专用合同条款中约定。样品的报送程序如下：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（3）经发包人和监理人审批确认的样品应按约定的方法封样，封存的样品作为检验工程相关部分的标准之一。承包人在施工过程中不得使用与样品不符的材料或工程设备。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8.6.2 样品的保管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经批准的样品应由监理人负责封存于现场，承包人应在现场为保存样品提供适当和固定的场所并保持适当和良好的存储环境条件。</w:t>
      </w:r>
    </w:p>
    <w:p>
      <w:pPr>
        <w:pStyle w:val="7"/>
        <w:spacing w:before="0" w:beforeAutospacing="0" w:after="0" w:afterAutospacing="0" w:line="360" w:lineRule="auto"/>
        <w:ind w:firstLine="421" w:firstLineChars="200"/>
        <w:rPr>
          <w:sz w:val="21"/>
          <w:szCs w:val="21"/>
        </w:rPr>
      </w:pPr>
      <w:bookmarkStart w:id="1110" w:name="_Toc351203559"/>
      <w:bookmarkStart w:id="1111" w:name="_Toc532377245"/>
      <w:r>
        <w:rPr>
          <w:rFonts w:hint="eastAsia"/>
          <w:sz w:val="21"/>
          <w:szCs w:val="21"/>
        </w:rPr>
        <w:t>8.7材料与工程设备的替代</w:t>
      </w:r>
      <w:bookmarkEnd w:id="1110"/>
      <w:bookmarkEnd w:id="1111"/>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8.7.1 出现下列情况需要使用替代材料和工程设备的，承包人应按照第8.7.2项约定的程序执行：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（1）基准日期后生效的法律规定禁止使用的；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（2）发包人要求使用替代品的；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（3）因其他原因必须使用替代品的。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8.7.2 承包人应在使用替代材料和工程设备28天前书面通知监理人，并附下列文件：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（1）被替代的材料和工程设备的名称、数量、规格、型号、品牌、性能、价格及其他相关资料；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（2）替代品的名称、数量、规格、型号、品牌、性能、价格及其他相关资料；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（3）替代品与被替代产品之间的差异以及使用替代品可能对工程产生的影响；</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（4）替代品与被替代产品的价格差异；</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（5）使用替代品的理由和原因说明；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（6）监理人要求的其他文件。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监理人应在收到通知后14天内向承包人发出经发包人签认的书面指示；监理人逾期发出书面指示的，视为发包人和监理人同意使用替代品。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pStyle w:val="7"/>
        <w:spacing w:before="0" w:beforeAutospacing="0" w:after="0" w:afterAutospacing="0" w:line="360" w:lineRule="auto"/>
        <w:ind w:firstLine="421" w:firstLineChars="200"/>
        <w:rPr>
          <w:sz w:val="21"/>
          <w:szCs w:val="21"/>
        </w:rPr>
      </w:pPr>
      <w:bookmarkStart w:id="1112" w:name="_Toc532377246"/>
      <w:bookmarkStart w:id="1113" w:name="_Toc351203560"/>
      <w:r>
        <w:rPr>
          <w:rFonts w:hint="eastAsia"/>
          <w:sz w:val="21"/>
          <w:szCs w:val="21"/>
        </w:rPr>
        <w:t>8.8施工设备和临时设施</w:t>
      </w:r>
      <w:bookmarkEnd w:id="1112"/>
      <w:bookmarkEnd w:id="111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8.8.1 承包人提供的施工设备和临时设施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除专用合同条款另有约定外，承包人应自行承担修建临时设施的费用，需要临时占地的，应由发包人办理申请手续并承担相应费用。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8.8.2发包人提供的施工设备和临时设施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发包人提供的施工设备或临时设施在专用合同条款中约定。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8.8.3要求承包人增加或更换施工设备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承包人使用的施工设备不能满足合同进度计划和（或）质量要求时，监理人有权要求承包人增加或更换施工设备，承包人应及时增加或更换，由此增加的费用和（或）延误的工期由承包人承担。</w:t>
      </w:r>
    </w:p>
    <w:p>
      <w:pPr>
        <w:pStyle w:val="7"/>
        <w:spacing w:before="0" w:beforeAutospacing="0" w:after="0" w:afterAutospacing="0" w:line="360" w:lineRule="auto"/>
        <w:ind w:firstLine="421" w:firstLineChars="200"/>
        <w:rPr>
          <w:sz w:val="21"/>
          <w:szCs w:val="21"/>
        </w:rPr>
      </w:pPr>
      <w:bookmarkStart w:id="1114" w:name="_Toc351203561"/>
      <w:bookmarkStart w:id="1115" w:name="_Toc532377247"/>
      <w:r>
        <w:rPr>
          <w:rFonts w:hint="eastAsia"/>
          <w:sz w:val="21"/>
          <w:szCs w:val="21"/>
        </w:rPr>
        <w:t>8</w:t>
      </w:r>
      <w:bookmarkStart w:id="1116" w:name="_Toc337558781"/>
      <w:bookmarkStart w:id="1117" w:name="_Toc296503063"/>
      <w:bookmarkStart w:id="1118" w:name="_Toc296346564"/>
      <w:r>
        <w:rPr>
          <w:rFonts w:hint="eastAsia"/>
          <w:sz w:val="21"/>
          <w:szCs w:val="21"/>
        </w:rPr>
        <w:t>.9材料与设备专用</w:t>
      </w:r>
      <w:bookmarkEnd w:id="1114"/>
      <w:r>
        <w:rPr>
          <w:rFonts w:hint="eastAsia"/>
          <w:sz w:val="21"/>
          <w:szCs w:val="21"/>
        </w:rPr>
        <w:t>要求</w:t>
      </w:r>
      <w:bookmarkEnd w:id="1115"/>
    </w:p>
    <w:bookmarkEnd w:id="1116"/>
    <w:bookmarkEnd w:id="1117"/>
    <w:bookmarkEnd w:id="1118"/>
    <w:p>
      <w:pPr>
        <w:spacing w:line="360" w:lineRule="auto"/>
        <w:ind w:firstLine="420" w:firstLineChars="200"/>
        <w:jc w:val="left"/>
        <w:rPr>
          <w:rFonts w:ascii="宋体" w:hAnsi="宋体"/>
          <w:kern w:val="0"/>
          <w:szCs w:val="21"/>
        </w:rPr>
      </w:pPr>
      <w:r>
        <w:rPr>
          <w:rFonts w:hint="eastAsia" w:ascii="宋体" w:hAnsi="宋体"/>
          <w:kern w:val="0"/>
          <w:szCs w:val="21"/>
        </w:rPr>
        <w:t>承包人运入施工现场的材料、工程设备、施工设备以及在施工场地建设的临时设施，包括备品备件、安装工具与资料，必须专用于工程。未经发包人批准，承包人不得运出施工现场或挪作他用；</w:t>
      </w:r>
      <w:bookmarkEnd w:id="1093"/>
      <w:r>
        <w:rPr>
          <w:rFonts w:hint="eastAsia" w:ascii="宋体" w:hAnsi="宋体"/>
          <w:kern w:val="0"/>
          <w:szCs w:val="21"/>
        </w:rPr>
        <w:t>经发包人批准，承包人可以根据施工进度计划撤走闲置的施工设备和其他物品。</w:t>
      </w:r>
    </w:p>
    <w:p>
      <w:pPr>
        <w:pStyle w:val="6"/>
        <w:keepNext/>
        <w:keepLines/>
        <w:spacing w:before="156" w:beforeLines="50" w:beforeAutospacing="0" w:after="156" w:afterLines="50" w:afterAutospacing="0" w:line="360" w:lineRule="auto"/>
        <w:jc w:val="both"/>
        <w:rPr>
          <w:bCs w:val="0"/>
          <w:kern w:val="2"/>
          <w:sz w:val="21"/>
          <w:szCs w:val="21"/>
        </w:rPr>
      </w:pPr>
      <w:bookmarkStart w:id="1119" w:name="_Toc532375595"/>
      <w:bookmarkStart w:id="1120" w:name="_Toc351203562"/>
      <w:bookmarkStart w:id="1121" w:name="_Toc532377248"/>
      <w:r>
        <w:rPr>
          <w:rFonts w:hint="eastAsia"/>
          <w:kern w:val="2"/>
          <w:sz w:val="21"/>
          <w:szCs w:val="21"/>
        </w:rPr>
        <w:t>9</w:t>
      </w:r>
      <w:bookmarkStart w:id="1122" w:name="_Toc337558782"/>
      <w:bookmarkStart w:id="1123" w:name="_Toc296503083"/>
      <w:bookmarkStart w:id="1124" w:name="_Toc296346584"/>
      <w:r>
        <w:rPr>
          <w:rFonts w:hint="eastAsia"/>
          <w:kern w:val="2"/>
          <w:sz w:val="21"/>
          <w:szCs w:val="21"/>
        </w:rPr>
        <w:t>. 试验与检验</w:t>
      </w:r>
      <w:bookmarkEnd w:id="1119"/>
      <w:bookmarkEnd w:id="1120"/>
      <w:bookmarkEnd w:id="1121"/>
    </w:p>
    <w:bookmarkEnd w:id="1122"/>
    <w:p>
      <w:pPr>
        <w:pStyle w:val="7"/>
        <w:spacing w:before="0" w:beforeAutospacing="0" w:after="0" w:afterAutospacing="0" w:line="360" w:lineRule="auto"/>
        <w:ind w:firstLine="421" w:firstLineChars="200"/>
        <w:rPr>
          <w:sz w:val="21"/>
          <w:szCs w:val="21"/>
        </w:rPr>
      </w:pPr>
      <w:bookmarkStart w:id="1125" w:name="_Toc532377249"/>
      <w:bookmarkStart w:id="1126" w:name="_Toc351203563"/>
      <w:r>
        <w:rPr>
          <w:rFonts w:hint="eastAsia"/>
          <w:sz w:val="21"/>
          <w:szCs w:val="21"/>
        </w:rPr>
        <w:t>9</w:t>
      </w:r>
      <w:bookmarkStart w:id="1127" w:name="_Toc337558783"/>
      <w:r>
        <w:rPr>
          <w:rFonts w:hint="eastAsia"/>
          <w:sz w:val="21"/>
          <w:szCs w:val="21"/>
        </w:rPr>
        <w:t>.1试验设备与试验人员</w:t>
      </w:r>
      <w:bookmarkEnd w:id="1125"/>
      <w:bookmarkEnd w:id="1126"/>
    </w:p>
    <w:bookmarkEnd w:id="1127"/>
    <w:p>
      <w:pPr>
        <w:spacing w:line="360" w:lineRule="auto"/>
        <w:ind w:firstLine="420" w:firstLineChars="200"/>
        <w:jc w:val="left"/>
        <w:rPr>
          <w:rFonts w:ascii="宋体" w:hAnsi="宋体"/>
          <w:kern w:val="0"/>
          <w:szCs w:val="21"/>
        </w:rPr>
      </w:pPr>
      <w:r>
        <w:rPr>
          <w:rFonts w:hint="eastAsia" w:ascii="宋体" w:hAnsi="宋体"/>
          <w:kern w:val="0"/>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360" w:lineRule="auto"/>
        <w:ind w:firstLine="420" w:firstLineChars="200"/>
        <w:jc w:val="left"/>
        <w:rPr>
          <w:rFonts w:ascii="宋体" w:hAnsi="宋体"/>
          <w:kern w:val="0"/>
          <w:szCs w:val="21"/>
        </w:rPr>
      </w:pPr>
      <w:r>
        <w:rPr>
          <w:rFonts w:hint="eastAsia" w:ascii="宋体" w:hAnsi="宋体"/>
          <w:kern w:val="0"/>
          <w:szCs w:val="21"/>
        </w:rPr>
        <w:t>9.1.2 承包人应按专用合同条款的约定提供试验设备、取样装置、试验场所和试验条件，并向监理人提交相应进场计划表。</w:t>
      </w:r>
    </w:p>
    <w:p>
      <w:pPr>
        <w:spacing w:line="360" w:lineRule="auto"/>
        <w:ind w:firstLine="420" w:firstLineChars="200"/>
        <w:jc w:val="left"/>
        <w:rPr>
          <w:rFonts w:ascii="宋体" w:hAnsi="宋体"/>
          <w:kern w:val="0"/>
          <w:szCs w:val="21"/>
        </w:rPr>
      </w:pPr>
      <w:r>
        <w:rPr>
          <w:rFonts w:hint="eastAsia" w:ascii="宋体" w:hAnsi="宋体"/>
          <w:kern w:val="0"/>
          <w:szCs w:val="21"/>
        </w:rPr>
        <w:t>承包人配置的试验设备要符合相应试验规程的要求并经过具有资质的检测单位检测，且在正式使用该试验设备前，需要经过监理人与承包人共同校定。</w:t>
      </w:r>
    </w:p>
    <w:p>
      <w:pPr>
        <w:spacing w:line="360" w:lineRule="auto"/>
        <w:ind w:firstLine="420" w:firstLineChars="200"/>
        <w:jc w:val="left"/>
        <w:rPr>
          <w:rFonts w:ascii="宋体" w:hAnsi="宋体"/>
          <w:kern w:val="0"/>
          <w:szCs w:val="21"/>
        </w:rPr>
      </w:pPr>
      <w:r>
        <w:rPr>
          <w:rFonts w:hint="eastAsia" w:ascii="宋体" w:hAnsi="宋体"/>
          <w:kern w:val="0"/>
          <w:szCs w:val="21"/>
        </w:rPr>
        <w:t>9.1.3 承包人应向监理人提交试验人员的名单及其岗位、资格等证明资料，试验人员必须能够熟练进行相应的检测试验，承包人对试验人员的试验程序和试验结果的正确性负责。</w:t>
      </w:r>
    </w:p>
    <w:p>
      <w:pPr>
        <w:pStyle w:val="7"/>
        <w:spacing w:before="0" w:beforeAutospacing="0" w:after="0" w:afterAutospacing="0" w:line="360" w:lineRule="auto"/>
        <w:ind w:firstLine="421" w:firstLineChars="200"/>
        <w:rPr>
          <w:sz w:val="21"/>
          <w:szCs w:val="21"/>
        </w:rPr>
      </w:pPr>
      <w:bookmarkStart w:id="1128" w:name="_Toc532377250"/>
      <w:bookmarkStart w:id="1129" w:name="_Toc351203564"/>
      <w:r>
        <w:rPr>
          <w:rFonts w:hint="eastAsia"/>
          <w:sz w:val="21"/>
          <w:szCs w:val="21"/>
        </w:rPr>
        <w:t>9</w:t>
      </w:r>
      <w:bookmarkStart w:id="1130" w:name="_Toc337558784"/>
      <w:r>
        <w:rPr>
          <w:rFonts w:hint="eastAsia"/>
          <w:sz w:val="21"/>
          <w:szCs w:val="21"/>
        </w:rPr>
        <w:t>.2取样</w:t>
      </w:r>
      <w:bookmarkEnd w:id="1128"/>
      <w:bookmarkEnd w:id="1129"/>
    </w:p>
    <w:bookmarkEnd w:id="1130"/>
    <w:p>
      <w:pPr>
        <w:spacing w:line="360" w:lineRule="auto"/>
        <w:ind w:firstLine="420" w:firstLineChars="200"/>
        <w:jc w:val="left"/>
        <w:rPr>
          <w:rFonts w:ascii="宋体" w:hAnsi="宋体"/>
          <w:kern w:val="0"/>
          <w:szCs w:val="21"/>
        </w:rPr>
      </w:pPr>
      <w:r>
        <w:rPr>
          <w:rFonts w:hint="eastAsia" w:ascii="宋体" w:hAnsi="宋体"/>
          <w:kern w:val="0"/>
          <w:szCs w:val="21"/>
        </w:rPr>
        <w:t>试验属于自检性质的，承包人可以单独取样。试验属于监理人抽检性质的，可由监理人取样，也可由承包人的试验人员在监理人的监督下取样。</w:t>
      </w:r>
    </w:p>
    <w:p>
      <w:pPr>
        <w:pStyle w:val="7"/>
        <w:spacing w:before="0" w:beforeAutospacing="0" w:after="0" w:afterAutospacing="0" w:line="360" w:lineRule="auto"/>
        <w:ind w:firstLine="421" w:firstLineChars="200"/>
        <w:rPr>
          <w:sz w:val="21"/>
          <w:szCs w:val="21"/>
        </w:rPr>
      </w:pPr>
      <w:bookmarkStart w:id="1131" w:name="_Toc532377251"/>
      <w:bookmarkStart w:id="1132" w:name="_Toc351203565"/>
      <w:r>
        <w:rPr>
          <w:rFonts w:hint="eastAsia"/>
          <w:sz w:val="21"/>
          <w:szCs w:val="21"/>
        </w:rPr>
        <w:t>9</w:t>
      </w:r>
      <w:bookmarkStart w:id="1133" w:name="_Toc337558785"/>
      <w:r>
        <w:rPr>
          <w:rFonts w:hint="eastAsia"/>
          <w:sz w:val="21"/>
          <w:szCs w:val="21"/>
        </w:rPr>
        <w:t>.3材料、工程设备和工程的试验和检验</w:t>
      </w:r>
      <w:bookmarkEnd w:id="1131"/>
      <w:bookmarkEnd w:id="1132"/>
    </w:p>
    <w:bookmarkEnd w:id="1133"/>
    <w:p>
      <w:pPr>
        <w:spacing w:line="360" w:lineRule="auto"/>
        <w:ind w:firstLine="420" w:firstLineChars="200"/>
        <w:jc w:val="left"/>
        <w:rPr>
          <w:rFonts w:ascii="宋体" w:hAnsi="宋体"/>
          <w:kern w:val="0"/>
          <w:szCs w:val="21"/>
        </w:rPr>
      </w:pPr>
      <w:r>
        <w:rPr>
          <w:rFonts w:hint="eastAsia" w:ascii="宋体" w:hAnsi="宋体"/>
          <w:kern w:val="0"/>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420" w:firstLineChars="200"/>
        <w:jc w:val="left"/>
        <w:rPr>
          <w:rFonts w:ascii="宋体" w:hAnsi="宋体"/>
          <w:kern w:val="0"/>
          <w:szCs w:val="21"/>
        </w:rPr>
      </w:pPr>
      <w:r>
        <w:rPr>
          <w:rFonts w:hint="eastAsia" w:ascii="宋体" w:hAnsi="宋体"/>
          <w:kern w:val="0"/>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360" w:lineRule="auto"/>
        <w:ind w:firstLine="420" w:firstLineChars="200"/>
        <w:jc w:val="left"/>
        <w:rPr>
          <w:rFonts w:ascii="宋体" w:hAnsi="宋体"/>
          <w:kern w:val="0"/>
          <w:szCs w:val="21"/>
        </w:rPr>
      </w:pPr>
      <w:r>
        <w:rPr>
          <w:rFonts w:hint="eastAsia" w:ascii="宋体" w:hAnsi="宋体"/>
          <w:kern w:val="0"/>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7"/>
        <w:spacing w:before="0" w:beforeAutospacing="0" w:after="0" w:afterAutospacing="0" w:line="360" w:lineRule="auto"/>
        <w:ind w:firstLine="421" w:firstLineChars="200"/>
        <w:rPr>
          <w:sz w:val="21"/>
          <w:szCs w:val="21"/>
        </w:rPr>
      </w:pPr>
      <w:bookmarkStart w:id="1134" w:name="_Toc351203566"/>
      <w:bookmarkStart w:id="1135" w:name="_Toc532377252"/>
      <w:r>
        <w:rPr>
          <w:rFonts w:hint="eastAsia"/>
          <w:sz w:val="21"/>
          <w:szCs w:val="21"/>
        </w:rPr>
        <w:t>9</w:t>
      </w:r>
      <w:bookmarkStart w:id="1136" w:name="_Toc337558786"/>
      <w:r>
        <w:rPr>
          <w:rFonts w:hint="eastAsia"/>
          <w:sz w:val="21"/>
          <w:szCs w:val="21"/>
        </w:rPr>
        <w:t>.4现场工艺试验</w:t>
      </w:r>
      <w:bookmarkEnd w:id="1134"/>
      <w:bookmarkEnd w:id="1135"/>
    </w:p>
    <w:bookmarkEnd w:id="1136"/>
    <w:p>
      <w:pPr>
        <w:spacing w:line="360" w:lineRule="auto"/>
        <w:ind w:firstLine="420" w:firstLineChars="200"/>
        <w:jc w:val="left"/>
        <w:rPr>
          <w:rFonts w:ascii="宋体" w:hAnsi="宋体"/>
          <w:kern w:val="0"/>
          <w:szCs w:val="21"/>
        </w:rPr>
      </w:pPr>
      <w:r>
        <w:rPr>
          <w:rFonts w:hint="eastAsia" w:ascii="宋体" w:hAnsi="宋体"/>
          <w:kern w:val="0"/>
          <w:szCs w:val="21"/>
        </w:rPr>
        <w:t>承包人应按合同约定或监理人指示进行现场工艺试验。对大型的现场工艺试验，监理人认为必要时，承包人应根据监理人提出的工艺试验要求，编制工艺试验措施计划，报送监理人审查。</w:t>
      </w:r>
    </w:p>
    <w:p>
      <w:pPr>
        <w:pStyle w:val="6"/>
        <w:keepNext/>
        <w:keepLines/>
        <w:spacing w:before="156" w:beforeLines="50" w:beforeAutospacing="0" w:after="156" w:afterLines="50" w:afterAutospacing="0" w:line="360" w:lineRule="auto"/>
        <w:jc w:val="both"/>
        <w:rPr>
          <w:bCs w:val="0"/>
          <w:kern w:val="2"/>
          <w:sz w:val="21"/>
          <w:szCs w:val="21"/>
        </w:rPr>
      </w:pPr>
      <w:bookmarkStart w:id="1137" w:name="_Toc532377253"/>
      <w:bookmarkStart w:id="1138" w:name="_Toc351203567"/>
      <w:bookmarkStart w:id="1139" w:name="_Toc532375596"/>
      <w:r>
        <w:rPr>
          <w:rFonts w:hint="eastAsia"/>
          <w:kern w:val="2"/>
          <w:sz w:val="21"/>
          <w:szCs w:val="21"/>
        </w:rPr>
        <w:t>1</w:t>
      </w:r>
      <w:bookmarkStart w:id="1140" w:name="_Toc337558787"/>
      <w:r>
        <w:rPr>
          <w:rFonts w:hint="eastAsia"/>
          <w:kern w:val="2"/>
          <w:sz w:val="21"/>
          <w:szCs w:val="21"/>
        </w:rPr>
        <w:t>0. 变更</w:t>
      </w:r>
      <w:bookmarkEnd w:id="1123"/>
      <w:bookmarkEnd w:id="1124"/>
      <w:bookmarkEnd w:id="1137"/>
      <w:bookmarkEnd w:id="1138"/>
      <w:bookmarkEnd w:id="1139"/>
    </w:p>
    <w:bookmarkEnd w:id="1140"/>
    <w:p>
      <w:pPr>
        <w:pStyle w:val="7"/>
        <w:spacing w:before="0" w:beforeAutospacing="0" w:after="0" w:afterAutospacing="0" w:line="360" w:lineRule="auto"/>
        <w:ind w:firstLine="421" w:firstLineChars="200"/>
        <w:rPr>
          <w:sz w:val="21"/>
          <w:szCs w:val="21"/>
        </w:rPr>
      </w:pPr>
      <w:bookmarkStart w:id="1141" w:name="_Toc351203568"/>
      <w:bookmarkStart w:id="1142" w:name="_Toc532377254"/>
      <w:r>
        <w:rPr>
          <w:rFonts w:hint="eastAsia"/>
          <w:sz w:val="21"/>
          <w:szCs w:val="21"/>
        </w:rPr>
        <w:t>1</w:t>
      </w:r>
      <w:bookmarkStart w:id="1143" w:name="_Toc296503084"/>
      <w:bookmarkStart w:id="1144" w:name="_Toc296346585"/>
      <w:bookmarkStart w:id="1145" w:name="_Toc337558788"/>
      <w:r>
        <w:rPr>
          <w:rFonts w:hint="eastAsia"/>
          <w:sz w:val="21"/>
          <w:szCs w:val="21"/>
        </w:rPr>
        <w:t>0.1变更的范围</w:t>
      </w:r>
      <w:bookmarkEnd w:id="1141"/>
      <w:bookmarkEnd w:id="1142"/>
    </w:p>
    <w:bookmarkEnd w:id="1143"/>
    <w:bookmarkEnd w:id="1144"/>
    <w:bookmarkEnd w:id="114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除专用合同条款另有约定外，合同履行过程中发生以下情形的，应按照本条约定进行变更：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（1）增加或减少合同中任何工作，或追加额外的工作；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（2）取消合同中任何工作，但转由他人实施的工作除外；</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（3）改变合同中任何工作的质量标准或其他特性；</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（4）改变工程的基线、标高、位置和尺寸；</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（5）改变工程的时间安排或实施顺序。</w:t>
      </w:r>
    </w:p>
    <w:p>
      <w:pPr>
        <w:pStyle w:val="7"/>
        <w:spacing w:before="0" w:beforeAutospacing="0" w:after="0" w:afterAutospacing="0" w:line="360" w:lineRule="auto"/>
        <w:ind w:firstLine="421" w:firstLineChars="200"/>
        <w:rPr>
          <w:sz w:val="21"/>
          <w:szCs w:val="21"/>
        </w:rPr>
      </w:pPr>
      <w:bookmarkStart w:id="1146" w:name="_Toc532377255"/>
      <w:r>
        <w:rPr>
          <w:rFonts w:hint="eastAsia"/>
          <w:sz w:val="21"/>
          <w:szCs w:val="21"/>
        </w:rPr>
        <w:t>10.2变更权</w:t>
      </w:r>
      <w:bookmarkEnd w:id="114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涉及设计变更的，应由设计人提供变更后的图纸和说明。如变更超过原设计标准或批准的建设规模时，发包人应及时办理规划、设计变更等审批手续。</w:t>
      </w:r>
    </w:p>
    <w:p>
      <w:pPr>
        <w:pStyle w:val="7"/>
        <w:spacing w:before="0" w:beforeAutospacing="0" w:after="0" w:afterAutospacing="0" w:line="360" w:lineRule="auto"/>
        <w:ind w:firstLine="421" w:firstLineChars="200"/>
        <w:rPr>
          <w:sz w:val="21"/>
          <w:szCs w:val="21"/>
        </w:rPr>
      </w:pPr>
      <w:bookmarkStart w:id="1147" w:name="_Toc532377256"/>
      <w:r>
        <w:rPr>
          <w:rFonts w:hint="eastAsia"/>
          <w:sz w:val="21"/>
          <w:szCs w:val="21"/>
        </w:rPr>
        <w:t>10.3变更程序</w:t>
      </w:r>
      <w:bookmarkEnd w:id="114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10.3.1 发包人提出变更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发包人提出变更的，应通过监理人向承包人发出变更指示，变更指示应说明计划变更的工程范围和变更的内容。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10.3.2 监理人提出变更建议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10.3.3 变更执行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pStyle w:val="7"/>
        <w:spacing w:before="0" w:beforeAutospacing="0" w:after="0" w:afterAutospacing="0" w:line="360" w:lineRule="auto"/>
        <w:ind w:firstLine="421" w:firstLineChars="200"/>
        <w:rPr>
          <w:sz w:val="21"/>
          <w:szCs w:val="21"/>
        </w:rPr>
      </w:pPr>
      <w:bookmarkStart w:id="1148" w:name="_Toc351203571"/>
      <w:bookmarkStart w:id="1149" w:name="_Toc532377257"/>
      <w:r>
        <w:rPr>
          <w:rFonts w:hint="eastAsia"/>
          <w:sz w:val="21"/>
          <w:szCs w:val="21"/>
        </w:rPr>
        <w:t>1</w:t>
      </w:r>
      <w:bookmarkStart w:id="1150" w:name="_Toc296346588"/>
      <w:bookmarkStart w:id="1151" w:name="_Toc296503087"/>
      <w:bookmarkStart w:id="1152" w:name="_Toc337558791"/>
      <w:r>
        <w:rPr>
          <w:rFonts w:hint="eastAsia"/>
          <w:sz w:val="21"/>
          <w:szCs w:val="21"/>
        </w:rPr>
        <w:t>0.4变更估价</w:t>
      </w:r>
      <w:bookmarkEnd w:id="1148"/>
      <w:bookmarkEnd w:id="1149"/>
    </w:p>
    <w:bookmarkEnd w:id="1150"/>
    <w:bookmarkEnd w:id="1151"/>
    <w:bookmarkEnd w:id="115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10.4.1 变更估价原则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除专用合同条款另有约定外，变更估价按照本款约定处理：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（1）已标价工程量清单或预算书有相同项目的，按照相同项目单价认定；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（2）已标价工程量清单或预算书中无相同项目，但有类似项目的，参照类似项目的单价认定；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10.4.2 变更估价程序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因变更引起的价格调整应计入最近一期的进度款中支付。</w:t>
      </w:r>
    </w:p>
    <w:p>
      <w:pPr>
        <w:pStyle w:val="7"/>
        <w:spacing w:before="0" w:beforeAutospacing="0" w:after="0" w:afterAutospacing="0" w:line="360" w:lineRule="auto"/>
        <w:ind w:firstLine="421" w:firstLineChars="200"/>
        <w:rPr>
          <w:sz w:val="21"/>
          <w:szCs w:val="21"/>
        </w:rPr>
      </w:pPr>
      <w:bookmarkStart w:id="1153" w:name="_Toc532377258"/>
      <w:bookmarkStart w:id="1154" w:name="_Toc351203572"/>
      <w:r>
        <w:rPr>
          <w:rFonts w:hint="eastAsia"/>
          <w:sz w:val="21"/>
          <w:szCs w:val="21"/>
        </w:rPr>
        <w:t>1</w:t>
      </w:r>
      <w:bookmarkStart w:id="1155" w:name="_Toc296346595"/>
      <w:bookmarkStart w:id="1156" w:name="_Toc337558792"/>
      <w:bookmarkStart w:id="1157" w:name="_Toc296503094"/>
      <w:r>
        <w:rPr>
          <w:rFonts w:hint="eastAsia"/>
          <w:sz w:val="21"/>
          <w:szCs w:val="21"/>
        </w:rPr>
        <w:t>0.5承包人的合理化建议</w:t>
      </w:r>
      <w:bookmarkEnd w:id="1153"/>
      <w:bookmarkEnd w:id="1154"/>
    </w:p>
    <w:bookmarkEnd w:id="1155"/>
    <w:bookmarkEnd w:id="1156"/>
    <w:bookmarkEnd w:id="115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承包人提出合理化建议的，应向监理人提交合理化建议说明，说明建议的内容和理由，以及实施该建议对合同价格和工期的影响。</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合理化建议降低了合同价格或者提高了工程经济效益的，发包人可对承包人给予奖励，奖励的方法和金额在专用合同条款中约定。</w:t>
      </w:r>
    </w:p>
    <w:p>
      <w:pPr>
        <w:pStyle w:val="7"/>
        <w:spacing w:before="0" w:beforeAutospacing="0" w:after="0" w:afterAutospacing="0" w:line="360" w:lineRule="auto"/>
        <w:ind w:firstLine="421" w:firstLineChars="200"/>
        <w:rPr>
          <w:sz w:val="21"/>
          <w:szCs w:val="21"/>
        </w:rPr>
      </w:pPr>
      <w:bookmarkStart w:id="1158" w:name="_Toc351203573"/>
      <w:bookmarkStart w:id="1159" w:name="_Toc532377259"/>
      <w:r>
        <w:rPr>
          <w:rFonts w:hint="eastAsia"/>
          <w:sz w:val="21"/>
          <w:szCs w:val="21"/>
        </w:rPr>
        <w:t>1</w:t>
      </w:r>
      <w:bookmarkStart w:id="1160" w:name="_Toc337558793"/>
      <w:r>
        <w:rPr>
          <w:rFonts w:hint="eastAsia"/>
          <w:sz w:val="21"/>
          <w:szCs w:val="21"/>
        </w:rPr>
        <w:t>0.6变更引起的工期调整</w:t>
      </w:r>
      <w:bookmarkEnd w:id="1158"/>
      <w:bookmarkEnd w:id="1159"/>
      <w:bookmarkEnd w:id="1160"/>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因变更引起工期变化的，合同当事人均可要求调整合同工期，由合同当事人按照第4.4款〔商定或确定〕并参考工程所在地的工期定额标准确定增减工期天数。</w:t>
      </w:r>
    </w:p>
    <w:p>
      <w:pPr>
        <w:pStyle w:val="7"/>
        <w:spacing w:before="0" w:beforeAutospacing="0" w:after="0" w:afterAutospacing="0" w:line="360" w:lineRule="auto"/>
        <w:ind w:firstLine="421" w:firstLineChars="200"/>
        <w:rPr>
          <w:sz w:val="21"/>
          <w:szCs w:val="21"/>
        </w:rPr>
      </w:pPr>
      <w:bookmarkStart w:id="1161" w:name="_Toc532377260"/>
      <w:bookmarkStart w:id="1162" w:name="_Toc351203574"/>
      <w:r>
        <w:rPr>
          <w:rFonts w:hint="eastAsia"/>
          <w:sz w:val="21"/>
          <w:szCs w:val="21"/>
        </w:rPr>
        <w:t>10.7暂估价</w:t>
      </w:r>
      <w:bookmarkEnd w:id="1161"/>
      <w:bookmarkEnd w:id="1162"/>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暂估价专业分包工程、服务、材料和工程设备的明细由合同当事人在专用合同条款中约定。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10.7.1 依法必须招标的暂估价项目</w:t>
      </w:r>
    </w:p>
    <w:p>
      <w:pPr>
        <w:spacing w:line="360" w:lineRule="auto"/>
        <w:ind w:firstLine="420" w:firstLineChars="200"/>
        <w:jc w:val="left"/>
        <w:rPr>
          <w:rFonts w:ascii="宋体" w:hAnsi="宋体"/>
          <w:kern w:val="0"/>
          <w:szCs w:val="21"/>
        </w:rPr>
      </w:pPr>
      <w:r>
        <w:rPr>
          <w:rFonts w:hint="eastAsia" w:ascii="宋体" w:hAnsi="宋体"/>
          <w:kern w:val="0"/>
          <w:szCs w:val="21"/>
        </w:rPr>
        <w:t>对于依法必须招标的暂估价项目，采取以下第1种方式确定。合同当事人也可以在专用合同条款中选择其他招标方式。</w:t>
      </w:r>
    </w:p>
    <w:p>
      <w:pPr>
        <w:spacing w:line="360" w:lineRule="auto"/>
        <w:ind w:firstLine="420" w:firstLineChars="200"/>
        <w:jc w:val="left"/>
        <w:rPr>
          <w:rFonts w:ascii="宋体" w:hAnsi="宋体"/>
          <w:kern w:val="0"/>
          <w:szCs w:val="21"/>
        </w:rPr>
      </w:pPr>
      <w:r>
        <w:rPr>
          <w:rFonts w:hint="eastAsia" w:ascii="宋体" w:hAnsi="宋体"/>
          <w:kern w:val="0"/>
          <w:szCs w:val="21"/>
        </w:rPr>
        <w:t>第1种方式：对于依法必须招标的暂估价项目，由承包人招标，对该暂估价项目的确认和批准按照以下约定执行：</w:t>
      </w:r>
    </w:p>
    <w:p>
      <w:pPr>
        <w:spacing w:line="360" w:lineRule="auto"/>
        <w:ind w:firstLine="420" w:firstLineChars="200"/>
        <w:jc w:val="left"/>
        <w:rPr>
          <w:rFonts w:ascii="宋体" w:hAnsi="宋体"/>
          <w:kern w:val="0"/>
          <w:szCs w:val="21"/>
        </w:rPr>
      </w:pPr>
      <w:r>
        <w:rPr>
          <w:rFonts w:hint="eastAsia" w:ascii="宋体" w:hAnsi="宋体"/>
          <w:kern w:val="0"/>
          <w:szCs w:val="21"/>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spacing w:line="360" w:lineRule="auto"/>
        <w:ind w:firstLine="420" w:firstLineChars="200"/>
        <w:jc w:val="left"/>
        <w:rPr>
          <w:rFonts w:ascii="宋体" w:hAnsi="宋体"/>
          <w:kern w:val="0"/>
          <w:szCs w:val="21"/>
        </w:rPr>
      </w:pPr>
      <w:r>
        <w:rPr>
          <w:rFonts w:hint="eastAsia" w:ascii="宋体" w:hAnsi="宋体"/>
          <w:kern w:val="0"/>
          <w:szCs w:val="21"/>
        </w:rPr>
        <w:t>（2）承包人应当根据施工进度计划，提前14天将招标文件通过监理人报送发包人审批，发包人应当在收到承包人报送的相关文件后7天内完成审批或提出修改意见；发包人有权确定最高限价并按照法律规定参加评标；</w:t>
      </w:r>
    </w:p>
    <w:p>
      <w:pPr>
        <w:spacing w:line="360" w:lineRule="auto"/>
        <w:ind w:firstLine="420" w:firstLineChars="200"/>
        <w:jc w:val="left"/>
        <w:rPr>
          <w:rFonts w:ascii="宋体" w:hAnsi="宋体"/>
          <w:kern w:val="0"/>
          <w:szCs w:val="21"/>
        </w:rPr>
      </w:pPr>
      <w:r>
        <w:rPr>
          <w:rFonts w:hint="eastAsia" w:ascii="宋体" w:hAnsi="宋体"/>
          <w:kern w:val="0"/>
          <w:szCs w:val="21"/>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spacing w:line="360" w:lineRule="auto"/>
        <w:ind w:firstLine="420" w:firstLineChars="200"/>
        <w:jc w:val="left"/>
        <w:rPr>
          <w:rFonts w:ascii="宋体" w:hAnsi="宋体"/>
          <w:kern w:val="0"/>
          <w:szCs w:val="21"/>
        </w:rPr>
      </w:pPr>
      <w:r>
        <w:rPr>
          <w:rFonts w:hint="eastAsia" w:ascii="宋体" w:hAnsi="宋体"/>
          <w:kern w:val="0"/>
          <w:szCs w:val="21"/>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spacing w:line="360" w:lineRule="auto"/>
        <w:ind w:firstLine="420" w:firstLineChars="200"/>
        <w:jc w:val="left"/>
        <w:rPr>
          <w:rFonts w:ascii="宋体" w:hAnsi="宋体"/>
          <w:kern w:val="0"/>
          <w:szCs w:val="21"/>
        </w:rPr>
      </w:pPr>
      <w:r>
        <w:rPr>
          <w:rFonts w:hint="eastAsia" w:ascii="宋体" w:hAnsi="宋体"/>
          <w:kern w:val="0"/>
          <w:szCs w:val="21"/>
        </w:rPr>
        <w:t>10.7.2不属于依法必须招标的暂估价项目</w:t>
      </w:r>
    </w:p>
    <w:p>
      <w:pPr>
        <w:spacing w:line="360" w:lineRule="auto"/>
        <w:ind w:firstLine="420" w:firstLineChars="200"/>
        <w:jc w:val="left"/>
        <w:rPr>
          <w:rFonts w:ascii="宋体" w:hAnsi="宋体"/>
          <w:kern w:val="0"/>
          <w:szCs w:val="21"/>
        </w:rPr>
      </w:pPr>
      <w:r>
        <w:rPr>
          <w:rFonts w:hint="eastAsia" w:ascii="宋体" w:hAnsi="宋体"/>
          <w:kern w:val="0"/>
          <w:szCs w:val="21"/>
        </w:rPr>
        <w:t xml:space="preserve">除专用合同条款另有约定外，对于不属于依法必须招标的暂估价项目，采取以下第1种方式确定： </w:t>
      </w:r>
    </w:p>
    <w:p>
      <w:pPr>
        <w:spacing w:line="360" w:lineRule="auto"/>
        <w:ind w:firstLine="420" w:firstLineChars="200"/>
        <w:jc w:val="left"/>
        <w:rPr>
          <w:rFonts w:ascii="宋体" w:hAnsi="宋体"/>
          <w:kern w:val="0"/>
          <w:szCs w:val="21"/>
        </w:rPr>
      </w:pPr>
      <w:r>
        <w:rPr>
          <w:rFonts w:hint="eastAsia" w:ascii="宋体" w:hAnsi="宋体"/>
          <w:kern w:val="0"/>
          <w:szCs w:val="21"/>
        </w:rPr>
        <w:t>第1种方式：对于不属于依法必须招标的暂估价项目，按本项约定确认和批准：</w:t>
      </w:r>
    </w:p>
    <w:p>
      <w:pPr>
        <w:spacing w:line="360" w:lineRule="auto"/>
        <w:ind w:firstLine="420" w:firstLineChars="200"/>
        <w:jc w:val="left"/>
        <w:rPr>
          <w:rFonts w:ascii="宋体" w:hAnsi="宋体"/>
          <w:kern w:val="0"/>
          <w:szCs w:val="21"/>
        </w:rPr>
      </w:pPr>
      <w:r>
        <w:rPr>
          <w:rFonts w:hint="eastAsia" w:ascii="宋体" w:hAnsi="宋体"/>
          <w:kern w:val="0"/>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auto"/>
        <w:ind w:firstLine="420" w:firstLineChars="200"/>
        <w:jc w:val="left"/>
        <w:rPr>
          <w:rFonts w:ascii="宋体" w:hAnsi="宋体"/>
          <w:kern w:val="0"/>
          <w:szCs w:val="21"/>
        </w:rPr>
      </w:pPr>
      <w:r>
        <w:rPr>
          <w:rFonts w:hint="eastAsia" w:ascii="宋体" w:hAnsi="宋体"/>
          <w:kern w:val="0"/>
          <w:szCs w:val="21"/>
        </w:rPr>
        <w:t>（2）发包人认为承包人确定的供应商、分包人无法满足工程质量或合同要求的，发包人可以要求承包人重新确定暂估价项目的供应商、分包人;</w:t>
      </w:r>
    </w:p>
    <w:p>
      <w:pPr>
        <w:spacing w:line="360" w:lineRule="auto"/>
        <w:ind w:firstLine="420" w:firstLineChars="200"/>
        <w:jc w:val="left"/>
        <w:rPr>
          <w:rFonts w:ascii="宋体" w:hAnsi="宋体"/>
          <w:kern w:val="0"/>
          <w:szCs w:val="21"/>
        </w:rPr>
      </w:pPr>
      <w:r>
        <w:rPr>
          <w:rFonts w:hint="eastAsia" w:ascii="宋体" w:hAnsi="宋体"/>
          <w:kern w:val="0"/>
          <w:szCs w:val="21"/>
        </w:rPr>
        <w:t>（3）承包人应当在签订暂估价合同后7天内，将暂估价合同副本报送发包人留存。</w:t>
      </w:r>
    </w:p>
    <w:p>
      <w:pPr>
        <w:spacing w:line="360" w:lineRule="auto"/>
        <w:ind w:firstLine="420" w:firstLineChars="200"/>
        <w:jc w:val="left"/>
        <w:rPr>
          <w:rFonts w:ascii="宋体" w:hAnsi="宋体"/>
          <w:kern w:val="0"/>
          <w:szCs w:val="21"/>
        </w:rPr>
      </w:pPr>
      <w:r>
        <w:rPr>
          <w:rFonts w:hint="eastAsia" w:ascii="宋体" w:hAnsi="宋体"/>
          <w:kern w:val="0"/>
          <w:szCs w:val="21"/>
        </w:rPr>
        <w:t>第2种方式：承包人按照第10.7.1项〔依法必须招标的暂估价项目〕约定的第1种方式确定暂估价项目。</w:t>
      </w:r>
    </w:p>
    <w:p>
      <w:pPr>
        <w:spacing w:line="360" w:lineRule="auto"/>
        <w:ind w:firstLine="420" w:firstLineChars="200"/>
        <w:jc w:val="left"/>
        <w:rPr>
          <w:rFonts w:ascii="宋体" w:hAnsi="宋体"/>
          <w:kern w:val="0"/>
          <w:szCs w:val="21"/>
        </w:rPr>
      </w:pPr>
      <w:r>
        <w:rPr>
          <w:rFonts w:hint="eastAsia" w:ascii="宋体" w:hAnsi="宋体"/>
          <w:kern w:val="0"/>
          <w:szCs w:val="21"/>
        </w:rPr>
        <w:t>第3种方式：承包人直接实施的暂估价项目</w:t>
      </w:r>
    </w:p>
    <w:p>
      <w:pPr>
        <w:spacing w:line="360" w:lineRule="auto"/>
        <w:ind w:firstLine="420" w:firstLineChars="200"/>
        <w:jc w:val="left"/>
        <w:rPr>
          <w:rFonts w:ascii="宋体" w:hAnsi="宋体"/>
          <w:kern w:val="0"/>
          <w:szCs w:val="21"/>
        </w:rPr>
      </w:pPr>
      <w:r>
        <w:rPr>
          <w:rFonts w:hint="eastAsia" w:ascii="宋体" w:hAnsi="宋体"/>
          <w:kern w:val="0"/>
          <w:szCs w:val="21"/>
        </w:rPr>
        <w:t>承包人具备实施暂估价项目的资格和条件的，经发包人和承包人协商一致后，可由承包人自行实施暂估价项目，合同当事人可以在专用合同条款约定具体事项。</w:t>
      </w:r>
    </w:p>
    <w:p>
      <w:pPr>
        <w:spacing w:line="360" w:lineRule="auto"/>
        <w:ind w:firstLine="420" w:firstLineChars="200"/>
        <w:jc w:val="left"/>
        <w:rPr>
          <w:rFonts w:ascii="宋体" w:hAnsi="宋体"/>
          <w:kern w:val="0"/>
          <w:szCs w:val="21"/>
        </w:rPr>
      </w:pPr>
      <w:r>
        <w:rPr>
          <w:rFonts w:hint="eastAsia" w:ascii="宋体" w:hAnsi="宋体"/>
          <w:kern w:val="0"/>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7"/>
        <w:spacing w:before="0" w:beforeAutospacing="0" w:after="0" w:afterAutospacing="0" w:line="360" w:lineRule="auto"/>
        <w:ind w:firstLine="421" w:firstLineChars="200"/>
        <w:rPr>
          <w:sz w:val="21"/>
          <w:szCs w:val="21"/>
        </w:rPr>
      </w:pPr>
      <w:bookmarkStart w:id="1163" w:name="_Toc351203575"/>
      <w:bookmarkStart w:id="1164" w:name="_Toc532377261"/>
      <w:r>
        <w:rPr>
          <w:rFonts w:hint="eastAsia"/>
          <w:sz w:val="21"/>
          <w:szCs w:val="21"/>
        </w:rPr>
        <w:t>1</w:t>
      </w:r>
      <w:bookmarkStart w:id="1165" w:name="_Toc337558794"/>
      <w:bookmarkStart w:id="1166" w:name="_Toc296503090"/>
      <w:bookmarkStart w:id="1167" w:name="_Toc296346591"/>
      <w:bookmarkStart w:id="1168" w:name="_Toc322522561"/>
      <w:r>
        <w:rPr>
          <w:rFonts w:hint="eastAsia"/>
          <w:sz w:val="21"/>
          <w:szCs w:val="21"/>
        </w:rPr>
        <w:t>0.8暂列金额</w:t>
      </w:r>
      <w:bookmarkEnd w:id="1163"/>
      <w:bookmarkEnd w:id="1164"/>
    </w:p>
    <w:bookmarkEnd w:id="116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暂列金额应按照发包人的要求使用，发包人的要求应通过监理人发出。合同当事人可以在专用合同条款中协商确定有关事项。</w:t>
      </w:r>
    </w:p>
    <w:bookmarkEnd w:id="1166"/>
    <w:bookmarkEnd w:id="1167"/>
    <w:bookmarkEnd w:id="1168"/>
    <w:p>
      <w:pPr>
        <w:pStyle w:val="7"/>
        <w:spacing w:before="0" w:beforeAutospacing="0" w:after="0" w:afterAutospacing="0" w:line="360" w:lineRule="auto"/>
        <w:ind w:firstLine="421" w:firstLineChars="200"/>
        <w:rPr>
          <w:sz w:val="21"/>
          <w:szCs w:val="21"/>
        </w:rPr>
      </w:pPr>
      <w:bookmarkStart w:id="1169" w:name="_Toc532377262"/>
      <w:bookmarkStart w:id="1170" w:name="_Toc351203576"/>
      <w:r>
        <w:rPr>
          <w:rFonts w:hint="eastAsia"/>
          <w:sz w:val="21"/>
          <w:szCs w:val="21"/>
        </w:rPr>
        <w:t>1</w:t>
      </w:r>
      <w:bookmarkStart w:id="1171" w:name="_Toc296503091"/>
      <w:bookmarkStart w:id="1172" w:name="_Toc296346592"/>
      <w:bookmarkStart w:id="1173" w:name="_Toc337558796"/>
      <w:r>
        <w:rPr>
          <w:rFonts w:hint="eastAsia"/>
          <w:sz w:val="21"/>
          <w:szCs w:val="21"/>
        </w:rPr>
        <w:t>0.9计日工</w:t>
      </w:r>
      <w:bookmarkEnd w:id="1169"/>
      <w:bookmarkEnd w:id="1170"/>
      <w:bookmarkEnd w:id="1171"/>
      <w:bookmarkEnd w:id="1172"/>
      <w:bookmarkEnd w:id="117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pPr>
        <w:spacing w:line="360" w:lineRule="auto"/>
        <w:ind w:firstLine="420" w:firstLineChars="200"/>
        <w:jc w:val="left"/>
        <w:rPr>
          <w:rFonts w:ascii="宋体" w:hAnsi="宋体"/>
          <w:kern w:val="0"/>
          <w:szCs w:val="21"/>
        </w:rPr>
      </w:pPr>
      <w:r>
        <w:rPr>
          <w:rFonts w:hint="eastAsia" w:ascii="宋体" w:hAnsi="宋体"/>
          <w:kern w:val="0"/>
          <w:szCs w:val="21"/>
        </w:rPr>
        <w:t>采用计日工计价的任何一项工作，承包人应在该项工作实施过程中，每天提交以下报表和有关凭证报送监理人审查：</w:t>
      </w:r>
    </w:p>
    <w:p>
      <w:pPr>
        <w:spacing w:line="360" w:lineRule="auto"/>
        <w:ind w:firstLine="420" w:firstLineChars="200"/>
        <w:jc w:val="left"/>
        <w:rPr>
          <w:rFonts w:ascii="宋体" w:hAnsi="宋体"/>
          <w:kern w:val="0"/>
          <w:szCs w:val="21"/>
        </w:rPr>
      </w:pPr>
      <w:r>
        <w:rPr>
          <w:rFonts w:hint="eastAsia" w:ascii="宋体" w:hAnsi="宋体"/>
          <w:kern w:val="0"/>
          <w:szCs w:val="21"/>
        </w:rPr>
        <w:t>（1）工作名称、内容和数量；</w:t>
      </w:r>
    </w:p>
    <w:p>
      <w:pPr>
        <w:spacing w:line="360" w:lineRule="auto"/>
        <w:ind w:firstLine="420" w:firstLineChars="200"/>
        <w:jc w:val="left"/>
        <w:rPr>
          <w:rFonts w:ascii="宋体" w:hAnsi="宋体"/>
          <w:kern w:val="0"/>
          <w:szCs w:val="21"/>
        </w:rPr>
      </w:pPr>
      <w:r>
        <w:rPr>
          <w:rFonts w:hint="eastAsia" w:ascii="宋体" w:hAnsi="宋体"/>
          <w:kern w:val="0"/>
          <w:szCs w:val="21"/>
        </w:rPr>
        <w:t>（2）投入该工作的所有人员的姓名、专业、工种、级别和耗用工时；</w:t>
      </w:r>
    </w:p>
    <w:p>
      <w:pPr>
        <w:spacing w:line="360" w:lineRule="auto"/>
        <w:ind w:firstLine="420" w:firstLineChars="200"/>
        <w:jc w:val="left"/>
        <w:rPr>
          <w:rFonts w:ascii="宋体" w:hAnsi="宋体"/>
          <w:kern w:val="0"/>
          <w:szCs w:val="21"/>
        </w:rPr>
      </w:pPr>
      <w:r>
        <w:rPr>
          <w:rFonts w:hint="eastAsia" w:ascii="宋体" w:hAnsi="宋体"/>
          <w:kern w:val="0"/>
          <w:szCs w:val="21"/>
        </w:rPr>
        <w:t>（3）投入该工作的材料类别和数量；</w:t>
      </w:r>
    </w:p>
    <w:p>
      <w:pPr>
        <w:spacing w:line="360" w:lineRule="auto"/>
        <w:ind w:firstLine="420" w:firstLineChars="200"/>
        <w:jc w:val="left"/>
        <w:rPr>
          <w:rFonts w:ascii="宋体" w:hAnsi="宋体"/>
          <w:kern w:val="0"/>
          <w:szCs w:val="21"/>
        </w:rPr>
      </w:pPr>
      <w:r>
        <w:rPr>
          <w:rFonts w:hint="eastAsia" w:ascii="宋体" w:hAnsi="宋体"/>
          <w:kern w:val="0"/>
          <w:szCs w:val="21"/>
        </w:rPr>
        <w:t>（4）投入该工作的施工设备型号、台数和耗用台时；</w:t>
      </w:r>
    </w:p>
    <w:p>
      <w:pPr>
        <w:spacing w:line="360" w:lineRule="auto"/>
        <w:ind w:firstLine="420" w:firstLineChars="200"/>
        <w:jc w:val="left"/>
        <w:rPr>
          <w:rFonts w:ascii="宋体" w:hAnsi="宋体"/>
          <w:kern w:val="0"/>
          <w:szCs w:val="21"/>
        </w:rPr>
      </w:pPr>
      <w:r>
        <w:rPr>
          <w:rFonts w:hint="eastAsia" w:ascii="宋体" w:hAnsi="宋体"/>
          <w:kern w:val="0"/>
          <w:szCs w:val="21"/>
        </w:rPr>
        <w:t>（5）其他有关资料和凭证。</w:t>
      </w:r>
    </w:p>
    <w:p>
      <w:pPr>
        <w:spacing w:line="360" w:lineRule="auto"/>
        <w:ind w:firstLine="420" w:firstLineChars="200"/>
        <w:jc w:val="left"/>
        <w:rPr>
          <w:rFonts w:ascii="宋体" w:hAnsi="宋体"/>
          <w:kern w:val="0"/>
          <w:szCs w:val="21"/>
        </w:rPr>
      </w:pPr>
      <w:r>
        <w:rPr>
          <w:rFonts w:hint="eastAsia" w:ascii="宋体" w:hAnsi="宋体"/>
          <w:kern w:val="0"/>
          <w:szCs w:val="21"/>
        </w:rPr>
        <w:t xml:space="preserve"> 计日工由承包人汇总后，列入最近一期进度付款申请单，由监理人审查并经发包人批准后列入进度付款。</w:t>
      </w:r>
    </w:p>
    <w:p>
      <w:pPr>
        <w:pStyle w:val="6"/>
        <w:keepNext/>
        <w:keepLines/>
        <w:spacing w:before="156" w:beforeLines="50" w:beforeAutospacing="0" w:after="156" w:afterLines="50" w:afterAutospacing="0" w:line="360" w:lineRule="auto"/>
        <w:jc w:val="both"/>
        <w:rPr>
          <w:bCs w:val="0"/>
          <w:kern w:val="2"/>
          <w:sz w:val="21"/>
          <w:szCs w:val="21"/>
        </w:rPr>
      </w:pPr>
      <w:bookmarkStart w:id="1174" w:name="_Toc532375597"/>
      <w:bookmarkStart w:id="1175" w:name="_Toc351203577"/>
      <w:bookmarkStart w:id="1176" w:name="_Toc532377263"/>
      <w:r>
        <w:rPr>
          <w:rFonts w:hint="eastAsia"/>
          <w:kern w:val="2"/>
          <w:sz w:val="21"/>
          <w:szCs w:val="21"/>
        </w:rPr>
        <w:t>11. 价格调整</w:t>
      </w:r>
      <w:bookmarkEnd w:id="1174"/>
      <w:bookmarkEnd w:id="1175"/>
      <w:bookmarkEnd w:id="1176"/>
    </w:p>
    <w:p>
      <w:pPr>
        <w:pStyle w:val="7"/>
        <w:spacing w:before="0" w:beforeAutospacing="0" w:after="0" w:afterAutospacing="0" w:line="360" w:lineRule="auto"/>
        <w:ind w:firstLine="421" w:firstLineChars="200"/>
        <w:rPr>
          <w:sz w:val="21"/>
          <w:szCs w:val="21"/>
        </w:rPr>
      </w:pPr>
      <w:bookmarkStart w:id="1177" w:name="_Toc532377264"/>
      <w:bookmarkStart w:id="1178" w:name="_Toc351203578"/>
      <w:bookmarkStart w:id="1179" w:name="_Toc296346593"/>
      <w:bookmarkStart w:id="1180" w:name="_Toc296503092"/>
      <w:bookmarkStart w:id="1181" w:name="_Toc337558797"/>
      <w:r>
        <w:rPr>
          <w:rFonts w:hint="eastAsia"/>
          <w:sz w:val="21"/>
          <w:szCs w:val="21"/>
        </w:rPr>
        <w:t>11.1市场价格波动引起的调整</w:t>
      </w:r>
      <w:bookmarkEnd w:id="1177"/>
      <w:bookmarkEnd w:id="1178"/>
    </w:p>
    <w:bookmarkEnd w:id="1179"/>
    <w:bookmarkEnd w:id="1180"/>
    <w:bookmarkEnd w:id="1181"/>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除专用合同条款另有约定外，市场价格波动超过合同当事人约定的范围，合同价格应当调整。合同当事人可以在专用合同条款中约定选择以下一种方式对合同价格进行调整：</w:t>
      </w:r>
    </w:p>
    <w:p>
      <w:pPr>
        <w:spacing w:line="360" w:lineRule="auto"/>
        <w:ind w:firstLine="420" w:firstLineChars="200"/>
        <w:jc w:val="left"/>
        <w:rPr>
          <w:rFonts w:ascii="宋体" w:hAnsi="宋体"/>
          <w:kern w:val="0"/>
          <w:szCs w:val="21"/>
        </w:rPr>
      </w:pPr>
      <w:r>
        <w:rPr>
          <w:rFonts w:hint="eastAsia" w:ascii="宋体" w:hAnsi="宋体"/>
          <w:kern w:val="0"/>
          <w:szCs w:val="21"/>
        </w:rPr>
        <w:t>第1种方式：采用价格指数进行价格调整。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（1）价格调整公式</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因人工、材料和设备等价格波动影响合同价格时，根据专用合同条款中约定的数据，按以下公式计算差额并调整合同价格：</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5" o:spt="75" type="#_x0000_t75" style="height:43pt;width:360pt;" o:ole="t" filled="f" o:preferrelative="t" stroked="f" coordsize="21600,21600">
            <v:path/>
            <v:fill on="f" focussize="0,0"/>
            <v:stroke on="f" joinstyle="miter"/>
            <v:imagedata r:id="rId13" o:title=""/>
            <o:lock v:ext="edit" aspectratio="t"/>
            <w10:wrap type="none"/>
            <w10:anchorlock/>
          </v:shape>
          <o:OLEObject Type="Embed" ProgID="Equation.3" ShapeID="_x0000_i1025" DrawAspect="Content" ObjectID="_1468075725" r:id="rId12">
            <o:LockedField>false</o:LockedField>
          </o:OLEObject>
        </w:object>
      </w:r>
    </w:p>
    <w:p>
      <w:pPr>
        <w:tabs>
          <w:tab w:val="left" w:pos="0"/>
          <w:tab w:val="left" w:pos="360"/>
          <w:tab w:val="left" w:pos="540"/>
        </w:tabs>
        <w:spacing w:line="360" w:lineRule="auto"/>
        <w:ind w:firstLine="200"/>
        <w:jc w:val="left"/>
        <w:rPr>
          <w:rFonts w:ascii="宋体" w:hAnsi="宋体"/>
          <w:kern w:val="0"/>
          <w:szCs w:val="21"/>
        </w:rPr>
      </w:pPr>
      <w:r>
        <w:rPr>
          <w:rFonts w:hint="eastAsia" w:ascii="宋体" w:hAnsi="宋体"/>
          <w:kern w:val="0"/>
          <w:szCs w:val="21"/>
        </w:rPr>
        <w:t>公式中：ΔP——需调整的价格差额；</w:t>
      </w:r>
    </w:p>
    <w:p>
      <w:pPr>
        <w:tabs>
          <w:tab w:val="left" w:pos="0"/>
          <w:tab w:val="left" w:pos="360"/>
          <w:tab w:val="left" w:pos="540"/>
        </w:tabs>
        <w:spacing w:line="360" w:lineRule="auto"/>
        <w:ind w:firstLine="1260" w:firstLineChars="600"/>
        <w:jc w:val="left"/>
        <w:rPr>
          <w:rFonts w:ascii="宋体" w:hAnsi="宋体"/>
          <w:kern w:val="0"/>
          <w:szCs w:val="21"/>
        </w:rPr>
      </w:pPr>
      <w:r>
        <w:rPr>
          <w:rFonts w:hint="eastAsia" w:ascii="宋体" w:hAnsi="宋体"/>
          <w:kern w:val="0"/>
          <w:szCs w:val="21"/>
        </w:rPr>
        <w:object>
          <v:shape id="_x0000_i1026" o:spt="75" type="#_x0000_t75" style="height:18.5pt;width:18.5pt;" o:ole="t" filled="f" o:preferrelative="t" stroked="f" coordsize="21600,21600">
            <v:path/>
            <v:fill on="f" focussize="0,0"/>
            <v:stroke on="f" joinstyle="miter"/>
            <v:imagedata r:id="rId15" o:title=""/>
            <o:lock v:ext="edit" aspectratio="t"/>
            <w10:wrap type="none"/>
            <w10:anchorlock/>
          </v:shape>
          <o:OLEObject Type="Embed" ProgID="Equation.3" ShapeID="_x0000_i1026" DrawAspect="Content" ObjectID="_1468075726" r:id="rId14">
            <o:LockedField>false</o:LockedField>
          </o:OLEObject>
        </w:object>
      </w:r>
      <w:r>
        <w:rPr>
          <w:rFonts w:hint="eastAsia" w:ascii="宋体" w:hAnsi="宋体"/>
          <w:kern w:val="0"/>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A——定值权重（即不调部分的权重）；</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7" o:spt="75" type="#_x0000_t75" style="height:22pt;width:100.5pt;" o:ole="t" filled="f" o:preferrelative="t" stroked="f" coordsize="21600,21600">
            <v:path/>
            <v:fill on="f" focussize="0,0"/>
            <v:stroke on="f" joinstyle="miter"/>
            <v:imagedata r:id="rId17" o:title=""/>
            <o:lock v:ext="edit" aspectratio="t"/>
            <w10:wrap type="none"/>
            <w10:anchorlock/>
          </v:shape>
          <o:OLEObject Type="Embed" ProgID="Equation.3" ShapeID="_x0000_i1027" DrawAspect="Content" ObjectID="_1468075727" r:id="rId16">
            <o:LockedField>false</o:LockedField>
          </o:OLEObject>
        </w:object>
      </w:r>
      <w:r>
        <w:rPr>
          <w:rFonts w:hint="eastAsia" w:ascii="宋体" w:hAnsi="宋体"/>
          <w:kern w:val="0"/>
          <w:szCs w:val="21"/>
        </w:rPr>
        <w:t>——各可调因子的变值权重（即可调部分的权重），为各可调因子在签约合同价中所占的比例；</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8" o:spt="75" type="#_x0000_t75" style="height:22pt;width:101.5pt;" o:ole="t" filled="f" o:preferrelative="t" stroked="f" coordsize="21600,21600">
            <v:path/>
            <v:fill on="f" focussize="0,0"/>
            <v:stroke on="f" joinstyle="miter"/>
            <v:imagedata r:id="rId19" o:title=""/>
            <o:lock v:ext="edit" aspectratio="t"/>
            <w10:wrap type="none"/>
            <w10:anchorlock/>
          </v:shape>
          <o:OLEObject Type="Embed" ProgID="Equation.3" ShapeID="_x0000_i1028" DrawAspect="Content" ObjectID="_1468075728" r:id="rId18">
            <o:LockedField>false</o:LockedField>
          </o:OLEObject>
        </w:object>
      </w:r>
      <w:r>
        <w:rPr>
          <w:rFonts w:hint="eastAsia" w:ascii="宋体" w:hAnsi="宋体"/>
          <w:kern w:val="0"/>
          <w:szCs w:val="21"/>
        </w:rPr>
        <w:t>——各可调因子的现行价格指数，指约定的付款证书相关周期最后一天的前42天的各可调因子的价格指数；</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9" o:spt="75" type="#_x0000_t75" style="height:22pt;width:109pt;" o:ole="t" filled="f" o:preferrelative="t" stroked="f" coordsize="21600,21600">
            <v:path/>
            <v:fill on="f" focussize="0,0"/>
            <v:stroke on="f" joinstyle="miter"/>
            <v:imagedata r:id="rId21" o:title=""/>
            <o:lock v:ext="edit" aspectratio="t"/>
            <w10:wrap type="none"/>
            <w10:anchorlock/>
          </v:shape>
          <o:OLEObject Type="Embed" ProgID="Equation.3" ShapeID="_x0000_i1029" DrawAspect="Content" ObjectID="_1468075729" r:id="rId20">
            <o:LockedField>false</o:LockedField>
          </o:OLEObject>
        </w:object>
      </w:r>
      <w:r>
        <w:rPr>
          <w:rFonts w:hint="eastAsia" w:ascii="宋体" w:hAnsi="宋体"/>
          <w:kern w:val="0"/>
          <w:szCs w:val="21"/>
        </w:rPr>
        <w:t>——各可调因子的基本价格指数，指基准日期的各可调因子的价格指数。</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（2）暂时确定调整差额</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在计算调整差额时无现行价格指数的，合同当事人同意暂用前次价格指数计算。实际价格指数有调整的，合同当事人进行相应调整。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（3）权重的调整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因变更导致合同约定的权重不合理时，按照第4.4款〔商定或确定〕执行。</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（4）因承包人原因工期延误后的价格调整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auto"/>
        <w:ind w:firstLine="420" w:firstLineChars="200"/>
        <w:jc w:val="left"/>
        <w:rPr>
          <w:rFonts w:ascii="宋体" w:hAnsi="宋体"/>
          <w:kern w:val="0"/>
          <w:szCs w:val="21"/>
        </w:rPr>
      </w:pPr>
      <w:r>
        <w:rPr>
          <w:rFonts w:hint="eastAsia" w:ascii="宋体" w:hAnsi="宋体"/>
          <w:kern w:val="0"/>
          <w:szCs w:val="21"/>
        </w:rPr>
        <w:t>第2种方式：采用造价信息进行价格调整。</w:t>
      </w:r>
    </w:p>
    <w:p>
      <w:pPr>
        <w:spacing w:line="360" w:lineRule="auto"/>
        <w:ind w:firstLine="420" w:firstLineChars="200"/>
        <w:jc w:val="left"/>
        <w:rPr>
          <w:rFonts w:ascii="宋体" w:hAnsi="宋体"/>
          <w:kern w:val="0"/>
          <w:szCs w:val="21"/>
        </w:rPr>
      </w:pPr>
      <w:r>
        <w:rPr>
          <w:rFonts w:hint="eastAsia" w:ascii="宋体" w:hAnsi="宋体"/>
          <w:kern w:val="0"/>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pPr>
        <w:spacing w:line="360" w:lineRule="auto"/>
        <w:ind w:firstLine="420" w:firstLineChars="200"/>
        <w:jc w:val="left"/>
        <w:rPr>
          <w:rFonts w:ascii="宋体" w:hAnsi="宋体"/>
          <w:kern w:val="0"/>
          <w:szCs w:val="21"/>
        </w:rPr>
      </w:pPr>
      <w:r>
        <w:rPr>
          <w:rFonts w:hint="eastAsia" w:ascii="宋体" w:hAnsi="宋体"/>
          <w:kern w:val="0"/>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360" w:lineRule="auto"/>
        <w:ind w:firstLine="420" w:firstLineChars="200"/>
        <w:jc w:val="left"/>
        <w:rPr>
          <w:rFonts w:ascii="宋体" w:hAnsi="宋体"/>
          <w:kern w:val="0"/>
          <w:szCs w:val="21"/>
        </w:rPr>
      </w:pPr>
      <w:r>
        <w:rPr>
          <w:rFonts w:hint="eastAsia" w:ascii="宋体" w:hAnsi="宋体"/>
          <w:kern w:val="0"/>
          <w:szCs w:val="21"/>
        </w:rPr>
        <w:t>（2）材料、工程设备价格变化的价款调整按照发包人提供的基准价格，按以下风险范围规定执行：</w:t>
      </w:r>
    </w:p>
    <w:p>
      <w:pPr>
        <w:spacing w:line="360" w:lineRule="auto"/>
        <w:ind w:firstLine="420" w:firstLineChars="200"/>
        <w:jc w:val="left"/>
        <w:rPr>
          <w:rFonts w:ascii="宋体" w:hAnsi="宋体"/>
          <w:kern w:val="0"/>
          <w:szCs w:val="21"/>
        </w:rPr>
      </w:pPr>
      <w:r>
        <w:rPr>
          <w:rFonts w:hint="eastAsia" w:ascii="宋体" w:hAnsi="宋体"/>
          <w:kern w:val="0"/>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360" w:lineRule="auto"/>
        <w:ind w:firstLine="420" w:firstLineChars="200"/>
        <w:jc w:val="left"/>
        <w:rPr>
          <w:rFonts w:ascii="宋体" w:hAnsi="宋体"/>
          <w:kern w:val="0"/>
          <w:szCs w:val="21"/>
        </w:rPr>
      </w:pPr>
      <w:r>
        <w:rPr>
          <w:rFonts w:hint="eastAsia" w:ascii="宋体" w:hAnsi="宋体"/>
          <w:kern w:val="0"/>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360" w:lineRule="auto"/>
        <w:ind w:firstLine="420" w:firstLineChars="200"/>
        <w:jc w:val="left"/>
        <w:rPr>
          <w:rFonts w:ascii="宋体" w:hAnsi="宋体"/>
          <w:kern w:val="0"/>
          <w:szCs w:val="21"/>
        </w:rPr>
      </w:pPr>
      <w:r>
        <w:rPr>
          <w:rFonts w:hint="eastAsia" w:ascii="宋体" w:hAnsi="宋体"/>
          <w:kern w:val="0"/>
          <w:szCs w:val="21"/>
        </w:rPr>
        <w:t>③承包人在已标价工程量清单或预算书中载明材料单价等于基准价格的：除专用合同条款另有约定外，合同履行期间材料单价涨跌幅以基准价格为基础超过±5%时，其超过部分据实调整。</w:t>
      </w:r>
    </w:p>
    <w:p>
      <w:pPr>
        <w:spacing w:line="360" w:lineRule="auto"/>
        <w:ind w:firstLine="420" w:firstLineChars="200"/>
        <w:jc w:val="left"/>
        <w:rPr>
          <w:rFonts w:ascii="宋体" w:hAnsi="宋体"/>
          <w:kern w:val="0"/>
          <w:szCs w:val="21"/>
        </w:rPr>
      </w:pPr>
      <w:r>
        <w:rPr>
          <w:rFonts w:hint="eastAsia" w:ascii="宋体" w:hAnsi="宋体"/>
          <w:kern w:val="0"/>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360" w:lineRule="auto"/>
        <w:ind w:firstLine="420" w:firstLineChars="200"/>
        <w:jc w:val="left"/>
        <w:rPr>
          <w:rFonts w:ascii="宋体" w:hAnsi="宋体"/>
          <w:kern w:val="0"/>
          <w:szCs w:val="21"/>
        </w:rPr>
      </w:pPr>
      <w:bookmarkStart w:id="1182" w:name="OLE_LINK3"/>
      <w:r>
        <w:rPr>
          <w:rFonts w:hint="eastAsia" w:ascii="宋体" w:hAnsi="宋体"/>
          <w:kern w:val="0"/>
          <w:szCs w:val="21"/>
        </w:rPr>
        <w:t>前述基准价格是指由发包人在招标文件或专用合同条款中给定的材料、工程设备的价格，该价格原则上应当按照省级或行业建设主管部门或其授权的工程造价管理机构发布的信息价编制。</w:t>
      </w:r>
    </w:p>
    <w:p>
      <w:pPr>
        <w:spacing w:line="360" w:lineRule="auto"/>
        <w:ind w:firstLine="420" w:firstLineChars="200"/>
        <w:jc w:val="left"/>
        <w:rPr>
          <w:rFonts w:ascii="宋体" w:hAnsi="宋体"/>
          <w:kern w:val="0"/>
          <w:szCs w:val="21"/>
        </w:rPr>
      </w:pPr>
      <w:r>
        <w:rPr>
          <w:rFonts w:hint="eastAsia" w:ascii="宋体" w:hAnsi="宋体"/>
          <w:kern w:val="0"/>
          <w:szCs w:val="21"/>
        </w:rPr>
        <w:t>（3）施工机械台班单价或施工机械使用费发生变化超过省级或行业建设主管部门或其授权的工程造价管理机构规定的范围时，按规定调整合同价格。</w:t>
      </w:r>
    </w:p>
    <w:p>
      <w:pPr>
        <w:spacing w:line="360" w:lineRule="auto"/>
        <w:ind w:firstLine="420" w:firstLineChars="200"/>
        <w:jc w:val="left"/>
        <w:rPr>
          <w:rFonts w:ascii="宋体" w:hAnsi="宋体"/>
          <w:kern w:val="0"/>
          <w:szCs w:val="21"/>
        </w:rPr>
      </w:pPr>
      <w:r>
        <w:rPr>
          <w:rFonts w:hint="eastAsia" w:ascii="宋体" w:hAnsi="宋体"/>
          <w:kern w:val="0"/>
          <w:szCs w:val="21"/>
        </w:rPr>
        <w:t>第3种方式：专用合同条款约定的其他方式。</w:t>
      </w:r>
    </w:p>
    <w:p>
      <w:pPr>
        <w:pStyle w:val="7"/>
        <w:spacing w:before="0" w:beforeAutospacing="0" w:after="0" w:afterAutospacing="0" w:line="360" w:lineRule="auto"/>
        <w:ind w:firstLine="421" w:firstLineChars="200"/>
        <w:rPr>
          <w:sz w:val="21"/>
          <w:szCs w:val="21"/>
        </w:rPr>
      </w:pPr>
      <w:bookmarkStart w:id="1183" w:name="_Toc351203579"/>
      <w:bookmarkStart w:id="1184" w:name="_Toc532377265"/>
      <w:bookmarkStart w:id="1185" w:name="_Toc296346594"/>
      <w:bookmarkStart w:id="1186" w:name="_Toc337558798"/>
      <w:bookmarkStart w:id="1187" w:name="_Toc296503093"/>
      <w:r>
        <w:rPr>
          <w:rFonts w:hint="eastAsia"/>
          <w:sz w:val="21"/>
          <w:szCs w:val="21"/>
        </w:rPr>
        <w:t>11.2法律变化引起的调整</w:t>
      </w:r>
      <w:bookmarkEnd w:id="1183"/>
      <w:bookmarkEnd w:id="1184"/>
    </w:p>
    <w:bookmarkEnd w:id="1185"/>
    <w:bookmarkEnd w:id="1186"/>
    <w:bookmarkEnd w:id="1187"/>
    <w:p>
      <w:pPr>
        <w:spacing w:line="360" w:lineRule="auto"/>
        <w:ind w:firstLine="420" w:firstLineChars="200"/>
        <w:jc w:val="left"/>
        <w:rPr>
          <w:rFonts w:ascii="宋体" w:hAnsi="宋体"/>
          <w:kern w:val="0"/>
          <w:szCs w:val="21"/>
        </w:rPr>
      </w:pPr>
      <w:r>
        <w:rPr>
          <w:rFonts w:hint="eastAsia" w:ascii="宋体" w:hAnsi="宋体"/>
          <w:kern w:val="0"/>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pPr>
        <w:spacing w:line="360" w:lineRule="auto"/>
        <w:ind w:firstLine="420" w:firstLineChars="200"/>
        <w:jc w:val="left"/>
        <w:rPr>
          <w:rFonts w:ascii="宋体" w:hAnsi="宋体"/>
          <w:kern w:val="0"/>
          <w:szCs w:val="21"/>
        </w:rPr>
      </w:pPr>
      <w:r>
        <w:rPr>
          <w:rFonts w:hint="eastAsia" w:ascii="宋体" w:hAnsi="宋体"/>
          <w:kern w:val="0"/>
          <w:szCs w:val="21"/>
        </w:rPr>
        <w:t>因法律变化引起的合同价格和工期调整，合同当事人无法达成一致的，由总监理工程师按第4.4款〔商定或确定〕的约定处理。</w:t>
      </w:r>
    </w:p>
    <w:p>
      <w:pPr>
        <w:spacing w:line="360" w:lineRule="auto"/>
        <w:ind w:firstLine="420" w:firstLineChars="200"/>
        <w:jc w:val="left"/>
        <w:rPr>
          <w:rFonts w:ascii="宋体" w:hAnsi="宋体"/>
          <w:kern w:val="0"/>
          <w:szCs w:val="21"/>
        </w:rPr>
      </w:pPr>
      <w:r>
        <w:rPr>
          <w:rFonts w:hint="eastAsia" w:ascii="宋体" w:hAnsi="宋体"/>
          <w:kern w:val="0"/>
          <w:szCs w:val="21"/>
        </w:rPr>
        <w:t>因承包人原因造成工期延误，在工期延误期间出现法律变化的，由此增加的费用和（或）延误的工期由承包人承担。</w:t>
      </w:r>
    </w:p>
    <w:p>
      <w:pPr>
        <w:pStyle w:val="6"/>
        <w:keepNext/>
        <w:keepLines/>
        <w:spacing w:before="156" w:beforeLines="50" w:beforeAutospacing="0" w:after="156" w:afterLines="50" w:afterAutospacing="0" w:line="360" w:lineRule="auto"/>
        <w:jc w:val="both"/>
        <w:rPr>
          <w:bCs w:val="0"/>
          <w:kern w:val="2"/>
          <w:sz w:val="21"/>
          <w:szCs w:val="21"/>
        </w:rPr>
      </w:pPr>
      <w:bookmarkStart w:id="1188" w:name="_Toc351203580"/>
      <w:bookmarkStart w:id="1189" w:name="_Toc532377266"/>
      <w:bookmarkStart w:id="1190" w:name="_Toc532375598"/>
      <w:bookmarkStart w:id="1191" w:name="_Toc337558799"/>
      <w:bookmarkStart w:id="1192" w:name="_Toc296503096"/>
      <w:bookmarkStart w:id="1193" w:name="_Toc296346597"/>
      <w:r>
        <w:rPr>
          <w:rFonts w:hint="eastAsia"/>
          <w:kern w:val="2"/>
          <w:sz w:val="21"/>
          <w:szCs w:val="21"/>
        </w:rPr>
        <w:t>12. 合同价格、计量与支付</w:t>
      </w:r>
      <w:bookmarkEnd w:id="1188"/>
      <w:bookmarkEnd w:id="1189"/>
      <w:bookmarkEnd w:id="1190"/>
    </w:p>
    <w:bookmarkEnd w:id="1191"/>
    <w:p>
      <w:pPr>
        <w:pStyle w:val="7"/>
        <w:spacing w:before="0" w:beforeAutospacing="0" w:after="0" w:afterAutospacing="0" w:line="360" w:lineRule="auto"/>
        <w:ind w:firstLine="421" w:firstLineChars="200"/>
        <w:rPr>
          <w:sz w:val="21"/>
          <w:szCs w:val="21"/>
        </w:rPr>
      </w:pPr>
      <w:bookmarkStart w:id="1194" w:name="_Toc532377267"/>
      <w:bookmarkStart w:id="1195" w:name="_Toc351203581"/>
      <w:bookmarkStart w:id="1196" w:name="_Toc337558800"/>
      <w:r>
        <w:rPr>
          <w:rFonts w:hint="eastAsia"/>
          <w:sz w:val="21"/>
          <w:szCs w:val="21"/>
        </w:rPr>
        <w:t>12.1 合同价</w:t>
      </w:r>
      <w:bookmarkEnd w:id="1192"/>
      <w:bookmarkEnd w:id="1193"/>
      <w:r>
        <w:rPr>
          <w:rFonts w:hint="eastAsia"/>
          <w:sz w:val="21"/>
          <w:szCs w:val="21"/>
        </w:rPr>
        <w:t>格形式</w:t>
      </w:r>
      <w:bookmarkEnd w:id="1194"/>
      <w:bookmarkEnd w:id="1195"/>
    </w:p>
    <w:bookmarkEnd w:id="1196"/>
    <w:p>
      <w:pPr>
        <w:spacing w:line="360" w:lineRule="auto"/>
        <w:ind w:firstLine="420" w:firstLineChars="200"/>
        <w:jc w:val="left"/>
        <w:rPr>
          <w:rFonts w:ascii="宋体" w:hAnsi="宋体"/>
          <w:kern w:val="0"/>
          <w:szCs w:val="21"/>
        </w:rPr>
      </w:pPr>
      <w:r>
        <w:rPr>
          <w:rFonts w:hint="eastAsia" w:ascii="宋体" w:hAnsi="宋体"/>
          <w:kern w:val="0"/>
          <w:szCs w:val="21"/>
        </w:rPr>
        <w:t xml:space="preserve">发包人和承包人应在合同协议书中选择下列一种合同价格形式： </w:t>
      </w:r>
    </w:p>
    <w:p>
      <w:pPr>
        <w:spacing w:line="360" w:lineRule="auto"/>
        <w:ind w:firstLine="420" w:firstLineChars="200"/>
        <w:jc w:val="left"/>
        <w:rPr>
          <w:rFonts w:ascii="宋体" w:hAnsi="宋体"/>
          <w:kern w:val="0"/>
          <w:szCs w:val="21"/>
        </w:rPr>
      </w:pPr>
      <w:r>
        <w:rPr>
          <w:rFonts w:hint="eastAsia" w:ascii="宋体" w:hAnsi="宋体"/>
          <w:kern w:val="0"/>
          <w:szCs w:val="21"/>
        </w:rPr>
        <w:t>1.单价合同</w:t>
      </w:r>
    </w:p>
    <w:p>
      <w:pPr>
        <w:spacing w:line="360" w:lineRule="auto"/>
        <w:ind w:firstLine="420" w:firstLineChars="200"/>
        <w:jc w:val="left"/>
        <w:rPr>
          <w:rFonts w:ascii="宋体" w:hAnsi="宋体"/>
          <w:kern w:val="0"/>
          <w:szCs w:val="21"/>
        </w:rPr>
      </w:pPr>
      <w:r>
        <w:rPr>
          <w:rFonts w:hint="eastAsia" w:ascii="宋体" w:hAnsi="宋体"/>
          <w:kern w:val="0"/>
          <w:szCs w:val="21"/>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pPr>
        <w:pStyle w:val="7"/>
        <w:spacing w:before="0" w:beforeAutospacing="0" w:after="0" w:afterAutospacing="0" w:line="360" w:lineRule="auto"/>
        <w:ind w:firstLine="420" w:firstLineChars="200"/>
        <w:rPr>
          <w:b w:val="0"/>
          <w:sz w:val="21"/>
          <w:szCs w:val="21"/>
        </w:rPr>
      </w:pPr>
      <w:bookmarkStart w:id="1197" w:name="_Toc532377268"/>
      <w:r>
        <w:rPr>
          <w:rFonts w:hint="eastAsia"/>
          <w:b w:val="0"/>
          <w:sz w:val="21"/>
          <w:szCs w:val="21"/>
        </w:rPr>
        <w:t>2.总价合同</w:t>
      </w:r>
      <w:bookmarkEnd w:id="1197"/>
    </w:p>
    <w:p>
      <w:pPr>
        <w:spacing w:line="360" w:lineRule="auto"/>
        <w:ind w:firstLine="420" w:firstLineChars="200"/>
        <w:jc w:val="left"/>
        <w:rPr>
          <w:rFonts w:ascii="宋体" w:hAnsi="宋体"/>
          <w:kern w:val="0"/>
          <w:szCs w:val="21"/>
        </w:rPr>
      </w:pPr>
      <w:r>
        <w:rPr>
          <w:rFonts w:hint="eastAsia" w:ascii="宋体" w:hAnsi="宋体"/>
          <w:kern w:val="0"/>
          <w:szCs w:val="21"/>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pPr>
        <w:pStyle w:val="7"/>
        <w:spacing w:before="0" w:beforeAutospacing="0" w:after="0" w:afterAutospacing="0" w:line="360" w:lineRule="auto"/>
        <w:ind w:firstLine="420" w:firstLineChars="200"/>
        <w:rPr>
          <w:b w:val="0"/>
          <w:sz w:val="21"/>
          <w:szCs w:val="21"/>
        </w:rPr>
      </w:pPr>
      <w:bookmarkStart w:id="1198" w:name="_Toc532377269"/>
      <w:r>
        <w:rPr>
          <w:rFonts w:hint="eastAsia"/>
          <w:b w:val="0"/>
          <w:sz w:val="21"/>
          <w:szCs w:val="21"/>
        </w:rPr>
        <w:t>3.其它价格形式</w:t>
      </w:r>
      <w:bookmarkEnd w:id="1198"/>
    </w:p>
    <w:p>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合同当事人可在专用合同条款中约定其他合同价格形式。</w:t>
      </w:r>
    </w:p>
    <w:p>
      <w:pPr>
        <w:pStyle w:val="7"/>
        <w:spacing w:before="0" w:beforeAutospacing="0" w:after="0" w:afterAutospacing="0" w:line="360" w:lineRule="auto"/>
        <w:ind w:firstLine="421" w:firstLineChars="200"/>
        <w:rPr>
          <w:sz w:val="21"/>
          <w:szCs w:val="21"/>
        </w:rPr>
      </w:pPr>
      <w:bookmarkStart w:id="1199" w:name="_Toc296503097"/>
      <w:bookmarkStart w:id="1200" w:name="_Toc296346598"/>
      <w:bookmarkStart w:id="1201" w:name="_Toc532377270"/>
      <w:bookmarkStart w:id="1202" w:name="_Toc351203582"/>
      <w:bookmarkStart w:id="1203" w:name="_Toc337558801"/>
      <w:r>
        <w:rPr>
          <w:rFonts w:hint="eastAsia"/>
          <w:sz w:val="21"/>
          <w:szCs w:val="21"/>
        </w:rPr>
        <w:t>12.2预</w:t>
      </w:r>
      <w:bookmarkEnd w:id="1199"/>
      <w:bookmarkEnd w:id="1200"/>
      <w:bookmarkStart w:id="1204" w:name="_Toc296503100"/>
      <w:bookmarkStart w:id="1205" w:name="_Toc296346601"/>
      <w:r>
        <w:rPr>
          <w:rFonts w:hint="eastAsia"/>
          <w:sz w:val="21"/>
          <w:szCs w:val="21"/>
        </w:rPr>
        <w:t>付款</w:t>
      </w:r>
      <w:bookmarkEnd w:id="1201"/>
      <w:bookmarkEnd w:id="1202"/>
    </w:p>
    <w:bookmarkEnd w:id="1203"/>
    <w:bookmarkEnd w:id="1204"/>
    <w:bookmarkEnd w:id="1205"/>
    <w:p>
      <w:pPr>
        <w:spacing w:line="360" w:lineRule="auto"/>
        <w:ind w:firstLine="420" w:firstLineChars="200"/>
        <w:jc w:val="left"/>
        <w:rPr>
          <w:rFonts w:ascii="宋体" w:hAnsi="宋体"/>
          <w:kern w:val="0"/>
          <w:szCs w:val="21"/>
        </w:rPr>
      </w:pPr>
      <w:r>
        <w:rPr>
          <w:rFonts w:hint="eastAsia" w:ascii="宋体" w:hAnsi="宋体"/>
          <w:kern w:val="0"/>
          <w:szCs w:val="21"/>
        </w:rPr>
        <w:t>12.2.1预付款的支付</w:t>
      </w:r>
    </w:p>
    <w:p>
      <w:pPr>
        <w:spacing w:line="360" w:lineRule="auto"/>
        <w:ind w:firstLine="420" w:firstLineChars="200"/>
        <w:jc w:val="left"/>
        <w:rPr>
          <w:rFonts w:ascii="宋体" w:hAnsi="宋体"/>
          <w:kern w:val="0"/>
          <w:szCs w:val="21"/>
        </w:rPr>
      </w:pPr>
      <w:r>
        <w:rPr>
          <w:rFonts w:hint="eastAsia" w:ascii="宋体" w:hAnsi="宋体"/>
          <w:kern w:val="0"/>
          <w:szCs w:val="21"/>
        </w:rPr>
        <w:t>预付款的支付按照专用合同条款约定执行，但至迟应在开工通知载明的开工日期7天前支付。预付款应当用于材料、工程设备、施工设备的采购及修建临时工程、组织施工队伍进场等。</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除专用合同条款另有约定外，预付款在进度付款中同比例扣回。</w:t>
      </w:r>
      <w:bookmarkEnd w:id="1182"/>
      <w:r>
        <w:rPr>
          <w:rFonts w:hint="eastAsia" w:ascii="宋体" w:hAnsi="宋体"/>
          <w:kern w:val="0"/>
          <w:szCs w:val="21"/>
        </w:rPr>
        <w:t>在颁发工程接收证书前，提前解除合同的，尚未扣完的预付款应与合同价款一并结算。</w:t>
      </w:r>
    </w:p>
    <w:p>
      <w:pPr>
        <w:spacing w:line="360" w:lineRule="auto"/>
        <w:ind w:firstLine="420" w:firstLineChars="200"/>
        <w:jc w:val="left"/>
        <w:rPr>
          <w:rFonts w:ascii="宋体" w:hAnsi="宋体"/>
          <w:kern w:val="0"/>
          <w:szCs w:val="21"/>
        </w:rPr>
      </w:pPr>
      <w:r>
        <w:rPr>
          <w:rFonts w:hint="eastAsia" w:ascii="宋体" w:hAnsi="宋体"/>
          <w:kern w:val="0"/>
          <w:szCs w:val="21"/>
        </w:rPr>
        <w:t>发包人逾期支付预付款超过7天的，承包人有权向发包人发出要求预付的催告通知，发包人收到通知后7天内仍未支付的，承包人有权暂停施工，并按第16.1.1项〔发包人违约的情形〕执行。</w:t>
      </w:r>
    </w:p>
    <w:p>
      <w:pPr>
        <w:spacing w:line="360" w:lineRule="auto"/>
        <w:ind w:firstLine="420" w:firstLineChars="200"/>
        <w:jc w:val="left"/>
        <w:rPr>
          <w:rFonts w:ascii="宋体" w:hAnsi="宋体"/>
          <w:kern w:val="0"/>
          <w:szCs w:val="21"/>
        </w:rPr>
      </w:pPr>
      <w:r>
        <w:rPr>
          <w:rFonts w:hint="eastAsia" w:ascii="宋体" w:hAnsi="宋体"/>
          <w:kern w:val="0"/>
          <w:szCs w:val="21"/>
        </w:rPr>
        <w:t>12.2.2 预付款担保</w:t>
      </w:r>
    </w:p>
    <w:p>
      <w:pPr>
        <w:spacing w:line="360" w:lineRule="auto"/>
        <w:ind w:firstLine="420" w:firstLineChars="200"/>
        <w:jc w:val="left"/>
        <w:rPr>
          <w:rFonts w:ascii="宋体" w:hAnsi="宋体"/>
          <w:kern w:val="0"/>
          <w:szCs w:val="21"/>
        </w:rPr>
      </w:pPr>
      <w:r>
        <w:rPr>
          <w:rFonts w:hint="eastAsia" w:ascii="宋体" w:hAnsi="宋体"/>
          <w:kern w:val="0"/>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pPr>
        <w:spacing w:line="360" w:lineRule="auto"/>
        <w:ind w:firstLine="420" w:firstLineChars="200"/>
        <w:jc w:val="left"/>
        <w:rPr>
          <w:rFonts w:ascii="宋体" w:hAnsi="宋体"/>
          <w:kern w:val="0"/>
          <w:szCs w:val="21"/>
        </w:rPr>
      </w:pPr>
      <w:r>
        <w:rPr>
          <w:rFonts w:hint="eastAsia" w:ascii="宋体" w:hAnsi="宋体"/>
          <w:kern w:val="0"/>
          <w:szCs w:val="21"/>
        </w:rPr>
        <w:t>发包人在工程款中逐期扣回预付款后，预付款担保额度应相应减少，但剩余的预付款担保金额不得低于未被扣回的预付款金额。</w:t>
      </w:r>
    </w:p>
    <w:p>
      <w:pPr>
        <w:pStyle w:val="7"/>
        <w:spacing w:before="0" w:beforeAutospacing="0" w:after="0" w:afterAutospacing="0" w:line="360" w:lineRule="auto"/>
        <w:ind w:firstLine="421" w:firstLineChars="200"/>
        <w:rPr>
          <w:sz w:val="21"/>
          <w:szCs w:val="21"/>
        </w:rPr>
      </w:pPr>
      <w:bookmarkStart w:id="1206" w:name="_Toc351203583"/>
      <w:bookmarkStart w:id="1207" w:name="_Toc532377271"/>
      <w:bookmarkStart w:id="1208" w:name="_Toc337558802"/>
      <w:r>
        <w:rPr>
          <w:rFonts w:hint="eastAsia"/>
          <w:sz w:val="21"/>
          <w:szCs w:val="21"/>
        </w:rPr>
        <w:t>12.3计量</w:t>
      </w:r>
      <w:bookmarkEnd w:id="1206"/>
      <w:bookmarkEnd w:id="1207"/>
    </w:p>
    <w:bookmarkEnd w:id="1208"/>
    <w:p>
      <w:pPr>
        <w:spacing w:line="360" w:lineRule="auto"/>
        <w:ind w:firstLine="420" w:firstLineChars="200"/>
        <w:jc w:val="left"/>
        <w:rPr>
          <w:rFonts w:ascii="宋体" w:hAnsi="宋体"/>
          <w:kern w:val="0"/>
          <w:szCs w:val="21"/>
        </w:rPr>
      </w:pPr>
      <w:r>
        <w:rPr>
          <w:rFonts w:hint="eastAsia" w:ascii="宋体" w:hAnsi="宋体"/>
          <w:kern w:val="0"/>
          <w:szCs w:val="21"/>
        </w:rPr>
        <w:t>12.3.1 计量原则</w:t>
      </w:r>
    </w:p>
    <w:p>
      <w:pPr>
        <w:spacing w:line="360" w:lineRule="auto"/>
        <w:ind w:firstLine="420" w:firstLineChars="200"/>
        <w:jc w:val="left"/>
        <w:rPr>
          <w:rFonts w:ascii="宋体" w:hAnsi="宋体"/>
          <w:kern w:val="0"/>
          <w:szCs w:val="21"/>
        </w:rPr>
      </w:pPr>
      <w:r>
        <w:rPr>
          <w:rFonts w:hint="eastAsia" w:ascii="宋体" w:hAnsi="宋体"/>
          <w:kern w:val="0"/>
          <w:szCs w:val="21"/>
        </w:rPr>
        <w:t>工程量计量按照合同约定的工程量计算规则、图纸及变更指示等进行计量。工程量计算规则应以相关的国家标准、行业标准等为依据，由合同当事人在专用合同条款中约定。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12.3.2 计量周期</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除专用合同条款另有约定外，工程量的计量按月进行。</w:t>
      </w:r>
    </w:p>
    <w:p>
      <w:pPr>
        <w:spacing w:line="360" w:lineRule="auto"/>
        <w:ind w:firstLine="420" w:firstLineChars="200"/>
        <w:jc w:val="left"/>
        <w:rPr>
          <w:rFonts w:ascii="宋体" w:hAnsi="宋体"/>
          <w:kern w:val="0"/>
          <w:szCs w:val="21"/>
        </w:rPr>
      </w:pPr>
      <w:r>
        <w:rPr>
          <w:rFonts w:hint="eastAsia" w:ascii="宋体" w:hAnsi="宋体"/>
          <w:kern w:val="0"/>
          <w:szCs w:val="21"/>
        </w:rPr>
        <w:t>12.3.3 单价合同的计量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除专用合同条款另有约定外，单价合同的计量按照本项约定执行：</w:t>
      </w:r>
    </w:p>
    <w:p>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（3）监理人未在收到承包人提交的工程量报表后的7天内完成审核的，承包人报送的工程量报告中的工程量视为承包人实际完成的工程量，据此计算工程价款。</w:t>
      </w:r>
    </w:p>
    <w:p>
      <w:pPr>
        <w:spacing w:line="360" w:lineRule="auto"/>
        <w:ind w:firstLine="420" w:firstLineChars="200"/>
        <w:jc w:val="left"/>
        <w:rPr>
          <w:rFonts w:ascii="宋体" w:hAnsi="宋体"/>
          <w:kern w:val="0"/>
          <w:szCs w:val="21"/>
        </w:rPr>
      </w:pPr>
      <w:r>
        <w:rPr>
          <w:rFonts w:hint="eastAsia" w:ascii="宋体" w:hAnsi="宋体"/>
          <w:kern w:val="0"/>
          <w:szCs w:val="21"/>
        </w:rPr>
        <w:t>12.3.4 总价合同的计量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除专用合同条款另有约定外，按月计量支付的总价合同，按照本项约定执行：</w:t>
      </w:r>
    </w:p>
    <w:p>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（3）监理人未在收到承包人提交的工程量报表后的7天内完成复核的，承包人提交的工程量报告中的工程量视为承包人实际完成的工程量。</w:t>
      </w:r>
    </w:p>
    <w:p>
      <w:pPr>
        <w:spacing w:line="360" w:lineRule="auto"/>
        <w:ind w:firstLine="420" w:firstLineChars="200"/>
        <w:jc w:val="left"/>
        <w:rPr>
          <w:rFonts w:ascii="宋体" w:hAnsi="宋体"/>
          <w:kern w:val="0"/>
          <w:szCs w:val="21"/>
        </w:rPr>
      </w:pPr>
      <w:r>
        <w:rPr>
          <w:rFonts w:hint="eastAsia" w:ascii="宋体" w:hAnsi="宋体"/>
          <w:kern w:val="0"/>
          <w:szCs w:val="21"/>
        </w:rPr>
        <w:t>12.3.5 总价合同采用支付分解表计量支付的，可以按照第12.3.4项〔总价合同的计量〕约定进行计量，但合同价款按照支付分解表进行支付。</w:t>
      </w:r>
    </w:p>
    <w:p>
      <w:pPr>
        <w:spacing w:line="360" w:lineRule="auto"/>
        <w:ind w:firstLine="420" w:firstLineChars="200"/>
        <w:jc w:val="left"/>
        <w:rPr>
          <w:rFonts w:ascii="宋体" w:hAnsi="宋体"/>
          <w:kern w:val="0"/>
          <w:szCs w:val="21"/>
        </w:rPr>
      </w:pPr>
      <w:r>
        <w:rPr>
          <w:rFonts w:hint="eastAsia" w:ascii="宋体" w:hAnsi="宋体"/>
          <w:kern w:val="0"/>
          <w:szCs w:val="21"/>
        </w:rPr>
        <w:t>12.3.6 其他价格形式合同的计量</w:t>
      </w:r>
    </w:p>
    <w:p>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合同当事人可在专用合同条款中约定其他价格形式合同的计量方式和程序。</w:t>
      </w:r>
    </w:p>
    <w:p>
      <w:pPr>
        <w:pStyle w:val="7"/>
        <w:spacing w:before="0" w:beforeAutospacing="0" w:after="0" w:afterAutospacing="0" w:line="360" w:lineRule="auto"/>
        <w:ind w:firstLine="421" w:firstLineChars="200"/>
        <w:rPr>
          <w:sz w:val="21"/>
          <w:szCs w:val="21"/>
        </w:rPr>
      </w:pPr>
      <w:bookmarkStart w:id="1209" w:name="_Toc296503101"/>
      <w:bookmarkStart w:id="1210" w:name="_Toc296346602"/>
      <w:bookmarkStart w:id="1211" w:name="_Toc532377272"/>
      <w:bookmarkStart w:id="1212" w:name="_Toc351203584"/>
      <w:bookmarkStart w:id="1213" w:name="_Toc337558803"/>
      <w:r>
        <w:rPr>
          <w:rFonts w:hint="eastAsia"/>
          <w:sz w:val="21"/>
          <w:szCs w:val="21"/>
        </w:rPr>
        <w:t>12.4工程进度款支</w:t>
      </w:r>
      <w:bookmarkEnd w:id="1209"/>
      <w:bookmarkEnd w:id="1210"/>
      <w:r>
        <w:rPr>
          <w:rFonts w:hint="eastAsia"/>
          <w:sz w:val="21"/>
          <w:szCs w:val="21"/>
        </w:rPr>
        <w:t>付</w:t>
      </w:r>
      <w:bookmarkEnd w:id="1211"/>
      <w:bookmarkEnd w:id="1212"/>
    </w:p>
    <w:bookmarkEnd w:id="1213"/>
    <w:p>
      <w:pPr>
        <w:spacing w:line="360" w:lineRule="auto"/>
        <w:ind w:firstLine="420" w:firstLineChars="200"/>
        <w:jc w:val="left"/>
        <w:rPr>
          <w:rFonts w:ascii="宋体" w:hAnsi="宋体"/>
          <w:kern w:val="0"/>
          <w:szCs w:val="21"/>
        </w:rPr>
      </w:pPr>
      <w:r>
        <w:rPr>
          <w:rFonts w:hint="eastAsia" w:ascii="宋体" w:hAnsi="宋体"/>
          <w:kern w:val="0"/>
          <w:szCs w:val="21"/>
        </w:rPr>
        <w:t>12.4.1 付款周期</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除专用合同条款另有约定外，付款周期应按照第12.3.2项〔计量周期〕的约定与计量周期保持一致。</w:t>
      </w:r>
    </w:p>
    <w:p>
      <w:pPr>
        <w:spacing w:line="360" w:lineRule="auto"/>
        <w:ind w:firstLine="420" w:firstLineChars="200"/>
        <w:jc w:val="left"/>
        <w:rPr>
          <w:rFonts w:ascii="宋体" w:hAnsi="宋体"/>
          <w:kern w:val="0"/>
          <w:szCs w:val="21"/>
        </w:rPr>
      </w:pPr>
      <w:r>
        <w:rPr>
          <w:rFonts w:hint="eastAsia" w:ascii="宋体" w:hAnsi="宋体"/>
          <w:kern w:val="0"/>
          <w:szCs w:val="21"/>
        </w:rPr>
        <w:t>12.4.2 进度付款申请单的编制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除专用合同条款另有约定外，进度付款申请单应包括下列内容：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（1）截至本次付款周期已完成工作对应的金额；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（2）根据第10条〔变更〕应增加和扣减的变更金额；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（3）根据第12.2款〔预付款〕约定应支付的预付款和扣减的返还预付款；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（4）根据第15.3款〔质量保证金〕约定应扣减的质量保证金；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（5）根据第19条〔索赔〕应增加和扣减的索赔金额；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（6）对已签发的进度款支付证书中出现错误的修正，应在本次进度付款中支付或扣除的金额；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（7）根据合同约定应增加和扣减的其他金额。</w:t>
      </w:r>
    </w:p>
    <w:p>
      <w:pPr>
        <w:spacing w:line="360" w:lineRule="auto"/>
        <w:ind w:firstLine="420" w:firstLineChars="200"/>
        <w:jc w:val="left"/>
        <w:rPr>
          <w:rFonts w:ascii="宋体" w:hAnsi="宋体"/>
          <w:kern w:val="0"/>
          <w:szCs w:val="21"/>
        </w:rPr>
      </w:pPr>
      <w:r>
        <w:rPr>
          <w:rFonts w:hint="eastAsia" w:ascii="宋体" w:hAnsi="宋体"/>
          <w:kern w:val="0"/>
          <w:szCs w:val="21"/>
        </w:rPr>
        <w:t>12.4.3 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（1）单价合同进度付款申请单的提交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（2）总价合同进度付款申请单的提交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总价合同按月计量支付的，承包人按照第12.3.4项〔总价合同的计量〕约定的时间按月向监理人提交进度付款申请单，并附上已完成工程量报表和有关资料。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总价合同按支付分解表支付的，承包人应按照第12.4.6项〔支付分解表〕及第12.4.2项〔进度付款申请单的编制〕的约定向监理人提交进度付款申请单。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（3）其他价格形式合同的进度付款申请单的提交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合同当事人可在专用合同条款中约定其他价格形式合同的进度付款申请单的编制和提交程序。</w:t>
      </w:r>
    </w:p>
    <w:p>
      <w:pPr>
        <w:spacing w:line="360" w:lineRule="auto"/>
        <w:ind w:firstLine="420" w:firstLineChars="200"/>
        <w:jc w:val="left"/>
        <w:rPr>
          <w:rFonts w:ascii="宋体" w:hAnsi="宋体"/>
          <w:kern w:val="0"/>
          <w:szCs w:val="21"/>
        </w:rPr>
      </w:pPr>
      <w:r>
        <w:rPr>
          <w:rFonts w:hint="eastAsia" w:ascii="宋体" w:hAnsi="宋体"/>
          <w:kern w:val="0"/>
          <w:szCs w:val="21"/>
        </w:rPr>
        <w:t>12.4.4 进度款审核和支付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（3）发包人签发进度款支付证书或临时进度款支付证书，不表明发包人已同意、批准或接受了承包人完成的相应部分的工作。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12.4.5 进度付款的修正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12.4.6 支付分解表</w:t>
      </w:r>
    </w:p>
    <w:p>
      <w:pPr>
        <w:spacing w:line="360" w:lineRule="auto"/>
        <w:ind w:firstLine="420" w:firstLineChars="200"/>
        <w:jc w:val="left"/>
        <w:rPr>
          <w:rFonts w:ascii="宋体" w:hAnsi="宋体"/>
          <w:kern w:val="0"/>
          <w:szCs w:val="21"/>
        </w:rPr>
      </w:pPr>
      <w:r>
        <w:rPr>
          <w:rFonts w:hint="eastAsia" w:ascii="宋体" w:hAnsi="宋体"/>
          <w:kern w:val="0"/>
          <w:szCs w:val="21"/>
        </w:rPr>
        <w:t>1.支付分解表的编制要求</w:t>
      </w:r>
    </w:p>
    <w:p>
      <w:pPr>
        <w:spacing w:line="360" w:lineRule="auto"/>
        <w:ind w:firstLine="420" w:firstLineChars="200"/>
        <w:jc w:val="left"/>
        <w:rPr>
          <w:rFonts w:ascii="宋体" w:hAnsi="宋体"/>
          <w:kern w:val="0"/>
          <w:szCs w:val="21"/>
        </w:rPr>
      </w:pPr>
      <w:r>
        <w:rPr>
          <w:rFonts w:hint="eastAsia" w:ascii="宋体" w:hAnsi="宋体"/>
          <w:kern w:val="0"/>
          <w:szCs w:val="21"/>
        </w:rPr>
        <w:t>（1）支付分解表中所列的每期付款金额，应为第12.4.2项〔进度付款申请单的编制〕第（1）目的估算金额；</w:t>
      </w:r>
    </w:p>
    <w:p>
      <w:pPr>
        <w:spacing w:line="360" w:lineRule="auto"/>
        <w:ind w:firstLine="420" w:firstLineChars="200"/>
        <w:jc w:val="left"/>
        <w:rPr>
          <w:rFonts w:ascii="宋体" w:hAnsi="宋体"/>
          <w:kern w:val="0"/>
          <w:szCs w:val="21"/>
        </w:rPr>
      </w:pPr>
      <w:r>
        <w:rPr>
          <w:rFonts w:hint="eastAsia" w:ascii="宋体" w:hAnsi="宋体"/>
          <w:kern w:val="0"/>
          <w:szCs w:val="21"/>
        </w:rPr>
        <w:t>（2）实际进度与施工进度计划不一致的，合同当事人可按照第4.4款〔商定或确定〕修改支付分解表；</w:t>
      </w:r>
    </w:p>
    <w:p>
      <w:pPr>
        <w:spacing w:line="360" w:lineRule="auto"/>
        <w:ind w:firstLine="420" w:firstLineChars="200"/>
        <w:jc w:val="left"/>
        <w:rPr>
          <w:rFonts w:ascii="宋体" w:hAnsi="宋体"/>
          <w:kern w:val="0"/>
          <w:szCs w:val="21"/>
        </w:rPr>
      </w:pPr>
      <w:r>
        <w:rPr>
          <w:rFonts w:hint="eastAsia" w:ascii="宋体" w:hAnsi="宋体"/>
          <w:kern w:val="0"/>
          <w:szCs w:val="21"/>
        </w:rPr>
        <w:t>（3）不采用支付分解表的，承包人应向发包人和监理人提交按季度编制的支付估算分解表，用于支付参考。</w:t>
      </w:r>
    </w:p>
    <w:p>
      <w:pPr>
        <w:spacing w:line="360" w:lineRule="auto"/>
        <w:ind w:firstLine="420" w:firstLineChars="200"/>
        <w:jc w:val="left"/>
        <w:rPr>
          <w:rFonts w:ascii="宋体" w:hAnsi="宋体"/>
          <w:kern w:val="0"/>
          <w:szCs w:val="21"/>
        </w:rPr>
      </w:pPr>
      <w:r>
        <w:rPr>
          <w:rFonts w:hint="eastAsia" w:ascii="宋体" w:hAnsi="宋体"/>
          <w:kern w:val="0"/>
          <w:szCs w:val="21"/>
        </w:rPr>
        <w:t>2.总价合同支付分解表的编制与审批</w:t>
      </w:r>
    </w:p>
    <w:p>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360" w:lineRule="auto"/>
        <w:ind w:firstLine="420" w:firstLineChars="200"/>
        <w:jc w:val="left"/>
        <w:rPr>
          <w:rFonts w:ascii="宋体" w:hAnsi="宋体"/>
          <w:kern w:val="0"/>
          <w:szCs w:val="21"/>
        </w:rPr>
      </w:pPr>
      <w:r>
        <w:rPr>
          <w:rFonts w:hint="eastAsia" w:ascii="宋体" w:hAnsi="宋体"/>
          <w:kern w:val="0"/>
          <w:szCs w:val="21"/>
        </w:rPr>
        <w:t>（2）监理人应在收到支付分解表后7天内完成审核并报送发包人。发包人应在收到经监理人审核的支付分解表后7天内完成审批，经发包人批准的支付分解表为有约束力的支付分解表。</w:t>
      </w:r>
    </w:p>
    <w:p>
      <w:pPr>
        <w:spacing w:line="360" w:lineRule="auto"/>
        <w:ind w:firstLine="420" w:firstLineChars="200"/>
        <w:jc w:val="left"/>
        <w:rPr>
          <w:rFonts w:ascii="宋体" w:hAnsi="宋体"/>
          <w:kern w:val="0"/>
          <w:szCs w:val="21"/>
        </w:rPr>
      </w:pPr>
      <w:r>
        <w:rPr>
          <w:rFonts w:hint="eastAsia" w:ascii="宋体" w:hAnsi="宋体"/>
          <w:kern w:val="0"/>
          <w:szCs w:val="21"/>
        </w:rPr>
        <w:t>（3）发包人逾期未完成支付分解表审批的，也未及时要求承包人进行修正和提供补充资料的，则承包人提交的支付分解表视为已经获得发包人批准。</w:t>
      </w:r>
    </w:p>
    <w:p>
      <w:pPr>
        <w:spacing w:line="360" w:lineRule="auto"/>
        <w:ind w:firstLine="420" w:firstLineChars="200"/>
        <w:jc w:val="left"/>
        <w:rPr>
          <w:rFonts w:ascii="宋体" w:hAnsi="宋体"/>
          <w:kern w:val="0"/>
          <w:szCs w:val="21"/>
        </w:rPr>
      </w:pPr>
      <w:r>
        <w:rPr>
          <w:rFonts w:hint="eastAsia" w:ascii="宋体" w:hAnsi="宋体"/>
          <w:kern w:val="0"/>
          <w:szCs w:val="21"/>
        </w:rPr>
        <w:t>3.单价合同的总价项目支付分解表的编制与审批</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Style w:val="7"/>
        <w:spacing w:before="0" w:beforeAutospacing="0" w:after="0" w:afterAutospacing="0" w:line="360" w:lineRule="auto"/>
        <w:ind w:firstLine="421" w:firstLineChars="200"/>
        <w:rPr>
          <w:sz w:val="21"/>
          <w:szCs w:val="21"/>
        </w:rPr>
      </w:pPr>
      <w:bookmarkStart w:id="1214" w:name="_Toc532377273"/>
      <w:r>
        <w:rPr>
          <w:rFonts w:hint="eastAsia"/>
          <w:sz w:val="21"/>
          <w:szCs w:val="21"/>
        </w:rPr>
        <w:t>12.5支付账户</w:t>
      </w:r>
      <w:bookmarkEnd w:id="1214"/>
    </w:p>
    <w:p>
      <w:pPr>
        <w:spacing w:line="360" w:lineRule="auto"/>
        <w:ind w:firstLine="420" w:firstLineChars="200"/>
        <w:jc w:val="left"/>
        <w:rPr>
          <w:rFonts w:ascii="宋体" w:hAnsi="宋体"/>
          <w:kern w:val="0"/>
          <w:szCs w:val="21"/>
        </w:rPr>
      </w:pPr>
      <w:r>
        <w:rPr>
          <w:rFonts w:hint="eastAsia" w:ascii="宋体" w:hAnsi="宋体"/>
          <w:kern w:val="0"/>
          <w:szCs w:val="21"/>
        </w:rPr>
        <w:t>发包人应将合同价款支付至合同协议书中约定的承包人账户。</w:t>
      </w:r>
    </w:p>
    <w:p>
      <w:pPr>
        <w:pStyle w:val="6"/>
        <w:keepNext/>
        <w:keepLines/>
        <w:spacing w:before="156" w:beforeLines="50" w:beforeAutospacing="0" w:after="156" w:afterLines="50" w:afterAutospacing="0" w:line="360" w:lineRule="auto"/>
        <w:jc w:val="both"/>
        <w:rPr>
          <w:bCs w:val="0"/>
          <w:kern w:val="2"/>
          <w:sz w:val="21"/>
          <w:szCs w:val="21"/>
        </w:rPr>
      </w:pPr>
      <w:bookmarkStart w:id="1215" w:name="_Toc532375599"/>
      <w:bookmarkStart w:id="1216" w:name="_Toc351203586"/>
      <w:bookmarkStart w:id="1217" w:name="_Toc532377274"/>
      <w:bookmarkStart w:id="1218" w:name="_Toc296503106"/>
      <w:bookmarkStart w:id="1219" w:name="_Toc296346607"/>
      <w:bookmarkStart w:id="1220" w:name="_Toc337558804"/>
      <w:bookmarkStart w:id="1221" w:name="_Toc322522574"/>
      <w:r>
        <w:rPr>
          <w:rFonts w:hint="eastAsia"/>
          <w:kern w:val="2"/>
          <w:sz w:val="21"/>
          <w:szCs w:val="21"/>
        </w:rPr>
        <w:t>13. 验收和工程试车</w:t>
      </w:r>
      <w:bookmarkEnd w:id="1215"/>
      <w:bookmarkEnd w:id="1216"/>
      <w:bookmarkEnd w:id="1217"/>
    </w:p>
    <w:bookmarkEnd w:id="1218"/>
    <w:bookmarkEnd w:id="1219"/>
    <w:bookmarkEnd w:id="1220"/>
    <w:bookmarkEnd w:id="1221"/>
    <w:p>
      <w:pPr>
        <w:pStyle w:val="7"/>
        <w:spacing w:before="0" w:beforeAutospacing="0" w:after="0" w:afterAutospacing="0" w:line="360" w:lineRule="auto"/>
        <w:ind w:firstLine="421" w:firstLineChars="200"/>
        <w:rPr>
          <w:sz w:val="21"/>
          <w:szCs w:val="21"/>
        </w:rPr>
      </w:pPr>
      <w:bookmarkStart w:id="1222" w:name="_Toc532377275"/>
      <w:bookmarkStart w:id="1223" w:name="_Toc351203587"/>
      <w:bookmarkStart w:id="1224" w:name="_Toc337558805"/>
      <w:bookmarkStart w:id="1225" w:name="_Toc296346611"/>
      <w:bookmarkStart w:id="1226" w:name="_Toc296503110"/>
      <w:r>
        <w:rPr>
          <w:rFonts w:hint="eastAsia"/>
          <w:sz w:val="21"/>
          <w:szCs w:val="21"/>
        </w:rPr>
        <w:t>13.1分部分项工程验收</w:t>
      </w:r>
      <w:bookmarkEnd w:id="1222"/>
      <w:bookmarkEnd w:id="1223"/>
    </w:p>
    <w:bookmarkEnd w:id="1224"/>
    <w:p>
      <w:pPr>
        <w:spacing w:line="360" w:lineRule="auto"/>
        <w:ind w:firstLine="420" w:firstLineChars="200"/>
        <w:jc w:val="left"/>
        <w:rPr>
          <w:rFonts w:ascii="宋体" w:hAnsi="宋体"/>
          <w:kern w:val="0"/>
          <w:szCs w:val="21"/>
        </w:rPr>
      </w:pPr>
      <w:r>
        <w:rPr>
          <w:rFonts w:hint="eastAsia" w:ascii="宋体" w:hAnsi="宋体"/>
          <w:kern w:val="0"/>
          <w:szCs w:val="21"/>
        </w:rPr>
        <w:t>13.1.1 分部分项工程质量应符合国家有关工程施工验收规范、标准及合同约定，承包人应按照施工组织设计的要求完成分部分项工程施工。</w:t>
      </w:r>
    </w:p>
    <w:p>
      <w:pPr>
        <w:spacing w:line="360" w:lineRule="auto"/>
        <w:ind w:firstLine="420" w:firstLineChars="200"/>
        <w:jc w:val="left"/>
        <w:rPr>
          <w:rFonts w:ascii="宋体" w:hAnsi="宋体"/>
          <w:kern w:val="0"/>
          <w:szCs w:val="21"/>
        </w:rPr>
      </w:pPr>
      <w:r>
        <w:rPr>
          <w:rFonts w:hint="eastAsia" w:ascii="宋体" w:hAnsi="宋体"/>
          <w:kern w:val="0"/>
          <w:szCs w:val="21"/>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pPr>
        <w:spacing w:line="360" w:lineRule="auto"/>
        <w:ind w:firstLine="420" w:firstLineChars="200"/>
        <w:jc w:val="left"/>
        <w:rPr>
          <w:rFonts w:ascii="宋体" w:hAnsi="宋体"/>
          <w:kern w:val="0"/>
          <w:szCs w:val="21"/>
        </w:rPr>
      </w:pPr>
      <w:r>
        <w:rPr>
          <w:rFonts w:hint="eastAsia" w:ascii="宋体" w:hAnsi="宋体"/>
          <w:kern w:val="0"/>
          <w:szCs w:val="21"/>
        </w:rPr>
        <w:t>分部分项工程的验收资料应当作为竣工资料的组成部分。</w:t>
      </w:r>
    </w:p>
    <w:p>
      <w:pPr>
        <w:pStyle w:val="7"/>
        <w:spacing w:before="0" w:beforeAutospacing="0" w:after="0" w:afterAutospacing="0" w:line="360" w:lineRule="auto"/>
        <w:ind w:firstLine="421" w:firstLineChars="200"/>
        <w:rPr>
          <w:sz w:val="21"/>
          <w:szCs w:val="21"/>
        </w:rPr>
      </w:pPr>
      <w:bookmarkStart w:id="1227" w:name="_Toc351203588"/>
      <w:bookmarkStart w:id="1228" w:name="_Toc532377276"/>
      <w:bookmarkStart w:id="1229" w:name="_Toc337558806"/>
      <w:r>
        <w:rPr>
          <w:rFonts w:hint="eastAsia"/>
          <w:sz w:val="21"/>
          <w:szCs w:val="21"/>
        </w:rPr>
        <w:t>13.2竣工验收</w:t>
      </w:r>
      <w:bookmarkEnd w:id="1227"/>
      <w:bookmarkEnd w:id="1228"/>
    </w:p>
    <w:bookmarkEnd w:id="1225"/>
    <w:bookmarkEnd w:id="1226"/>
    <w:bookmarkEnd w:id="1229"/>
    <w:p>
      <w:pPr>
        <w:spacing w:line="360" w:lineRule="auto"/>
        <w:ind w:firstLine="420" w:firstLineChars="200"/>
        <w:jc w:val="left"/>
        <w:rPr>
          <w:rFonts w:ascii="宋体" w:hAnsi="宋体"/>
          <w:kern w:val="0"/>
          <w:szCs w:val="21"/>
        </w:rPr>
      </w:pPr>
      <w:r>
        <w:rPr>
          <w:rFonts w:hint="eastAsia" w:ascii="宋体" w:hAnsi="宋体"/>
          <w:kern w:val="0"/>
          <w:szCs w:val="21"/>
        </w:rPr>
        <w:t>13.2.1竣工验收条件</w:t>
      </w:r>
    </w:p>
    <w:p>
      <w:pPr>
        <w:spacing w:line="360" w:lineRule="auto"/>
        <w:ind w:firstLine="420" w:firstLineChars="200"/>
        <w:jc w:val="left"/>
        <w:rPr>
          <w:rFonts w:ascii="宋体" w:hAnsi="宋体"/>
          <w:kern w:val="0"/>
          <w:szCs w:val="21"/>
        </w:rPr>
      </w:pPr>
      <w:r>
        <w:rPr>
          <w:rFonts w:hint="eastAsia" w:ascii="宋体" w:hAnsi="宋体"/>
          <w:kern w:val="0"/>
          <w:szCs w:val="21"/>
        </w:rPr>
        <w:t>工程具备以下条件的，承包人可以申请竣工验收：</w:t>
      </w:r>
    </w:p>
    <w:p>
      <w:pPr>
        <w:spacing w:line="360" w:lineRule="auto"/>
        <w:ind w:firstLine="420" w:firstLineChars="200"/>
        <w:jc w:val="left"/>
        <w:rPr>
          <w:rFonts w:ascii="宋体" w:hAnsi="宋体"/>
          <w:kern w:val="0"/>
          <w:szCs w:val="21"/>
        </w:rPr>
      </w:pPr>
      <w:r>
        <w:rPr>
          <w:rFonts w:hint="eastAsia" w:ascii="宋体" w:hAnsi="宋体"/>
          <w:kern w:val="0"/>
          <w:szCs w:val="21"/>
        </w:rPr>
        <w:t>（1）除发包人同意的甩项工作和缺陷修补工作外，合同范围内的全部工程以及有关工作，包括合同要求的试验、试运行以及检验均已完成，并符合合同要求；</w:t>
      </w:r>
    </w:p>
    <w:p>
      <w:pPr>
        <w:spacing w:line="360" w:lineRule="auto"/>
        <w:ind w:firstLine="420" w:firstLineChars="200"/>
        <w:jc w:val="left"/>
        <w:rPr>
          <w:rFonts w:ascii="宋体" w:hAnsi="宋体"/>
          <w:kern w:val="0"/>
          <w:szCs w:val="21"/>
        </w:rPr>
      </w:pPr>
      <w:r>
        <w:rPr>
          <w:rFonts w:hint="eastAsia" w:ascii="宋体" w:hAnsi="宋体"/>
          <w:kern w:val="0"/>
          <w:szCs w:val="21"/>
        </w:rPr>
        <w:t>（2）已按合同约定编制了甩项工作和缺陷修补工作清单以及相应的施工计划；</w:t>
      </w:r>
    </w:p>
    <w:p>
      <w:pPr>
        <w:spacing w:line="360" w:lineRule="auto"/>
        <w:ind w:firstLine="420" w:firstLineChars="200"/>
        <w:jc w:val="left"/>
        <w:rPr>
          <w:rFonts w:ascii="宋体" w:hAnsi="宋体"/>
          <w:kern w:val="0"/>
          <w:szCs w:val="21"/>
        </w:rPr>
      </w:pPr>
      <w:r>
        <w:rPr>
          <w:rFonts w:hint="eastAsia" w:ascii="宋体" w:hAnsi="宋体"/>
          <w:kern w:val="0"/>
          <w:szCs w:val="21"/>
        </w:rPr>
        <w:t>（3）已按合同约定的内容和份数备齐竣工资料。</w:t>
      </w:r>
    </w:p>
    <w:p>
      <w:pPr>
        <w:spacing w:line="360" w:lineRule="auto"/>
        <w:ind w:firstLine="420" w:firstLineChars="200"/>
        <w:jc w:val="left"/>
        <w:rPr>
          <w:rFonts w:ascii="宋体" w:hAnsi="宋体"/>
          <w:kern w:val="0"/>
          <w:szCs w:val="21"/>
        </w:rPr>
      </w:pPr>
      <w:r>
        <w:rPr>
          <w:rFonts w:hint="eastAsia" w:ascii="宋体" w:hAnsi="宋体"/>
          <w:kern w:val="0"/>
          <w:szCs w:val="21"/>
        </w:rPr>
        <w:t>13.2.2竣工验收程序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除专用合同条款另有约定外，承包人申请竣工验收的，应当按照以下程序进行：</w:t>
      </w:r>
    </w:p>
    <w:p>
      <w:pPr>
        <w:spacing w:line="360" w:lineRule="auto"/>
        <w:ind w:firstLine="420" w:firstLineChars="200"/>
        <w:jc w:val="left"/>
        <w:rPr>
          <w:rFonts w:ascii="宋体" w:hAnsi="宋体"/>
          <w:kern w:val="0"/>
          <w:szCs w:val="21"/>
        </w:rPr>
      </w:pPr>
      <w:r>
        <w:rPr>
          <w:rFonts w:hint="eastAsia" w:ascii="宋体" w:hAnsi="宋体"/>
          <w:kern w:val="0"/>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360" w:lineRule="auto"/>
        <w:ind w:firstLine="420" w:firstLineChars="200"/>
        <w:jc w:val="left"/>
        <w:rPr>
          <w:rFonts w:ascii="宋体" w:hAnsi="宋体"/>
          <w:kern w:val="0"/>
          <w:szCs w:val="21"/>
        </w:rPr>
      </w:pPr>
      <w:r>
        <w:rPr>
          <w:rFonts w:hint="eastAsia" w:ascii="宋体" w:hAnsi="宋体"/>
          <w:kern w:val="0"/>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pPr>
        <w:spacing w:line="360" w:lineRule="auto"/>
        <w:ind w:firstLine="420" w:firstLineChars="200"/>
        <w:jc w:val="left"/>
        <w:rPr>
          <w:rFonts w:ascii="宋体" w:hAnsi="宋体"/>
          <w:kern w:val="0"/>
          <w:szCs w:val="21"/>
        </w:rPr>
      </w:pPr>
      <w:r>
        <w:rPr>
          <w:rFonts w:hint="eastAsia" w:ascii="宋体" w:hAnsi="宋体"/>
          <w:kern w:val="0"/>
          <w:szCs w:val="21"/>
        </w:rPr>
        <w:t>（3）竣工验收合格的，发包人应在验收合格后14天内向承包人签发工程接收证书。发包人无正当理由逾期不颁发工程接收证书的，自验收合格后第15天起视为已颁发工程接收证书。</w:t>
      </w:r>
    </w:p>
    <w:p>
      <w:pPr>
        <w:spacing w:line="360" w:lineRule="auto"/>
        <w:ind w:firstLine="420" w:firstLineChars="200"/>
        <w:jc w:val="left"/>
        <w:rPr>
          <w:rFonts w:ascii="宋体" w:hAnsi="宋体"/>
          <w:kern w:val="0"/>
          <w:szCs w:val="21"/>
        </w:rPr>
      </w:pPr>
      <w:r>
        <w:rPr>
          <w:rFonts w:hint="eastAsia" w:ascii="宋体" w:hAnsi="宋体"/>
          <w:kern w:val="0"/>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auto"/>
        <w:ind w:firstLine="420" w:firstLineChars="200"/>
        <w:jc w:val="left"/>
        <w:rPr>
          <w:rFonts w:ascii="宋体" w:hAnsi="宋体"/>
          <w:kern w:val="0"/>
          <w:szCs w:val="21"/>
        </w:rPr>
      </w:pPr>
      <w:r>
        <w:rPr>
          <w:rFonts w:hint="eastAsia" w:ascii="宋体" w:hAnsi="宋体"/>
          <w:kern w:val="0"/>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除专用合同条款另有约定外，发包人不按照本项约定组织竣工验收、颁发工程接收证书的，每逾期一天，应以签约合同价为基数，按照中国人民银行发布的同期同类贷款基准利率支付违约金。</w:t>
      </w:r>
    </w:p>
    <w:p>
      <w:pPr>
        <w:spacing w:line="360" w:lineRule="auto"/>
        <w:ind w:firstLine="420" w:firstLineChars="200"/>
        <w:jc w:val="left"/>
        <w:rPr>
          <w:rFonts w:ascii="宋体" w:hAnsi="宋体"/>
          <w:kern w:val="0"/>
          <w:szCs w:val="21"/>
        </w:rPr>
      </w:pPr>
      <w:r>
        <w:rPr>
          <w:rFonts w:hint="eastAsia" w:ascii="宋体" w:hAnsi="宋体"/>
          <w:kern w:val="0"/>
          <w:szCs w:val="21"/>
        </w:rPr>
        <w:t>13.2.3竣工日期</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1230" w:name="#go14"/>
      <w:bookmarkEnd w:id="1230"/>
      <w:r>
        <w:rPr>
          <w:rFonts w:hint="eastAsia" w:ascii="宋体" w:hAnsi="宋体"/>
          <w:kern w:val="0"/>
          <w:szCs w:val="21"/>
        </w:rPr>
        <w:t>收申请报告的日期为实际竣工日期；工程未经竣工验收，发包人擅自使用的，以转移占有工程之日为实际竣工日期。</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13.2.4 拒绝接收全部或部分工程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13.2.5 移交、接收全部与部分工程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除专用合同条款另有约定外，合同当事人应当在颁发工程接收证书后7天内完成工程的移交。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承包人无正当理由不移交工程的，承包人应承担工程照管、成品保护、保管等与工程有关的各项费用，合同当事人可以在专用合同条款中另行约定承包人无正当理由不移交工程的违约责任。</w:t>
      </w:r>
    </w:p>
    <w:p>
      <w:pPr>
        <w:pStyle w:val="7"/>
        <w:spacing w:before="0" w:beforeAutospacing="0" w:after="0" w:afterAutospacing="0" w:line="360" w:lineRule="auto"/>
        <w:ind w:firstLine="421" w:firstLineChars="200"/>
        <w:rPr>
          <w:sz w:val="21"/>
          <w:szCs w:val="21"/>
        </w:rPr>
      </w:pPr>
      <w:bookmarkStart w:id="1231" w:name="_Toc351203589"/>
      <w:bookmarkStart w:id="1232" w:name="_Toc532377277"/>
      <w:bookmarkStart w:id="1233" w:name="_Toc296346612"/>
      <w:bookmarkStart w:id="1234" w:name="_Toc337558807"/>
      <w:bookmarkStart w:id="1235" w:name="_Toc296503111"/>
      <w:r>
        <w:rPr>
          <w:rFonts w:hint="eastAsia"/>
          <w:sz w:val="21"/>
          <w:szCs w:val="21"/>
        </w:rPr>
        <w:t>13.3工程试车</w:t>
      </w:r>
      <w:bookmarkEnd w:id="1231"/>
      <w:bookmarkEnd w:id="1232"/>
    </w:p>
    <w:bookmarkEnd w:id="1233"/>
    <w:bookmarkEnd w:id="1234"/>
    <w:bookmarkEnd w:id="1235"/>
    <w:p>
      <w:pPr>
        <w:spacing w:line="360" w:lineRule="auto"/>
        <w:ind w:firstLine="420" w:firstLineChars="200"/>
        <w:jc w:val="left"/>
        <w:rPr>
          <w:rFonts w:ascii="宋体" w:hAnsi="宋体"/>
          <w:kern w:val="0"/>
          <w:szCs w:val="21"/>
        </w:rPr>
      </w:pPr>
      <w:r>
        <w:rPr>
          <w:rFonts w:hint="eastAsia" w:ascii="宋体" w:hAnsi="宋体"/>
          <w:kern w:val="0"/>
          <w:szCs w:val="21"/>
        </w:rPr>
        <w:t>13.3.1试车程序</w:t>
      </w:r>
    </w:p>
    <w:p>
      <w:pPr>
        <w:spacing w:line="360" w:lineRule="auto"/>
        <w:ind w:firstLine="420" w:firstLineChars="200"/>
        <w:jc w:val="left"/>
        <w:rPr>
          <w:rFonts w:ascii="宋体" w:hAnsi="宋体"/>
          <w:kern w:val="0"/>
          <w:szCs w:val="21"/>
        </w:rPr>
      </w:pPr>
      <w:r>
        <w:rPr>
          <w:rFonts w:hint="eastAsia" w:ascii="宋体" w:hAnsi="宋体"/>
          <w:kern w:val="0"/>
          <w:szCs w:val="21"/>
        </w:rPr>
        <w:t>工程需要试车的，除专用合同条款另有约定外，试车内容应与承包人承包范围相一致，试车费用由承包人承担。工程试车应按如下程序进行：</w:t>
      </w:r>
    </w:p>
    <w:p>
      <w:pPr>
        <w:spacing w:line="360" w:lineRule="auto"/>
        <w:ind w:firstLine="420" w:firstLineChars="200"/>
        <w:jc w:val="left"/>
        <w:rPr>
          <w:rFonts w:ascii="宋体" w:hAnsi="宋体"/>
          <w:kern w:val="0"/>
          <w:szCs w:val="21"/>
        </w:rPr>
      </w:pPr>
      <w:r>
        <w:rPr>
          <w:rFonts w:hint="eastAsia" w:ascii="宋体" w:hAnsi="宋体"/>
          <w:kern w:val="0"/>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名。监理人在试车合格后不在试车记录上签名，自试车结束满24小时后视为监理人已经认可试车记录，承包人可继续施工或办理竣工验收手续。</w:t>
      </w:r>
    </w:p>
    <w:p>
      <w:pPr>
        <w:spacing w:line="360" w:lineRule="auto"/>
        <w:ind w:firstLine="420" w:firstLineChars="200"/>
        <w:jc w:val="left"/>
        <w:rPr>
          <w:rFonts w:ascii="宋体" w:hAnsi="宋体"/>
          <w:kern w:val="0"/>
          <w:szCs w:val="21"/>
        </w:rPr>
      </w:pPr>
      <w:r>
        <w:rPr>
          <w:rFonts w:hint="eastAsia" w:ascii="宋体" w:hAnsi="宋体"/>
          <w:kern w:val="0"/>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360" w:lineRule="auto"/>
        <w:ind w:firstLine="420" w:firstLineChars="200"/>
        <w:jc w:val="left"/>
        <w:rPr>
          <w:rFonts w:ascii="宋体" w:hAnsi="宋体"/>
          <w:kern w:val="0"/>
          <w:szCs w:val="21"/>
        </w:rPr>
      </w:pPr>
      <w:r>
        <w:rPr>
          <w:rFonts w:hint="eastAsia" w:ascii="宋体" w:hAnsi="宋体"/>
          <w:kern w:val="0"/>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名。承包人无正当理由不参加试车的，视为认可试车记录。</w:t>
      </w:r>
    </w:p>
    <w:p>
      <w:pPr>
        <w:spacing w:line="360" w:lineRule="auto"/>
        <w:ind w:firstLine="420" w:firstLineChars="200"/>
        <w:jc w:val="left"/>
        <w:rPr>
          <w:rFonts w:ascii="宋体" w:hAnsi="宋体"/>
          <w:kern w:val="0"/>
          <w:szCs w:val="21"/>
        </w:rPr>
      </w:pPr>
      <w:r>
        <w:rPr>
          <w:rFonts w:hint="eastAsia" w:ascii="宋体" w:hAnsi="宋体"/>
          <w:kern w:val="0"/>
          <w:szCs w:val="21"/>
        </w:rPr>
        <w:t>13.3.2 试车中的责任</w:t>
      </w:r>
    </w:p>
    <w:p>
      <w:pPr>
        <w:spacing w:line="360" w:lineRule="auto"/>
        <w:ind w:firstLine="420" w:firstLineChars="200"/>
        <w:jc w:val="left"/>
        <w:rPr>
          <w:rFonts w:ascii="宋体" w:hAnsi="宋体"/>
          <w:kern w:val="0"/>
          <w:szCs w:val="21"/>
        </w:rPr>
      </w:pPr>
      <w:r>
        <w:rPr>
          <w:rFonts w:hint="eastAsia" w:ascii="宋体" w:hAnsi="宋体"/>
          <w:kern w:val="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360" w:lineRule="auto"/>
        <w:ind w:firstLine="420" w:firstLineChars="200"/>
        <w:jc w:val="left"/>
        <w:rPr>
          <w:rFonts w:ascii="宋体" w:hAnsi="宋体"/>
          <w:kern w:val="0"/>
          <w:szCs w:val="21"/>
        </w:rPr>
      </w:pPr>
      <w:r>
        <w:rPr>
          <w:rFonts w:hint="eastAsia" w:ascii="宋体" w:hAnsi="宋体"/>
          <w:kern w:val="0"/>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360" w:lineRule="auto"/>
        <w:ind w:firstLine="420" w:firstLineChars="200"/>
        <w:jc w:val="left"/>
        <w:rPr>
          <w:rFonts w:ascii="宋体" w:hAnsi="宋体"/>
          <w:kern w:val="0"/>
          <w:szCs w:val="21"/>
        </w:rPr>
      </w:pPr>
      <w:r>
        <w:rPr>
          <w:rFonts w:hint="eastAsia" w:ascii="宋体" w:hAnsi="宋体"/>
          <w:kern w:val="0"/>
          <w:szCs w:val="21"/>
        </w:rPr>
        <w:t>13.3.3 投料试车</w:t>
      </w:r>
    </w:p>
    <w:p>
      <w:pPr>
        <w:spacing w:line="360" w:lineRule="auto"/>
        <w:ind w:firstLine="420" w:firstLineChars="200"/>
        <w:jc w:val="left"/>
        <w:rPr>
          <w:rFonts w:ascii="宋体" w:hAnsi="宋体"/>
          <w:kern w:val="0"/>
          <w:szCs w:val="21"/>
        </w:rPr>
      </w:pPr>
      <w:r>
        <w:rPr>
          <w:rFonts w:hint="eastAsia" w:ascii="宋体" w:hAnsi="宋体"/>
          <w:kern w:val="0"/>
          <w:szCs w:val="21"/>
        </w:rPr>
        <w:t>如需进行投料试车的，发包人应在工程竣工验收后组织投料试车。发包人要求在工程竣工验收前进行或需要承包人配合时，应征得承包人同意，并在专用合同条款中约定有关事项。</w:t>
      </w:r>
    </w:p>
    <w:p>
      <w:pPr>
        <w:spacing w:line="360" w:lineRule="auto"/>
        <w:ind w:firstLine="420" w:firstLineChars="200"/>
        <w:jc w:val="left"/>
        <w:rPr>
          <w:rFonts w:ascii="宋体" w:hAnsi="宋体"/>
          <w:kern w:val="0"/>
          <w:szCs w:val="21"/>
        </w:rPr>
      </w:pPr>
      <w:r>
        <w:rPr>
          <w:rFonts w:hint="eastAsia" w:ascii="宋体" w:hAnsi="宋体"/>
          <w:kern w:val="0"/>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pStyle w:val="7"/>
        <w:spacing w:before="0" w:beforeAutospacing="0" w:after="0" w:afterAutospacing="0" w:line="360" w:lineRule="auto"/>
        <w:ind w:firstLine="421" w:firstLineChars="200"/>
        <w:rPr>
          <w:sz w:val="21"/>
          <w:szCs w:val="21"/>
        </w:rPr>
      </w:pPr>
      <w:bookmarkStart w:id="1236" w:name="_Toc532377278"/>
      <w:r>
        <w:rPr>
          <w:rFonts w:hint="eastAsia"/>
          <w:sz w:val="21"/>
          <w:szCs w:val="21"/>
        </w:rPr>
        <w:t>13.4提前交付单位工程的验收</w:t>
      </w:r>
      <w:bookmarkEnd w:id="1236"/>
    </w:p>
    <w:p>
      <w:pPr>
        <w:spacing w:line="360" w:lineRule="auto"/>
        <w:ind w:firstLine="420" w:firstLineChars="200"/>
        <w:jc w:val="left"/>
        <w:rPr>
          <w:rFonts w:ascii="宋体" w:hAnsi="宋体"/>
          <w:kern w:val="0"/>
          <w:szCs w:val="21"/>
        </w:rPr>
      </w:pPr>
      <w:r>
        <w:rPr>
          <w:rFonts w:hint="eastAsia" w:ascii="宋体" w:hAnsi="宋体"/>
          <w:kern w:val="0"/>
          <w:szCs w:val="21"/>
        </w:rPr>
        <w:t>13.4.1 发包人需要在工程竣工前使用单位工程的，或承包人提出提前交付已经竣工的单位工程且经发包人同意的，可进行单位工程验收，验收的程序按照第13.2款〔竣工验收〕的约定进行。</w:t>
      </w:r>
    </w:p>
    <w:p>
      <w:pPr>
        <w:spacing w:line="360" w:lineRule="auto"/>
        <w:ind w:firstLine="420" w:firstLineChars="200"/>
        <w:jc w:val="left"/>
        <w:rPr>
          <w:rFonts w:ascii="宋体" w:hAnsi="宋体"/>
          <w:kern w:val="0"/>
          <w:szCs w:val="21"/>
        </w:rPr>
      </w:pPr>
      <w:r>
        <w:rPr>
          <w:rFonts w:hint="eastAsia" w:ascii="宋体" w:hAnsi="宋体"/>
          <w:kern w:val="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360" w:lineRule="auto"/>
        <w:ind w:firstLine="420" w:firstLineChars="200"/>
        <w:jc w:val="left"/>
        <w:rPr>
          <w:rFonts w:ascii="宋体" w:hAnsi="宋体"/>
          <w:kern w:val="0"/>
          <w:szCs w:val="21"/>
        </w:rPr>
      </w:pPr>
      <w:r>
        <w:rPr>
          <w:rFonts w:hint="eastAsia" w:ascii="宋体" w:hAnsi="宋体"/>
          <w:kern w:val="0"/>
          <w:szCs w:val="21"/>
        </w:rPr>
        <w:t>13.4.2 发包人要求在工程竣工前交付单位工程，由此导致承包人费用增加和（或）工期延误的，由发包人承担由此增加的费用和（或）延误的工期，并支付承包人合理的利润。</w:t>
      </w:r>
    </w:p>
    <w:p>
      <w:pPr>
        <w:pStyle w:val="7"/>
        <w:spacing w:before="0" w:beforeAutospacing="0" w:after="0" w:afterAutospacing="0" w:line="360" w:lineRule="auto"/>
        <w:ind w:firstLine="421" w:firstLineChars="200"/>
        <w:rPr>
          <w:sz w:val="21"/>
          <w:szCs w:val="21"/>
        </w:rPr>
      </w:pPr>
      <w:bookmarkStart w:id="1237" w:name="_Toc351203591"/>
      <w:bookmarkStart w:id="1238" w:name="_Toc532377279"/>
      <w:r>
        <w:rPr>
          <w:rFonts w:hint="eastAsia"/>
          <w:sz w:val="21"/>
          <w:szCs w:val="21"/>
        </w:rPr>
        <w:t>13.5 施工期运行</w:t>
      </w:r>
      <w:bookmarkEnd w:id="1237"/>
      <w:bookmarkEnd w:id="1238"/>
    </w:p>
    <w:p>
      <w:pPr>
        <w:spacing w:line="360" w:lineRule="auto"/>
        <w:ind w:firstLine="420" w:firstLineChars="200"/>
        <w:jc w:val="left"/>
        <w:rPr>
          <w:rFonts w:ascii="宋体" w:hAnsi="宋体"/>
          <w:kern w:val="0"/>
          <w:szCs w:val="21"/>
        </w:rPr>
      </w:pPr>
      <w:r>
        <w:rPr>
          <w:rFonts w:hint="eastAsia" w:ascii="宋体" w:hAnsi="宋体"/>
          <w:kern w:val="0"/>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pPr>
        <w:spacing w:line="360" w:lineRule="auto"/>
        <w:ind w:firstLine="420" w:firstLineChars="200"/>
        <w:jc w:val="left"/>
        <w:rPr>
          <w:rFonts w:ascii="宋体" w:hAnsi="宋体"/>
          <w:kern w:val="0"/>
          <w:szCs w:val="21"/>
        </w:rPr>
      </w:pPr>
      <w:r>
        <w:rPr>
          <w:rFonts w:hint="eastAsia" w:ascii="宋体" w:hAnsi="宋体"/>
          <w:kern w:val="0"/>
          <w:szCs w:val="21"/>
        </w:rPr>
        <w:t>13.5.2 在施工期运行中发现工程或工程设备损坏或存在缺陷的，由承包人按第15.2款〔缺陷责任期〕约定进行修复。</w:t>
      </w:r>
    </w:p>
    <w:p>
      <w:pPr>
        <w:pStyle w:val="7"/>
        <w:spacing w:before="0" w:beforeAutospacing="0" w:after="0" w:afterAutospacing="0" w:line="360" w:lineRule="auto"/>
        <w:ind w:firstLine="421" w:firstLineChars="200"/>
        <w:rPr>
          <w:sz w:val="21"/>
          <w:szCs w:val="21"/>
        </w:rPr>
      </w:pPr>
      <w:bookmarkStart w:id="1239" w:name="_Toc296346613"/>
      <w:bookmarkStart w:id="1240" w:name="_Toc296503112"/>
      <w:bookmarkStart w:id="1241" w:name="_Toc532377280"/>
      <w:bookmarkStart w:id="1242" w:name="_Toc351203592"/>
      <w:bookmarkStart w:id="1243" w:name="_Toc337558809"/>
      <w:r>
        <w:rPr>
          <w:rFonts w:hint="eastAsia"/>
          <w:sz w:val="21"/>
          <w:szCs w:val="21"/>
        </w:rPr>
        <w:t>13.6 竣工退</w:t>
      </w:r>
      <w:bookmarkEnd w:id="1239"/>
      <w:bookmarkEnd w:id="1240"/>
      <w:r>
        <w:rPr>
          <w:rFonts w:hint="eastAsia"/>
          <w:sz w:val="21"/>
          <w:szCs w:val="21"/>
        </w:rPr>
        <w:t>场</w:t>
      </w:r>
      <w:bookmarkEnd w:id="1241"/>
      <w:bookmarkEnd w:id="1242"/>
    </w:p>
    <w:bookmarkEnd w:id="1243"/>
    <w:p>
      <w:pPr>
        <w:spacing w:line="360" w:lineRule="auto"/>
        <w:ind w:firstLine="420" w:firstLineChars="200"/>
        <w:jc w:val="left"/>
        <w:rPr>
          <w:rFonts w:ascii="宋体" w:hAnsi="宋体"/>
          <w:kern w:val="0"/>
          <w:szCs w:val="21"/>
        </w:rPr>
      </w:pPr>
      <w:r>
        <w:rPr>
          <w:rFonts w:hint="eastAsia" w:ascii="宋体" w:hAnsi="宋体"/>
          <w:kern w:val="0"/>
          <w:szCs w:val="21"/>
        </w:rPr>
        <w:t>13.6.1 竣工退场</w:t>
      </w:r>
    </w:p>
    <w:p>
      <w:pPr>
        <w:spacing w:line="360" w:lineRule="auto"/>
        <w:ind w:firstLine="420" w:firstLineChars="200"/>
        <w:jc w:val="left"/>
        <w:rPr>
          <w:rFonts w:ascii="宋体" w:hAnsi="宋体"/>
          <w:kern w:val="0"/>
          <w:szCs w:val="21"/>
        </w:rPr>
      </w:pPr>
      <w:r>
        <w:rPr>
          <w:rFonts w:hint="eastAsia" w:ascii="宋体" w:hAnsi="宋体"/>
          <w:kern w:val="0"/>
          <w:szCs w:val="21"/>
        </w:rPr>
        <w:t>颁发工程接收证书后，承包人应按以下要求对施工现场进行清理：</w:t>
      </w:r>
    </w:p>
    <w:p>
      <w:pPr>
        <w:spacing w:line="360" w:lineRule="auto"/>
        <w:ind w:firstLine="420" w:firstLineChars="200"/>
        <w:jc w:val="left"/>
        <w:rPr>
          <w:rFonts w:ascii="宋体" w:hAnsi="宋体"/>
          <w:kern w:val="0"/>
          <w:szCs w:val="21"/>
        </w:rPr>
      </w:pPr>
      <w:r>
        <w:rPr>
          <w:rFonts w:hint="eastAsia" w:ascii="宋体" w:hAnsi="宋体"/>
          <w:kern w:val="0"/>
          <w:szCs w:val="21"/>
        </w:rPr>
        <w:t>（1）施工现场内残留的垃圾已全部清除出场；</w:t>
      </w:r>
    </w:p>
    <w:p>
      <w:pPr>
        <w:spacing w:line="360" w:lineRule="auto"/>
        <w:ind w:firstLine="420" w:firstLineChars="200"/>
        <w:jc w:val="left"/>
        <w:rPr>
          <w:rFonts w:ascii="宋体" w:hAnsi="宋体"/>
          <w:kern w:val="0"/>
          <w:szCs w:val="21"/>
        </w:rPr>
      </w:pPr>
      <w:r>
        <w:rPr>
          <w:rFonts w:hint="eastAsia" w:ascii="宋体" w:hAnsi="宋体"/>
          <w:kern w:val="0"/>
          <w:szCs w:val="21"/>
        </w:rPr>
        <w:t>（2）临时工程已拆除，场地已进行清理、平整或复原；</w:t>
      </w:r>
    </w:p>
    <w:p>
      <w:pPr>
        <w:spacing w:line="360" w:lineRule="auto"/>
        <w:ind w:firstLine="420" w:firstLineChars="200"/>
        <w:jc w:val="left"/>
        <w:rPr>
          <w:rFonts w:ascii="宋体" w:hAnsi="宋体"/>
          <w:kern w:val="0"/>
          <w:szCs w:val="21"/>
        </w:rPr>
      </w:pPr>
      <w:r>
        <w:rPr>
          <w:rFonts w:hint="eastAsia" w:ascii="宋体" w:hAnsi="宋体"/>
          <w:kern w:val="0"/>
          <w:szCs w:val="21"/>
        </w:rPr>
        <w:t>（3）按合同约定应撤离的人员、承包人施工设备和剩余的材料，包括废弃的施工设备和材料，已按计划撤离施工现场；</w:t>
      </w:r>
    </w:p>
    <w:p>
      <w:pPr>
        <w:spacing w:line="360" w:lineRule="auto"/>
        <w:ind w:firstLine="420" w:firstLineChars="200"/>
        <w:jc w:val="left"/>
        <w:rPr>
          <w:rFonts w:ascii="宋体" w:hAnsi="宋体"/>
          <w:kern w:val="0"/>
          <w:szCs w:val="21"/>
        </w:rPr>
      </w:pPr>
      <w:r>
        <w:rPr>
          <w:rFonts w:hint="eastAsia" w:ascii="宋体" w:hAnsi="宋体"/>
          <w:kern w:val="0"/>
          <w:szCs w:val="21"/>
        </w:rPr>
        <w:t>（4）施工现场周边及其附近道路、河道的施工堆积物，已全部清理；</w:t>
      </w:r>
    </w:p>
    <w:p>
      <w:pPr>
        <w:spacing w:line="360" w:lineRule="auto"/>
        <w:ind w:firstLine="420" w:firstLineChars="200"/>
        <w:jc w:val="left"/>
        <w:rPr>
          <w:rFonts w:ascii="宋体" w:hAnsi="宋体"/>
          <w:kern w:val="0"/>
          <w:szCs w:val="21"/>
        </w:rPr>
      </w:pPr>
      <w:r>
        <w:rPr>
          <w:rFonts w:hint="eastAsia" w:ascii="宋体" w:hAnsi="宋体"/>
          <w:kern w:val="0"/>
          <w:szCs w:val="21"/>
        </w:rPr>
        <w:t>（5）施工现场其他场地清理工作已全部完成。</w:t>
      </w:r>
    </w:p>
    <w:p>
      <w:pPr>
        <w:spacing w:line="360" w:lineRule="auto"/>
        <w:ind w:firstLine="420" w:firstLineChars="200"/>
        <w:jc w:val="left"/>
        <w:rPr>
          <w:rFonts w:ascii="宋体" w:hAnsi="宋体"/>
          <w:kern w:val="0"/>
          <w:szCs w:val="21"/>
        </w:rPr>
      </w:pPr>
      <w:r>
        <w:rPr>
          <w:rFonts w:hint="eastAsia" w:ascii="宋体" w:hAnsi="宋体"/>
          <w:kern w:val="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360" w:lineRule="auto"/>
        <w:ind w:firstLine="420" w:firstLineChars="200"/>
        <w:jc w:val="left"/>
        <w:rPr>
          <w:rFonts w:ascii="宋体" w:hAnsi="宋体"/>
          <w:kern w:val="0"/>
          <w:szCs w:val="21"/>
        </w:rPr>
      </w:pPr>
      <w:r>
        <w:rPr>
          <w:rFonts w:hint="eastAsia" w:ascii="宋体" w:hAnsi="宋体"/>
          <w:kern w:val="0"/>
          <w:szCs w:val="21"/>
        </w:rPr>
        <w:t>13.6.2 地表还原</w:t>
      </w:r>
    </w:p>
    <w:p>
      <w:pPr>
        <w:spacing w:line="360" w:lineRule="auto"/>
        <w:ind w:firstLine="420" w:firstLineChars="200"/>
        <w:jc w:val="left"/>
        <w:rPr>
          <w:rFonts w:ascii="宋体" w:hAnsi="宋体"/>
          <w:kern w:val="0"/>
          <w:szCs w:val="21"/>
        </w:rPr>
      </w:pPr>
      <w:r>
        <w:rPr>
          <w:rFonts w:hint="eastAsia" w:ascii="宋体" w:hAnsi="宋体"/>
          <w:kern w:val="0"/>
          <w:szCs w:val="21"/>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6"/>
        <w:keepNext/>
        <w:keepLines/>
        <w:spacing w:before="156" w:beforeLines="50" w:beforeAutospacing="0" w:after="156" w:afterLines="50" w:afterAutospacing="0" w:line="360" w:lineRule="auto"/>
        <w:jc w:val="both"/>
        <w:rPr>
          <w:bCs w:val="0"/>
          <w:kern w:val="2"/>
          <w:sz w:val="21"/>
          <w:szCs w:val="21"/>
        </w:rPr>
      </w:pPr>
      <w:bookmarkStart w:id="1244" w:name="_Toc351203593"/>
      <w:bookmarkStart w:id="1245" w:name="_Toc532375600"/>
      <w:bookmarkStart w:id="1246" w:name="_Toc532377281"/>
      <w:bookmarkStart w:id="1247" w:name="_Toc337558810"/>
      <w:bookmarkStart w:id="1248" w:name="_Toc296503113"/>
      <w:bookmarkStart w:id="1249" w:name="_Toc296346614"/>
      <w:r>
        <w:rPr>
          <w:rFonts w:hint="eastAsia"/>
          <w:kern w:val="2"/>
          <w:sz w:val="21"/>
          <w:szCs w:val="21"/>
        </w:rPr>
        <w:t>14. 竣工结算</w:t>
      </w:r>
      <w:bookmarkEnd w:id="1244"/>
      <w:bookmarkEnd w:id="1245"/>
      <w:bookmarkEnd w:id="1246"/>
    </w:p>
    <w:bookmarkEnd w:id="1247"/>
    <w:p>
      <w:pPr>
        <w:pStyle w:val="7"/>
        <w:spacing w:before="0" w:beforeAutospacing="0" w:after="0" w:afterAutospacing="0" w:line="360" w:lineRule="auto"/>
        <w:ind w:firstLine="421" w:firstLineChars="200"/>
        <w:rPr>
          <w:sz w:val="21"/>
          <w:szCs w:val="21"/>
        </w:rPr>
      </w:pPr>
      <w:bookmarkStart w:id="1250" w:name="_Toc532377282"/>
      <w:bookmarkStart w:id="1251" w:name="_Toc351203594"/>
      <w:bookmarkStart w:id="1252" w:name="_Toc337558811"/>
      <w:r>
        <w:rPr>
          <w:rFonts w:hint="eastAsia"/>
          <w:sz w:val="21"/>
          <w:szCs w:val="21"/>
        </w:rPr>
        <w:t>14.1 竣工结算申请</w:t>
      </w:r>
      <w:bookmarkEnd w:id="1250"/>
      <w:bookmarkEnd w:id="1251"/>
    </w:p>
    <w:bookmarkEnd w:id="125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除专用合同条款另有约定外，竣工结算申请单应包括以下内容：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（1）竣工结算合同价格；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（2）发包人已支付承包人的款项；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（3）应扣留的质量保证金。已缴纳履约保证金的或提供其他工程质量担保方式的除外；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（4）发包人应支付承包人的合同价款。</w:t>
      </w:r>
    </w:p>
    <w:p>
      <w:pPr>
        <w:pStyle w:val="7"/>
        <w:spacing w:before="0" w:beforeAutospacing="0" w:after="0" w:afterAutospacing="0" w:line="360" w:lineRule="auto"/>
        <w:ind w:firstLine="421" w:firstLineChars="200"/>
        <w:rPr>
          <w:sz w:val="21"/>
          <w:szCs w:val="21"/>
        </w:rPr>
      </w:pPr>
      <w:bookmarkStart w:id="1253" w:name="_Toc351203595"/>
      <w:bookmarkStart w:id="1254" w:name="_Toc532377283"/>
      <w:bookmarkStart w:id="1255" w:name="_Toc337558812"/>
      <w:r>
        <w:rPr>
          <w:rFonts w:hint="eastAsia"/>
          <w:sz w:val="21"/>
          <w:szCs w:val="21"/>
        </w:rPr>
        <w:t>14.2 竣工结算审核</w:t>
      </w:r>
      <w:bookmarkEnd w:id="1253"/>
      <w:bookmarkEnd w:id="1254"/>
    </w:p>
    <w:bookmarkEnd w:id="125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pPr>
        <w:pStyle w:val="7"/>
        <w:spacing w:before="0" w:beforeAutospacing="0" w:after="0" w:afterAutospacing="0" w:line="360" w:lineRule="auto"/>
        <w:ind w:firstLine="421" w:firstLineChars="200"/>
        <w:rPr>
          <w:sz w:val="21"/>
          <w:szCs w:val="21"/>
        </w:rPr>
      </w:pPr>
      <w:bookmarkStart w:id="1256" w:name="_Toc351203596"/>
      <w:bookmarkStart w:id="1257" w:name="_Toc532377284"/>
      <w:bookmarkStart w:id="1258" w:name="_Toc337558813"/>
      <w:r>
        <w:rPr>
          <w:rFonts w:hint="eastAsia"/>
          <w:sz w:val="21"/>
          <w:szCs w:val="21"/>
        </w:rPr>
        <w:t>14.3 甩项竣工协议</w:t>
      </w:r>
      <w:bookmarkEnd w:id="1256"/>
      <w:bookmarkEnd w:id="1257"/>
    </w:p>
    <w:bookmarkEnd w:id="1258"/>
    <w:p>
      <w:pPr>
        <w:autoSpaceDE w:val="0"/>
        <w:autoSpaceDN w:val="0"/>
        <w:spacing w:line="360" w:lineRule="auto"/>
        <w:ind w:firstLine="411" w:firstLineChars="196"/>
        <w:jc w:val="left"/>
        <w:rPr>
          <w:rFonts w:ascii="宋体" w:hAnsi="宋体"/>
          <w:kern w:val="0"/>
          <w:szCs w:val="21"/>
        </w:rPr>
      </w:pPr>
      <w:r>
        <w:rPr>
          <w:rFonts w:hint="eastAsia" w:ascii="宋体" w:hAnsi="宋体"/>
          <w:kern w:val="0"/>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pPr>
        <w:pStyle w:val="7"/>
        <w:spacing w:before="0" w:beforeAutospacing="0" w:after="0" w:afterAutospacing="0" w:line="360" w:lineRule="auto"/>
        <w:ind w:firstLine="421" w:firstLineChars="200"/>
        <w:rPr>
          <w:sz w:val="21"/>
          <w:szCs w:val="21"/>
        </w:rPr>
      </w:pPr>
      <w:bookmarkStart w:id="1259" w:name="_Toc532377285"/>
      <w:bookmarkStart w:id="1260" w:name="_Toc351203597"/>
      <w:bookmarkStart w:id="1261" w:name="_Toc337558814"/>
      <w:r>
        <w:rPr>
          <w:rFonts w:hint="eastAsia"/>
          <w:sz w:val="21"/>
          <w:szCs w:val="21"/>
        </w:rPr>
        <w:t>14.4 最终结清</w:t>
      </w:r>
      <w:bookmarkEnd w:id="1259"/>
      <w:bookmarkEnd w:id="1260"/>
    </w:p>
    <w:bookmarkEnd w:id="126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14.4.1 最终结清申请单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（1）除专用合同条款另有约定外，承包人应在缺陷责任期终止证书颁发后7天内，按专用合同条款约定的份数向发包人提交最终结清申请单，并提供相关证明材料。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除专用合同条款另有约定外，最终结清申请单应列明质量保证金、应扣除的质量保证金、缺陷责任期内发生的增减费用。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（2）发包人对最终结清申请单内容有异议的，有权要求承包人进行修正和提供补充资料，承包人应向发包人提交修正后的最终结清申请单。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14.4.2 最终结清证书和支付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（3）承包人对发包人颁发的最终结清证书有异议的，按第20条〔争议解决〕的约定办理。</w:t>
      </w:r>
    </w:p>
    <w:p>
      <w:pPr>
        <w:pStyle w:val="6"/>
        <w:keepNext/>
        <w:keepLines/>
        <w:spacing w:before="156" w:beforeLines="50" w:beforeAutospacing="0" w:after="156" w:afterLines="50" w:afterAutospacing="0" w:line="360" w:lineRule="auto"/>
        <w:jc w:val="both"/>
        <w:rPr>
          <w:bCs w:val="0"/>
          <w:kern w:val="2"/>
          <w:sz w:val="21"/>
          <w:szCs w:val="21"/>
        </w:rPr>
      </w:pPr>
      <w:bookmarkStart w:id="1262" w:name="_Toc351203598"/>
      <w:bookmarkStart w:id="1263" w:name="_Toc532375601"/>
      <w:bookmarkStart w:id="1264" w:name="_Toc532377286"/>
      <w:bookmarkStart w:id="1265" w:name="_Toc337558815"/>
      <w:r>
        <w:rPr>
          <w:rFonts w:hint="eastAsia"/>
          <w:kern w:val="2"/>
          <w:sz w:val="21"/>
          <w:szCs w:val="21"/>
        </w:rPr>
        <w:t>15. 缺陷责任与保修</w:t>
      </w:r>
      <w:bookmarkEnd w:id="1262"/>
      <w:bookmarkEnd w:id="1263"/>
      <w:bookmarkEnd w:id="1264"/>
    </w:p>
    <w:bookmarkEnd w:id="1248"/>
    <w:bookmarkEnd w:id="1249"/>
    <w:bookmarkEnd w:id="1265"/>
    <w:p>
      <w:pPr>
        <w:pStyle w:val="7"/>
        <w:spacing w:before="0" w:beforeAutospacing="0" w:after="0" w:afterAutospacing="0" w:line="360" w:lineRule="auto"/>
        <w:ind w:firstLine="421" w:firstLineChars="200"/>
        <w:rPr>
          <w:sz w:val="21"/>
          <w:szCs w:val="21"/>
        </w:rPr>
      </w:pPr>
      <w:bookmarkStart w:id="1266" w:name="_Toc532377287"/>
      <w:bookmarkStart w:id="1267" w:name="_Toc351203599"/>
      <w:bookmarkStart w:id="1268" w:name="_Toc337558816"/>
      <w:bookmarkStart w:id="1269" w:name="_Toc296503114"/>
      <w:bookmarkStart w:id="1270" w:name="_Toc296346615"/>
      <w:r>
        <w:rPr>
          <w:rFonts w:hint="eastAsia"/>
          <w:sz w:val="21"/>
          <w:szCs w:val="21"/>
        </w:rPr>
        <w:t>15.1 工程保修的原则</w:t>
      </w:r>
      <w:bookmarkEnd w:id="1266"/>
      <w:bookmarkEnd w:id="1267"/>
    </w:p>
    <w:bookmarkEnd w:id="126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在工程移交发包人后，因承包人原因产生的质量缺陷，承包人应承担质量缺陷责任和保修义务。缺陷责任期届满，承包人仍应按合同约定的工程各部位保修年限承担保修义务。</w:t>
      </w:r>
    </w:p>
    <w:p>
      <w:pPr>
        <w:pStyle w:val="7"/>
        <w:spacing w:before="0" w:beforeAutospacing="0" w:after="0" w:afterAutospacing="0" w:line="360" w:lineRule="auto"/>
        <w:ind w:firstLine="421" w:firstLineChars="200"/>
        <w:rPr>
          <w:sz w:val="21"/>
          <w:szCs w:val="21"/>
        </w:rPr>
      </w:pPr>
      <w:bookmarkStart w:id="1271" w:name="_Toc532377288"/>
      <w:bookmarkStart w:id="1272" w:name="_Toc351203600"/>
      <w:bookmarkStart w:id="1273" w:name="_Toc337558817"/>
      <w:r>
        <w:rPr>
          <w:rFonts w:hint="eastAsia"/>
          <w:sz w:val="21"/>
          <w:szCs w:val="21"/>
        </w:rPr>
        <w:t>15.2 缺陷责任期</w:t>
      </w:r>
      <w:bookmarkEnd w:id="1269"/>
      <w:bookmarkEnd w:id="1270"/>
      <w:bookmarkEnd w:id="1271"/>
      <w:bookmarkEnd w:id="1272"/>
    </w:p>
    <w:bookmarkEnd w:id="127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15.2.1 缺陷责任期从工程通过竣工验收之日起计算，合同当事人应在专用合同条款约定缺陷责任期的具体期限，但该期限最长不超过24个月。</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由他人原因造成的缺陷，发包人负责组织维修，承包人不承担费用，且发包人不得从保证金中扣除费用。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15.2.3 任何一项缺陷或损坏修复后，经检查证明其影响了工程或工程设备的使用性能，承包人应重新进行合同约定的试验和试运行，试验和试运行的全部费用应由责任方承担。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pStyle w:val="7"/>
        <w:spacing w:before="0" w:beforeAutospacing="0" w:after="0" w:afterAutospacing="0" w:line="360" w:lineRule="auto"/>
        <w:ind w:firstLine="421" w:firstLineChars="200"/>
        <w:rPr>
          <w:sz w:val="21"/>
          <w:szCs w:val="21"/>
        </w:rPr>
      </w:pPr>
      <w:bookmarkStart w:id="1274" w:name="_Toc351203601"/>
      <w:bookmarkStart w:id="1275" w:name="_Toc532377289"/>
      <w:bookmarkStart w:id="1276" w:name="_Toc337558818"/>
      <w:bookmarkStart w:id="1277" w:name="_Toc296346616"/>
      <w:bookmarkStart w:id="1278" w:name="_Toc296503115"/>
      <w:r>
        <w:rPr>
          <w:rFonts w:hint="eastAsia"/>
          <w:sz w:val="21"/>
          <w:szCs w:val="21"/>
        </w:rPr>
        <w:t>15.3 质量保证金</w:t>
      </w:r>
      <w:bookmarkEnd w:id="1274"/>
      <w:bookmarkEnd w:id="1275"/>
    </w:p>
    <w:bookmarkEnd w:id="127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经合同当事人协商一致扣留质量保证金的，应在专用合同条款中予以明确。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在工程项目竣工前，承包人已经提供履约担保的，发包人不得同时预留工程质量保证金。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15.3.1 承包人提供质量保证金的方式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承包人提供质量保证金有以下三种方式：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（1）质量保证金保函；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（2）相应比例的工程款；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除专用合同条款另有约定外，质量保证金原则上采用上述第（1）种方式。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15.3.2 质量保证金的扣留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质量保证金的扣留有以下三种方式：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（1）在支付工程进度款时逐次扣留，在此情形下，质量保证金的计算基数不包括预付款的支付、扣回以及价格调整的金额；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w:t>
      </w:r>
      <w:bookmarkStart w:id="1279" w:name="#go6"/>
      <w:bookmarkEnd w:id="1279"/>
      <w:r>
        <w:rPr>
          <w:rFonts w:hint="eastAsia" w:ascii="宋体" w:hAnsi="宋体"/>
          <w:kern w:val="0"/>
          <w:szCs w:val="21"/>
        </w:rPr>
        <w:t>程竣工结算时一次性扣留质量保证金；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（3）双方约定的其他扣留方式。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除专用合同条款另有约定外，质量保证金的扣留原则上采用上述第（1）种方式。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w:t>
      </w:r>
      <w:bookmarkStart w:id="1280" w:name="#go4"/>
      <w:bookmarkEnd w:id="1280"/>
      <w:r>
        <w:rPr>
          <w:rFonts w:hint="eastAsia" w:ascii="宋体" w:hAnsi="宋体"/>
          <w:kern w:val="0"/>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发包人在退还质量保证金的同时按照中国人民银行发布的同期同类贷款基准利率支付利息。</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15.3.3 质量保证金的退还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缺陷责任期内，承包人认真履行合同约定的责任，到期后，承包人可向发包人申请返还保证金。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发包人和承包人对保证金预留、返还以及工程维修质量、费用有争议的，按合同第20条约定的争议和纠纷解决程序处理。</w:t>
      </w:r>
    </w:p>
    <w:p>
      <w:pPr>
        <w:pStyle w:val="7"/>
        <w:spacing w:before="0" w:beforeAutospacing="0" w:after="0" w:afterAutospacing="0" w:line="360" w:lineRule="auto"/>
        <w:ind w:firstLine="421" w:firstLineChars="200"/>
        <w:rPr>
          <w:sz w:val="21"/>
          <w:szCs w:val="21"/>
        </w:rPr>
      </w:pPr>
      <w:bookmarkStart w:id="1281" w:name="_Toc351203602"/>
      <w:bookmarkStart w:id="1282" w:name="_Toc532377290"/>
      <w:bookmarkStart w:id="1283" w:name="_Toc337558819"/>
      <w:r>
        <w:rPr>
          <w:rFonts w:hint="eastAsia"/>
          <w:sz w:val="21"/>
          <w:szCs w:val="21"/>
        </w:rPr>
        <w:t>15.4 保修</w:t>
      </w:r>
      <w:bookmarkEnd w:id="1281"/>
      <w:bookmarkEnd w:id="1282"/>
    </w:p>
    <w:bookmarkEnd w:id="1277"/>
    <w:bookmarkEnd w:id="1278"/>
    <w:bookmarkEnd w:id="128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15.4.1保修责任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发包人未经竣工验收擅自使用工程的，保修期自转移占有之日起算。</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15.4.2 修复费用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保修期内，修复的费用按照以下约定处理：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（1）保修期内，因承包人原因造成工程的缺陷、损坏，承包人应负责修复，并承担修复的费用以及因工程的缺陷、损坏造成的人身伤害和财产损失；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（2）保修期内，因发包人使用不当造成工程的缺陷、损坏，可以委托承包人修复，但发包人应承担修复的费用，并支付承包人合理利润；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（3）因其他原因造成工程的缺陷、损坏，可以委托承包人修复，发包人应承担修复的费用，并支付承包人合理的利润，因工程的缺陷、损坏造成的人身伤害和财产损失由责任方承担。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15.4.3 修复通知</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15.4.4 未能修复</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15.4.5 承包人出入权</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Style w:val="6"/>
        <w:keepNext/>
        <w:keepLines/>
        <w:spacing w:before="156" w:beforeLines="50" w:beforeAutospacing="0" w:after="156" w:afterLines="50" w:afterAutospacing="0" w:line="360" w:lineRule="auto"/>
        <w:jc w:val="both"/>
        <w:rPr>
          <w:bCs w:val="0"/>
          <w:kern w:val="2"/>
          <w:sz w:val="21"/>
          <w:szCs w:val="21"/>
        </w:rPr>
      </w:pPr>
      <w:bookmarkStart w:id="1284" w:name="_Toc351203603"/>
      <w:bookmarkStart w:id="1285" w:name="_Toc532375602"/>
      <w:bookmarkStart w:id="1286" w:name="_Toc532377291"/>
      <w:bookmarkStart w:id="1287" w:name="_Toc337558820"/>
      <w:r>
        <w:rPr>
          <w:rFonts w:hint="eastAsia"/>
          <w:kern w:val="2"/>
          <w:sz w:val="21"/>
          <w:szCs w:val="21"/>
        </w:rPr>
        <w:t>16. 违约</w:t>
      </w:r>
      <w:bookmarkEnd w:id="1284"/>
      <w:bookmarkEnd w:id="1285"/>
      <w:bookmarkEnd w:id="1286"/>
    </w:p>
    <w:bookmarkEnd w:id="1287"/>
    <w:p>
      <w:pPr>
        <w:pStyle w:val="7"/>
        <w:spacing w:before="0" w:beforeAutospacing="0" w:after="0" w:afterAutospacing="0" w:line="360" w:lineRule="auto"/>
        <w:ind w:firstLine="421" w:firstLineChars="200"/>
        <w:rPr>
          <w:sz w:val="21"/>
          <w:szCs w:val="21"/>
        </w:rPr>
      </w:pPr>
      <w:bookmarkStart w:id="1288" w:name="_Toc296346630"/>
      <w:bookmarkStart w:id="1289" w:name="_Toc296503129"/>
      <w:bookmarkStart w:id="1290" w:name="_Toc532377292"/>
      <w:bookmarkStart w:id="1291" w:name="_Toc351203604"/>
      <w:bookmarkStart w:id="1292" w:name="_Toc337558821"/>
      <w:r>
        <w:rPr>
          <w:rFonts w:hint="eastAsia"/>
          <w:sz w:val="21"/>
          <w:szCs w:val="21"/>
        </w:rPr>
        <w:t>16.1 发</w:t>
      </w:r>
      <w:bookmarkEnd w:id="1288"/>
      <w:bookmarkEnd w:id="1289"/>
      <w:r>
        <w:rPr>
          <w:rFonts w:hint="eastAsia"/>
          <w:sz w:val="21"/>
          <w:szCs w:val="21"/>
        </w:rPr>
        <w:t>包人违约</w:t>
      </w:r>
      <w:bookmarkEnd w:id="1290"/>
      <w:bookmarkEnd w:id="1291"/>
    </w:p>
    <w:bookmarkEnd w:id="129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16.1.1 发包人违约的情形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在合同履行过程中发生的下列情形，属于发包人违约：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（1）因发包人原因未能在计划开工日期前7天内下达开工通知的；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（2）因发包人原因未能按合同约定支付合同价款的；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（3）发包人违反第10.1款〔变更的范围〕第（2）项约定，自行实施被取消的工作或转由他人实施的；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（4）发包人提供的材料、工程设备的规格、数量或质量不符合合同约定，或因发包人原因导致交货日期延误或交货地点变更等情况的；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（5）因发包人违反合同约定造成暂停施工的；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（6）发包人无正当理由没有在约定期限内发出复工指示，导致承包人无法复工的；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（7）发包人明确表示或者以其行为表明不履行合同主要义务的；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（8）发包人未能按照合同约定履行其他义务的。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16.1.2 发包人违约的责任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16.1.3 因发包人违约解除合同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16.1.4 因发包人违约解除合同后的付款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承包人按照本款约定解除合同的，发包人应在解除合同后28天内支付下列款项，并解除履约担保：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（1）合同解除前所完成工作的价款；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（2）承包人为工程施工订购并已付款的材料、工程设备和其他物品的价款；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（3）承包人撤离施工现场以及遣散承包人人员的款项；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（4）按照合同约定在合同解除前应支付的违约金；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（5）按照合同约定应当支付给承包人的其他款项；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（6）按照合同约定应退还的质量保证金；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（7）因解除合同给承包人造成的损失。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合同当事人未能就解除合同后的结清达成一致的，按照第20条〔争议解决〕的约定处理。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承包人应妥善做好已完工程和与工程有关的已购材料、工程设备的保护和移交工作，并将施工设备和人员撤出施工现场，发包人应为承包人撤出提供必要条件。</w:t>
      </w:r>
    </w:p>
    <w:p>
      <w:pPr>
        <w:pStyle w:val="7"/>
        <w:spacing w:before="0" w:beforeAutospacing="0" w:after="0" w:afterAutospacing="0" w:line="360" w:lineRule="auto"/>
        <w:ind w:firstLine="421" w:firstLineChars="200"/>
        <w:rPr>
          <w:sz w:val="21"/>
          <w:szCs w:val="21"/>
        </w:rPr>
      </w:pPr>
      <w:bookmarkStart w:id="1293" w:name="_Toc532377293"/>
      <w:bookmarkStart w:id="1294" w:name="_Toc351203605"/>
      <w:bookmarkStart w:id="1295" w:name="_Toc337558822"/>
      <w:bookmarkStart w:id="1296" w:name="_Toc296346632"/>
      <w:bookmarkStart w:id="1297" w:name="_Toc296503131"/>
      <w:r>
        <w:rPr>
          <w:rFonts w:hint="eastAsia"/>
          <w:sz w:val="21"/>
          <w:szCs w:val="21"/>
        </w:rPr>
        <w:t>16.2 承包人违约</w:t>
      </w:r>
      <w:bookmarkEnd w:id="1293"/>
      <w:bookmarkEnd w:id="1294"/>
    </w:p>
    <w:bookmarkEnd w:id="1295"/>
    <w:bookmarkEnd w:id="1296"/>
    <w:bookmarkEnd w:id="129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16.2.1 承包人违约的情形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在合同履行过程中发生的下列情形，属于承包人违约：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（1）承包人违反合同约定进行转包或违法分包的；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（2）承包人违反合同约定采购和使用不合格的材料和工程设备的；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（3）因承包人原因导致工程质量不符合合同要求的；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（4）承包人违反第8.9款〔材料与设备专用要求〕的约定，未经批准，私自将已按照合同约定进入施工现场的材料或设备撤离施工现场的；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（5）承包人未能按施工进度计划及时完成合同约定的工作，造成工期延误的；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（6）承包人在缺陷责任期及保修期内，未能在合理期限对工程缺陷进行修复，或拒绝按发包人要求进行修复的；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（7）承包人明确表示或者以其行为表明不履行合同主要义务的；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（8）承包人未能按照合同约定履行其他义务的。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承包人发生除本项第（7）目约定以外的其他违约情况时，监理人可向承包人发出整改通知，要求其在指定的期限内改正。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16.2.2 承包人违约的责任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承包人应承担因其违约行为而增加的费用和（或）延误的工期。此外，合同当事人可在专用合同条款中另行约定承包人违约责任的承担方式和计算方法。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16.2.3 因承包人违约解除合同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16.2.4因承包人违约解除合同后的处理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因承包人原因导致合同解除的，则合同当事人应在合同解除后28天内完成估价、付款和清算，并按以下约定执行：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（1）合同解除后，按第4.4款〔商定或确定〕商定或确定承包人实际完成工作对应的合同价款，以及承包人已提供的材料、工程设备、施工设备和临时工程等的价值；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（2）合同解除后，承包人应支付的违约金；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（3）合同解除后，因解除合同给发包人造成的损失；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（4）合同解除后，承包人应按照发包人要求和监理人的指示完成现场的清理和撤离；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（5）发包人和承包人应在合同解除后进行清算，出具最终结清付款证书，结清全部款项。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因承包人违约解除合同的，发包人有权暂停对承包人的付款，查清各项付款和已扣款项。发包人和承包人未能就合同解除后的清算和款项支付达成一致的，按照第20条〔争议解决〕的约定处理。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16.2.5采购合同权益转让</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pStyle w:val="7"/>
        <w:spacing w:before="0" w:beforeAutospacing="0" w:after="0" w:afterAutospacing="0" w:line="360" w:lineRule="auto"/>
        <w:ind w:firstLine="421" w:firstLineChars="200"/>
        <w:rPr>
          <w:sz w:val="21"/>
          <w:szCs w:val="21"/>
        </w:rPr>
      </w:pPr>
      <w:bookmarkStart w:id="1298" w:name="_Toc351203606"/>
      <w:bookmarkStart w:id="1299" w:name="_Toc532377294"/>
      <w:r>
        <w:rPr>
          <w:rFonts w:hint="eastAsia"/>
          <w:sz w:val="21"/>
          <w:szCs w:val="21"/>
        </w:rPr>
        <w:t>16.3 第三人造成的违约</w:t>
      </w:r>
      <w:bookmarkEnd w:id="1298"/>
      <w:bookmarkEnd w:id="1299"/>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在履行合同过程中，一方当事人因第三人的原因造成违约的，应当向对方当事人承担违约责任。一方当事人和第三人之间的纠纷，依照法律规定或者按照约定解决。</w:t>
      </w:r>
    </w:p>
    <w:p>
      <w:pPr>
        <w:pStyle w:val="6"/>
        <w:keepNext/>
        <w:keepLines/>
        <w:spacing w:before="156" w:beforeLines="50" w:beforeAutospacing="0" w:after="156" w:afterLines="50" w:afterAutospacing="0" w:line="360" w:lineRule="auto"/>
        <w:jc w:val="both"/>
        <w:rPr>
          <w:bCs w:val="0"/>
          <w:kern w:val="2"/>
          <w:sz w:val="21"/>
          <w:szCs w:val="21"/>
        </w:rPr>
      </w:pPr>
      <w:bookmarkStart w:id="1300" w:name="_Toc296346617"/>
      <w:bookmarkStart w:id="1301" w:name="_Toc337558823"/>
      <w:bookmarkStart w:id="1302" w:name="_Toc296503116"/>
      <w:bookmarkStart w:id="1303" w:name="_Toc532377295"/>
      <w:bookmarkStart w:id="1304" w:name="_Toc351203607"/>
      <w:bookmarkStart w:id="1305" w:name="_Toc532375603"/>
      <w:r>
        <w:rPr>
          <w:rFonts w:hint="eastAsia"/>
          <w:kern w:val="2"/>
          <w:sz w:val="21"/>
          <w:szCs w:val="21"/>
        </w:rPr>
        <w:t>17. 不可抗力</w:t>
      </w:r>
      <w:bookmarkEnd w:id="1300"/>
      <w:bookmarkEnd w:id="1301"/>
      <w:bookmarkEnd w:id="1302"/>
      <w:bookmarkEnd w:id="1303"/>
      <w:bookmarkEnd w:id="1304"/>
      <w:bookmarkEnd w:id="1305"/>
    </w:p>
    <w:p>
      <w:pPr>
        <w:pStyle w:val="7"/>
        <w:spacing w:before="0" w:beforeAutospacing="0" w:after="0" w:afterAutospacing="0" w:line="360" w:lineRule="auto"/>
        <w:ind w:firstLine="421" w:firstLineChars="200"/>
        <w:rPr>
          <w:sz w:val="21"/>
          <w:szCs w:val="21"/>
        </w:rPr>
      </w:pPr>
      <w:bookmarkStart w:id="1306" w:name="_Toc351203608"/>
      <w:bookmarkStart w:id="1307" w:name="_Toc532377296"/>
      <w:bookmarkStart w:id="1308" w:name="_Toc296503117"/>
      <w:bookmarkStart w:id="1309" w:name="_Toc296346618"/>
      <w:bookmarkStart w:id="1310" w:name="_Toc337558824"/>
      <w:r>
        <w:rPr>
          <w:rFonts w:hint="eastAsia"/>
          <w:sz w:val="21"/>
          <w:szCs w:val="21"/>
        </w:rPr>
        <w:t>17.1 不可抗力的确认</w:t>
      </w:r>
      <w:bookmarkEnd w:id="1306"/>
      <w:bookmarkEnd w:id="1307"/>
    </w:p>
    <w:bookmarkEnd w:id="1308"/>
    <w:bookmarkEnd w:id="1309"/>
    <w:bookmarkEnd w:id="131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pPr>
        <w:pStyle w:val="7"/>
        <w:spacing w:before="0" w:beforeAutospacing="0" w:after="0" w:afterAutospacing="0" w:line="360" w:lineRule="auto"/>
        <w:ind w:firstLine="421" w:firstLineChars="200"/>
        <w:rPr>
          <w:sz w:val="21"/>
          <w:szCs w:val="21"/>
        </w:rPr>
      </w:pPr>
      <w:bookmarkStart w:id="1311" w:name="_Toc532377297"/>
      <w:bookmarkStart w:id="1312" w:name="_Toc351203609"/>
      <w:bookmarkStart w:id="1313" w:name="_Toc296503118"/>
      <w:bookmarkStart w:id="1314" w:name="_Toc296346619"/>
      <w:bookmarkStart w:id="1315" w:name="_Toc337558825"/>
      <w:r>
        <w:rPr>
          <w:rFonts w:hint="eastAsia"/>
          <w:sz w:val="21"/>
          <w:szCs w:val="21"/>
        </w:rPr>
        <w:t>17.2 不可抗力的通知</w:t>
      </w:r>
      <w:bookmarkEnd w:id="1311"/>
      <w:bookmarkEnd w:id="1312"/>
    </w:p>
    <w:bookmarkEnd w:id="1313"/>
    <w:bookmarkEnd w:id="1314"/>
    <w:bookmarkEnd w:id="131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合同一方当事人遇到不可抗力事件，使其履行合同义务受到阻碍时，应立即通知合同另一方当事人和监理人，书面说明不可抗力和受阻碍的详细情况，并提供必要的证明。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不可抗力持续发生的，合同一方当事人应及时向合同另一方当事人和监理人提交中间报告，说明不可抗力和履行合同受阻的情况，并于不可抗力事件结束后28天内提交最终报告及有关资料。</w:t>
      </w:r>
    </w:p>
    <w:p>
      <w:pPr>
        <w:pStyle w:val="7"/>
        <w:spacing w:before="0" w:beforeAutospacing="0" w:after="0" w:afterAutospacing="0" w:line="360" w:lineRule="auto"/>
        <w:ind w:firstLine="421" w:firstLineChars="200"/>
        <w:rPr>
          <w:sz w:val="21"/>
          <w:szCs w:val="21"/>
        </w:rPr>
      </w:pPr>
      <w:bookmarkStart w:id="1316" w:name="_Toc532377298"/>
      <w:r>
        <w:rPr>
          <w:rFonts w:hint="eastAsia"/>
          <w:sz w:val="21"/>
          <w:szCs w:val="21"/>
        </w:rPr>
        <w:t>17.3 不可抗力后果的承担</w:t>
      </w:r>
      <w:bookmarkEnd w:id="131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17.3.1 不可抗力引起的后果及造成的损失由合同当事人按照法律规定及合同约定各自承担。不可抗力发生前已完成的工程应当按照合同约定进行计量支付。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17.3.2 不可抗力导致的人员伤亡、财产损失、费用增加和（或）工期延误等后果，由合同当事人按以下原则承担：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（1）永久工程、已运至施工现场的材料和工程设备的损坏，以及因工程损坏造成的第三人人员伤亡和财产损失由发包人承担；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（2）承包人施工设备的损坏由承包人承担；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（3）发包人和承包人承担各自人员伤亡和财产的损失；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（5）因不可抗力引起或将引起工期延误，发包人要求赶工的，由此增加的赶工费用由发包人承担；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（6）承包人在停工期间按照发包人要求照管、清理和修复工程的费用由发包人承担。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不可抗力发生后，合同当事人均应采取措施尽量避免和减少损失的扩大，任何一方当事人没有采取有效措施导致损失扩大的，应对扩大的损失承担责任。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因合同一方迟延履行合同义务，在迟延履行期间遭遇不可抗力的，不免除其违约责任。</w:t>
      </w:r>
    </w:p>
    <w:p>
      <w:pPr>
        <w:pStyle w:val="7"/>
        <w:spacing w:before="0" w:beforeAutospacing="0" w:after="0" w:afterAutospacing="0" w:line="360" w:lineRule="auto"/>
        <w:ind w:firstLine="421" w:firstLineChars="200"/>
        <w:rPr>
          <w:sz w:val="21"/>
          <w:szCs w:val="21"/>
        </w:rPr>
      </w:pPr>
      <w:bookmarkStart w:id="1317" w:name="_Toc532377299"/>
      <w:bookmarkStart w:id="1318" w:name="_Toc351203611"/>
      <w:bookmarkStart w:id="1319" w:name="_Toc337558827"/>
      <w:r>
        <w:rPr>
          <w:rFonts w:hint="eastAsia"/>
          <w:sz w:val="21"/>
          <w:szCs w:val="21"/>
        </w:rPr>
        <w:t>17.4 因不可抗力解除合同</w:t>
      </w:r>
      <w:bookmarkEnd w:id="1317"/>
      <w:bookmarkEnd w:id="1318"/>
    </w:p>
    <w:bookmarkEnd w:id="131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因不可抗力导致合同无法履行连续超过84天或累计超过140天的，发包人和承包人均有权解除合同。合同解除后，由双方当事人按照第4.4款〔商定或确定〕商定或确定发包人应支付的款项，该款项包括：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（1）合同解除前承包人已完成工作的价款；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（2）承包人为工程订购的并已交付给承包人，或承包人有责任接受交付的材料、工程设备和其他物品的价款；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（3）发包人要求承包人退货或解除订货合同而产生的费用，或因不能退货或解除合同而产生的损失；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（4）承包人撤离施工现场以及遣散承包人人员的费用；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（5）按照合同约定在合同解除前应支付给承包人的其他款项；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（6）扣减承包人按照合同约定应向发包人支付的款项；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（7）双方商定或确定的其他款项。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除专用合同条款另有约定外，合同解除后，发包人应在商定或确定上述款项后28天内完成上述款项的支付。</w:t>
      </w:r>
    </w:p>
    <w:p>
      <w:pPr>
        <w:pStyle w:val="6"/>
        <w:keepNext/>
        <w:keepLines/>
        <w:spacing w:before="156" w:beforeLines="50" w:beforeAutospacing="0" w:after="156" w:afterLines="50" w:afterAutospacing="0" w:line="360" w:lineRule="auto"/>
        <w:jc w:val="both"/>
        <w:rPr>
          <w:bCs w:val="0"/>
          <w:kern w:val="2"/>
          <w:sz w:val="21"/>
          <w:szCs w:val="21"/>
        </w:rPr>
      </w:pPr>
      <w:bookmarkStart w:id="1320" w:name="_Toc351203612"/>
      <w:bookmarkStart w:id="1321" w:name="_Toc532377300"/>
      <w:bookmarkStart w:id="1322" w:name="_Toc532375604"/>
      <w:bookmarkStart w:id="1323" w:name="_Toc337558828"/>
      <w:bookmarkStart w:id="1324" w:name="_Toc296346621"/>
      <w:bookmarkStart w:id="1325" w:name="_Toc296503120"/>
      <w:r>
        <w:rPr>
          <w:rFonts w:hint="eastAsia"/>
          <w:kern w:val="2"/>
          <w:sz w:val="21"/>
          <w:szCs w:val="21"/>
        </w:rPr>
        <w:t>18. 保险</w:t>
      </w:r>
      <w:bookmarkEnd w:id="1320"/>
      <w:bookmarkEnd w:id="1321"/>
      <w:bookmarkEnd w:id="1322"/>
    </w:p>
    <w:bookmarkEnd w:id="1323"/>
    <w:bookmarkEnd w:id="1324"/>
    <w:bookmarkEnd w:id="1325"/>
    <w:p>
      <w:pPr>
        <w:pStyle w:val="7"/>
        <w:spacing w:before="0" w:beforeAutospacing="0" w:after="0" w:afterAutospacing="0" w:line="360" w:lineRule="auto"/>
        <w:ind w:firstLine="421" w:firstLineChars="200"/>
        <w:rPr>
          <w:sz w:val="21"/>
          <w:szCs w:val="21"/>
        </w:rPr>
      </w:pPr>
      <w:bookmarkStart w:id="1326" w:name="_Toc351203613"/>
      <w:bookmarkStart w:id="1327" w:name="_Toc532377301"/>
      <w:bookmarkStart w:id="1328" w:name="_Toc296346622"/>
      <w:bookmarkStart w:id="1329" w:name="_Toc337558829"/>
      <w:bookmarkStart w:id="1330" w:name="_Toc296503121"/>
      <w:r>
        <w:rPr>
          <w:rFonts w:hint="eastAsia"/>
          <w:sz w:val="21"/>
          <w:szCs w:val="21"/>
        </w:rPr>
        <w:t>18.1 工程保险</w:t>
      </w:r>
      <w:bookmarkEnd w:id="1326"/>
      <w:bookmarkEnd w:id="1327"/>
    </w:p>
    <w:bookmarkEnd w:id="1328"/>
    <w:bookmarkEnd w:id="1329"/>
    <w:bookmarkEnd w:id="133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除专用合同条款另有约定外，发包人应投保建筑工程一切险或安装工程一切险；发包人委托承包人投保的，因投保产生的保险费和其他相关费用由发包人承担。</w:t>
      </w:r>
    </w:p>
    <w:p>
      <w:pPr>
        <w:pStyle w:val="7"/>
        <w:spacing w:before="0" w:beforeAutospacing="0" w:after="0" w:afterAutospacing="0" w:line="360" w:lineRule="auto"/>
        <w:ind w:firstLine="421" w:firstLineChars="200"/>
        <w:rPr>
          <w:sz w:val="21"/>
          <w:szCs w:val="21"/>
        </w:rPr>
      </w:pPr>
      <w:bookmarkStart w:id="1331" w:name="_Toc351203614"/>
      <w:bookmarkStart w:id="1332" w:name="_Toc532377302"/>
      <w:bookmarkStart w:id="1333" w:name="_Toc296346623"/>
      <w:bookmarkStart w:id="1334" w:name="_Toc296503122"/>
      <w:bookmarkStart w:id="1335" w:name="_Toc337558830"/>
      <w:r>
        <w:rPr>
          <w:rFonts w:hint="eastAsia"/>
          <w:sz w:val="21"/>
          <w:szCs w:val="21"/>
        </w:rPr>
        <w:t>18.2 工伤保险</w:t>
      </w:r>
      <w:bookmarkEnd w:id="1331"/>
      <w:bookmarkEnd w:id="1332"/>
    </w:p>
    <w:bookmarkEnd w:id="1333"/>
    <w:bookmarkEnd w:id="1334"/>
    <w:bookmarkEnd w:id="133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18.2.2 承包人应依照法律规定参加工伤保险，并为其履行合同的全部员工办理工伤保险，缴纳工伤保险费，并要求分包人及由承包人为履行合同聘请的第三方依法参加工伤保险。</w:t>
      </w:r>
    </w:p>
    <w:p>
      <w:pPr>
        <w:pStyle w:val="7"/>
        <w:spacing w:before="0" w:beforeAutospacing="0" w:after="0" w:afterAutospacing="0" w:line="360" w:lineRule="auto"/>
        <w:ind w:firstLine="421" w:firstLineChars="200"/>
        <w:rPr>
          <w:sz w:val="21"/>
          <w:szCs w:val="21"/>
        </w:rPr>
      </w:pPr>
      <w:bookmarkStart w:id="1336" w:name="_Toc351203615"/>
      <w:bookmarkStart w:id="1337" w:name="_Toc532377303"/>
      <w:bookmarkStart w:id="1338" w:name="_Toc296346626"/>
      <w:bookmarkStart w:id="1339" w:name="_Toc337558831"/>
      <w:bookmarkStart w:id="1340" w:name="_Toc296503125"/>
      <w:r>
        <w:rPr>
          <w:rFonts w:hint="eastAsia"/>
          <w:sz w:val="21"/>
          <w:szCs w:val="21"/>
        </w:rPr>
        <w:t>18.3其他保险</w:t>
      </w:r>
      <w:bookmarkEnd w:id="1336"/>
      <w:bookmarkEnd w:id="1337"/>
    </w:p>
    <w:bookmarkEnd w:id="1338"/>
    <w:bookmarkEnd w:id="1339"/>
    <w:bookmarkEnd w:id="134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发包人和承包人可以为其施工现场的全部人员办理意外伤害保险并支付保险费，包括其员工及为履行合同聘请的第三方的人员，具体事项由合同当事人在专用合同条款约定。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除专用合同条款另有约定外，承包人应为其施工设备等办理财产保险。</w:t>
      </w:r>
    </w:p>
    <w:p>
      <w:pPr>
        <w:pStyle w:val="7"/>
        <w:spacing w:before="0" w:beforeAutospacing="0" w:after="0" w:afterAutospacing="0" w:line="360" w:lineRule="auto"/>
        <w:ind w:firstLine="421" w:firstLineChars="200"/>
        <w:rPr>
          <w:sz w:val="21"/>
          <w:szCs w:val="21"/>
        </w:rPr>
      </w:pPr>
      <w:bookmarkStart w:id="1341" w:name="_Toc351203616"/>
      <w:bookmarkStart w:id="1342" w:name="_Toc532377304"/>
      <w:r>
        <w:rPr>
          <w:rFonts w:hint="eastAsia"/>
          <w:sz w:val="21"/>
          <w:szCs w:val="21"/>
        </w:rPr>
        <w:t>18.4持续保险</w:t>
      </w:r>
      <w:bookmarkEnd w:id="1341"/>
      <w:bookmarkEnd w:id="1342"/>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合同当事人应与保险人保持联系，使保险人能够随时了解工程实施中的变动，并确保按保险合同条款要求持续保险。</w:t>
      </w:r>
    </w:p>
    <w:p>
      <w:pPr>
        <w:pStyle w:val="7"/>
        <w:spacing w:before="0" w:beforeAutospacing="0" w:after="0" w:afterAutospacing="0" w:line="360" w:lineRule="auto"/>
        <w:ind w:firstLine="421" w:firstLineChars="200"/>
        <w:rPr>
          <w:sz w:val="21"/>
          <w:szCs w:val="21"/>
        </w:rPr>
      </w:pPr>
      <w:bookmarkStart w:id="1343" w:name="_Toc532377305"/>
      <w:bookmarkStart w:id="1344" w:name="_Toc351203617"/>
      <w:bookmarkStart w:id="1345" w:name="_Toc337558832"/>
      <w:bookmarkStart w:id="1346" w:name="_Toc296503126"/>
      <w:bookmarkStart w:id="1347" w:name="_Toc296346627"/>
      <w:r>
        <w:rPr>
          <w:rFonts w:hint="eastAsia"/>
          <w:sz w:val="21"/>
          <w:szCs w:val="21"/>
        </w:rPr>
        <w:t>18.5 保险凭证</w:t>
      </w:r>
      <w:bookmarkEnd w:id="1343"/>
      <w:bookmarkEnd w:id="1344"/>
    </w:p>
    <w:bookmarkEnd w:id="1345"/>
    <w:bookmarkEnd w:id="1346"/>
    <w:bookmarkEnd w:id="134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合同当事人应及时向另一方当事人提交其已投保的各项保险的凭证和保险单复印件。</w:t>
      </w:r>
    </w:p>
    <w:p>
      <w:pPr>
        <w:pStyle w:val="7"/>
        <w:spacing w:before="0" w:beforeAutospacing="0" w:after="0" w:afterAutospacing="0" w:line="360" w:lineRule="auto"/>
        <w:ind w:firstLine="421" w:firstLineChars="200"/>
        <w:rPr>
          <w:sz w:val="21"/>
          <w:szCs w:val="21"/>
        </w:rPr>
      </w:pPr>
      <w:bookmarkStart w:id="1348" w:name="_Toc532377306"/>
      <w:bookmarkStart w:id="1349" w:name="_Toc351203618"/>
      <w:bookmarkStart w:id="1350" w:name="_Toc337558833"/>
      <w:bookmarkStart w:id="1351" w:name="_Toc296503127"/>
      <w:bookmarkStart w:id="1352" w:name="_Toc296346628"/>
      <w:r>
        <w:rPr>
          <w:rFonts w:hint="eastAsia"/>
          <w:sz w:val="21"/>
          <w:szCs w:val="21"/>
        </w:rPr>
        <w:t>18.6 未按约定投保的补救</w:t>
      </w:r>
      <w:bookmarkEnd w:id="1348"/>
      <w:bookmarkEnd w:id="1349"/>
    </w:p>
    <w:bookmarkEnd w:id="1350"/>
    <w:bookmarkEnd w:id="1351"/>
    <w:bookmarkEnd w:id="135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18.6.1发包人未按合同约定办理保险，或未能使保险持续有效的，则承包人可代为办理，所需费用由发包人承担。发包人未按合同约定办理保险，导致未能得到足额赔偿的，由发包人负责补足。</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18.6.2承包人未按合同约定办理保险，或未能使保险持续有效的，则发包人可代为办理，所需费用由承包人承担。承包人未按合同约定办理保险，导致未能得到足额赔偿的，由承包人负责补足。</w:t>
      </w:r>
    </w:p>
    <w:p>
      <w:pPr>
        <w:pStyle w:val="7"/>
        <w:spacing w:before="0" w:beforeAutospacing="0" w:after="0" w:afterAutospacing="0" w:line="360" w:lineRule="auto"/>
        <w:ind w:firstLine="421" w:firstLineChars="200"/>
        <w:rPr>
          <w:sz w:val="21"/>
          <w:szCs w:val="21"/>
        </w:rPr>
      </w:pPr>
      <w:bookmarkStart w:id="1353" w:name="_Toc351203619"/>
      <w:bookmarkStart w:id="1354" w:name="_Toc532377307"/>
      <w:bookmarkStart w:id="1355" w:name="_Toc337558834"/>
      <w:r>
        <w:rPr>
          <w:rFonts w:hint="eastAsia"/>
          <w:sz w:val="21"/>
          <w:szCs w:val="21"/>
        </w:rPr>
        <w:t>18.7 通知义务</w:t>
      </w:r>
      <w:bookmarkEnd w:id="1353"/>
      <w:bookmarkEnd w:id="1354"/>
    </w:p>
    <w:bookmarkEnd w:id="135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除专用合同条款另有约定外，发包人变更除工伤保险之外的保险合同时，应事先征得承包人同意，并通知监理人；承包人变更除工伤保险之外的保险合同时，应事先征得发包人同意，并通知监理人。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保险事故发生时，投保人应按照保险合同规定的条件和期限及时向保险人报告。发包人和承包人应当在知道保险事故发生后及时通知对方。</w:t>
      </w:r>
    </w:p>
    <w:p>
      <w:pPr>
        <w:pStyle w:val="6"/>
        <w:keepNext/>
        <w:keepLines/>
        <w:spacing w:before="156" w:beforeLines="50" w:beforeAutospacing="0" w:after="156" w:afterLines="50" w:afterAutospacing="0" w:line="360" w:lineRule="auto"/>
        <w:jc w:val="both"/>
        <w:rPr>
          <w:bCs w:val="0"/>
          <w:kern w:val="2"/>
          <w:sz w:val="21"/>
          <w:szCs w:val="21"/>
        </w:rPr>
      </w:pPr>
      <w:bookmarkStart w:id="1356" w:name="_Toc532375605"/>
      <w:bookmarkStart w:id="1357" w:name="_Toc532377308"/>
      <w:r>
        <w:rPr>
          <w:rFonts w:hint="eastAsia"/>
          <w:kern w:val="2"/>
          <w:sz w:val="21"/>
          <w:szCs w:val="21"/>
        </w:rPr>
        <w:t>19. 索赔</w:t>
      </w:r>
      <w:bookmarkEnd w:id="1356"/>
      <w:bookmarkEnd w:id="1357"/>
    </w:p>
    <w:p>
      <w:pPr>
        <w:pStyle w:val="7"/>
        <w:spacing w:before="0" w:beforeAutospacing="0" w:after="0" w:afterAutospacing="0" w:line="360" w:lineRule="auto"/>
        <w:ind w:firstLine="421" w:firstLineChars="200"/>
        <w:rPr>
          <w:sz w:val="21"/>
          <w:szCs w:val="21"/>
        </w:rPr>
      </w:pPr>
      <w:bookmarkStart w:id="1358" w:name="_Toc532377309"/>
      <w:r>
        <w:rPr>
          <w:rFonts w:hint="eastAsia"/>
          <w:sz w:val="21"/>
          <w:szCs w:val="21"/>
        </w:rPr>
        <w:t>19.1承包人的索赔</w:t>
      </w:r>
      <w:bookmarkEnd w:id="1358"/>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根据合同约定，承包人认为有权得到追加付款和（或）延长工期的，应按以下程序向发包人提出索赔：</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（3）索赔事件具有持续影响的，承包人应按合理时间间隔继续递交延续索赔通知，说明持续影响的实际情况和记录，列出累计的追加付款金额和（或）工期延长天数；</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（4）在索赔事件影响结束后28天内，承包人应向监理人递交最终索赔报告，说明最终要求索赔的追加付款金额和（或）延长的工期，并附必要的记录和证明材料。</w:t>
      </w:r>
    </w:p>
    <w:p>
      <w:pPr>
        <w:pStyle w:val="7"/>
        <w:spacing w:before="0" w:beforeAutospacing="0" w:after="0" w:afterAutospacing="0" w:line="360" w:lineRule="auto"/>
        <w:ind w:firstLine="421" w:firstLineChars="200"/>
        <w:rPr>
          <w:sz w:val="21"/>
          <w:szCs w:val="21"/>
        </w:rPr>
      </w:pPr>
      <w:bookmarkStart w:id="1359" w:name="_Toc532377310"/>
      <w:bookmarkStart w:id="1360" w:name="_Toc351203622"/>
      <w:bookmarkStart w:id="1361" w:name="_Toc296503142"/>
      <w:bookmarkStart w:id="1362" w:name="_Toc337558837"/>
      <w:bookmarkStart w:id="1363" w:name="_Toc296346643"/>
      <w:r>
        <w:rPr>
          <w:rFonts w:hint="eastAsia"/>
          <w:sz w:val="21"/>
          <w:szCs w:val="21"/>
        </w:rPr>
        <w:t>19.2 对承包人索赔的处理</w:t>
      </w:r>
      <w:bookmarkEnd w:id="1359"/>
      <w:bookmarkEnd w:id="1360"/>
    </w:p>
    <w:bookmarkEnd w:id="1361"/>
    <w:bookmarkEnd w:id="1362"/>
    <w:bookmarkEnd w:id="136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对承包人索赔的处理如下：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（1）监理人应在收到索赔报告后14天内完成审查并报送发包人。监理人对索赔报告存在异议的，有权要求承包人提交全部原始记录副本；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（3）承包人接受索赔处理结果的，索赔款项在当期进度款中进行支付；承包人不接受索赔处理结果的，按照第20条〔争议解决〕约定处理。</w:t>
      </w:r>
    </w:p>
    <w:p>
      <w:pPr>
        <w:pStyle w:val="7"/>
        <w:spacing w:before="0" w:beforeAutospacing="0" w:after="0" w:afterAutospacing="0" w:line="360" w:lineRule="auto"/>
        <w:ind w:firstLine="421" w:firstLineChars="200"/>
        <w:rPr>
          <w:sz w:val="21"/>
          <w:szCs w:val="21"/>
        </w:rPr>
      </w:pPr>
      <w:bookmarkStart w:id="1364" w:name="_Toc351203623"/>
      <w:bookmarkStart w:id="1365" w:name="_Toc532377311"/>
      <w:bookmarkStart w:id="1366" w:name="_Toc296346644"/>
      <w:bookmarkStart w:id="1367" w:name="_Toc337558838"/>
      <w:bookmarkStart w:id="1368" w:name="_Toc296503143"/>
      <w:r>
        <w:rPr>
          <w:rFonts w:hint="eastAsia"/>
          <w:sz w:val="21"/>
          <w:szCs w:val="21"/>
        </w:rPr>
        <w:t>19.3发包人的索赔</w:t>
      </w:r>
      <w:bookmarkEnd w:id="1364"/>
      <w:bookmarkEnd w:id="1365"/>
    </w:p>
    <w:bookmarkEnd w:id="1366"/>
    <w:bookmarkEnd w:id="1367"/>
    <w:bookmarkEnd w:id="136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根据合同约定，发包人认为有权得到赔付金额和（或）延长缺陷责任期的，监理人应向承包人发出通知并附有详细的证明。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pStyle w:val="7"/>
        <w:spacing w:before="0" w:beforeAutospacing="0" w:after="0" w:afterAutospacing="0" w:line="360" w:lineRule="auto"/>
        <w:ind w:firstLine="421" w:firstLineChars="200"/>
        <w:rPr>
          <w:sz w:val="21"/>
          <w:szCs w:val="21"/>
        </w:rPr>
      </w:pPr>
      <w:bookmarkStart w:id="1369" w:name="_Toc532377312"/>
      <w:bookmarkStart w:id="1370" w:name="_Toc351203624"/>
      <w:bookmarkStart w:id="1371" w:name="_Toc296503144"/>
      <w:bookmarkStart w:id="1372" w:name="_Toc296346645"/>
      <w:bookmarkStart w:id="1373" w:name="_Toc337558839"/>
      <w:r>
        <w:rPr>
          <w:rFonts w:hint="eastAsia"/>
          <w:sz w:val="21"/>
          <w:szCs w:val="21"/>
        </w:rPr>
        <w:t>19.4 对发包人索赔的处理</w:t>
      </w:r>
      <w:bookmarkEnd w:id="1369"/>
      <w:bookmarkEnd w:id="1370"/>
    </w:p>
    <w:bookmarkEnd w:id="1371"/>
    <w:bookmarkEnd w:id="1372"/>
    <w:bookmarkEnd w:id="137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对发包人索赔的处理如下：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（1）承包人收到发包人提交的索赔报告后，应及时审查索赔报告的内容、查验发包人证明材料；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（2）承包人应在收到索赔报告或有关索赔的进一步证明材料后28天内，将索赔处理结果答复发包人。如果承包人未在上述期限内作出答复的，则视为对发包人索赔要求的认可；</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（3）承包人接受索赔处理结果的，发包人可从应支付给承包人的合同价款中扣除赔付的金额或延长缺陷责任期；发包人不接受索赔处理结果的，按第20条〔争议解决〕约定处理。</w:t>
      </w:r>
    </w:p>
    <w:p>
      <w:pPr>
        <w:pStyle w:val="7"/>
        <w:spacing w:before="0" w:beforeAutospacing="0" w:after="0" w:afterAutospacing="0" w:line="360" w:lineRule="auto"/>
        <w:ind w:firstLine="420" w:firstLineChars="200"/>
        <w:rPr>
          <w:b w:val="0"/>
          <w:sz w:val="21"/>
          <w:szCs w:val="21"/>
        </w:rPr>
      </w:pPr>
      <w:bookmarkStart w:id="1374" w:name="_Toc532377313"/>
      <w:bookmarkStart w:id="1375" w:name="_Toc351203625"/>
      <w:r>
        <w:rPr>
          <w:rFonts w:hint="eastAsia"/>
          <w:b w:val="0"/>
          <w:sz w:val="21"/>
          <w:szCs w:val="21"/>
        </w:rPr>
        <w:t>19.5 提出索赔的期限</w:t>
      </w:r>
      <w:bookmarkEnd w:id="1374"/>
      <w:bookmarkEnd w:id="1375"/>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（1）承包人按第14.2款〔竣工结算审核〕约定接收竣工付款证书后，应被视为已无权再提出在工程接收证书颁发前所发生的任何索赔。</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（2）承包人按第14.4款〔最终结清〕提交的最终结清申请单中，只限于提出工程接收证书颁发后发生的索赔。提出索赔的期限自接受最终结清证书时终止。</w:t>
      </w:r>
    </w:p>
    <w:p>
      <w:pPr>
        <w:pStyle w:val="6"/>
        <w:keepNext/>
        <w:keepLines/>
        <w:spacing w:before="156" w:beforeLines="50" w:beforeAutospacing="0" w:after="156" w:afterLines="50" w:afterAutospacing="0" w:line="360" w:lineRule="auto"/>
        <w:jc w:val="both"/>
        <w:rPr>
          <w:bCs w:val="0"/>
          <w:kern w:val="2"/>
          <w:sz w:val="21"/>
          <w:szCs w:val="21"/>
        </w:rPr>
      </w:pPr>
      <w:bookmarkStart w:id="1376" w:name="_Toc532377314"/>
      <w:bookmarkStart w:id="1377" w:name="_Toc351203626"/>
      <w:bookmarkStart w:id="1378" w:name="_Toc532375606"/>
      <w:r>
        <w:rPr>
          <w:rFonts w:hint="eastAsia"/>
          <w:kern w:val="2"/>
          <w:sz w:val="21"/>
          <w:szCs w:val="21"/>
        </w:rPr>
        <w:t>20</w:t>
      </w:r>
      <w:bookmarkStart w:id="1379" w:name="_Toc296503146"/>
      <w:bookmarkStart w:id="1380" w:name="_Toc296346647"/>
      <w:bookmarkStart w:id="1381" w:name="_Toc337558840"/>
      <w:r>
        <w:rPr>
          <w:rFonts w:hint="eastAsia"/>
          <w:kern w:val="2"/>
          <w:sz w:val="21"/>
          <w:szCs w:val="21"/>
        </w:rPr>
        <w:t>. 争议解决</w:t>
      </w:r>
      <w:bookmarkEnd w:id="1376"/>
      <w:bookmarkEnd w:id="1377"/>
      <w:bookmarkEnd w:id="1378"/>
    </w:p>
    <w:bookmarkEnd w:id="1379"/>
    <w:bookmarkEnd w:id="1380"/>
    <w:bookmarkEnd w:id="1381"/>
    <w:p>
      <w:pPr>
        <w:pStyle w:val="7"/>
        <w:spacing w:before="0" w:beforeAutospacing="0" w:after="0" w:afterAutospacing="0" w:line="360" w:lineRule="auto"/>
        <w:ind w:firstLine="421" w:firstLineChars="200"/>
        <w:rPr>
          <w:sz w:val="21"/>
          <w:szCs w:val="21"/>
        </w:rPr>
      </w:pPr>
      <w:bookmarkStart w:id="1382" w:name="_Toc532377315"/>
      <w:bookmarkStart w:id="1383" w:name="_Toc351203627"/>
      <w:bookmarkStart w:id="1384" w:name="_Toc337558841"/>
      <w:bookmarkStart w:id="1385" w:name="_Toc296346648"/>
      <w:bookmarkStart w:id="1386" w:name="_Toc296503147"/>
      <w:r>
        <w:rPr>
          <w:rFonts w:hint="eastAsia"/>
          <w:sz w:val="21"/>
          <w:szCs w:val="21"/>
        </w:rPr>
        <w:t>20.1和解</w:t>
      </w:r>
      <w:bookmarkEnd w:id="1382"/>
      <w:bookmarkEnd w:id="1383"/>
    </w:p>
    <w:bookmarkEnd w:id="1384"/>
    <w:bookmarkEnd w:id="1385"/>
    <w:bookmarkEnd w:id="138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合同当事人可以就争议自行和解，自行和解达成协议的经双方签名并盖章后作为合同补充文件，双方均应遵照执行。</w:t>
      </w:r>
    </w:p>
    <w:p>
      <w:pPr>
        <w:pStyle w:val="7"/>
        <w:spacing w:before="0" w:beforeAutospacing="0" w:after="0" w:afterAutospacing="0" w:line="360" w:lineRule="auto"/>
        <w:ind w:firstLine="421" w:firstLineChars="200"/>
        <w:rPr>
          <w:sz w:val="21"/>
          <w:szCs w:val="21"/>
        </w:rPr>
      </w:pPr>
      <w:bookmarkStart w:id="1387" w:name="_Toc351203628"/>
      <w:bookmarkStart w:id="1388" w:name="_Toc532377316"/>
      <w:r>
        <w:rPr>
          <w:rFonts w:hint="eastAsia"/>
          <w:sz w:val="21"/>
          <w:szCs w:val="21"/>
        </w:rPr>
        <w:t>20</w:t>
      </w:r>
      <w:bookmarkStart w:id="1389" w:name="_Toc296503148"/>
      <w:bookmarkStart w:id="1390" w:name="_Toc337558842"/>
      <w:bookmarkStart w:id="1391" w:name="_Toc296346649"/>
      <w:r>
        <w:rPr>
          <w:rFonts w:hint="eastAsia"/>
          <w:sz w:val="21"/>
          <w:szCs w:val="21"/>
        </w:rPr>
        <w:t>.2调解</w:t>
      </w:r>
      <w:bookmarkEnd w:id="1387"/>
      <w:bookmarkEnd w:id="1388"/>
    </w:p>
    <w:bookmarkEnd w:id="1389"/>
    <w:bookmarkEnd w:id="1390"/>
    <w:bookmarkEnd w:id="139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合同当事人可以就争议请求建设行政主管部门、行业协会或其他第三方进行调解，调解达成协议的，经双方签名并盖章后作为合同补充文件，双方均应遵照执行。</w:t>
      </w:r>
    </w:p>
    <w:p>
      <w:pPr>
        <w:pStyle w:val="7"/>
        <w:spacing w:before="0" w:beforeAutospacing="0" w:after="0" w:afterAutospacing="0" w:line="360" w:lineRule="auto"/>
        <w:ind w:firstLine="421" w:firstLineChars="200"/>
        <w:rPr>
          <w:sz w:val="21"/>
          <w:szCs w:val="21"/>
        </w:rPr>
      </w:pPr>
      <w:bookmarkStart w:id="1392" w:name="_Toc532377317"/>
      <w:bookmarkStart w:id="1393" w:name="_Toc351203629"/>
      <w:bookmarkStart w:id="1394" w:name="_Toc296503149"/>
      <w:bookmarkStart w:id="1395" w:name="_Toc296346650"/>
      <w:bookmarkStart w:id="1396" w:name="_Toc337558843"/>
      <w:r>
        <w:rPr>
          <w:rFonts w:hint="eastAsia"/>
          <w:sz w:val="21"/>
          <w:szCs w:val="21"/>
        </w:rPr>
        <w:t>20.3争议评审</w:t>
      </w:r>
      <w:bookmarkEnd w:id="1392"/>
      <w:bookmarkEnd w:id="1393"/>
    </w:p>
    <w:bookmarkEnd w:id="1394"/>
    <w:bookmarkEnd w:id="1395"/>
    <w:bookmarkEnd w:id="139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合同当事人在专用合同条款中约定采取争议评审方式解决争议以及评审规则，并按下列约定执行：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20.3.1 争议评审小组的确定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除专用合同条款另有约定外，评审员报酬由发包人和承包人各承担一半。</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20.3.2 争议评审小组的决定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20.3.3 争议评审小组决定的效力</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争议评审小组作出的书面决定经合同当事人签名确认后，对双方具有约束力，双方应遵照执行。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任何一方当事人不接受争议评审小组决定或不履行争议评审小组决定的，双方可选择采用其他争议解决方式。</w:t>
      </w:r>
    </w:p>
    <w:p>
      <w:pPr>
        <w:pStyle w:val="7"/>
        <w:spacing w:before="0" w:beforeAutospacing="0" w:after="0" w:afterAutospacing="0" w:line="360" w:lineRule="auto"/>
        <w:ind w:firstLine="421" w:firstLineChars="200"/>
        <w:rPr>
          <w:sz w:val="21"/>
          <w:szCs w:val="21"/>
        </w:rPr>
      </w:pPr>
      <w:bookmarkStart w:id="1397" w:name="_Toc532377318"/>
      <w:bookmarkStart w:id="1398" w:name="_Toc351203630"/>
      <w:bookmarkStart w:id="1399" w:name="_Toc296346651"/>
      <w:bookmarkStart w:id="1400" w:name="_Toc296503150"/>
      <w:bookmarkStart w:id="1401" w:name="_Toc337558844"/>
      <w:r>
        <w:rPr>
          <w:rFonts w:hint="eastAsia"/>
          <w:sz w:val="21"/>
          <w:szCs w:val="21"/>
        </w:rPr>
        <w:t>20.4仲裁或诉讼</w:t>
      </w:r>
      <w:bookmarkEnd w:id="1397"/>
      <w:bookmarkEnd w:id="1398"/>
    </w:p>
    <w:bookmarkEnd w:id="1399"/>
    <w:bookmarkEnd w:id="1400"/>
    <w:bookmarkEnd w:id="140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因合同及合同有关事项产生的争议，合同当事人可以在专用合同条款中约定以下一种方式解决争议：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（1）向约定的仲裁委员会申请仲裁；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（2）向有管辖权的人民法院起诉。</w:t>
      </w:r>
    </w:p>
    <w:p>
      <w:pPr>
        <w:pStyle w:val="7"/>
        <w:spacing w:before="0" w:beforeAutospacing="0" w:after="0" w:afterAutospacing="0" w:line="360" w:lineRule="auto"/>
        <w:ind w:firstLine="420" w:firstLineChars="200"/>
        <w:rPr>
          <w:b w:val="0"/>
          <w:sz w:val="21"/>
          <w:szCs w:val="21"/>
        </w:rPr>
      </w:pPr>
      <w:bookmarkStart w:id="1402" w:name="_Toc532377319"/>
      <w:bookmarkStart w:id="1403" w:name="_Toc351203631"/>
      <w:bookmarkStart w:id="1404" w:name="_Toc337558845"/>
      <w:bookmarkStart w:id="1405" w:name="_Toc296503152"/>
      <w:bookmarkStart w:id="1406" w:name="_Toc296346653"/>
      <w:r>
        <w:rPr>
          <w:rFonts w:hint="eastAsia"/>
          <w:b w:val="0"/>
          <w:sz w:val="21"/>
          <w:szCs w:val="21"/>
        </w:rPr>
        <w:t>20.5争议解决条款效力</w:t>
      </w:r>
      <w:bookmarkEnd w:id="1402"/>
      <w:bookmarkEnd w:id="1403"/>
    </w:p>
    <w:bookmarkEnd w:id="1404"/>
    <w:bookmarkEnd w:id="1405"/>
    <w:bookmarkEnd w:id="1406"/>
    <w:p>
      <w:pPr>
        <w:spacing w:line="360" w:lineRule="auto"/>
        <w:ind w:firstLine="420" w:firstLineChars="200"/>
        <w:jc w:val="left"/>
        <w:rPr>
          <w:rFonts w:ascii="宋体" w:hAnsi="宋体"/>
          <w:kern w:val="0"/>
          <w:szCs w:val="21"/>
        </w:rPr>
      </w:pPr>
      <w:r>
        <w:rPr>
          <w:rFonts w:hint="eastAsia" w:ascii="宋体" w:hAnsi="宋体"/>
          <w:kern w:val="0"/>
          <w:szCs w:val="21"/>
        </w:rPr>
        <w:t>合同有关争议解决的条款独立存在，合同的变更、解除、终止、无效或者被撤销均不影响其效力。</w:t>
      </w:r>
    </w:p>
    <w:p>
      <w:pPr>
        <w:keepNext/>
        <w:keepLines/>
        <w:snapToGrid w:val="0"/>
        <w:spacing w:before="260" w:after="260" w:line="360" w:lineRule="auto"/>
        <w:outlineLvl w:val="2"/>
        <w:rPr>
          <w:rFonts w:ascii="宋体" w:hAnsi="宋体"/>
          <w:b/>
          <w:bCs/>
          <w:szCs w:val="21"/>
          <w:lang w:val="zh-CN"/>
        </w:rPr>
      </w:pPr>
      <w:r>
        <w:rPr>
          <w:rFonts w:hint="eastAsia" w:ascii="宋体" w:hAnsi="宋体"/>
          <w:b/>
          <w:bCs/>
          <w:szCs w:val="21"/>
          <w:lang w:val="zh-CN"/>
        </w:rPr>
        <w:br w:type="page"/>
      </w:r>
    </w:p>
    <w:p>
      <w:pPr>
        <w:pStyle w:val="5"/>
        <w:jc w:val="center"/>
        <w:rPr>
          <w:rFonts w:ascii="宋体" w:hAnsi="宋体"/>
          <w:sz w:val="44"/>
          <w:szCs w:val="44"/>
        </w:rPr>
      </w:pPr>
      <w:bookmarkStart w:id="1407" w:name="_Toc532377320"/>
      <w:bookmarkStart w:id="1408" w:name="_Toc529388290"/>
      <w:bookmarkStart w:id="1409" w:name="_Toc29664"/>
      <w:bookmarkStart w:id="1410" w:name="_Toc28123"/>
      <w:bookmarkStart w:id="1411" w:name="_Toc532375607"/>
      <w:r>
        <w:rPr>
          <w:rFonts w:hint="eastAsia" w:ascii="宋体" w:hAnsi="宋体"/>
          <w:sz w:val="44"/>
          <w:szCs w:val="44"/>
        </w:rPr>
        <w:t>第三部分 专用合同条款</w:t>
      </w:r>
      <w:bookmarkEnd w:id="1407"/>
      <w:bookmarkEnd w:id="1408"/>
      <w:bookmarkEnd w:id="1409"/>
      <w:bookmarkEnd w:id="1410"/>
      <w:bookmarkEnd w:id="1411"/>
    </w:p>
    <w:p>
      <w:pPr>
        <w:pStyle w:val="6"/>
        <w:keepNext/>
        <w:keepLines/>
        <w:spacing w:before="156" w:beforeLines="50" w:beforeAutospacing="0" w:after="156" w:afterLines="50" w:afterAutospacing="0" w:line="360" w:lineRule="auto"/>
        <w:jc w:val="both"/>
        <w:rPr>
          <w:bCs w:val="0"/>
          <w:kern w:val="2"/>
          <w:sz w:val="21"/>
          <w:szCs w:val="21"/>
        </w:rPr>
      </w:pPr>
      <w:bookmarkStart w:id="1412" w:name="_Toc532375608"/>
      <w:bookmarkStart w:id="1413" w:name="_Toc532377321"/>
      <w:bookmarkStart w:id="1414" w:name="_Toc351203633"/>
      <w:bookmarkStart w:id="1415" w:name="_Hlk528927191"/>
      <w:r>
        <w:rPr>
          <w:rFonts w:hint="eastAsia"/>
          <w:kern w:val="2"/>
          <w:sz w:val="21"/>
          <w:szCs w:val="21"/>
        </w:rPr>
        <w:t>1</w:t>
      </w:r>
      <w:bookmarkStart w:id="1416" w:name="_Toc296944495"/>
      <w:bookmarkStart w:id="1417" w:name="_Toc296890984"/>
      <w:bookmarkStart w:id="1418" w:name="_Toc292559866"/>
      <w:bookmarkStart w:id="1419" w:name="_Toc296503156"/>
      <w:bookmarkStart w:id="1420" w:name="_Toc296891196"/>
      <w:bookmarkStart w:id="1421" w:name="_Toc292559361"/>
      <w:bookmarkStart w:id="1422" w:name="_Toc296347155"/>
      <w:bookmarkStart w:id="1423" w:name="_Toc297048342"/>
      <w:bookmarkStart w:id="1424" w:name="_Toc296346657"/>
      <w:bookmarkStart w:id="1425" w:name="_Toc297120456"/>
      <w:r>
        <w:rPr>
          <w:rFonts w:hint="eastAsia"/>
          <w:kern w:val="2"/>
          <w:sz w:val="21"/>
          <w:szCs w:val="21"/>
        </w:rPr>
        <w:t>. 一般约定</w:t>
      </w:r>
      <w:bookmarkEnd w:id="1412"/>
      <w:bookmarkEnd w:id="1413"/>
      <w:bookmarkEnd w:id="1414"/>
    </w:p>
    <w:bookmarkEnd w:id="1416"/>
    <w:bookmarkEnd w:id="1417"/>
    <w:bookmarkEnd w:id="1418"/>
    <w:bookmarkEnd w:id="1419"/>
    <w:bookmarkEnd w:id="1420"/>
    <w:bookmarkEnd w:id="1421"/>
    <w:bookmarkEnd w:id="1422"/>
    <w:bookmarkEnd w:id="1423"/>
    <w:bookmarkEnd w:id="1424"/>
    <w:bookmarkEnd w:id="1425"/>
    <w:p>
      <w:pPr>
        <w:pStyle w:val="7"/>
        <w:spacing w:before="0" w:beforeAutospacing="0" w:after="0" w:afterAutospacing="0" w:line="360" w:lineRule="auto"/>
        <w:ind w:firstLine="421" w:firstLineChars="200"/>
        <w:rPr>
          <w:sz w:val="21"/>
          <w:szCs w:val="21"/>
        </w:rPr>
      </w:pPr>
      <w:bookmarkStart w:id="1426" w:name="_Toc532377322"/>
      <w:r>
        <w:rPr>
          <w:rFonts w:hint="eastAsia"/>
          <w:sz w:val="21"/>
          <w:szCs w:val="21"/>
        </w:rPr>
        <w:t>1.1词语定义与解释</w:t>
      </w:r>
      <w:bookmarkEnd w:id="1426"/>
    </w:p>
    <w:p>
      <w:pPr>
        <w:spacing w:line="360" w:lineRule="auto"/>
        <w:ind w:firstLine="420" w:firstLineChars="200"/>
        <w:jc w:val="left"/>
        <w:rPr>
          <w:rFonts w:ascii="宋体" w:hAnsi="宋体"/>
          <w:kern w:val="0"/>
          <w:szCs w:val="21"/>
        </w:rPr>
      </w:pPr>
      <w:r>
        <w:rPr>
          <w:rFonts w:hint="eastAsia" w:ascii="宋体" w:hAnsi="宋体"/>
          <w:kern w:val="0"/>
          <w:szCs w:val="21"/>
        </w:rPr>
        <w:t>1.1.1 合同</w:t>
      </w:r>
    </w:p>
    <w:p>
      <w:pPr>
        <w:spacing w:line="360" w:lineRule="auto"/>
        <w:ind w:firstLine="420" w:firstLineChars="200"/>
        <w:jc w:val="left"/>
        <w:rPr>
          <w:rFonts w:ascii="宋体" w:hAnsi="宋体"/>
          <w:kern w:val="0"/>
          <w:szCs w:val="21"/>
        </w:rPr>
      </w:pPr>
      <w:r>
        <w:rPr>
          <w:rFonts w:hint="eastAsia" w:ascii="宋体" w:hAnsi="宋体"/>
          <w:kern w:val="0"/>
          <w:szCs w:val="21"/>
        </w:rPr>
        <w:t>1.1.1.6技术标准和要求：</w:t>
      </w:r>
      <w:r>
        <w:rPr>
          <w:rFonts w:hint="eastAsia" w:ascii="宋体" w:hAnsi="宋体"/>
          <w:kern w:val="0"/>
          <w:szCs w:val="21"/>
          <w:u w:val="single"/>
        </w:rPr>
        <w:t>本目中的技术标准和要求是指技术规范，即合同所约定的技术标准和要求，是合同文件的组成部分。与通用合同条款中“技术标准和要求”一词具有相同含义，包括合同双方当事人约定对其所作的修改或补充</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1.1.1.8 已标价工程量清单：</w:t>
      </w:r>
      <w:r>
        <w:rPr>
          <w:rFonts w:hint="eastAsia" w:ascii="宋体" w:hAnsi="宋体"/>
          <w:kern w:val="0"/>
          <w:szCs w:val="21"/>
          <w:u w:val="single"/>
        </w:rPr>
        <w:t>指构成合同的由承包人按照发包人规定的格式和要求填写并标明价格、经算术性错误修订及其他错误修订（如有）且承包人已确认的工程量清单</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kern w:val="0"/>
          <w:szCs w:val="21"/>
        </w:rPr>
        <w:t>1.1.1.10 其他合同文件包括：</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本项补充1.1.1.11～1.1.1.16目：</w:t>
      </w:r>
    </w:p>
    <w:p>
      <w:pPr>
        <w:spacing w:line="360" w:lineRule="auto"/>
        <w:ind w:firstLine="420" w:firstLineChars="200"/>
        <w:jc w:val="left"/>
        <w:rPr>
          <w:rFonts w:ascii="宋体" w:hAnsi="宋体"/>
          <w:kern w:val="0"/>
          <w:szCs w:val="21"/>
        </w:rPr>
      </w:pPr>
      <w:r>
        <w:rPr>
          <w:rFonts w:hint="eastAsia" w:ascii="宋体" w:hAnsi="宋体"/>
          <w:kern w:val="0"/>
          <w:szCs w:val="21"/>
        </w:rPr>
        <w:t>1.1.1.11 招标文件：</w:t>
      </w:r>
      <w:r>
        <w:rPr>
          <w:rFonts w:hint="eastAsia" w:ascii="宋体" w:hAnsi="宋体"/>
          <w:kern w:val="0"/>
          <w:szCs w:val="21"/>
          <w:u w:val="single"/>
        </w:rPr>
        <w:t>指本工程的招标文件、图纸、其他技术资料及招标人发出的对招标文件所作的澄清、修改等资料</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1.1.1.12 工作：</w:t>
      </w:r>
      <w:r>
        <w:rPr>
          <w:rFonts w:hint="eastAsia" w:ascii="宋体" w:hAnsi="宋体"/>
          <w:kern w:val="0"/>
          <w:szCs w:val="21"/>
          <w:u w:val="single"/>
        </w:rPr>
        <w:t>指根据合同条款规定，或根据合同合理推及的，为本工程（包括永久工程和临时工程）施工与维护所需要的管理、劳务、材料、施工设备和其他物品的提供</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szCs w:val="21"/>
        </w:rPr>
        <w:t>1.1.1.13 重大设计变更：按照规定需要重新报建设行政主管部门批准的设计变更。</w:t>
      </w:r>
    </w:p>
    <w:p>
      <w:pPr>
        <w:spacing w:line="360" w:lineRule="auto"/>
        <w:ind w:firstLine="420" w:firstLineChars="200"/>
        <w:jc w:val="left"/>
        <w:rPr>
          <w:rFonts w:ascii="宋体" w:hAnsi="宋体"/>
          <w:szCs w:val="21"/>
        </w:rPr>
      </w:pPr>
      <w:r>
        <w:rPr>
          <w:rFonts w:ascii="宋体" w:hAnsi="宋体"/>
          <w:szCs w:val="21"/>
        </w:rPr>
        <w:t>1.1.1.</w:t>
      </w:r>
      <w:r>
        <w:rPr>
          <w:rFonts w:hint="eastAsia" w:ascii="宋体" w:hAnsi="宋体"/>
          <w:szCs w:val="21"/>
        </w:rPr>
        <w:t>14 公章：专指法定单位名称章</w:t>
      </w:r>
      <w:r>
        <w:rPr>
          <w:rFonts w:ascii="宋体" w:hAnsi="宋体"/>
          <w:szCs w:val="21"/>
        </w:rPr>
        <w:t>。</w:t>
      </w:r>
    </w:p>
    <w:bookmarkEnd w:id="1415"/>
    <w:p>
      <w:pPr>
        <w:spacing w:line="360" w:lineRule="auto"/>
        <w:ind w:firstLine="420" w:firstLineChars="200"/>
        <w:jc w:val="left"/>
        <w:rPr>
          <w:rFonts w:ascii="宋体" w:hAnsi="宋体"/>
          <w:szCs w:val="21"/>
        </w:rPr>
      </w:pPr>
      <w:r>
        <w:rPr>
          <w:rFonts w:hint="eastAsia" w:ascii="宋体" w:hAnsi="宋体"/>
          <w:szCs w:val="21"/>
        </w:rPr>
        <w:t>1.1.1.15 到岗：指承包人按照到岗履职承诺安排满足办理施工许可手续相关要求的项目主要管理人员实际到施工现场就职履约的行为。</w:t>
      </w:r>
    </w:p>
    <w:p>
      <w:pPr>
        <w:spacing w:line="360" w:lineRule="auto"/>
        <w:ind w:firstLine="420" w:firstLineChars="200"/>
        <w:jc w:val="left"/>
        <w:rPr>
          <w:rFonts w:ascii="宋体" w:hAnsi="宋体"/>
          <w:szCs w:val="21"/>
        </w:rPr>
      </w:pPr>
      <w:r>
        <w:rPr>
          <w:rFonts w:hint="eastAsia" w:ascii="宋体" w:hAnsi="宋体"/>
          <w:szCs w:val="21"/>
        </w:rPr>
        <w:t>1.1.1.16 项目法人：指具有民事权利能力和民事行为能力，依法独立享有民事权利和承担民事义务，以建设项目为目的，从事项目管理的机构、单位或组织。</w:t>
      </w:r>
    </w:p>
    <w:p>
      <w:pPr>
        <w:spacing w:line="360" w:lineRule="auto"/>
        <w:ind w:firstLine="420" w:firstLineChars="200"/>
        <w:jc w:val="left"/>
        <w:rPr>
          <w:rFonts w:ascii="宋体" w:hAnsi="宋体"/>
          <w:szCs w:val="21"/>
        </w:rPr>
      </w:pPr>
      <w:r>
        <w:rPr>
          <w:rFonts w:hint="eastAsia" w:ascii="宋体" w:hAnsi="宋体"/>
          <w:szCs w:val="21"/>
        </w:rPr>
        <w:t>1.1.2 合同当事人及其他相关方</w:t>
      </w:r>
    </w:p>
    <w:p>
      <w:pPr>
        <w:spacing w:line="360" w:lineRule="auto"/>
        <w:ind w:firstLine="420" w:firstLineChars="200"/>
        <w:jc w:val="left"/>
        <w:rPr>
          <w:rFonts w:ascii="宋体" w:hAnsi="宋体"/>
          <w:szCs w:val="21"/>
        </w:rPr>
      </w:pPr>
      <w:r>
        <w:rPr>
          <w:rFonts w:hint="eastAsia" w:ascii="宋体" w:hAnsi="宋体"/>
          <w:szCs w:val="21"/>
        </w:rPr>
        <w:t>1.1.2.4 监理人：</w:t>
      </w:r>
    </w:p>
    <w:p>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1.1.2.5 设计人：</w:t>
      </w:r>
    </w:p>
    <w:p>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1.1.3 工程和设备</w:t>
      </w:r>
    </w:p>
    <w:p>
      <w:pPr>
        <w:spacing w:line="360" w:lineRule="auto"/>
        <w:ind w:firstLine="420" w:firstLineChars="200"/>
        <w:jc w:val="left"/>
        <w:rPr>
          <w:rFonts w:ascii="宋体" w:hAnsi="宋体"/>
          <w:szCs w:val="21"/>
        </w:rPr>
      </w:pPr>
      <w:r>
        <w:rPr>
          <w:rFonts w:hint="eastAsia" w:ascii="宋体" w:hAnsi="宋体"/>
          <w:kern w:val="0"/>
          <w:szCs w:val="21"/>
        </w:rPr>
        <w:t>1.1.3.7 作为施工现场组成部分的其他场所包括：</w:t>
      </w:r>
      <w:r>
        <w:rPr>
          <w:rFonts w:hint="eastAsia" w:ascii="宋体" w:hAnsi="宋体"/>
          <w:kern w:val="0"/>
          <w:szCs w:val="21"/>
          <w:u w:val="single"/>
        </w:rPr>
        <w:t>永久占地、临时占地以及为修建临时工程而租用、占用的土地</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kern w:val="0"/>
          <w:szCs w:val="21"/>
        </w:rPr>
        <w:t>1.1.3.9 永久占地包括：</w:t>
      </w:r>
      <w:r>
        <w:rPr>
          <w:rFonts w:hint="eastAsia" w:ascii="宋体" w:hAnsi="宋体"/>
          <w:kern w:val="0"/>
          <w:szCs w:val="21"/>
          <w:u w:val="single"/>
        </w:rPr>
        <w:t>为实施合同工程而需要的一切永久占用的土地，即合同工程</w:t>
      </w:r>
      <w:r>
        <w:rPr>
          <w:rFonts w:hint="eastAsia" w:ascii="宋体" w:hAnsi="宋体"/>
          <w:szCs w:val="21"/>
          <w:u w:val="single"/>
        </w:rPr>
        <w:t>用地红线范围内的土地</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1.1.3.10 临时占地包括：</w:t>
      </w:r>
      <w:r>
        <w:rPr>
          <w:rFonts w:hint="eastAsia" w:ascii="宋体" w:hAnsi="宋体"/>
          <w:szCs w:val="21"/>
          <w:u w:val="single"/>
        </w:rPr>
        <w:t>为实施合同工程而需要</w:t>
      </w:r>
      <w:r>
        <w:rPr>
          <w:rFonts w:hint="eastAsia" w:ascii="宋体" w:hAnsi="宋体"/>
          <w:kern w:val="0"/>
          <w:szCs w:val="21"/>
          <w:u w:val="single"/>
        </w:rPr>
        <w:t>的一切</w:t>
      </w:r>
      <w:r>
        <w:rPr>
          <w:rFonts w:hint="eastAsia" w:ascii="宋体" w:hAnsi="宋体"/>
          <w:szCs w:val="21"/>
          <w:u w:val="single"/>
        </w:rPr>
        <w:t>临时占用的土地，包括施工所用的临时便道等的临时出入道，以及生产（办公）、生活等临时设施用地</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1.1.6 其他</w:t>
      </w:r>
    </w:p>
    <w:p>
      <w:pPr>
        <w:spacing w:line="360" w:lineRule="auto"/>
        <w:ind w:firstLine="420" w:firstLineChars="200"/>
        <w:jc w:val="left"/>
        <w:rPr>
          <w:rFonts w:ascii="宋体" w:hAnsi="宋体"/>
          <w:szCs w:val="21"/>
        </w:rPr>
      </w:pPr>
      <w:bookmarkStart w:id="1427" w:name="_Hlk528927262"/>
      <w:r>
        <w:rPr>
          <w:rFonts w:hint="eastAsia" w:ascii="宋体" w:hAnsi="宋体"/>
          <w:szCs w:val="21"/>
        </w:rPr>
        <w:t>本项补充1.1.6.2～1.1.6.3目：</w:t>
      </w:r>
    </w:p>
    <w:p>
      <w:pPr>
        <w:spacing w:line="360" w:lineRule="auto"/>
        <w:ind w:firstLine="420" w:firstLineChars="200"/>
        <w:jc w:val="left"/>
        <w:rPr>
          <w:rFonts w:ascii="宋体" w:hAnsi="宋体"/>
          <w:szCs w:val="21"/>
        </w:rPr>
      </w:pPr>
      <w:r>
        <w:rPr>
          <w:rFonts w:hint="eastAsia" w:ascii="宋体" w:hAnsi="宋体"/>
          <w:szCs w:val="21"/>
        </w:rPr>
        <w:t>1.1.6.2 转包、违法分包及挂靠：指符合</w:t>
      </w:r>
      <w:r>
        <w:rPr>
          <w:rFonts w:hint="eastAsia" w:ascii="宋体" w:hAnsi="宋体"/>
          <w:szCs w:val="21"/>
          <w:u w:val="single"/>
        </w:rPr>
        <w:t>《住房和城乡建设部关于印发建筑工程施工发包与承包违法行为认定查处管理办法的通知》（建市规〔2019〕1号）</w:t>
      </w:r>
      <w:r>
        <w:rPr>
          <w:rFonts w:hint="eastAsia" w:ascii="宋体" w:hAnsi="宋体"/>
          <w:szCs w:val="21"/>
        </w:rPr>
        <w:t>规定认定条件的</w:t>
      </w:r>
      <w:r>
        <w:rPr>
          <w:rFonts w:hint="eastAsia" w:ascii="宋体" w:hAnsi="宋体"/>
          <w:kern w:val="0"/>
          <w:szCs w:val="21"/>
        </w:rPr>
        <w:t>违法行为</w:t>
      </w:r>
      <w:r>
        <w:rPr>
          <w:rFonts w:hint="eastAsia" w:ascii="宋体" w:hAnsi="宋体"/>
          <w:szCs w:val="21"/>
        </w:rPr>
        <w:t>。</w:t>
      </w:r>
    </w:p>
    <w:bookmarkEnd w:id="1427"/>
    <w:p>
      <w:pPr>
        <w:spacing w:line="360" w:lineRule="auto"/>
        <w:ind w:firstLine="420" w:firstLineChars="200"/>
        <w:jc w:val="left"/>
        <w:rPr>
          <w:rFonts w:ascii="宋体" w:hAnsi="宋体"/>
          <w:szCs w:val="21"/>
        </w:rPr>
      </w:pPr>
      <w:r>
        <w:rPr>
          <w:rFonts w:hint="eastAsia" w:ascii="宋体" w:hAnsi="宋体"/>
          <w:szCs w:val="21"/>
        </w:rPr>
        <w:t>1.1.6.3 危险性较大的分部分项工程（以下简称“危大工程”）：指</w:t>
      </w:r>
      <w:r>
        <w:rPr>
          <w:rFonts w:hint="eastAsia" w:ascii="宋体" w:hAnsi="宋体"/>
          <w:szCs w:val="21"/>
          <w:u w:val="single"/>
        </w:rPr>
        <w:t>住房和城乡建设部令第37号《危险性较大的分部分项工程安全管理规定》</w:t>
      </w:r>
      <w:r>
        <w:rPr>
          <w:rFonts w:hint="eastAsia" w:ascii="宋体" w:hAnsi="宋体"/>
          <w:szCs w:val="21"/>
        </w:rPr>
        <w:t>规定的房屋建筑和市政基础设施工程在施工过程中，容易导致人员群死群伤或者造成重大经济损失的分部分项工程。危大工程及超过一定规模的危大工程范围以国务院住房城乡建设主管部门制定及重庆市住房和城乡建设委员会补充的范围为准。</w:t>
      </w:r>
    </w:p>
    <w:p>
      <w:pPr>
        <w:pStyle w:val="7"/>
        <w:spacing w:before="0" w:beforeAutospacing="0" w:after="0" w:afterAutospacing="0" w:line="360" w:lineRule="auto"/>
        <w:ind w:firstLine="421" w:firstLineChars="200"/>
        <w:rPr>
          <w:sz w:val="21"/>
          <w:szCs w:val="21"/>
        </w:rPr>
      </w:pPr>
      <w:bookmarkStart w:id="1428" w:name="_Toc532377323"/>
      <w:r>
        <w:rPr>
          <w:rFonts w:hint="eastAsia"/>
          <w:sz w:val="21"/>
          <w:szCs w:val="21"/>
        </w:rPr>
        <w:t>1.4 标准和规范</w:t>
      </w:r>
      <w:bookmarkEnd w:id="1428"/>
    </w:p>
    <w:p>
      <w:pPr>
        <w:spacing w:line="360" w:lineRule="auto"/>
        <w:ind w:firstLine="420" w:firstLineChars="200"/>
        <w:jc w:val="left"/>
        <w:rPr>
          <w:rFonts w:ascii="宋体" w:hAnsi="宋体"/>
          <w:szCs w:val="21"/>
        </w:rPr>
      </w:pPr>
      <w:r>
        <w:rPr>
          <w:rFonts w:hint="eastAsia" w:ascii="宋体" w:hAnsi="宋体"/>
          <w:szCs w:val="21"/>
        </w:rPr>
        <w:t>1.4.1 适用于工程的标准规范包括：</w:t>
      </w:r>
    </w:p>
    <w:p>
      <w:pPr>
        <w:spacing w:line="360" w:lineRule="auto"/>
        <w:ind w:firstLine="420" w:firstLineChars="200"/>
        <w:jc w:val="left"/>
        <w:rPr>
          <w:rFonts w:ascii="宋体" w:hAnsi="宋体"/>
          <w:szCs w:val="21"/>
        </w:rPr>
      </w:pPr>
      <w:r>
        <w:rPr>
          <w:rFonts w:hint="eastAsia" w:ascii="宋体" w:hAnsi="宋体"/>
          <w:szCs w:val="21"/>
        </w:rPr>
        <w:t>（1）施工图所涉及的技术标准、规范、规程、图集等；</w:t>
      </w:r>
    </w:p>
    <w:p>
      <w:pPr>
        <w:spacing w:line="360" w:lineRule="auto"/>
        <w:ind w:firstLine="420" w:firstLineChars="200"/>
        <w:jc w:val="left"/>
        <w:rPr>
          <w:rFonts w:ascii="宋体" w:hAnsi="宋体"/>
          <w:szCs w:val="21"/>
          <w:u w:val="single"/>
        </w:rPr>
      </w:pPr>
      <w:r>
        <w:rPr>
          <w:rFonts w:hint="eastAsia" w:ascii="宋体" w:hAnsi="宋体"/>
          <w:szCs w:val="21"/>
        </w:rPr>
        <w:t>（2）国家、行业或重庆市与本工程有关的标准，以及相应的规范、规程等，当这些标准、规范、规程不一致时，以标准、规范、规程要求最高的为准。</w:t>
      </w:r>
    </w:p>
    <w:p>
      <w:pPr>
        <w:spacing w:line="360" w:lineRule="auto"/>
        <w:ind w:firstLine="420" w:firstLineChars="200"/>
        <w:jc w:val="left"/>
        <w:rPr>
          <w:rFonts w:ascii="宋体" w:hAnsi="宋体"/>
          <w:szCs w:val="21"/>
          <w:u w:val="single"/>
        </w:rPr>
      </w:pPr>
      <w:r>
        <w:rPr>
          <w:rFonts w:ascii="宋体" w:hAnsi="宋体"/>
          <w:szCs w:val="21"/>
        </w:rPr>
        <w:t>（</w:t>
      </w:r>
      <w:r>
        <w:rPr>
          <w:rFonts w:hint="eastAsia" w:ascii="宋体" w:hAnsi="宋体"/>
          <w:szCs w:val="21"/>
        </w:rPr>
        <w:t>3</w:t>
      </w:r>
      <w:r>
        <w:rPr>
          <w:rFonts w:ascii="宋体" w:hAnsi="宋体"/>
          <w:szCs w:val="21"/>
        </w:rPr>
        <w:t>）</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1.4.2 发包人提供国外标准、规范的名称：</w:t>
      </w:r>
      <w:r>
        <w:rPr>
          <w:rFonts w:hint="eastAsia" w:ascii="宋体" w:hAnsi="宋体"/>
          <w:kern w:val="0"/>
          <w:szCs w:val="21"/>
          <w:u w:val="single"/>
        </w:rPr>
        <w:t xml:space="preserve"> /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发包人提供国外标准、规范的份数：</w:t>
      </w:r>
      <w:r>
        <w:rPr>
          <w:rFonts w:hint="eastAsia" w:ascii="宋体" w:hAnsi="宋体"/>
          <w:kern w:val="0"/>
          <w:szCs w:val="21"/>
          <w:u w:val="single"/>
        </w:rPr>
        <w:t xml:space="preserve"> /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发包人提供国外标准、规范的名称：</w:t>
      </w:r>
      <w:r>
        <w:rPr>
          <w:rFonts w:hint="eastAsia" w:ascii="宋体" w:hAnsi="宋体"/>
          <w:kern w:val="0"/>
          <w:szCs w:val="21"/>
          <w:u w:val="single"/>
        </w:rPr>
        <w:t xml:space="preserve"> / </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szCs w:val="21"/>
        </w:rPr>
        <w:t>1.4.3 发包人对工程的技术标准和功能要求的特殊要求：</w:t>
      </w:r>
      <w:r>
        <w:rPr>
          <w:rFonts w:hint="eastAsia" w:ascii="宋体" w:hAnsi="宋体"/>
          <w:kern w:val="0"/>
          <w:szCs w:val="21"/>
          <w:u w:val="single"/>
        </w:rPr>
        <w:t xml:space="preserve">/ </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429" w:name="_Toc532377324"/>
      <w:r>
        <w:rPr>
          <w:rFonts w:hint="eastAsia"/>
          <w:sz w:val="21"/>
          <w:szCs w:val="21"/>
        </w:rPr>
        <w:t>1.5 合同文件的优先顺序</w:t>
      </w:r>
      <w:bookmarkEnd w:id="1429"/>
    </w:p>
    <w:p>
      <w:pPr>
        <w:spacing w:line="360" w:lineRule="auto"/>
        <w:ind w:firstLine="420" w:firstLineChars="200"/>
        <w:jc w:val="left"/>
        <w:rPr>
          <w:rFonts w:ascii="宋体" w:hAnsi="宋体"/>
          <w:szCs w:val="21"/>
        </w:rPr>
      </w:pPr>
      <w:r>
        <w:rPr>
          <w:rFonts w:hint="eastAsia" w:ascii="宋体" w:hAnsi="宋体"/>
          <w:szCs w:val="21"/>
        </w:rPr>
        <w:t>合同文件组成及优先顺序为：</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430" w:name="_Toc532377325"/>
      <w:r>
        <w:rPr>
          <w:rFonts w:hint="eastAsia"/>
          <w:sz w:val="21"/>
          <w:szCs w:val="21"/>
        </w:rPr>
        <w:t>1.6 图纸和承包人文件</w:t>
      </w:r>
      <w:bookmarkEnd w:id="1430"/>
    </w:p>
    <w:p>
      <w:pPr>
        <w:spacing w:line="360" w:lineRule="auto"/>
        <w:ind w:firstLine="420" w:firstLineChars="200"/>
        <w:jc w:val="left"/>
        <w:rPr>
          <w:rFonts w:ascii="宋体" w:hAnsi="宋体"/>
          <w:szCs w:val="21"/>
        </w:rPr>
      </w:pPr>
      <w:r>
        <w:rPr>
          <w:rFonts w:hint="eastAsia" w:ascii="宋体" w:hAnsi="宋体"/>
          <w:szCs w:val="21"/>
        </w:rPr>
        <w:t>1.6.1 图纸的提供和交底</w:t>
      </w:r>
    </w:p>
    <w:p>
      <w:pPr>
        <w:spacing w:line="360" w:lineRule="auto"/>
        <w:ind w:firstLine="420" w:firstLineChars="200"/>
        <w:jc w:val="left"/>
        <w:rPr>
          <w:rFonts w:ascii="宋体" w:hAnsi="宋体"/>
          <w:szCs w:val="21"/>
        </w:rPr>
      </w:pPr>
      <w:r>
        <w:rPr>
          <w:rFonts w:hint="eastAsia" w:ascii="宋体" w:hAnsi="宋体"/>
          <w:szCs w:val="21"/>
        </w:rPr>
        <w:t>发包人向承包人提供图纸的期限：</w:t>
      </w:r>
      <w:r>
        <w:rPr>
          <w:rFonts w:hint="eastAsia" w:ascii="宋体" w:hAnsi="宋体"/>
          <w:szCs w:val="21"/>
          <w:u w:val="single"/>
        </w:rPr>
        <w:t>通用合同条款第7.3.2款</w:t>
      </w:r>
      <w:r>
        <w:rPr>
          <w:rFonts w:hint="eastAsia" w:ascii="宋体" w:hAnsi="宋体"/>
          <w:bCs/>
          <w:szCs w:val="21"/>
          <w:u w:val="single"/>
        </w:rPr>
        <w:t>〔</w:t>
      </w:r>
      <w:r>
        <w:rPr>
          <w:rFonts w:hint="eastAsia" w:ascii="宋体" w:hAnsi="宋体"/>
          <w:szCs w:val="21"/>
          <w:u w:val="single"/>
        </w:rPr>
        <w:t>开工通知</w:t>
      </w:r>
      <w:r>
        <w:rPr>
          <w:rFonts w:hint="eastAsia" w:ascii="宋体" w:hAnsi="宋体"/>
          <w:bCs/>
          <w:szCs w:val="21"/>
          <w:u w:val="single"/>
        </w:rPr>
        <w:t>〕</w:t>
      </w:r>
      <w:r>
        <w:rPr>
          <w:rFonts w:hint="eastAsia" w:ascii="宋体" w:hAnsi="宋体"/>
          <w:szCs w:val="21"/>
          <w:u w:val="single"/>
        </w:rPr>
        <w:t>载明的开工日期前14天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发包人向承包人提供图纸的数量：</w:t>
      </w:r>
      <w:r>
        <w:rPr>
          <w:rFonts w:hint="eastAsia" w:ascii="宋体" w:hAnsi="宋体"/>
          <w:szCs w:val="21"/>
          <w:u w:val="single"/>
        </w:rPr>
        <w:t xml:space="preserve">  套</w:t>
      </w:r>
      <w:r>
        <w:rPr>
          <w:rFonts w:hint="eastAsia" w:ascii="宋体" w:hAnsi="宋体"/>
          <w:szCs w:val="21"/>
        </w:rPr>
        <w:t xml:space="preserve">； </w:t>
      </w:r>
    </w:p>
    <w:p>
      <w:pPr>
        <w:spacing w:line="360" w:lineRule="auto"/>
        <w:ind w:firstLine="420" w:firstLineChars="200"/>
        <w:jc w:val="left"/>
        <w:rPr>
          <w:rFonts w:ascii="宋体" w:hAnsi="宋体"/>
          <w:szCs w:val="21"/>
        </w:rPr>
      </w:pPr>
      <w:r>
        <w:rPr>
          <w:rFonts w:hint="eastAsia" w:ascii="宋体" w:hAnsi="宋体"/>
          <w:szCs w:val="21"/>
        </w:rPr>
        <w:t>发包人向承包人提供图纸的内容：</w:t>
      </w:r>
      <w:r>
        <w:rPr>
          <w:rFonts w:hint="eastAsia" w:ascii="宋体" w:hAnsi="宋体"/>
          <w:szCs w:val="21"/>
          <w:u w:val="single"/>
        </w:rPr>
        <w:t>工程承包范围内工程的施工图设计文件</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发包人组织承包人、监理人和设计人进行图纸会审和设计交底的时间：</w:t>
      </w:r>
      <w:r>
        <w:rPr>
          <w:rFonts w:hint="eastAsia" w:ascii="宋体" w:hAnsi="宋体"/>
          <w:szCs w:val="21"/>
          <w:u w:val="single"/>
        </w:rPr>
        <w:t>提供施工图后7天内</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承包人可以书面方式通过监理人向发包人申请进行紧急的设计交底，发包人认为确有必要且条件许可时，应尽快组织实施承包人申请的设计交底。</w:t>
      </w:r>
    </w:p>
    <w:p>
      <w:pPr>
        <w:spacing w:line="360" w:lineRule="auto"/>
        <w:ind w:firstLine="420" w:firstLineChars="200"/>
        <w:jc w:val="left"/>
        <w:rPr>
          <w:rFonts w:ascii="宋体" w:hAnsi="宋体"/>
          <w:szCs w:val="21"/>
        </w:rPr>
      </w:pPr>
      <w:r>
        <w:rPr>
          <w:rFonts w:hint="eastAsia" w:ascii="宋体" w:hAnsi="宋体"/>
          <w:szCs w:val="21"/>
        </w:rPr>
        <w:t>1.6.2 图纸的错误</w:t>
      </w:r>
    </w:p>
    <w:p>
      <w:pPr>
        <w:spacing w:line="360" w:lineRule="auto"/>
        <w:ind w:firstLine="420" w:firstLineChars="200"/>
        <w:jc w:val="left"/>
        <w:rPr>
          <w:rFonts w:ascii="宋体" w:hAnsi="宋体"/>
          <w:szCs w:val="21"/>
        </w:rPr>
      </w:pPr>
      <w:r>
        <w:rPr>
          <w:rFonts w:hint="eastAsia" w:ascii="宋体" w:hAnsi="宋体"/>
          <w:szCs w:val="21"/>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pPr>
        <w:spacing w:line="360" w:lineRule="auto"/>
        <w:ind w:firstLine="420" w:firstLineChars="200"/>
        <w:jc w:val="left"/>
        <w:rPr>
          <w:rFonts w:ascii="宋体" w:hAnsi="宋体"/>
          <w:szCs w:val="21"/>
          <w:u w:val="single"/>
        </w:rPr>
      </w:pPr>
      <w:r>
        <w:rPr>
          <w:rFonts w:hint="eastAsia" w:ascii="宋体" w:hAnsi="宋体"/>
          <w:szCs w:val="21"/>
        </w:rPr>
        <w:t>承包人不得利用图纸的差错、遗漏或缺陷，从中获得不正当的利益。</w:t>
      </w:r>
    </w:p>
    <w:p>
      <w:pPr>
        <w:spacing w:line="360" w:lineRule="auto"/>
        <w:ind w:firstLine="420" w:firstLineChars="200"/>
        <w:jc w:val="left"/>
        <w:rPr>
          <w:rFonts w:ascii="宋体" w:hAnsi="宋体"/>
          <w:szCs w:val="21"/>
        </w:rPr>
      </w:pPr>
      <w:r>
        <w:rPr>
          <w:rFonts w:hint="eastAsia" w:ascii="宋体" w:hAnsi="宋体"/>
          <w:szCs w:val="21"/>
        </w:rPr>
        <w:t>1.6.4 承包人文件</w:t>
      </w:r>
    </w:p>
    <w:p>
      <w:pPr>
        <w:spacing w:line="360" w:lineRule="auto"/>
        <w:ind w:firstLine="420" w:firstLineChars="200"/>
        <w:jc w:val="left"/>
        <w:rPr>
          <w:rFonts w:ascii="宋体" w:hAnsi="宋体"/>
          <w:szCs w:val="21"/>
        </w:rPr>
      </w:pPr>
      <w:r>
        <w:rPr>
          <w:rFonts w:hint="eastAsia" w:ascii="宋体" w:hAnsi="宋体"/>
          <w:szCs w:val="21"/>
        </w:rPr>
        <w:t>需要由承包人提供的书面文件，包括：</w:t>
      </w:r>
      <w:r>
        <w:rPr>
          <w:rFonts w:hint="eastAsia" w:ascii="宋体" w:hAnsi="宋体"/>
          <w:szCs w:val="21"/>
          <w:u w:val="single"/>
        </w:rPr>
        <w:t>施工组织设计、专项施工方案、</w:t>
      </w:r>
      <w:r>
        <w:rPr>
          <w:rFonts w:ascii="宋体" w:hAnsi="宋体"/>
          <w:szCs w:val="21"/>
          <w:u w:val="single"/>
        </w:rPr>
        <w:t>危险性较大分部分项工程施工方案</w:t>
      </w:r>
      <w:r>
        <w:rPr>
          <w:rFonts w:hint="eastAsia" w:ascii="宋体" w:hAnsi="宋体"/>
          <w:szCs w:val="21"/>
          <w:u w:val="single"/>
        </w:rPr>
        <w:t>（如有）、安全应急方案、进度计划、报表及计划、竣工资料及施工过程中因工程变更需要报送的施工方案、施工过程中涉及工程价款变更的相关资料、完整的竣工结算资料等</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承包人提供文件的期限、数量：</w:t>
      </w:r>
    </w:p>
    <w:p>
      <w:pPr>
        <w:spacing w:line="360" w:lineRule="auto"/>
        <w:ind w:firstLine="420" w:firstLineChars="200"/>
        <w:jc w:val="left"/>
        <w:rPr>
          <w:rFonts w:ascii="宋体" w:hAnsi="宋体"/>
          <w:szCs w:val="21"/>
          <w:u w:val="single"/>
        </w:rPr>
      </w:pPr>
      <w:r>
        <w:rPr>
          <w:rFonts w:hint="eastAsia" w:ascii="宋体" w:hAnsi="宋体"/>
          <w:szCs w:val="21"/>
        </w:rPr>
        <w:t>（1）</w:t>
      </w:r>
      <w:r>
        <w:rPr>
          <w:rFonts w:hint="eastAsia" w:ascii="宋体" w:hAnsi="宋体"/>
          <w:szCs w:val="21"/>
          <w:u w:val="single"/>
        </w:rPr>
        <w:t>图纸会审及设计交底后7天内，向监理人、发包人提交经优化完善的施工组织设计和工程总体进度计划及当年年度施工进度计划。进度计划安排必须符合发包人对本工程总体进度计划的安排。专项施工方案应在专项施工7日前通过审查（含专家论证）。施工组织设计和专项施工方案经监理人审批同意后执行。承包人应接受监理人、发包人对其提交的施工组织设计和专项施工方案中不合理的工期安排及技术措施、方案的修改意见，并修改完善后重新报批，直至获得批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每月  日前报送月工程进度完成报表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（3）合同另有约定的，按照其约定。</w:t>
      </w:r>
    </w:p>
    <w:p>
      <w:pPr>
        <w:spacing w:line="360" w:lineRule="auto"/>
        <w:ind w:firstLine="420" w:firstLineChars="200"/>
        <w:jc w:val="left"/>
        <w:rPr>
          <w:rFonts w:ascii="宋体" w:hAnsi="宋体"/>
          <w:szCs w:val="21"/>
          <w:u w:val="single"/>
        </w:rPr>
      </w:pPr>
      <w:r>
        <w:rPr>
          <w:rFonts w:hint="eastAsia" w:ascii="宋体" w:hAnsi="宋体"/>
          <w:szCs w:val="21"/>
        </w:rPr>
        <w:t>承包人提供的文件的形式：□采用电子招标的，投标文件以电子文档为准，其他文件以书面文件为准；□采用纸质招标的，当书面文件与电子文档不一致的，以书面文件为准。监理人审批承包人文件的期限：</w:t>
      </w:r>
      <w:r>
        <w:rPr>
          <w:rFonts w:hint="eastAsia" w:ascii="宋体" w:hAnsi="宋体"/>
          <w:szCs w:val="21"/>
          <w:u w:val="single"/>
        </w:rPr>
        <w:t>收到施工组织设计和工程总体进度计划及当年年度施工进度计划后7天内；合同另有约定的，从其约定</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承包人提供的文件的费用：</w:t>
      </w:r>
      <w:r>
        <w:rPr>
          <w:rFonts w:hint="eastAsia" w:ascii="宋体" w:hAnsi="宋体"/>
          <w:szCs w:val="21"/>
          <w:u w:val="single"/>
        </w:rPr>
        <w:t>由承包人承担</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发包人审批承包人文件的期限：</w:t>
      </w:r>
      <w:r>
        <w:rPr>
          <w:rFonts w:hint="eastAsia" w:ascii="宋体" w:hAnsi="宋体"/>
          <w:szCs w:val="21"/>
          <w:u w:val="single"/>
        </w:rPr>
        <w:t>收到后14天内；合同另有约定的，从其约定</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监理人、发包人的修改意见和审批，不免除或减轻承包人对该工作、工程、材料、工程设备等应承担的责任和义务</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431" w:name="_Toc532377326"/>
      <w:r>
        <w:rPr>
          <w:rFonts w:hint="eastAsia"/>
          <w:sz w:val="21"/>
          <w:szCs w:val="21"/>
        </w:rPr>
        <w:t>1.7 联络</w:t>
      </w:r>
      <w:bookmarkEnd w:id="1431"/>
    </w:p>
    <w:p>
      <w:pPr>
        <w:spacing w:line="360" w:lineRule="auto"/>
        <w:ind w:firstLine="420" w:firstLineChars="200"/>
        <w:jc w:val="left"/>
        <w:rPr>
          <w:rFonts w:ascii="宋体" w:hAnsi="宋体"/>
          <w:kern w:val="0"/>
          <w:szCs w:val="21"/>
        </w:rPr>
      </w:pPr>
      <w:r>
        <w:rPr>
          <w:rFonts w:hint="eastAsia" w:ascii="宋体" w:hAnsi="宋体"/>
          <w:kern w:val="0"/>
          <w:szCs w:val="21"/>
        </w:rPr>
        <w:t>1.7.1 发包人和承包人应当在</w:t>
      </w:r>
      <w:r>
        <w:rPr>
          <w:rFonts w:hint="eastAsia" w:ascii="宋体" w:hAnsi="宋体"/>
          <w:szCs w:val="21"/>
          <w:u w:val="single"/>
        </w:rPr>
        <w:t xml:space="preserve"> 1 </w:t>
      </w:r>
      <w:r>
        <w:rPr>
          <w:rFonts w:hint="eastAsia" w:ascii="宋体" w:hAnsi="宋体"/>
          <w:kern w:val="0"/>
          <w:szCs w:val="21"/>
        </w:rPr>
        <w:t>天内将与合同有关的通知、批准、证明、证书、指示、指令、要求、请求、同意、意见、确定和决定等书面函件送达对方当事人，并办理书面签收手续。</w:t>
      </w:r>
    </w:p>
    <w:p>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1.7.2 发包人接收文件地点：</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发包人指定的接收人：</w:t>
      </w:r>
      <w:bookmarkStart w:id="1432" w:name="_Hlk528493983"/>
      <w:bookmarkEnd w:id="1432"/>
      <w:r>
        <w:rPr>
          <w:rFonts w:ascii="宋体" w:hAnsi="宋体"/>
          <w:kern w:val="0"/>
          <w:szCs w:val="21"/>
          <w:u w:val="single"/>
        </w:rPr>
        <w:t xml:space="preserve">                             </w:t>
      </w:r>
      <w:r>
        <w:rPr>
          <w:rFonts w:hint="eastAsia" w:ascii="宋体" w:hAnsi="宋体"/>
          <w:kern w:val="0"/>
          <w:szCs w:val="21"/>
        </w:rPr>
        <w:t>；</w:t>
      </w:r>
    </w:p>
    <w:p>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承包人接收文件地点：</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承包人指定的接收人：</w:t>
      </w:r>
      <w:r>
        <w:rPr>
          <w:rFonts w:ascii="宋体" w:hAnsi="宋体"/>
          <w:kern w:val="0"/>
          <w:szCs w:val="21"/>
          <w:u w:val="single"/>
        </w:rPr>
        <w:t xml:space="preserve">                             </w:t>
      </w:r>
      <w:r>
        <w:rPr>
          <w:rFonts w:hint="eastAsia" w:ascii="宋体" w:hAnsi="宋体"/>
          <w:kern w:val="0"/>
          <w:szCs w:val="21"/>
        </w:rPr>
        <w:t>；</w:t>
      </w:r>
    </w:p>
    <w:p>
      <w:pPr>
        <w:tabs>
          <w:tab w:val="left" w:pos="7371"/>
        </w:tabs>
        <w:spacing w:line="360" w:lineRule="auto"/>
        <w:ind w:firstLine="420" w:firstLineChars="200"/>
        <w:jc w:val="left"/>
        <w:rPr>
          <w:rFonts w:ascii="宋体" w:hAnsi="宋体"/>
          <w:kern w:val="0"/>
          <w:szCs w:val="21"/>
        </w:rPr>
      </w:pPr>
      <w:r>
        <w:rPr>
          <w:rFonts w:hint="eastAsia" w:ascii="宋体" w:hAnsi="宋体"/>
          <w:kern w:val="0"/>
          <w:szCs w:val="21"/>
        </w:rPr>
        <w:t>监理人接收文件地点：</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监理人指定的接收人：</w:t>
      </w:r>
      <w:r>
        <w:rPr>
          <w:rFonts w:ascii="宋体" w:hAnsi="宋体"/>
          <w:kern w:val="0"/>
          <w:szCs w:val="21"/>
          <w:u w:val="single"/>
        </w:rPr>
        <w:t xml:space="preserve">                             </w:t>
      </w:r>
      <w:r>
        <w:rPr>
          <w:rFonts w:hint="eastAsia" w:ascii="宋体" w:hAnsi="宋体"/>
          <w:kern w:val="0"/>
          <w:szCs w:val="21"/>
        </w:rPr>
        <w:t>。</w:t>
      </w:r>
    </w:p>
    <w:p>
      <w:pPr>
        <w:pStyle w:val="7"/>
        <w:spacing w:before="0" w:beforeAutospacing="0" w:after="0" w:afterAutospacing="0" w:line="360" w:lineRule="auto"/>
        <w:ind w:firstLine="421" w:firstLineChars="200"/>
        <w:rPr>
          <w:sz w:val="21"/>
          <w:szCs w:val="21"/>
        </w:rPr>
      </w:pPr>
      <w:bookmarkStart w:id="1433" w:name="_Toc532377327"/>
      <w:r>
        <w:rPr>
          <w:rFonts w:hint="eastAsia"/>
          <w:sz w:val="21"/>
          <w:szCs w:val="21"/>
        </w:rPr>
        <w:t>1.8 严禁贿赂</w:t>
      </w:r>
      <w:bookmarkEnd w:id="1433"/>
    </w:p>
    <w:p>
      <w:pPr>
        <w:spacing w:line="360" w:lineRule="auto"/>
        <w:ind w:firstLine="420" w:firstLineChars="200"/>
        <w:jc w:val="left"/>
        <w:rPr>
          <w:rFonts w:ascii="宋体" w:hAnsi="宋体"/>
          <w:kern w:val="0"/>
          <w:szCs w:val="21"/>
        </w:rPr>
      </w:pPr>
      <w:r>
        <w:rPr>
          <w:rFonts w:hint="eastAsia" w:ascii="宋体" w:hAnsi="宋体"/>
          <w:kern w:val="0"/>
          <w:szCs w:val="21"/>
        </w:rPr>
        <w:t>本款补充以下内容：</w:t>
      </w:r>
    </w:p>
    <w:p>
      <w:pPr>
        <w:spacing w:line="360" w:lineRule="auto"/>
        <w:ind w:firstLine="420" w:firstLineChars="200"/>
        <w:jc w:val="left"/>
        <w:rPr>
          <w:rFonts w:ascii="宋体" w:hAnsi="宋体"/>
          <w:kern w:val="0"/>
          <w:szCs w:val="21"/>
          <w:u w:val="single"/>
        </w:rPr>
      </w:pPr>
      <w:r>
        <w:rPr>
          <w:rFonts w:hint="eastAsia" w:ascii="宋体" w:hAnsi="宋体"/>
          <w:kern w:val="0"/>
          <w:szCs w:val="21"/>
        </w:rPr>
        <w:t>在合同执行过程中，合同当事人应严格履行附件8《廉洁从业协议》。</w:t>
      </w:r>
    </w:p>
    <w:p>
      <w:pPr>
        <w:pStyle w:val="7"/>
        <w:spacing w:before="0" w:beforeAutospacing="0" w:after="0" w:afterAutospacing="0" w:line="360" w:lineRule="auto"/>
        <w:ind w:firstLine="421" w:firstLineChars="200"/>
        <w:rPr>
          <w:sz w:val="21"/>
          <w:szCs w:val="21"/>
        </w:rPr>
      </w:pPr>
      <w:bookmarkStart w:id="1434" w:name="_Toc532377328"/>
      <w:r>
        <w:rPr>
          <w:rFonts w:hint="eastAsia"/>
          <w:sz w:val="21"/>
          <w:szCs w:val="21"/>
        </w:rPr>
        <w:t>1.10 交通运输</w:t>
      </w:r>
      <w:bookmarkEnd w:id="1434"/>
    </w:p>
    <w:p>
      <w:pPr>
        <w:spacing w:line="360" w:lineRule="auto"/>
        <w:ind w:firstLine="420" w:firstLineChars="200"/>
        <w:jc w:val="left"/>
        <w:rPr>
          <w:rFonts w:ascii="宋体" w:hAnsi="宋体"/>
          <w:szCs w:val="21"/>
        </w:rPr>
      </w:pPr>
      <w:r>
        <w:rPr>
          <w:rFonts w:hint="eastAsia" w:ascii="宋体" w:hAnsi="宋体"/>
          <w:szCs w:val="21"/>
        </w:rPr>
        <w:t>1</w:t>
      </w:r>
      <w:bookmarkStart w:id="1435" w:name="_Toc318581155"/>
      <w:bookmarkStart w:id="1436" w:name="_Toc303539100"/>
      <w:bookmarkStart w:id="1437" w:name="_Toc304295521"/>
      <w:bookmarkStart w:id="1438" w:name="_Toc300934943"/>
      <w:bookmarkStart w:id="1439" w:name="_Toc312677986"/>
      <w:r>
        <w:rPr>
          <w:rFonts w:hint="eastAsia" w:ascii="宋体" w:hAnsi="宋体"/>
          <w:szCs w:val="21"/>
        </w:rPr>
        <w:t>.10.1 出入现场的权利</w:t>
      </w:r>
    </w:p>
    <w:p>
      <w:pPr>
        <w:spacing w:line="360" w:lineRule="auto"/>
        <w:ind w:firstLine="420" w:firstLineChars="200"/>
        <w:jc w:val="left"/>
        <w:rPr>
          <w:rFonts w:ascii="宋体" w:hAnsi="宋体"/>
          <w:kern w:val="0"/>
          <w:szCs w:val="21"/>
        </w:rPr>
      </w:pPr>
      <w:r>
        <w:rPr>
          <w:rFonts w:hint="eastAsia" w:ascii="宋体" w:hAnsi="宋体"/>
          <w:szCs w:val="21"/>
        </w:rPr>
        <w:t>关于出入现场的权利的约定：</w:t>
      </w:r>
      <w:r>
        <w:rPr>
          <w:rFonts w:hint="eastAsia" w:ascii="宋体" w:hAnsi="宋体"/>
          <w:szCs w:val="21"/>
          <w:u w:val="single"/>
        </w:rPr>
        <w:t xml:space="preserve">        </w:t>
      </w:r>
      <w:r>
        <w:rPr>
          <w:rFonts w:hint="eastAsia" w:ascii="宋体" w:hAnsi="宋体"/>
          <w:szCs w:val="21"/>
        </w:rPr>
        <w:t>。</w:t>
      </w:r>
    </w:p>
    <w:bookmarkEnd w:id="1435"/>
    <w:bookmarkEnd w:id="1436"/>
    <w:bookmarkEnd w:id="1437"/>
    <w:bookmarkEnd w:id="1438"/>
    <w:bookmarkEnd w:id="1439"/>
    <w:p>
      <w:pPr>
        <w:spacing w:line="360" w:lineRule="auto"/>
        <w:ind w:firstLine="420" w:firstLineChars="200"/>
        <w:jc w:val="left"/>
        <w:rPr>
          <w:rFonts w:ascii="宋体" w:hAnsi="宋体"/>
          <w:szCs w:val="21"/>
        </w:rPr>
      </w:pPr>
      <w:r>
        <w:rPr>
          <w:rFonts w:hint="eastAsia" w:ascii="宋体" w:hAnsi="宋体"/>
          <w:szCs w:val="21"/>
        </w:rPr>
        <w:t>1.10.2 场外交通</w:t>
      </w:r>
    </w:p>
    <w:p>
      <w:pPr>
        <w:spacing w:line="360" w:lineRule="auto"/>
        <w:ind w:firstLine="420" w:firstLineChars="200"/>
        <w:jc w:val="left"/>
        <w:rPr>
          <w:rFonts w:ascii="宋体" w:hAnsi="宋体"/>
          <w:kern w:val="0"/>
          <w:szCs w:val="21"/>
        </w:rPr>
      </w:pPr>
      <w:r>
        <w:rPr>
          <w:rFonts w:hint="eastAsia" w:ascii="宋体" w:hAnsi="宋体"/>
          <w:kern w:val="0"/>
          <w:szCs w:val="21"/>
        </w:rPr>
        <w:t>承包人应遵守有关交通法规，执行有关道路限速、限行、禁止超载的规定，并配合交通管理部门的监督和检查。场外交通以施工场地移交时的现状为准。</w:t>
      </w:r>
    </w:p>
    <w:p>
      <w:pPr>
        <w:spacing w:line="360" w:lineRule="auto"/>
        <w:ind w:firstLine="420" w:firstLineChars="200"/>
        <w:jc w:val="left"/>
        <w:rPr>
          <w:rFonts w:ascii="宋体" w:hAnsi="宋体"/>
          <w:szCs w:val="21"/>
        </w:rPr>
      </w:pPr>
      <w:r>
        <w:rPr>
          <w:rFonts w:hint="eastAsia" w:ascii="宋体" w:hAnsi="宋体"/>
          <w:szCs w:val="21"/>
        </w:rPr>
        <w:t>1</w:t>
      </w:r>
      <w:bookmarkStart w:id="1440" w:name="_Toc300934944"/>
      <w:bookmarkStart w:id="1441" w:name="_Toc303539101"/>
      <w:bookmarkStart w:id="1442" w:name="_Toc304295522"/>
      <w:bookmarkStart w:id="1443" w:name="_Toc318581156"/>
      <w:bookmarkStart w:id="1444" w:name="_Toc312677987"/>
      <w:r>
        <w:rPr>
          <w:rFonts w:hint="eastAsia" w:ascii="宋体" w:hAnsi="宋体"/>
          <w:szCs w:val="21"/>
        </w:rPr>
        <w:t>.10.3 场内交通</w:t>
      </w:r>
    </w:p>
    <w:p>
      <w:pPr>
        <w:spacing w:line="360" w:lineRule="auto"/>
        <w:ind w:firstLine="420" w:firstLineChars="200"/>
        <w:jc w:val="left"/>
        <w:rPr>
          <w:rFonts w:ascii="宋体" w:hAnsi="宋体"/>
          <w:szCs w:val="21"/>
          <w:u w:val="single"/>
        </w:rPr>
      </w:pPr>
      <w:r>
        <w:rPr>
          <w:rFonts w:hint="eastAsia" w:ascii="宋体" w:hAnsi="宋体"/>
          <w:kern w:val="0"/>
          <w:szCs w:val="21"/>
        </w:rPr>
        <w:t>关于场外交通和场内交通的边界的约定：</w:t>
      </w:r>
      <w:r>
        <w:rPr>
          <w:rFonts w:hint="eastAsia" w:ascii="宋体" w:hAnsi="宋体"/>
          <w:szCs w:val="21"/>
          <w:u w:val="single"/>
        </w:rPr>
        <w:t>以合同工程用地红线为界，用地红线外为场外交通，用地红线范围内为场内交通（场外道路穿越场内的除外）</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kern w:val="0"/>
          <w:szCs w:val="21"/>
        </w:rPr>
        <w:t>关于发包人向承包人免费提供满足工程施工需要的场内道路和交通设施的约定：</w:t>
      </w:r>
      <w:r>
        <w:rPr>
          <w:rFonts w:hint="eastAsia" w:ascii="宋体" w:hAnsi="宋体"/>
          <w:kern w:val="0"/>
          <w:szCs w:val="21"/>
          <w:u w:val="single"/>
        </w:rPr>
        <w:t>以施工场地移交时的现状为准</w:t>
      </w:r>
      <w:r>
        <w:rPr>
          <w:rFonts w:hint="eastAsia" w:ascii="宋体" w:hAnsi="宋体"/>
          <w:szCs w:val="21"/>
        </w:rPr>
        <w:t>。</w:t>
      </w:r>
    </w:p>
    <w:bookmarkEnd w:id="1440"/>
    <w:bookmarkEnd w:id="1441"/>
    <w:bookmarkEnd w:id="1442"/>
    <w:bookmarkEnd w:id="1443"/>
    <w:bookmarkEnd w:id="1444"/>
    <w:p>
      <w:pPr>
        <w:spacing w:line="360" w:lineRule="auto"/>
        <w:ind w:firstLine="420" w:firstLineChars="200"/>
        <w:jc w:val="left"/>
        <w:rPr>
          <w:rFonts w:ascii="宋体" w:hAnsi="宋体"/>
          <w:szCs w:val="21"/>
        </w:rPr>
      </w:pPr>
      <w:bookmarkStart w:id="1445" w:name="_Toc318581157"/>
      <w:r>
        <w:rPr>
          <w:rFonts w:hint="eastAsia" w:ascii="宋体" w:hAnsi="宋体"/>
          <w:szCs w:val="21"/>
        </w:rPr>
        <w:t>1.10.4 超大件和超重件的运输</w:t>
      </w:r>
    </w:p>
    <w:p>
      <w:pPr>
        <w:spacing w:line="360" w:lineRule="auto"/>
        <w:ind w:firstLine="420" w:firstLineChars="200"/>
        <w:jc w:val="left"/>
        <w:rPr>
          <w:rFonts w:ascii="宋体" w:hAnsi="宋体"/>
          <w:szCs w:val="21"/>
        </w:rPr>
      </w:pPr>
      <w:r>
        <w:rPr>
          <w:rFonts w:hint="eastAsia" w:ascii="宋体" w:hAnsi="宋体"/>
          <w:szCs w:val="21"/>
        </w:rPr>
        <w:t>运输超大件或超重件所需的道路和桥梁临时加固改造费用和其他有关费用由</w:t>
      </w:r>
      <w:r>
        <w:rPr>
          <w:rFonts w:hint="eastAsia" w:ascii="宋体" w:hAnsi="宋体"/>
          <w:szCs w:val="21"/>
          <w:u w:val="single"/>
        </w:rPr>
        <w:t>发包人</w:t>
      </w:r>
      <w:r>
        <w:rPr>
          <w:rFonts w:hint="eastAsia" w:ascii="宋体" w:hAnsi="宋体"/>
          <w:szCs w:val="21"/>
        </w:rPr>
        <w:t>承担。</w:t>
      </w:r>
    </w:p>
    <w:bookmarkEnd w:id="1445"/>
    <w:p>
      <w:pPr>
        <w:pStyle w:val="7"/>
        <w:spacing w:before="0" w:beforeAutospacing="0" w:after="0" w:afterAutospacing="0" w:line="360" w:lineRule="auto"/>
        <w:ind w:firstLine="421" w:firstLineChars="200"/>
        <w:rPr>
          <w:sz w:val="21"/>
          <w:szCs w:val="21"/>
        </w:rPr>
      </w:pPr>
      <w:bookmarkStart w:id="1446" w:name="_Toc532377329"/>
      <w:r>
        <w:rPr>
          <w:rFonts w:hint="eastAsia"/>
          <w:sz w:val="21"/>
          <w:szCs w:val="21"/>
        </w:rPr>
        <w:t>1.11 知识产权</w:t>
      </w:r>
      <w:bookmarkEnd w:id="1446"/>
    </w:p>
    <w:p>
      <w:pPr>
        <w:spacing w:line="360" w:lineRule="auto"/>
        <w:ind w:firstLine="420" w:firstLineChars="200"/>
        <w:jc w:val="left"/>
        <w:rPr>
          <w:rFonts w:ascii="宋体" w:hAnsi="宋体"/>
          <w:szCs w:val="21"/>
        </w:rPr>
      </w:pPr>
      <w:r>
        <w:rPr>
          <w:rFonts w:hint="eastAsia" w:ascii="宋体" w:hAnsi="宋体"/>
          <w:szCs w:val="21"/>
        </w:rPr>
        <w:t>1.11.1 关于发包人提供给承包人的图纸、发包人为实施工程自行编制或委托编制的技术规范以及反映发包人关于合同要求或其他类似性质的文件的著作权的归属：</w:t>
      </w:r>
      <w:r>
        <w:rPr>
          <w:rFonts w:hint="eastAsia" w:ascii="宋体" w:hAnsi="宋体"/>
          <w:szCs w:val="21"/>
          <w:u w:val="single"/>
        </w:rPr>
        <w:t>属于发包人</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关于发包人提供的上述文件的使用限制的要求：</w:t>
      </w:r>
      <w:r>
        <w:rPr>
          <w:rFonts w:hint="eastAsia" w:ascii="宋体" w:hAnsi="宋体"/>
          <w:szCs w:val="21"/>
          <w:u w:val="single"/>
        </w:rPr>
        <w:t>按通用合同条款执行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1.11.4 承包人在施工过程中所采用的专利、专有技术、技术秘密的使用费的承担方式：</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447" w:name="_Toc532377330"/>
      <w:r>
        <w:rPr>
          <w:rFonts w:hint="eastAsia"/>
          <w:sz w:val="21"/>
          <w:szCs w:val="21"/>
        </w:rPr>
        <w:t>1.13工程量清单错误的修正</w:t>
      </w:r>
      <w:bookmarkEnd w:id="1447"/>
    </w:p>
    <w:p>
      <w:pPr>
        <w:spacing w:line="360" w:lineRule="auto"/>
        <w:ind w:firstLine="420" w:firstLineChars="200"/>
        <w:jc w:val="left"/>
        <w:rPr>
          <w:rFonts w:ascii="宋体" w:hAnsi="宋体"/>
          <w:szCs w:val="21"/>
        </w:rPr>
      </w:pPr>
      <w:r>
        <w:rPr>
          <w:rFonts w:hint="eastAsia" w:ascii="宋体" w:hAnsi="宋体"/>
          <w:szCs w:val="21"/>
        </w:rPr>
        <w:t>出现工程量清单错误时，责任和权利划分：</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出现工程量清单错误时，是否调整合同价格：</w:t>
      </w:r>
      <w:r>
        <w:rPr>
          <w:rFonts w:hint="eastAsia" w:ascii="宋体" w:hAnsi="宋体"/>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szCs w:val="21"/>
        </w:rPr>
        <w:t>允许调整合同价格的工程量偏差范围：</w:t>
      </w: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448" w:name="_Toc351203634"/>
      <w:bookmarkStart w:id="1449" w:name="_Toc532377331"/>
      <w:bookmarkStart w:id="1450" w:name="_Toc532375609"/>
      <w:r>
        <w:rPr>
          <w:rFonts w:hint="eastAsia"/>
          <w:kern w:val="2"/>
          <w:sz w:val="21"/>
          <w:szCs w:val="21"/>
        </w:rPr>
        <w:t>2</w:t>
      </w:r>
      <w:bookmarkStart w:id="1451" w:name="_Toc292559362"/>
      <w:bookmarkStart w:id="1452" w:name="_Toc297048343"/>
      <w:bookmarkStart w:id="1453" w:name="_Toc296347156"/>
      <w:bookmarkStart w:id="1454" w:name="_Toc296891197"/>
      <w:bookmarkStart w:id="1455" w:name="_Toc297120457"/>
      <w:bookmarkStart w:id="1456" w:name="_Toc296346658"/>
      <w:bookmarkStart w:id="1457" w:name="_Toc292559867"/>
      <w:bookmarkStart w:id="1458" w:name="_Toc296890985"/>
      <w:bookmarkStart w:id="1459" w:name="_Toc296944496"/>
      <w:bookmarkStart w:id="1460" w:name="_Toc296503157"/>
      <w:r>
        <w:rPr>
          <w:rFonts w:hint="eastAsia"/>
          <w:kern w:val="2"/>
          <w:sz w:val="21"/>
          <w:szCs w:val="21"/>
        </w:rPr>
        <w:t>. 发包人</w:t>
      </w:r>
      <w:bookmarkEnd w:id="1448"/>
      <w:bookmarkEnd w:id="1449"/>
      <w:bookmarkEnd w:id="1450"/>
    </w:p>
    <w:bookmarkEnd w:id="1451"/>
    <w:bookmarkEnd w:id="1452"/>
    <w:bookmarkEnd w:id="1453"/>
    <w:bookmarkEnd w:id="1454"/>
    <w:bookmarkEnd w:id="1455"/>
    <w:bookmarkEnd w:id="1456"/>
    <w:bookmarkEnd w:id="1457"/>
    <w:bookmarkEnd w:id="1458"/>
    <w:bookmarkEnd w:id="1459"/>
    <w:bookmarkEnd w:id="1460"/>
    <w:p>
      <w:pPr>
        <w:spacing w:line="360" w:lineRule="auto"/>
        <w:ind w:firstLine="420" w:firstLineChars="200"/>
        <w:jc w:val="left"/>
        <w:rPr>
          <w:rFonts w:ascii="宋体" w:hAnsi="宋体"/>
          <w:szCs w:val="21"/>
        </w:rPr>
      </w:pPr>
      <w:r>
        <w:rPr>
          <w:rFonts w:hint="eastAsia" w:ascii="宋体" w:hAnsi="宋体"/>
          <w:szCs w:val="21"/>
        </w:rPr>
        <w:t>2.2.1 发包人代表</w:t>
      </w:r>
    </w:p>
    <w:p>
      <w:pPr>
        <w:spacing w:line="360" w:lineRule="auto"/>
        <w:ind w:firstLine="420" w:firstLineChars="200"/>
        <w:jc w:val="left"/>
        <w:rPr>
          <w:rFonts w:ascii="宋体" w:hAnsi="宋体"/>
          <w:szCs w:val="21"/>
        </w:rPr>
      </w:pPr>
      <w:r>
        <w:rPr>
          <w:rFonts w:hint="eastAsia" w:ascii="宋体" w:hAnsi="宋体"/>
          <w:szCs w:val="21"/>
        </w:rPr>
        <w:t>发包人代表：</w:t>
      </w:r>
    </w:p>
    <w:p>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xml:space="preserve">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职    务：</w:t>
      </w:r>
      <w:r>
        <w:rPr>
          <w:rFonts w:ascii="宋体" w:hAnsi="宋体"/>
          <w:szCs w:val="21"/>
          <w:u w:val="single"/>
        </w:rPr>
        <w:t xml:space="preserve">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邮    编：</w:t>
      </w:r>
      <w:r>
        <w:rPr>
          <w:rFonts w:ascii="宋体" w:hAnsi="宋体"/>
          <w:szCs w:val="21"/>
          <w:u w:val="single"/>
        </w:rPr>
        <w:t xml:space="preserve">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发包人对发包人代表的授权范围如下：</w:t>
      </w:r>
      <w:r>
        <w:rPr>
          <w:rFonts w:hint="eastAsia" w:ascii="宋体" w:hAnsi="宋体"/>
          <w:szCs w:val="21"/>
          <w:u w:val="single"/>
        </w:rPr>
        <w:t>代表发包人对项目建设进行协调、管控、审查，确保安全、质量、环保、进度、成本可控，及时处理项目相关问题，向承包人、监理人等下达各类指令。由发包人授权的，以授权书载明的授权范围为准</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461" w:name="_Toc532377332"/>
      <w:r>
        <w:rPr>
          <w:rFonts w:hint="eastAsia"/>
          <w:sz w:val="21"/>
          <w:szCs w:val="21"/>
        </w:rPr>
        <w:t>2.4 施工现场、施工条件和基础资料的提供</w:t>
      </w:r>
      <w:bookmarkEnd w:id="1461"/>
    </w:p>
    <w:p>
      <w:pPr>
        <w:spacing w:line="360" w:lineRule="auto"/>
        <w:ind w:firstLine="420" w:firstLineChars="200"/>
        <w:jc w:val="left"/>
        <w:rPr>
          <w:rFonts w:ascii="宋体" w:hAnsi="宋体"/>
          <w:szCs w:val="21"/>
        </w:rPr>
      </w:pPr>
      <w:r>
        <w:rPr>
          <w:rFonts w:hint="eastAsia" w:ascii="宋体" w:hAnsi="宋体"/>
          <w:szCs w:val="21"/>
        </w:rPr>
        <w:t>2.4.1 提供施工现场</w:t>
      </w:r>
    </w:p>
    <w:p>
      <w:pPr>
        <w:spacing w:line="360" w:lineRule="auto"/>
        <w:ind w:firstLine="420" w:firstLineChars="200"/>
        <w:jc w:val="left"/>
        <w:rPr>
          <w:rFonts w:ascii="宋体" w:hAnsi="宋体"/>
          <w:szCs w:val="21"/>
        </w:rPr>
      </w:pPr>
      <w:r>
        <w:rPr>
          <w:rFonts w:hint="eastAsia" w:ascii="宋体" w:hAnsi="宋体"/>
          <w:szCs w:val="21"/>
        </w:rPr>
        <w:t>2.4.1.1 提供场地：</w:t>
      </w:r>
    </w:p>
    <w:p>
      <w:pPr>
        <w:spacing w:line="360" w:lineRule="auto"/>
        <w:ind w:firstLine="420" w:firstLineChars="200"/>
        <w:jc w:val="left"/>
        <w:rPr>
          <w:rFonts w:ascii="宋体" w:hAnsi="宋体"/>
          <w:szCs w:val="21"/>
        </w:rPr>
      </w:pPr>
      <w:r>
        <w:rPr>
          <w:rFonts w:hint="eastAsia" w:ascii="宋体" w:hAnsi="宋体"/>
          <w:szCs w:val="21"/>
        </w:rPr>
        <w:t>施工场地的提供采用以下第</w:t>
      </w:r>
      <w:r>
        <w:rPr>
          <w:rFonts w:hint="eastAsia" w:ascii="宋体" w:hAnsi="宋体"/>
          <w:szCs w:val="21"/>
          <w:u w:val="single"/>
        </w:rPr>
        <w:t xml:space="preserve">    </w:t>
      </w:r>
      <w:r>
        <w:rPr>
          <w:rFonts w:hint="eastAsia" w:ascii="宋体" w:hAnsi="宋体"/>
          <w:szCs w:val="21"/>
        </w:rPr>
        <w:t>种方式：</w:t>
      </w:r>
    </w:p>
    <w:p>
      <w:pPr>
        <w:spacing w:line="360" w:lineRule="auto"/>
        <w:ind w:firstLine="420" w:firstLineChars="200"/>
        <w:jc w:val="left"/>
        <w:rPr>
          <w:rFonts w:ascii="宋体" w:hAnsi="宋体"/>
          <w:szCs w:val="21"/>
        </w:rPr>
      </w:pPr>
      <w:r>
        <w:rPr>
          <w:rFonts w:hint="eastAsia" w:ascii="宋体" w:hAnsi="宋体"/>
          <w:szCs w:val="21"/>
        </w:rPr>
        <w:t>（1）一次提供全部施工场地：发包人于</w:t>
      </w:r>
      <w:r>
        <w:rPr>
          <w:rFonts w:hint="eastAsia" w:ascii="宋体" w:hAnsi="宋体"/>
          <w:szCs w:val="21"/>
          <w:u w:val="single"/>
        </w:rPr>
        <w:t>开工</w:t>
      </w:r>
      <w:r>
        <w:rPr>
          <w:rFonts w:hint="eastAsia" w:ascii="宋体" w:hAnsi="宋体"/>
          <w:szCs w:val="21"/>
        </w:rPr>
        <w:t>前向承包人提供合同工程用地红线范围内的施工场地。</w:t>
      </w:r>
    </w:p>
    <w:p>
      <w:pPr>
        <w:spacing w:line="360" w:lineRule="auto"/>
        <w:ind w:firstLine="420" w:firstLineChars="200"/>
        <w:jc w:val="left"/>
        <w:rPr>
          <w:rFonts w:ascii="宋体" w:hAnsi="宋体"/>
          <w:szCs w:val="21"/>
        </w:rPr>
      </w:pPr>
      <w:r>
        <w:rPr>
          <w:rFonts w:hint="eastAsia" w:ascii="宋体" w:hAnsi="宋体"/>
          <w:szCs w:val="21"/>
        </w:rPr>
        <w:t>（2）分次提供全部施工场地：</w:t>
      </w:r>
      <w:r>
        <w:rPr>
          <w:rFonts w:hint="eastAsia" w:ascii="宋体" w:hAnsi="宋体"/>
          <w:szCs w:val="21"/>
          <w:u w:val="single"/>
        </w:rPr>
        <w:t>发包人按约定的时间分次向承包人提供合同工程用地红线范围内的施工场地</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承包人编制的施工组织计划已充分考虑了施工场地提供的因素</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施工场地未能按约定提供的，承包人应结合施工场地实际交地情况，优化施工组织计划。施工场地未能按约定提供，影响项目关键线路的，承包人可提交索赔申请，并经监理人、发包人审批后可按约定顺延项目工期，否则工期不予顺延</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2.4.2 提供施工条件</w:t>
      </w:r>
    </w:p>
    <w:p>
      <w:pPr>
        <w:spacing w:line="360" w:lineRule="auto"/>
        <w:ind w:firstLine="420" w:firstLineChars="200"/>
        <w:jc w:val="left"/>
        <w:rPr>
          <w:rFonts w:ascii="宋体" w:hAnsi="宋体"/>
          <w:szCs w:val="21"/>
        </w:rPr>
      </w:pPr>
      <w:r>
        <w:rPr>
          <w:rFonts w:hint="eastAsia" w:ascii="宋体" w:hAnsi="宋体"/>
          <w:szCs w:val="21"/>
        </w:rPr>
        <w:t>关于发包人应负责提供施工所需要的条件：</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462" w:name="_Toc532377333"/>
      <w:r>
        <w:rPr>
          <w:rFonts w:hint="eastAsia"/>
          <w:sz w:val="21"/>
          <w:szCs w:val="21"/>
        </w:rPr>
        <w:t>2.5 资金来源证明及支付担保</w:t>
      </w:r>
      <w:bookmarkEnd w:id="1462"/>
    </w:p>
    <w:p>
      <w:pPr>
        <w:spacing w:line="360" w:lineRule="auto"/>
        <w:ind w:firstLine="420" w:firstLineChars="200"/>
        <w:jc w:val="left"/>
        <w:rPr>
          <w:rFonts w:ascii="宋体" w:hAnsi="宋体"/>
          <w:szCs w:val="21"/>
        </w:rPr>
      </w:pPr>
      <w:r>
        <w:rPr>
          <w:rFonts w:hint="eastAsia" w:ascii="宋体" w:hAnsi="宋体"/>
          <w:szCs w:val="21"/>
        </w:rPr>
        <w:t>发包人提供资金来源证明的期限要求：</w:t>
      </w:r>
      <w:r>
        <w:rPr>
          <w:rFonts w:hint="eastAsia" w:ascii="宋体" w:hAnsi="宋体"/>
          <w:szCs w:val="21"/>
          <w:u w:val="single"/>
        </w:rPr>
        <w:t>不采用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发包人是否提供支付担保：</w:t>
      </w:r>
      <w:r>
        <w:rPr>
          <w:rFonts w:hint="eastAsia" w:ascii="宋体" w:hAnsi="宋体"/>
          <w:szCs w:val="21"/>
          <w:u w:val="single"/>
        </w:rPr>
        <w:t>提供</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支付担保的形式：</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支付担保的金额：</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支付担保的时间：</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支付担保的期限：</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支付担保的退还时间：</w:t>
      </w: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463" w:name="_Toc351203635"/>
      <w:bookmarkStart w:id="1464" w:name="_Toc532377334"/>
      <w:bookmarkStart w:id="1465" w:name="_Toc532375610"/>
      <w:r>
        <w:rPr>
          <w:rFonts w:hint="eastAsia"/>
          <w:kern w:val="2"/>
          <w:sz w:val="21"/>
          <w:szCs w:val="21"/>
        </w:rPr>
        <w:t>3</w:t>
      </w:r>
      <w:bookmarkStart w:id="1466" w:name="_Toc296347157"/>
      <w:bookmarkStart w:id="1467" w:name="_Toc297120458"/>
      <w:bookmarkStart w:id="1468" w:name="_Toc292559868"/>
      <w:bookmarkStart w:id="1469" w:name="_Toc296503158"/>
      <w:bookmarkStart w:id="1470" w:name="_Toc296890986"/>
      <w:bookmarkStart w:id="1471" w:name="_Toc296346659"/>
      <w:bookmarkStart w:id="1472" w:name="_Toc297048344"/>
      <w:bookmarkStart w:id="1473" w:name="_Toc296891198"/>
      <w:bookmarkStart w:id="1474" w:name="_Toc292559363"/>
      <w:bookmarkStart w:id="1475" w:name="_Toc296944497"/>
      <w:r>
        <w:rPr>
          <w:rFonts w:hint="eastAsia"/>
          <w:kern w:val="2"/>
          <w:sz w:val="21"/>
          <w:szCs w:val="21"/>
        </w:rPr>
        <w:t>. 承包人</w:t>
      </w:r>
      <w:bookmarkEnd w:id="1463"/>
      <w:bookmarkEnd w:id="1464"/>
      <w:bookmarkEnd w:id="1465"/>
    </w:p>
    <w:bookmarkEnd w:id="1466"/>
    <w:bookmarkEnd w:id="1467"/>
    <w:bookmarkEnd w:id="1468"/>
    <w:bookmarkEnd w:id="1469"/>
    <w:bookmarkEnd w:id="1470"/>
    <w:bookmarkEnd w:id="1471"/>
    <w:bookmarkEnd w:id="1472"/>
    <w:bookmarkEnd w:id="1473"/>
    <w:bookmarkEnd w:id="1474"/>
    <w:bookmarkEnd w:id="1475"/>
    <w:p>
      <w:pPr>
        <w:pStyle w:val="7"/>
        <w:spacing w:before="0" w:beforeAutospacing="0" w:after="0" w:afterAutospacing="0" w:line="360" w:lineRule="auto"/>
        <w:ind w:firstLine="421" w:firstLineChars="200"/>
        <w:rPr>
          <w:sz w:val="21"/>
          <w:szCs w:val="21"/>
        </w:rPr>
      </w:pPr>
      <w:bookmarkStart w:id="1476" w:name="_Toc532377335"/>
      <w:r>
        <w:rPr>
          <w:rFonts w:hint="eastAsia"/>
          <w:sz w:val="21"/>
          <w:szCs w:val="21"/>
        </w:rPr>
        <w:t>3.1 承包人的一般义务</w:t>
      </w:r>
      <w:bookmarkEnd w:id="1476"/>
    </w:p>
    <w:p>
      <w:pPr>
        <w:spacing w:line="360" w:lineRule="auto"/>
        <w:ind w:firstLine="420" w:firstLineChars="200"/>
        <w:jc w:val="left"/>
        <w:rPr>
          <w:rFonts w:ascii="宋体" w:hAnsi="宋体"/>
          <w:szCs w:val="21"/>
        </w:rPr>
      </w:pPr>
      <w:r>
        <w:rPr>
          <w:rFonts w:hint="eastAsia" w:ascii="宋体" w:hAnsi="宋体"/>
          <w:szCs w:val="21"/>
        </w:rPr>
        <w:t>本款细化为3.1.1～3.1.10项：</w:t>
      </w:r>
    </w:p>
    <w:p>
      <w:pPr>
        <w:spacing w:line="360" w:lineRule="auto"/>
        <w:ind w:firstLine="420" w:firstLineChars="200"/>
        <w:jc w:val="left"/>
        <w:rPr>
          <w:rFonts w:ascii="宋体" w:hAnsi="宋体"/>
          <w:szCs w:val="21"/>
        </w:rPr>
      </w:pPr>
      <w:r>
        <w:rPr>
          <w:rFonts w:hint="eastAsia" w:ascii="宋体" w:hAnsi="宋体"/>
          <w:szCs w:val="21"/>
        </w:rPr>
        <w:t>3.1.1办理法律规定和合同约定应由承包人办理的许可和批准，并将办理结果书面报送发包人留存；协助发包人办理施工所需的工程质量监督、安全监督、施工许可证等相关证件及手续。</w:t>
      </w:r>
    </w:p>
    <w:p>
      <w:pPr>
        <w:spacing w:line="360" w:lineRule="auto"/>
        <w:ind w:firstLine="420" w:firstLineChars="200"/>
        <w:jc w:val="left"/>
        <w:rPr>
          <w:rFonts w:ascii="宋体" w:hAnsi="宋体"/>
          <w:szCs w:val="21"/>
        </w:rPr>
      </w:pPr>
      <w:r>
        <w:rPr>
          <w:rFonts w:hint="eastAsia" w:ascii="宋体" w:hAnsi="宋体"/>
          <w:szCs w:val="21"/>
        </w:rPr>
        <w:t>3.1.2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pPr>
        <w:spacing w:line="360" w:lineRule="auto"/>
        <w:ind w:firstLine="420" w:firstLineChars="200"/>
        <w:jc w:val="left"/>
        <w:rPr>
          <w:rFonts w:ascii="宋体" w:hAnsi="宋体"/>
          <w:szCs w:val="21"/>
        </w:rPr>
      </w:pPr>
      <w:r>
        <w:rPr>
          <w:rFonts w:hint="eastAsia" w:ascii="宋体" w:hAnsi="宋体"/>
          <w:szCs w:val="21"/>
        </w:rPr>
        <w:t>3.1.3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pPr>
        <w:spacing w:line="360" w:lineRule="auto"/>
        <w:ind w:firstLine="420" w:firstLineChars="200"/>
        <w:jc w:val="left"/>
        <w:rPr>
          <w:rFonts w:ascii="宋体" w:hAnsi="宋体"/>
          <w:szCs w:val="21"/>
        </w:rPr>
      </w:pPr>
      <w:r>
        <w:rPr>
          <w:rFonts w:hint="eastAsia" w:ascii="宋体" w:hAnsi="宋体"/>
          <w:szCs w:val="21"/>
        </w:rPr>
        <w:t>3.1.4按合同约定的工作内容和施工进度要求，编制施工组织设计和施工措施计划，并对所有施工作业和施工方法的完备性和安全可靠性负责。施工组织设计中的措施保障水平应满足工程按合同进度实施的需要，且不得低于投标时施工组织设计的措施保障水平。</w:t>
      </w:r>
    </w:p>
    <w:p>
      <w:pPr>
        <w:spacing w:line="360" w:lineRule="auto"/>
        <w:ind w:firstLine="420" w:firstLineChars="200"/>
        <w:jc w:val="left"/>
        <w:rPr>
          <w:rFonts w:ascii="宋体" w:hAnsi="宋体"/>
          <w:szCs w:val="21"/>
        </w:rPr>
      </w:pPr>
      <w:r>
        <w:rPr>
          <w:rFonts w:hint="eastAsia" w:ascii="宋体" w:hAnsi="宋体"/>
          <w:szCs w:val="21"/>
        </w:rPr>
        <w:t>3.1.5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spacing w:line="360" w:lineRule="auto"/>
        <w:ind w:firstLine="420" w:firstLineChars="200"/>
        <w:jc w:val="left"/>
        <w:rPr>
          <w:rFonts w:ascii="宋体" w:hAnsi="宋体"/>
          <w:szCs w:val="21"/>
        </w:rPr>
      </w:pPr>
      <w:r>
        <w:rPr>
          <w:rFonts w:hint="eastAsia" w:ascii="宋体" w:hAnsi="宋体"/>
          <w:szCs w:val="21"/>
        </w:rPr>
        <w:t>3.1.6按照第6.3款〔环境保护〕约定负责施工场地及其周边环境与生态的保护工作。</w:t>
      </w:r>
    </w:p>
    <w:p>
      <w:pPr>
        <w:spacing w:line="360" w:lineRule="auto"/>
        <w:ind w:firstLine="420" w:firstLineChars="200"/>
        <w:jc w:val="left"/>
        <w:rPr>
          <w:rFonts w:ascii="宋体" w:hAnsi="宋体"/>
          <w:szCs w:val="21"/>
        </w:rPr>
      </w:pPr>
      <w:r>
        <w:rPr>
          <w:rFonts w:hint="eastAsia" w:ascii="宋体" w:hAnsi="宋体"/>
          <w:szCs w:val="21"/>
        </w:rPr>
        <w:t>3.1.7按照第6.1款〔安全文明施工〕约定采取施工安全措施，确保工程及其人员、材料、设备和设施的安全，防止因工程施工造成的人身伤害和财产损失。</w:t>
      </w:r>
    </w:p>
    <w:p>
      <w:pPr>
        <w:autoSpaceDE w:val="0"/>
        <w:autoSpaceDN w:val="0"/>
        <w:spacing w:line="360" w:lineRule="auto"/>
        <w:ind w:firstLine="420" w:firstLineChars="200"/>
        <w:jc w:val="left"/>
        <w:rPr>
          <w:rFonts w:ascii="宋体" w:hAnsi="宋体"/>
          <w:szCs w:val="21"/>
        </w:rPr>
      </w:pPr>
      <w:r>
        <w:rPr>
          <w:rFonts w:hint="eastAsia" w:ascii="宋体" w:hAnsi="宋体"/>
          <w:szCs w:val="21"/>
        </w:rPr>
        <w:t>3.1.8将发包人按合同约定支付的各项价款专用于合同工程，且应及时支付其雇用人员工资，并及时向分包人支付合同价款。</w:t>
      </w:r>
    </w:p>
    <w:p>
      <w:pPr>
        <w:autoSpaceDE w:val="0"/>
        <w:autoSpaceDN w:val="0"/>
        <w:spacing w:line="360" w:lineRule="auto"/>
        <w:ind w:firstLine="420" w:firstLineChars="200"/>
        <w:jc w:val="left"/>
        <w:rPr>
          <w:rFonts w:ascii="宋体" w:hAnsi="宋体"/>
          <w:szCs w:val="21"/>
        </w:rPr>
      </w:pPr>
      <w:r>
        <w:rPr>
          <w:rFonts w:hint="eastAsia" w:ascii="宋体" w:hAnsi="宋体"/>
          <w:szCs w:val="21"/>
        </w:rPr>
        <w:t>3.1.9承包人提交的竣工资料的内容：</w:t>
      </w:r>
      <w:r>
        <w:rPr>
          <w:rFonts w:hint="eastAsia" w:ascii="宋体" w:hAnsi="宋体"/>
          <w:szCs w:val="21"/>
          <w:u w:val="single"/>
        </w:rPr>
        <w:t>工程施工技术资料、工程质量保证资料、工程检验评定资料、竣工图及其他应交资料，应符合《建设工程文件归档整理规范</w:t>
      </w:r>
      <w:r>
        <w:rPr>
          <w:rFonts w:hint="eastAsia" w:ascii="宋体" w:hAnsi="宋体"/>
          <w:szCs w:val="21"/>
          <w:u w:val="single"/>
          <w:lang w:eastAsia="zh-CN"/>
        </w:rPr>
        <w:t>（</w:t>
      </w:r>
      <w:r>
        <w:rPr>
          <w:rFonts w:hint="eastAsia" w:ascii="宋体" w:hAnsi="宋体"/>
          <w:szCs w:val="21"/>
          <w:u w:val="single"/>
          <w:lang w:val="en-US" w:eastAsia="zh-CN"/>
        </w:rPr>
        <w:t>2019年版</w:t>
      </w:r>
      <w:r>
        <w:rPr>
          <w:rFonts w:hint="eastAsia" w:ascii="宋体" w:hAnsi="宋体"/>
          <w:szCs w:val="21"/>
          <w:u w:val="single"/>
          <w:lang w:eastAsia="zh-CN"/>
        </w:rPr>
        <w:t>）</w:t>
      </w:r>
      <w:r>
        <w:rPr>
          <w:rFonts w:hint="eastAsia" w:ascii="宋体" w:hAnsi="宋体"/>
          <w:szCs w:val="21"/>
          <w:u w:val="single"/>
        </w:rPr>
        <w:t>》（GB/T50328-2014）和重庆市有关文件规定</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rPr>
        <w:t>承包人需要提交的竣工资料套数：完整竣工资料一式</w:t>
      </w:r>
      <w:r>
        <w:rPr>
          <w:rFonts w:hint="eastAsia" w:ascii="宋体" w:hAnsi="宋体"/>
          <w:szCs w:val="21"/>
          <w:u w:val="single"/>
        </w:rPr>
        <w:t xml:space="preserve">    </w:t>
      </w:r>
      <w:r>
        <w:rPr>
          <w:rFonts w:hint="eastAsia" w:ascii="宋体" w:hAnsi="宋体"/>
          <w:szCs w:val="21"/>
        </w:rPr>
        <w:t>套（含电子文档）。</w:t>
      </w:r>
    </w:p>
    <w:p>
      <w:pPr>
        <w:spacing w:line="360" w:lineRule="auto"/>
        <w:ind w:firstLine="420" w:firstLineChars="200"/>
        <w:jc w:val="left"/>
        <w:rPr>
          <w:rFonts w:ascii="宋体" w:hAnsi="宋体"/>
          <w:szCs w:val="21"/>
        </w:rPr>
      </w:pPr>
      <w:r>
        <w:rPr>
          <w:rFonts w:hint="eastAsia" w:ascii="宋体" w:hAnsi="宋体"/>
          <w:szCs w:val="21"/>
        </w:rPr>
        <w:t>承包人提交的竣工资料的费用承担：</w:t>
      </w:r>
      <w:r>
        <w:rPr>
          <w:rFonts w:hint="eastAsia" w:ascii="宋体" w:hAnsi="宋体"/>
          <w:szCs w:val="21"/>
          <w:u w:val="single"/>
        </w:rPr>
        <w:t>由承包人承担</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承包人提交的竣工资料移交时间：</w:t>
      </w:r>
      <w:r>
        <w:rPr>
          <w:rFonts w:hint="eastAsia" w:ascii="宋体" w:hAnsi="宋体"/>
          <w:szCs w:val="21"/>
          <w:u w:val="single"/>
        </w:rPr>
        <w:t>工程竣工验收合格后  个月内移交给发包人</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承包人提交的竣工资料形式要求：</w:t>
      </w:r>
      <w:r>
        <w:rPr>
          <w:rFonts w:hint="eastAsia" w:ascii="宋体" w:hAnsi="宋体"/>
          <w:szCs w:val="21"/>
          <w:u w:val="single"/>
        </w:rPr>
        <w:t>完整的书面文件及电子文档</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3.1.10承包人应履行的其他义务：</w:t>
      </w:r>
    </w:p>
    <w:p>
      <w:pPr>
        <w:spacing w:line="360" w:lineRule="auto"/>
        <w:ind w:firstLine="420" w:firstLineChars="200"/>
        <w:jc w:val="left"/>
        <w:rPr>
          <w:rFonts w:ascii="宋体" w:hAnsi="宋体"/>
          <w:szCs w:val="21"/>
        </w:rPr>
      </w:pPr>
      <w:r>
        <w:rPr>
          <w:rFonts w:hint="eastAsia" w:ascii="宋体" w:hAnsi="宋体"/>
          <w:szCs w:val="21"/>
        </w:rPr>
        <w:t>3.1.10.1在开始施工之前，承包人应核查、复测本工程的各种基准标志。承包人应及时将上述基准标志中存在的错误、不完整或其他缺陷通知发包人，以便发包人核实后重新确认。</w:t>
      </w:r>
    </w:p>
    <w:p>
      <w:pPr>
        <w:spacing w:line="360" w:lineRule="auto"/>
        <w:ind w:firstLine="420" w:firstLineChars="200"/>
        <w:jc w:val="left"/>
        <w:rPr>
          <w:rFonts w:ascii="宋体" w:hAnsi="宋体"/>
          <w:szCs w:val="21"/>
        </w:rPr>
      </w:pPr>
      <w:r>
        <w:rPr>
          <w:rFonts w:hint="eastAsia" w:ascii="宋体" w:hAnsi="宋体"/>
          <w:szCs w:val="21"/>
        </w:rPr>
        <w:t>3.1.10.2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pPr>
        <w:spacing w:line="360" w:lineRule="auto"/>
        <w:ind w:firstLine="420" w:firstLineChars="200"/>
        <w:jc w:val="left"/>
        <w:rPr>
          <w:rFonts w:ascii="宋体" w:hAnsi="宋体"/>
          <w:szCs w:val="21"/>
        </w:rPr>
      </w:pPr>
      <w:r>
        <w:rPr>
          <w:rFonts w:hint="eastAsia" w:ascii="宋体" w:hAnsi="宋体"/>
          <w:szCs w:val="21"/>
        </w:rPr>
        <w:t>3.1.10.3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pPr>
        <w:spacing w:line="360" w:lineRule="auto"/>
        <w:ind w:firstLine="420" w:firstLineChars="200"/>
        <w:jc w:val="left"/>
        <w:rPr>
          <w:rFonts w:ascii="宋体" w:hAnsi="宋体"/>
          <w:szCs w:val="21"/>
        </w:rPr>
      </w:pPr>
      <w:r>
        <w:rPr>
          <w:rFonts w:hint="eastAsia" w:ascii="宋体" w:hAnsi="宋体"/>
          <w:szCs w:val="21"/>
        </w:rPr>
        <w:t>3.1.10.4承包人应服从发包人要求的管理模式、工作方式和工作要求，同时接受监理人的管理和全程监督，配合项目结、决算的办理。</w:t>
      </w:r>
    </w:p>
    <w:p>
      <w:pPr>
        <w:spacing w:line="360" w:lineRule="auto"/>
        <w:ind w:firstLine="420" w:firstLineChars="200"/>
        <w:jc w:val="left"/>
        <w:rPr>
          <w:rFonts w:ascii="宋体" w:hAnsi="宋体"/>
          <w:szCs w:val="21"/>
        </w:rPr>
      </w:pPr>
      <w:r>
        <w:rPr>
          <w:rFonts w:hint="eastAsia" w:ascii="宋体" w:hAnsi="宋体"/>
          <w:szCs w:val="21"/>
        </w:rPr>
        <w:t>3.1.10.5</w:t>
      </w:r>
      <w:r>
        <w:rPr>
          <w:rFonts w:hint="eastAsia" w:ascii="宋体" w:hAnsi="宋体"/>
          <w:szCs w:val="21"/>
          <w:u w:val="single"/>
        </w:rPr>
        <w:t>承包人应为本工程开立专用账户，接受发包人的监管</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3.1.10.6</w:t>
      </w:r>
      <w:r>
        <w:rPr>
          <w:rFonts w:hint="eastAsia" w:ascii="宋体" w:hAnsi="宋体"/>
          <w:szCs w:val="21"/>
          <w:u w:val="single"/>
        </w:rPr>
        <w:t xml:space="preserve">        。</w:t>
      </w:r>
    </w:p>
    <w:p>
      <w:pPr>
        <w:pStyle w:val="7"/>
        <w:spacing w:before="0" w:beforeAutospacing="0" w:after="0" w:afterAutospacing="0" w:line="360" w:lineRule="auto"/>
        <w:ind w:firstLine="421" w:firstLineChars="200"/>
        <w:rPr>
          <w:sz w:val="21"/>
          <w:szCs w:val="21"/>
        </w:rPr>
      </w:pPr>
      <w:bookmarkStart w:id="1477" w:name="_Toc532377336"/>
      <w:r>
        <w:rPr>
          <w:rFonts w:hint="eastAsia"/>
          <w:sz w:val="21"/>
          <w:szCs w:val="21"/>
        </w:rPr>
        <w:t>3.2 项目经理</w:t>
      </w:r>
      <w:bookmarkEnd w:id="1477"/>
    </w:p>
    <w:p>
      <w:pPr>
        <w:spacing w:line="360" w:lineRule="auto"/>
        <w:ind w:firstLine="420" w:firstLineChars="200"/>
        <w:jc w:val="left"/>
        <w:rPr>
          <w:rFonts w:ascii="宋体" w:hAnsi="宋体"/>
          <w:szCs w:val="21"/>
        </w:rPr>
      </w:pPr>
      <w:r>
        <w:rPr>
          <w:rFonts w:hint="eastAsia" w:ascii="宋体" w:hAnsi="宋体"/>
          <w:kern w:val="0"/>
          <w:szCs w:val="21"/>
        </w:rPr>
        <w:t xml:space="preserve">3.2.1 </w:t>
      </w:r>
      <w:r>
        <w:rPr>
          <w:rFonts w:hint="eastAsia" w:ascii="宋体" w:hAnsi="宋体"/>
          <w:szCs w:val="21"/>
        </w:rPr>
        <w:t>项目经理：</w:t>
      </w:r>
    </w:p>
    <w:p>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建造师执业资格等级：</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建造师注册证书号：</w:t>
      </w:r>
      <w:r>
        <w:rPr>
          <w:rFonts w:ascii="宋体" w:hAnsi="宋体"/>
          <w:szCs w:val="21"/>
          <w:u w:val="single"/>
        </w:rPr>
        <w:t>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建造师执业印章号：</w:t>
      </w:r>
      <w:r>
        <w:rPr>
          <w:rFonts w:ascii="宋体" w:hAnsi="宋体"/>
          <w:szCs w:val="21"/>
          <w:u w:val="single"/>
        </w:rPr>
        <w:t>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安全生产考核合格证书号：</w:t>
      </w:r>
      <w:r>
        <w:rPr>
          <w:rFonts w:ascii="宋体" w:hAnsi="宋体"/>
          <w:szCs w:val="21"/>
          <w:u w:val="single"/>
        </w:rPr>
        <w:t>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承包人对项目经理的授权范围如下：</w:t>
      </w:r>
      <w:r>
        <w:rPr>
          <w:rFonts w:hint="eastAsia" w:ascii="宋体" w:hAnsi="宋体"/>
          <w:szCs w:val="21"/>
          <w:u w:val="single"/>
        </w:rPr>
        <w:t>严格按设计图纸、现行国家施工规范及验收规范组织施工，保证工程质量、进度、安全；及时向监理人、发包人报告现场情况（以承包人书面授权范围为准）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关于项目经理每月在施工现场的时间要求：</w:t>
      </w:r>
      <w:r>
        <w:rPr>
          <w:rFonts w:hint="eastAsia" w:ascii="宋体" w:hAnsi="宋体"/>
          <w:szCs w:val="21"/>
          <w:u w:val="single"/>
        </w:rPr>
        <w:t>不少于22天，由监理人负责项目经理的考勤</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承包人应在合同签订后7天内提交与项目经理签订的劳动合同及为项目经理缴纳社会保险的证明，承包人未在限期内提交的，项目经理无权履行职责，发包人有权要求更换项目经理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3.2.2 技术负责人</w:t>
      </w:r>
    </w:p>
    <w:p>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专     业：</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证书名称及号码：</w:t>
      </w:r>
      <w:r>
        <w:rPr>
          <w:rFonts w:ascii="宋体" w:hAnsi="宋体"/>
          <w:szCs w:val="21"/>
          <w:u w:val="single"/>
        </w:rPr>
        <w:t xml:space="preserve">                         </w:t>
      </w:r>
      <w:r>
        <w:rPr>
          <w:rFonts w:hint="eastAsia" w:ascii="宋体" w:hAnsi="宋体"/>
          <w:szCs w:val="21"/>
        </w:rPr>
        <w:t>；</w:t>
      </w:r>
    </w:p>
    <w:p>
      <w:pPr>
        <w:pStyle w:val="2"/>
        <w:spacing w:after="0" w:line="360" w:lineRule="auto"/>
        <w:rPr>
          <w:rFonts w:ascii="宋体" w:hAnsi="宋体"/>
          <w:szCs w:val="21"/>
        </w:rPr>
      </w:pPr>
      <w:r>
        <w:rPr>
          <w:rFonts w:hint="eastAsia" w:ascii="宋体" w:hAnsi="宋体"/>
          <w:szCs w:val="21"/>
        </w:rPr>
        <w:t xml:space="preserve">    </w:t>
      </w:r>
      <w:r>
        <w:rPr>
          <w:rFonts w:ascii="宋体" w:hAnsi="宋体"/>
          <w:szCs w:val="21"/>
        </w:rPr>
        <w:t>联系方式：</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kern w:val="0"/>
          <w:szCs w:val="21"/>
        </w:rPr>
        <w:t>关于技</w:t>
      </w:r>
      <w:r>
        <w:rPr>
          <w:rFonts w:hint="eastAsia" w:ascii="宋体" w:hAnsi="宋体"/>
          <w:szCs w:val="21"/>
        </w:rPr>
        <w:t>术负责人每月在施工现场的时间要求：</w:t>
      </w:r>
      <w:r>
        <w:rPr>
          <w:rFonts w:hint="eastAsia" w:ascii="宋体" w:hAnsi="宋体"/>
          <w:szCs w:val="21"/>
          <w:u w:val="single"/>
        </w:rPr>
        <w:t>不少于22天，由监理人负责技术负责人的考勤</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承包人应在合同签订后7天内提交与技术负责人签订的劳动合同及为技术负责人缴纳社会保险的证明，承包人未在限期内提交的，技术负责人无权履行职责，发包人有权要求更换技术负责人</w:t>
      </w:r>
      <w:r>
        <w:rPr>
          <w:rFonts w:hint="eastAsia" w:ascii="宋体" w:hAnsi="宋体"/>
          <w:szCs w:val="21"/>
        </w:rPr>
        <w:t>。</w:t>
      </w:r>
      <w:bookmarkStart w:id="1478" w:name="_Hlk528927599"/>
    </w:p>
    <w:bookmarkEnd w:id="1478"/>
    <w:p>
      <w:pPr>
        <w:spacing w:line="360" w:lineRule="auto"/>
        <w:ind w:firstLine="420" w:firstLineChars="200"/>
        <w:jc w:val="left"/>
        <w:rPr>
          <w:rFonts w:ascii="宋体" w:hAnsi="宋体"/>
          <w:szCs w:val="21"/>
        </w:rPr>
      </w:pPr>
      <w:bookmarkStart w:id="1479" w:name="_Hlk528927718"/>
      <w:r>
        <w:rPr>
          <w:rFonts w:hint="eastAsia" w:ascii="宋体" w:hAnsi="宋体"/>
          <w:szCs w:val="21"/>
        </w:rPr>
        <w:t>3.2.3 发包人有权书面通知承包人更换其认为不称职/不履职的项目经理和（或）技术负责人，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审核批准。继任项目经理和（或）技术负责人继续履行合同约定的职责。</w:t>
      </w:r>
      <w:bookmarkEnd w:id="1479"/>
    </w:p>
    <w:p>
      <w:pPr>
        <w:spacing w:line="360" w:lineRule="auto"/>
        <w:ind w:firstLine="420" w:firstLineChars="200"/>
        <w:jc w:val="left"/>
        <w:rPr>
          <w:rFonts w:ascii="宋体" w:hAnsi="宋体"/>
          <w:szCs w:val="21"/>
        </w:rPr>
      </w:pPr>
      <w:r>
        <w:rPr>
          <w:rFonts w:hint="eastAsia" w:ascii="宋体" w:hAnsi="宋体"/>
          <w:szCs w:val="21"/>
        </w:rPr>
        <w:t>若项目经理和技术负责人出现下列情形需更换的，承包人按通用条款第3.2.3项的规定向发包人发出通知，经发包人领导班子集体决策同意后予以批准，并将变更信息推送给行业主管部门：</w:t>
      </w:r>
    </w:p>
    <w:p>
      <w:pPr>
        <w:spacing w:line="360" w:lineRule="auto"/>
        <w:ind w:firstLine="420" w:firstLineChars="200"/>
        <w:jc w:val="left"/>
        <w:rPr>
          <w:rFonts w:ascii="宋体" w:hAnsi="宋体"/>
          <w:szCs w:val="21"/>
        </w:rPr>
      </w:pPr>
      <w:r>
        <w:rPr>
          <w:rFonts w:hint="eastAsia" w:ascii="宋体" w:hAnsi="宋体"/>
          <w:szCs w:val="21"/>
        </w:rPr>
        <w:t>1、死亡；</w:t>
      </w:r>
    </w:p>
    <w:p>
      <w:pPr>
        <w:spacing w:line="360" w:lineRule="auto"/>
        <w:ind w:firstLine="420" w:firstLineChars="200"/>
        <w:jc w:val="left"/>
        <w:rPr>
          <w:rFonts w:ascii="宋体" w:hAnsi="宋体"/>
          <w:szCs w:val="21"/>
        </w:rPr>
      </w:pPr>
      <w:r>
        <w:rPr>
          <w:rFonts w:hint="eastAsia" w:ascii="宋体" w:hAnsi="宋体"/>
          <w:szCs w:val="21"/>
        </w:rPr>
        <w:t>2、非承包人原因导致工期延长，而致使项目经理和技术负责人达到法定退休年龄且确需退休；</w:t>
      </w:r>
    </w:p>
    <w:p>
      <w:pPr>
        <w:spacing w:line="360" w:lineRule="auto"/>
        <w:ind w:firstLine="420" w:firstLineChars="200"/>
        <w:jc w:val="left"/>
        <w:rPr>
          <w:rFonts w:ascii="宋体" w:hAnsi="宋体"/>
          <w:szCs w:val="21"/>
        </w:rPr>
      </w:pPr>
      <w:r>
        <w:rPr>
          <w:rFonts w:hint="eastAsia" w:ascii="宋体" w:hAnsi="宋体"/>
          <w:szCs w:val="21"/>
        </w:rPr>
        <w:t>3、按</w:t>
      </w:r>
      <w:r>
        <w:rPr>
          <w:rFonts w:hint="eastAsia" w:ascii="宋体" w:hAnsi="宋体"/>
          <w:szCs w:val="21"/>
          <w:u w:val="single"/>
        </w:rPr>
        <w:t>《职工非因工伤残或因病丧失劳动能力程度鉴定标准（试行）》</w:t>
      </w:r>
      <w:r>
        <w:rPr>
          <w:rFonts w:hint="eastAsia" w:ascii="宋体" w:hAnsi="宋体"/>
          <w:szCs w:val="21"/>
        </w:rPr>
        <w:t>规定鉴定为完全丧失劳动能力和大部分丧失劳动能力；</w:t>
      </w:r>
    </w:p>
    <w:p>
      <w:pPr>
        <w:spacing w:line="360" w:lineRule="auto"/>
        <w:ind w:firstLine="420" w:firstLineChars="200"/>
        <w:jc w:val="left"/>
        <w:rPr>
          <w:rFonts w:ascii="宋体" w:hAnsi="宋体"/>
          <w:szCs w:val="21"/>
        </w:rPr>
      </w:pPr>
      <w:r>
        <w:rPr>
          <w:rFonts w:hint="eastAsia" w:ascii="宋体" w:hAnsi="宋体"/>
          <w:szCs w:val="21"/>
        </w:rPr>
        <w:t>4、非承包人原因导致中标3个月不能开工；</w:t>
      </w:r>
    </w:p>
    <w:p>
      <w:pPr>
        <w:spacing w:line="360" w:lineRule="auto"/>
        <w:ind w:firstLine="420" w:firstLineChars="200"/>
        <w:jc w:val="left"/>
        <w:rPr>
          <w:rFonts w:ascii="宋体" w:hAnsi="宋体"/>
          <w:szCs w:val="21"/>
        </w:rPr>
      </w:pPr>
      <w:r>
        <w:rPr>
          <w:rFonts w:hint="eastAsia" w:ascii="宋体" w:hAnsi="宋体"/>
          <w:szCs w:val="21"/>
        </w:rPr>
        <w:t>5、被公安或者司法机关限制人身自由；</w:t>
      </w:r>
    </w:p>
    <w:p>
      <w:pPr>
        <w:spacing w:line="360" w:lineRule="auto"/>
        <w:ind w:firstLine="420" w:firstLineChars="200"/>
        <w:jc w:val="left"/>
        <w:rPr>
          <w:rFonts w:ascii="宋体" w:hAnsi="宋体"/>
          <w:szCs w:val="21"/>
        </w:rPr>
      </w:pPr>
      <w:r>
        <w:rPr>
          <w:rFonts w:hint="eastAsia" w:ascii="宋体" w:hAnsi="宋体"/>
          <w:szCs w:val="21"/>
        </w:rPr>
        <w:t>6、被取消职称或者执业资格，不满足项目管理要求；</w:t>
      </w:r>
    </w:p>
    <w:p>
      <w:pPr>
        <w:spacing w:line="360" w:lineRule="auto"/>
        <w:ind w:firstLine="420" w:firstLineChars="200"/>
        <w:jc w:val="left"/>
        <w:rPr>
          <w:rFonts w:ascii="宋体" w:hAnsi="宋体"/>
          <w:szCs w:val="21"/>
        </w:rPr>
      </w:pPr>
      <w:r>
        <w:rPr>
          <w:rFonts w:hint="eastAsia" w:ascii="宋体" w:hAnsi="宋体"/>
          <w:szCs w:val="21"/>
        </w:rPr>
        <w:t>7、非承包人原因导致确需变更的其它情形。</w:t>
      </w:r>
    </w:p>
    <w:p>
      <w:pPr>
        <w:spacing w:line="360" w:lineRule="auto"/>
        <w:ind w:firstLine="420" w:firstLineChars="200"/>
        <w:jc w:val="left"/>
        <w:rPr>
          <w:rFonts w:ascii="宋体" w:hAnsi="宋体"/>
          <w:szCs w:val="21"/>
        </w:rPr>
      </w:pPr>
      <w:r>
        <w:rPr>
          <w:rFonts w:hint="eastAsia" w:ascii="宋体" w:hAnsi="宋体"/>
          <w:szCs w:val="21"/>
        </w:rPr>
        <w:t>本款补充3.2.6项</w:t>
      </w:r>
    </w:p>
    <w:p>
      <w:pPr>
        <w:spacing w:line="360" w:lineRule="auto"/>
        <w:ind w:firstLine="420" w:firstLineChars="200"/>
        <w:jc w:val="left"/>
        <w:rPr>
          <w:rFonts w:ascii="宋体" w:hAnsi="宋体"/>
          <w:szCs w:val="21"/>
        </w:rPr>
      </w:pPr>
      <w:r>
        <w:rPr>
          <w:rFonts w:hint="eastAsia" w:ascii="宋体" w:hAnsi="宋体"/>
          <w:szCs w:val="21"/>
        </w:rPr>
        <w:t>3.2.6 国有资金投资项目其他主要人员变更参照</w:t>
      </w:r>
      <w:r>
        <w:rPr>
          <w:rFonts w:hint="eastAsia" w:ascii="宋体" w:hAnsi="宋体"/>
          <w:szCs w:val="21"/>
          <w:u w:val="single"/>
        </w:rPr>
        <w:t>《重庆市政府投资项目合同变更管理暂行办法》</w:t>
      </w:r>
      <w:r>
        <w:rPr>
          <w:rFonts w:hint="eastAsia" w:ascii="宋体" w:hAnsi="宋体"/>
          <w:szCs w:val="21"/>
        </w:rPr>
        <w:t>的规定。</w:t>
      </w:r>
    </w:p>
    <w:p>
      <w:pPr>
        <w:pStyle w:val="7"/>
        <w:spacing w:before="0" w:beforeAutospacing="0" w:after="0" w:afterAutospacing="0" w:line="360" w:lineRule="auto"/>
        <w:ind w:firstLine="421" w:firstLineChars="200"/>
        <w:rPr>
          <w:sz w:val="21"/>
          <w:szCs w:val="21"/>
        </w:rPr>
      </w:pPr>
      <w:bookmarkStart w:id="1480" w:name="_Toc532377337"/>
      <w:r>
        <w:rPr>
          <w:rFonts w:hint="eastAsia"/>
          <w:sz w:val="21"/>
          <w:szCs w:val="21"/>
        </w:rPr>
        <w:t>3.3 承包人人员</w:t>
      </w:r>
      <w:bookmarkEnd w:id="1480"/>
    </w:p>
    <w:p>
      <w:pPr>
        <w:spacing w:line="360" w:lineRule="auto"/>
        <w:ind w:firstLine="420" w:firstLineChars="200"/>
        <w:jc w:val="left"/>
        <w:rPr>
          <w:rFonts w:ascii="宋体" w:hAnsi="宋体"/>
          <w:szCs w:val="21"/>
        </w:rPr>
      </w:pPr>
      <w:r>
        <w:rPr>
          <w:rFonts w:hint="eastAsia" w:ascii="宋体" w:hAnsi="宋体"/>
          <w:szCs w:val="21"/>
        </w:rPr>
        <w:t>3.3.1 承包人应按建设行政主管部门现行规定配备现场施工从业人员，具体要求如下：</w:t>
      </w:r>
      <w:r>
        <w:rPr>
          <w:rFonts w:hint="eastAsia" w:ascii="宋体" w:hAnsi="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3.3.2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pPr>
        <w:spacing w:line="360" w:lineRule="auto"/>
        <w:ind w:firstLine="420" w:firstLineChars="200"/>
        <w:jc w:val="left"/>
        <w:rPr>
          <w:rFonts w:ascii="宋体" w:hAnsi="宋体"/>
          <w:szCs w:val="21"/>
        </w:rPr>
      </w:pPr>
      <w:r>
        <w:rPr>
          <w:rFonts w:hint="eastAsia" w:ascii="宋体" w:hAnsi="宋体"/>
          <w:szCs w:val="21"/>
        </w:rPr>
        <w:t>3.3.3 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审核批准。</w:t>
      </w:r>
    </w:p>
    <w:p>
      <w:pPr>
        <w:spacing w:line="360" w:lineRule="auto"/>
        <w:ind w:firstLine="420" w:firstLineChars="200"/>
        <w:jc w:val="left"/>
        <w:rPr>
          <w:rFonts w:ascii="宋体" w:hAnsi="宋体"/>
          <w:szCs w:val="21"/>
        </w:rPr>
      </w:pPr>
      <w:r>
        <w:rPr>
          <w:rFonts w:hint="eastAsia" w:ascii="宋体" w:hAnsi="宋体"/>
          <w:szCs w:val="21"/>
        </w:rPr>
        <w:t>3.3.4 承包人主要施工管理人员离开施工现场，指定的临时人员需满足：</w:t>
      </w:r>
      <w:r>
        <w:rPr>
          <w:rFonts w:hint="eastAsia" w:ascii="宋体" w:hAnsi="宋体"/>
          <w:szCs w:val="21"/>
          <w:u w:val="single"/>
        </w:rPr>
        <w:t>《</w:t>
      </w:r>
      <w:r>
        <w:rPr>
          <w:rFonts w:hint="eastAsia" w:ascii="宋体" w:hAnsi="宋体"/>
          <w:szCs w:val="21"/>
          <w:u w:val="single"/>
          <w:lang w:val="en-US" w:eastAsia="zh-CN"/>
        </w:rPr>
        <w:t>重庆市房屋建筑和市政基础设施工程施工现场</w:t>
      </w:r>
      <w:r>
        <w:rPr>
          <w:rFonts w:hint="eastAsia" w:ascii="宋体" w:hAnsi="宋体"/>
          <w:szCs w:val="21"/>
          <w:u w:val="single"/>
        </w:rPr>
        <w:t>从业人员配备标准》（DBJ50</w:t>
      </w:r>
      <w:r>
        <w:rPr>
          <w:rFonts w:hint="eastAsia" w:ascii="宋体" w:hAnsi="宋体"/>
          <w:szCs w:val="21"/>
          <w:u w:val="single"/>
          <w:lang w:val="en-US" w:eastAsia="zh-CN"/>
        </w:rPr>
        <w:t>/T</w:t>
      </w:r>
      <w:r>
        <w:rPr>
          <w:rFonts w:hint="eastAsia" w:ascii="宋体" w:hAnsi="宋体"/>
          <w:szCs w:val="21"/>
          <w:u w:val="single"/>
        </w:rPr>
        <w:t>-157-</w:t>
      </w:r>
      <w:r>
        <w:rPr>
          <w:rFonts w:hint="eastAsia" w:ascii="宋体" w:hAnsi="宋体"/>
          <w:szCs w:val="21"/>
          <w:u w:val="single"/>
          <w:lang w:val="en-US" w:eastAsia="zh-CN"/>
        </w:rPr>
        <w:t>2022</w:t>
      </w:r>
      <w:r>
        <w:rPr>
          <w:rFonts w:hint="eastAsia" w:ascii="宋体" w:hAnsi="宋体"/>
          <w:szCs w:val="21"/>
          <w:u w:val="single"/>
        </w:rPr>
        <w:t>）的相应要求</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481" w:name="_Toc532377338"/>
      <w:r>
        <w:rPr>
          <w:rFonts w:hint="eastAsia"/>
          <w:sz w:val="21"/>
          <w:szCs w:val="21"/>
        </w:rPr>
        <w:t>3</w:t>
      </w:r>
      <w:bookmarkStart w:id="1482" w:name="_Toc292559364"/>
      <w:bookmarkStart w:id="1483" w:name="_Toc296346660"/>
      <w:bookmarkStart w:id="1484" w:name="_Toc292559869"/>
      <w:bookmarkStart w:id="1485" w:name="_Toc304295523"/>
      <w:bookmarkStart w:id="1486" w:name="_Toc297123492"/>
      <w:bookmarkStart w:id="1487" w:name="_Toc296347158"/>
      <w:bookmarkStart w:id="1488" w:name="_Toc297216151"/>
      <w:bookmarkStart w:id="1489" w:name="_Toc300934945"/>
      <w:bookmarkStart w:id="1490" w:name="_Toc296503159"/>
      <w:bookmarkStart w:id="1491" w:name="_Toc296890987"/>
      <w:bookmarkStart w:id="1492" w:name="_Toc297120459"/>
      <w:bookmarkStart w:id="1493" w:name="_Toc303539102"/>
      <w:bookmarkStart w:id="1494" w:name="_Toc296891199"/>
      <w:bookmarkStart w:id="1495" w:name="_Toc312677988"/>
      <w:bookmarkStart w:id="1496" w:name="_Toc296944498"/>
      <w:bookmarkStart w:id="1497" w:name="_Toc297048345"/>
      <w:r>
        <w:rPr>
          <w:rFonts w:hint="eastAsia"/>
          <w:sz w:val="21"/>
          <w:szCs w:val="21"/>
        </w:rPr>
        <w:t>.5 分包</w:t>
      </w:r>
      <w:bookmarkEnd w:id="1481"/>
    </w:p>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p>
      <w:pPr>
        <w:spacing w:line="360" w:lineRule="auto"/>
        <w:ind w:firstLine="420" w:firstLineChars="200"/>
        <w:jc w:val="left"/>
        <w:rPr>
          <w:rFonts w:ascii="宋体" w:hAnsi="宋体"/>
          <w:szCs w:val="21"/>
        </w:rPr>
      </w:pPr>
      <w:r>
        <w:rPr>
          <w:rFonts w:hint="eastAsia" w:ascii="宋体" w:hAnsi="宋体"/>
          <w:szCs w:val="21"/>
        </w:rPr>
        <w:t>3</w:t>
      </w:r>
      <w:bookmarkStart w:id="1498" w:name="_Toc303539103"/>
      <w:bookmarkStart w:id="1499" w:name="_Toc312677989"/>
      <w:bookmarkStart w:id="1500" w:name="_Toc297048346"/>
      <w:bookmarkStart w:id="1501" w:name="_Toc297123493"/>
      <w:bookmarkStart w:id="1502" w:name="_Toc304295524"/>
      <w:bookmarkStart w:id="1503" w:name="_Toc300934946"/>
      <w:bookmarkStart w:id="1504" w:name="_Toc296503160"/>
      <w:bookmarkStart w:id="1505" w:name="_Toc292559870"/>
      <w:bookmarkStart w:id="1506" w:name="_Toc297120460"/>
      <w:bookmarkStart w:id="1507" w:name="_Toc296346661"/>
      <w:bookmarkStart w:id="1508" w:name="_Toc296347159"/>
      <w:bookmarkStart w:id="1509" w:name="_Toc296944499"/>
      <w:bookmarkStart w:id="1510" w:name="_Toc318581158"/>
      <w:bookmarkStart w:id="1511" w:name="_Toc296890988"/>
      <w:bookmarkStart w:id="1512" w:name="_Toc297216152"/>
      <w:bookmarkStart w:id="1513" w:name="_Toc292559365"/>
      <w:bookmarkStart w:id="1514" w:name="_Toc296891200"/>
      <w:r>
        <w:rPr>
          <w:rFonts w:hint="eastAsia" w:ascii="宋体" w:hAnsi="宋体"/>
          <w:szCs w:val="21"/>
        </w:rPr>
        <w:t>.5.1 分包的一般约定</w:t>
      </w:r>
    </w:p>
    <w:p>
      <w:pPr>
        <w:spacing w:line="360" w:lineRule="auto"/>
        <w:ind w:firstLine="420" w:firstLineChars="200"/>
        <w:jc w:val="left"/>
        <w:rPr>
          <w:rFonts w:ascii="宋体" w:hAnsi="宋体"/>
          <w:szCs w:val="21"/>
        </w:rPr>
      </w:pPr>
      <w:r>
        <w:rPr>
          <w:rFonts w:hint="eastAsia" w:ascii="宋体" w:hAnsi="宋体"/>
          <w:szCs w:val="21"/>
        </w:rPr>
        <w:t>禁止分包的工程包括：主体结构、关键性工作等国家法律、法规禁止分包的工程。</w:t>
      </w:r>
    </w:p>
    <w:p>
      <w:pPr>
        <w:spacing w:line="360" w:lineRule="auto"/>
        <w:ind w:firstLine="420" w:firstLineChars="200"/>
        <w:jc w:val="left"/>
        <w:rPr>
          <w:rFonts w:ascii="宋体" w:hAnsi="宋体"/>
          <w:szCs w:val="21"/>
        </w:rPr>
      </w:pPr>
      <w:r>
        <w:rPr>
          <w:rFonts w:hint="eastAsia" w:ascii="宋体" w:hAnsi="宋体"/>
          <w:szCs w:val="21"/>
        </w:rPr>
        <w:t>主体结构、关键性工作的范围：国家法律、法规、规范、标准等所约束的范围。如房建工程主体结构指混凝土工程、砌体工程、钢结构工程（具体有基础、梁、板、柱、砼墙、楼梯工程等）</w:t>
      </w:r>
      <w:bookmarkStart w:id="1515" w:name="_Toc300934947"/>
      <w:bookmarkStart w:id="1516" w:name="_Toc296891201"/>
      <w:bookmarkStart w:id="1517" w:name="_Toc303539104"/>
      <w:bookmarkStart w:id="1518" w:name="_Toc297120461"/>
      <w:bookmarkStart w:id="1519" w:name="_Toc296890989"/>
      <w:bookmarkStart w:id="1520" w:name="_Toc296346662"/>
      <w:bookmarkStart w:id="1521" w:name="_Toc297216153"/>
      <w:bookmarkStart w:id="1522" w:name="_Toc297123494"/>
      <w:bookmarkStart w:id="1523" w:name="_Toc296347160"/>
      <w:bookmarkStart w:id="1524" w:name="_Toc297048347"/>
      <w:bookmarkStart w:id="1525" w:name="_Toc296944500"/>
      <w:bookmarkStart w:id="1526" w:name="_Toc304295525"/>
      <w:bookmarkStart w:id="1527" w:name="_Toc296503161"/>
      <w:r>
        <w:rPr>
          <w:rFonts w:hint="eastAsia" w:ascii="宋体" w:hAnsi="宋体"/>
          <w:szCs w:val="21"/>
        </w:rPr>
        <w:t>；关键性工作指梁、板、柱等部位。</w:t>
      </w:r>
    </w:p>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Pr>
        <w:spacing w:line="360" w:lineRule="auto"/>
        <w:ind w:firstLine="420" w:firstLineChars="200"/>
        <w:jc w:val="left"/>
        <w:rPr>
          <w:rFonts w:ascii="宋体" w:hAnsi="宋体"/>
          <w:szCs w:val="21"/>
        </w:rPr>
      </w:pPr>
      <w:r>
        <w:rPr>
          <w:rFonts w:hint="eastAsia" w:ascii="宋体" w:hAnsi="宋体"/>
          <w:szCs w:val="21"/>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pPr>
        <w:spacing w:line="360" w:lineRule="auto"/>
        <w:ind w:firstLine="420" w:firstLineChars="200"/>
        <w:jc w:val="left"/>
        <w:rPr>
          <w:rFonts w:ascii="宋体" w:hAnsi="宋体"/>
          <w:szCs w:val="21"/>
        </w:rPr>
      </w:pPr>
      <w:r>
        <w:rPr>
          <w:rFonts w:hint="eastAsia" w:ascii="宋体" w:hAnsi="宋体"/>
          <w:szCs w:val="21"/>
        </w:rPr>
        <w:t>3</w:t>
      </w:r>
      <w:bookmarkStart w:id="1528" w:name="_Toc318581159"/>
      <w:bookmarkStart w:id="1529" w:name="_Toc312677990"/>
      <w:r>
        <w:rPr>
          <w:rFonts w:hint="eastAsia" w:ascii="宋体" w:hAnsi="宋体"/>
          <w:szCs w:val="21"/>
        </w:rPr>
        <w:t>.5.2分包的确定</w:t>
      </w:r>
    </w:p>
    <w:p>
      <w:pPr>
        <w:spacing w:line="360" w:lineRule="auto"/>
        <w:ind w:firstLine="420" w:firstLineChars="200"/>
        <w:jc w:val="left"/>
        <w:rPr>
          <w:rFonts w:ascii="宋体" w:hAnsi="宋体"/>
          <w:i/>
          <w:iCs/>
          <w:szCs w:val="21"/>
        </w:rPr>
      </w:pPr>
      <w:r>
        <w:rPr>
          <w:rFonts w:hint="eastAsia" w:ascii="宋体" w:hAnsi="宋体"/>
          <w:szCs w:val="21"/>
        </w:rPr>
        <w:t>允许分包的专业工程包括：</w:t>
      </w:r>
      <w:r>
        <w:rPr>
          <w:rFonts w:hint="eastAsia" w:ascii="宋体" w:hAnsi="宋体"/>
          <w:szCs w:val="21"/>
          <w:u w:val="single"/>
        </w:rPr>
        <w:t xml:space="preserve">        。</w:t>
      </w:r>
      <w:r>
        <w:rPr>
          <w:rFonts w:hint="eastAsia" w:ascii="宋体" w:hAnsi="宋体"/>
          <w:i/>
          <w:iCs/>
          <w:szCs w:val="21"/>
        </w:rPr>
        <w:t>[提示：符合《中华人民共和国建筑法》和《中华人民共和国招标投标法》的相关规定。]</w:t>
      </w:r>
    </w:p>
    <w:p>
      <w:pPr>
        <w:spacing w:line="360" w:lineRule="auto"/>
        <w:ind w:firstLine="420" w:firstLineChars="200"/>
        <w:jc w:val="left"/>
        <w:rPr>
          <w:rFonts w:ascii="宋体" w:hAnsi="宋体"/>
          <w:szCs w:val="21"/>
        </w:rPr>
      </w:pPr>
      <w:r>
        <w:rPr>
          <w:rFonts w:hint="eastAsia" w:ascii="宋体" w:hAnsi="宋体"/>
          <w:szCs w:val="21"/>
        </w:rPr>
        <w:t>3.5.4 分包合同价款</w:t>
      </w:r>
    </w:p>
    <w:p>
      <w:pPr>
        <w:spacing w:line="360" w:lineRule="auto"/>
        <w:ind w:firstLine="420" w:firstLineChars="200"/>
        <w:jc w:val="left"/>
        <w:rPr>
          <w:rFonts w:ascii="宋体" w:hAnsi="宋体"/>
          <w:szCs w:val="21"/>
        </w:rPr>
      </w:pPr>
      <w:r>
        <w:rPr>
          <w:rFonts w:hint="eastAsia" w:ascii="宋体" w:hAnsi="宋体"/>
          <w:szCs w:val="21"/>
        </w:rPr>
        <w:t>关于分包合同价款支付的约定：</w:t>
      </w:r>
      <w:bookmarkEnd w:id="1528"/>
      <w:bookmarkEnd w:id="1529"/>
      <w:r>
        <w:rPr>
          <w:rFonts w:hint="eastAsia" w:ascii="宋体" w:hAnsi="宋体"/>
          <w:szCs w:val="21"/>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本款补充3.5.6项：</w:t>
      </w:r>
    </w:p>
    <w:p>
      <w:pPr>
        <w:spacing w:line="360" w:lineRule="auto"/>
        <w:ind w:firstLine="420" w:firstLineChars="200"/>
        <w:jc w:val="left"/>
        <w:rPr>
          <w:rFonts w:ascii="宋体" w:hAnsi="宋体"/>
          <w:szCs w:val="21"/>
        </w:rPr>
      </w:pPr>
      <w:r>
        <w:rPr>
          <w:rFonts w:hint="eastAsia" w:ascii="宋体" w:hAnsi="宋体"/>
          <w:szCs w:val="21"/>
        </w:rPr>
        <w:t>3.5.6严禁违法分包</w:t>
      </w:r>
    </w:p>
    <w:p>
      <w:pPr>
        <w:spacing w:line="360" w:lineRule="auto"/>
        <w:ind w:firstLine="420" w:firstLineChars="200"/>
        <w:jc w:val="left"/>
        <w:rPr>
          <w:rFonts w:ascii="宋体" w:hAnsi="宋体"/>
          <w:szCs w:val="21"/>
        </w:rPr>
      </w:pPr>
      <w:r>
        <w:rPr>
          <w:rFonts w:hint="eastAsia" w:ascii="宋体" w:hAnsi="宋体"/>
          <w:szCs w:val="21"/>
        </w:rPr>
        <w:t>一经查实，承包人的履约担保不予退还，发包人有权终止合同；同时发包人有权向相关行政监管部门举报，根据</w:t>
      </w:r>
      <w:r>
        <w:rPr>
          <w:rFonts w:hint="eastAsia" w:ascii="宋体" w:hAnsi="宋体"/>
          <w:szCs w:val="21"/>
          <w:u w:val="single"/>
        </w:rPr>
        <w:t>《住房和城乡建设部关于印发建筑工程施工发包与承包违法行为认定查处管理办法的通知》（建市规〔2019〕1号）</w:t>
      </w:r>
      <w:r>
        <w:rPr>
          <w:rFonts w:hint="eastAsia" w:ascii="宋体" w:hAnsi="宋体"/>
          <w:szCs w:val="21"/>
        </w:rPr>
        <w:t>相关规定条执行。</w:t>
      </w:r>
    </w:p>
    <w:p>
      <w:pPr>
        <w:pStyle w:val="7"/>
        <w:spacing w:before="0" w:beforeAutospacing="0" w:after="0" w:afterAutospacing="0" w:line="360" w:lineRule="auto"/>
        <w:ind w:firstLine="421" w:firstLineChars="200"/>
        <w:rPr>
          <w:sz w:val="21"/>
          <w:szCs w:val="21"/>
        </w:rPr>
      </w:pPr>
      <w:bookmarkStart w:id="1530" w:name="_Toc532377339"/>
      <w:r>
        <w:rPr>
          <w:rFonts w:hint="eastAsia"/>
          <w:sz w:val="21"/>
          <w:szCs w:val="21"/>
        </w:rPr>
        <w:t>3.7 履约担保</w:t>
      </w:r>
      <w:bookmarkEnd w:id="1530"/>
    </w:p>
    <w:p>
      <w:pPr>
        <w:spacing w:line="360" w:lineRule="auto"/>
        <w:ind w:firstLine="420" w:firstLineChars="200"/>
        <w:jc w:val="left"/>
        <w:rPr>
          <w:rFonts w:ascii="宋体" w:hAnsi="宋体"/>
          <w:szCs w:val="21"/>
        </w:rPr>
      </w:pPr>
      <w:r>
        <w:rPr>
          <w:rFonts w:hint="eastAsia" w:ascii="宋体" w:hAnsi="宋体"/>
          <w:szCs w:val="21"/>
        </w:rPr>
        <w:t>3.7.1承包人是否提供履约担保：</w:t>
      </w:r>
      <w:r>
        <w:rPr>
          <w:rFonts w:hint="eastAsia" w:ascii="宋体" w:hAnsi="宋体"/>
          <w:szCs w:val="21"/>
          <w:u w:val="single"/>
        </w:rPr>
        <w:t>提供</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3.7.2承包人提供履约担保的形式、金额及期限：</w:t>
      </w:r>
    </w:p>
    <w:p>
      <w:pPr>
        <w:spacing w:line="360" w:lineRule="auto"/>
        <w:ind w:firstLine="420" w:firstLineChars="200"/>
        <w:jc w:val="left"/>
        <w:rPr>
          <w:rFonts w:hint="eastAsia" w:ascii="宋体" w:hAnsi="宋体"/>
          <w:kern w:val="0"/>
          <w:szCs w:val="21"/>
          <w:lang w:eastAsia="zh-CN"/>
        </w:rPr>
      </w:pPr>
      <w:r>
        <w:rPr>
          <w:rFonts w:hint="eastAsia" w:ascii="宋体" w:hAnsi="宋体"/>
          <w:szCs w:val="21"/>
        </w:rPr>
        <w:t>（1）履约担保的形式：现金或</w:t>
      </w:r>
      <w:r>
        <w:rPr>
          <w:rFonts w:hint="eastAsia" w:ascii="宋体" w:hAnsi="宋体"/>
          <w:szCs w:val="21"/>
          <w:lang w:val="en-US" w:eastAsia="zh-CN"/>
        </w:rPr>
        <w:t>履约</w:t>
      </w:r>
      <w:r>
        <w:rPr>
          <w:rFonts w:hint="eastAsia" w:ascii="宋体" w:hAnsi="宋体"/>
          <w:szCs w:val="21"/>
        </w:rPr>
        <w:t>保函或现金+</w:t>
      </w:r>
      <w:r>
        <w:rPr>
          <w:rFonts w:hint="eastAsia" w:ascii="宋体" w:hAnsi="宋体"/>
          <w:szCs w:val="21"/>
          <w:lang w:val="en-US" w:eastAsia="zh-CN"/>
        </w:rPr>
        <w:t>履约</w:t>
      </w:r>
      <w:r>
        <w:rPr>
          <w:rFonts w:hint="eastAsia" w:ascii="宋体" w:hAnsi="宋体"/>
          <w:szCs w:val="21"/>
        </w:rPr>
        <w:t>保函的组合</w:t>
      </w:r>
      <w:r>
        <w:rPr>
          <w:rFonts w:hint="eastAsia" w:ascii="宋体" w:hAnsi="宋体"/>
          <w:szCs w:val="21"/>
          <w:lang w:eastAsia="zh-CN"/>
        </w:rPr>
        <w:t>，</w:t>
      </w:r>
      <w:r>
        <w:rPr>
          <w:rFonts w:hint="eastAsia" w:ascii="宋体" w:hAnsi="宋体"/>
          <w:kern w:val="0"/>
          <w:szCs w:val="21"/>
          <w:lang w:eastAsia="zh-CN"/>
        </w:rPr>
        <w:t>履约</w:t>
      </w:r>
      <w:r>
        <w:rPr>
          <w:rFonts w:hint="eastAsia" w:ascii="宋体" w:hAnsi="宋体"/>
          <w:kern w:val="0"/>
          <w:szCs w:val="21"/>
        </w:rPr>
        <w:t>保函包括银行保函、保证保险和担保保函</w:t>
      </w:r>
      <w:r>
        <w:rPr>
          <w:rFonts w:hint="eastAsia" w:ascii="宋体" w:hAnsi="宋体"/>
          <w:szCs w:val="21"/>
          <w:lang w:eastAsia="zh-CN"/>
        </w:rPr>
        <w:t>，</w:t>
      </w:r>
      <w:r>
        <w:rPr>
          <w:rFonts w:hint="eastAsia" w:ascii="宋体" w:hAnsi="宋体"/>
          <w:szCs w:val="21"/>
          <w:lang w:val="en-US" w:eastAsia="zh-CN"/>
        </w:rPr>
        <w:t>其示范文本详见合同附件</w:t>
      </w:r>
      <w:r>
        <w:rPr>
          <w:rFonts w:hint="eastAsia" w:ascii="宋体" w:hAnsi="宋体"/>
          <w:szCs w:val="21"/>
          <w:lang w:eastAsia="zh-CN"/>
        </w:rPr>
        <w:t>。</w:t>
      </w:r>
      <w:r>
        <w:rPr>
          <w:rFonts w:hint="eastAsia" w:ascii="宋体" w:hAnsi="宋体"/>
          <w:kern w:val="0"/>
          <w:szCs w:val="21"/>
          <w:lang w:val="en-US" w:eastAsia="zh-CN"/>
        </w:rPr>
        <w:t>承包人提交的履约保函应</w:t>
      </w:r>
      <w:r>
        <w:rPr>
          <w:rFonts w:hint="eastAsia" w:ascii="宋体" w:hAnsi="宋体"/>
          <w:kern w:val="0"/>
          <w:szCs w:val="21"/>
        </w:rPr>
        <w:t>严格执行</w:t>
      </w:r>
      <w:r>
        <w:rPr>
          <w:rFonts w:hint="eastAsia" w:ascii="宋体" w:hAnsi="宋体"/>
          <w:kern w:val="0"/>
          <w:szCs w:val="21"/>
          <w:lang w:val="en-US" w:eastAsia="zh-CN"/>
        </w:rPr>
        <w:t>其</w:t>
      </w:r>
      <w:r>
        <w:rPr>
          <w:rFonts w:hint="eastAsia" w:ascii="宋体" w:hAnsi="宋体"/>
          <w:kern w:val="0"/>
          <w:szCs w:val="21"/>
        </w:rPr>
        <w:t>示范文本，不得对示范文本中的实质性内容进行修改</w:t>
      </w:r>
      <w:r>
        <w:rPr>
          <w:rFonts w:hint="eastAsia" w:ascii="宋体" w:hAnsi="宋体"/>
          <w:kern w:val="0"/>
          <w:szCs w:val="21"/>
          <w:lang w:eastAsia="zh-CN"/>
        </w:rPr>
        <w:t>。</w:t>
      </w:r>
      <w:r>
        <w:rPr>
          <w:rFonts w:hint="eastAsia" w:ascii="宋体" w:hAnsi="宋体"/>
          <w:szCs w:val="21"/>
          <w:lang w:val="en-US" w:eastAsia="zh-CN"/>
        </w:rPr>
        <w:t>承包人若采用现金提交履约担保的，</w:t>
      </w:r>
      <w:r>
        <w:rPr>
          <w:rFonts w:hint="eastAsia" w:ascii="宋体" w:hAnsi="宋体"/>
          <w:szCs w:val="21"/>
        </w:rPr>
        <w:t>允许使用符合</w:t>
      </w:r>
      <w:r>
        <w:rPr>
          <w:rFonts w:hint="eastAsia" w:ascii="宋体" w:hAnsi="宋体"/>
          <w:szCs w:val="21"/>
          <w:lang w:eastAsia="zh-CN"/>
        </w:rPr>
        <w:t>《关于在全市工程建设领域全面推行工程保函工作的通知》（</w:t>
      </w:r>
      <w:r>
        <w:rPr>
          <w:rFonts w:hint="eastAsia" w:ascii="宋体" w:hAnsi="宋体"/>
          <w:szCs w:val="21"/>
          <w:lang w:val="en-US" w:eastAsia="zh-CN"/>
        </w:rPr>
        <w:t>渝公管发〔2022〕25号）、</w:t>
      </w:r>
      <w:r>
        <w:rPr>
          <w:rFonts w:hint="eastAsia" w:ascii="宋体" w:hAnsi="宋体"/>
          <w:szCs w:val="21"/>
          <w:lang w:eastAsia="zh-CN"/>
        </w:rPr>
        <w:t>《关于进一步规范工程建设领域工程保函示范文本的通知》（</w:t>
      </w:r>
      <w:r>
        <w:rPr>
          <w:rFonts w:hint="eastAsia" w:ascii="宋体" w:hAnsi="宋体"/>
          <w:szCs w:val="21"/>
          <w:lang w:val="en-US" w:eastAsia="zh-CN"/>
        </w:rPr>
        <w:t>渝公管发〔2022〕26号）</w:t>
      </w:r>
      <w:r>
        <w:rPr>
          <w:rFonts w:hint="eastAsia" w:ascii="宋体" w:hAnsi="宋体"/>
          <w:szCs w:val="21"/>
        </w:rPr>
        <w:t>要求的</w:t>
      </w:r>
      <w:r>
        <w:rPr>
          <w:rFonts w:hint="eastAsia" w:ascii="宋体" w:hAnsi="宋体"/>
          <w:szCs w:val="21"/>
          <w:lang w:eastAsia="zh-CN"/>
        </w:rPr>
        <w:t>履约</w:t>
      </w:r>
      <w:r>
        <w:rPr>
          <w:rFonts w:hint="eastAsia" w:ascii="宋体" w:hAnsi="宋体"/>
          <w:szCs w:val="21"/>
        </w:rPr>
        <w:t>保函置换</w:t>
      </w:r>
      <w:r>
        <w:rPr>
          <w:rFonts w:hint="eastAsia" w:ascii="宋体" w:hAnsi="宋体"/>
          <w:szCs w:val="21"/>
          <w:lang w:val="en-US" w:eastAsia="zh-CN"/>
        </w:rPr>
        <w:t>。</w:t>
      </w:r>
    </w:p>
    <w:p>
      <w:pPr>
        <w:spacing w:line="360" w:lineRule="auto"/>
        <w:ind w:firstLine="420" w:firstLineChars="200"/>
        <w:jc w:val="left"/>
        <w:rPr>
          <w:rFonts w:hint="default" w:ascii="宋体" w:hAnsi="宋体" w:eastAsia="宋体"/>
          <w:szCs w:val="21"/>
          <w:lang w:val="en-US" w:eastAsia="zh-CN"/>
        </w:rPr>
      </w:pPr>
      <w:r>
        <w:rPr>
          <w:rFonts w:hint="eastAsia" w:ascii="宋体" w:hAnsi="宋体"/>
          <w:kern w:val="0"/>
          <w:szCs w:val="21"/>
          <w:lang w:eastAsia="zh-CN"/>
        </w:rPr>
        <w:t>（</w:t>
      </w:r>
      <w:r>
        <w:rPr>
          <w:rFonts w:hint="eastAsia" w:ascii="宋体" w:hAnsi="宋体"/>
          <w:kern w:val="0"/>
          <w:szCs w:val="21"/>
          <w:lang w:val="en-US" w:eastAsia="zh-CN"/>
        </w:rPr>
        <w:t>2</w:t>
      </w:r>
      <w:r>
        <w:rPr>
          <w:rFonts w:hint="eastAsia" w:ascii="宋体" w:hAnsi="宋体"/>
          <w:kern w:val="0"/>
          <w:szCs w:val="21"/>
          <w:lang w:eastAsia="zh-CN"/>
        </w:rPr>
        <w:t>）</w:t>
      </w:r>
      <w:r>
        <w:rPr>
          <w:rFonts w:hint="eastAsia" w:ascii="宋体" w:hAnsi="宋体"/>
          <w:kern w:val="0"/>
          <w:szCs w:val="21"/>
          <w:lang w:val="en-US" w:eastAsia="zh-CN"/>
        </w:rPr>
        <w:t>具体要求：履约保函</w:t>
      </w:r>
      <w:r>
        <w:rPr>
          <w:rFonts w:hint="eastAsia" w:ascii="宋体" w:hAnsi="宋体"/>
          <w:kern w:val="0"/>
          <w:szCs w:val="21"/>
        </w:rPr>
        <w:t>的开立人应当是具有相应资格的银行、保险机构、融资担保公司，其信用资质、履约能力、担保能力、赔付流程、安全保密等应符合</w:t>
      </w:r>
      <w:r>
        <w:rPr>
          <w:rFonts w:hint="eastAsia" w:ascii="宋体" w:hAnsi="宋体"/>
          <w:kern w:val="0"/>
          <w:szCs w:val="21"/>
          <w:lang w:eastAsia="zh-CN"/>
        </w:rPr>
        <w:t>履约</w:t>
      </w:r>
      <w:r>
        <w:rPr>
          <w:rFonts w:hint="eastAsia" w:ascii="宋体" w:hAnsi="宋体"/>
          <w:kern w:val="0"/>
          <w:szCs w:val="21"/>
        </w:rPr>
        <w:t>保函业务条件</w:t>
      </w:r>
      <w:r>
        <w:rPr>
          <w:rFonts w:hint="eastAsia" w:ascii="宋体" w:hAnsi="宋体"/>
          <w:kern w:val="0"/>
          <w:szCs w:val="21"/>
          <w:lang w:eastAsia="zh-CN"/>
        </w:rPr>
        <w:t>。</w:t>
      </w:r>
      <w:r>
        <w:rPr>
          <w:rFonts w:hint="eastAsia" w:ascii="宋体" w:hAnsi="宋体"/>
          <w:kern w:val="0"/>
          <w:szCs w:val="21"/>
          <w:lang w:val="en-US" w:eastAsia="zh-CN"/>
        </w:rPr>
        <w:t>履约保函</w:t>
      </w:r>
      <w:r>
        <w:rPr>
          <w:rFonts w:hint="eastAsia" w:ascii="宋体" w:hAnsi="宋体"/>
          <w:kern w:val="0"/>
          <w:szCs w:val="21"/>
          <w:lang w:eastAsia="zh-CN"/>
        </w:rPr>
        <w:t>应合法合规，符合招投标行政监督部门、行业主管部门和金融监管部门的相关规定，满足招标文件约定要求。</w:t>
      </w:r>
      <w:r>
        <w:rPr>
          <w:rFonts w:hint="eastAsia" w:ascii="宋体" w:hAnsi="宋体"/>
          <w:kern w:val="0"/>
          <w:szCs w:val="21"/>
          <w:lang w:val="en-US" w:eastAsia="zh-CN"/>
        </w:rPr>
        <w:t>承包人</w:t>
      </w:r>
      <w:r>
        <w:rPr>
          <w:rFonts w:hint="eastAsia" w:ascii="宋体" w:hAnsi="宋体"/>
          <w:kern w:val="0"/>
          <w:szCs w:val="21"/>
        </w:rPr>
        <w:t>应选择在渝依法设立总部或者设有分支机构的金融机构开具</w:t>
      </w:r>
      <w:r>
        <w:rPr>
          <w:rFonts w:hint="eastAsia" w:ascii="宋体" w:hAnsi="宋体"/>
          <w:kern w:val="0"/>
          <w:szCs w:val="21"/>
          <w:lang w:val="en-US" w:eastAsia="zh-CN"/>
        </w:rPr>
        <w:t>履约保函（包括纸质保函或电子保函）</w:t>
      </w:r>
      <w:r>
        <w:rPr>
          <w:rFonts w:hint="eastAsia" w:ascii="宋体" w:hAnsi="宋体"/>
          <w:kern w:val="0"/>
          <w:szCs w:val="21"/>
          <w:lang w:eastAsia="zh-CN"/>
        </w:rPr>
        <w:t>。</w:t>
      </w:r>
      <w:r>
        <w:rPr>
          <w:rFonts w:hint="eastAsia" w:ascii="宋体" w:hAnsi="宋体"/>
          <w:kern w:val="0"/>
          <w:szCs w:val="21"/>
          <w:lang w:val="en-US" w:eastAsia="zh-CN"/>
        </w:rPr>
        <w:t>履约保函为纸质保函的，纸质保函应注明在</w:t>
      </w:r>
      <w:r>
        <w:rPr>
          <w:rFonts w:hint="eastAsia" w:ascii="宋体" w:hAnsi="宋体"/>
          <w:kern w:val="0"/>
          <w:szCs w:val="21"/>
        </w:rPr>
        <w:t>重庆市辖区范围内的核验地址和核验方式</w:t>
      </w:r>
      <w:r>
        <w:rPr>
          <w:rFonts w:hint="eastAsia" w:ascii="宋体" w:hAnsi="宋体"/>
          <w:kern w:val="0"/>
          <w:szCs w:val="21"/>
          <w:lang w:eastAsia="zh-CN"/>
        </w:rPr>
        <w:t>，</w:t>
      </w:r>
      <w:r>
        <w:rPr>
          <w:rFonts w:hint="eastAsia" w:ascii="宋体" w:hAnsi="宋体"/>
          <w:kern w:val="0"/>
          <w:szCs w:val="21"/>
          <w:lang w:val="en-US" w:eastAsia="zh-CN"/>
        </w:rPr>
        <w:t>并确保该纸质保函能在开立人在渝的总部或者分支机构进行核验</w:t>
      </w:r>
      <w:r>
        <w:rPr>
          <w:rFonts w:hint="eastAsia" w:ascii="宋体" w:hAnsi="宋体"/>
          <w:kern w:val="0"/>
          <w:szCs w:val="21"/>
          <w:lang w:eastAsia="zh-CN"/>
        </w:rPr>
        <w:t>。</w:t>
      </w:r>
      <w:r>
        <w:rPr>
          <w:rFonts w:hint="eastAsia" w:ascii="宋体" w:hAnsi="宋体"/>
          <w:kern w:val="0"/>
          <w:szCs w:val="21"/>
          <w:lang w:val="en-US" w:eastAsia="zh-CN"/>
        </w:rPr>
        <w:t>承包人对所提交的履约保函的真实性、合法性、有效性负责。</w:t>
      </w:r>
    </w:p>
    <w:p>
      <w:pPr>
        <w:tabs>
          <w:tab w:val="left" w:pos="1134"/>
        </w:tabs>
        <w:spacing w:line="360" w:lineRule="auto"/>
        <w:ind w:firstLine="420" w:firstLineChars="200"/>
        <w:jc w:val="left"/>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）履约担保的金额：</w:t>
      </w:r>
      <w:r>
        <w:rPr>
          <w:rFonts w:hint="eastAsia" w:ascii="仿宋_GB2312" w:hAnsi="宋体" w:eastAsia="仿宋_GB2312" w:cs="宋体"/>
          <w:kern w:val="0"/>
          <w:szCs w:val="21"/>
          <w:u w:val="single"/>
        </w:rPr>
        <w:t xml:space="preserve">            </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w:t>
      </w:r>
      <w:r>
        <w:rPr>
          <w:rFonts w:hint="eastAsia" w:ascii="宋体" w:hAnsi="宋体"/>
          <w:szCs w:val="21"/>
          <w:lang w:val="en-US" w:eastAsia="zh-CN"/>
        </w:rPr>
        <w:t>4</w:t>
      </w:r>
      <w:r>
        <w:rPr>
          <w:rFonts w:hint="eastAsia" w:ascii="宋体" w:hAnsi="宋体"/>
          <w:szCs w:val="21"/>
        </w:rPr>
        <w:t>）履约担保的提交时间：</w:t>
      </w:r>
      <w:r>
        <w:rPr>
          <w:rFonts w:hint="eastAsia" w:ascii="宋体" w:hAnsi="宋体"/>
          <w:szCs w:val="21"/>
          <w:u w:val="single"/>
        </w:rPr>
        <w:t>在合同签订前，承包人按担保金额向发包人提交履约担保</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）履约担保的期限：</w:t>
      </w:r>
      <w:r>
        <w:rPr>
          <w:rFonts w:hint="eastAsia" w:ascii="宋体" w:hAnsi="宋体"/>
          <w:szCs w:val="21"/>
          <w:u w:val="single"/>
        </w:rPr>
        <w:t>自我方法定代表人（或其委托代理人）签名并加盖</w:t>
      </w:r>
      <w:r>
        <w:rPr>
          <w:rFonts w:hint="eastAsia" w:ascii="宋体" w:hAnsi="宋体"/>
          <w:szCs w:val="21"/>
          <w:u w:val="single"/>
          <w:lang w:val="en-US" w:eastAsia="zh-CN"/>
        </w:rPr>
        <w:t>单位</w:t>
      </w:r>
      <w:r>
        <w:rPr>
          <w:rFonts w:hint="eastAsia" w:ascii="宋体" w:hAnsi="宋体"/>
          <w:szCs w:val="21"/>
          <w:u w:val="single"/>
        </w:rPr>
        <w:t>公章之日起至你方签发或应签发工程接收证书之日止</w:t>
      </w:r>
      <w:r>
        <w:rPr>
          <w:rFonts w:hint="eastAsia" w:ascii="宋体" w:hAnsi="宋体"/>
          <w:szCs w:val="21"/>
        </w:rPr>
        <w:t>。</w:t>
      </w:r>
    </w:p>
    <w:p>
      <w:pPr>
        <w:tabs>
          <w:tab w:val="left" w:pos="1134"/>
        </w:tabs>
        <w:spacing w:line="360" w:lineRule="auto"/>
        <w:ind w:firstLine="420" w:firstLineChars="200"/>
        <w:jc w:val="left"/>
        <w:rPr>
          <w:rFonts w:ascii="宋体" w:hAnsi="宋体"/>
          <w:szCs w:val="21"/>
          <w:u w:val="single"/>
        </w:rPr>
      </w:pPr>
      <w:r>
        <w:rPr>
          <w:rFonts w:hint="eastAsia" w:ascii="宋体" w:hAnsi="宋体"/>
          <w:szCs w:val="21"/>
        </w:rPr>
        <w:t>（</w:t>
      </w:r>
      <w:r>
        <w:rPr>
          <w:rFonts w:hint="eastAsia" w:ascii="宋体" w:hAnsi="宋体"/>
          <w:szCs w:val="21"/>
          <w:lang w:val="en-US" w:eastAsia="zh-CN"/>
        </w:rPr>
        <w:t>6</w:t>
      </w:r>
      <w:r>
        <w:rPr>
          <w:rFonts w:hint="eastAsia" w:ascii="宋体" w:hAnsi="宋体"/>
          <w:szCs w:val="21"/>
        </w:rPr>
        <w:t>）履约担保的退还时间：</w:t>
      </w:r>
      <w:r>
        <w:rPr>
          <w:rFonts w:hint="eastAsia" w:ascii="宋体" w:hAnsi="宋体"/>
          <w:szCs w:val="21"/>
          <w:u w:val="single"/>
        </w:rPr>
        <w:t>采用现金担保的，工程竣工验收合格后14天内退还；采用</w:t>
      </w:r>
      <w:r>
        <w:rPr>
          <w:rFonts w:hint="eastAsia" w:ascii="宋体" w:hAnsi="宋体"/>
          <w:szCs w:val="21"/>
          <w:u w:val="single"/>
          <w:lang w:val="en-US" w:eastAsia="zh-CN"/>
        </w:rPr>
        <w:t>履约</w:t>
      </w:r>
      <w:r>
        <w:rPr>
          <w:rFonts w:hint="eastAsia" w:ascii="宋体" w:hAnsi="宋体"/>
          <w:szCs w:val="21"/>
          <w:u w:val="single"/>
        </w:rPr>
        <w:t>保函的，工程竣工验收合格后14天内退还，或按工程实际情况约定分阶段退还，阶段划分按以下标准执行：</w:t>
      </w:r>
    </w:p>
    <w:p>
      <w:pPr>
        <w:tabs>
          <w:tab w:val="left" w:pos="1134"/>
        </w:tabs>
        <w:spacing w:line="360" w:lineRule="auto"/>
        <w:ind w:firstLine="0" w:firstLineChars="0"/>
        <w:jc w:val="left"/>
        <w:rPr>
          <w:rFonts w:hint="default" w:ascii="宋体" w:hAnsi="宋体" w:eastAsia="宋体"/>
          <w:szCs w:val="21"/>
          <w:lang w:val="en-US" w:eastAsia="zh-CN"/>
        </w:rPr>
      </w:pP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531" w:name="_Toc532375611"/>
      <w:bookmarkStart w:id="1532" w:name="_Toc532377340"/>
      <w:bookmarkStart w:id="1533" w:name="_Toc351203636"/>
      <w:r>
        <w:rPr>
          <w:rFonts w:hint="eastAsia"/>
          <w:kern w:val="2"/>
          <w:sz w:val="21"/>
          <w:szCs w:val="21"/>
        </w:rPr>
        <w:t>4</w:t>
      </w:r>
      <w:bookmarkStart w:id="1534" w:name="_Toc296890990"/>
      <w:bookmarkStart w:id="1535" w:name="_Toc292559871"/>
      <w:bookmarkStart w:id="1536" w:name="_Toc296944501"/>
      <w:bookmarkStart w:id="1537" w:name="_Toc267251413"/>
      <w:bookmarkStart w:id="1538" w:name="_Toc297048348"/>
      <w:bookmarkStart w:id="1539" w:name="_Toc292559366"/>
      <w:bookmarkStart w:id="1540" w:name="_Toc296347161"/>
      <w:bookmarkStart w:id="1541" w:name="_Toc296503162"/>
      <w:bookmarkStart w:id="1542" w:name="_Toc297120462"/>
      <w:bookmarkStart w:id="1543" w:name="_Toc296346663"/>
      <w:bookmarkStart w:id="1544" w:name="_Toc296891202"/>
      <w:r>
        <w:rPr>
          <w:rFonts w:hint="eastAsia"/>
          <w:kern w:val="2"/>
          <w:sz w:val="21"/>
          <w:szCs w:val="21"/>
        </w:rPr>
        <w:t>. 监</w:t>
      </w:r>
      <w:bookmarkEnd w:id="1534"/>
      <w:bookmarkEnd w:id="1535"/>
      <w:bookmarkEnd w:id="1536"/>
      <w:bookmarkEnd w:id="1537"/>
      <w:bookmarkEnd w:id="1538"/>
      <w:bookmarkEnd w:id="1539"/>
      <w:bookmarkEnd w:id="1540"/>
      <w:bookmarkEnd w:id="1541"/>
      <w:bookmarkEnd w:id="1542"/>
      <w:bookmarkEnd w:id="1543"/>
      <w:bookmarkEnd w:id="1544"/>
      <w:r>
        <w:rPr>
          <w:rFonts w:hint="eastAsia"/>
          <w:kern w:val="2"/>
          <w:sz w:val="21"/>
          <w:szCs w:val="21"/>
        </w:rPr>
        <w:t>理人</w:t>
      </w:r>
      <w:bookmarkEnd w:id="1531"/>
      <w:bookmarkEnd w:id="1532"/>
      <w:bookmarkEnd w:id="1533"/>
    </w:p>
    <w:p>
      <w:pPr>
        <w:pStyle w:val="7"/>
        <w:spacing w:before="0" w:beforeAutospacing="0" w:after="0" w:afterAutospacing="0" w:line="360" w:lineRule="auto"/>
        <w:ind w:firstLine="421" w:firstLineChars="200"/>
        <w:rPr>
          <w:sz w:val="21"/>
          <w:szCs w:val="21"/>
        </w:rPr>
      </w:pPr>
      <w:bookmarkStart w:id="1545" w:name="_Toc532377341"/>
      <w:r>
        <w:rPr>
          <w:rFonts w:hint="eastAsia"/>
          <w:sz w:val="21"/>
          <w:szCs w:val="21"/>
        </w:rPr>
        <w:t>4.1 监理人的一般规定</w:t>
      </w:r>
      <w:bookmarkEnd w:id="1545"/>
    </w:p>
    <w:p>
      <w:pPr>
        <w:spacing w:line="360" w:lineRule="auto"/>
        <w:ind w:firstLine="420" w:firstLineChars="200"/>
        <w:jc w:val="left"/>
        <w:rPr>
          <w:rFonts w:ascii="宋体" w:hAnsi="宋体"/>
          <w:szCs w:val="21"/>
        </w:rPr>
      </w:pPr>
      <w:r>
        <w:rPr>
          <w:rFonts w:hint="eastAsia" w:ascii="宋体" w:hAnsi="宋体"/>
          <w:szCs w:val="21"/>
        </w:rPr>
        <w:t>关于监理人的监理内容：</w:t>
      </w:r>
      <w:r>
        <w:rPr>
          <w:rFonts w:hint="eastAsia" w:ascii="宋体" w:hAnsi="宋体"/>
          <w:szCs w:val="21"/>
          <w:u w:val="single"/>
        </w:rPr>
        <w:t>见发包人与监理人就本工程签订的监理合同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关于监理人的监理权限：</w:t>
      </w:r>
      <w:r>
        <w:rPr>
          <w:rFonts w:hint="eastAsia" w:ascii="宋体" w:hAnsi="宋体"/>
          <w:szCs w:val="21"/>
          <w:u w:val="single"/>
        </w:rPr>
        <w:t>见发包人与监理人就本工程签订的监理合同；任何涉及费用确定和（或）工期调整，或者设计变更，或者变更估价，或者涉及经济责任的事项，监理工程师在发出指令或通知前，须征得发包人书面同意</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关于监理人在施工现场的办公场所、生活场所的提供和费用承担的约定：</w:t>
      </w:r>
      <w:r>
        <w:rPr>
          <w:rFonts w:hint="eastAsia" w:ascii="宋体" w:hAnsi="宋体"/>
          <w:szCs w:val="21"/>
          <w:u w:val="single"/>
        </w:rPr>
        <w:t xml:space="preserve">                          </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546" w:name="_Toc532377342"/>
      <w:r>
        <w:rPr>
          <w:rFonts w:hint="eastAsia"/>
          <w:sz w:val="21"/>
          <w:szCs w:val="21"/>
        </w:rPr>
        <w:t>4.2 监理人员</w:t>
      </w:r>
      <w:bookmarkEnd w:id="1546"/>
    </w:p>
    <w:p>
      <w:pPr>
        <w:spacing w:line="360" w:lineRule="auto"/>
        <w:ind w:firstLine="420" w:firstLineChars="200"/>
        <w:jc w:val="left"/>
        <w:rPr>
          <w:rFonts w:ascii="宋体" w:hAnsi="宋体"/>
          <w:szCs w:val="21"/>
        </w:rPr>
      </w:pPr>
      <w:r>
        <w:rPr>
          <w:rFonts w:hint="eastAsia" w:ascii="宋体" w:hAnsi="宋体"/>
          <w:szCs w:val="21"/>
        </w:rPr>
        <w:t>总监理工程师：</w:t>
      </w:r>
    </w:p>
    <w:p>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职    务：</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监理工程师执业资格证书号：</w:t>
      </w:r>
      <w:r>
        <w:rPr>
          <w:rFonts w:ascii="宋体" w:hAnsi="宋体"/>
          <w:szCs w:val="21"/>
          <w:u w:val="single"/>
        </w:rPr>
        <w:t xml:space="preserve">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关于监理人的其他约定：</w:t>
      </w:r>
      <w:r>
        <w:rPr>
          <w:rFonts w:hint="eastAsia" w:ascii="宋体" w:hAnsi="宋体"/>
          <w:szCs w:val="21"/>
          <w:u w:val="single"/>
        </w:rPr>
        <w:t>见发包人与监理人就本工程签订的监理合同</w:t>
      </w:r>
      <w:r>
        <w:rPr>
          <w:rFonts w:hint="eastAsia" w:ascii="宋体" w:hAnsi="宋体"/>
          <w:szCs w:val="21"/>
        </w:rPr>
        <w:t>。</w:t>
      </w:r>
    </w:p>
    <w:p>
      <w:pPr>
        <w:pStyle w:val="7"/>
        <w:spacing w:before="0" w:beforeAutospacing="0" w:after="0" w:afterAutospacing="0" w:line="360" w:lineRule="auto"/>
        <w:ind w:firstLine="420" w:firstLineChars="200"/>
        <w:rPr>
          <w:b w:val="0"/>
          <w:sz w:val="21"/>
          <w:szCs w:val="21"/>
        </w:rPr>
      </w:pPr>
      <w:bookmarkStart w:id="1547" w:name="_Toc532377343"/>
      <w:r>
        <w:rPr>
          <w:rFonts w:hint="eastAsia"/>
          <w:b w:val="0"/>
          <w:sz w:val="21"/>
          <w:szCs w:val="21"/>
        </w:rPr>
        <w:t>4.4 商定或确定</w:t>
      </w:r>
      <w:bookmarkEnd w:id="1547"/>
    </w:p>
    <w:p>
      <w:pPr>
        <w:spacing w:line="360" w:lineRule="auto"/>
        <w:ind w:firstLine="420" w:firstLineChars="200"/>
        <w:jc w:val="left"/>
        <w:rPr>
          <w:rFonts w:ascii="宋体" w:hAnsi="宋体"/>
          <w:szCs w:val="21"/>
        </w:rPr>
      </w:pPr>
      <w:bookmarkStart w:id="1548" w:name="_Toc267251418"/>
      <w:r>
        <w:rPr>
          <w:rFonts w:hint="eastAsia" w:ascii="宋体" w:hAnsi="宋体"/>
          <w:szCs w:val="21"/>
        </w:rPr>
        <w:t>在发包人和承包人不能通过协商达成一致意见时，发包人授权监理人对以下事项进行确定：</w:t>
      </w:r>
    </w:p>
    <w:p>
      <w:pPr>
        <w:spacing w:line="360" w:lineRule="auto"/>
        <w:ind w:firstLine="420" w:firstLineChars="200"/>
        <w:jc w:val="left"/>
        <w:rPr>
          <w:rFonts w:ascii="宋体" w:hAnsi="宋体"/>
          <w:szCs w:val="21"/>
        </w:rPr>
      </w:pPr>
      <w:r>
        <w:rPr>
          <w:rFonts w:hint="eastAsia" w:ascii="宋体" w:hAnsi="宋体"/>
          <w:szCs w:val="21"/>
          <w:u w:val="single"/>
        </w:rPr>
        <w:t xml:space="preserve">                         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549" w:name="_Toc532375612"/>
      <w:bookmarkStart w:id="1550" w:name="_Toc351203637"/>
      <w:bookmarkStart w:id="1551" w:name="_Toc532377344"/>
      <w:r>
        <w:rPr>
          <w:rFonts w:hint="eastAsia"/>
          <w:kern w:val="2"/>
          <w:sz w:val="21"/>
          <w:szCs w:val="21"/>
        </w:rPr>
        <w:t>5</w:t>
      </w:r>
      <w:bookmarkEnd w:id="1548"/>
      <w:bookmarkStart w:id="1552" w:name="_Toc296503163"/>
      <w:bookmarkStart w:id="1553" w:name="_Toc296347162"/>
      <w:bookmarkStart w:id="1554" w:name="_Toc296891203"/>
      <w:bookmarkStart w:id="1555" w:name="_Toc292559367"/>
      <w:bookmarkStart w:id="1556" w:name="_Toc297120463"/>
      <w:bookmarkStart w:id="1557" w:name="_Toc296944502"/>
      <w:bookmarkStart w:id="1558" w:name="_Toc297048349"/>
      <w:bookmarkStart w:id="1559" w:name="_Toc296890991"/>
      <w:bookmarkStart w:id="1560" w:name="_Toc292559872"/>
      <w:bookmarkStart w:id="1561" w:name="_Toc296346664"/>
      <w:r>
        <w:rPr>
          <w:rFonts w:hint="eastAsia"/>
          <w:kern w:val="2"/>
          <w:sz w:val="21"/>
          <w:szCs w:val="21"/>
        </w:rPr>
        <w:t>. 工程质量</w:t>
      </w:r>
      <w:bookmarkEnd w:id="1549"/>
      <w:bookmarkEnd w:id="1550"/>
      <w:bookmarkEnd w:id="1551"/>
    </w:p>
    <w:p>
      <w:pPr>
        <w:pStyle w:val="7"/>
        <w:spacing w:before="0" w:beforeAutospacing="0" w:after="0" w:afterAutospacing="0" w:line="360" w:lineRule="auto"/>
        <w:ind w:firstLine="421" w:firstLineChars="200"/>
        <w:rPr>
          <w:sz w:val="21"/>
          <w:szCs w:val="21"/>
        </w:rPr>
      </w:pPr>
      <w:bookmarkStart w:id="1562" w:name="_Toc532377345"/>
      <w:r>
        <w:rPr>
          <w:rFonts w:hint="eastAsia"/>
          <w:sz w:val="21"/>
          <w:szCs w:val="21"/>
        </w:rPr>
        <w:t>5.1 质量要求</w:t>
      </w:r>
      <w:bookmarkEnd w:id="1562"/>
      <w:bookmarkStart w:id="1563" w:name="_Hlk528909888"/>
      <w:bookmarkStart w:id="1564" w:name="_Toc300934949"/>
      <w:bookmarkStart w:id="1565" w:name="_Toc312677997"/>
      <w:bookmarkStart w:id="1566" w:name="_Toc297123496"/>
      <w:bookmarkStart w:id="1567" w:name="_Toc318581164"/>
      <w:bookmarkStart w:id="1568" w:name="_Toc304295527"/>
      <w:bookmarkStart w:id="1569" w:name="_Toc303539106"/>
      <w:bookmarkStart w:id="1570" w:name="_Toc297216155"/>
    </w:p>
    <w:p>
      <w:pPr>
        <w:spacing w:line="360" w:lineRule="auto"/>
        <w:ind w:firstLine="420" w:firstLineChars="200"/>
        <w:jc w:val="left"/>
        <w:rPr>
          <w:rFonts w:ascii="宋体" w:hAnsi="宋体"/>
          <w:szCs w:val="21"/>
          <w:u w:val="single"/>
        </w:rPr>
      </w:pPr>
      <w:r>
        <w:rPr>
          <w:rFonts w:hint="eastAsia" w:ascii="宋体" w:hAnsi="宋体"/>
          <w:szCs w:val="21"/>
        </w:rPr>
        <w:t>工程质量符合强制性质量标准，</w:t>
      </w:r>
      <w:r>
        <w:rPr>
          <w:rFonts w:hint="eastAsia" w:ascii="宋体" w:hAnsi="宋体"/>
          <w:szCs w:val="21"/>
          <w:u w:val="single"/>
        </w:rPr>
        <w:t>符合国家和重庆市现行有关施工质量验收规范要求，并达到合格标准</w:t>
      </w:r>
      <w:r>
        <w:rPr>
          <w:rFonts w:hint="eastAsia" w:ascii="宋体" w:hAnsi="宋体"/>
          <w:szCs w:val="21"/>
        </w:rPr>
        <w:t>。强制性质量标准有（包括但不限于）：</w:t>
      </w:r>
      <w:r>
        <w:rPr>
          <w:rFonts w:hint="eastAsia" w:ascii="宋体" w:hAnsi="宋体"/>
          <w:szCs w:val="21"/>
          <w:u w:val="single"/>
        </w:rPr>
        <w:t xml:space="preserve">            </w:t>
      </w:r>
      <w:r>
        <w:rPr>
          <w:rFonts w:hint="eastAsia" w:ascii="宋体" w:hAnsi="宋体"/>
          <w:szCs w:val="21"/>
        </w:rPr>
        <w:t>。</w:t>
      </w:r>
    </w:p>
    <w:bookmarkEnd w:id="1563"/>
    <w:p>
      <w:pPr>
        <w:pStyle w:val="7"/>
        <w:spacing w:before="0" w:beforeAutospacing="0" w:after="0" w:afterAutospacing="0" w:line="360" w:lineRule="auto"/>
        <w:ind w:firstLine="421" w:firstLineChars="200"/>
        <w:rPr>
          <w:sz w:val="21"/>
          <w:szCs w:val="21"/>
        </w:rPr>
      </w:pPr>
      <w:bookmarkStart w:id="1571" w:name="_Toc532377346"/>
      <w:r>
        <w:rPr>
          <w:rFonts w:hint="eastAsia"/>
          <w:sz w:val="21"/>
          <w:szCs w:val="21"/>
        </w:rPr>
        <w:t>5.2 质量保证措施</w:t>
      </w:r>
      <w:bookmarkEnd w:id="1571"/>
    </w:p>
    <w:p>
      <w:pPr>
        <w:spacing w:line="360" w:lineRule="auto"/>
        <w:ind w:firstLine="420" w:firstLineChars="200"/>
        <w:jc w:val="left"/>
        <w:rPr>
          <w:rFonts w:ascii="宋体" w:hAnsi="宋体"/>
          <w:szCs w:val="21"/>
        </w:rPr>
      </w:pPr>
      <w:r>
        <w:rPr>
          <w:rFonts w:hint="eastAsia" w:ascii="宋体" w:hAnsi="宋体"/>
          <w:szCs w:val="21"/>
        </w:rPr>
        <w:t>本款补充5.2.4项：</w:t>
      </w:r>
    </w:p>
    <w:p>
      <w:pPr>
        <w:spacing w:line="360" w:lineRule="auto"/>
        <w:ind w:firstLine="420" w:firstLineChars="200"/>
        <w:jc w:val="left"/>
        <w:rPr>
          <w:rFonts w:ascii="宋体" w:hAnsi="宋体"/>
          <w:szCs w:val="21"/>
        </w:rPr>
      </w:pPr>
      <w:r>
        <w:rPr>
          <w:rFonts w:hint="eastAsia" w:ascii="宋体" w:hAnsi="宋体"/>
          <w:szCs w:val="21"/>
        </w:rPr>
        <w:t>5.2.4 在工程建设中，参建各方应严格执行以下规定（包括但不限于）：</w:t>
      </w:r>
    </w:p>
    <w:p>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《建筑工程施工质量验收统一标准》（GB50300-2013）</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《住房城乡建设部关于印发工程质量安全提升行动方案的通知》（建质〔2017〕57号）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《房屋建筑和市政基础设施工程竣工验收规定》（建质〔2013〕171号）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《建设部关于贯彻执行建筑工程勘察设计及施工质量验收规范若干问题的通知》（建标〔2002〕212号）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《重庆市住房和城乡建设委员会关于印发&lt;重庆市房屋建筑和市政基础设施工程质量常见问题防治要点（2019年版）&gt;的通知》（渝建〔2019〕198号）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《关于印发&lt;重庆市房屋建筑和市政基础设施工程预拌商品砂浆应用推进工作方案&gt;的通知》（渝建〔2018〕375号）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（7）</w:t>
      </w:r>
      <w:r>
        <w:rPr>
          <w:rFonts w:hint="eastAsia" w:ascii="宋体" w:hAnsi="宋体"/>
          <w:szCs w:val="21"/>
          <w:u w:val="single"/>
        </w:rPr>
        <w:t>《重庆市城乡建设委员会关于印发2018年房屋建筑和市政基础设施工程质量要点的通知》（渝建〔2018〕94号）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《重庆市城乡建设委员会关于进一步推广应用预拌商品砂浆的通知》（渝建〔2016〕318号）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《重庆市建设委员会关于发布&lt;建筑工程施工质量验收规范用表（建筑节能分部工程）&gt;和&lt;建设工程技术用表（建筑节能工程）&gt;的通知》（渝建发〔2008〕76号）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（10）</w:t>
      </w:r>
      <w:r>
        <w:rPr>
          <w:rFonts w:hint="eastAsia" w:ascii="宋体" w:hAnsi="宋体"/>
          <w:szCs w:val="21"/>
          <w:u w:val="single"/>
        </w:rPr>
        <w:t>国家和本市现行有关建设工程质量验收标准、规范和要求</w:t>
      </w:r>
      <w:r>
        <w:rPr>
          <w:rFonts w:hint="eastAsia" w:ascii="宋体" w:hAnsi="宋体"/>
          <w:szCs w:val="21"/>
        </w:rPr>
        <w:t>；</w:t>
      </w:r>
    </w:p>
    <w:p>
      <w:pPr>
        <w:pStyle w:val="2"/>
        <w:spacing w:after="0"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承包人、监理人和发包人在工程建设中，应严格执行国家及重庆市现行标准，如上述标准及规范要求有出入则以较严格者为准。</w:t>
      </w:r>
    </w:p>
    <w:p>
      <w:pPr>
        <w:pStyle w:val="7"/>
        <w:spacing w:before="0" w:beforeAutospacing="0" w:after="0" w:afterAutospacing="0" w:line="360" w:lineRule="auto"/>
        <w:ind w:firstLine="421" w:firstLineChars="200"/>
        <w:rPr>
          <w:sz w:val="21"/>
          <w:szCs w:val="21"/>
        </w:rPr>
      </w:pPr>
      <w:bookmarkStart w:id="1572" w:name="_Toc351203536"/>
      <w:bookmarkStart w:id="1573" w:name="_Toc532377347"/>
      <w:bookmarkStart w:id="1574" w:name="_Hlk528927873"/>
      <w:r>
        <w:rPr>
          <w:rFonts w:hint="eastAsia"/>
          <w:sz w:val="21"/>
          <w:szCs w:val="21"/>
        </w:rPr>
        <w:t>5.3隐蔽工程检查</w:t>
      </w:r>
    </w:p>
    <w:p>
      <w:pPr>
        <w:spacing w:line="360" w:lineRule="auto"/>
        <w:ind w:firstLine="420" w:firstLineChars="200"/>
        <w:jc w:val="left"/>
        <w:rPr>
          <w:rFonts w:ascii="宋体" w:hAnsi="宋体"/>
          <w:szCs w:val="21"/>
        </w:rPr>
      </w:pPr>
      <w:r>
        <w:rPr>
          <w:rFonts w:hint="eastAsia" w:ascii="宋体" w:hAnsi="宋体"/>
          <w:szCs w:val="21"/>
        </w:rPr>
        <w:t>5.3.2检查程序</w:t>
      </w:r>
    </w:p>
    <w:p>
      <w:pPr>
        <w:spacing w:line="360" w:lineRule="auto"/>
        <w:ind w:firstLine="420" w:firstLineChars="200"/>
        <w:jc w:val="left"/>
        <w:rPr>
          <w:rFonts w:ascii="宋体" w:hAnsi="宋体"/>
          <w:szCs w:val="21"/>
        </w:rPr>
      </w:pPr>
      <w:r>
        <w:rPr>
          <w:rFonts w:hint="eastAsia" w:ascii="宋体" w:hAnsi="宋体"/>
          <w:szCs w:val="21"/>
        </w:rPr>
        <w:t>工程隐蔽部位经承包人自检确认具备覆盖条件的，承包人应在共同检查前</w:t>
      </w:r>
      <w:r>
        <w:rPr>
          <w:rFonts w:hint="eastAsia" w:ascii="宋体" w:hAnsi="宋体"/>
          <w:szCs w:val="21"/>
          <w:u w:val="single"/>
        </w:rPr>
        <w:t xml:space="preserve">    </w:t>
      </w:r>
      <w:r>
        <w:rPr>
          <w:rFonts w:hint="eastAsia" w:ascii="宋体" w:hAnsi="宋体"/>
          <w:szCs w:val="21"/>
        </w:rPr>
        <w:t>小时书面通知监理人检查，通知中应载明隐蔽检查的内容、时间和地点，并应附有自检记录和必要的检查资料。</w:t>
      </w:r>
    </w:p>
    <w:p>
      <w:pPr>
        <w:pStyle w:val="7"/>
        <w:spacing w:before="0" w:beforeAutospacing="0" w:after="0" w:afterAutospacing="0" w:line="360" w:lineRule="auto"/>
        <w:ind w:firstLine="421" w:firstLineChars="200"/>
        <w:rPr>
          <w:sz w:val="21"/>
          <w:szCs w:val="21"/>
        </w:rPr>
      </w:pPr>
      <w:r>
        <w:rPr>
          <w:rFonts w:hint="eastAsia"/>
          <w:sz w:val="21"/>
          <w:szCs w:val="21"/>
        </w:rPr>
        <w:t>5</w:t>
      </w:r>
      <w:bookmarkStart w:id="1575" w:name="_Toc337558762"/>
      <w:r>
        <w:rPr>
          <w:rFonts w:hint="eastAsia"/>
          <w:sz w:val="21"/>
          <w:szCs w:val="21"/>
        </w:rPr>
        <w:t>.4 不合格工程的处理</w:t>
      </w:r>
      <w:bookmarkEnd w:id="1572"/>
      <w:bookmarkEnd w:id="1573"/>
    </w:p>
    <w:bookmarkEnd w:id="1575"/>
    <w:p>
      <w:pPr>
        <w:spacing w:line="360" w:lineRule="auto"/>
        <w:ind w:firstLine="420" w:firstLineChars="200"/>
        <w:jc w:val="left"/>
        <w:rPr>
          <w:rFonts w:ascii="宋体" w:hAnsi="宋体"/>
          <w:szCs w:val="21"/>
        </w:rPr>
      </w:pPr>
      <w:r>
        <w:rPr>
          <w:rFonts w:hint="eastAsia" w:ascii="宋体" w:hAnsi="宋体"/>
          <w:szCs w:val="21"/>
        </w:rPr>
        <w:t>本款补充5.4.3项：</w:t>
      </w:r>
    </w:p>
    <w:p>
      <w:pPr>
        <w:spacing w:line="360" w:lineRule="auto"/>
        <w:ind w:firstLine="420" w:firstLineChars="200"/>
        <w:jc w:val="left"/>
        <w:rPr>
          <w:rFonts w:ascii="宋体" w:hAnsi="宋体"/>
          <w:szCs w:val="21"/>
        </w:rPr>
      </w:pPr>
      <w:r>
        <w:rPr>
          <w:rFonts w:hint="eastAsia" w:ascii="宋体" w:hAnsi="宋体"/>
          <w:szCs w:val="21"/>
        </w:rPr>
        <w:t>5.4.3 承包人在收到监理人发出的《不合格分项报告》或监理通知单后，必须在监理人规定时间内按要求完成整改，未能在限定时间内完成整改的，须承担相应违约责任。</w:t>
      </w:r>
    </w:p>
    <w:p>
      <w:pPr>
        <w:spacing w:line="360" w:lineRule="auto"/>
        <w:ind w:firstLine="420" w:firstLineChars="200"/>
        <w:jc w:val="left"/>
        <w:rPr>
          <w:rFonts w:ascii="宋体" w:hAnsi="宋体"/>
          <w:szCs w:val="21"/>
        </w:rPr>
      </w:pPr>
      <w:r>
        <w:rPr>
          <w:rFonts w:hint="eastAsia" w:ascii="宋体" w:hAnsi="宋体"/>
          <w:szCs w:val="21"/>
        </w:rPr>
        <w:t>本条补充5.6款：</w:t>
      </w:r>
    </w:p>
    <w:bookmarkEnd w:id="1574"/>
    <w:p>
      <w:pPr>
        <w:pStyle w:val="7"/>
        <w:spacing w:before="0" w:beforeAutospacing="0" w:after="0" w:afterAutospacing="0" w:line="360" w:lineRule="auto"/>
        <w:ind w:firstLine="421" w:firstLineChars="200"/>
        <w:rPr>
          <w:sz w:val="21"/>
          <w:szCs w:val="21"/>
        </w:rPr>
      </w:pPr>
      <w:bookmarkStart w:id="1576" w:name="_Toc532377348"/>
      <w:r>
        <w:rPr>
          <w:rFonts w:hint="eastAsia"/>
          <w:sz w:val="21"/>
          <w:szCs w:val="21"/>
        </w:rPr>
        <w:t>5.6 质量事故的处理</w:t>
      </w:r>
      <w:bookmarkEnd w:id="1576"/>
    </w:p>
    <w:p>
      <w:pPr>
        <w:spacing w:line="360" w:lineRule="auto"/>
        <w:ind w:firstLine="420" w:firstLineChars="200"/>
        <w:jc w:val="left"/>
        <w:rPr>
          <w:rFonts w:ascii="宋体" w:hAnsi="宋体"/>
          <w:szCs w:val="21"/>
        </w:rPr>
      </w:pPr>
      <w:r>
        <w:rPr>
          <w:rFonts w:hint="eastAsia" w:ascii="宋体" w:hAnsi="宋体"/>
          <w:szCs w:val="21"/>
        </w:rPr>
        <w:t>5.6.1 合同履行过程中，发生工程质量事故的调查处理按照国家及重庆市现行规定处理。</w:t>
      </w:r>
    </w:p>
    <w:p>
      <w:pPr>
        <w:spacing w:line="360" w:lineRule="auto"/>
        <w:ind w:firstLine="420" w:firstLineChars="200"/>
        <w:jc w:val="left"/>
        <w:rPr>
          <w:rFonts w:ascii="宋体" w:hAnsi="宋体"/>
          <w:szCs w:val="21"/>
        </w:rPr>
      </w:pPr>
      <w:r>
        <w:rPr>
          <w:rFonts w:hint="eastAsia" w:ascii="宋体" w:hAnsi="宋体"/>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bookmarkEnd w:id="1552"/>
    <w:bookmarkEnd w:id="1553"/>
    <w:bookmarkEnd w:id="1554"/>
    <w:bookmarkEnd w:id="1555"/>
    <w:bookmarkEnd w:id="1556"/>
    <w:bookmarkEnd w:id="1557"/>
    <w:bookmarkEnd w:id="1558"/>
    <w:bookmarkEnd w:id="1559"/>
    <w:bookmarkEnd w:id="1560"/>
    <w:bookmarkEnd w:id="1561"/>
    <w:bookmarkEnd w:id="1564"/>
    <w:bookmarkEnd w:id="1565"/>
    <w:bookmarkEnd w:id="1566"/>
    <w:bookmarkEnd w:id="1567"/>
    <w:bookmarkEnd w:id="1568"/>
    <w:bookmarkEnd w:id="1569"/>
    <w:bookmarkEnd w:id="1570"/>
    <w:p>
      <w:pPr>
        <w:pStyle w:val="6"/>
        <w:keepNext/>
        <w:keepLines/>
        <w:spacing w:before="156" w:beforeLines="50" w:beforeAutospacing="0" w:after="156" w:afterLines="50" w:afterAutospacing="0" w:line="360" w:lineRule="auto"/>
        <w:jc w:val="both"/>
        <w:rPr>
          <w:bCs w:val="0"/>
          <w:kern w:val="2"/>
          <w:sz w:val="21"/>
          <w:szCs w:val="21"/>
        </w:rPr>
      </w:pPr>
      <w:bookmarkStart w:id="1577" w:name="_Toc532375613"/>
      <w:bookmarkStart w:id="1578" w:name="_Toc351203638"/>
      <w:bookmarkStart w:id="1579" w:name="_Toc532377349"/>
      <w:bookmarkStart w:id="1580" w:name="_Toc292559883"/>
      <w:bookmarkStart w:id="1581" w:name="_Toc296347172"/>
      <w:bookmarkStart w:id="1582" w:name="_Toc351203642"/>
      <w:bookmarkStart w:id="1583" w:name="_Toc297048359"/>
      <w:bookmarkStart w:id="1584" w:name="_Toc296891213"/>
      <w:bookmarkStart w:id="1585" w:name="_Toc296346674"/>
      <w:bookmarkStart w:id="1586" w:name="_Toc296503173"/>
      <w:bookmarkStart w:id="1587" w:name="_Toc267251428"/>
      <w:bookmarkStart w:id="1588" w:name="_Toc292559378"/>
      <w:bookmarkStart w:id="1589" w:name="_Toc296891001"/>
      <w:bookmarkStart w:id="1590" w:name="_Toc296944512"/>
      <w:bookmarkStart w:id="1591" w:name="_Toc267251427"/>
      <w:bookmarkStart w:id="1592" w:name="_Toc297120473"/>
      <w:r>
        <w:rPr>
          <w:rFonts w:hint="eastAsia"/>
          <w:kern w:val="2"/>
          <w:sz w:val="21"/>
          <w:szCs w:val="21"/>
        </w:rPr>
        <w:t>6. 安全文明施工与环境保护</w:t>
      </w:r>
      <w:bookmarkEnd w:id="1577"/>
      <w:bookmarkEnd w:id="1578"/>
      <w:bookmarkEnd w:id="1579"/>
    </w:p>
    <w:p>
      <w:pPr>
        <w:pStyle w:val="7"/>
        <w:spacing w:before="0" w:beforeAutospacing="0" w:after="0" w:afterAutospacing="0" w:line="360" w:lineRule="auto"/>
        <w:ind w:firstLine="421" w:firstLineChars="200"/>
        <w:rPr>
          <w:sz w:val="21"/>
          <w:szCs w:val="21"/>
        </w:rPr>
      </w:pPr>
      <w:bookmarkStart w:id="1593" w:name="_Toc532375614"/>
      <w:bookmarkStart w:id="1594" w:name="_Toc532377350"/>
      <w:r>
        <w:rPr>
          <w:rFonts w:hint="eastAsia"/>
          <w:sz w:val="21"/>
          <w:szCs w:val="21"/>
        </w:rPr>
        <w:t>6.1 安全文明施工</w:t>
      </w:r>
      <w:bookmarkEnd w:id="1593"/>
      <w:bookmarkEnd w:id="1594"/>
    </w:p>
    <w:p>
      <w:pPr>
        <w:spacing w:line="360" w:lineRule="auto"/>
        <w:ind w:firstLine="420" w:firstLineChars="200"/>
        <w:jc w:val="left"/>
        <w:rPr>
          <w:rFonts w:ascii="宋体" w:hAnsi="宋体"/>
          <w:szCs w:val="21"/>
        </w:rPr>
      </w:pPr>
      <w:r>
        <w:rPr>
          <w:rFonts w:hint="eastAsia" w:ascii="宋体" w:hAnsi="宋体"/>
          <w:szCs w:val="21"/>
        </w:rPr>
        <w:t>承包人必须认真贯彻执行国家安全生产法律、法规、规章和强制性安全标准，按照重庆市现行的质量、安全文明施工有关规定和发包人安全管理的有关规定，建立完善的质量、安全、文明施工管理制度。</w:t>
      </w:r>
    </w:p>
    <w:p>
      <w:pPr>
        <w:spacing w:line="360" w:lineRule="auto"/>
        <w:ind w:firstLine="420" w:firstLineChars="200"/>
        <w:jc w:val="left"/>
        <w:rPr>
          <w:rFonts w:ascii="宋体" w:hAnsi="宋体"/>
          <w:szCs w:val="21"/>
        </w:rPr>
      </w:pPr>
      <w:r>
        <w:rPr>
          <w:rFonts w:hint="eastAsia" w:ascii="宋体" w:hAnsi="宋体"/>
          <w:szCs w:val="21"/>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监理人的批准。</w:t>
      </w:r>
    </w:p>
    <w:p>
      <w:pPr>
        <w:spacing w:line="360" w:lineRule="auto"/>
        <w:ind w:firstLine="420" w:firstLineChars="200"/>
        <w:jc w:val="left"/>
        <w:rPr>
          <w:rFonts w:ascii="宋体" w:hAnsi="宋体"/>
          <w:szCs w:val="21"/>
          <w:u w:val="single"/>
        </w:rPr>
      </w:pPr>
      <w:r>
        <w:rPr>
          <w:rFonts w:hint="eastAsia" w:ascii="宋体" w:hAnsi="宋体"/>
          <w:szCs w:val="21"/>
        </w:rPr>
        <w:t>6.1.1 项目安全生产的达标目标及相应事项的约定：</w:t>
      </w:r>
      <w:r>
        <w:rPr>
          <w:rFonts w:hint="eastAsia" w:ascii="宋体" w:hAnsi="宋体"/>
          <w:szCs w:val="21"/>
          <w:u w:val="single"/>
        </w:rPr>
        <w:t>达到《建筑施工安全检查标准》（JGJ59-2011）的要求</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（1）按现行安全文明施工费计取及使用管理的政策文件规定及发包人制订的安全管理制度执行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（2）承包人的原因造成事故，由此产生的法律责任和事故责任及费用由承包人全部承担</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（3）承包人向发包人做出安全承诺，并签订《安全生产目标责任书》和《安全承诺书》</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（4）承包人在施工过程中，必须严格执行安全生产法的相关规定，制定切实可靠的安全技术措施</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（5）接受发包人安全监督和管理，在施工中违反安全管理规定和操作规程、违章作业的，承担违约责任</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6.1.4 关于治安保卫的特别约定：</w:t>
      </w:r>
      <w:r>
        <w:rPr>
          <w:rFonts w:hint="eastAsia" w:ascii="宋体" w:hAnsi="宋体"/>
          <w:szCs w:val="21"/>
          <w:u w:val="single"/>
        </w:rPr>
        <w:t>承包人负责组建施工现场治安管理机构或联防组织；承包人负责编制施工场地治安管理计划和突发治安事件紧急预案</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关于编制施工场地治安管理计划的约定：</w:t>
      </w:r>
      <w:r>
        <w:rPr>
          <w:rFonts w:hint="eastAsia" w:ascii="宋体" w:hAnsi="宋体"/>
          <w:szCs w:val="21"/>
          <w:u w:val="single"/>
        </w:rPr>
        <w:t>由承包人负责</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6.1.5 文明施工</w:t>
      </w:r>
    </w:p>
    <w:p>
      <w:pPr>
        <w:spacing w:line="360" w:lineRule="auto"/>
        <w:ind w:firstLine="420" w:firstLineChars="200"/>
        <w:jc w:val="left"/>
        <w:rPr>
          <w:rFonts w:ascii="宋体" w:hAnsi="宋体"/>
          <w:szCs w:val="21"/>
          <w:u w:val="single"/>
        </w:rPr>
      </w:pPr>
      <w:r>
        <w:rPr>
          <w:rFonts w:hint="eastAsia" w:ascii="宋体" w:hAnsi="宋体"/>
          <w:szCs w:val="21"/>
        </w:rPr>
        <w:t>合同当事人对文明施工的要求：</w:t>
      </w:r>
      <w:r>
        <w:rPr>
          <w:rFonts w:hint="eastAsia" w:ascii="宋体" w:hAnsi="宋体"/>
          <w:szCs w:val="21"/>
          <w:u w:val="single"/>
        </w:rPr>
        <w:t>承包人应按照《房屋建筑和市政基础设施工程施工扬尘控制工作方案》（渝建发〔2009〕13号）、《重庆市建设委员会关于印发&lt;重庆市房屋建筑和市政基础设施工程现场文明施工标准&gt;的通知》（渝建发〔2008〕169号）等相关规定履行好施工扬尘控制、文明施工等责任</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承包人应按规定设置施工现场围挡，承包人采用的围挡主体形式应从重庆市城乡建委发布的标准图集（DJBT-062、DJBT-063）中选用，做好施工围挡，围挡应整齐美观，承包人按相关要求做好日常维护和保洁，围挡高度满足规范要求，相关费用已包含在签约合同价中</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6.1.6 关于安全文明施工费支付比例和支付期限的约定：按照行业主管部门相关规定</w:t>
      </w:r>
      <w:r>
        <w:rPr>
          <w:rFonts w:hint="eastAsia" w:ascii="宋体" w:hAnsi="宋体"/>
          <w:szCs w:val="21"/>
          <w:u w:val="single"/>
        </w:rPr>
        <w:t xml:space="preserve">                 </w:t>
      </w:r>
      <w:r>
        <w:rPr>
          <w:rFonts w:hint="eastAsia" w:ascii="宋体" w:hAnsi="宋体"/>
          <w:szCs w:val="21"/>
        </w:rPr>
        <w:t>执行。</w:t>
      </w:r>
    </w:p>
    <w:p>
      <w:pPr>
        <w:spacing w:line="360" w:lineRule="auto"/>
        <w:ind w:firstLine="420" w:firstLineChars="200"/>
        <w:jc w:val="left"/>
        <w:rPr>
          <w:rFonts w:ascii="宋体" w:hAnsi="宋体"/>
          <w:szCs w:val="21"/>
          <w:u w:val="single"/>
        </w:rPr>
      </w:pPr>
      <w:r>
        <w:rPr>
          <w:rFonts w:hint="eastAsia" w:ascii="宋体" w:hAnsi="宋体"/>
          <w:szCs w:val="21"/>
          <w:u w:val="single"/>
        </w:rPr>
        <w:t>安全文明施工费的要求与内容、提取支付方法以及违反约定造成损失的赔偿等条款，按照现行规范要求执行，做到专款专用</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595" w:name="_Toc532377351"/>
      <w:bookmarkStart w:id="1596" w:name="_Toc532375615"/>
      <w:r>
        <w:rPr>
          <w:rFonts w:hint="eastAsia"/>
          <w:sz w:val="21"/>
          <w:szCs w:val="21"/>
        </w:rPr>
        <w:t>6.3 环境保护</w:t>
      </w:r>
      <w:bookmarkEnd w:id="1595"/>
      <w:bookmarkEnd w:id="1596"/>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本款补充6.3.1～6.3.8项：</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6.3.1 承包人应严格按照项目环境影响评价文件批准书结合发包人报送的环境影响报告书的要求进行环境保护的相关工作。如行政主管部门有新标准，则按最新标准执行，执行新标准增加的费用由发包人承担。</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6.3.2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6.3.3 承包人应加强生态环境保护工作。施工期间，采取边坡防护，挡渣坝、排水沟、沉淀池、表土剥离和绿化恢复等水土保持措施减少水土流失量，绿化恢复宜采用适于当地生长的植物。</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6.3.4 承包人应认真落实水污染防治措施。施工期间，加强机械设备维护，减少跑冒滴漏等现象；做好含油废水处理措施；施工场地生活污水经生化处理后达到</w:t>
      </w:r>
      <w:r>
        <w:rPr>
          <w:rFonts w:hint="eastAsia" w:ascii="宋体" w:hAnsi="宋体"/>
          <w:szCs w:val="21"/>
          <w:u w:val="single"/>
        </w:rPr>
        <w:t>《污水综合排放标准》（GB8978-1996）</w:t>
      </w:r>
      <w:r>
        <w:rPr>
          <w:rFonts w:hint="eastAsia" w:ascii="宋体" w:hAnsi="宋体"/>
          <w:szCs w:val="21"/>
        </w:rPr>
        <w:t>一级标准后排放。</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6.3.5 承包人应重视大气污染物污染防治措施。施工期间，严格执行市政府“蓝天行动”方案等有关规定，通过洒水防尘，严格控制施工场地扬尘和运输扬尘污染。</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6.3.6 承包人应落实固体废物污染防治措施。施工期间，项目产生的弃方不可合理</w:t>
      </w:r>
      <w:r>
        <w:rPr>
          <w:rFonts w:ascii="宋体" w:hAnsi="宋体"/>
          <w:szCs w:val="21"/>
        </w:rPr>
        <w:t>利用的</w:t>
      </w:r>
      <w:r>
        <w:rPr>
          <w:rFonts w:hint="eastAsia" w:ascii="宋体" w:hAnsi="宋体"/>
          <w:szCs w:val="21"/>
        </w:rPr>
        <w:t>，应运往指定的弃渣场内堆存；建筑垃圾运至指定的建筑垃圾消纳场处置；生活垃圾由当地环卫部门统一处置。</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6.3.7 承包人应认真落实噪声污染防治措施。施工期间，优选低噪声设备，合理安排施工时间，严格控制夜间施工，昼、夜施工场界需满足</w:t>
      </w:r>
      <w:r>
        <w:rPr>
          <w:rFonts w:hint="eastAsia" w:ascii="宋体" w:hAnsi="宋体"/>
          <w:szCs w:val="21"/>
          <w:u w:val="single"/>
        </w:rPr>
        <w:t>《建筑施工场界环境噪声排放标准》（GB12523-2011）</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6.3.8 承包人自行负责办理有关施工场地交通、环卫和施工噪音管理等手续，并应按要求结合自身实际和重庆市相关规定，考虑不低于以上标准的此类工作。</w:t>
      </w:r>
    </w:p>
    <w:p>
      <w:pPr>
        <w:spacing w:line="360" w:lineRule="auto"/>
        <w:ind w:firstLine="420" w:firstLineChars="200"/>
        <w:jc w:val="left"/>
        <w:rPr>
          <w:rFonts w:ascii="宋体" w:hAnsi="宋体"/>
          <w:szCs w:val="21"/>
        </w:rPr>
      </w:pPr>
      <w:r>
        <w:rPr>
          <w:rFonts w:hint="eastAsia" w:ascii="宋体" w:hAnsi="宋体"/>
          <w:szCs w:val="21"/>
        </w:rPr>
        <w:t xml:space="preserve">6.3.9 </w:t>
      </w: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597" w:name="_Toc351203639"/>
      <w:bookmarkStart w:id="1598" w:name="_Toc532375616"/>
      <w:bookmarkStart w:id="1599" w:name="_Toc532377352"/>
      <w:r>
        <w:rPr>
          <w:rFonts w:hint="eastAsia"/>
          <w:kern w:val="2"/>
          <w:sz w:val="21"/>
          <w:szCs w:val="21"/>
        </w:rPr>
        <w:t>7. 工期和进度</w:t>
      </w:r>
      <w:bookmarkEnd w:id="1597"/>
      <w:bookmarkEnd w:id="1598"/>
      <w:bookmarkEnd w:id="1599"/>
    </w:p>
    <w:p>
      <w:pPr>
        <w:pStyle w:val="7"/>
        <w:spacing w:before="0" w:beforeAutospacing="0" w:after="0" w:afterAutospacing="0" w:line="360" w:lineRule="auto"/>
        <w:ind w:firstLine="421" w:firstLineChars="200"/>
        <w:rPr>
          <w:sz w:val="21"/>
          <w:szCs w:val="21"/>
        </w:rPr>
      </w:pPr>
      <w:bookmarkStart w:id="1600" w:name="_Toc532377353"/>
      <w:bookmarkStart w:id="1601" w:name="_Toc532375617"/>
      <w:r>
        <w:rPr>
          <w:rFonts w:hint="eastAsia"/>
          <w:sz w:val="21"/>
          <w:szCs w:val="21"/>
        </w:rPr>
        <w:t>7.1 施工组织设计</w:t>
      </w:r>
      <w:bookmarkEnd w:id="1600"/>
      <w:bookmarkEnd w:id="1601"/>
    </w:p>
    <w:p>
      <w:pPr>
        <w:autoSpaceDE w:val="0"/>
        <w:autoSpaceDN w:val="0"/>
        <w:spacing w:line="360" w:lineRule="auto"/>
        <w:ind w:firstLine="420" w:firstLineChars="200"/>
        <w:jc w:val="left"/>
        <w:rPr>
          <w:rFonts w:ascii="宋体" w:hAnsi="宋体"/>
          <w:szCs w:val="21"/>
          <w:u w:val="single"/>
        </w:rPr>
      </w:pPr>
      <w:r>
        <w:rPr>
          <w:rFonts w:hint="eastAsia" w:ascii="宋体" w:hAnsi="宋体"/>
          <w:szCs w:val="21"/>
        </w:rPr>
        <w:t>7.1.1 合同当事人约定的施工组织设计应包括的其他内容：</w:t>
      </w:r>
      <w:r>
        <w:rPr>
          <w:rFonts w:hint="eastAsia" w:ascii="宋体" w:hAnsi="宋体"/>
          <w:szCs w:val="21"/>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rPr>
        <w:t>7.1.2 施工组织设计的提交和修改</w:t>
      </w:r>
    </w:p>
    <w:p>
      <w:pPr>
        <w:autoSpaceDE w:val="0"/>
        <w:autoSpaceDN w:val="0"/>
        <w:spacing w:line="360" w:lineRule="auto"/>
        <w:ind w:firstLine="420" w:firstLineChars="200"/>
        <w:jc w:val="left"/>
        <w:rPr>
          <w:rFonts w:ascii="宋体" w:hAnsi="宋体"/>
          <w:szCs w:val="21"/>
        </w:rPr>
      </w:pPr>
      <w:r>
        <w:rPr>
          <w:rFonts w:hint="eastAsia" w:ascii="宋体" w:hAnsi="宋体"/>
          <w:szCs w:val="21"/>
        </w:rPr>
        <w:t>承包人提交详细施工组织设计的期限的约定：</w:t>
      </w:r>
      <w:r>
        <w:rPr>
          <w:rFonts w:hint="eastAsia" w:ascii="宋体" w:hAnsi="宋体"/>
          <w:szCs w:val="21"/>
          <w:u w:val="single"/>
        </w:rPr>
        <w:t>合同签订后  天内，但最迟不得晚于开工通知载明的开工日期前7天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发包人和监理人在收到详细的施工组织设计后确认或提出修改意见的期限：</w:t>
      </w:r>
      <w:r>
        <w:rPr>
          <w:rFonts w:hint="eastAsia" w:ascii="宋体" w:hAnsi="宋体"/>
          <w:szCs w:val="21"/>
          <w:u w:val="single"/>
        </w:rPr>
        <w:t>收到施工组织设计后  天内</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602" w:name="_Toc532375618"/>
      <w:bookmarkStart w:id="1603" w:name="_Toc532377354"/>
      <w:r>
        <w:rPr>
          <w:rFonts w:hint="eastAsia"/>
          <w:sz w:val="21"/>
          <w:szCs w:val="21"/>
        </w:rPr>
        <w:t>7.2 施工进度计划</w:t>
      </w:r>
      <w:bookmarkEnd w:id="1602"/>
      <w:bookmarkEnd w:id="1603"/>
    </w:p>
    <w:p>
      <w:pPr>
        <w:spacing w:line="360" w:lineRule="auto"/>
        <w:ind w:firstLine="420" w:firstLineChars="200"/>
        <w:jc w:val="left"/>
        <w:rPr>
          <w:rFonts w:ascii="宋体" w:hAnsi="宋体"/>
          <w:szCs w:val="21"/>
        </w:rPr>
      </w:pPr>
      <w:r>
        <w:rPr>
          <w:rFonts w:hint="eastAsia" w:ascii="宋体" w:hAnsi="宋体"/>
          <w:szCs w:val="21"/>
        </w:rPr>
        <w:t>7.2.2 施工进度计划的修订</w:t>
      </w:r>
    </w:p>
    <w:p>
      <w:pPr>
        <w:spacing w:line="360" w:lineRule="auto"/>
        <w:ind w:firstLine="420" w:firstLineChars="200"/>
        <w:jc w:val="left"/>
        <w:rPr>
          <w:rFonts w:ascii="宋体" w:hAnsi="宋体"/>
          <w:szCs w:val="21"/>
        </w:rPr>
      </w:pPr>
      <w:r>
        <w:rPr>
          <w:rFonts w:hint="eastAsia" w:ascii="宋体" w:hAnsi="宋体"/>
          <w:szCs w:val="21"/>
        </w:rPr>
        <w:t>发包人和监理人在收到修订的施工进度计划后确认或提出修改意见的期限：</w:t>
      </w:r>
      <w:r>
        <w:rPr>
          <w:rFonts w:hint="eastAsia" w:ascii="宋体" w:hAnsi="宋体"/>
          <w:szCs w:val="21"/>
          <w:u w:val="single"/>
        </w:rPr>
        <w:t>收到修订的施工进度计划后  天内</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604" w:name="_Toc532375619"/>
      <w:bookmarkStart w:id="1605" w:name="_Toc532377355"/>
      <w:bookmarkStart w:id="1606" w:name="_Toc304295541"/>
      <w:bookmarkStart w:id="1607" w:name="_Toc312678005"/>
      <w:bookmarkStart w:id="1608" w:name="_Toc300934966"/>
      <w:bookmarkStart w:id="1609" w:name="_Toc297216173"/>
      <w:bookmarkStart w:id="1610" w:name="_Toc303539123"/>
      <w:bookmarkStart w:id="1611" w:name="_Toc312677479"/>
      <w:bookmarkStart w:id="1612" w:name="_Toc297123514"/>
      <w:r>
        <w:rPr>
          <w:rFonts w:hint="eastAsia"/>
          <w:sz w:val="21"/>
          <w:szCs w:val="21"/>
        </w:rPr>
        <w:t>7.3 开工</w:t>
      </w:r>
      <w:bookmarkEnd w:id="1604"/>
      <w:bookmarkEnd w:id="1605"/>
    </w:p>
    <w:p>
      <w:pPr>
        <w:spacing w:line="360" w:lineRule="auto"/>
        <w:ind w:firstLine="420" w:firstLineChars="200"/>
        <w:jc w:val="left"/>
        <w:rPr>
          <w:rFonts w:ascii="宋体" w:hAnsi="宋体"/>
          <w:szCs w:val="21"/>
        </w:rPr>
      </w:pPr>
      <w:r>
        <w:rPr>
          <w:rFonts w:hint="eastAsia" w:ascii="宋体" w:hAnsi="宋体"/>
          <w:szCs w:val="21"/>
        </w:rPr>
        <w:t>7.3.1 开工准备</w:t>
      </w:r>
    </w:p>
    <w:p>
      <w:pPr>
        <w:spacing w:line="360" w:lineRule="auto"/>
        <w:ind w:firstLine="420" w:firstLineChars="200"/>
        <w:jc w:val="left"/>
        <w:rPr>
          <w:rFonts w:ascii="宋体" w:hAnsi="宋体"/>
          <w:szCs w:val="21"/>
        </w:rPr>
      </w:pPr>
      <w:r>
        <w:rPr>
          <w:rFonts w:hint="eastAsia" w:ascii="宋体" w:hAnsi="宋体"/>
          <w:szCs w:val="21"/>
        </w:rPr>
        <w:t>关于承包人提交工程开工报审表的期限：</w:t>
      </w:r>
      <w:r>
        <w:rPr>
          <w:rFonts w:hint="eastAsia" w:ascii="宋体" w:hAnsi="宋体"/>
          <w:szCs w:val="21"/>
          <w:u w:val="single"/>
        </w:rPr>
        <w:t>不晚于开工前  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关于发包人应完成的其他开工准备工作及期限：</w:t>
      </w:r>
      <w:r>
        <w:rPr>
          <w:rFonts w:hint="eastAsia" w:ascii="宋体" w:hAnsi="宋体"/>
          <w:szCs w:val="21"/>
          <w:u w:val="single"/>
        </w:rPr>
        <w:t>不晚于开工前  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关于承包人应完成的其他开工准备工作及期限：</w:t>
      </w:r>
      <w:r>
        <w:rPr>
          <w:rFonts w:hint="eastAsia" w:ascii="宋体" w:hAnsi="宋体"/>
          <w:szCs w:val="21"/>
          <w:u w:val="single"/>
        </w:rPr>
        <w:t>不晚于开工前  天</w:t>
      </w:r>
      <w:r>
        <w:rPr>
          <w:rFonts w:hint="eastAsia" w:ascii="宋体" w:hAnsi="宋体"/>
          <w:szCs w:val="21"/>
        </w:rPr>
        <w:t>。</w:t>
      </w:r>
    </w:p>
    <w:bookmarkEnd w:id="1606"/>
    <w:bookmarkEnd w:id="1607"/>
    <w:bookmarkEnd w:id="1608"/>
    <w:bookmarkEnd w:id="1609"/>
    <w:bookmarkEnd w:id="1610"/>
    <w:bookmarkEnd w:id="1611"/>
    <w:bookmarkEnd w:id="1612"/>
    <w:p>
      <w:pPr>
        <w:pStyle w:val="7"/>
        <w:spacing w:before="0" w:beforeAutospacing="0" w:after="0" w:afterAutospacing="0" w:line="360" w:lineRule="auto"/>
        <w:ind w:firstLine="421" w:firstLineChars="200"/>
        <w:rPr>
          <w:sz w:val="21"/>
          <w:szCs w:val="21"/>
        </w:rPr>
      </w:pPr>
      <w:bookmarkStart w:id="1613" w:name="_Toc532375620"/>
      <w:bookmarkStart w:id="1614" w:name="_Toc532377356"/>
      <w:r>
        <w:rPr>
          <w:rFonts w:hint="eastAsia"/>
          <w:sz w:val="21"/>
          <w:szCs w:val="21"/>
        </w:rPr>
        <w:t>7.4 测量放线</w:t>
      </w:r>
      <w:bookmarkEnd w:id="1613"/>
      <w:bookmarkEnd w:id="1614"/>
    </w:p>
    <w:p>
      <w:pPr>
        <w:spacing w:line="360" w:lineRule="auto"/>
        <w:ind w:firstLine="420" w:firstLineChars="200"/>
        <w:jc w:val="left"/>
        <w:rPr>
          <w:rFonts w:ascii="宋体" w:hAnsi="宋体"/>
          <w:szCs w:val="21"/>
        </w:rPr>
      </w:pPr>
      <w:r>
        <w:rPr>
          <w:rFonts w:hint="eastAsia" w:ascii="宋体" w:hAnsi="宋体"/>
          <w:szCs w:val="21"/>
        </w:rPr>
        <w:t>7.4.1 发包人通过监理人向承包人提供测量基准点、基准线和水准点及其书面资料的期限：</w:t>
      </w:r>
      <w:r>
        <w:rPr>
          <w:rFonts w:hint="eastAsia" w:ascii="宋体" w:hAnsi="宋体"/>
          <w:szCs w:val="21"/>
          <w:u w:val="single"/>
        </w:rPr>
        <w:t>不晚于开工前  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承包人报监理人审批施工控制网资料的期限：</w:t>
      </w:r>
      <w:r>
        <w:rPr>
          <w:rFonts w:hint="eastAsia" w:ascii="宋体" w:hAnsi="宋体"/>
          <w:szCs w:val="21"/>
          <w:u w:val="single"/>
        </w:rPr>
        <w:t>发出开工通知后  天。承包人发现发包人提供的测量基准点、基准线和水准点及其书面资料存在错误或疏漏的，应及时通知监理人并报告发包人，承包人应会同监理人、发包人核实，发包人就如何处理和是否继续施工作出决定，并通过监理人通知承包人</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615" w:name="_Toc532375621"/>
      <w:bookmarkStart w:id="1616" w:name="_Toc532377357"/>
      <w:r>
        <w:rPr>
          <w:rFonts w:hint="eastAsia"/>
          <w:sz w:val="21"/>
          <w:szCs w:val="21"/>
        </w:rPr>
        <w:t>7</w:t>
      </w:r>
      <w:bookmarkStart w:id="1617" w:name="_Toc304295546"/>
      <w:bookmarkStart w:id="1618" w:name="_Toc312677484"/>
      <w:bookmarkStart w:id="1619" w:name="_Toc300934968"/>
      <w:bookmarkStart w:id="1620" w:name="_Toc297216175"/>
      <w:bookmarkStart w:id="1621" w:name="_Toc312678010"/>
      <w:bookmarkStart w:id="1622" w:name="_Toc303539125"/>
      <w:bookmarkStart w:id="1623" w:name="_Toc297123516"/>
      <w:r>
        <w:rPr>
          <w:rFonts w:hint="eastAsia"/>
          <w:sz w:val="21"/>
          <w:szCs w:val="21"/>
        </w:rPr>
        <w:t>.5 工期延误</w:t>
      </w:r>
      <w:bookmarkEnd w:id="1615"/>
      <w:bookmarkEnd w:id="1616"/>
    </w:p>
    <w:bookmarkEnd w:id="1617"/>
    <w:bookmarkEnd w:id="1618"/>
    <w:bookmarkEnd w:id="1619"/>
    <w:bookmarkEnd w:id="1620"/>
    <w:bookmarkEnd w:id="1621"/>
    <w:bookmarkEnd w:id="1622"/>
    <w:bookmarkEnd w:id="1623"/>
    <w:p>
      <w:pPr>
        <w:spacing w:line="360" w:lineRule="auto"/>
        <w:ind w:firstLine="420" w:firstLineChars="200"/>
        <w:jc w:val="left"/>
        <w:rPr>
          <w:rFonts w:ascii="宋体" w:hAnsi="宋体"/>
          <w:szCs w:val="21"/>
        </w:rPr>
      </w:pPr>
      <w:bookmarkStart w:id="1624" w:name="_Hlk528927940"/>
      <w:r>
        <w:rPr>
          <w:rFonts w:hint="eastAsia" w:ascii="宋体" w:hAnsi="宋体"/>
          <w:szCs w:val="21"/>
        </w:rPr>
        <w:t>7.5.1 因发包人原因导致工期延误：</w:t>
      </w:r>
    </w:p>
    <w:p>
      <w:pPr>
        <w:spacing w:line="360" w:lineRule="auto"/>
        <w:ind w:firstLine="420" w:firstLineChars="200"/>
        <w:jc w:val="left"/>
        <w:rPr>
          <w:rFonts w:ascii="宋体" w:hAnsi="宋体"/>
          <w:szCs w:val="21"/>
        </w:rPr>
      </w:pPr>
      <w:r>
        <w:rPr>
          <w:rFonts w:hint="eastAsia" w:ascii="宋体" w:hAnsi="宋体"/>
          <w:szCs w:val="21"/>
        </w:rPr>
        <w:t>在合同履行过程中，除通用条款约定外，因下列情况导致工期延误和（或）费用增加的，由发包人承担由此延误的工期和（或）增加的费用：</w:t>
      </w:r>
    </w:p>
    <w:p>
      <w:pPr>
        <w:spacing w:line="360" w:lineRule="auto"/>
        <w:ind w:firstLine="420" w:firstLineChars="200"/>
        <w:jc w:val="left"/>
        <w:rPr>
          <w:rFonts w:ascii="宋体" w:hAnsi="宋体"/>
          <w:szCs w:val="21"/>
        </w:rPr>
      </w:pPr>
      <w:r>
        <w:rPr>
          <w:rFonts w:hint="eastAsia" w:ascii="宋体" w:hAnsi="宋体"/>
          <w:szCs w:val="21"/>
        </w:rPr>
        <w:t>（1）发包人未能按合同约定提供施工场地，且该未提供开工条件直接影响项目关键线路的；</w:t>
      </w:r>
    </w:p>
    <w:p>
      <w:pPr>
        <w:spacing w:line="360" w:lineRule="auto"/>
        <w:ind w:firstLine="420" w:firstLineChars="200"/>
        <w:jc w:val="left"/>
        <w:rPr>
          <w:rFonts w:ascii="宋体" w:hAnsi="宋体"/>
          <w:szCs w:val="21"/>
        </w:rPr>
      </w:pPr>
      <w:r>
        <w:rPr>
          <w:rFonts w:hint="eastAsia" w:ascii="宋体" w:hAnsi="宋体"/>
          <w:szCs w:val="21"/>
        </w:rPr>
        <w:t>（2）发包人提供的测量基准点、基准线和水准点及其书面资料存在错误或疏漏，且该错误或疏漏直接影响项目关键线路的；</w:t>
      </w:r>
    </w:p>
    <w:p>
      <w:pPr>
        <w:spacing w:line="360" w:lineRule="auto"/>
        <w:ind w:firstLine="420" w:firstLineChars="200"/>
        <w:jc w:val="left"/>
        <w:rPr>
          <w:rFonts w:ascii="宋体" w:hAnsi="宋体"/>
          <w:szCs w:val="21"/>
        </w:rPr>
      </w:pPr>
      <w:r>
        <w:rPr>
          <w:rFonts w:hint="eastAsia" w:ascii="宋体" w:hAnsi="宋体"/>
          <w:szCs w:val="21"/>
        </w:rPr>
        <w:t>（3）监理人未按合同约定发出指示、批准等文件，且该未按合同约定发出指示、批准直接影响项目关键线路的；</w:t>
      </w:r>
    </w:p>
    <w:p>
      <w:pPr>
        <w:spacing w:line="360" w:lineRule="auto"/>
        <w:ind w:firstLine="420" w:firstLineChars="200"/>
        <w:jc w:val="left"/>
        <w:rPr>
          <w:rFonts w:ascii="宋体" w:hAnsi="宋体"/>
          <w:szCs w:val="21"/>
        </w:rPr>
      </w:pPr>
      <w:r>
        <w:rPr>
          <w:rFonts w:hint="eastAsia" w:ascii="宋体" w:hAnsi="宋体"/>
          <w:szCs w:val="21"/>
        </w:rPr>
        <w:t>（4）变更未及时审批，直接影响项目关键线路的；</w:t>
      </w:r>
    </w:p>
    <w:p>
      <w:pPr>
        <w:spacing w:line="360" w:lineRule="auto"/>
        <w:ind w:firstLine="420" w:firstLineChars="200"/>
        <w:jc w:val="left"/>
        <w:rPr>
          <w:rFonts w:ascii="宋体" w:hAnsi="宋体"/>
          <w:szCs w:val="21"/>
        </w:rPr>
      </w:pPr>
      <w:r>
        <w:rPr>
          <w:rFonts w:hint="eastAsia" w:ascii="宋体" w:hAnsi="宋体"/>
          <w:szCs w:val="21"/>
        </w:rPr>
        <w:t>（5）实施变更直接影响项目关键线路的；</w:t>
      </w:r>
    </w:p>
    <w:p>
      <w:pPr>
        <w:spacing w:line="360" w:lineRule="auto"/>
        <w:ind w:firstLine="420" w:firstLineChars="200"/>
        <w:jc w:val="left"/>
        <w:rPr>
          <w:rFonts w:ascii="宋体" w:hAnsi="宋体"/>
          <w:szCs w:val="21"/>
        </w:rPr>
      </w:pPr>
      <w:r>
        <w:rPr>
          <w:rFonts w:hint="eastAsia" w:ascii="宋体" w:hAnsi="宋体"/>
          <w:szCs w:val="21"/>
        </w:rPr>
        <w:t>（6）因发包人原因导致工程暂停施工、停建、缓建的；</w:t>
      </w:r>
    </w:p>
    <w:p>
      <w:pPr>
        <w:spacing w:line="360" w:lineRule="auto"/>
        <w:ind w:firstLine="420" w:firstLineChars="200"/>
        <w:jc w:val="left"/>
        <w:rPr>
          <w:rFonts w:ascii="宋体" w:hAnsi="宋体"/>
          <w:szCs w:val="21"/>
        </w:rPr>
      </w:pPr>
      <w:r>
        <w:rPr>
          <w:rFonts w:hint="eastAsia" w:ascii="宋体" w:hAnsi="宋体"/>
          <w:szCs w:val="21"/>
        </w:rPr>
        <w:t>（7）因征地拆迁、当地群众阻工等情形的；</w:t>
      </w:r>
    </w:p>
    <w:p>
      <w:pPr>
        <w:spacing w:line="360" w:lineRule="auto"/>
        <w:ind w:firstLine="420" w:firstLineChars="200"/>
        <w:jc w:val="left"/>
        <w:rPr>
          <w:rFonts w:ascii="宋体" w:hAnsi="宋体"/>
          <w:szCs w:val="21"/>
          <w:u w:val="single"/>
        </w:rPr>
      </w:pPr>
      <w:r>
        <w:rPr>
          <w:rFonts w:hint="eastAsia" w:ascii="宋体" w:hAnsi="宋体"/>
          <w:szCs w:val="21"/>
        </w:rPr>
        <w:t>（8）</w:t>
      </w:r>
      <w:r>
        <w:rPr>
          <w:rFonts w:hint="eastAsia" w:ascii="宋体" w:hAnsi="宋体"/>
          <w:szCs w:val="21"/>
          <w:u w:val="single"/>
        </w:rPr>
        <w:t>合同约定的其他情形</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因发包人原因未按计划开工日期开工的，发包人应按实际开工日期顺延竣工日期。因发包人原因导致工期延误需要修订施工进度计划的，按照第7.2.2项〔施工进度计划的修订〕执行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7.5.2 因承包人原因导致工期延误</w:t>
      </w:r>
    </w:p>
    <w:p>
      <w:pPr>
        <w:spacing w:line="360" w:lineRule="auto"/>
        <w:ind w:firstLine="420" w:firstLineChars="200"/>
        <w:jc w:val="left"/>
        <w:rPr>
          <w:rFonts w:ascii="宋体" w:hAnsi="宋体"/>
          <w:szCs w:val="21"/>
        </w:rPr>
      </w:pPr>
      <w:r>
        <w:rPr>
          <w:rFonts w:hint="eastAsia" w:ascii="宋体" w:hAnsi="宋体"/>
          <w:szCs w:val="21"/>
          <w:u w:val="single"/>
        </w:rPr>
        <w:t>因承包人原因造成工期延误，逾期竣工按16.2.2（6）目执行。</w:t>
      </w:r>
    </w:p>
    <w:bookmarkEnd w:id="1624"/>
    <w:p>
      <w:pPr>
        <w:pStyle w:val="7"/>
        <w:spacing w:before="0" w:beforeAutospacing="0" w:after="0" w:afterAutospacing="0" w:line="360" w:lineRule="auto"/>
        <w:ind w:firstLine="421" w:firstLineChars="200"/>
        <w:rPr>
          <w:sz w:val="21"/>
          <w:szCs w:val="21"/>
        </w:rPr>
      </w:pPr>
      <w:bookmarkStart w:id="1625" w:name="_Toc532375622"/>
      <w:bookmarkStart w:id="1626" w:name="_Toc532377358"/>
      <w:bookmarkStart w:id="1627" w:name="_Hlk528927997"/>
      <w:r>
        <w:rPr>
          <w:rFonts w:hint="eastAsia"/>
          <w:sz w:val="21"/>
          <w:szCs w:val="21"/>
        </w:rPr>
        <w:t>7</w:t>
      </w:r>
      <w:bookmarkStart w:id="1628" w:name="_Toc312678015"/>
      <w:bookmarkStart w:id="1629" w:name="_Toc297216178"/>
      <w:bookmarkStart w:id="1630" w:name="_Toc304295549"/>
      <w:bookmarkStart w:id="1631" w:name="_Toc300934971"/>
      <w:bookmarkStart w:id="1632" w:name="_Toc297123519"/>
      <w:bookmarkStart w:id="1633" w:name="_Toc303539128"/>
      <w:r>
        <w:rPr>
          <w:rFonts w:hint="eastAsia"/>
          <w:sz w:val="21"/>
          <w:szCs w:val="21"/>
        </w:rPr>
        <w:t>.6 不</w:t>
      </w:r>
      <w:bookmarkEnd w:id="1628"/>
      <w:bookmarkEnd w:id="1629"/>
      <w:bookmarkEnd w:id="1630"/>
      <w:bookmarkEnd w:id="1631"/>
      <w:bookmarkEnd w:id="1632"/>
      <w:bookmarkEnd w:id="1633"/>
      <w:r>
        <w:rPr>
          <w:rFonts w:hint="eastAsia"/>
          <w:sz w:val="21"/>
          <w:szCs w:val="21"/>
        </w:rPr>
        <w:t>利物质条件</w:t>
      </w:r>
      <w:bookmarkEnd w:id="1625"/>
      <w:bookmarkEnd w:id="1626"/>
    </w:p>
    <w:bookmarkEnd w:id="1627"/>
    <w:p>
      <w:pPr>
        <w:spacing w:line="360" w:lineRule="auto"/>
        <w:ind w:firstLine="420" w:firstLineChars="200"/>
        <w:jc w:val="left"/>
        <w:rPr>
          <w:rFonts w:ascii="宋体" w:hAnsi="宋体"/>
          <w:bCs/>
          <w:szCs w:val="21"/>
        </w:rPr>
      </w:pPr>
      <w:bookmarkStart w:id="1634" w:name="_Toc312678016"/>
      <w:bookmarkStart w:id="1635" w:name="_Toc303539129"/>
      <w:bookmarkStart w:id="1636" w:name="_Toc297216179"/>
      <w:bookmarkStart w:id="1637" w:name="_Toc318581172"/>
      <w:bookmarkStart w:id="1638" w:name="_Toc297123520"/>
      <w:bookmarkStart w:id="1639" w:name="_Toc300934972"/>
      <w:bookmarkStart w:id="1640" w:name="_Toc304295550"/>
      <w:r>
        <w:rPr>
          <w:rFonts w:hint="eastAsia" w:ascii="宋体" w:hAnsi="宋体"/>
          <w:szCs w:val="21"/>
        </w:rPr>
        <w:t>不利物质条件的其他情形和有关约定：</w:t>
      </w:r>
      <w:bookmarkStart w:id="1641" w:name="_Hlk528910274"/>
      <w:r>
        <w:rPr>
          <w:rFonts w:hint="eastAsia" w:ascii="宋体" w:hAnsi="宋体"/>
          <w:szCs w:val="21"/>
          <w:u w:val="single"/>
        </w:rPr>
        <w:t xml:space="preserve">    </w:t>
      </w:r>
      <w:r>
        <w:rPr>
          <w:rFonts w:hint="eastAsia" w:ascii="宋体" w:hAnsi="宋体"/>
          <w:szCs w:val="21"/>
        </w:rPr>
        <w:t>。</w:t>
      </w:r>
    </w:p>
    <w:bookmarkEnd w:id="1634"/>
    <w:bookmarkEnd w:id="1635"/>
    <w:bookmarkEnd w:id="1636"/>
    <w:bookmarkEnd w:id="1637"/>
    <w:bookmarkEnd w:id="1638"/>
    <w:bookmarkEnd w:id="1639"/>
    <w:bookmarkEnd w:id="1640"/>
    <w:bookmarkEnd w:id="1641"/>
    <w:p>
      <w:pPr>
        <w:pStyle w:val="7"/>
        <w:spacing w:before="0" w:beforeAutospacing="0" w:after="0" w:afterAutospacing="0" w:line="360" w:lineRule="auto"/>
        <w:ind w:firstLine="421" w:firstLineChars="200"/>
        <w:rPr>
          <w:sz w:val="21"/>
          <w:szCs w:val="21"/>
        </w:rPr>
      </w:pPr>
      <w:bookmarkStart w:id="1642" w:name="_Toc532377359"/>
      <w:bookmarkStart w:id="1643" w:name="_Toc532375623"/>
      <w:r>
        <w:rPr>
          <w:rFonts w:hint="eastAsia"/>
          <w:sz w:val="21"/>
          <w:szCs w:val="21"/>
        </w:rPr>
        <w:t>7</w:t>
      </w:r>
      <w:bookmarkStart w:id="1644" w:name="_Toc312678017"/>
      <w:bookmarkStart w:id="1645" w:name="_Toc303539130"/>
      <w:bookmarkStart w:id="1646" w:name="_Toc300934973"/>
      <w:bookmarkStart w:id="1647" w:name="_Toc297216180"/>
      <w:bookmarkStart w:id="1648" w:name="_Toc304295551"/>
      <w:bookmarkStart w:id="1649" w:name="_Toc297123521"/>
      <w:r>
        <w:rPr>
          <w:rFonts w:hint="eastAsia"/>
          <w:sz w:val="21"/>
          <w:szCs w:val="21"/>
        </w:rPr>
        <w:t>.7异常恶劣的气候条件</w:t>
      </w:r>
      <w:bookmarkEnd w:id="1642"/>
      <w:bookmarkEnd w:id="1643"/>
    </w:p>
    <w:bookmarkEnd w:id="1644"/>
    <w:bookmarkEnd w:id="1645"/>
    <w:bookmarkEnd w:id="1646"/>
    <w:bookmarkEnd w:id="1647"/>
    <w:bookmarkEnd w:id="1648"/>
    <w:bookmarkEnd w:id="1649"/>
    <w:p>
      <w:pPr>
        <w:spacing w:line="360" w:lineRule="auto"/>
        <w:ind w:firstLine="420" w:firstLineChars="200"/>
        <w:jc w:val="left"/>
        <w:rPr>
          <w:rFonts w:ascii="宋体" w:hAnsi="宋体"/>
          <w:szCs w:val="21"/>
          <w:u w:val="single"/>
        </w:rPr>
      </w:pPr>
      <w:r>
        <w:rPr>
          <w:rFonts w:hint="eastAsia" w:ascii="宋体" w:hAnsi="宋体"/>
          <w:szCs w:val="21"/>
        </w:rPr>
        <w:t>发包人和承包人同意以下情形视为异常恶劣的气候条件：</w:t>
      </w:r>
      <w:r>
        <w:rPr>
          <w:rFonts w:hint="eastAsia" w:ascii="宋体" w:hAnsi="宋体"/>
          <w:szCs w:val="21"/>
          <w:u w:val="single"/>
        </w:rPr>
        <w:t xml:space="preserve">    （异常气候是指项目所在地50年以上一遇的罕见气候现象）</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650" w:name="_Toc532375624"/>
      <w:bookmarkStart w:id="1651" w:name="_Toc532377360"/>
      <w:r>
        <w:rPr>
          <w:rFonts w:hint="eastAsia"/>
          <w:sz w:val="21"/>
          <w:szCs w:val="21"/>
        </w:rPr>
        <w:t>7.9 提前竣工</w:t>
      </w:r>
      <w:bookmarkEnd w:id="1650"/>
      <w:bookmarkEnd w:id="1651"/>
    </w:p>
    <w:p>
      <w:pPr>
        <w:spacing w:line="360" w:lineRule="auto"/>
        <w:ind w:firstLine="420" w:firstLineChars="200"/>
        <w:jc w:val="left"/>
        <w:rPr>
          <w:rFonts w:ascii="宋体" w:hAnsi="宋体"/>
          <w:szCs w:val="21"/>
        </w:rPr>
      </w:pPr>
      <w:r>
        <w:rPr>
          <w:rFonts w:hint="eastAsia" w:ascii="宋体" w:hAnsi="宋体"/>
          <w:szCs w:val="21"/>
        </w:rPr>
        <w:t>7.9.1项细化为：</w:t>
      </w:r>
    </w:p>
    <w:p>
      <w:pPr>
        <w:spacing w:line="360" w:lineRule="auto"/>
        <w:ind w:firstLine="420" w:firstLineChars="200"/>
        <w:jc w:val="left"/>
        <w:rPr>
          <w:rFonts w:ascii="宋体" w:hAnsi="宋体"/>
          <w:szCs w:val="21"/>
        </w:rPr>
      </w:pPr>
      <w:r>
        <w:rPr>
          <w:rFonts w:hint="eastAsia" w:ascii="宋体" w:hAnsi="宋体"/>
          <w:szCs w:val="21"/>
        </w:rPr>
        <w:t>（1）当项目需要提前竣工或项目工期按照第7.5款〔工期延误〕约定顺延后需要提前竣工的，发包人应通过监理人向承包人下达提前竣工指示。承包人同意提前竣工的，应向发包人和监理人提交提前竣工方案，提前竣工方案经监理人和发包人审批后生效。由此增加的费用按照第10.4.1项〔变更估价原则〕约定执行。</w:t>
      </w:r>
    </w:p>
    <w:p>
      <w:pPr>
        <w:spacing w:line="360" w:lineRule="auto"/>
        <w:ind w:firstLine="420" w:firstLineChars="200"/>
        <w:jc w:val="left"/>
        <w:rPr>
          <w:rFonts w:ascii="宋体" w:hAnsi="宋体"/>
          <w:szCs w:val="21"/>
        </w:rPr>
      </w:pPr>
      <w:r>
        <w:rPr>
          <w:rFonts w:hint="eastAsia" w:ascii="宋体" w:hAnsi="宋体"/>
          <w:szCs w:val="21"/>
        </w:rPr>
        <w:t>（2）发包人不得随意要求承包人提前竣工，承包人也不得随意提出提前竣工的建议。如遇特殊情况，确需将工期提前的，发包人和承包人必须采取有效措施，确保工程质量。</w:t>
      </w:r>
    </w:p>
    <w:p>
      <w:pPr>
        <w:spacing w:line="360" w:lineRule="auto"/>
        <w:ind w:firstLine="420" w:firstLineChars="200"/>
        <w:jc w:val="left"/>
        <w:rPr>
          <w:rFonts w:ascii="宋体" w:hAnsi="宋体"/>
          <w:szCs w:val="21"/>
        </w:rPr>
      </w:pPr>
      <w:r>
        <w:rPr>
          <w:rFonts w:hint="eastAsia" w:ascii="宋体" w:hAnsi="宋体"/>
          <w:szCs w:val="21"/>
        </w:rPr>
        <w:t>（3）如果承包人提前竣工，发包人支付奖金的计算方法在合同条款中约定，时间自竣工验收证书中写明的实际竣工日期起至预定的竣工日期止，按天计算。但奖金最高限额不超过项目7.9.2项的限额。</w:t>
      </w:r>
    </w:p>
    <w:p>
      <w:pPr>
        <w:spacing w:line="360" w:lineRule="auto"/>
        <w:ind w:firstLine="420" w:firstLineChars="200"/>
        <w:jc w:val="left"/>
        <w:rPr>
          <w:rFonts w:ascii="宋体" w:hAnsi="宋体"/>
          <w:szCs w:val="21"/>
        </w:rPr>
      </w:pPr>
      <w:r>
        <w:rPr>
          <w:rFonts w:hint="eastAsia" w:ascii="宋体" w:hAnsi="宋体"/>
          <w:szCs w:val="21"/>
        </w:rPr>
        <w:t>7.9.2 提前竣工的奖励：</w:t>
      </w:r>
      <w:r>
        <w:rPr>
          <w:rFonts w:hint="eastAsia" w:ascii="宋体" w:hAnsi="宋体"/>
          <w:szCs w:val="21"/>
          <w:u w:val="single"/>
        </w:rPr>
        <w:t xml:space="preserve">    元/天，不超过签约合同价的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652" w:name="_Toc532375625"/>
      <w:bookmarkStart w:id="1653" w:name="_Toc532377361"/>
      <w:bookmarkStart w:id="1654" w:name="_Toc351203640"/>
      <w:r>
        <w:rPr>
          <w:rFonts w:hint="eastAsia"/>
          <w:kern w:val="2"/>
          <w:sz w:val="21"/>
          <w:szCs w:val="21"/>
        </w:rPr>
        <w:t>8. 材料与设备</w:t>
      </w:r>
      <w:bookmarkEnd w:id="1652"/>
      <w:bookmarkEnd w:id="1653"/>
      <w:bookmarkEnd w:id="1654"/>
    </w:p>
    <w:p>
      <w:pPr>
        <w:pStyle w:val="7"/>
        <w:spacing w:before="0" w:beforeAutospacing="0" w:after="0" w:afterAutospacing="0" w:line="360" w:lineRule="auto"/>
        <w:ind w:firstLine="421" w:firstLineChars="200"/>
        <w:rPr>
          <w:sz w:val="21"/>
          <w:szCs w:val="21"/>
        </w:rPr>
      </w:pPr>
      <w:bookmarkStart w:id="1655" w:name="_Toc532375626"/>
      <w:bookmarkStart w:id="1656" w:name="_Toc532377362"/>
      <w:r>
        <w:rPr>
          <w:rFonts w:hint="eastAsia"/>
          <w:sz w:val="21"/>
          <w:szCs w:val="21"/>
        </w:rPr>
        <w:t>8.1发包人供应材料与工程设备</w:t>
      </w:r>
      <w:bookmarkEnd w:id="1655"/>
      <w:bookmarkEnd w:id="1656"/>
    </w:p>
    <w:p>
      <w:pPr>
        <w:spacing w:line="360" w:lineRule="auto"/>
        <w:ind w:firstLine="420" w:firstLineChars="200"/>
        <w:jc w:val="left"/>
        <w:rPr>
          <w:rFonts w:ascii="宋体" w:hAnsi="宋体"/>
          <w:szCs w:val="21"/>
        </w:rPr>
      </w:pPr>
      <w:r>
        <w:rPr>
          <w:rFonts w:hint="eastAsia" w:ascii="宋体" w:hAnsi="宋体"/>
          <w:szCs w:val="21"/>
        </w:rPr>
        <w:t>材料的名称、规格、数量和价格：</w:t>
      </w:r>
      <w:r>
        <w:rPr>
          <w:rFonts w:hint="eastAsia" w:ascii="宋体" w:hAnsi="宋体"/>
          <w:szCs w:val="21"/>
          <w:u w:val="single"/>
        </w:rPr>
        <w:t>发包人应提供甲供材料的明细表，结算时按经监理人、承包人共同确认的供应数量乘以招标时甲供材料暂定价格，在支付工程款时扣除</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657" w:name="_Toc351203554"/>
      <w:bookmarkStart w:id="1658" w:name="_Toc532377363"/>
      <w:bookmarkStart w:id="1659" w:name="_Toc532375627"/>
      <w:r>
        <w:rPr>
          <w:rFonts w:hint="eastAsia"/>
          <w:sz w:val="21"/>
          <w:szCs w:val="21"/>
        </w:rPr>
        <w:t>8</w:t>
      </w:r>
      <w:bookmarkStart w:id="1660" w:name="_Toc296503060"/>
      <w:bookmarkStart w:id="1661" w:name="_Toc337558778"/>
      <w:bookmarkStart w:id="1662" w:name="_Toc296346561"/>
      <w:r>
        <w:rPr>
          <w:rFonts w:hint="eastAsia"/>
          <w:sz w:val="21"/>
          <w:szCs w:val="21"/>
        </w:rPr>
        <w:t>.2 承包人采购材料与工程设备</w:t>
      </w:r>
      <w:bookmarkEnd w:id="1657"/>
      <w:bookmarkEnd w:id="1658"/>
      <w:bookmarkEnd w:id="1659"/>
    </w:p>
    <w:bookmarkEnd w:id="1660"/>
    <w:bookmarkEnd w:id="1661"/>
    <w:bookmarkEnd w:id="1662"/>
    <w:p>
      <w:pPr>
        <w:spacing w:line="360" w:lineRule="auto"/>
        <w:ind w:firstLine="420" w:firstLineChars="200"/>
        <w:jc w:val="left"/>
        <w:rPr>
          <w:rFonts w:ascii="宋体" w:hAnsi="宋体"/>
          <w:szCs w:val="21"/>
        </w:rPr>
      </w:pPr>
      <w:r>
        <w:rPr>
          <w:rFonts w:hint="eastAsia" w:ascii="宋体" w:hAnsi="宋体"/>
          <w:szCs w:val="21"/>
        </w:rPr>
        <w:t>8.2.1承包人负责采购、运输和保管的材料、工程设备：</w:t>
      </w:r>
      <w:r>
        <w:rPr>
          <w:rFonts w:hint="eastAsia" w:ascii="宋体" w:hAnsi="宋体"/>
          <w:szCs w:val="21"/>
          <w:u w:val="single"/>
        </w:rPr>
        <w:t>由承包人自行采购。承包人采购材料设备必须经监理人和发包人批准，结算时由监理人和发包人按招标文件规定审核的数量和合同约定</w:t>
      </w:r>
      <w:r>
        <w:rPr>
          <w:rFonts w:ascii="宋体" w:hAnsi="宋体"/>
          <w:szCs w:val="21"/>
          <w:u w:val="single"/>
        </w:rPr>
        <w:t>价格</w:t>
      </w:r>
      <w:r>
        <w:rPr>
          <w:rFonts w:hint="eastAsia" w:ascii="宋体" w:hAnsi="宋体"/>
          <w:szCs w:val="21"/>
          <w:u w:val="single"/>
        </w:rPr>
        <w:t>计算</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8.2.2承包人报送监理人审批的时间：</w:t>
      </w:r>
      <w:r>
        <w:rPr>
          <w:rFonts w:hint="eastAsia" w:ascii="宋体" w:hAnsi="宋体"/>
          <w:szCs w:val="21"/>
          <w:u w:val="single"/>
        </w:rPr>
        <w:t>按发包人及监理单位的相关规定执行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8.2.3承包人选择的生产厂家或供应商满足下列条件：</w:t>
      </w:r>
    </w:p>
    <w:p>
      <w:pPr>
        <w:spacing w:line="360" w:lineRule="auto"/>
        <w:ind w:firstLine="420" w:firstLineChars="200"/>
        <w:jc w:val="left"/>
        <w:rPr>
          <w:rFonts w:ascii="宋体" w:hAnsi="宋体"/>
          <w:szCs w:val="21"/>
        </w:rPr>
      </w:pPr>
      <w:r>
        <w:rPr>
          <w:rFonts w:hint="eastAsia" w:ascii="宋体" w:hAnsi="宋体"/>
          <w:szCs w:val="21"/>
        </w:rPr>
        <w:t>A.承包人选择的混凝土供应商应满足下列条件：</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B.承包人选择的钢材供应商应满足下列条件：</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C.承包人选择的水泥供应商应满足下列条件：</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D.承包人采购的材料与设计或标准要求不符时，承包人应按发包人和监理人要求的时间运出施工场地，并重新采购符合要求的产品，并承担由此发生的费用，因此延误的工期不予顺延。</w:t>
      </w:r>
    </w:p>
    <w:p>
      <w:pPr>
        <w:spacing w:line="360" w:lineRule="auto"/>
        <w:ind w:firstLine="420" w:firstLineChars="200"/>
        <w:jc w:val="left"/>
        <w:rPr>
          <w:rFonts w:ascii="宋体" w:hAnsi="宋体"/>
          <w:szCs w:val="21"/>
        </w:rPr>
      </w:pPr>
      <w:r>
        <w:rPr>
          <w:rFonts w:hint="eastAsia" w:ascii="宋体" w:hAnsi="宋体"/>
          <w:szCs w:val="21"/>
        </w:rPr>
        <w:t>E.承包人采购的材料在使用前，应按发包人和监理人的要求进行检验或试验，不合格的不得使用。</w:t>
      </w:r>
    </w:p>
    <w:p>
      <w:pPr>
        <w:spacing w:line="360" w:lineRule="auto"/>
        <w:ind w:firstLine="420" w:firstLineChars="200"/>
        <w:jc w:val="left"/>
        <w:rPr>
          <w:rFonts w:ascii="宋体" w:hAnsi="宋体"/>
          <w:szCs w:val="21"/>
        </w:rPr>
      </w:pPr>
      <w:r>
        <w:rPr>
          <w:rFonts w:hint="eastAsia" w:ascii="宋体" w:hAnsi="宋体"/>
          <w:szCs w:val="21"/>
        </w:rPr>
        <w:t>F.</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663" w:name="_Toc532375628"/>
      <w:bookmarkStart w:id="1664" w:name="_Toc532377364"/>
      <w:r>
        <w:rPr>
          <w:rFonts w:hint="eastAsia"/>
          <w:sz w:val="21"/>
          <w:szCs w:val="21"/>
        </w:rPr>
        <w:t>8</w:t>
      </w:r>
      <w:bookmarkStart w:id="1665" w:name="_Toc297123527"/>
      <w:bookmarkStart w:id="1666" w:name="_Toc296347166"/>
      <w:bookmarkStart w:id="1667" w:name="_Toc296890995"/>
      <w:bookmarkStart w:id="1668" w:name="_Toc296944506"/>
      <w:bookmarkStart w:id="1669" w:name="_Toc296346668"/>
      <w:bookmarkStart w:id="1670" w:name="_Toc297048353"/>
      <w:bookmarkStart w:id="1671" w:name="_Toc297120467"/>
      <w:bookmarkStart w:id="1672" w:name="_Toc300934979"/>
      <w:bookmarkStart w:id="1673" w:name="_Toc292559877"/>
      <w:bookmarkStart w:id="1674" w:name="_Toc312678019"/>
      <w:bookmarkStart w:id="1675" w:name="_Toc280868654"/>
      <w:bookmarkStart w:id="1676" w:name="_Toc297216186"/>
      <w:bookmarkStart w:id="1677" w:name="_Toc304295556"/>
      <w:bookmarkStart w:id="1678" w:name="_Toc312677493"/>
      <w:bookmarkStart w:id="1679" w:name="_Toc303539136"/>
      <w:bookmarkStart w:id="1680" w:name="_Toc296503167"/>
      <w:bookmarkStart w:id="1681" w:name="_Toc296891207"/>
      <w:bookmarkStart w:id="1682" w:name="_Toc292559372"/>
      <w:bookmarkStart w:id="1683" w:name="_Toc267251424"/>
      <w:bookmarkStart w:id="1684" w:name="_Toc280868656"/>
      <w:bookmarkStart w:id="1685" w:name="_Toc280868655"/>
      <w:r>
        <w:rPr>
          <w:rFonts w:hint="eastAsia"/>
          <w:sz w:val="21"/>
          <w:szCs w:val="21"/>
        </w:rPr>
        <w:t>.4 材料与工程设备的保管与使用</w:t>
      </w:r>
      <w:bookmarkEnd w:id="1663"/>
      <w:bookmarkEnd w:id="1664"/>
    </w:p>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p>
      <w:pPr>
        <w:spacing w:line="360" w:lineRule="auto"/>
        <w:ind w:firstLine="420" w:firstLineChars="200"/>
        <w:jc w:val="left"/>
        <w:rPr>
          <w:rFonts w:ascii="宋体" w:hAnsi="宋体"/>
          <w:szCs w:val="21"/>
        </w:rPr>
      </w:pPr>
      <w:r>
        <w:rPr>
          <w:rFonts w:hint="eastAsia" w:ascii="宋体" w:hAnsi="宋体"/>
          <w:szCs w:val="21"/>
        </w:rPr>
        <w:t>8</w:t>
      </w:r>
      <w:bookmarkStart w:id="1686" w:name="_Toc292559878"/>
      <w:bookmarkStart w:id="1687" w:name="_Toc292559373"/>
      <w:bookmarkStart w:id="1688" w:name="_Toc296346669"/>
      <w:bookmarkStart w:id="1689" w:name="_Toc297048354"/>
      <w:bookmarkStart w:id="1690" w:name="_Toc296347167"/>
      <w:bookmarkStart w:id="1691" w:name="_Toc312677494"/>
      <w:bookmarkStart w:id="1692" w:name="_Toc296890996"/>
      <w:bookmarkStart w:id="1693" w:name="_Toc297216187"/>
      <w:bookmarkStart w:id="1694" w:name="_Toc300934980"/>
      <w:bookmarkStart w:id="1695" w:name="_Toc312678020"/>
      <w:bookmarkStart w:id="1696" w:name="_Toc296891208"/>
      <w:bookmarkStart w:id="1697" w:name="_Toc296944507"/>
      <w:bookmarkStart w:id="1698" w:name="_Toc303539137"/>
      <w:bookmarkStart w:id="1699" w:name="_Toc297123528"/>
      <w:bookmarkStart w:id="1700" w:name="_Toc296503168"/>
      <w:bookmarkStart w:id="1701" w:name="_Toc304295557"/>
      <w:bookmarkStart w:id="1702" w:name="_Toc297120468"/>
      <w:bookmarkStart w:id="1703" w:name="_Toc318581173"/>
      <w:r>
        <w:rPr>
          <w:rFonts w:hint="eastAsia" w:ascii="宋体" w:hAnsi="宋体"/>
          <w:szCs w:val="21"/>
        </w:rPr>
        <w:t>.4.1 发包人供应的材料设备的保管费用的承担：</w:t>
      </w:r>
      <w:r>
        <w:rPr>
          <w:rFonts w:hint="eastAsia" w:ascii="宋体" w:hAnsi="宋体"/>
          <w:szCs w:val="21"/>
          <w:u w:val="single"/>
        </w:rPr>
        <w:t xml:space="preserve">           </w:t>
      </w:r>
      <w:r>
        <w:rPr>
          <w:rFonts w:hint="eastAsia" w:ascii="宋体" w:hAnsi="宋体"/>
          <w:szCs w:val="21"/>
        </w:rPr>
        <w:t>。</w:t>
      </w:r>
      <w:bookmarkEnd w:id="1686"/>
      <w:bookmarkEnd w:id="1687"/>
    </w:p>
    <w:p>
      <w:pPr>
        <w:pStyle w:val="7"/>
        <w:spacing w:before="0" w:beforeAutospacing="0" w:after="0" w:afterAutospacing="0" w:line="360" w:lineRule="auto"/>
        <w:ind w:firstLine="421" w:firstLineChars="200"/>
        <w:rPr>
          <w:sz w:val="21"/>
          <w:szCs w:val="21"/>
        </w:rPr>
      </w:pPr>
      <w:bookmarkStart w:id="1704" w:name="_Toc532377365"/>
      <w:bookmarkStart w:id="1705" w:name="_Toc532375629"/>
      <w:r>
        <w:rPr>
          <w:rFonts w:hint="eastAsia"/>
          <w:sz w:val="21"/>
          <w:szCs w:val="21"/>
        </w:rPr>
        <w:t>8.6 样品</w:t>
      </w:r>
      <w:bookmarkEnd w:id="1704"/>
      <w:bookmarkEnd w:id="1705"/>
    </w:p>
    <w:p>
      <w:pPr>
        <w:autoSpaceDE w:val="0"/>
        <w:autoSpaceDN w:val="0"/>
        <w:spacing w:line="360" w:lineRule="auto"/>
        <w:ind w:firstLine="420" w:firstLineChars="200"/>
        <w:jc w:val="left"/>
        <w:rPr>
          <w:rFonts w:ascii="宋体" w:hAnsi="宋体"/>
          <w:szCs w:val="21"/>
        </w:rPr>
      </w:pPr>
      <w:r>
        <w:rPr>
          <w:rFonts w:hint="eastAsia" w:ascii="宋体" w:hAnsi="宋体"/>
          <w:szCs w:val="21"/>
        </w:rPr>
        <w:t>8.6.1 样品的报送与封存</w:t>
      </w:r>
    </w:p>
    <w:p>
      <w:pPr>
        <w:autoSpaceDE w:val="0"/>
        <w:autoSpaceDN w:val="0"/>
        <w:spacing w:line="360" w:lineRule="auto"/>
        <w:ind w:firstLine="420" w:firstLineChars="200"/>
        <w:jc w:val="left"/>
        <w:rPr>
          <w:rFonts w:ascii="宋体" w:hAnsi="宋体"/>
          <w:szCs w:val="21"/>
        </w:rPr>
      </w:pPr>
      <w:r>
        <w:rPr>
          <w:rFonts w:hint="eastAsia" w:ascii="宋体" w:hAnsi="宋体"/>
          <w:szCs w:val="21"/>
        </w:rPr>
        <w:t>需要承包人报送样品的材料或工程设备，样品的种类、名称、规格、数量要求：</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706" w:name="_Toc532377366"/>
      <w:bookmarkStart w:id="1707" w:name="_Toc532375630"/>
      <w:r>
        <w:rPr>
          <w:rFonts w:hint="eastAsia"/>
          <w:sz w:val="21"/>
          <w:szCs w:val="21"/>
        </w:rPr>
        <w:t>8.8 施工设备和临时设施</w:t>
      </w:r>
      <w:bookmarkEnd w:id="1706"/>
      <w:bookmarkEnd w:id="1707"/>
    </w:p>
    <w:p>
      <w:pPr>
        <w:autoSpaceDE w:val="0"/>
        <w:autoSpaceDN w:val="0"/>
        <w:spacing w:line="360" w:lineRule="auto"/>
        <w:ind w:firstLine="420" w:firstLineChars="200"/>
        <w:jc w:val="left"/>
        <w:rPr>
          <w:rFonts w:ascii="宋体" w:hAnsi="宋体"/>
          <w:szCs w:val="21"/>
        </w:rPr>
      </w:pPr>
      <w:r>
        <w:rPr>
          <w:rFonts w:hint="eastAsia" w:ascii="宋体" w:hAnsi="宋体"/>
          <w:szCs w:val="21"/>
        </w:rPr>
        <w:t>8.8.1 承包人提供的施工设备和临时设施</w:t>
      </w:r>
    </w:p>
    <w:p>
      <w:pPr>
        <w:autoSpaceDE w:val="0"/>
        <w:autoSpaceDN w:val="0"/>
        <w:spacing w:line="360" w:lineRule="auto"/>
        <w:ind w:firstLine="420" w:firstLineChars="200"/>
        <w:jc w:val="left"/>
        <w:rPr>
          <w:rFonts w:ascii="宋体" w:hAnsi="宋体"/>
          <w:szCs w:val="21"/>
        </w:rPr>
      </w:pPr>
      <w:r>
        <w:rPr>
          <w:rFonts w:hint="eastAsia" w:ascii="宋体" w:hAnsi="宋体"/>
          <w:szCs w:val="21"/>
        </w:rPr>
        <w:t>关于修建临时设施费用承担的约定：</w:t>
      </w:r>
      <w:r>
        <w:rPr>
          <w:rFonts w:hint="eastAsia" w:ascii="宋体" w:hAnsi="宋体"/>
          <w:szCs w:val="21"/>
          <w:u w:val="single"/>
        </w:rPr>
        <w:t>由承包人承担</w:t>
      </w:r>
      <w:r>
        <w:rPr>
          <w:rFonts w:hint="eastAsia" w:ascii="宋体" w:hAnsi="宋体"/>
          <w:szCs w:val="21"/>
        </w:rPr>
        <w:t>。</w:t>
      </w:r>
    </w:p>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p>
      <w:pPr>
        <w:pStyle w:val="6"/>
        <w:keepNext/>
        <w:keepLines/>
        <w:spacing w:before="156" w:beforeLines="50" w:beforeAutospacing="0" w:after="156" w:afterLines="50" w:afterAutospacing="0" w:line="360" w:lineRule="auto"/>
        <w:jc w:val="both"/>
        <w:rPr>
          <w:bCs w:val="0"/>
          <w:kern w:val="2"/>
          <w:sz w:val="21"/>
          <w:szCs w:val="21"/>
        </w:rPr>
      </w:pPr>
      <w:bookmarkStart w:id="1708" w:name="_Toc532377367"/>
      <w:bookmarkStart w:id="1709" w:name="_Toc351203641"/>
      <w:bookmarkStart w:id="1710" w:name="_Toc532375631"/>
      <w:r>
        <w:rPr>
          <w:rFonts w:hint="eastAsia"/>
          <w:kern w:val="2"/>
          <w:sz w:val="21"/>
          <w:szCs w:val="21"/>
        </w:rPr>
        <w:t>9</w:t>
      </w:r>
      <w:bookmarkEnd w:id="1683"/>
      <w:bookmarkEnd w:id="1684"/>
      <w:bookmarkEnd w:id="1685"/>
      <w:bookmarkStart w:id="1711" w:name="_Toc312678021"/>
      <w:bookmarkStart w:id="1712" w:name="_Toc300934982"/>
      <w:bookmarkStart w:id="1713" w:name="_Toc304295559"/>
      <w:bookmarkStart w:id="1714" w:name="_Toc303539139"/>
      <w:bookmarkStart w:id="1715" w:name="_Toc312677495"/>
      <w:bookmarkStart w:id="1716" w:name="_Toc297216192"/>
      <w:bookmarkStart w:id="1717" w:name="_Toc297123533"/>
      <w:r>
        <w:rPr>
          <w:rFonts w:hint="eastAsia"/>
          <w:kern w:val="2"/>
          <w:sz w:val="21"/>
          <w:szCs w:val="21"/>
        </w:rPr>
        <w:t>. 试验与检验</w:t>
      </w:r>
      <w:bookmarkEnd w:id="1708"/>
      <w:bookmarkEnd w:id="1709"/>
      <w:bookmarkEnd w:id="1710"/>
    </w:p>
    <w:bookmarkEnd w:id="1711"/>
    <w:bookmarkEnd w:id="1712"/>
    <w:bookmarkEnd w:id="1713"/>
    <w:bookmarkEnd w:id="1714"/>
    <w:bookmarkEnd w:id="1715"/>
    <w:bookmarkEnd w:id="1716"/>
    <w:bookmarkEnd w:id="1717"/>
    <w:p>
      <w:pPr>
        <w:pStyle w:val="7"/>
        <w:spacing w:before="0" w:beforeAutospacing="0" w:after="0" w:afterAutospacing="0" w:line="360" w:lineRule="auto"/>
        <w:ind w:firstLine="421" w:firstLineChars="200"/>
        <w:rPr>
          <w:sz w:val="21"/>
          <w:szCs w:val="21"/>
        </w:rPr>
      </w:pPr>
      <w:bookmarkStart w:id="1718" w:name="_Toc532377368"/>
      <w:bookmarkStart w:id="1719" w:name="_Toc532375632"/>
      <w:r>
        <w:rPr>
          <w:rFonts w:hint="eastAsia"/>
          <w:sz w:val="21"/>
          <w:szCs w:val="21"/>
        </w:rPr>
        <w:t>9</w:t>
      </w:r>
      <w:bookmarkStart w:id="1720" w:name="_Toc312677496"/>
      <w:bookmarkStart w:id="1721" w:name="_Toc303539140"/>
      <w:bookmarkStart w:id="1722" w:name="_Toc304295560"/>
      <w:bookmarkStart w:id="1723" w:name="_Toc312678022"/>
      <w:bookmarkStart w:id="1724" w:name="_Toc297123534"/>
      <w:bookmarkStart w:id="1725" w:name="_Toc300934983"/>
      <w:bookmarkStart w:id="1726" w:name="_Toc297216193"/>
      <w:r>
        <w:rPr>
          <w:rFonts w:hint="eastAsia"/>
          <w:sz w:val="21"/>
          <w:szCs w:val="21"/>
        </w:rPr>
        <w:t>.1 试验设备与试验人员</w:t>
      </w:r>
      <w:bookmarkEnd w:id="1718"/>
      <w:bookmarkEnd w:id="1719"/>
    </w:p>
    <w:bookmarkEnd w:id="1720"/>
    <w:bookmarkEnd w:id="1721"/>
    <w:bookmarkEnd w:id="1722"/>
    <w:bookmarkEnd w:id="1723"/>
    <w:bookmarkEnd w:id="1724"/>
    <w:bookmarkEnd w:id="1725"/>
    <w:bookmarkEnd w:id="1726"/>
    <w:p>
      <w:pPr>
        <w:spacing w:line="360" w:lineRule="auto"/>
        <w:ind w:firstLine="420" w:firstLineChars="200"/>
        <w:jc w:val="left"/>
        <w:rPr>
          <w:rFonts w:ascii="宋体" w:hAnsi="宋体"/>
          <w:szCs w:val="21"/>
        </w:rPr>
      </w:pPr>
      <w:r>
        <w:rPr>
          <w:rFonts w:hint="eastAsia" w:ascii="宋体" w:hAnsi="宋体"/>
          <w:szCs w:val="21"/>
        </w:rPr>
        <w:t>9</w:t>
      </w:r>
      <w:bookmarkStart w:id="1727" w:name="_Toc312677497"/>
      <w:bookmarkStart w:id="1728" w:name="_Toc300934984"/>
      <w:bookmarkStart w:id="1729" w:name="_Toc312678023"/>
      <w:bookmarkStart w:id="1730" w:name="_Toc303539141"/>
      <w:bookmarkStart w:id="1731" w:name="_Toc297123535"/>
      <w:bookmarkStart w:id="1732" w:name="_Toc304295561"/>
      <w:bookmarkStart w:id="1733" w:name="_Toc297216194"/>
      <w:bookmarkStart w:id="1734" w:name="_Toc318581174"/>
      <w:r>
        <w:rPr>
          <w:rFonts w:hint="eastAsia" w:ascii="宋体" w:hAnsi="宋体"/>
          <w:szCs w:val="21"/>
        </w:rPr>
        <w:t>.1.2 试验设备</w:t>
      </w:r>
    </w:p>
    <w:p>
      <w:pPr>
        <w:spacing w:line="360" w:lineRule="auto"/>
        <w:ind w:firstLine="420" w:firstLineChars="200"/>
        <w:jc w:val="left"/>
        <w:rPr>
          <w:rFonts w:ascii="宋体" w:hAnsi="宋体"/>
          <w:szCs w:val="21"/>
        </w:rPr>
      </w:pPr>
      <w:r>
        <w:rPr>
          <w:rFonts w:hint="eastAsia" w:ascii="宋体" w:hAnsi="宋体"/>
          <w:szCs w:val="21"/>
        </w:rPr>
        <w:t>施工现场需要配置的试验场所：</w:t>
      </w:r>
      <w:bookmarkEnd w:id="1727"/>
      <w:bookmarkEnd w:id="1728"/>
      <w:bookmarkEnd w:id="1729"/>
      <w:bookmarkEnd w:id="1730"/>
      <w:bookmarkEnd w:id="1731"/>
      <w:bookmarkEnd w:id="1732"/>
      <w:bookmarkEnd w:id="1733"/>
      <w:bookmarkStart w:id="1735" w:name="_Toc304295562"/>
      <w:bookmarkStart w:id="1736" w:name="_Toc312677498"/>
      <w:bookmarkStart w:id="1737" w:name="_Toc297216195"/>
      <w:bookmarkStart w:id="1738" w:name="_Toc300934985"/>
      <w:bookmarkStart w:id="1739" w:name="_Toc303539142"/>
      <w:bookmarkStart w:id="1740" w:name="_Toc297123536"/>
      <w:bookmarkStart w:id="1741" w:name="_Toc312678024"/>
      <w:r>
        <w:rPr>
          <w:rFonts w:hint="eastAsia" w:ascii="宋体" w:hAnsi="宋体"/>
          <w:szCs w:val="21"/>
          <w:u w:val="single"/>
        </w:rPr>
        <w:t>满足工程施工的需要</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施工现场需要配备的试验设备：</w:t>
      </w:r>
      <w:r>
        <w:rPr>
          <w:rFonts w:hint="eastAsia" w:ascii="宋体" w:hAnsi="宋体"/>
          <w:szCs w:val="21"/>
          <w:u w:val="single"/>
        </w:rPr>
        <w:t>满足工程施工的需要</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施工现场需要具备的其他试验条件：</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742" w:name="_Toc532375633"/>
      <w:bookmarkStart w:id="1743" w:name="_Toc532377369"/>
      <w:r>
        <w:rPr>
          <w:rFonts w:hint="eastAsia"/>
          <w:sz w:val="21"/>
          <w:szCs w:val="21"/>
        </w:rPr>
        <w:t>9.4 现场工艺试验</w:t>
      </w:r>
      <w:bookmarkEnd w:id="1742"/>
      <w:bookmarkEnd w:id="1743"/>
    </w:p>
    <w:p>
      <w:pPr>
        <w:spacing w:line="360" w:lineRule="auto"/>
        <w:ind w:firstLine="420" w:firstLineChars="200"/>
        <w:jc w:val="left"/>
        <w:rPr>
          <w:rFonts w:ascii="宋体" w:hAnsi="宋体"/>
          <w:szCs w:val="21"/>
        </w:rPr>
      </w:pPr>
      <w:r>
        <w:rPr>
          <w:rFonts w:hint="eastAsia" w:ascii="宋体" w:hAnsi="宋体"/>
          <w:szCs w:val="21"/>
        </w:rPr>
        <w:t>本款补充9.4.1～9.4.5项：</w:t>
      </w:r>
    </w:p>
    <w:bookmarkEnd w:id="1734"/>
    <w:bookmarkEnd w:id="1735"/>
    <w:bookmarkEnd w:id="1736"/>
    <w:bookmarkEnd w:id="1737"/>
    <w:bookmarkEnd w:id="1738"/>
    <w:bookmarkEnd w:id="1739"/>
    <w:bookmarkEnd w:id="1740"/>
    <w:bookmarkEnd w:id="1741"/>
    <w:p>
      <w:pPr>
        <w:spacing w:line="360" w:lineRule="auto"/>
        <w:ind w:firstLine="420" w:firstLineChars="200"/>
        <w:jc w:val="left"/>
        <w:rPr>
          <w:rFonts w:ascii="宋体" w:hAnsi="宋体"/>
          <w:szCs w:val="21"/>
        </w:rPr>
      </w:pPr>
      <w:r>
        <w:rPr>
          <w:rFonts w:hint="eastAsia" w:ascii="宋体" w:hAnsi="宋体"/>
          <w:szCs w:val="21"/>
        </w:rPr>
        <w:t>9.4.1一般检验试验：</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根据</w:t>
      </w:r>
      <w:r>
        <w:rPr>
          <w:rFonts w:hint="eastAsia" w:ascii="宋体" w:hAnsi="宋体"/>
          <w:szCs w:val="21"/>
          <w:u w:val="single"/>
        </w:rPr>
        <w:t>《建设工程质量检测管理办法》（建设部令第141号）、关于实施《建设工程质量检测管理办法》有关问题的通知（建质〔2009〕25号）、《重庆市建设工程质量检测管理规定》（渝建发〔2009〕123号）、《关于加强我市建设工程质量检测委托管理的通知》（渝建〔2015〕420号）和有关施工规范、验收标准及施工图的规定或要求</w:t>
      </w:r>
      <w:r>
        <w:rPr>
          <w:rFonts w:hint="eastAsia" w:ascii="宋体" w:hAnsi="宋体"/>
          <w:szCs w:val="21"/>
        </w:rPr>
        <w:t>，对工程材料、构件、建筑安装物、半成品、成品进行的一般质量鉴定、检测和试验，由发包人委托的第三方检测试验机构实施，所发生的鉴定、检测和试验费用由发包人承担，不包含在合同价格中。</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实施前，由发包人、承包人和第三方检测试验机构签订三方合同，第三方检测试验机构分别向承包人和发包人出具相应的检测试验报告。根据</w:t>
      </w:r>
      <w:r>
        <w:rPr>
          <w:rFonts w:hint="eastAsia" w:ascii="宋体" w:hAnsi="宋体"/>
          <w:szCs w:val="21"/>
          <w:u w:val="single"/>
        </w:rPr>
        <w:t>渝建〔2015〕420号文和有关施工规范、验收标准及施工图</w:t>
      </w:r>
      <w:r>
        <w:rPr>
          <w:rFonts w:hint="eastAsia" w:ascii="宋体" w:hAnsi="宋体"/>
          <w:szCs w:val="21"/>
        </w:rPr>
        <w:t>的规定或要求，所做的上述检测试验所需的试件取样、制作、送检，试件制作需要提供的材料以及检测、试验的配合工作由承包人负责完成并承担由此产生的所有相关费用。</w:t>
      </w:r>
    </w:p>
    <w:p>
      <w:pPr>
        <w:spacing w:line="360" w:lineRule="auto"/>
        <w:ind w:firstLine="420" w:firstLineChars="200"/>
        <w:jc w:val="left"/>
        <w:rPr>
          <w:rFonts w:ascii="宋体" w:hAnsi="宋体"/>
          <w:szCs w:val="21"/>
        </w:rPr>
      </w:pPr>
      <w:r>
        <w:rPr>
          <w:rFonts w:hint="eastAsia" w:ascii="宋体" w:hAnsi="宋体"/>
          <w:szCs w:val="21"/>
        </w:rPr>
        <w:t>9.4.2特殊检验试验：</w:t>
      </w:r>
    </w:p>
    <w:p>
      <w:pPr>
        <w:spacing w:line="360" w:lineRule="auto"/>
        <w:ind w:firstLine="420" w:firstLineChars="200"/>
        <w:jc w:val="left"/>
        <w:rPr>
          <w:rFonts w:ascii="宋体" w:hAnsi="宋体"/>
          <w:szCs w:val="21"/>
        </w:rPr>
      </w:pPr>
      <w:r>
        <w:rPr>
          <w:rFonts w:hint="eastAsia" w:ascii="宋体" w:hAnsi="宋体"/>
          <w:szCs w:val="21"/>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（幕墙）三性检测、石材放射性检测、石膏板阻燃检测、挡土墙抗渗试验、保温层隔热检测等（根据项目实际情况增减）设计施工规范及其他法律法规规范规定的特殊检验试验项目，根据</w:t>
      </w:r>
      <w:r>
        <w:rPr>
          <w:rFonts w:hint="eastAsia" w:ascii="宋体" w:hAnsi="宋体"/>
          <w:szCs w:val="21"/>
          <w:u w:val="single"/>
        </w:rPr>
        <w:t>渝建〔2015〕420号文</w:t>
      </w:r>
      <w:r>
        <w:rPr>
          <w:rFonts w:hint="eastAsia" w:ascii="宋体" w:hAnsi="宋体"/>
          <w:szCs w:val="21"/>
        </w:rPr>
        <w:t>的规定，均由发包人委托相应的第三方检测试验机构进行检测，所发生的特殊检验试验费由发包人承担，不包含在合同价格中。</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发包人委托的第三方检测试验机构检测试验的试件所需的材料、取样、送检及相关配合工作由承包人负责完成并承担由此产生的所有相关费用。</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（2）施工措施的检测、试验：因施工措施需要而做的相关检测、试验由承包人负责实施，其费用由承包人承担。</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9.4.3专项检测：</w:t>
      </w:r>
      <w:r>
        <w:rPr>
          <w:rFonts w:hint="eastAsia" w:ascii="宋体" w:hAnsi="宋体"/>
          <w:szCs w:val="21"/>
          <w:u w:val="single"/>
        </w:rPr>
        <w:t xml:space="preserve">       </w:t>
      </w:r>
      <w:r>
        <w:rPr>
          <w:rFonts w:hint="eastAsia" w:ascii="宋体" w:hAnsi="宋体"/>
          <w:szCs w:val="21"/>
        </w:rPr>
        <w:t>。</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9.4.4若因承包人取样、制样、送检及相关配合不及时而导致工程的工期和费用增加，影响的工期不予延长，增加费用由承包人承担。</w:t>
      </w:r>
    </w:p>
    <w:p>
      <w:pPr>
        <w:tabs>
          <w:tab w:val="left" w:pos="711"/>
          <w:tab w:val="left" w:pos="2580"/>
        </w:tabs>
        <w:spacing w:line="360" w:lineRule="auto"/>
        <w:ind w:firstLine="420" w:firstLineChars="200"/>
        <w:jc w:val="left"/>
        <w:textAlignment w:val="baseline"/>
        <w:rPr>
          <w:rFonts w:ascii="宋体" w:hAnsi="宋体"/>
          <w:szCs w:val="21"/>
          <w:u w:val="single"/>
        </w:rPr>
      </w:pPr>
      <w:r>
        <w:rPr>
          <w:rFonts w:hint="eastAsia" w:ascii="宋体" w:hAnsi="宋体"/>
          <w:szCs w:val="21"/>
        </w:rPr>
        <w:t>9.4.5检测试验不合格的项目，其缺陷处理和复测费用由承包人承担，工期不予延长。</w:t>
      </w:r>
    </w:p>
    <w:bookmarkEnd w:id="1580"/>
    <w:bookmarkEnd w:id="1581"/>
    <w:bookmarkEnd w:id="1582"/>
    <w:bookmarkEnd w:id="1583"/>
    <w:bookmarkEnd w:id="1584"/>
    <w:bookmarkEnd w:id="1585"/>
    <w:bookmarkEnd w:id="1586"/>
    <w:bookmarkEnd w:id="1587"/>
    <w:bookmarkEnd w:id="1588"/>
    <w:bookmarkEnd w:id="1589"/>
    <w:bookmarkEnd w:id="1590"/>
    <w:bookmarkEnd w:id="1591"/>
    <w:bookmarkEnd w:id="1592"/>
    <w:p>
      <w:pPr>
        <w:pStyle w:val="6"/>
        <w:keepNext/>
        <w:keepLines/>
        <w:spacing w:before="156" w:beforeLines="50" w:beforeAutospacing="0" w:after="156" w:afterLines="50" w:afterAutospacing="0" w:line="360" w:lineRule="auto"/>
        <w:jc w:val="both"/>
        <w:rPr>
          <w:bCs w:val="0"/>
          <w:kern w:val="2"/>
          <w:sz w:val="21"/>
          <w:szCs w:val="21"/>
        </w:rPr>
      </w:pPr>
      <w:bookmarkStart w:id="1744" w:name="_Toc532377370"/>
      <w:bookmarkStart w:id="1745" w:name="_Toc532375634"/>
      <w:bookmarkStart w:id="1746" w:name="_Toc267251484"/>
      <w:bookmarkStart w:id="1747" w:name="_Toc267251489"/>
      <w:bookmarkStart w:id="1748" w:name="_Toc267251490"/>
      <w:bookmarkStart w:id="1749" w:name="_Toc267251488"/>
      <w:bookmarkStart w:id="1750" w:name="_Hlk524298112"/>
      <w:bookmarkStart w:id="1751" w:name="_Toc267251486"/>
      <w:bookmarkStart w:id="1752" w:name="_Toc267251482"/>
      <w:bookmarkStart w:id="1753" w:name="_Toc267251485"/>
      <w:bookmarkStart w:id="1754" w:name="_Toc267251511"/>
      <w:bookmarkStart w:id="1755" w:name="_Toc267251502"/>
      <w:bookmarkStart w:id="1756" w:name="_Toc267251508"/>
      <w:bookmarkStart w:id="1757" w:name="_Toc267251494"/>
      <w:bookmarkStart w:id="1758" w:name="_Toc267251513"/>
      <w:bookmarkStart w:id="1759" w:name="_Toc267251498"/>
      <w:bookmarkStart w:id="1760" w:name="_Toc267251504"/>
      <w:bookmarkStart w:id="1761" w:name="_Toc267251509"/>
      <w:bookmarkStart w:id="1762" w:name="_Toc267251506"/>
      <w:bookmarkStart w:id="1763" w:name="_Toc267251501"/>
      <w:bookmarkStart w:id="1764" w:name="_Toc267251514"/>
      <w:bookmarkStart w:id="1765" w:name="_Toc267251493"/>
      <w:bookmarkStart w:id="1766" w:name="_Toc267251515"/>
      <w:bookmarkStart w:id="1767" w:name="_Toc267251499"/>
      <w:bookmarkStart w:id="1768" w:name="_Toc267251503"/>
      <w:bookmarkStart w:id="1769" w:name="_Toc267251510"/>
      <w:bookmarkStart w:id="1770" w:name="_Toc267251495"/>
      <w:bookmarkStart w:id="1771" w:name="_Toc267251492"/>
      <w:bookmarkStart w:id="1772" w:name="_Toc267251496"/>
      <w:bookmarkStart w:id="1773" w:name="_Toc267251497"/>
      <w:bookmarkStart w:id="1774" w:name="_Toc267251491"/>
      <w:bookmarkStart w:id="1775" w:name="_Toc267251507"/>
      <w:r>
        <w:rPr>
          <w:rFonts w:hint="eastAsia"/>
          <w:kern w:val="2"/>
          <w:sz w:val="21"/>
          <w:szCs w:val="21"/>
        </w:rPr>
        <w:t>1</w:t>
      </w:r>
      <w:bookmarkStart w:id="1776" w:name="_Toc296891233"/>
      <w:bookmarkStart w:id="1777" w:name="_Toc292559398"/>
      <w:bookmarkStart w:id="1778" w:name="_Toc300934989"/>
      <w:bookmarkStart w:id="1779" w:name="_Toc297216199"/>
      <w:bookmarkStart w:id="1780" w:name="_Toc292559903"/>
      <w:bookmarkStart w:id="1781" w:name="_Toc303539146"/>
      <w:bookmarkStart w:id="1782" w:name="_Toc296944532"/>
      <w:bookmarkStart w:id="1783" w:name="_Toc304295566"/>
      <w:bookmarkStart w:id="1784" w:name="_Toc296346694"/>
      <w:bookmarkStart w:id="1785" w:name="_Toc296347192"/>
      <w:bookmarkStart w:id="1786" w:name="_Toc296891021"/>
      <w:bookmarkStart w:id="1787" w:name="_Toc297123540"/>
      <w:bookmarkStart w:id="1788" w:name="_Toc297048379"/>
      <w:bookmarkStart w:id="1789" w:name="_Toc296503193"/>
      <w:bookmarkStart w:id="1790" w:name="_Toc297120493"/>
      <w:bookmarkStart w:id="1791" w:name="_Toc312677499"/>
      <w:bookmarkStart w:id="1792" w:name="_Toc312678025"/>
      <w:bookmarkStart w:id="1793" w:name="_Toc267251441"/>
      <w:bookmarkStart w:id="1794" w:name="_Toc267251440"/>
      <w:bookmarkStart w:id="1795" w:name="_Toc267251437"/>
      <w:bookmarkStart w:id="1796" w:name="_Toc267251439"/>
      <w:bookmarkStart w:id="1797" w:name="_Toc267251435"/>
      <w:bookmarkStart w:id="1798" w:name="_Toc267251433"/>
      <w:r>
        <w:rPr>
          <w:rFonts w:hint="eastAsia"/>
          <w:kern w:val="2"/>
          <w:sz w:val="21"/>
          <w:szCs w:val="21"/>
        </w:rPr>
        <w:t>0. 变更</w:t>
      </w:r>
      <w:bookmarkEnd w:id="1744"/>
      <w:bookmarkEnd w:id="174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p>
    <w:bookmarkEnd w:id="1791"/>
    <w:bookmarkEnd w:id="1792"/>
    <w:p>
      <w:pPr>
        <w:pStyle w:val="7"/>
        <w:spacing w:before="0" w:beforeAutospacing="0" w:after="0" w:afterAutospacing="0" w:line="360" w:lineRule="auto"/>
        <w:ind w:firstLine="421" w:firstLineChars="200"/>
        <w:rPr>
          <w:sz w:val="21"/>
          <w:szCs w:val="21"/>
        </w:rPr>
      </w:pPr>
      <w:bookmarkStart w:id="1799" w:name="_Toc532375635"/>
      <w:bookmarkStart w:id="1800" w:name="_Toc532377371"/>
      <w:r>
        <w:rPr>
          <w:rFonts w:hint="eastAsia"/>
          <w:sz w:val="21"/>
          <w:szCs w:val="21"/>
        </w:rPr>
        <w:t>1</w:t>
      </w:r>
      <w:bookmarkStart w:id="1801" w:name="_Toc292559399"/>
      <w:bookmarkStart w:id="1802" w:name="_Toc296891022"/>
      <w:bookmarkStart w:id="1803" w:name="_Toc297048380"/>
      <w:bookmarkStart w:id="1804" w:name="_Toc296891234"/>
      <w:bookmarkStart w:id="1805" w:name="_Toc300934990"/>
      <w:bookmarkStart w:id="1806" w:name="_Toc304295567"/>
      <w:bookmarkStart w:id="1807" w:name="_Toc312678026"/>
      <w:bookmarkStart w:id="1808" w:name="_Toc312677500"/>
      <w:bookmarkStart w:id="1809" w:name="_Toc292559904"/>
      <w:bookmarkStart w:id="1810" w:name="_Toc296346695"/>
      <w:bookmarkStart w:id="1811" w:name="_Toc303539147"/>
      <w:bookmarkStart w:id="1812" w:name="_Toc297216200"/>
      <w:bookmarkStart w:id="1813" w:name="_Toc297123541"/>
      <w:bookmarkStart w:id="1814" w:name="_Toc296347193"/>
      <w:bookmarkStart w:id="1815" w:name="_Toc296503194"/>
      <w:bookmarkStart w:id="1816" w:name="_Toc297120494"/>
      <w:bookmarkStart w:id="1817" w:name="_Toc296944533"/>
      <w:r>
        <w:rPr>
          <w:rFonts w:hint="eastAsia"/>
          <w:sz w:val="21"/>
          <w:szCs w:val="21"/>
        </w:rPr>
        <w:t>0.1变更的范围</w:t>
      </w:r>
      <w:bookmarkEnd w:id="1799"/>
      <w:bookmarkEnd w:id="1800"/>
    </w:p>
    <w:p>
      <w:pPr>
        <w:spacing w:line="360" w:lineRule="auto"/>
        <w:ind w:firstLine="420" w:firstLineChars="200"/>
        <w:jc w:val="left"/>
        <w:rPr>
          <w:rFonts w:ascii="宋体" w:hAnsi="宋体"/>
          <w:szCs w:val="21"/>
        </w:rPr>
      </w:pPr>
      <w:r>
        <w:rPr>
          <w:rFonts w:hint="eastAsia" w:ascii="宋体" w:hAnsi="宋体"/>
          <w:szCs w:val="21"/>
        </w:rPr>
        <w:t>关于变更范围的约定：</w:t>
      </w:r>
    </w:p>
    <w:p>
      <w:pPr>
        <w:spacing w:line="360" w:lineRule="auto"/>
        <w:ind w:firstLine="420" w:firstLineChars="200"/>
        <w:jc w:val="left"/>
        <w:rPr>
          <w:rFonts w:ascii="宋体" w:hAnsi="宋体"/>
          <w:szCs w:val="21"/>
        </w:rPr>
      </w:pPr>
      <w:r>
        <w:rPr>
          <w:rFonts w:hint="eastAsia" w:ascii="宋体" w:hAnsi="宋体"/>
          <w:szCs w:val="21"/>
        </w:rPr>
        <w:t>（1）增加或减少合同中任何工作，或追加额外的工作；</w:t>
      </w:r>
    </w:p>
    <w:p>
      <w:pPr>
        <w:spacing w:line="360" w:lineRule="auto"/>
        <w:ind w:firstLine="420" w:firstLineChars="200"/>
        <w:jc w:val="left"/>
        <w:rPr>
          <w:rFonts w:ascii="宋体" w:hAnsi="宋体"/>
          <w:szCs w:val="21"/>
        </w:rPr>
      </w:pPr>
      <w:r>
        <w:rPr>
          <w:rFonts w:hint="eastAsia" w:ascii="宋体" w:hAnsi="宋体"/>
          <w:szCs w:val="21"/>
        </w:rPr>
        <w:t>（2）取消合同中任何工作；</w:t>
      </w:r>
    </w:p>
    <w:p>
      <w:pPr>
        <w:spacing w:line="360" w:lineRule="auto"/>
        <w:ind w:firstLine="420" w:firstLineChars="200"/>
        <w:jc w:val="left"/>
        <w:rPr>
          <w:rFonts w:ascii="宋体" w:hAnsi="宋体"/>
          <w:szCs w:val="21"/>
        </w:rPr>
      </w:pPr>
      <w:r>
        <w:rPr>
          <w:rFonts w:hint="eastAsia" w:ascii="宋体" w:hAnsi="宋体"/>
          <w:szCs w:val="21"/>
        </w:rPr>
        <w:t>（3）改变合同中任何工作的质量标准或其他特性；</w:t>
      </w:r>
    </w:p>
    <w:p>
      <w:pPr>
        <w:spacing w:line="360" w:lineRule="auto"/>
        <w:ind w:firstLine="420" w:firstLineChars="200"/>
        <w:jc w:val="left"/>
        <w:rPr>
          <w:rFonts w:ascii="宋体" w:hAnsi="宋体"/>
          <w:szCs w:val="21"/>
        </w:rPr>
      </w:pPr>
      <w:r>
        <w:rPr>
          <w:rFonts w:hint="eastAsia" w:ascii="宋体" w:hAnsi="宋体"/>
          <w:szCs w:val="21"/>
        </w:rPr>
        <w:t>（4）改变工程的基线、标高、位置和尺寸；</w:t>
      </w:r>
    </w:p>
    <w:p>
      <w:pPr>
        <w:spacing w:line="360" w:lineRule="auto"/>
        <w:ind w:firstLine="420" w:firstLineChars="200"/>
        <w:jc w:val="left"/>
        <w:rPr>
          <w:rFonts w:ascii="宋体" w:hAnsi="宋体"/>
          <w:szCs w:val="21"/>
        </w:rPr>
      </w:pPr>
      <w:r>
        <w:rPr>
          <w:rFonts w:hint="eastAsia" w:ascii="宋体" w:hAnsi="宋体"/>
          <w:szCs w:val="21"/>
        </w:rPr>
        <w:t>（5）适用于工程的标准和（或）规范变化导致需要对工程进行改变，且该改变导致工期和（或）费用变化的；</w:t>
      </w:r>
    </w:p>
    <w:p>
      <w:pPr>
        <w:spacing w:line="360" w:lineRule="auto"/>
        <w:ind w:firstLine="420" w:firstLineChars="200"/>
        <w:jc w:val="left"/>
        <w:rPr>
          <w:rFonts w:ascii="宋体" w:hAnsi="宋体"/>
          <w:szCs w:val="21"/>
        </w:rPr>
      </w:pPr>
      <w:r>
        <w:rPr>
          <w:rFonts w:hint="eastAsia" w:ascii="宋体" w:hAnsi="宋体"/>
          <w:szCs w:val="21"/>
        </w:rPr>
        <w:t>（6）勘察设计变更；</w:t>
      </w:r>
    </w:p>
    <w:p>
      <w:pPr>
        <w:spacing w:line="360" w:lineRule="auto"/>
        <w:ind w:firstLine="420" w:firstLineChars="200"/>
        <w:jc w:val="left"/>
        <w:rPr>
          <w:rFonts w:ascii="宋体" w:hAnsi="宋体"/>
          <w:szCs w:val="21"/>
        </w:rPr>
      </w:pPr>
      <w:r>
        <w:rPr>
          <w:rFonts w:hint="eastAsia" w:ascii="宋体" w:hAnsi="宋体"/>
          <w:szCs w:val="21"/>
        </w:rPr>
        <w:t>（7）实施内容变更，包括因设计变更和非设计变更引起的实施地点、投资规模、结构型式、采购数量、服务内容等进行的调整，以及因此导致的合同价格、工期变更；</w:t>
      </w:r>
    </w:p>
    <w:p>
      <w:pPr>
        <w:spacing w:line="360" w:lineRule="auto"/>
        <w:ind w:firstLine="420" w:firstLineChars="200"/>
        <w:jc w:val="left"/>
        <w:rPr>
          <w:rFonts w:ascii="宋体" w:hAnsi="宋体"/>
          <w:szCs w:val="21"/>
        </w:rPr>
      </w:pPr>
      <w:r>
        <w:rPr>
          <w:rFonts w:hint="eastAsia" w:ascii="宋体" w:hAnsi="宋体"/>
          <w:szCs w:val="21"/>
        </w:rPr>
        <w:t>（8）项目管理人员变更；</w:t>
      </w:r>
    </w:p>
    <w:p>
      <w:pPr>
        <w:spacing w:line="360" w:lineRule="auto"/>
        <w:ind w:firstLine="420" w:firstLineChars="200"/>
        <w:jc w:val="left"/>
        <w:rPr>
          <w:rFonts w:ascii="宋体" w:hAnsi="宋体"/>
          <w:szCs w:val="21"/>
        </w:rPr>
      </w:pPr>
      <w:r>
        <w:rPr>
          <w:rFonts w:hint="eastAsia" w:ascii="宋体" w:hAnsi="宋体"/>
          <w:szCs w:val="21"/>
        </w:rPr>
        <w:t>（9）因人工、原材料等价格变化导致的合同总价变更；</w:t>
      </w:r>
    </w:p>
    <w:p>
      <w:pPr>
        <w:spacing w:line="360" w:lineRule="auto"/>
        <w:ind w:firstLine="420" w:firstLineChars="200"/>
        <w:jc w:val="left"/>
        <w:rPr>
          <w:rFonts w:ascii="宋体" w:hAnsi="宋体"/>
          <w:szCs w:val="21"/>
        </w:rPr>
      </w:pPr>
      <w:r>
        <w:rPr>
          <w:rFonts w:hint="eastAsia" w:ascii="宋体" w:hAnsi="宋体"/>
          <w:szCs w:val="21"/>
        </w:rPr>
        <w:t>（10）非实施内容变化导致的工期变更；</w:t>
      </w:r>
    </w:p>
    <w:p>
      <w:pPr>
        <w:spacing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w:t>
      </w:r>
      <w:r>
        <w:rPr>
          <w:rFonts w:hint="eastAsia" w:ascii="宋体" w:hAnsi="宋体"/>
          <w:szCs w:val="21"/>
          <w:u w:val="single"/>
        </w:rPr>
        <w:t>《重庆市政府投资项目合同变更管理暂行办法》</w:t>
      </w:r>
      <w:r>
        <w:rPr>
          <w:rFonts w:hint="eastAsia" w:ascii="宋体" w:hAnsi="宋体"/>
          <w:szCs w:val="21"/>
        </w:rPr>
        <w:t>要求进行信息公开。项目合同变更未获得通过的，发包人和承包人均不得擅自变更原合同约定事项，且不得就同一理由同一事项再提出变更。</w:t>
      </w:r>
    </w:p>
    <w:p>
      <w:pPr>
        <w:spacing w:line="360" w:lineRule="auto"/>
        <w:ind w:firstLine="420" w:firstLineChars="200"/>
        <w:jc w:val="left"/>
        <w:rPr>
          <w:rFonts w:ascii="宋体" w:hAnsi="宋体"/>
          <w:szCs w:val="21"/>
          <w:u w:val="single"/>
        </w:rPr>
      </w:pPr>
      <w:r>
        <w:rPr>
          <w:rFonts w:hint="eastAsia" w:ascii="宋体" w:hAnsi="宋体"/>
          <w:szCs w:val="21"/>
        </w:rPr>
        <w:t>承包人对其提供的材料、工程设备、施工、无负荷试车、热负荷试车及图纸参数存在的缺陷，自费修正、调整和完善，不属于变更。</w:t>
      </w:r>
    </w:p>
    <w:p>
      <w:pPr>
        <w:pStyle w:val="7"/>
        <w:spacing w:before="0" w:beforeAutospacing="0" w:after="0" w:afterAutospacing="0" w:line="360" w:lineRule="auto"/>
        <w:ind w:firstLine="421" w:firstLineChars="200"/>
        <w:rPr>
          <w:sz w:val="21"/>
          <w:szCs w:val="21"/>
        </w:rPr>
      </w:pPr>
      <w:bookmarkStart w:id="1818" w:name="_Toc532375636"/>
      <w:bookmarkStart w:id="1819" w:name="_Toc351203569"/>
      <w:bookmarkStart w:id="1820" w:name="_Toc532377372"/>
      <w:r>
        <w:rPr>
          <w:rFonts w:hint="eastAsia"/>
          <w:sz w:val="21"/>
          <w:szCs w:val="21"/>
        </w:rPr>
        <w:t>1</w:t>
      </w:r>
      <w:bookmarkStart w:id="1821" w:name="_Toc337558789"/>
      <w:bookmarkStart w:id="1822" w:name="_Toc296346586"/>
      <w:bookmarkStart w:id="1823" w:name="_Toc296503085"/>
      <w:r>
        <w:rPr>
          <w:rFonts w:hint="eastAsia"/>
          <w:sz w:val="21"/>
          <w:szCs w:val="21"/>
        </w:rPr>
        <w:t>0.2变更权</w:t>
      </w:r>
      <w:bookmarkEnd w:id="1818"/>
      <w:bookmarkEnd w:id="1819"/>
      <w:bookmarkEnd w:id="1820"/>
    </w:p>
    <w:bookmarkEnd w:id="1821"/>
    <w:bookmarkEnd w:id="1822"/>
    <w:bookmarkEnd w:id="1823"/>
    <w:p>
      <w:pPr>
        <w:spacing w:line="360" w:lineRule="auto"/>
        <w:ind w:firstLine="420" w:firstLineChars="200"/>
        <w:jc w:val="left"/>
        <w:rPr>
          <w:rFonts w:ascii="宋体" w:hAnsi="宋体"/>
          <w:szCs w:val="21"/>
        </w:rPr>
      </w:pPr>
      <w:r>
        <w:rPr>
          <w:rFonts w:hint="eastAsia" w:ascii="宋体" w:hAnsi="宋体"/>
          <w:szCs w:val="21"/>
        </w:rPr>
        <w:t>10.2.1发包人和监理人提出变更</w:t>
      </w:r>
    </w:p>
    <w:p>
      <w:pPr>
        <w:spacing w:line="360" w:lineRule="auto"/>
        <w:ind w:firstLine="420" w:firstLineChars="200"/>
        <w:jc w:val="left"/>
        <w:rPr>
          <w:rFonts w:ascii="宋体" w:hAnsi="宋体"/>
          <w:szCs w:val="21"/>
        </w:rPr>
      </w:pPr>
      <w:r>
        <w:rPr>
          <w:rFonts w:hint="eastAsia" w:ascii="宋体" w:hAnsi="宋体"/>
          <w:szCs w:val="21"/>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pPr>
        <w:spacing w:line="360" w:lineRule="auto"/>
        <w:ind w:firstLine="420" w:firstLineChars="200"/>
        <w:jc w:val="left"/>
        <w:rPr>
          <w:rFonts w:ascii="宋体" w:hAnsi="宋体"/>
          <w:szCs w:val="21"/>
          <w:u w:val="single"/>
        </w:rPr>
      </w:pPr>
      <w:r>
        <w:rPr>
          <w:rFonts w:hint="eastAsia" w:ascii="宋体" w:hAnsi="宋体"/>
          <w:szCs w:val="21"/>
        </w:rPr>
        <w:t>涉及设计变更的，应由设计人提供变更后的图纸和说明，交由发包人同意后由监理人以书面形式发出。如变更超过原设计标准或批准的建设规模时，由发包人及时办理规划、设计变更等审批手续。</w:t>
      </w:r>
    </w:p>
    <w:p>
      <w:pPr>
        <w:spacing w:line="360" w:lineRule="auto"/>
        <w:ind w:firstLine="420" w:firstLineChars="200"/>
        <w:jc w:val="left"/>
        <w:rPr>
          <w:rFonts w:ascii="宋体" w:hAnsi="宋体"/>
          <w:szCs w:val="21"/>
        </w:rPr>
      </w:pPr>
      <w:r>
        <w:rPr>
          <w:rFonts w:hint="eastAsia" w:ascii="宋体" w:hAnsi="宋体"/>
          <w:szCs w:val="21"/>
        </w:rPr>
        <w:t>若出现重大设计变更，变更后的内容超出承包人资质或能力范围的，发包人将另行依法招标选择承包单位，无需征得承包人同意。</w:t>
      </w:r>
    </w:p>
    <w:p>
      <w:pPr>
        <w:spacing w:line="360" w:lineRule="auto"/>
        <w:ind w:firstLine="420" w:firstLineChars="200"/>
        <w:jc w:val="left"/>
        <w:rPr>
          <w:rFonts w:ascii="宋体" w:hAnsi="宋体"/>
          <w:szCs w:val="21"/>
        </w:rPr>
      </w:pPr>
      <w:r>
        <w:rPr>
          <w:rFonts w:hint="eastAsia" w:ascii="宋体" w:hAnsi="宋体"/>
          <w:szCs w:val="21"/>
        </w:rPr>
        <w:t>10.2.2 承包人提出变更建议</w:t>
      </w:r>
    </w:p>
    <w:p>
      <w:pPr>
        <w:spacing w:line="360" w:lineRule="auto"/>
        <w:ind w:firstLine="420" w:firstLineChars="200"/>
        <w:jc w:val="left"/>
        <w:rPr>
          <w:rFonts w:ascii="宋体" w:hAnsi="宋体"/>
          <w:szCs w:val="21"/>
        </w:rPr>
      </w:pPr>
      <w:r>
        <w:rPr>
          <w:rFonts w:hint="eastAsia" w:ascii="宋体" w:hAnsi="宋体"/>
          <w:szCs w:val="21"/>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Pr>
          <w:rFonts w:hint="eastAsia" w:ascii="宋体" w:hAnsi="宋体"/>
          <w:szCs w:val="21"/>
          <w:u w:val="single"/>
        </w:rPr>
        <w:t>缩短工期，降低发包人的工程、施工、维护、营运的费用，提高竣工工程的效率或价值，给发包人带来的长远利益和其他利益。发包人接到此类建议后，可以选择：不采纳/采纳/补充进一步资料的书面通知</w:t>
      </w:r>
      <w:r>
        <w:rPr>
          <w:rFonts w:hint="eastAsia" w:ascii="宋体" w:hAnsi="宋体"/>
          <w:szCs w:val="21"/>
        </w:rPr>
        <w:t>。</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rPr>
        <w:t>如果发包人对承包人已实施的施工项目在发出重大设计变更之前要求承包人提出一份建议，那么，承包人应尽快提出：</w:t>
      </w:r>
    </w:p>
    <w:p>
      <w:pPr>
        <w:autoSpaceDE w:val="0"/>
        <w:autoSpaceDN w:val="0"/>
        <w:spacing w:line="360" w:lineRule="auto"/>
        <w:ind w:firstLine="420" w:firstLineChars="200"/>
        <w:jc w:val="left"/>
        <w:rPr>
          <w:rFonts w:ascii="宋体" w:hAnsi="宋体"/>
          <w:szCs w:val="21"/>
        </w:rPr>
      </w:pPr>
      <w:r>
        <w:rPr>
          <w:rFonts w:hint="eastAsia" w:ascii="宋体" w:hAnsi="宋体"/>
          <w:szCs w:val="21"/>
          <w:u w:val="single"/>
        </w:rPr>
        <w:t>（1）对所提方案和（或）待做工作及其实施计划的说明</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u w:val="single"/>
        </w:rPr>
        <w:t>（2）承包人按照对工程进度计划进行必要修改的建议</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u w:val="single"/>
        </w:rPr>
        <w:t>（3）承包人发生较大返工损失增加费用的建议</w:t>
      </w:r>
      <w:r>
        <w:rPr>
          <w:rFonts w:hint="eastAsia" w:ascii="宋体" w:hAnsi="宋体"/>
          <w:szCs w:val="21"/>
        </w:rPr>
        <w:t>。</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发包人在收到上述建议书后，应尽快给予批准、否决或提出意见</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824" w:name="_Toc532377373"/>
      <w:bookmarkStart w:id="1825" w:name="_Toc532375637"/>
      <w:bookmarkStart w:id="1826" w:name="_Hlk528928195"/>
      <w:bookmarkStart w:id="1827" w:name="_Toc351203570"/>
      <w:r>
        <w:rPr>
          <w:rFonts w:hint="eastAsia"/>
          <w:sz w:val="21"/>
          <w:szCs w:val="21"/>
        </w:rPr>
        <w:t>1</w:t>
      </w:r>
      <w:bookmarkStart w:id="1828" w:name="_Toc296503086"/>
      <w:bookmarkStart w:id="1829" w:name="_Toc337558790"/>
      <w:bookmarkStart w:id="1830" w:name="_Toc296346587"/>
      <w:r>
        <w:rPr>
          <w:rFonts w:hint="eastAsia"/>
          <w:sz w:val="21"/>
          <w:szCs w:val="21"/>
        </w:rPr>
        <w:t>0.3变更程序</w:t>
      </w:r>
      <w:bookmarkEnd w:id="1824"/>
      <w:bookmarkEnd w:id="1825"/>
    </w:p>
    <w:bookmarkEnd w:id="1828"/>
    <w:bookmarkEnd w:id="1829"/>
    <w:bookmarkEnd w:id="1830"/>
    <w:p>
      <w:pPr>
        <w:autoSpaceDE w:val="0"/>
        <w:autoSpaceDN w:val="0"/>
        <w:spacing w:line="360" w:lineRule="auto"/>
        <w:ind w:firstLine="420" w:firstLineChars="200"/>
        <w:jc w:val="left"/>
        <w:rPr>
          <w:rFonts w:ascii="宋体" w:hAnsi="宋体"/>
          <w:szCs w:val="21"/>
        </w:rPr>
      </w:pPr>
      <w:bookmarkStart w:id="1831" w:name="_Hlk524353972"/>
      <w:r>
        <w:rPr>
          <w:rFonts w:hint="eastAsia" w:ascii="宋体" w:hAnsi="宋体"/>
          <w:szCs w:val="21"/>
        </w:rPr>
        <w:t>10.3.3 变更执行</w:t>
      </w:r>
    </w:p>
    <w:p>
      <w:pPr>
        <w:autoSpaceDE w:val="0"/>
        <w:autoSpaceDN w:val="0"/>
        <w:spacing w:line="360" w:lineRule="auto"/>
        <w:ind w:firstLine="420" w:firstLineChars="200"/>
        <w:jc w:val="left"/>
        <w:rPr>
          <w:rFonts w:ascii="宋体" w:hAnsi="宋体"/>
          <w:szCs w:val="21"/>
        </w:rPr>
      </w:pPr>
      <w:r>
        <w:rPr>
          <w:rFonts w:hint="eastAsia" w:ascii="宋体" w:hAnsi="宋体"/>
          <w:szCs w:val="21"/>
        </w:rPr>
        <w:t>一般设计变更：承包人收到监理人下达的变更指示后，应按照监理人下达的变更指示执行，并书面说明实施该变更指示对合同价格和工期的影响，按照第10.4.1项〔变更估价原则〕约定执行。</w:t>
      </w:r>
    </w:p>
    <w:p>
      <w:pPr>
        <w:autoSpaceDE w:val="0"/>
        <w:autoSpaceDN w:val="0"/>
        <w:spacing w:line="360" w:lineRule="auto"/>
        <w:ind w:firstLine="420" w:firstLineChars="200"/>
        <w:jc w:val="left"/>
        <w:rPr>
          <w:rFonts w:ascii="宋体" w:hAnsi="宋体"/>
          <w:szCs w:val="21"/>
        </w:rPr>
      </w:pPr>
      <w:r>
        <w:rPr>
          <w:rFonts w:hint="eastAsia" w:ascii="宋体" w:hAnsi="宋体"/>
          <w:szCs w:val="21"/>
        </w:rPr>
        <w:t>重大设计变更：需经设计人、监理人和发包人三方签名认可并报相关行业部门审查同意后实施。</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10.3.3 项增加以下内容：</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项目的勘察设计、实施内容等作较大变更的，应当按照规定的程序报原审批部门审批；变更导致总投资超概的，应当报原投资概算核定部门核定。</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项目管理人员变更的，应当经发包人领导班子集体决策同意，并将变更信息推送给行业主管部门。变更后的项目管理人员应当符合招标文件和行业主管部门的相关规定。</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因人工、原材料市场价格发生大幅度变化导致的合同总价变更，由发包人与承包人按照合同进行变更，并将变更信息推送给行业主管部门。</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项目实施内容无变更，因不可抗力导致的工期变更，由发包人领导班子集体决策同意，并将变更信息推送给行业主管部门；因项目实施内容变更导致的工期变更，与项目实施内容变更一并办理。</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项目合同变更后，增加的实施内容达到依法必须招标的规模标准的，增加的部分应当依法通过招标选择承包单位。</w:t>
      </w:r>
    </w:p>
    <w:bookmarkEnd w:id="1826"/>
    <w:bookmarkEnd w:id="1827"/>
    <w:bookmarkEnd w:id="1831"/>
    <w:p>
      <w:pPr>
        <w:pStyle w:val="7"/>
        <w:spacing w:before="0" w:beforeAutospacing="0" w:after="0" w:afterAutospacing="0" w:line="360" w:lineRule="auto"/>
        <w:ind w:firstLine="421" w:firstLineChars="200"/>
        <w:rPr>
          <w:sz w:val="21"/>
          <w:szCs w:val="21"/>
        </w:rPr>
      </w:pPr>
      <w:bookmarkStart w:id="1832" w:name="_Toc532375638"/>
      <w:bookmarkStart w:id="1833" w:name="_Toc532377374"/>
      <w:r>
        <w:rPr>
          <w:rFonts w:hint="eastAsia"/>
          <w:sz w:val="21"/>
          <w:szCs w:val="21"/>
        </w:rPr>
        <w:t>10.4 变更估价</w:t>
      </w:r>
      <w:bookmarkEnd w:id="1832"/>
      <w:bookmarkEnd w:id="1833"/>
    </w:p>
    <w:p>
      <w:pPr>
        <w:spacing w:line="360" w:lineRule="auto"/>
        <w:ind w:firstLine="420" w:firstLineChars="200"/>
        <w:jc w:val="left"/>
        <w:rPr>
          <w:rFonts w:ascii="宋体" w:hAnsi="宋体"/>
          <w:szCs w:val="21"/>
        </w:rPr>
      </w:pPr>
      <w:bookmarkStart w:id="1834" w:name="_Hlk524296629"/>
      <w:r>
        <w:rPr>
          <w:rFonts w:hint="eastAsia" w:ascii="宋体" w:hAnsi="宋体"/>
          <w:szCs w:val="21"/>
        </w:rPr>
        <w:t>10.4.1 变更估价原则</w:t>
      </w:r>
    </w:p>
    <w:p>
      <w:pPr>
        <w:pStyle w:val="2"/>
        <w:spacing w:after="0" w:line="360" w:lineRule="auto"/>
        <w:ind w:firstLine="420" w:firstLineChars="200"/>
        <w:jc w:val="left"/>
        <w:rPr>
          <w:rFonts w:ascii="宋体" w:hAnsi="宋体"/>
          <w:szCs w:val="21"/>
          <w:u w:val="single"/>
        </w:rPr>
      </w:pPr>
      <w:r>
        <w:rPr>
          <w:rFonts w:hint="eastAsia" w:ascii="宋体" w:hAnsi="宋体"/>
          <w:szCs w:val="21"/>
        </w:rPr>
        <w:t>当发生工程变更时，工程量按</w:t>
      </w:r>
      <w:r>
        <w:rPr>
          <w:rFonts w:hint="eastAsia" w:ascii="宋体" w:hAnsi="宋体"/>
          <w:szCs w:val="21"/>
          <w:u w:val="single"/>
        </w:rPr>
        <w:t xml:space="preserve">        </w:t>
      </w:r>
      <w:r>
        <w:rPr>
          <w:rFonts w:hint="eastAsia" w:ascii="宋体" w:hAnsi="宋体"/>
          <w:szCs w:val="21"/>
        </w:rPr>
        <w:t>规定的计算规则及已标价工程量清单规定的工程量计算规则计量，按以下办法计价：</w:t>
      </w:r>
      <w:bookmarkStart w:id="1835" w:name="_Hlk524770102"/>
    </w:p>
    <w:bookmarkEnd w:id="1835"/>
    <w:p>
      <w:pPr>
        <w:spacing w:line="360" w:lineRule="auto"/>
        <w:ind w:firstLine="420" w:firstLineChars="200"/>
        <w:jc w:val="left"/>
        <w:rPr>
          <w:rFonts w:ascii="宋体" w:hAnsi="宋体"/>
          <w:szCs w:val="21"/>
        </w:rPr>
      </w:pPr>
      <w:r>
        <w:rPr>
          <w:rFonts w:hint="eastAsia" w:ascii="宋体" w:hAnsi="宋体"/>
          <w:szCs w:val="21"/>
        </w:rPr>
        <w:t>10.4.1.1已标价工程量清单中有相同项目的，按照相同项目单价计算；</w:t>
      </w:r>
    </w:p>
    <w:p>
      <w:pPr>
        <w:spacing w:line="360" w:lineRule="auto"/>
        <w:ind w:firstLine="420" w:firstLineChars="200"/>
        <w:jc w:val="left"/>
        <w:rPr>
          <w:rFonts w:ascii="宋体" w:hAnsi="宋体"/>
          <w:szCs w:val="21"/>
        </w:rPr>
      </w:pPr>
      <w:r>
        <w:rPr>
          <w:rFonts w:hint="eastAsia" w:ascii="宋体" w:hAnsi="宋体"/>
          <w:szCs w:val="21"/>
        </w:rPr>
        <w:t>10.4.1.2已标价工程量清单中有类似项目的，参考类似项目单价计算；</w:t>
      </w:r>
    </w:p>
    <w:p>
      <w:pPr>
        <w:spacing w:line="360" w:lineRule="auto"/>
        <w:ind w:firstLine="420" w:firstLineChars="200"/>
        <w:jc w:val="left"/>
        <w:rPr>
          <w:rFonts w:ascii="宋体" w:hAnsi="宋体"/>
          <w:szCs w:val="21"/>
        </w:rPr>
      </w:pPr>
      <w:r>
        <w:rPr>
          <w:rFonts w:hint="eastAsia" w:ascii="宋体" w:hAnsi="宋体"/>
          <w:szCs w:val="21"/>
        </w:rPr>
        <w:t>10.4.1.3已标价工程量清单中无相同项目亦无类似项目的，按照以下原则执行：</w:t>
      </w:r>
    </w:p>
    <w:p>
      <w:pPr>
        <w:spacing w:line="360" w:lineRule="auto"/>
        <w:ind w:firstLine="420" w:firstLineChars="200"/>
        <w:jc w:val="left"/>
        <w:rPr>
          <w:rFonts w:ascii="宋体" w:hAnsi="宋体"/>
          <w:szCs w:val="21"/>
        </w:rPr>
      </w:pPr>
      <w:r>
        <w:rPr>
          <w:rFonts w:hint="eastAsia" w:ascii="宋体" w:hAnsi="宋体"/>
          <w:szCs w:val="21"/>
          <w:u w:val="single"/>
        </w:rPr>
        <w:t>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进行组价并按承包人报价浮动率下浮（认质核价的设备和材料不参与浮动），经监理人、发包人审定后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承包人报价浮动率按下列公式计算：承包人报价浮动率=（1-中标价/最高限价）×100%。</w:t>
      </w:r>
    </w:p>
    <w:p>
      <w:pPr>
        <w:spacing w:line="360" w:lineRule="auto"/>
        <w:ind w:firstLine="420" w:firstLineChars="200"/>
        <w:jc w:val="left"/>
        <w:rPr>
          <w:rFonts w:ascii="宋体" w:hAnsi="宋体"/>
          <w:szCs w:val="21"/>
        </w:rPr>
      </w:pPr>
      <w:r>
        <w:rPr>
          <w:rFonts w:hint="eastAsia" w:ascii="宋体" w:hAnsi="宋体"/>
          <w:szCs w:val="21"/>
        </w:rPr>
        <w:t>（1）人工单价：按开标当期</w:t>
      </w:r>
      <w:r>
        <w:rPr>
          <w:rFonts w:hint="eastAsia" w:ascii="宋体" w:hAnsi="宋体"/>
          <w:szCs w:val="21"/>
          <w:lang w:eastAsia="zh-CN"/>
        </w:rPr>
        <w:t>《重庆工程造价》</w:t>
      </w:r>
      <w:r>
        <w:rPr>
          <w:rFonts w:hint="eastAsia" w:ascii="宋体" w:hAnsi="宋体"/>
          <w:szCs w:val="21"/>
        </w:rPr>
        <w:t>发布的项目所在地的人工单价执行。</w:t>
      </w:r>
    </w:p>
    <w:p>
      <w:pPr>
        <w:spacing w:line="360" w:lineRule="auto"/>
        <w:ind w:firstLine="420" w:firstLineChars="200"/>
        <w:jc w:val="left"/>
        <w:rPr>
          <w:rFonts w:ascii="宋体" w:hAnsi="宋体"/>
          <w:szCs w:val="21"/>
        </w:rPr>
      </w:pPr>
      <w:bookmarkStart w:id="1836" w:name="_Hlk529023896"/>
      <w:r>
        <w:rPr>
          <w:rFonts w:hint="eastAsia" w:ascii="宋体" w:hAnsi="宋体"/>
          <w:szCs w:val="21"/>
        </w:rPr>
        <w:t>（2）材料单价：</w:t>
      </w:r>
    </w:p>
    <w:p>
      <w:pPr>
        <w:spacing w:line="360" w:lineRule="auto"/>
        <w:ind w:firstLine="420" w:firstLineChars="200"/>
        <w:jc w:val="left"/>
        <w:rPr>
          <w:rFonts w:ascii="宋体" w:hAnsi="宋体"/>
          <w:szCs w:val="21"/>
        </w:rPr>
      </w:pPr>
      <w:r>
        <w:rPr>
          <w:rFonts w:hint="eastAsia" w:ascii="宋体" w:hAnsi="宋体"/>
          <w:szCs w:val="21"/>
        </w:rPr>
        <w:t>①按</w:t>
      </w:r>
      <w:bookmarkStart w:id="1837" w:name="_Hlk529023354"/>
      <w:r>
        <w:rPr>
          <w:rFonts w:hint="eastAsia" w:ascii="宋体" w:hAnsi="宋体"/>
          <w:szCs w:val="21"/>
        </w:rPr>
        <w:t>开标当期</w:t>
      </w:r>
      <w:r>
        <w:rPr>
          <w:rFonts w:hint="eastAsia" w:ascii="宋体" w:hAnsi="宋体"/>
          <w:szCs w:val="21"/>
          <w:lang w:eastAsia="zh-CN"/>
        </w:rPr>
        <w:t>《重庆工程造价》</w:t>
      </w:r>
      <w:r>
        <w:rPr>
          <w:rFonts w:hint="eastAsia" w:ascii="宋体" w:hAnsi="宋体"/>
          <w:szCs w:val="21"/>
        </w:rPr>
        <w:t>发布的项目所在地的信息价</w:t>
      </w:r>
      <w:bookmarkEnd w:id="1837"/>
      <w:r>
        <w:rPr>
          <w:rFonts w:hint="eastAsia" w:ascii="宋体" w:hAnsi="宋体"/>
          <w:szCs w:val="21"/>
        </w:rPr>
        <w:t>执行；</w:t>
      </w:r>
    </w:p>
    <w:p>
      <w:pPr>
        <w:spacing w:line="360" w:lineRule="auto"/>
        <w:ind w:firstLine="420" w:firstLineChars="200"/>
        <w:jc w:val="left"/>
        <w:rPr>
          <w:rFonts w:ascii="宋体" w:hAnsi="宋体"/>
          <w:szCs w:val="21"/>
        </w:rPr>
      </w:pPr>
      <w:r>
        <w:rPr>
          <w:rFonts w:hint="eastAsia" w:ascii="宋体" w:hAnsi="宋体"/>
          <w:szCs w:val="21"/>
        </w:rPr>
        <w:t>②开标当期</w:t>
      </w:r>
      <w:r>
        <w:rPr>
          <w:rFonts w:hint="eastAsia" w:ascii="宋体" w:hAnsi="宋体"/>
          <w:szCs w:val="21"/>
          <w:lang w:eastAsia="zh-CN"/>
        </w:rPr>
        <w:t>《重庆工程造价》</w:t>
      </w:r>
      <w:r>
        <w:rPr>
          <w:rFonts w:hint="eastAsia" w:ascii="宋体" w:hAnsi="宋体"/>
          <w:szCs w:val="21"/>
        </w:rPr>
        <w:t>中没有的，承包人投标报价中有的，按承包人投标报价中相同材料单价的最低值执行；</w:t>
      </w:r>
    </w:p>
    <w:p>
      <w:pPr>
        <w:spacing w:line="360" w:lineRule="auto"/>
        <w:ind w:firstLine="420" w:firstLineChars="200"/>
        <w:jc w:val="left"/>
        <w:rPr>
          <w:rFonts w:ascii="宋体" w:hAnsi="宋体"/>
          <w:szCs w:val="21"/>
        </w:rPr>
      </w:pPr>
      <w:r>
        <w:rPr>
          <w:rFonts w:hint="eastAsia" w:ascii="宋体" w:hAnsi="宋体"/>
          <w:szCs w:val="21"/>
        </w:rPr>
        <w:t>③开标当期</w:t>
      </w:r>
      <w:r>
        <w:rPr>
          <w:rFonts w:hint="eastAsia" w:ascii="宋体" w:hAnsi="宋体"/>
          <w:szCs w:val="21"/>
          <w:lang w:eastAsia="zh-CN"/>
        </w:rPr>
        <w:t>《重庆工程造价》</w:t>
      </w:r>
      <w:r>
        <w:rPr>
          <w:rFonts w:hint="eastAsia" w:ascii="宋体" w:hAnsi="宋体"/>
          <w:szCs w:val="21"/>
        </w:rPr>
        <w:t>和承包人投标报价没有的，由承包人申报、监理人会同发包人根据市场行情认质核价确定。</w:t>
      </w:r>
    </w:p>
    <w:bookmarkEnd w:id="1836"/>
    <w:p>
      <w:pPr>
        <w:spacing w:line="360" w:lineRule="auto"/>
        <w:ind w:firstLine="420" w:firstLineChars="200"/>
        <w:jc w:val="left"/>
        <w:rPr>
          <w:rFonts w:ascii="宋体" w:hAnsi="宋体"/>
          <w:szCs w:val="21"/>
        </w:rPr>
      </w:pPr>
      <w:r>
        <w:rPr>
          <w:rFonts w:hint="eastAsia" w:ascii="宋体" w:hAnsi="宋体"/>
          <w:szCs w:val="21"/>
        </w:rPr>
        <w:t>（3）企业管理费和利润：按承包人投标报价中相同工程分类的费用标准执行（投标报价中费用标准高于</w:t>
      </w:r>
      <w:r>
        <w:rPr>
          <w:rFonts w:hint="eastAsia" w:ascii="宋体" w:hAnsi="宋体"/>
          <w:szCs w:val="21"/>
          <w:u w:val="single"/>
        </w:rPr>
        <w:t>《重庆市建设工程费用定额》（CQFYDE-2018）</w:t>
      </w:r>
      <w:r>
        <w:rPr>
          <w:rFonts w:hint="eastAsia" w:ascii="宋体" w:hAnsi="宋体"/>
          <w:szCs w:val="21"/>
        </w:rPr>
        <w:t>费用标准的，按</w:t>
      </w:r>
      <w:r>
        <w:rPr>
          <w:rFonts w:hint="eastAsia" w:ascii="宋体" w:hAnsi="宋体"/>
          <w:szCs w:val="21"/>
          <w:u w:val="single"/>
        </w:rPr>
        <w:t>《重庆市建设工程费用定额》（CQFYDE-2018）费用标准执行）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（4）规费：按</w:t>
      </w:r>
      <w:r>
        <w:rPr>
          <w:rFonts w:hint="eastAsia" w:ascii="宋体" w:hAnsi="宋体"/>
          <w:szCs w:val="21"/>
          <w:u w:val="single"/>
        </w:rPr>
        <w:t>《重庆市建设工程费用定额》（CQFYDE-2018）</w:t>
      </w:r>
      <w:r>
        <w:rPr>
          <w:rFonts w:hint="eastAsia" w:ascii="宋体" w:hAnsi="宋体"/>
          <w:szCs w:val="21"/>
        </w:rPr>
        <w:t>费用标准进行计算。</w:t>
      </w:r>
    </w:p>
    <w:p>
      <w:pPr>
        <w:spacing w:line="360" w:lineRule="auto"/>
        <w:ind w:firstLine="420" w:firstLineChars="200"/>
        <w:jc w:val="left"/>
        <w:rPr>
          <w:rFonts w:ascii="宋体" w:hAnsi="宋体"/>
          <w:szCs w:val="21"/>
        </w:rPr>
      </w:pPr>
      <w:r>
        <w:rPr>
          <w:rFonts w:hint="eastAsia" w:ascii="宋体" w:hAnsi="宋体"/>
          <w:szCs w:val="21"/>
        </w:rPr>
        <w:t>（5）税金：包含增值税、城市维护建设税、教育费附加、地方教育附加以及环境保护税。其中增值税按</w:t>
      </w:r>
      <w:r>
        <w:rPr>
          <w:rFonts w:hint="eastAsia" w:ascii="宋体" w:hAnsi="宋体"/>
          <w:szCs w:val="21"/>
          <w:u w:val="single"/>
        </w:rPr>
        <w:t>《重庆市建设工程费用定额》（CQFYDE-2018）</w:t>
      </w:r>
      <w:r>
        <w:rPr>
          <w:rFonts w:hint="eastAsia" w:ascii="宋体" w:hAnsi="宋体"/>
          <w:szCs w:val="21"/>
        </w:rPr>
        <w:t>规定及配套文件执行。</w:t>
      </w:r>
    </w:p>
    <w:p>
      <w:pPr>
        <w:spacing w:line="360" w:lineRule="auto"/>
        <w:ind w:firstLine="420" w:firstLineChars="200"/>
        <w:jc w:val="left"/>
        <w:rPr>
          <w:rFonts w:ascii="宋体" w:hAnsi="宋体"/>
          <w:szCs w:val="21"/>
          <w:u w:val="single"/>
        </w:rPr>
      </w:pPr>
      <w:r>
        <w:rPr>
          <w:rFonts w:hint="eastAsia" w:ascii="宋体" w:hAnsi="宋体"/>
          <w:szCs w:val="21"/>
        </w:rPr>
        <w:t>10.4.1.4已标价工程量清单中无相同项目亦无类似项目，也无定额可套用的，由承包人会同监理人、发包人按相关原则、编制方法编制补充定额（人工、材料、机械基价执行2018年计价定额的基价，2018年计价定额没有的基价，按市场价计），按照第10.4.1.3目约定执行；或参照重庆市场相同工作的市场价格上报监理人，最终价格按承包人、监理人、发包人共同询价确认的价格执行。</w:t>
      </w:r>
    </w:p>
    <w:p>
      <w:pPr>
        <w:spacing w:line="360" w:lineRule="auto"/>
        <w:ind w:firstLine="420" w:firstLineChars="200"/>
        <w:jc w:val="left"/>
        <w:rPr>
          <w:rFonts w:ascii="宋体" w:hAnsi="宋体"/>
          <w:szCs w:val="21"/>
        </w:rPr>
      </w:pPr>
      <w:r>
        <w:rPr>
          <w:rFonts w:hint="eastAsia" w:ascii="宋体" w:hAnsi="宋体"/>
          <w:szCs w:val="21"/>
        </w:rPr>
        <w:t>本款补充10.4.3项：</w:t>
      </w:r>
    </w:p>
    <w:p>
      <w:pPr>
        <w:spacing w:line="360" w:lineRule="auto"/>
        <w:ind w:firstLine="420" w:firstLineChars="200"/>
        <w:jc w:val="left"/>
        <w:rPr>
          <w:rFonts w:ascii="宋体" w:hAnsi="宋体"/>
          <w:szCs w:val="21"/>
        </w:rPr>
      </w:pPr>
      <w:r>
        <w:rPr>
          <w:rFonts w:hint="eastAsia" w:ascii="宋体" w:hAnsi="宋体"/>
          <w:szCs w:val="21"/>
        </w:rPr>
        <w:t>10.4.3工程变更引起施工方案改变并使措施项目发生变化时，承包人提出调整措施项目费的，应事前将拟实施的方案提交监理人审核报发包人确认，并应详细说明与原方案措施项目相比的变化情况。拟实施的方案经发承包双方确认后执行，并应按照下列规定调整措施项目费：</w:t>
      </w:r>
    </w:p>
    <w:p>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安全文明施工费应按照实际发生变化的措施项目依据现行安全文明施工费计取及管理政策规定及《重庆市建设工程费用定额》（CQFYDE-2018）规定执行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按照单价计算的措施项目费，应按照实际发生变化的措施项目，按照第10.4.1项〔变更估价原则〕约定执行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按总价（或系数）计算的措施项目费，应按照实际发生变化的措施项目费按承包人报价浮动率下浮后的金额计算</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（4）</w:t>
      </w:r>
      <w:r>
        <w:rPr>
          <w:rFonts w:hint="eastAsia" w:ascii="宋体" w:hAnsi="宋体"/>
          <w:szCs w:val="21"/>
          <w:u w:val="single"/>
        </w:rPr>
        <w:t>如果承包人未事前将拟实施的方案提交给发包人确认，则应视为工程变更不引起措施项目费的调整或承包人放弃调整措施项目费的权利</w:t>
      </w:r>
      <w:r>
        <w:rPr>
          <w:rFonts w:hint="eastAsia" w:ascii="宋体" w:hAnsi="宋体"/>
          <w:szCs w:val="21"/>
        </w:rPr>
        <w:t>。</w:t>
      </w:r>
    </w:p>
    <w:bookmarkEnd w:id="1834"/>
    <w:p>
      <w:pPr>
        <w:pStyle w:val="7"/>
        <w:spacing w:before="0" w:beforeAutospacing="0" w:after="0" w:afterAutospacing="0" w:line="360" w:lineRule="auto"/>
        <w:ind w:firstLine="421" w:firstLineChars="200"/>
        <w:rPr>
          <w:sz w:val="21"/>
          <w:szCs w:val="21"/>
        </w:rPr>
      </w:pPr>
      <w:bookmarkStart w:id="1838" w:name="_Toc532377375"/>
      <w:bookmarkStart w:id="1839" w:name="_Toc532375639"/>
      <w:r>
        <w:rPr>
          <w:rFonts w:hint="eastAsia"/>
          <w:sz w:val="21"/>
          <w:szCs w:val="21"/>
        </w:rPr>
        <w:t>1</w:t>
      </w:r>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Start w:id="1840" w:name="_Toc296944536"/>
      <w:bookmarkStart w:id="1841" w:name="_Toc296891237"/>
      <w:bookmarkStart w:id="1842" w:name="_Toc300934993"/>
      <w:bookmarkStart w:id="1843" w:name="_Toc296891025"/>
      <w:bookmarkStart w:id="1844" w:name="_Toc297216203"/>
      <w:bookmarkStart w:id="1845" w:name="_Toc297120497"/>
      <w:bookmarkStart w:id="1846" w:name="_Toc296503197"/>
      <w:bookmarkStart w:id="1847" w:name="_Toc296347196"/>
      <w:bookmarkStart w:id="1848" w:name="_Toc303539150"/>
      <w:bookmarkStart w:id="1849" w:name="_Toc292559402"/>
      <w:bookmarkStart w:id="1850" w:name="_Toc292559907"/>
      <w:bookmarkStart w:id="1851" w:name="_Toc296346698"/>
      <w:bookmarkStart w:id="1852" w:name="_Toc297123544"/>
      <w:bookmarkStart w:id="1853" w:name="_Toc297048383"/>
      <w:bookmarkStart w:id="1854" w:name="_Toc312677503"/>
      <w:bookmarkStart w:id="1855" w:name="_Toc312678029"/>
      <w:bookmarkStart w:id="1856" w:name="_Toc304295570"/>
      <w:r>
        <w:rPr>
          <w:rFonts w:hint="eastAsia"/>
          <w:sz w:val="21"/>
          <w:szCs w:val="21"/>
        </w:rPr>
        <w:t>0.5承</w:t>
      </w:r>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Start w:id="1857" w:name="_Toc297216204"/>
      <w:bookmarkStart w:id="1858" w:name="_Toc303539151"/>
      <w:bookmarkStart w:id="1859" w:name="_Toc297048389"/>
      <w:bookmarkStart w:id="1860" w:name="_Toc292559408"/>
      <w:bookmarkStart w:id="1861" w:name="_Toc296347202"/>
      <w:bookmarkStart w:id="1862" w:name="_Toc297120503"/>
      <w:bookmarkStart w:id="1863" w:name="_Toc297123545"/>
      <w:bookmarkStart w:id="1864" w:name="_Toc300934994"/>
      <w:bookmarkStart w:id="1865" w:name="_Toc296891243"/>
      <w:bookmarkStart w:id="1866" w:name="_Toc296891031"/>
      <w:bookmarkStart w:id="1867" w:name="_Toc296944542"/>
      <w:bookmarkStart w:id="1868" w:name="_Toc296503203"/>
      <w:bookmarkStart w:id="1869" w:name="_Toc292559913"/>
      <w:bookmarkStart w:id="1870" w:name="_Toc296346704"/>
      <w:r>
        <w:rPr>
          <w:rFonts w:hint="eastAsia"/>
          <w:sz w:val="21"/>
          <w:szCs w:val="21"/>
        </w:rPr>
        <w:t>包人的合理化建议</w:t>
      </w:r>
      <w:bookmarkEnd w:id="1838"/>
      <w:bookmarkEnd w:id="1839"/>
    </w:p>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p>
      <w:pPr>
        <w:spacing w:line="360" w:lineRule="auto"/>
        <w:ind w:firstLine="420" w:firstLineChars="200"/>
        <w:jc w:val="left"/>
        <w:rPr>
          <w:rFonts w:ascii="宋体" w:hAnsi="宋体"/>
          <w:szCs w:val="21"/>
        </w:rPr>
      </w:pPr>
      <w:r>
        <w:rPr>
          <w:rFonts w:hint="eastAsia" w:ascii="宋体" w:hAnsi="宋体"/>
          <w:szCs w:val="21"/>
        </w:rPr>
        <w:t>承包人提出合理化建议的，应向监理人提交合理化建议说明，说明建议的内容和理由，以及实施该建议对合同价格和（或）工期和（或）工程经济效益的影响。</w:t>
      </w:r>
    </w:p>
    <w:p>
      <w:pPr>
        <w:spacing w:line="360" w:lineRule="auto"/>
        <w:ind w:firstLine="420" w:firstLineChars="200"/>
        <w:jc w:val="left"/>
        <w:rPr>
          <w:rFonts w:ascii="宋体" w:hAnsi="宋体"/>
          <w:szCs w:val="21"/>
        </w:rPr>
      </w:pPr>
      <w:r>
        <w:rPr>
          <w:rFonts w:hint="eastAsia" w:ascii="宋体" w:hAnsi="宋体"/>
          <w:szCs w:val="21"/>
        </w:rPr>
        <w:t>监理人审查承包人合理化建议的期限：</w:t>
      </w:r>
      <w:r>
        <w:rPr>
          <w:rFonts w:hint="eastAsia" w:ascii="宋体" w:hAnsi="宋体"/>
          <w:szCs w:val="21"/>
          <w:u w:val="single"/>
        </w:rPr>
        <w:t>不超过14天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发包人审批承包人合理化建议的期限：</w:t>
      </w:r>
      <w:r>
        <w:rPr>
          <w:rFonts w:hint="eastAsia" w:ascii="宋体" w:hAnsi="宋体"/>
          <w:szCs w:val="21"/>
          <w:u w:val="single"/>
        </w:rPr>
        <w:t>不超过14天</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承</w:t>
      </w:r>
      <w:bookmarkStart w:id="1871" w:name="_Toc312678030"/>
      <w:bookmarkStart w:id="1872" w:name="_Toc297048390"/>
      <w:bookmarkStart w:id="1873" w:name="_Toc297120504"/>
      <w:bookmarkStart w:id="1874" w:name="_Toc292559914"/>
      <w:bookmarkStart w:id="1875" w:name="_Toc296347203"/>
      <w:bookmarkStart w:id="1876" w:name="_Toc304295571"/>
      <w:bookmarkStart w:id="1877" w:name="_Toc297123546"/>
      <w:bookmarkStart w:id="1878" w:name="_Toc303539152"/>
      <w:bookmarkStart w:id="1879" w:name="_Toc296891244"/>
      <w:bookmarkStart w:id="1880" w:name="_Toc296503204"/>
      <w:bookmarkStart w:id="1881" w:name="_Toc300934995"/>
      <w:bookmarkStart w:id="1882" w:name="_Toc296891032"/>
      <w:bookmarkStart w:id="1883" w:name="_Toc292559409"/>
      <w:bookmarkStart w:id="1884" w:name="_Toc297216205"/>
      <w:bookmarkStart w:id="1885" w:name="_Toc318581175"/>
      <w:bookmarkStart w:id="1886" w:name="_Toc312677504"/>
      <w:bookmarkStart w:id="1887" w:name="_Toc296944543"/>
      <w:bookmarkStart w:id="1888" w:name="_Toc296346705"/>
      <w:r>
        <w:rPr>
          <w:rFonts w:hint="eastAsia" w:ascii="宋体" w:hAnsi="宋体"/>
          <w:szCs w:val="21"/>
        </w:rPr>
        <w:t>包人提出的合理化建议降低了合同价格或缩短了工期或者提高了工程经济效益的奖励的方法和金额为：</w:t>
      </w:r>
      <w:r>
        <w:rPr>
          <w:rFonts w:hint="eastAsia" w:ascii="宋体" w:hAnsi="宋体"/>
          <w:szCs w:val="21"/>
          <w:u w:val="single"/>
        </w:rPr>
        <w:t>合理化建议带来经济效益的5～10 %</w:t>
      </w:r>
      <w:r>
        <w:rPr>
          <w:rFonts w:hint="eastAsia" w:ascii="宋体" w:hAnsi="宋体"/>
          <w:szCs w:val="21"/>
        </w:rPr>
        <w:t>。</w:t>
      </w:r>
    </w:p>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p>
      <w:pPr>
        <w:pStyle w:val="7"/>
        <w:spacing w:before="0" w:beforeAutospacing="0" w:after="0" w:afterAutospacing="0" w:line="360" w:lineRule="auto"/>
        <w:ind w:firstLine="421" w:firstLineChars="200"/>
        <w:rPr>
          <w:sz w:val="21"/>
          <w:szCs w:val="21"/>
        </w:rPr>
      </w:pPr>
      <w:bookmarkStart w:id="1889" w:name="_Toc532375640"/>
      <w:bookmarkStart w:id="1890" w:name="_Toc532377376"/>
      <w:r>
        <w:rPr>
          <w:rFonts w:hint="eastAsia"/>
          <w:sz w:val="21"/>
          <w:szCs w:val="21"/>
        </w:rPr>
        <w:t>1</w:t>
      </w:r>
      <w:bookmarkStart w:id="1891" w:name="_Toc300934997"/>
      <w:bookmarkStart w:id="1892" w:name="_Toc304295574"/>
      <w:bookmarkStart w:id="1893" w:name="_Toc297123548"/>
      <w:bookmarkStart w:id="1894" w:name="_Toc296346700"/>
      <w:bookmarkStart w:id="1895" w:name="_Toc297216207"/>
      <w:bookmarkStart w:id="1896" w:name="_Toc297048385"/>
      <w:bookmarkStart w:id="1897" w:name="_Toc297120499"/>
      <w:bookmarkStart w:id="1898" w:name="_Toc292559404"/>
      <w:bookmarkStart w:id="1899" w:name="_Toc292559909"/>
      <w:bookmarkStart w:id="1900" w:name="_Toc312678033"/>
      <w:bookmarkStart w:id="1901" w:name="_Toc296891027"/>
      <w:bookmarkStart w:id="1902" w:name="_Toc296347198"/>
      <w:bookmarkStart w:id="1903" w:name="_Toc296944538"/>
      <w:bookmarkStart w:id="1904" w:name="_Toc312677507"/>
      <w:bookmarkStart w:id="1905" w:name="_Toc296503199"/>
      <w:bookmarkStart w:id="1906" w:name="_Toc303539154"/>
      <w:bookmarkStart w:id="1907" w:name="_Toc296891239"/>
      <w:r>
        <w:rPr>
          <w:rFonts w:hint="eastAsia"/>
          <w:sz w:val="21"/>
          <w:szCs w:val="21"/>
        </w:rPr>
        <w:t>0.7 暂估价</w:t>
      </w:r>
      <w:bookmarkEnd w:id="1889"/>
      <w:bookmarkEnd w:id="1890"/>
    </w:p>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p>
      <w:pPr>
        <w:spacing w:line="360" w:lineRule="auto"/>
        <w:ind w:firstLine="420" w:firstLineChars="200"/>
        <w:jc w:val="left"/>
        <w:rPr>
          <w:rFonts w:ascii="宋体" w:hAnsi="宋体"/>
          <w:szCs w:val="21"/>
        </w:rPr>
      </w:pPr>
      <w:r>
        <w:rPr>
          <w:rFonts w:hint="eastAsia" w:ascii="宋体" w:hAnsi="宋体"/>
          <w:szCs w:val="21"/>
        </w:rPr>
        <w:t>专业工程暂估价：</w:t>
      </w:r>
      <w:r>
        <w:rPr>
          <w:rFonts w:hint="eastAsia" w:ascii="宋体" w:hAnsi="宋体"/>
          <w:szCs w:val="21"/>
          <w:u w:val="single"/>
        </w:rPr>
        <w:t xml:space="preserve">        </w:t>
      </w:r>
      <w:r>
        <w:rPr>
          <w:rFonts w:hint="eastAsia" w:ascii="宋体" w:hAnsi="宋体"/>
          <w:szCs w:val="21"/>
        </w:rPr>
        <w:t>万元。</w:t>
      </w:r>
    </w:p>
    <w:p>
      <w:pPr>
        <w:spacing w:line="360" w:lineRule="auto"/>
        <w:ind w:firstLine="420" w:firstLineChars="200"/>
        <w:jc w:val="left"/>
        <w:rPr>
          <w:rFonts w:ascii="宋体" w:hAnsi="宋体"/>
          <w:szCs w:val="21"/>
        </w:rPr>
      </w:pPr>
      <w:r>
        <w:rPr>
          <w:rFonts w:hint="eastAsia" w:ascii="宋体" w:hAnsi="宋体"/>
          <w:szCs w:val="21"/>
        </w:rPr>
        <w:t>单项合同估算价在国家相关法律法规规定必须招标规模以下的，符合可以不招标相关规定的，由承包人采取交钥匙工程模式实施，发包人配合。承包人（需在允许资质范围内）或承包人委托的有资质的专业分包单位实施。费用估价按照第10.4.1项〔变更估价原则〕执行，承包人申报，经监理人、发包人共同审定。审定后根据承包人签订的相关合同（需经监理人、发包人共同确认）约定，由承包人申报，随进度款按与相关单位签订的合同约定一并支付。</w:t>
      </w:r>
    </w:p>
    <w:p>
      <w:pPr>
        <w:spacing w:line="360" w:lineRule="auto"/>
        <w:ind w:firstLine="420" w:firstLineChars="200"/>
        <w:jc w:val="left"/>
        <w:rPr>
          <w:rFonts w:ascii="宋体" w:hAnsi="宋体"/>
          <w:szCs w:val="21"/>
          <w:u w:val="single"/>
        </w:rPr>
      </w:pPr>
      <w:r>
        <w:rPr>
          <w:rFonts w:hint="eastAsia" w:ascii="宋体" w:hAnsi="宋体"/>
          <w:szCs w:val="21"/>
        </w:rPr>
        <w:t>单项合同暂估价在国家相关法律法规规定必须招标规模以上的，需依法必须招标的，由承包人、发包人共同招标确定。</w:t>
      </w:r>
    </w:p>
    <w:p>
      <w:pPr>
        <w:pStyle w:val="7"/>
        <w:spacing w:before="0" w:beforeAutospacing="0" w:after="0" w:afterAutospacing="0" w:line="360" w:lineRule="auto"/>
        <w:ind w:firstLine="421" w:firstLineChars="200"/>
        <w:rPr>
          <w:sz w:val="21"/>
          <w:szCs w:val="21"/>
        </w:rPr>
      </w:pPr>
      <w:bookmarkStart w:id="1908" w:name="_Toc532375641"/>
      <w:bookmarkStart w:id="1909" w:name="_Toc532377377"/>
      <w:r>
        <w:rPr>
          <w:rFonts w:hint="eastAsia"/>
          <w:sz w:val="21"/>
          <w:szCs w:val="21"/>
        </w:rPr>
        <w:t>10.8 暂列金额</w:t>
      </w:r>
      <w:bookmarkEnd w:id="1908"/>
      <w:bookmarkEnd w:id="1909"/>
    </w:p>
    <w:p>
      <w:pPr>
        <w:autoSpaceDE w:val="0"/>
        <w:autoSpaceDN w:val="0"/>
        <w:spacing w:line="360" w:lineRule="auto"/>
        <w:ind w:firstLine="420" w:firstLineChars="200"/>
        <w:jc w:val="left"/>
        <w:rPr>
          <w:rFonts w:ascii="宋体" w:hAnsi="宋体"/>
          <w:szCs w:val="21"/>
        </w:rPr>
      </w:pPr>
      <w:r>
        <w:rPr>
          <w:rFonts w:hint="eastAsia" w:ascii="宋体" w:hAnsi="宋体"/>
          <w:szCs w:val="21"/>
        </w:rPr>
        <w:t>合同当事人关于暂列金额使用的约定：</w:t>
      </w: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910" w:name="_Toc532377378"/>
      <w:bookmarkStart w:id="1911" w:name="_Toc532375642"/>
      <w:bookmarkStart w:id="1912" w:name="_Toc351203643"/>
      <w:r>
        <w:rPr>
          <w:rFonts w:hint="eastAsia"/>
          <w:kern w:val="2"/>
          <w:sz w:val="21"/>
          <w:szCs w:val="21"/>
        </w:rPr>
        <w:t>11. 价格调整</w:t>
      </w:r>
      <w:bookmarkEnd w:id="1910"/>
      <w:bookmarkEnd w:id="1911"/>
      <w:bookmarkEnd w:id="1912"/>
    </w:p>
    <w:p>
      <w:pPr>
        <w:pStyle w:val="7"/>
        <w:spacing w:before="0" w:beforeAutospacing="0" w:after="0" w:afterAutospacing="0" w:line="360" w:lineRule="auto"/>
        <w:ind w:firstLine="421" w:firstLineChars="200"/>
        <w:rPr>
          <w:sz w:val="21"/>
          <w:szCs w:val="21"/>
        </w:rPr>
      </w:pPr>
      <w:bookmarkStart w:id="1913" w:name="_Toc532375643"/>
      <w:bookmarkStart w:id="1914" w:name="_Toc532377379"/>
      <w:bookmarkStart w:id="1915" w:name="_Toc292559406"/>
      <w:bookmarkStart w:id="1916" w:name="_Toc296891029"/>
      <w:bookmarkStart w:id="1917" w:name="_Toc312678039"/>
      <w:bookmarkStart w:id="1918" w:name="_Toc296503201"/>
      <w:bookmarkStart w:id="1919" w:name="_Toc300935000"/>
      <w:bookmarkStart w:id="1920" w:name="_Toc297120501"/>
      <w:bookmarkStart w:id="1921" w:name="_Toc297123550"/>
      <w:bookmarkStart w:id="1922" w:name="_Toc304295577"/>
      <w:bookmarkStart w:id="1923" w:name="_Toc297048387"/>
      <w:bookmarkStart w:id="1924" w:name="_Toc296346702"/>
      <w:bookmarkStart w:id="1925" w:name="_Toc303539157"/>
      <w:bookmarkStart w:id="1926" w:name="_Toc296891241"/>
      <w:bookmarkStart w:id="1927" w:name="_Toc296944540"/>
      <w:bookmarkStart w:id="1928" w:name="_Toc297216209"/>
      <w:bookmarkStart w:id="1929" w:name="_Toc292559911"/>
      <w:bookmarkStart w:id="1930" w:name="_Toc296347200"/>
      <w:r>
        <w:rPr>
          <w:rFonts w:hint="eastAsia"/>
          <w:sz w:val="21"/>
          <w:szCs w:val="21"/>
        </w:rPr>
        <w:t>11.1 市场价格波动引起的调整</w:t>
      </w:r>
      <w:bookmarkEnd w:id="1913"/>
      <w:bookmarkEnd w:id="1914"/>
    </w:p>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p>
      <w:pPr>
        <w:spacing w:line="360" w:lineRule="auto"/>
        <w:ind w:firstLine="420" w:firstLineChars="200"/>
        <w:jc w:val="left"/>
        <w:rPr>
          <w:rFonts w:ascii="宋体" w:hAnsi="宋体"/>
          <w:szCs w:val="21"/>
        </w:rPr>
      </w:pPr>
      <w:bookmarkStart w:id="1931" w:name="_Toc466913963"/>
      <w:bookmarkStart w:id="1932" w:name="_Toc466911545"/>
      <w:bookmarkStart w:id="1933" w:name="_Toc467689641"/>
      <w:bookmarkStart w:id="1934" w:name="_Toc466913513"/>
      <w:r>
        <w:rPr>
          <w:rFonts w:hint="eastAsia" w:ascii="宋体" w:hAnsi="宋体"/>
          <w:szCs w:val="21"/>
        </w:rPr>
        <w:t>市场价格波动是否调整合同价格的约定：</w:t>
      </w:r>
      <w:r>
        <w:rPr>
          <w:rFonts w:hint="eastAsia" w:ascii="宋体" w:hAnsi="宋体"/>
          <w:szCs w:val="21"/>
          <w:u w:val="single"/>
        </w:rPr>
        <w:t>合同工期一年以上（含一年），且市场价格波动幅度符合第11.1.1项〔人工费价差调整办法〕和（或）第11.1.2项〔材料费价差调整办法〕约定的，按第11.1.1项〔人工费价差调整办法〕和（或）第11.1.2项〔材料费价差调整办法〕约定调整合同价格；第11.1.1项〔人工费价差调整办法〕和（或）第11.1.2项〔材料费价差调整办法〕约定的调差条件之外的市场价格波动风险不调整合同价格，风险费用由承包人自行考虑后纳入签约合同价格中，包干使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因市场价格波动调整合同价格，采用以下</w:t>
      </w:r>
      <w:r>
        <w:rPr>
          <w:rFonts w:hint="eastAsia" w:ascii="宋体" w:hAnsi="宋体"/>
          <w:szCs w:val="21"/>
          <w:u w:val="single"/>
        </w:rPr>
        <w:t>第2种</w:t>
      </w:r>
      <w:r>
        <w:rPr>
          <w:rFonts w:hint="eastAsia" w:ascii="宋体" w:hAnsi="宋体"/>
          <w:szCs w:val="21"/>
        </w:rPr>
        <w:t>方式对合同价格进行调整：</w:t>
      </w:r>
    </w:p>
    <w:p>
      <w:pPr>
        <w:spacing w:line="360" w:lineRule="auto"/>
        <w:ind w:firstLine="420" w:firstLineChars="200"/>
        <w:jc w:val="left"/>
        <w:rPr>
          <w:rFonts w:ascii="宋体" w:hAnsi="宋体"/>
          <w:szCs w:val="21"/>
        </w:rPr>
      </w:pPr>
      <w:r>
        <w:rPr>
          <w:rFonts w:hint="eastAsia" w:ascii="宋体" w:hAnsi="宋体"/>
          <w:szCs w:val="21"/>
        </w:rPr>
        <w:t>第1种方式：采用价格指数进行价格调整。</w:t>
      </w:r>
    </w:p>
    <w:p>
      <w:pPr>
        <w:spacing w:line="360" w:lineRule="auto"/>
        <w:ind w:firstLine="420" w:firstLineChars="200"/>
        <w:jc w:val="left"/>
        <w:rPr>
          <w:rFonts w:ascii="宋体" w:hAnsi="宋体"/>
          <w:szCs w:val="21"/>
        </w:rPr>
      </w:pPr>
      <w:r>
        <w:rPr>
          <w:rFonts w:hint="eastAsia" w:ascii="宋体" w:hAnsi="宋体"/>
          <w:szCs w:val="21"/>
        </w:rPr>
        <w:t>关于各可调因子、定值和变值权重，以及基本价格指数及其来源的约定：</w:t>
      </w:r>
      <w:r>
        <w:rPr>
          <w:rFonts w:hint="eastAsia" w:ascii="宋体" w:hAnsi="宋体"/>
          <w:szCs w:val="21"/>
          <w:u w:val="single"/>
        </w:rPr>
        <w:t xml:space="preserve">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第2种方式：采用造价信息进行价格调整，调整方法如下：</w:t>
      </w:r>
    </w:p>
    <w:p>
      <w:pPr>
        <w:spacing w:line="360" w:lineRule="auto"/>
        <w:ind w:firstLine="420" w:firstLineChars="200"/>
        <w:jc w:val="left"/>
        <w:rPr>
          <w:rFonts w:ascii="宋体" w:hAnsi="宋体"/>
          <w:szCs w:val="21"/>
        </w:rPr>
      </w:pPr>
      <w:bookmarkStart w:id="1935" w:name="_Hlk524296901"/>
      <w:r>
        <w:rPr>
          <w:rFonts w:hint="eastAsia" w:ascii="宋体" w:hAnsi="宋体"/>
          <w:szCs w:val="21"/>
        </w:rPr>
        <w:t>11.1.1人工费价差调整办法</w:t>
      </w:r>
      <w:bookmarkEnd w:id="1931"/>
      <w:bookmarkEnd w:id="1932"/>
      <w:bookmarkEnd w:id="1933"/>
      <w:bookmarkEnd w:id="1934"/>
    </w:p>
    <w:p>
      <w:pPr>
        <w:tabs>
          <w:tab w:val="left" w:pos="711"/>
          <w:tab w:val="left" w:pos="2580"/>
        </w:tabs>
        <w:spacing w:line="360" w:lineRule="auto"/>
        <w:ind w:firstLine="420" w:firstLineChars="200"/>
        <w:jc w:val="left"/>
        <w:textAlignment w:val="baseline"/>
        <w:rPr>
          <w:rFonts w:ascii="宋体" w:hAnsi="宋体"/>
          <w:szCs w:val="21"/>
        </w:rPr>
      </w:pPr>
      <w:bookmarkStart w:id="1936" w:name="_Toc466913516"/>
      <w:bookmarkStart w:id="1937" w:name="_Toc466911548"/>
      <w:bookmarkStart w:id="1938" w:name="_Toc467689644"/>
      <w:bookmarkStart w:id="1939" w:name="_Toc466913966"/>
      <w:r>
        <w:rPr>
          <w:rFonts w:hint="eastAsia" w:ascii="宋体" w:hAnsi="宋体"/>
          <w:szCs w:val="21"/>
        </w:rPr>
        <w:t>（1）自实际开工时间起至合同约定的工期结束时间止，期间</w:t>
      </w:r>
      <w:r>
        <w:rPr>
          <w:rFonts w:hint="eastAsia" w:ascii="宋体" w:hAnsi="宋体"/>
          <w:szCs w:val="21"/>
          <w:lang w:eastAsia="zh-CN"/>
        </w:rPr>
        <w:t>《重庆工程造价》</w:t>
      </w:r>
      <w:r>
        <w:rPr>
          <w:rFonts w:hint="eastAsia" w:ascii="宋体" w:hAnsi="宋体"/>
          <w:szCs w:val="21"/>
        </w:rPr>
        <w:t>发布人工单价的算术平均值较开标当期</w:t>
      </w:r>
      <w:r>
        <w:rPr>
          <w:rFonts w:hint="eastAsia" w:ascii="宋体" w:hAnsi="宋体"/>
          <w:szCs w:val="21"/>
          <w:lang w:eastAsia="zh-CN"/>
        </w:rPr>
        <w:t>《重庆工程造价》</w:t>
      </w:r>
      <w:r>
        <w:rPr>
          <w:rFonts w:hint="eastAsia" w:ascii="宋体" w:hAnsi="宋体"/>
          <w:szCs w:val="21"/>
        </w:rPr>
        <w:t>发布的人工单价变化超过</w:t>
      </w:r>
      <w:r>
        <w:rPr>
          <w:rFonts w:hint="eastAsia" w:ascii="宋体" w:hAnsi="宋体"/>
          <w:szCs w:val="21"/>
          <w:u w:val="single"/>
        </w:rPr>
        <w:t>±5%</w:t>
      </w:r>
      <w:r>
        <w:rPr>
          <w:rFonts w:hint="eastAsia" w:ascii="宋体" w:hAnsi="宋体"/>
          <w:szCs w:val="21"/>
        </w:rPr>
        <w:t>时，按以下约定调整：</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①已标价工程量清单中载明人工单价不高于开标当期</w:t>
      </w:r>
      <w:r>
        <w:rPr>
          <w:rFonts w:hint="eastAsia" w:ascii="宋体" w:hAnsi="宋体"/>
          <w:szCs w:val="21"/>
          <w:lang w:eastAsia="zh-CN"/>
        </w:rPr>
        <w:t>《重庆工程造价》</w:t>
      </w:r>
      <w:r>
        <w:rPr>
          <w:rFonts w:hint="eastAsia" w:ascii="宋体" w:hAnsi="宋体"/>
          <w:szCs w:val="21"/>
        </w:rPr>
        <w:t>发布的人工单价的：按期间</w:t>
      </w:r>
      <w:r>
        <w:rPr>
          <w:rFonts w:hint="eastAsia" w:ascii="宋体" w:hAnsi="宋体"/>
          <w:szCs w:val="21"/>
          <w:lang w:eastAsia="zh-CN"/>
        </w:rPr>
        <w:t>《重庆工程造价》</w:t>
      </w:r>
      <w:r>
        <w:rPr>
          <w:rFonts w:hint="eastAsia" w:ascii="宋体" w:hAnsi="宋体"/>
          <w:szCs w:val="21"/>
        </w:rPr>
        <w:t>发布人工单价的算术平均值减去开标当期</w:t>
      </w:r>
      <w:r>
        <w:rPr>
          <w:rFonts w:hint="eastAsia" w:ascii="宋体" w:hAnsi="宋体"/>
          <w:szCs w:val="21"/>
          <w:lang w:eastAsia="zh-CN"/>
        </w:rPr>
        <w:t>《重庆工程造价》</w:t>
      </w:r>
      <w:r>
        <w:rPr>
          <w:rFonts w:hint="eastAsia" w:ascii="宋体" w:hAnsi="宋体"/>
          <w:szCs w:val="21"/>
        </w:rPr>
        <w:t>发布的人工单价乘以</w:t>
      </w:r>
      <w:r>
        <w:rPr>
          <w:rFonts w:hint="eastAsia" w:ascii="宋体" w:hAnsi="宋体"/>
          <w:szCs w:val="21"/>
          <w:u w:val="single"/>
        </w:rPr>
        <w:t>（1±5%）</w:t>
      </w:r>
      <w:r>
        <w:rPr>
          <w:rFonts w:hint="eastAsia" w:ascii="宋体" w:hAnsi="宋体"/>
          <w:szCs w:val="21"/>
        </w:rPr>
        <w:t>调差。</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②已标价工程量清单中载明人工单价高于开标当期</w:t>
      </w:r>
      <w:r>
        <w:rPr>
          <w:rFonts w:hint="eastAsia" w:ascii="宋体" w:hAnsi="宋体"/>
          <w:szCs w:val="21"/>
          <w:lang w:eastAsia="zh-CN"/>
        </w:rPr>
        <w:t>《重庆工程造价》</w:t>
      </w:r>
      <w:r>
        <w:rPr>
          <w:rFonts w:hint="eastAsia" w:ascii="宋体" w:hAnsi="宋体"/>
          <w:szCs w:val="21"/>
        </w:rPr>
        <w:t>发布的人工单价的，按期间</w:t>
      </w:r>
      <w:r>
        <w:rPr>
          <w:rFonts w:hint="eastAsia" w:ascii="宋体" w:hAnsi="宋体"/>
          <w:szCs w:val="21"/>
          <w:lang w:eastAsia="zh-CN"/>
        </w:rPr>
        <w:t>《重庆工程造价》</w:t>
      </w:r>
      <w:r>
        <w:rPr>
          <w:rFonts w:hint="eastAsia" w:ascii="宋体" w:hAnsi="宋体"/>
          <w:szCs w:val="21"/>
        </w:rPr>
        <w:t>发布人工单价的算术平均值减去已标价工程量清单中载明人工单价乘以</w:t>
      </w:r>
      <w:r>
        <w:rPr>
          <w:rFonts w:hint="eastAsia" w:ascii="宋体" w:hAnsi="宋体"/>
          <w:szCs w:val="21"/>
          <w:u w:val="single"/>
        </w:rPr>
        <w:t>（1±5%）</w:t>
      </w:r>
      <w:r>
        <w:rPr>
          <w:rFonts w:hint="eastAsia" w:ascii="宋体" w:hAnsi="宋体"/>
          <w:szCs w:val="21"/>
        </w:rPr>
        <w:t>调差。</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2）工程量按照第12.3.1项〔计量原则〕约定计算，单位工程的人工消耗量按承包人投标报价的消耗量执行（承包人投标报价的单位工程人工消耗量高于定额单位工程人工消耗量的，按定额单位工程的人工消耗量执行）。</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（3）</w:t>
      </w:r>
      <w:r>
        <w:rPr>
          <w:rFonts w:hint="eastAsia" w:ascii="宋体" w:hAnsi="宋体"/>
          <w:szCs w:val="21"/>
          <w:u w:val="single"/>
        </w:rPr>
        <w:t xml:space="preserve">        </w:t>
      </w:r>
      <w:r>
        <w:rPr>
          <w:rFonts w:hint="eastAsia" w:ascii="宋体" w:hAnsi="宋体"/>
          <w:szCs w:val="21"/>
        </w:rPr>
        <w:t>。</w:t>
      </w:r>
    </w:p>
    <w:bookmarkEnd w:id="1935"/>
    <w:p>
      <w:pPr>
        <w:spacing w:line="360" w:lineRule="auto"/>
        <w:ind w:firstLine="420" w:firstLineChars="200"/>
        <w:jc w:val="left"/>
        <w:rPr>
          <w:rFonts w:ascii="宋体" w:hAnsi="宋体"/>
          <w:szCs w:val="21"/>
        </w:rPr>
      </w:pPr>
      <w:bookmarkStart w:id="1940" w:name="_Hlk524297138"/>
      <w:r>
        <w:rPr>
          <w:rFonts w:hint="eastAsia" w:ascii="宋体" w:hAnsi="宋体"/>
          <w:szCs w:val="21"/>
        </w:rPr>
        <w:t>11.1.2 材料费价差调整</w:t>
      </w:r>
      <w:bookmarkEnd w:id="1936"/>
      <w:bookmarkEnd w:id="1937"/>
      <w:bookmarkEnd w:id="1938"/>
      <w:bookmarkEnd w:id="1939"/>
      <w:r>
        <w:rPr>
          <w:rFonts w:hint="eastAsia" w:ascii="宋体" w:hAnsi="宋体"/>
          <w:szCs w:val="21"/>
        </w:rPr>
        <w:t>办法</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可调价差材料：</w:t>
      </w:r>
      <w:r>
        <w:rPr>
          <w:rFonts w:hint="eastAsia" w:ascii="宋体" w:hAnsi="宋体"/>
          <w:szCs w:val="21"/>
          <w:u w:val="single"/>
        </w:rPr>
        <w:t>水泥、商品砼、碎石、砂、钢筋、型钢、条石、片石、预应力钢绞线、沥青混凝土、水泥稳定碎石拌和料、预拌商品砂浆、砌筑材料等主要材料（可按工程使用的具体材料确定）</w:t>
      </w:r>
      <w:r>
        <w:rPr>
          <w:rFonts w:hint="eastAsia" w:ascii="宋体" w:hAnsi="宋体"/>
          <w:szCs w:val="21"/>
        </w:rPr>
        <w:t>。</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可调价差材料的价差调整办法如下：</w:t>
      </w:r>
    </w:p>
    <w:bookmarkEnd w:id="1793"/>
    <w:bookmarkEnd w:id="1794"/>
    <w:bookmarkEnd w:id="1795"/>
    <w:bookmarkEnd w:id="1796"/>
    <w:bookmarkEnd w:id="1797"/>
    <w:bookmarkEnd w:id="1798"/>
    <w:p>
      <w:pPr>
        <w:tabs>
          <w:tab w:val="left" w:pos="711"/>
          <w:tab w:val="left" w:pos="2580"/>
        </w:tabs>
        <w:spacing w:line="360" w:lineRule="auto"/>
        <w:ind w:firstLine="420" w:firstLineChars="200"/>
        <w:jc w:val="left"/>
        <w:textAlignment w:val="baseline"/>
        <w:rPr>
          <w:rFonts w:ascii="宋体" w:hAnsi="宋体"/>
          <w:szCs w:val="21"/>
        </w:rPr>
      </w:pPr>
      <w:bookmarkStart w:id="1941" w:name="_Toc296944544"/>
      <w:bookmarkStart w:id="1942" w:name="_Toc297048391"/>
      <w:bookmarkStart w:id="1943" w:name="_Toc292559915"/>
      <w:bookmarkStart w:id="1944" w:name="_Toc296891033"/>
      <w:bookmarkStart w:id="1945" w:name="_Toc296503205"/>
      <w:bookmarkStart w:id="1946" w:name="_Toc296891245"/>
      <w:bookmarkStart w:id="1947" w:name="_Toc297120505"/>
      <w:bookmarkStart w:id="1948" w:name="_Toc292559410"/>
      <w:bookmarkStart w:id="1949" w:name="_Toc296346706"/>
      <w:bookmarkStart w:id="1950" w:name="_Toc296347204"/>
      <w:bookmarkStart w:id="1951" w:name="_Toc351203644"/>
      <w:bookmarkStart w:id="1952" w:name="_Toc304295579"/>
      <w:bookmarkStart w:id="1953" w:name="_Toc297123552"/>
      <w:bookmarkStart w:id="1954" w:name="_Toc312678040"/>
      <w:bookmarkStart w:id="1955" w:name="_Toc303539159"/>
      <w:bookmarkStart w:id="1956" w:name="_Toc300935002"/>
      <w:bookmarkStart w:id="1957" w:name="_Toc297216211"/>
      <w:r>
        <w:rPr>
          <w:rFonts w:hint="eastAsia" w:ascii="宋体" w:hAnsi="宋体"/>
          <w:szCs w:val="21"/>
        </w:rPr>
        <w:t>（1）自实际开工时间起至合同约定的工期结束时间止，期间</w:t>
      </w:r>
      <w:r>
        <w:rPr>
          <w:rFonts w:hint="eastAsia" w:ascii="宋体" w:hAnsi="宋体"/>
          <w:szCs w:val="21"/>
          <w:lang w:eastAsia="zh-CN"/>
        </w:rPr>
        <w:t>《重庆工程造价》</w:t>
      </w:r>
      <w:r>
        <w:rPr>
          <w:rFonts w:hint="eastAsia" w:ascii="宋体" w:hAnsi="宋体"/>
          <w:szCs w:val="21"/>
        </w:rPr>
        <w:t>发布的信息价的算术平均值较开标当期</w:t>
      </w:r>
      <w:r>
        <w:rPr>
          <w:rFonts w:hint="eastAsia" w:ascii="宋体" w:hAnsi="宋体"/>
          <w:szCs w:val="21"/>
          <w:lang w:eastAsia="zh-CN"/>
        </w:rPr>
        <w:t>《重庆工程造价》</w:t>
      </w:r>
      <w:r>
        <w:rPr>
          <w:rFonts w:hint="eastAsia" w:ascii="宋体" w:hAnsi="宋体"/>
          <w:szCs w:val="21"/>
        </w:rPr>
        <w:t>发布的信息价变化超过</w:t>
      </w:r>
      <w:r>
        <w:rPr>
          <w:rFonts w:hint="eastAsia" w:ascii="宋体" w:hAnsi="宋体"/>
          <w:szCs w:val="21"/>
          <w:u w:val="single"/>
        </w:rPr>
        <w:t>±5%</w:t>
      </w:r>
      <w:r>
        <w:rPr>
          <w:rFonts w:hint="eastAsia" w:ascii="宋体" w:hAnsi="宋体"/>
          <w:szCs w:val="21"/>
        </w:rPr>
        <w:t>时，按以下约定调整：</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①已标价工程量清单中载明材料单价不高于开标当期</w:t>
      </w:r>
      <w:r>
        <w:rPr>
          <w:rFonts w:hint="eastAsia" w:ascii="宋体" w:hAnsi="宋体"/>
          <w:szCs w:val="21"/>
          <w:lang w:eastAsia="zh-CN"/>
        </w:rPr>
        <w:t>《重庆工程造价》</w:t>
      </w:r>
      <w:r>
        <w:rPr>
          <w:rFonts w:hint="eastAsia" w:ascii="宋体" w:hAnsi="宋体"/>
          <w:szCs w:val="21"/>
        </w:rPr>
        <w:t>发布的信息价的按期间</w:t>
      </w:r>
      <w:r>
        <w:rPr>
          <w:rFonts w:hint="eastAsia" w:ascii="宋体" w:hAnsi="宋体"/>
          <w:szCs w:val="21"/>
          <w:lang w:eastAsia="zh-CN"/>
        </w:rPr>
        <w:t>《重庆工程造价》</w:t>
      </w:r>
      <w:r>
        <w:rPr>
          <w:rFonts w:hint="eastAsia" w:ascii="宋体" w:hAnsi="宋体"/>
          <w:szCs w:val="21"/>
        </w:rPr>
        <w:t>发布信息价的算术平均值减去开标当期</w:t>
      </w:r>
      <w:r>
        <w:rPr>
          <w:rFonts w:hint="eastAsia" w:ascii="宋体" w:hAnsi="宋体"/>
          <w:szCs w:val="21"/>
          <w:lang w:eastAsia="zh-CN"/>
        </w:rPr>
        <w:t>《重庆工程造价》</w:t>
      </w:r>
      <w:r>
        <w:rPr>
          <w:rFonts w:hint="eastAsia" w:ascii="宋体" w:hAnsi="宋体"/>
          <w:szCs w:val="21"/>
        </w:rPr>
        <w:t>发布的信息价乘以</w:t>
      </w:r>
      <w:r>
        <w:rPr>
          <w:rFonts w:hint="eastAsia" w:ascii="宋体" w:hAnsi="宋体"/>
          <w:szCs w:val="21"/>
          <w:u w:val="single"/>
        </w:rPr>
        <w:t>（1±5%）</w:t>
      </w:r>
      <w:r>
        <w:rPr>
          <w:rFonts w:hint="eastAsia" w:ascii="宋体" w:hAnsi="宋体"/>
          <w:szCs w:val="21"/>
        </w:rPr>
        <w:t>调差。</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②已标价工程量清单中载明材料单价高于开标当期</w:t>
      </w:r>
      <w:r>
        <w:rPr>
          <w:rFonts w:hint="eastAsia" w:ascii="宋体" w:hAnsi="宋体"/>
          <w:szCs w:val="21"/>
          <w:lang w:eastAsia="zh-CN"/>
        </w:rPr>
        <w:t>《重庆工程造价》</w:t>
      </w:r>
      <w:r>
        <w:rPr>
          <w:rFonts w:hint="eastAsia" w:ascii="宋体" w:hAnsi="宋体"/>
          <w:szCs w:val="21"/>
        </w:rPr>
        <w:t>发布的信息价的，按期间</w:t>
      </w:r>
      <w:r>
        <w:rPr>
          <w:rFonts w:hint="eastAsia" w:ascii="宋体" w:hAnsi="宋体"/>
          <w:szCs w:val="21"/>
          <w:lang w:eastAsia="zh-CN"/>
        </w:rPr>
        <w:t>《重庆工程造价》</w:t>
      </w:r>
      <w:r>
        <w:rPr>
          <w:rFonts w:hint="eastAsia" w:ascii="宋体" w:hAnsi="宋体"/>
          <w:szCs w:val="21"/>
        </w:rPr>
        <w:t>发布信息价的算术平均值减去已标价工程量清单中载明材料单价乘以</w:t>
      </w:r>
      <w:r>
        <w:rPr>
          <w:rFonts w:hint="eastAsia" w:ascii="宋体" w:hAnsi="宋体"/>
          <w:szCs w:val="21"/>
          <w:u w:val="single"/>
        </w:rPr>
        <w:t>（1±5%）</w:t>
      </w:r>
      <w:r>
        <w:rPr>
          <w:rFonts w:hint="eastAsia" w:ascii="宋体" w:hAnsi="宋体"/>
          <w:szCs w:val="21"/>
        </w:rPr>
        <w:t>调差。</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2）工程量按照第12.3.1项〔计量原则〕约定计算，单位工程的材料消耗量按承包人投标报价的消耗量执行（承包人投标报价的单位工程材料消耗量高于定额单位工程材料消耗量的，按定额单位工程的材料消耗量执行）。</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（3）</w:t>
      </w:r>
      <w:r>
        <w:rPr>
          <w:rFonts w:hint="eastAsia" w:ascii="宋体" w:hAnsi="宋体"/>
          <w:szCs w:val="21"/>
          <w:u w:val="single"/>
        </w:rPr>
        <w:t xml:space="preserve">        </w:t>
      </w:r>
      <w:r>
        <w:rPr>
          <w:rFonts w:hint="eastAsia" w:ascii="宋体" w:hAnsi="宋体"/>
          <w:szCs w:val="21"/>
        </w:rPr>
        <w:t>。</w:t>
      </w:r>
    </w:p>
    <w:bookmarkEnd w:id="1940"/>
    <w:p>
      <w:pPr>
        <w:spacing w:line="360" w:lineRule="auto"/>
        <w:ind w:firstLine="420" w:firstLineChars="200"/>
        <w:jc w:val="left"/>
        <w:rPr>
          <w:rFonts w:ascii="宋体" w:hAnsi="宋体"/>
          <w:szCs w:val="21"/>
        </w:rPr>
      </w:pPr>
      <w:r>
        <w:rPr>
          <w:rFonts w:hint="eastAsia" w:ascii="宋体" w:hAnsi="宋体"/>
          <w:szCs w:val="21"/>
        </w:rPr>
        <w:t>第3种方式：其他价格调整方式：</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958" w:name="_Toc532375644"/>
      <w:bookmarkStart w:id="1959" w:name="_Toc532377380"/>
      <w:bookmarkStart w:id="1960" w:name="_Hlk528928232"/>
      <w:r>
        <w:rPr>
          <w:rFonts w:hint="eastAsia"/>
          <w:sz w:val="21"/>
          <w:szCs w:val="21"/>
        </w:rPr>
        <w:t>11.2 法律变化引起的调整</w:t>
      </w:r>
      <w:bookmarkEnd w:id="1958"/>
      <w:bookmarkEnd w:id="1959"/>
    </w:p>
    <w:p>
      <w:pPr>
        <w:spacing w:line="360" w:lineRule="auto"/>
        <w:ind w:firstLine="420" w:firstLineChars="200"/>
        <w:jc w:val="left"/>
        <w:rPr>
          <w:rFonts w:ascii="宋体" w:hAnsi="宋体"/>
          <w:szCs w:val="21"/>
        </w:rPr>
      </w:pPr>
      <w:r>
        <w:rPr>
          <w:rFonts w:hint="eastAsia" w:ascii="宋体" w:hAnsi="宋体"/>
          <w:szCs w:val="21"/>
        </w:rPr>
        <w:t>项目投标基准日至竣工验收合格之日，国家或相关行政主管部门发布直接影响项目的新法规、新政策、新文件、新标准，属强制执行的，自执行之日执行，由此增减的费用由发包人承担，估价照第10.4.1项〔变更估价原则〕执行；属选择性执行的，发包人与承包人协商解决。</w:t>
      </w:r>
    </w:p>
    <w:p>
      <w:pPr>
        <w:spacing w:line="360" w:lineRule="auto"/>
        <w:ind w:firstLine="420" w:firstLineChars="200"/>
        <w:jc w:val="left"/>
        <w:rPr>
          <w:rFonts w:ascii="宋体" w:hAnsi="宋体"/>
          <w:szCs w:val="21"/>
        </w:rPr>
      </w:pPr>
      <w:r>
        <w:rPr>
          <w:rFonts w:hint="eastAsia" w:ascii="宋体" w:hAnsi="宋体"/>
          <w:szCs w:val="21"/>
        </w:rPr>
        <w:t>本条补充11.3款</w:t>
      </w:r>
    </w:p>
    <w:bookmarkEnd w:id="1960"/>
    <w:p>
      <w:pPr>
        <w:pStyle w:val="7"/>
        <w:spacing w:before="0" w:beforeAutospacing="0" w:after="0" w:afterAutospacing="0" w:line="360" w:lineRule="auto"/>
        <w:ind w:firstLine="421" w:firstLineChars="200"/>
        <w:rPr>
          <w:sz w:val="21"/>
          <w:szCs w:val="21"/>
        </w:rPr>
      </w:pPr>
      <w:bookmarkStart w:id="1961" w:name="_Toc532377381"/>
      <w:bookmarkStart w:id="1962" w:name="_Toc532375645"/>
      <w:r>
        <w:rPr>
          <w:rFonts w:hint="eastAsia"/>
          <w:sz w:val="21"/>
          <w:szCs w:val="21"/>
        </w:rPr>
        <w:t>11.3 严重不平衡报价引起的调整</w:t>
      </w:r>
      <w:bookmarkEnd w:id="1961"/>
      <w:bookmarkEnd w:id="1962"/>
    </w:p>
    <w:p>
      <w:pPr>
        <w:spacing w:line="360" w:lineRule="auto"/>
        <w:ind w:firstLine="420" w:firstLineChars="200"/>
        <w:jc w:val="left"/>
        <w:rPr>
          <w:rFonts w:ascii="宋体" w:hAnsi="宋体"/>
          <w:szCs w:val="21"/>
          <w:u w:val="single"/>
        </w:rPr>
      </w:pPr>
      <w:r>
        <w:rPr>
          <w:rFonts w:hint="eastAsia" w:ascii="宋体" w:hAnsi="宋体"/>
          <w:szCs w:val="21"/>
          <w:u w:val="single"/>
        </w:rPr>
        <w:t>合同履行期间，当按第12.3.1项〔计量原则〕约定确认的完成工程量比已标价工程量清单载明工程量增加超过15%，且发包人发现承包人的已标价工程量清单相关清单子目中有严重不平衡报价的。超过已标价工程量清单载明工程量15%的部分，发包人将对严重不平衡报价的清单子目综合单价进行修正，并按修正综合单价办理竣工结算，修正综合单价按照第10.4.1项〔变更估价原则〕（3）目约定执行</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严重不平衡报价是指：清单子目综合单价与发包人按照第10.4.1项〔变更估价原则〕（3）目约定确定的综合单价相比，高于50%（即严重不平衡报价清单子目综合单价 - 按照第10.4.1项〔变更估价原则〕（3）目约定确定的综合单价）/按照第10.4.1项〔变更估价原则〕（3）目约定确定的综合单价×100%</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963" w:name="_Toc532377382"/>
      <w:bookmarkStart w:id="1964" w:name="_Toc532375646"/>
      <w:r>
        <w:rPr>
          <w:rFonts w:hint="eastAsia"/>
          <w:kern w:val="2"/>
          <w:sz w:val="21"/>
          <w:szCs w:val="21"/>
        </w:rPr>
        <w:t xml:space="preserve">12. </w:t>
      </w:r>
      <w:bookmarkEnd w:id="1941"/>
      <w:bookmarkEnd w:id="1942"/>
      <w:bookmarkEnd w:id="1943"/>
      <w:bookmarkEnd w:id="1944"/>
      <w:bookmarkEnd w:id="1945"/>
      <w:bookmarkEnd w:id="1946"/>
      <w:bookmarkEnd w:id="1947"/>
      <w:bookmarkEnd w:id="1948"/>
      <w:bookmarkEnd w:id="1949"/>
      <w:bookmarkEnd w:id="1950"/>
      <w:r>
        <w:rPr>
          <w:rFonts w:hint="eastAsia"/>
          <w:kern w:val="2"/>
          <w:sz w:val="21"/>
          <w:szCs w:val="21"/>
        </w:rPr>
        <w:t>合同价格、计量与支付</w:t>
      </w:r>
      <w:bookmarkEnd w:id="1951"/>
      <w:bookmarkEnd w:id="1963"/>
      <w:bookmarkEnd w:id="1964"/>
    </w:p>
    <w:bookmarkEnd w:id="1952"/>
    <w:bookmarkEnd w:id="1953"/>
    <w:bookmarkEnd w:id="1954"/>
    <w:bookmarkEnd w:id="1955"/>
    <w:bookmarkEnd w:id="1956"/>
    <w:bookmarkEnd w:id="1957"/>
    <w:p>
      <w:pPr>
        <w:pStyle w:val="7"/>
        <w:spacing w:before="0" w:beforeAutospacing="0" w:after="0" w:afterAutospacing="0" w:line="360" w:lineRule="auto"/>
        <w:ind w:firstLine="421" w:firstLineChars="200"/>
        <w:rPr>
          <w:sz w:val="21"/>
          <w:szCs w:val="21"/>
        </w:rPr>
      </w:pPr>
      <w:bookmarkStart w:id="1965" w:name="_Toc267251461"/>
      <w:bookmarkStart w:id="1966" w:name="_Toc292559916"/>
      <w:bookmarkStart w:id="1967" w:name="_Toc292559411"/>
      <w:bookmarkStart w:id="1968" w:name="_Toc296891246"/>
      <w:bookmarkStart w:id="1969" w:name="_Toc296944545"/>
      <w:bookmarkStart w:id="1970" w:name="_Toc296891034"/>
      <w:bookmarkStart w:id="1971" w:name="_Toc297120506"/>
      <w:bookmarkStart w:id="1972" w:name="_Toc297048392"/>
      <w:bookmarkStart w:id="1973" w:name="_Toc296503206"/>
      <w:bookmarkStart w:id="1974" w:name="_Toc296346707"/>
      <w:bookmarkStart w:id="1975" w:name="_Toc296347205"/>
      <w:bookmarkStart w:id="1976" w:name="_Toc532377383"/>
      <w:bookmarkStart w:id="1977" w:name="_Toc532375647"/>
      <w:bookmarkStart w:id="1978" w:name="_Toc304295580"/>
      <w:bookmarkStart w:id="1979" w:name="_Toc312678041"/>
      <w:bookmarkStart w:id="1980" w:name="_Toc303539160"/>
      <w:bookmarkStart w:id="1981" w:name="_Toc300935003"/>
      <w:bookmarkStart w:id="1982" w:name="_Toc297123553"/>
      <w:bookmarkStart w:id="1983" w:name="_Toc297216212"/>
      <w:r>
        <w:rPr>
          <w:rFonts w:hint="eastAsia"/>
          <w:sz w:val="21"/>
          <w:szCs w:val="21"/>
        </w:rPr>
        <w:t>12.1 合</w:t>
      </w:r>
      <w:bookmarkEnd w:id="1965"/>
      <w:bookmarkEnd w:id="1966"/>
      <w:bookmarkEnd w:id="1967"/>
      <w:r>
        <w:rPr>
          <w:rFonts w:hint="eastAsia"/>
          <w:sz w:val="21"/>
          <w:szCs w:val="21"/>
        </w:rPr>
        <w:t>同价</w:t>
      </w:r>
      <w:bookmarkEnd w:id="1968"/>
      <w:bookmarkEnd w:id="1969"/>
      <w:bookmarkEnd w:id="1970"/>
      <w:bookmarkEnd w:id="1971"/>
      <w:bookmarkEnd w:id="1972"/>
      <w:bookmarkEnd w:id="1973"/>
      <w:bookmarkEnd w:id="1974"/>
      <w:bookmarkEnd w:id="1975"/>
      <w:r>
        <w:rPr>
          <w:rFonts w:hint="eastAsia"/>
          <w:sz w:val="21"/>
          <w:szCs w:val="21"/>
        </w:rPr>
        <w:t>格形式</w:t>
      </w:r>
      <w:bookmarkEnd w:id="1976"/>
      <w:bookmarkEnd w:id="1977"/>
    </w:p>
    <w:bookmarkEnd w:id="1978"/>
    <w:bookmarkEnd w:id="1979"/>
    <w:bookmarkEnd w:id="1980"/>
    <w:bookmarkEnd w:id="1981"/>
    <w:bookmarkEnd w:id="1982"/>
    <w:bookmarkEnd w:id="1983"/>
    <w:p>
      <w:pPr>
        <w:spacing w:line="360" w:lineRule="auto"/>
        <w:ind w:firstLine="420" w:firstLineChars="200"/>
        <w:jc w:val="left"/>
        <w:rPr>
          <w:rFonts w:ascii="宋体" w:hAnsi="宋体"/>
          <w:szCs w:val="21"/>
        </w:rPr>
      </w:pPr>
      <w:r>
        <w:rPr>
          <w:rFonts w:hint="eastAsia" w:ascii="宋体" w:hAnsi="宋体"/>
          <w:szCs w:val="21"/>
        </w:rPr>
        <w:t>1、单价合同。</w:t>
      </w:r>
    </w:p>
    <w:p>
      <w:pPr>
        <w:spacing w:line="360" w:lineRule="auto"/>
        <w:ind w:firstLine="420" w:firstLineChars="200"/>
        <w:jc w:val="left"/>
        <w:rPr>
          <w:rFonts w:ascii="宋体" w:hAnsi="宋体"/>
          <w:szCs w:val="21"/>
          <w:u w:val="single"/>
        </w:rPr>
      </w:pPr>
      <w:r>
        <w:rPr>
          <w:rFonts w:hint="eastAsia" w:ascii="宋体" w:hAnsi="宋体"/>
          <w:szCs w:val="21"/>
        </w:rPr>
        <w:t>综合单价包含的风险范围：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包括但不限于为实施和完成合同工程所需的人工费、材料费、施工机具使用费、企业管理费、利润、风险费、施工技术措施项目费、施工组织措施项目费及缺陷修复等费用，以及</w:t>
      </w:r>
      <w:bookmarkStart w:id="1984" w:name="_Hlk528508096"/>
      <w:r>
        <w:rPr>
          <w:rFonts w:hint="eastAsia" w:ascii="宋体" w:hAnsi="宋体"/>
          <w:szCs w:val="21"/>
          <w:u w:val="single"/>
        </w:rPr>
        <w:t>第11.1款〔市场价格波动引起的调整〕约定范围内的市场价格波动风险、政策性文件规定的各项应有费用、</w:t>
      </w:r>
      <w:bookmarkEnd w:id="1984"/>
      <w:r>
        <w:rPr>
          <w:rFonts w:hint="eastAsia" w:ascii="宋体" w:hAnsi="宋体"/>
          <w:szCs w:val="21"/>
          <w:u w:val="single"/>
        </w:rPr>
        <w:t>招标文件和合同明示或暗示的应由承包人承担的所有责任、义务和风险等所需的费用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2、总价合同。</w:t>
      </w:r>
    </w:p>
    <w:p>
      <w:pPr>
        <w:spacing w:line="360" w:lineRule="auto"/>
        <w:ind w:firstLine="420" w:firstLineChars="200"/>
        <w:jc w:val="left"/>
        <w:rPr>
          <w:rFonts w:ascii="宋体" w:hAnsi="宋体"/>
          <w:szCs w:val="21"/>
          <w:u w:val="single"/>
        </w:rPr>
      </w:pPr>
      <w:r>
        <w:rPr>
          <w:rFonts w:hint="eastAsia" w:ascii="宋体" w:hAnsi="宋体"/>
          <w:szCs w:val="21"/>
        </w:rPr>
        <w:t>总价包含的风险范围：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总承包服务费、规费和税金及缺陷修复等费用，以及第11.1款〔市场价格波动引起的调整〕约定范围内的市场价格波动风险、政策性文件规定的各项应有费用、招标文件和合同明示或暗示的应由承包人承担的所有责任、义务和风险等所需的费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3、其他价格方式：</w:t>
      </w:r>
      <w:r>
        <w:rPr>
          <w:rFonts w:hint="eastAsia" w:ascii="宋体" w:hAnsi="宋体"/>
          <w:szCs w:val="21"/>
          <w:u w:val="single"/>
        </w:rPr>
        <w:t>不采用</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1985" w:name="_Toc532375648"/>
      <w:bookmarkStart w:id="1986" w:name="_Toc532377384"/>
      <w:bookmarkStart w:id="1987" w:name="_Toc303539161"/>
      <w:bookmarkStart w:id="1988" w:name="_Toc297216213"/>
      <w:bookmarkStart w:id="1989" w:name="_Toc304295581"/>
      <w:bookmarkStart w:id="1990" w:name="_Toc300935004"/>
      <w:bookmarkStart w:id="1991" w:name="_Toc297123554"/>
      <w:bookmarkStart w:id="1992" w:name="_Toc312678042"/>
      <w:bookmarkStart w:id="1993" w:name="_Toc296346708"/>
      <w:bookmarkStart w:id="1994" w:name="_Toc292559917"/>
      <w:bookmarkStart w:id="1995" w:name="_Toc297120507"/>
      <w:bookmarkStart w:id="1996" w:name="_Toc296891247"/>
      <w:bookmarkStart w:id="1997" w:name="_Toc296891035"/>
      <w:bookmarkStart w:id="1998" w:name="_Toc296347206"/>
      <w:bookmarkStart w:id="1999" w:name="_Toc297048393"/>
      <w:bookmarkStart w:id="2000" w:name="_Toc292559412"/>
      <w:bookmarkStart w:id="2001" w:name="_Toc296944546"/>
      <w:bookmarkStart w:id="2002" w:name="_Toc296503207"/>
      <w:r>
        <w:rPr>
          <w:rFonts w:hint="eastAsia"/>
          <w:sz w:val="21"/>
          <w:szCs w:val="21"/>
        </w:rPr>
        <w:t>12.2 预付款</w:t>
      </w:r>
      <w:bookmarkEnd w:id="1985"/>
      <w:bookmarkEnd w:id="1986"/>
    </w:p>
    <w:bookmarkEnd w:id="1987"/>
    <w:bookmarkEnd w:id="1988"/>
    <w:bookmarkEnd w:id="1989"/>
    <w:bookmarkEnd w:id="1990"/>
    <w:bookmarkEnd w:id="1991"/>
    <w:bookmarkEnd w:id="1992"/>
    <w:p>
      <w:pPr>
        <w:spacing w:line="360" w:lineRule="auto"/>
        <w:ind w:firstLine="420" w:firstLineChars="200"/>
        <w:jc w:val="left"/>
        <w:rPr>
          <w:rFonts w:ascii="宋体" w:hAnsi="宋体"/>
          <w:szCs w:val="21"/>
        </w:rPr>
      </w:pPr>
      <w:r>
        <w:rPr>
          <w:rFonts w:hint="eastAsia" w:ascii="宋体" w:hAnsi="宋体"/>
          <w:szCs w:val="21"/>
        </w:rPr>
        <w:t>12.2.1 预付款的支付</w:t>
      </w:r>
    </w:p>
    <w:p>
      <w:pPr>
        <w:spacing w:line="360" w:lineRule="auto"/>
        <w:ind w:firstLine="420" w:firstLineChars="200"/>
        <w:jc w:val="left"/>
        <w:rPr>
          <w:rFonts w:ascii="宋体" w:hAnsi="宋体"/>
          <w:szCs w:val="21"/>
        </w:rPr>
      </w:pPr>
      <w:r>
        <w:rPr>
          <w:rFonts w:hint="eastAsia" w:ascii="宋体" w:hAnsi="宋体"/>
          <w:szCs w:val="21"/>
        </w:rPr>
        <w:t>预付款支付比例或金额：</w:t>
      </w:r>
      <w:r>
        <w:rPr>
          <w:rFonts w:hint="eastAsia" w:ascii="宋体" w:hAnsi="宋体"/>
          <w:szCs w:val="21"/>
          <w:u w:val="single"/>
        </w:rPr>
        <w:t xml:space="preserve">    （10%~30%）</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预付款支付期限：</w:t>
      </w:r>
      <w:r>
        <w:rPr>
          <w:rFonts w:hint="eastAsia" w:ascii="宋体" w:hAnsi="宋体"/>
          <w:szCs w:val="21"/>
          <w:u w:val="single"/>
        </w:rPr>
        <w:t>预付款担保提交后7天内</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预付款扣回的方式：</w:t>
      </w:r>
      <w:r>
        <w:rPr>
          <w:rFonts w:hint="eastAsia" w:ascii="宋体" w:hAnsi="宋体"/>
          <w:szCs w:val="21"/>
          <w:u w:val="single"/>
        </w:rPr>
        <w:t>承包人完成累计金额达到签约合同金额的30%后，在合同约定的每个计量周期按审核确认的进度款金额的    （为预付款支付比例的2倍）进行扣回，直至预付款全额扣回</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12.2.2 预付款担保</w:t>
      </w:r>
    </w:p>
    <w:p>
      <w:pPr>
        <w:spacing w:line="360" w:lineRule="auto"/>
        <w:ind w:firstLine="420" w:firstLineChars="200"/>
        <w:jc w:val="left"/>
        <w:rPr>
          <w:rFonts w:ascii="宋体" w:hAnsi="宋体"/>
          <w:szCs w:val="21"/>
        </w:rPr>
      </w:pPr>
      <w:r>
        <w:rPr>
          <w:rFonts w:hint="eastAsia" w:ascii="宋体" w:hAnsi="宋体"/>
          <w:szCs w:val="21"/>
        </w:rPr>
        <w:t>承包人提交预付款担保的期限：</w:t>
      </w:r>
      <w:r>
        <w:rPr>
          <w:rFonts w:hint="eastAsia" w:ascii="宋体" w:hAnsi="宋体"/>
          <w:szCs w:val="21"/>
          <w:u w:val="single"/>
        </w:rPr>
        <w:t>合同签订后7天内</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预付款担保的形式为：</w:t>
      </w:r>
      <w:r>
        <w:rPr>
          <w:rFonts w:hint="eastAsia" w:ascii="宋体" w:hAnsi="宋体"/>
          <w:szCs w:val="21"/>
          <w:u w:val="single"/>
        </w:rPr>
        <w:t>银行保函</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预付款担保的金额：</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预付款担保的时间：</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预付款担保的期限：</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预付款担保的退还时间：</w:t>
      </w:r>
      <w:r>
        <w:rPr>
          <w:rFonts w:hint="eastAsia" w:ascii="宋体" w:hAnsi="宋体"/>
          <w:szCs w:val="21"/>
          <w:u w:val="single"/>
        </w:rPr>
        <w:t xml:space="preserve">        </w:t>
      </w:r>
      <w:r>
        <w:rPr>
          <w:rFonts w:hint="eastAsia" w:ascii="宋体" w:hAnsi="宋体"/>
          <w:szCs w:val="21"/>
        </w:rPr>
        <w:t>。</w:t>
      </w:r>
    </w:p>
    <w:bookmarkEnd w:id="1993"/>
    <w:bookmarkEnd w:id="1994"/>
    <w:bookmarkEnd w:id="1995"/>
    <w:bookmarkEnd w:id="1996"/>
    <w:bookmarkEnd w:id="1997"/>
    <w:bookmarkEnd w:id="1998"/>
    <w:bookmarkEnd w:id="1999"/>
    <w:bookmarkEnd w:id="2000"/>
    <w:bookmarkEnd w:id="2001"/>
    <w:bookmarkEnd w:id="2002"/>
    <w:p>
      <w:pPr>
        <w:pStyle w:val="7"/>
        <w:spacing w:before="0" w:beforeAutospacing="0" w:after="0" w:afterAutospacing="0" w:line="360" w:lineRule="auto"/>
        <w:ind w:firstLine="421" w:firstLineChars="200"/>
        <w:rPr>
          <w:sz w:val="21"/>
          <w:szCs w:val="21"/>
        </w:rPr>
      </w:pPr>
      <w:bookmarkStart w:id="2003" w:name="_Toc532375649"/>
      <w:bookmarkStart w:id="2004" w:name="_Toc532377385"/>
      <w:r>
        <w:rPr>
          <w:rFonts w:hint="eastAsia"/>
          <w:sz w:val="21"/>
          <w:szCs w:val="21"/>
        </w:rPr>
        <w:t>12.3 计量</w:t>
      </w:r>
      <w:bookmarkEnd w:id="2003"/>
      <w:bookmarkEnd w:id="2004"/>
    </w:p>
    <w:p>
      <w:pPr>
        <w:spacing w:line="360" w:lineRule="auto"/>
        <w:ind w:firstLine="420" w:firstLineChars="200"/>
        <w:jc w:val="left"/>
        <w:rPr>
          <w:rFonts w:ascii="宋体" w:hAnsi="宋体"/>
          <w:szCs w:val="21"/>
        </w:rPr>
      </w:pPr>
      <w:bookmarkStart w:id="2005" w:name="_Hlk528928260"/>
      <w:r>
        <w:rPr>
          <w:rFonts w:hint="eastAsia" w:ascii="宋体" w:hAnsi="宋体"/>
          <w:szCs w:val="21"/>
        </w:rPr>
        <w:t>12.3.1 计量原则</w:t>
      </w:r>
    </w:p>
    <w:p>
      <w:pPr>
        <w:tabs>
          <w:tab w:val="left" w:pos="1134"/>
        </w:tabs>
        <w:spacing w:line="360" w:lineRule="auto"/>
        <w:ind w:firstLine="420" w:firstLineChars="200"/>
        <w:jc w:val="left"/>
        <w:rPr>
          <w:rFonts w:ascii="宋体" w:hAnsi="宋体"/>
          <w:szCs w:val="21"/>
        </w:rPr>
      </w:pPr>
      <w:r>
        <w:rPr>
          <w:rFonts w:hint="eastAsia" w:ascii="宋体" w:hAnsi="宋体"/>
          <w:szCs w:val="21"/>
        </w:rPr>
        <w:t>工程量按</w:t>
      </w:r>
      <w:r>
        <w:rPr>
          <w:rFonts w:hint="eastAsia" w:ascii="宋体" w:hAnsi="宋体"/>
          <w:szCs w:val="21"/>
          <w:u w:val="single"/>
        </w:rPr>
        <w:t>《房屋建筑与装饰工程工程量计算标准》（GB</w:t>
      </w:r>
      <w:r>
        <w:rPr>
          <w:rFonts w:hint="eastAsia" w:ascii="宋体" w:hAnsi="宋体"/>
          <w:szCs w:val="21"/>
          <w:u w:val="single"/>
          <w:lang w:val="en-US" w:eastAsia="zh-CN"/>
        </w:rPr>
        <w:t>/T</w:t>
      </w:r>
      <w:r>
        <w:rPr>
          <w:rFonts w:hint="eastAsia" w:ascii="宋体" w:hAnsi="宋体"/>
          <w:szCs w:val="21"/>
          <w:u w:val="single"/>
        </w:rPr>
        <w:t>50854-</w:t>
      </w:r>
      <w:r>
        <w:rPr>
          <w:rFonts w:hint="eastAsia" w:ascii="宋体" w:hAnsi="宋体"/>
          <w:szCs w:val="21"/>
          <w:u w:val="single"/>
          <w:lang w:val="en-US" w:eastAsia="zh-CN"/>
        </w:rPr>
        <w:t>2024</w:t>
      </w:r>
      <w:r>
        <w:rPr>
          <w:rFonts w:hint="eastAsia" w:ascii="宋体" w:hAnsi="宋体"/>
          <w:szCs w:val="21"/>
          <w:u w:val="single"/>
        </w:rPr>
        <w:t>）、《仿古建筑工程工程量计算规范》（GB50855-2013）、《通用安装工程工程量计算标准》（GB</w:t>
      </w:r>
      <w:r>
        <w:rPr>
          <w:rFonts w:hint="eastAsia" w:ascii="宋体" w:hAnsi="宋体"/>
          <w:szCs w:val="21"/>
          <w:u w:val="single"/>
          <w:lang w:val="en-US" w:eastAsia="zh-CN"/>
        </w:rPr>
        <w:t>/T</w:t>
      </w:r>
      <w:r>
        <w:rPr>
          <w:rFonts w:hint="eastAsia" w:ascii="宋体" w:hAnsi="宋体"/>
          <w:szCs w:val="21"/>
          <w:u w:val="single"/>
        </w:rPr>
        <w:t>50856-</w:t>
      </w:r>
      <w:r>
        <w:rPr>
          <w:rFonts w:hint="eastAsia" w:ascii="宋体" w:hAnsi="宋体"/>
          <w:szCs w:val="21"/>
          <w:u w:val="single"/>
          <w:lang w:val="en-US" w:eastAsia="zh-CN"/>
        </w:rPr>
        <w:t>2024</w:t>
      </w:r>
      <w:r>
        <w:rPr>
          <w:rFonts w:hint="eastAsia" w:ascii="宋体" w:hAnsi="宋体"/>
          <w:szCs w:val="21"/>
          <w:u w:val="single"/>
        </w:rPr>
        <w:t>）、《市政工程工程量计算标准》（GB</w:t>
      </w:r>
      <w:r>
        <w:rPr>
          <w:rFonts w:hint="eastAsia" w:ascii="宋体" w:hAnsi="宋体"/>
          <w:szCs w:val="21"/>
          <w:u w:val="single"/>
          <w:lang w:val="en-US" w:eastAsia="zh-CN"/>
        </w:rPr>
        <w:t>/T</w:t>
      </w:r>
      <w:r>
        <w:rPr>
          <w:rFonts w:hint="eastAsia" w:ascii="宋体" w:hAnsi="宋体"/>
          <w:szCs w:val="21"/>
          <w:u w:val="single"/>
        </w:rPr>
        <w:t>50857-</w:t>
      </w:r>
      <w:r>
        <w:rPr>
          <w:rFonts w:hint="eastAsia" w:ascii="宋体" w:hAnsi="宋体"/>
          <w:szCs w:val="21"/>
          <w:u w:val="single"/>
          <w:lang w:val="en-US" w:eastAsia="zh-CN"/>
        </w:rPr>
        <w:t>2024</w:t>
      </w:r>
      <w:r>
        <w:rPr>
          <w:rFonts w:hint="eastAsia" w:ascii="宋体" w:hAnsi="宋体"/>
          <w:szCs w:val="21"/>
          <w:u w:val="single"/>
        </w:rPr>
        <w:t>）、《园林绿化工程工程量计算标准》（GB</w:t>
      </w:r>
      <w:r>
        <w:rPr>
          <w:rFonts w:hint="eastAsia" w:ascii="宋体" w:hAnsi="宋体"/>
          <w:szCs w:val="21"/>
          <w:u w:val="single"/>
          <w:lang w:val="en-US" w:eastAsia="zh-CN"/>
        </w:rPr>
        <w:t>/T</w:t>
      </w:r>
      <w:r>
        <w:rPr>
          <w:rFonts w:hint="eastAsia" w:ascii="宋体" w:hAnsi="宋体"/>
          <w:szCs w:val="21"/>
          <w:u w:val="single"/>
        </w:rPr>
        <w:t>50858-</w:t>
      </w:r>
      <w:r>
        <w:rPr>
          <w:rFonts w:hint="eastAsia" w:ascii="宋体" w:hAnsi="宋体"/>
          <w:szCs w:val="21"/>
          <w:u w:val="single"/>
          <w:lang w:val="en-US" w:eastAsia="zh-CN"/>
        </w:rPr>
        <w:t>2024</w:t>
      </w:r>
      <w:r>
        <w:rPr>
          <w:rFonts w:hint="eastAsia" w:ascii="宋体" w:hAnsi="宋体"/>
          <w:szCs w:val="21"/>
          <w:u w:val="single"/>
        </w:rPr>
        <w:t>）、《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及已标价工程量清单规定的工程量计算规则</w:t>
      </w:r>
      <w:r>
        <w:rPr>
          <w:rFonts w:hint="eastAsia" w:ascii="宋体" w:hAnsi="宋体"/>
          <w:szCs w:val="21"/>
        </w:rPr>
        <w:t>计量。</w:t>
      </w:r>
    </w:p>
    <w:bookmarkEnd w:id="2005"/>
    <w:p>
      <w:pPr>
        <w:spacing w:line="360" w:lineRule="auto"/>
        <w:ind w:firstLine="420" w:firstLineChars="200"/>
        <w:jc w:val="left"/>
        <w:rPr>
          <w:rFonts w:ascii="宋体" w:hAnsi="宋体"/>
          <w:szCs w:val="21"/>
        </w:rPr>
      </w:pPr>
      <w:r>
        <w:rPr>
          <w:rFonts w:hint="eastAsia" w:ascii="宋体" w:hAnsi="宋体"/>
          <w:szCs w:val="21"/>
        </w:rPr>
        <w:t>12.3.2 计量周期</w:t>
      </w:r>
    </w:p>
    <w:p>
      <w:pPr>
        <w:spacing w:line="360" w:lineRule="auto"/>
        <w:ind w:firstLine="420" w:firstLineChars="200"/>
        <w:jc w:val="left"/>
        <w:rPr>
          <w:rFonts w:ascii="宋体" w:hAnsi="宋体"/>
          <w:szCs w:val="21"/>
        </w:rPr>
      </w:pPr>
      <w:r>
        <w:rPr>
          <w:rFonts w:hint="eastAsia" w:ascii="宋体" w:hAnsi="宋体"/>
          <w:szCs w:val="21"/>
        </w:rPr>
        <w:t>关于计量周期的约定：</w:t>
      </w:r>
      <w:r>
        <w:rPr>
          <w:rFonts w:hint="eastAsia" w:ascii="宋体" w:hAnsi="宋体"/>
          <w:szCs w:val="21"/>
          <w:u w:val="single"/>
        </w:rPr>
        <w:t>按月计量根据具体项目实际情况可以按月、按进度、按节点等形式计量，按进度、按节点计量的参考按月计量原则执行）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12.3.3 单价合同的计量</w:t>
      </w:r>
    </w:p>
    <w:p>
      <w:pPr>
        <w:spacing w:line="360" w:lineRule="auto"/>
        <w:ind w:firstLine="420" w:firstLineChars="200"/>
        <w:jc w:val="left"/>
        <w:rPr>
          <w:rFonts w:ascii="宋体" w:hAnsi="宋体"/>
          <w:szCs w:val="21"/>
        </w:rPr>
      </w:pPr>
      <w:r>
        <w:rPr>
          <w:rFonts w:hint="eastAsia" w:ascii="宋体" w:hAnsi="宋体"/>
          <w:szCs w:val="21"/>
        </w:rPr>
        <w:t>关于单价合同计量的约定：</w:t>
      </w:r>
    </w:p>
    <w:p>
      <w:pPr>
        <w:spacing w:line="360" w:lineRule="auto"/>
        <w:ind w:firstLine="420" w:firstLineChars="200"/>
        <w:jc w:val="left"/>
        <w:rPr>
          <w:rFonts w:ascii="宋体" w:hAnsi="宋体"/>
          <w:szCs w:val="21"/>
          <w:u w:val="single"/>
        </w:rPr>
      </w:pPr>
      <w:bookmarkStart w:id="2006" w:name="_Hlk528926162"/>
      <w:r>
        <w:rPr>
          <w:rFonts w:hint="eastAsia" w:ascii="宋体" w:hAnsi="宋体"/>
          <w:szCs w:val="21"/>
          <w:u w:val="single"/>
        </w:rPr>
        <w:t>（1）承包人应于当月  日前向监理人报送上月已完成的工程量，并附进度付款申请单、已完成工程量报表和其他有关资料</w:t>
      </w:r>
      <w:r>
        <w:rPr>
          <w:rFonts w:hint="eastAsia" w:ascii="宋体" w:hAnsi="宋体"/>
          <w:szCs w:val="21"/>
        </w:rPr>
        <w:t>。</w:t>
      </w:r>
    </w:p>
    <w:bookmarkEnd w:id="2006"/>
    <w:p>
      <w:pPr>
        <w:spacing w:line="360" w:lineRule="auto"/>
        <w:ind w:firstLine="420" w:firstLineChars="200"/>
        <w:jc w:val="left"/>
        <w:rPr>
          <w:rFonts w:ascii="宋体" w:hAnsi="宋体"/>
          <w:szCs w:val="21"/>
          <w:u w:val="single"/>
        </w:rPr>
      </w:pPr>
      <w:r>
        <w:rPr>
          <w:rFonts w:hint="eastAsia" w:ascii="宋体" w:hAnsi="宋体"/>
          <w:szCs w:val="21"/>
          <w:u w:val="single"/>
        </w:rPr>
        <w:t>（2）承包人未在已标价的工程量清单中填入单价和（或）总价的子目，视为该子目的费用已包含合同工程的其他子目的单价或总价中，不再另行计量支付</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3）监理人应在收到承包人提交的工程量报表后7天内完成对承包人提交的工程量报表的审核并报送发包人；发包人收到监理人报送资料后7天内完成审批，以确定当月实际完成的工程量。监理人、发包人任一方对工程量有异议的，均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（4）工程量的计量仅作为进度付款和工程施工进度控制的依据，不应认为是承包人履行合同义务完成工程的实际和准确的工程量，实际和准确工程量按竣工图和第12.3.1项〔计量原则〕约定确认的工程量为准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12.3.4 总价合同的计量</w:t>
      </w:r>
    </w:p>
    <w:p>
      <w:pPr>
        <w:spacing w:line="360" w:lineRule="auto"/>
        <w:ind w:firstLine="420" w:firstLineChars="200"/>
        <w:jc w:val="left"/>
        <w:rPr>
          <w:rFonts w:ascii="宋体" w:hAnsi="宋体"/>
          <w:szCs w:val="21"/>
        </w:rPr>
      </w:pPr>
      <w:r>
        <w:rPr>
          <w:rFonts w:hint="eastAsia" w:ascii="宋体" w:hAnsi="宋体"/>
          <w:szCs w:val="21"/>
        </w:rPr>
        <w:t>关于总价合同计量的约定：</w:t>
      </w:r>
      <w:r>
        <w:rPr>
          <w:rFonts w:hint="eastAsia" w:ascii="宋体" w:hAnsi="宋体"/>
          <w:szCs w:val="21"/>
          <w:u w:val="single"/>
        </w:rPr>
        <w:t>按形象进度比例支付</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12.3.5总价合同采用支付分解表计量支付的，是否适用第12.3.4项〔总价合同的计量〕约定进行计量：</w:t>
      </w:r>
      <w:r>
        <w:rPr>
          <w:rFonts w:hint="eastAsia" w:ascii="宋体" w:hAnsi="宋体"/>
          <w:szCs w:val="21"/>
          <w:u w:val="single"/>
        </w:rPr>
        <w:t>适用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12.3.6 其他价格形式合同的计量</w:t>
      </w:r>
    </w:p>
    <w:p>
      <w:pPr>
        <w:spacing w:line="360" w:lineRule="auto"/>
        <w:ind w:firstLine="420" w:firstLineChars="200"/>
        <w:jc w:val="left"/>
        <w:rPr>
          <w:rFonts w:ascii="宋体" w:hAnsi="宋体"/>
          <w:szCs w:val="21"/>
        </w:rPr>
      </w:pPr>
      <w:r>
        <w:rPr>
          <w:rFonts w:hint="eastAsia" w:ascii="宋体" w:hAnsi="宋体"/>
          <w:szCs w:val="21"/>
        </w:rPr>
        <w:t>其他价格形式的计量方式和程序：</w:t>
      </w:r>
      <w:r>
        <w:rPr>
          <w:rFonts w:hint="eastAsia" w:ascii="宋体" w:hAnsi="宋体"/>
          <w:szCs w:val="21"/>
          <w:u w:val="single"/>
        </w:rPr>
        <w:t>不采用</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2007" w:name="_Toc532375650"/>
      <w:bookmarkStart w:id="2008" w:name="_Toc532377386"/>
      <w:bookmarkStart w:id="2009" w:name="_Hlk528928289"/>
      <w:r>
        <w:rPr>
          <w:rFonts w:hint="eastAsia"/>
          <w:sz w:val="21"/>
          <w:szCs w:val="21"/>
        </w:rPr>
        <w:t>12.4 工程进度款支付</w:t>
      </w:r>
      <w:bookmarkEnd w:id="2007"/>
      <w:bookmarkEnd w:id="2008"/>
    </w:p>
    <w:bookmarkEnd w:id="2009"/>
    <w:p>
      <w:pPr>
        <w:spacing w:line="360" w:lineRule="auto"/>
        <w:ind w:firstLine="420" w:firstLineChars="200"/>
        <w:jc w:val="left"/>
        <w:rPr>
          <w:rFonts w:ascii="宋体" w:hAnsi="宋体"/>
          <w:szCs w:val="21"/>
        </w:rPr>
      </w:pPr>
      <w:r>
        <w:rPr>
          <w:rFonts w:hint="eastAsia" w:ascii="宋体" w:hAnsi="宋体"/>
          <w:szCs w:val="21"/>
        </w:rPr>
        <w:t>12.4.1 付款周期</w:t>
      </w:r>
    </w:p>
    <w:p>
      <w:pPr>
        <w:spacing w:line="360" w:lineRule="auto"/>
        <w:ind w:firstLine="420" w:firstLineChars="200"/>
        <w:jc w:val="left"/>
        <w:rPr>
          <w:rFonts w:ascii="宋体" w:hAnsi="宋体"/>
          <w:szCs w:val="21"/>
        </w:rPr>
      </w:pPr>
      <w:r>
        <w:rPr>
          <w:rFonts w:hint="eastAsia" w:ascii="宋体" w:hAnsi="宋体"/>
          <w:szCs w:val="21"/>
        </w:rPr>
        <w:t>关于付款周期的约定：</w:t>
      </w:r>
      <w:r>
        <w:rPr>
          <w:rFonts w:hint="eastAsia" w:ascii="宋体" w:hAnsi="宋体"/>
          <w:szCs w:val="21"/>
          <w:u w:val="single"/>
        </w:rPr>
        <w:t>按月计量支付进度款（按进度、按节点计量支付进度款的参考按月计量支付进度款原则执行）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12.4.2 进度付款申请单的编制</w:t>
      </w:r>
    </w:p>
    <w:p>
      <w:pPr>
        <w:spacing w:line="360" w:lineRule="auto"/>
        <w:ind w:firstLine="420" w:firstLineChars="200"/>
        <w:jc w:val="left"/>
        <w:rPr>
          <w:rFonts w:ascii="宋体" w:hAnsi="宋体"/>
          <w:szCs w:val="21"/>
        </w:rPr>
      </w:pPr>
      <w:r>
        <w:rPr>
          <w:rFonts w:hint="eastAsia" w:ascii="宋体" w:hAnsi="宋体"/>
          <w:szCs w:val="21"/>
        </w:rPr>
        <w:t>进度付款申请单应包括下列内容：</w:t>
      </w:r>
    </w:p>
    <w:p>
      <w:pPr>
        <w:spacing w:line="360" w:lineRule="auto"/>
        <w:ind w:firstLine="420" w:firstLineChars="200"/>
        <w:jc w:val="left"/>
        <w:rPr>
          <w:rFonts w:ascii="宋体" w:hAnsi="宋体"/>
          <w:szCs w:val="21"/>
        </w:rPr>
      </w:pPr>
      <w:r>
        <w:rPr>
          <w:rFonts w:hint="eastAsia" w:ascii="宋体" w:hAnsi="宋体"/>
          <w:szCs w:val="21"/>
          <w:u w:val="single"/>
        </w:rPr>
        <w:t>（1）截至本次付款周期已完成工作对应的金额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（2）根据第10条〔变更〕应增加和扣减的已审定变更金额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（3）根据第12.2款〔预付款〕约定应支付的预付款和扣减的返还预付款</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（4）根据第15.3款〔质量保证金〕约定应扣减的质量保证金</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（5）根据第19条〔索赔〕应增加和扣减的已审定索赔金额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（6）根据第11条〔价格调整〕应增加和扣减的价格调整金额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（7）对已签发的进度款支付证书中出现错误的修正，应在本次进度付款中支付或扣除的金额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（8）根据合同约定承包人应向发包人支付的违约金</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（9）根据合同约定发包人应向承包人支付的违约金和（或）奖励</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（10）根据合同约定应增加和扣减的其他金额</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（11）当月应支付的人工费（工资款）金额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12.4.3 进度付款申请单的提交</w:t>
      </w:r>
    </w:p>
    <w:p>
      <w:pPr>
        <w:spacing w:line="360" w:lineRule="auto"/>
        <w:ind w:firstLine="420" w:firstLineChars="200"/>
        <w:jc w:val="left"/>
        <w:rPr>
          <w:rFonts w:ascii="宋体" w:hAnsi="宋体"/>
          <w:szCs w:val="21"/>
          <w:u w:val="single"/>
        </w:rPr>
      </w:pPr>
      <w:r>
        <w:rPr>
          <w:rFonts w:hint="eastAsia" w:ascii="宋体" w:hAnsi="宋体"/>
          <w:szCs w:val="21"/>
        </w:rPr>
        <w:t>（1）单价合同进度付款申请单提交的约定：</w:t>
      </w:r>
      <w:r>
        <w:rPr>
          <w:rFonts w:hint="eastAsia" w:ascii="宋体" w:hAnsi="宋体"/>
          <w:szCs w:val="21"/>
          <w:u w:val="single"/>
        </w:rPr>
        <w:t>按照第12.3.3项〔单价合同的计量〕约定的时间按月向监理人提交，并附上已完成工程量报表、经审核的农民工工资发放的情况说明及有关资料。单价合同中的总价子目按工程形象进度分月计量后汇总列入当期进度付款申请单</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（2）总价合同进度付款申请单提交的约定：</w:t>
      </w:r>
      <w:r>
        <w:rPr>
          <w:rFonts w:hint="eastAsia" w:ascii="宋体" w:hAnsi="宋体"/>
          <w:szCs w:val="21"/>
          <w:u w:val="single"/>
        </w:rPr>
        <w:t>按照合同约定的形象进度的计量约定的时间向监理人提交，并附上已完成工程量报表、经审核的农民工工资发放的情况说明及有关资料</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（3）其他价格形式合同进度付款申请单提交的约定：</w:t>
      </w:r>
      <w:r>
        <w:rPr>
          <w:rFonts w:hint="eastAsia" w:ascii="宋体" w:hAnsi="宋体"/>
          <w:szCs w:val="21"/>
          <w:u w:val="single"/>
        </w:rPr>
        <w:t>不采用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12.4.4 进度款审核和支付</w:t>
      </w:r>
    </w:p>
    <w:p>
      <w:pPr>
        <w:spacing w:line="360" w:lineRule="auto"/>
        <w:ind w:firstLine="420" w:firstLineChars="200"/>
        <w:jc w:val="left"/>
        <w:rPr>
          <w:rFonts w:ascii="宋体" w:hAnsi="宋体"/>
          <w:szCs w:val="21"/>
          <w:u w:val="single"/>
        </w:rPr>
      </w:pPr>
      <w:r>
        <w:rPr>
          <w:rFonts w:hint="eastAsia" w:ascii="宋体" w:hAnsi="宋体"/>
          <w:szCs w:val="21"/>
        </w:rPr>
        <w:t>（1）监理人审查并报送发包人的期限：</w:t>
      </w:r>
      <w:r>
        <w:rPr>
          <w:rFonts w:hint="eastAsia" w:ascii="宋体" w:hAnsi="宋体"/>
          <w:szCs w:val="21"/>
          <w:u w:val="single"/>
        </w:rPr>
        <w:t>收到完整资料后7天内</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发包人完成审批并签发进度款支付证书的期限：</w:t>
      </w:r>
      <w:r>
        <w:rPr>
          <w:rFonts w:hint="eastAsia" w:ascii="宋体" w:hAnsi="宋体"/>
          <w:szCs w:val="21"/>
          <w:u w:val="single"/>
        </w:rPr>
        <w:t>发包人收到监理人报送资料后7天内完成审批并签发进度款支付证书</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监理人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p>
    <w:p>
      <w:pPr>
        <w:spacing w:line="360" w:lineRule="auto"/>
        <w:ind w:firstLine="420" w:firstLineChars="200"/>
        <w:jc w:val="left"/>
        <w:rPr>
          <w:rFonts w:ascii="宋体" w:hAnsi="宋体"/>
          <w:szCs w:val="21"/>
          <w:u w:val="single"/>
        </w:rPr>
      </w:pPr>
      <w:r>
        <w:rPr>
          <w:rFonts w:hint="eastAsia" w:ascii="宋体" w:hAnsi="宋体"/>
          <w:szCs w:val="21"/>
          <w:u w:val="single"/>
        </w:rPr>
        <w:t>发包人签发进度款支付证书或临时进度款支付证书，不表明发包人已同意、批准或接受了承包人完成的相应部分的工作。</w:t>
      </w:r>
    </w:p>
    <w:p>
      <w:pPr>
        <w:spacing w:line="360" w:lineRule="auto"/>
        <w:ind w:firstLine="420" w:firstLineChars="200"/>
        <w:jc w:val="left"/>
        <w:rPr>
          <w:rFonts w:ascii="宋体" w:hAnsi="宋体"/>
          <w:szCs w:val="21"/>
        </w:rPr>
      </w:pPr>
      <w:r>
        <w:rPr>
          <w:rFonts w:hint="eastAsia" w:ascii="宋体" w:hAnsi="宋体"/>
          <w:szCs w:val="21"/>
        </w:rPr>
        <w:t>（2）进度款支付：</w:t>
      </w:r>
    </w:p>
    <w:p>
      <w:pPr>
        <w:spacing w:line="360" w:lineRule="auto"/>
        <w:ind w:firstLine="420" w:firstLineChars="200"/>
        <w:jc w:val="left"/>
        <w:rPr>
          <w:rFonts w:ascii="宋体" w:hAnsi="宋体"/>
          <w:szCs w:val="21"/>
          <w:u w:val="single"/>
        </w:rPr>
      </w:pPr>
      <w:r>
        <w:rPr>
          <w:rFonts w:hint="eastAsia" w:ascii="宋体" w:hAnsi="宋体"/>
          <w:szCs w:val="21"/>
        </w:rPr>
        <w:t>①发包人将上月农民工工资支付凭证作为当月进度款支付的前置条件。</w:t>
      </w:r>
    </w:p>
    <w:p>
      <w:pPr>
        <w:spacing w:line="360" w:lineRule="auto"/>
        <w:ind w:firstLine="420" w:firstLineChars="200"/>
        <w:jc w:val="left"/>
        <w:rPr>
          <w:rFonts w:ascii="宋体" w:hAnsi="宋体"/>
          <w:szCs w:val="21"/>
          <w:u w:val="single"/>
        </w:rPr>
      </w:pPr>
      <w:r>
        <w:rPr>
          <w:rFonts w:hint="eastAsia" w:ascii="宋体" w:hAnsi="宋体"/>
          <w:szCs w:val="21"/>
        </w:rPr>
        <w:t>②安全文明施工费：</w:t>
      </w:r>
      <w:r>
        <w:rPr>
          <w:rFonts w:hint="eastAsia" w:ascii="宋体" w:hAnsi="宋体"/>
          <w:szCs w:val="21"/>
          <w:u w:val="single"/>
        </w:rPr>
        <w:t>合同签订后，发包人在开工前按签约合同价中安全文明施工费的50％支付承包人，用于现场安全文明施工建设，余下安全文明施工费按施工进度支付</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③分部分项工程费：</w:t>
      </w:r>
      <w:r>
        <w:rPr>
          <w:rFonts w:hint="eastAsia" w:ascii="宋体" w:hAnsi="宋体"/>
          <w:szCs w:val="21"/>
          <w:u w:val="single"/>
        </w:rPr>
        <w:t>按承包人当期完成并经监理人和发包人审定的工程量乘以相应综合单价计算当期完成的分部分项工程费及相应的规费和税金。发包人在签发进度款支付证书或临时进度款支付证书的次月10日前按经监理人和发包人审定的当期完成的分部分项工程费及相应的规费和税金（不含人工费价差和材料费价差）的  %</w:t>
      </w:r>
      <w:r>
        <w:rPr>
          <w:rFonts w:hint="eastAsia" w:ascii="宋体" w:hAnsi="宋体"/>
          <w:szCs w:val="21"/>
        </w:rPr>
        <w:t>（不低于80%）</w:t>
      </w:r>
      <w:r>
        <w:rPr>
          <w:rFonts w:hint="eastAsia" w:ascii="宋体" w:hAnsi="宋体"/>
          <w:szCs w:val="21"/>
          <w:u w:val="single"/>
        </w:rPr>
        <w:t>支付承包人</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④措施项目费：</w:t>
      </w:r>
      <w:r>
        <w:rPr>
          <w:rFonts w:hint="eastAsia" w:ascii="宋体" w:hAnsi="宋体"/>
          <w:szCs w:val="21"/>
          <w:u w:val="single"/>
        </w:rPr>
        <w:t>按承包人当期完成并经监理人和发包人审定的分部分项工程量，乘以相应综合单价计算所得合计金额占签约合同价格中分部分项工程费合计金额的比例，并以签约合同价格中措施项目费为基数计算当期完成的措施项目费及相应的规费和税金。发包人在签发进度款支付证书或临时进度款支付证书的次月10日前按经监理人和发包人审定的当期完成的措施项目费及相应的规费和税金（不含人工费价差和材料费价差）的  %</w:t>
      </w:r>
      <w:r>
        <w:rPr>
          <w:rFonts w:hint="eastAsia" w:ascii="宋体" w:hAnsi="宋体"/>
          <w:szCs w:val="21"/>
        </w:rPr>
        <w:t>（不低于80%）</w:t>
      </w:r>
      <w:r>
        <w:rPr>
          <w:rFonts w:hint="eastAsia" w:ascii="宋体" w:hAnsi="宋体"/>
          <w:szCs w:val="21"/>
          <w:u w:val="single"/>
        </w:rPr>
        <w:t>支付承包人</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fldChar w:fldCharType="begin"/>
      </w:r>
      <w:r>
        <w:rPr>
          <w:rFonts w:hint="eastAsia" w:ascii="宋体" w:hAnsi="宋体"/>
          <w:szCs w:val="21"/>
        </w:rPr>
        <w:instrText xml:space="preserve"> = 5 \* GB3 </w:instrText>
      </w:r>
      <w:r>
        <w:rPr>
          <w:rFonts w:hint="eastAsia" w:ascii="宋体" w:hAnsi="宋体"/>
          <w:szCs w:val="21"/>
        </w:rPr>
        <w:fldChar w:fldCharType="separate"/>
      </w:r>
      <w:r>
        <w:rPr>
          <w:rFonts w:hint="eastAsia" w:ascii="宋体" w:hAnsi="宋体"/>
          <w:szCs w:val="21"/>
        </w:rPr>
        <w:t>⑤</w:t>
      </w:r>
      <w:r>
        <w:rPr>
          <w:rFonts w:hint="eastAsia" w:ascii="宋体" w:hAnsi="宋体"/>
          <w:szCs w:val="21"/>
        </w:rPr>
        <w:fldChar w:fldCharType="end"/>
      </w:r>
      <w:r>
        <w:rPr>
          <w:rFonts w:hint="eastAsia" w:ascii="宋体" w:hAnsi="宋体"/>
          <w:szCs w:val="21"/>
        </w:rPr>
        <w:t>其他项目费：</w:t>
      </w:r>
      <w:r>
        <w:rPr>
          <w:rFonts w:hint="eastAsia" w:ascii="宋体" w:hAnsi="宋体"/>
          <w:szCs w:val="21"/>
          <w:u w:val="single"/>
        </w:rPr>
        <w:t>按承包人当期完成并经监理人和发包人审定的工程量乘以相应综合单价计算当期完成的其他项目费及相应的规费和税金。发包人在签发进度款支付证书或临时进度款支付证书的次月10日前按经监理人和发包人审定的当期完成的其他项目费及相应的规费和税金的  %</w:t>
      </w:r>
      <w:r>
        <w:rPr>
          <w:rFonts w:hint="eastAsia" w:ascii="宋体" w:hAnsi="宋体"/>
          <w:szCs w:val="21"/>
        </w:rPr>
        <w:t>（不低于80%）</w:t>
      </w:r>
      <w:r>
        <w:rPr>
          <w:rFonts w:hint="eastAsia" w:ascii="宋体" w:hAnsi="宋体"/>
          <w:szCs w:val="21"/>
          <w:u w:val="single"/>
        </w:rPr>
        <w:t>支付承包人</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⑥人工费（工资款）：发包人在签发人工费（工资款）支付证书的次月10日前，按经监理人和发包人审定的当月完成的合同价款的   %（人工费数额大于当月完成的合同价款的25%时，按实际人工费数额拨付；若人工费数额小于当月完成的合同价款的25%时，按不小于当月完成的合同价款的25%拨付），支付至承包人。</w:t>
      </w:r>
    </w:p>
    <w:p>
      <w:pPr>
        <w:spacing w:line="360" w:lineRule="auto"/>
        <w:ind w:firstLine="420" w:firstLineChars="200"/>
        <w:jc w:val="left"/>
        <w:rPr>
          <w:rFonts w:ascii="宋体" w:hAnsi="宋体"/>
          <w:szCs w:val="21"/>
          <w:u w:val="single"/>
        </w:rPr>
      </w:pPr>
      <w:r>
        <w:rPr>
          <w:rFonts w:hint="eastAsia" w:ascii="宋体" w:hAnsi="宋体"/>
          <w:szCs w:val="21"/>
          <w:u w:val="single"/>
        </w:rPr>
        <w:t>⑦人工、材料价差按  %</w:t>
      </w:r>
      <w:r>
        <w:rPr>
          <w:rFonts w:hint="eastAsia" w:ascii="宋体" w:hAnsi="宋体"/>
          <w:szCs w:val="21"/>
        </w:rPr>
        <w:t>（不低于80%）</w:t>
      </w:r>
      <w:r>
        <w:rPr>
          <w:rFonts w:hint="eastAsia" w:ascii="宋体" w:hAnsi="宋体"/>
          <w:szCs w:val="21"/>
          <w:u w:val="single"/>
        </w:rPr>
        <w:t>纳入当期进度支付，价差调整方式按11条约定执行</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⑧工程竣工验收合格后28天内，发包人向承包人支付至累计进度审定金额的  %</w:t>
      </w:r>
      <w:r>
        <w:rPr>
          <w:rFonts w:hint="eastAsia" w:ascii="宋体" w:hAnsi="宋体"/>
          <w:szCs w:val="21"/>
        </w:rPr>
        <w:t>（不低于80%）</w:t>
      </w:r>
      <w:r>
        <w:rPr>
          <w:rFonts w:hint="eastAsia" w:ascii="宋体" w:hAnsi="宋体"/>
          <w:szCs w:val="21"/>
          <w:u w:val="single"/>
        </w:rPr>
        <w:t>；移交完整的工程竣工资料后14天内，发包人向承包人支付至累计进度审定金额的  %</w:t>
      </w:r>
      <w:r>
        <w:rPr>
          <w:rFonts w:hint="eastAsia" w:ascii="宋体" w:hAnsi="宋体"/>
          <w:szCs w:val="21"/>
        </w:rPr>
        <w:t>（不低于85%）</w:t>
      </w:r>
      <w:r>
        <w:rPr>
          <w:rFonts w:hint="eastAsia" w:ascii="宋体" w:hAnsi="宋体"/>
          <w:szCs w:val="21"/>
          <w:u w:val="single"/>
        </w:rPr>
        <w:t>；完成结算审核后28天内，发包人向承包人支付至结算审定金额的</w:t>
      </w:r>
      <w:r>
        <w:rPr>
          <w:rFonts w:hint="eastAsia" w:ascii="宋体" w:hAnsi="宋体"/>
          <w:szCs w:val="21"/>
        </w:rPr>
        <w:t>97%；</w:t>
      </w:r>
      <w:r>
        <w:rPr>
          <w:rFonts w:hint="eastAsia" w:ascii="宋体" w:hAnsi="宋体"/>
          <w:szCs w:val="21"/>
          <w:u w:val="single"/>
        </w:rPr>
        <w:t>缺陷责任期满后28天内发包人向承包人支付剩余工程款</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2010" w:name="_Toc532377387"/>
      <w:bookmarkStart w:id="2011" w:name="_Toc351203585"/>
      <w:r>
        <w:rPr>
          <w:rFonts w:hint="eastAsia"/>
          <w:sz w:val="21"/>
          <w:szCs w:val="21"/>
        </w:rPr>
        <w:t>12.5支付账户</w:t>
      </w:r>
      <w:bookmarkEnd w:id="2010"/>
      <w:bookmarkEnd w:id="2011"/>
    </w:p>
    <w:p>
      <w:pPr>
        <w:spacing w:line="360" w:lineRule="auto"/>
        <w:ind w:firstLine="420" w:firstLineChars="200"/>
        <w:jc w:val="left"/>
        <w:rPr>
          <w:rFonts w:ascii="宋体" w:hAnsi="宋体"/>
          <w:szCs w:val="21"/>
        </w:rPr>
      </w:pPr>
      <w:r>
        <w:rPr>
          <w:rFonts w:hint="eastAsia" w:ascii="宋体" w:hAnsi="宋体"/>
          <w:szCs w:val="21"/>
        </w:rPr>
        <w:t>发包人应将合同价款支付至如下承包人指定的开户银行及银行账户：</w:t>
      </w:r>
    </w:p>
    <w:p>
      <w:pPr>
        <w:spacing w:line="360" w:lineRule="auto"/>
        <w:ind w:firstLine="420" w:firstLineChars="200"/>
        <w:jc w:val="left"/>
        <w:rPr>
          <w:rFonts w:ascii="宋体" w:hAnsi="宋体"/>
          <w:kern w:val="0"/>
          <w:szCs w:val="21"/>
          <w:u w:val="single"/>
        </w:rPr>
      </w:pPr>
      <w:r>
        <w:rPr>
          <w:rFonts w:hint="eastAsia" w:ascii="宋体" w:hAnsi="宋体"/>
          <w:kern w:val="0"/>
          <w:szCs w:val="21"/>
        </w:rPr>
        <w:t>收款单位名称：</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收款账号：</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收款开户银行：</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发包人应</w:t>
      </w:r>
      <w:r>
        <w:rPr>
          <w:rFonts w:hint="eastAsia" w:ascii="宋体" w:hAnsi="宋体"/>
          <w:kern w:val="0"/>
          <w:szCs w:val="21"/>
          <w:lang w:val="en-US" w:eastAsia="zh-CN"/>
        </w:rPr>
        <w:t>按行业主管部门的相关规定</w:t>
      </w:r>
      <w:r>
        <w:rPr>
          <w:rFonts w:hint="eastAsia" w:ascii="宋体" w:hAnsi="宋体"/>
          <w:kern w:val="0"/>
          <w:szCs w:val="21"/>
        </w:rPr>
        <w:t>将人工费（工资款）支付至承包人指定的农民工工资专用账户。</w:t>
      </w:r>
    </w:p>
    <w:p>
      <w:pPr>
        <w:pStyle w:val="6"/>
        <w:keepNext/>
        <w:keepLines/>
        <w:spacing w:before="156" w:beforeLines="50" w:beforeAutospacing="0" w:after="156" w:afterLines="50" w:afterAutospacing="0" w:line="360" w:lineRule="auto"/>
        <w:jc w:val="both"/>
        <w:rPr>
          <w:bCs w:val="0"/>
          <w:kern w:val="2"/>
          <w:sz w:val="21"/>
          <w:szCs w:val="21"/>
        </w:rPr>
      </w:pPr>
      <w:bookmarkStart w:id="2012" w:name="_Toc532377388"/>
      <w:bookmarkStart w:id="2013" w:name="_Toc351203645"/>
      <w:bookmarkStart w:id="2014" w:name="_Toc532375651"/>
      <w:bookmarkStart w:id="2015" w:name="_Toc297048405"/>
      <w:bookmarkStart w:id="2016" w:name="_Toc296891259"/>
      <w:bookmarkStart w:id="2017" w:name="_Toc296503219"/>
      <w:bookmarkStart w:id="2018" w:name="_Toc303539172"/>
      <w:bookmarkStart w:id="2019" w:name="_Toc312678053"/>
      <w:bookmarkStart w:id="2020" w:name="_Toc292559929"/>
      <w:bookmarkStart w:id="2021" w:name="_Toc296346720"/>
      <w:bookmarkStart w:id="2022" w:name="_Toc304295593"/>
      <w:bookmarkStart w:id="2023" w:name="_Toc300935015"/>
      <w:bookmarkStart w:id="2024" w:name="_Toc297123564"/>
      <w:bookmarkStart w:id="2025" w:name="_Toc297216223"/>
      <w:bookmarkStart w:id="2026" w:name="_Toc296891047"/>
      <w:bookmarkStart w:id="2027" w:name="_Toc296347218"/>
      <w:bookmarkStart w:id="2028" w:name="_Toc292559424"/>
      <w:bookmarkStart w:id="2029" w:name="_Toc297120519"/>
      <w:bookmarkStart w:id="2030" w:name="_Toc296944558"/>
      <w:r>
        <w:rPr>
          <w:rFonts w:hint="eastAsia"/>
          <w:kern w:val="2"/>
          <w:sz w:val="21"/>
          <w:szCs w:val="21"/>
        </w:rPr>
        <w:t>13. 验收和工程试车</w:t>
      </w:r>
      <w:bookmarkEnd w:id="2012"/>
      <w:bookmarkEnd w:id="2013"/>
      <w:bookmarkEnd w:id="2014"/>
    </w:p>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p>
      <w:pPr>
        <w:pStyle w:val="7"/>
        <w:spacing w:before="0" w:beforeAutospacing="0" w:after="0" w:afterAutospacing="0" w:line="360" w:lineRule="auto"/>
        <w:ind w:firstLine="421" w:firstLineChars="200"/>
        <w:rPr>
          <w:sz w:val="21"/>
          <w:szCs w:val="21"/>
        </w:rPr>
      </w:pPr>
      <w:bookmarkStart w:id="2031" w:name="_Toc532377389"/>
      <w:bookmarkStart w:id="2032" w:name="_Toc532375652"/>
      <w:bookmarkStart w:id="2033" w:name="_Toc280868704"/>
      <w:bookmarkStart w:id="2034" w:name="_Toc280868705"/>
      <w:bookmarkStart w:id="2035" w:name="_Toc280868706"/>
      <w:bookmarkStart w:id="2036" w:name="_Toc280868707"/>
      <w:bookmarkStart w:id="2037" w:name="_Toc280868708"/>
      <w:bookmarkStart w:id="2038" w:name="_Toc267251472"/>
      <w:bookmarkStart w:id="2039" w:name="_Toc267251476"/>
      <w:bookmarkStart w:id="2040" w:name="_Toc267251471"/>
      <w:bookmarkStart w:id="2041" w:name="_Toc267251474"/>
      <w:bookmarkStart w:id="2042" w:name="_Toc267251470"/>
      <w:bookmarkStart w:id="2043" w:name="_Toc267251473"/>
      <w:bookmarkStart w:id="2044" w:name="_Toc267251475"/>
      <w:bookmarkStart w:id="2045" w:name="_Toc280868709"/>
      <w:r>
        <w:rPr>
          <w:rFonts w:hint="eastAsia"/>
          <w:sz w:val="21"/>
          <w:szCs w:val="21"/>
        </w:rPr>
        <w:t>13.1 分部分项工程验收</w:t>
      </w:r>
      <w:bookmarkEnd w:id="2031"/>
      <w:bookmarkEnd w:id="2032"/>
    </w:p>
    <w:p>
      <w:pPr>
        <w:spacing w:line="360" w:lineRule="auto"/>
        <w:ind w:right="105" w:rightChars="50" w:firstLine="420" w:firstLineChars="200"/>
        <w:jc w:val="left"/>
        <w:rPr>
          <w:rFonts w:ascii="宋体" w:hAnsi="宋体"/>
          <w:szCs w:val="21"/>
        </w:rPr>
      </w:pPr>
      <w:r>
        <w:rPr>
          <w:rFonts w:hint="eastAsia" w:ascii="宋体" w:hAnsi="宋体"/>
          <w:szCs w:val="21"/>
        </w:rPr>
        <w:t>13.1.2 监理人不能按时进行验收时，应提前</w:t>
      </w:r>
      <w:r>
        <w:rPr>
          <w:rFonts w:hint="eastAsia" w:ascii="宋体" w:hAnsi="宋体"/>
          <w:szCs w:val="21"/>
          <w:u w:val="single"/>
        </w:rPr>
        <w:t>24</w:t>
      </w:r>
      <w:r>
        <w:rPr>
          <w:rFonts w:hint="eastAsia" w:ascii="宋体" w:hAnsi="宋体"/>
          <w:szCs w:val="21"/>
        </w:rPr>
        <w:t>小时提交书面延期要求。</w:t>
      </w:r>
    </w:p>
    <w:p>
      <w:pPr>
        <w:spacing w:line="360" w:lineRule="auto"/>
        <w:ind w:right="105" w:rightChars="50" w:firstLine="420" w:firstLineChars="200"/>
        <w:jc w:val="left"/>
        <w:rPr>
          <w:rFonts w:ascii="宋体" w:hAnsi="宋体"/>
          <w:szCs w:val="21"/>
        </w:rPr>
      </w:pPr>
      <w:r>
        <w:rPr>
          <w:rFonts w:hint="eastAsia" w:ascii="宋体" w:hAnsi="宋体"/>
          <w:szCs w:val="21"/>
        </w:rPr>
        <w:t>关于延期最长不得超过：</w:t>
      </w:r>
      <w:r>
        <w:rPr>
          <w:rFonts w:hint="eastAsia" w:ascii="宋体" w:hAnsi="宋体"/>
          <w:szCs w:val="21"/>
          <w:u w:val="single"/>
        </w:rPr>
        <w:t>48</w:t>
      </w:r>
      <w:r>
        <w:rPr>
          <w:rFonts w:hint="eastAsia" w:ascii="宋体" w:hAnsi="宋体"/>
          <w:szCs w:val="21"/>
        </w:rPr>
        <w:t>小时。</w:t>
      </w:r>
    </w:p>
    <w:p>
      <w:pPr>
        <w:pStyle w:val="7"/>
        <w:spacing w:before="0" w:beforeAutospacing="0" w:after="0" w:afterAutospacing="0" w:line="360" w:lineRule="auto"/>
        <w:ind w:firstLine="421" w:firstLineChars="200"/>
        <w:rPr>
          <w:sz w:val="21"/>
          <w:szCs w:val="21"/>
        </w:rPr>
      </w:pPr>
      <w:bookmarkStart w:id="2046" w:name="_Toc532375653"/>
      <w:bookmarkStart w:id="2047" w:name="_Toc532377390"/>
      <w:bookmarkStart w:id="2048" w:name="_Toc292559428"/>
      <w:bookmarkStart w:id="2049" w:name="_Toc296944562"/>
      <w:bookmarkStart w:id="2050" w:name="_Toc296503223"/>
      <w:bookmarkStart w:id="2051" w:name="_Toc296347222"/>
      <w:bookmarkStart w:id="2052" w:name="_Toc303539173"/>
      <w:bookmarkStart w:id="2053" w:name="_Toc312678056"/>
      <w:bookmarkStart w:id="2054" w:name="_Toc296346724"/>
      <w:bookmarkStart w:id="2055" w:name="_Toc297120523"/>
      <w:bookmarkStart w:id="2056" w:name="_Toc296891263"/>
      <w:bookmarkStart w:id="2057" w:name="_Toc297123565"/>
      <w:bookmarkStart w:id="2058" w:name="_Toc304295596"/>
      <w:bookmarkStart w:id="2059" w:name="_Toc297048409"/>
      <w:bookmarkStart w:id="2060" w:name="_Toc300935016"/>
      <w:bookmarkStart w:id="2061" w:name="_Toc292559933"/>
      <w:bookmarkStart w:id="2062" w:name="_Toc297216224"/>
      <w:bookmarkStart w:id="2063" w:name="_Toc296891051"/>
      <w:r>
        <w:rPr>
          <w:rFonts w:hint="eastAsia"/>
          <w:sz w:val="21"/>
          <w:szCs w:val="21"/>
        </w:rPr>
        <w:t>13.2 竣工验收</w:t>
      </w:r>
      <w:bookmarkEnd w:id="2046"/>
      <w:bookmarkEnd w:id="2047"/>
    </w:p>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p>
      <w:pPr>
        <w:spacing w:line="360" w:lineRule="auto"/>
        <w:ind w:right="105" w:rightChars="50" w:firstLine="420" w:firstLineChars="200"/>
        <w:jc w:val="left"/>
        <w:rPr>
          <w:rFonts w:ascii="宋体" w:hAnsi="宋体"/>
          <w:szCs w:val="21"/>
        </w:rPr>
      </w:pPr>
      <w:r>
        <w:rPr>
          <w:rFonts w:hint="eastAsia" w:ascii="宋体" w:hAnsi="宋体"/>
          <w:szCs w:val="21"/>
        </w:rPr>
        <w:t>13.2.2竣工验收程序</w:t>
      </w:r>
    </w:p>
    <w:bookmarkEnd w:id="2033"/>
    <w:p>
      <w:pPr>
        <w:spacing w:line="360" w:lineRule="auto"/>
        <w:ind w:right="105" w:rightChars="50" w:firstLine="420" w:firstLineChars="200"/>
        <w:jc w:val="left"/>
        <w:rPr>
          <w:rFonts w:ascii="宋体" w:hAnsi="宋体"/>
          <w:szCs w:val="21"/>
        </w:rPr>
      </w:pPr>
      <w:r>
        <w:rPr>
          <w:rFonts w:hint="eastAsia" w:ascii="宋体" w:hAnsi="宋体"/>
          <w:szCs w:val="21"/>
        </w:rPr>
        <w:t>关于竣工验收程序的约定：工程完工且符合下列条件时，承包人可向发包人提供竣工报告，并要求验收：</w:t>
      </w:r>
    </w:p>
    <w:p>
      <w:pPr>
        <w:spacing w:line="360" w:lineRule="auto"/>
        <w:ind w:right="105" w:rightChars="50" w:firstLine="420" w:firstLineChars="200"/>
        <w:jc w:val="left"/>
        <w:rPr>
          <w:rFonts w:ascii="宋体" w:hAnsi="宋体"/>
          <w:szCs w:val="21"/>
        </w:rPr>
      </w:pPr>
      <w:r>
        <w:rPr>
          <w:rFonts w:hint="eastAsia" w:ascii="宋体" w:hAnsi="宋体"/>
          <w:szCs w:val="21"/>
        </w:rPr>
        <w:t>（1）除发包人同意的甩项工作和缺陷修补工作外，合同范围内的全部工程以及有关工作，包括合同要求的试验、试运行以及检验均已完成，并符合合同要求；</w:t>
      </w:r>
    </w:p>
    <w:p>
      <w:pPr>
        <w:spacing w:line="360" w:lineRule="auto"/>
        <w:ind w:right="105" w:rightChars="50" w:firstLine="420" w:firstLineChars="200"/>
        <w:jc w:val="left"/>
        <w:rPr>
          <w:rFonts w:ascii="宋体" w:hAnsi="宋体"/>
          <w:szCs w:val="21"/>
        </w:rPr>
      </w:pPr>
      <w:r>
        <w:rPr>
          <w:rFonts w:hint="eastAsia" w:ascii="宋体" w:hAnsi="宋体"/>
          <w:szCs w:val="21"/>
        </w:rPr>
        <w:t>（2）已按合同约定编制了甩项工作和缺陷修补工作清单以及相应的施工计划；</w:t>
      </w:r>
    </w:p>
    <w:p>
      <w:pPr>
        <w:spacing w:line="360" w:lineRule="auto"/>
        <w:ind w:right="105" w:rightChars="50" w:firstLine="420" w:firstLineChars="200"/>
        <w:jc w:val="left"/>
        <w:rPr>
          <w:rFonts w:ascii="宋体" w:hAnsi="宋体"/>
          <w:szCs w:val="21"/>
        </w:rPr>
      </w:pPr>
      <w:r>
        <w:rPr>
          <w:rFonts w:hint="eastAsia" w:ascii="宋体" w:hAnsi="宋体"/>
          <w:szCs w:val="21"/>
        </w:rPr>
        <w:t>（3）已按合同约定的内容和份数备齐竣工资料。</w:t>
      </w:r>
    </w:p>
    <w:p>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工程竣工及竣工资料：</w:t>
      </w:r>
    </w:p>
    <w:p>
      <w:pPr>
        <w:spacing w:line="360" w:lineRule="auto"/>
        <w:ind w:right="105" w:rightChars="50" w:firstLine="420" w:firstLineChars="200"/>
        <w:jc w:val="left"/>
        <w:rPr>
          <w:rFonts w:ascii="宋体" w:hAnsi="宋体"/>
          <w:szCs w:val="21"/>
        </w:rPr>
      </w:pPr>
      <w:r>
        <w:rPr>
          <w:rFonts w:hint="eastAsia" w:ascii="宋体" w:hAnsi="宋体"/>
          <w:szCs w:val="21"/>
          <w:u w:val="single"/>
        </w:rPr>
        <w:t>（1）发包人应在收到承包人竣工报告后14天内组织设计单位、监理单位、质监等其他部门进行验收，竣工日期以最后一次整改后通过竣工验收的时间为准</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single"/>
        </w:rPr>
        <w:t>（2）当工程具备竣工验收条件时，承包人应及时向发包人提交竣工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r>
        <w:rPr>
          <w:rFonts w:hint="eastAsia" w:ascii="宋体" w:hAnsi="宋体"/>
          <w:szCs w:val="21"/>
        </w:rPr>
        <w:t>。</w:t>
      </w:r>
    </w:p>
    <w:p>
      <w:pPr>
        <w:spacing w:line="360" w:lineRule="auto"/>
        <w:ind w:right="105" w:rightChars="50" w:firstLine="420" w:firstLineChars="200"/>
        <w:jc w:val="left"/>
        <w:rPr>
          <w:rFonts w:ascii="宋体" w:hAnsi="宋体"/>
          <w:szCs w:val="21"/>
          <w:u w:val="single"/>
        </w:rPr>
      </w:pPr>
      <w:r>
        <w:rPr>
          <w:rFonts w:hint="eastAsia" w:ascii="宋体" w:hAnsi="宋体"/>
          <w:szCs w:val="21"/>
        </w:rPr>
        <w:t>（3）承包人提供竣工资料的约定：</w:t>
      </w:r>
      <w:r>
        <w:rPr>
          <w:rFonts w:hint="eastAsia" w:ascii="宋体" w:hAnsi="宋体"/>
          <w:szCs w:val="21"/>
          <w:u w:val="single"/>
        </w:rPr>
        <w:t>承包人提供纸质版竣工图三套，电子版竣工图二套（刻光盘）</w:t>
      </w:r>
      <w:r>
        <w:rPr>
          <w:rFonts w:hint="eastAsia" w:ascii="宋体" w:hAnsi="宋体"/>
          <w:szCs w:val="21"/>
        </w:rPr>
        <w:t>。</w:t>
      </w:r>
    </w:p>
    <w:bookmarkEnd w:id="2034"/>
    <w:p>
      <w:pPr>
        <w:spacing w:line="360" w:lineRule="auto"/>
        <w:ind w:right="105" w:rightChars="50" w:firstLine="420" w:firstLineChars="200"/>
        <w:jc w:val="left"/>
        <w:rPr>
          <w:rFonts w:ascii="宋体" w:hAnsi="宋体"/>
          <w:szCs w:val="21"/>
        </w:rPr>
      </w:pPr>
      <w:r>
        <w:rPr>
          <w:rFonts w:hint="eastAsia" w:ascii="宋体" w:hAnsi="宋体"/>
          <w:szCs w:val="21"/>
        </w:rPr>
        <w:t>13.2.5 移交、接收全部与部分工程</w:t>
      </w:r>
    </w:p>
    <w:bookmarkEnd w:id="2035"/>
    <w:p>
      <w:pPr>
        <w:spacing w:line="360" w:lineRule="auto"/>
        <w:ind w:right="105" w:rightChars="50" w:firstLine="420" w:firstLineChars="200"/>
        <w:jc w:val="left"/>
        <w:rPr>
          <w:rFonts w:ascii="宋体" w:hAnsi="宋体"/>
          <w:szCs w:val="21"/>
          <w:u w:val="single"/>
        </w:rPr>
      </w:pPr>
      <w:r>
        <w:rPr>
          <w:rFonts w:hint="eastAsia" w:ascii="宋体" w:hAnsi="宋体"/>
          <w:szCs w:val="21"/>
        </w:rPr>
        <w:t>承包人向发包人移交工程的期限：</w:t>
      </w:r>
      <w:r>
        <w:rPr>
          <w:rFonts w:hint="eastAsia" w:ascii="宋体" w:hAnsi="宋体"/>
          <w:szCs w:val="21"/>
          <w:u w:val="single"/>
        </w:rPr>
        <w:t>颁发工程接收证书后7天内完成工程的移交</w:t>
      </w:r>
      <w:r>
        <w:rPr>
          <w:rFonts w:hint="eastAsia" w:ascii="宋体" w:hAnsi="宋体"/>
          <w:szCs w:val="21"/>
        </w:rPr>
        <w:t>。</w:t>
      </w:r>
    </w:p>
    <w:p>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发包人未按合同约定接收全部或部分工程的，违约金的计算方法为：发包人自应当接收工程之日起承担工程照管、成品保护、保管等与工程有关的各项费用。</w:t>
      </w:r>
    </w:p>
    <w:bookmarkEnd w:id="2036"/>
    <w:p>
      <w:pPr>
        <w:spacing w:line="360" w:lineRule="auto"/>
        <w:ind w:right="105" w:rightChars="50" w:firstLine="420" w:firstLineChars="200"/>
        <w:jc w:val="left"/>
        <w:rPr>
          <w:rFonts w:ascii="宋体" w:hAnsi="宋体"/>
          <w:szCs w:val="21"/>
          <w:u w:val="single"/>
        </w:rPr>
      </w:pPr>
      <w:r>
        <w:rPr>
          <w:rFonts w:hint="eastAsia" w:ascii="宋体" w:hAnsi="宋体"/>
          <w:szCs w:val="21"/>
        </w:rPr>
        <w:t>因承包人自身原因未按时移交工程的，违约金的计算方法为：</w:t>
      </w:r>
      <w:r>
        <w:rPr>
          <w:rFonts w:hint="eastAsia" w:ascii="宋体" w:hAnsi="宋体"/>
          <w:szCs w:val="21"/>
          <w:u w:val="single"/>
        </w:rPr>
        <w:t>承包人应承担工程照管、成品保护、保管等与工程有关的各项费用，并按经审定结算金额的0.5‰/天支付违约金</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2064" w:name="_Toc532377391"/>
      <w:bookmarkStart w:id="2065" w:name="_Toc532375654"/>
      <w:r>
        <w:rPr>
          <w:rFonts w:hint="eastAsia"/>
          <w:sz w:val="21"/>
          <w:szCs w:val="21"/>
        </w:rPr>
        <w:t>13.3 工程试车</w:t>
      </w:r>
      <w:bookmarkEnd w:id="2064"/>
      <w:bookmarkEnd w:id="2065"/>
    </w:p>
    <w:p>
      <w:pPr>
        <w:spacing w:line="360" w:lineRule="auto"/>
        <w:ind w:right="105" w:rightChars="50" w:firstLine="420" w:firstLineChars="200"/>
        <w:jc w:val="left"/>
        <w:rPr>
          <w:rFonts w:ascii="宋体" w:hAnsi="宋体"/>
          <w:szCs w:val="21"/>
        </w:rPr>
      </w:pPr>
      <w:r>
        <w:rPr>
          <w:rFonts w:hint="eastAsia" w:ascii="宋体" w:hAnsi="宋体"/>
          <w:szCs w:val="21"/>
        </w:rPr>
        <w:t>13.3.1 试车程序</w:t>
      </w:r>
    </w:p>
    <w:p>
      <w:pPr>
        <w:spacing w:line="360" w:lineRule="auto"/>
        <w:ind w:right="105" w:rightChars="50" w:firstLine="420" w:firstLineChars="200"/>
        <w:jc w:val="left"/>
        <w:rPr>
          <w:rFonts w:ascii="宋体" w:hAnsi="宋体"/>
          <w:szCs w:val="21"/>
        </w:rPr>
      </w:pPr>
      <w:r>
        <w:rPr>
          <w:rFonts w:hint="eastAsia" w:ascii="宋体" w:hAnsi="宋体"/>
          <w:szCs w:val="21"/>
        </w:rPr>
        <w:t>工程试车内容：</w:t>
      </w:r>
      <w:r>
        <w:rPr>
          <w:rFonts w:hint="eastAsia" w:ascii="宋体" w:hAnsi="宋体"/>
          <w:szCs w:val="21"/>
          <w:u w:val="single"/>
        </w:rPr>
        <w:t>按通用合同条款执行</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（1）单机无负荷试车费用由</w:t>
      </w:r>
      <w:r>
        <w:rPr>
          <w:rFonts w:hint="eastAsia" w:ascii="宋体" w:hAnsi="宋体"/>
          <w:szCs w:val="21"/>
          <w:u w:val="single"/>
        </w:rPr>
        <w:t>承包人</w:t>
      </w:r>
      <w:r>
        <w:rPr>
          <w:rFonts w:hint="eastAsia" w:ascii="宋体" w:hAnsi="宋体"/>
          <w:szCs w:val="21"/>
        </w:rPr>
        <w:t>承担；</w:t>
      </w:r>
    </w:p>
    <w:p>
      <w:pPr>
        <w:spacing w:line="360" w:lineRule="auto"/>
        <w:ind w:right="105" w:rightChars="50" w:firstLine="420" w:firstLineChars="200"/>
        <w:jc w:val="left"/>
        <w:rPr>
          <w:rFonts w:ascii="宋体" w:hAnsi="宋体"/>
          <w:szCs w:val="21"/>
        </w:rPr>
      </w:pPr>
      <w:r>
        <w:rPr>
          <w:rFonts w:hint="eastAsia" w:ascii="宋体" w:hAnsi="宋体"/>
          <w:szCs w:val="21"/>
        </w:rPr>
        <w:t>（2）无负荷联动试车费用由</w:t>
      </w:r>
      <w:r>
        <w:rPr>
          <w:rFonts w:hint="eastAsia" w:ascii="宋体" w:hAnsi="宋体"/>
          <w:szCs w:val="21"/>
          <w:u w:val="single"/>
        </w:rPr>
        <w:t>承包人</w:t>
      </w:r>
      <w:r>
        <w:rPr>
          <w:rFonts w:hint="eastAsia" w:ascii="宋体" w:hAnsi="宋体"/>
          <w:szCs w:val="21"/>
        </w:rPr>
        <w:t>承担。</w:t>
      </w:r>
    </w:p>
    <w:p>
      <w:pPr>
        <w:pStyle w:val="7"/>
        <w:spacing w:before="0" w:beforeAutospacing="0" w:after="0" w:afterAutospacing="0" w:line="360" w:lineRule="auto"/>
        <w:ind w:firstLine="421" w:firstLineChars="200"/>
        <w:rPr>
          <w:sz w:val="21"/>
          <w:szCs w:val="21"/>
        </w:rPr>
      </w:pPr>
      <w:bookmarkStart w:id="2066" w:name="_Toc532375655"/>
      <w:bookmarkStart w:id="2067" w:name="_Toc532377392"/>
      <w:r>
        <w:rPr>
          <w:rFonts w:hint="eastAsia"/>
          <w:sz w:val="21"/>
          <w:szCs w:val="21"/>
        </w:rPr>
        <w:t>13.6 竣工退场</w:t>
      </w:r>
      <w:bookmarkEnd w:id="2066"/>
      <w:bookmarkEnd w:id="2067"/>
    </w:p>
    <w:p>
      <w:pPr>
        <w:spacing w:line="360" w:lineRule="auto"/>
        <w:ind w:right="105" w:rightChars="50" w:firstLine="420" w:firstLineChars="200"/>
        <w:jc w:val="left"/>
        <w:rPr>
          <w:rFonts w:ascii="宋体" w:hAnsi="宋体"/>
          <w:szCs w:val="21"/>
        </w:rPr>
      </w:pPr>
      <w:r>
        <w:rPr>
          <w:rFonts w:hint="eastAsia" w:ascii="宋体" w:hAnsi="宋体"/>
          <w:szCs w:val="21"/>
        </w:rPr>
        <w:t>13.6.1 竣工退场</w:t>
      </w:r>
    </w:p>
    <w:p>
      <w:pPr>
        <w:spacing w:line="360" w:lineRule="auto"/>
        <w:ind w:right="105" w:rightChars="50" w:firstLine="420" w:firstLineChars="200"/>
        <w:jc w:val="left"/>
        <w:rPr>
          <w:rFonts w:ascii="宋体" w:hAnsi="宋体"/>
          <w:szCs w:val="21"/>
          <w:u w:val="single"/>
        </w:rPr>
      </w:pPr>
      <w:r>
        <w:rPr>
          <w:rFonts w:hint="eastAsia" w:ascii="宋体" w:hAnsi="宋体"/>
          <w:szCs w:val="21"/>
        </w:rPr>
        <w:t>承包人完成竣工退场的期限：</w:t>
      </w:r>
      <w:r>
        <w:rPr>
          <w:rFonts w:hint="eastAsia" w:ascii="宋体" w:hAnsi="宋体"/>
          <w:szCs w:val="21"/>
          <w:u w:val="single"/>
        </w:rPr>
        <w:t>工程接收证书颁发后28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hint="eastAsia" w:ascii="宋体" w:hAnsi="宋体"/>
          <w:szCs w:val="21"/>
        </w:rPr>
        <w:t>。</w:t>
      </w:r>
    </w:p>
    <w:bookmarkEnd w:id="2037"/>
    <w:p>
      <w:pPr>
        <w:pStyle w:val="6"/>
        <w:keepNext/>
        <w:keepLines/>
        <w:spacing w:before="156" w:beforeLines="50" w:beforeAutospacing="0" w:after="156" w:afterLines="50" w:afterAutospacing="0" w:line="360" w:lineRule="auto"/>
        <w:jc w:val="both"/>
        <w:rPr>
          <w:bCs w:val="0"/>
          <w:kern w:val="2"/>
          <w:sz w:val="21"/>
          <w:szCs w:val="21"/>
        </w:rPr>
      </w:pPr>
      <w:bookmarkStart w:id="2068" w:name="_Toc532375656"/>
      <w:bookmarkStart w:id="2069" w:name="_Toc351203646"/>
      <w:bookmarkStart w:id="2070" w:name="_Toc532377393"/>
      <w:r>
        <w:rPr>
          <w:rFonts w:hint="eastAsia"/>
          <w:kern w:val="2"/>
          <w:sz w:val="21"/>
          <w:szCs w:val="21"/>
        </w:rPr>
        <w:t>14. 竣工结算</w:t>
      </w:r>
      <w:bookmarkEnd w:id="2068"/>
      <w:bookmarkEnd w:id="2069"/>
      <w:bookmarkEnd w:id="2070"/>
    </w:p>
    <w:p>
      <w:pPr>
        <w:pStyle w:val="7"/>
        <w:spacing w:before="0" w:beforeAutospacing="0" w:after="0" w:afterAutospacing="0" w:line="360" w:lineRule="auto"/>
        <w:ind w:firstLine="421" w:firstLineChars="200"/>
        <w:rPr>
          <w:sz w:val="21"/>
          <w:szCs w:val="21"/>
        </w:rPr>
      </w:pPr>
      <w:bookmarkStart w:id="2071" w:name="_Toc532375657"/>
      <w:bookmarkStart w:id="2072" w:name="_Toc532377394"/>
      <w:r>
        <w:rPr>
          <w:rFonts w:hint="eastAsia"/>
          <w:sz w:val="21"/>
          <w:szCs w:val="21"/>
        </w:rPr>
        <w:t>14.1 竣工结算申请</w:t>
      </w:r>
      <w:bookmarkEnd w:id="2071"/>
      <w:bookmarkEnd w:id="2072"/>
    </w:p>
    <w:p>
      <w:pPr>
        <w:spacing w:line="360" w:lineRule="auto"/>
        <w:ind w:right="105" w:rightChars="50" w:firstLine="420" w:firstLineChars="200"/>
        <w:jc w:val="left"/>
        <w:rPr>
          <w:rFonts w:ascii="宋体" w:hAnsi="宋体"/>
          <w:szCs w:val="21"/>
          <w:u w:val="single"/>
        </w:rPr>
      </w:pPr>
      <w:r>
        <w:rPr>
          <w:rFonts w:hint="eastAsia" w:ascii="宋体" w:hAnsi="宋体"/>
          <w:szCs w:val="21"/>
        </w:rPr>
        <w:t>承包人提交竣工结算申请单的期限：</w:t>
      </w:r>
      <w:r>
        <w:rPr>
          <w:rFonts w:hint="eastAsia" w:ascii="宋体" w:hAnsi="宋体"/>
          <w:szCs w:val="21"/>
          <w:u w:val="single"/>
        </w:rPr>
        <w:t>承包人应在工程竣工验收合格且报送</w:t>
      </w:r>
      <w:r>
        <w:rPr>
          <w:rFonts w:ascii="宋体" w:hAnsi="宋体"/>
          <w:szCs w:val="21"/>
          <w:u w:val="single"/>
        </w:rPr>
        <w:t>完整工程竣工资料</w:t>
      </w:r>
      <w:r>
        <w:rPr>
          <w:rFonts w:hint="eastAsia" w:ascii="宋体" w:hAnsi="宋体"/>
          <w:szCs w:val="21"/>
          <w:u w:val="single"/>
        </w:rPr>
        <w:t>之日起28天内向监理人、发包人提交竣工结算申请单，并向发包人报送完整的工程竣工资料及经监理人初审确认的完整的竣工结算资料</w:t>
      </w:r>
      <w:bookmarkStart w:id="2073" w:name="_Hlk524297994"/>
      <w:r>
        <w:rPr>
          <w:rFonts w:hint="eastAsia" w:ascii="宋体" w:hAnsi="宋体"/>
          <w:szCs w:val="21"/>
          <w:u w:val="single"/>
        </w:rPr>
        <w:t>。监理人或发包人对竣工结算申请单有异议的，应在接到竣工结算申请单后14天内要求承包人进行修正和提供补充资料，承包人在接到监理人或发包人提出的审核意见后，应在28天内按监理人或发包人提出的合理要求补充资料、修改竣工结算资料，并再次提交监理人或发包人审核。承包人未在规定时间内报送竣工结算资料给发包人造成经济损失的，承包人应承担赔偿责任。</w:t>
      </w:r>
    </w:p>
    <w:p>
      <w:pPr>
        <w:spacing w:line="360" w:lineRule="auto"/>
        <w:ind w:right="105" w:rightChars="50" w:firstLine="420" w:firstLineChars="200"/>
        <w:jc w:val="left"/>
        <w:rPr>
          <w:rFonts w:ascii="宋体" w:hAnsi="宋体"/>
          <w:szCs w:val="21"/>
        </w:rPr>
      </w:pPr>
      <w:r>
        <w:rPr>
          <w:rFonts w:hint="eastAsia" w:ascii="宋体" w:hAnsi="宋体"/>
          <w:szCs w:val="21"/>
        </w:rPr>
        <w:t>竣工结算申请单包括但不限于以下内容：</w:t>
      </w:r>
    </w:p>
    <w:p>
      <w:pPr>
        <w:spacing w:line="360" w:lineRule="auto"/>
        <w:ind w:right="105" w:rightChars="50" w:firstLine="420" w:firstLineChars="200"/>
        <w:jc w:val="left"/>
        <w:rPr>
          <w:rFonts w:ascii="宋体" w:hAnsi="宋体"/>
          <w:szCs w:val="21"/>
        </w:rPr>
      </w:pPr>
      <w:r>
        <w:rPr>
          <w:rFonts w:hint="eastAsia" w:ascii="宋体" w:hAnsi="宋体"/>
          <w:szCs w:val="21"/>
        </w:rPr>
        <w:t>（1）竣工结算合同价格；</w:t>
      </w:r>
    </w:p>
    <w:p>
      <w:pPr>
        <w:spacing w:line="360" w:lineRule="auto"/>
        <w:ind w:right="105" w:rightChars="50" w:firstLine="420" w:firstLineChars="200"/>
        <w:jc w:val="left"/>
        <w:rPr>
          <w:rFonts w:ascii="宋体" w:hAnsi="宋体"/>
          <w:szCs w:val="21"/>
        </w:rPr>
      </w:pPr>
      <w:r>
        <w:rPr>
          <w:rFonts w:hint="eastAsia" w:ascii="宋体" w:hAnsi="宋体"/>
          <w:szCs w:val="21"/>
        </w:rPr>
        <w:t>（2）变更增减金额；</w:t>
      </w:r>
    </w:p>
    <w:p>
      <w:pPr>
        <w:spacing w:line="360" w:lineRule="auto"/>
        <w:ind w:right="105" w:rightChars="50" w:firstLine="420" w:firstLineChars="200"/>
        <w:jc w:val="left"/>
        <w:rPr>
          <w:rFonts w:ascii="宋体" w:hAnsi="宋体"/>
          <w:szCs w:val="21"/>
        </w:rPr>
      </w:pPr>
      <w:r>
        <w:rPr>
          <w:rFonts w:hint="eastAsia" w:ascii="宋体" w:hAnsi="宋体"/>
          <w:szCs w:val="21"/>
        </w:rPr>
        <w:t>（3）现场签证增减金额；</w:t>
      </w:r>
    </w:p>
    <w:p>
      <w:pPr>
        <w:spacing w:line="360" w:lineRule="auto"/>
        <w:ind w:right="105" w:rightChars="50" w:firstLine="420" w:firstLineChars="200"/>
        <w:jc w:val="left"/>
        <w:rPr>
          <w:rFonts w:ascii="宋体" w:hAnsi="宋体"/>
          <w:szCs w:val="21"/>
        </w:rPr>
      </w:pPr>
      <w:r>
        <w:rPr>
          <w:rFonts w:hint="eastAsia" w:ascii="宋体" w:hAnsi="宋体"/>
          <w:szCs w:val="21"/>
        </w:rPr>
        <w:t>（4）索赔增减金额；</w:t>
      </w:r>
    </w:p>
    <w:p>
      <w:pPr>
        <w:spacing w:line="360" w:lineRule="auto"/>
        <w:ind w:right="105" w:rightChars="50" w:firstLine="420" w:firstLineChars="200"/>
        <w:jc w:val="left"/>
        <w:rPr>
          <w:rFonts w:ascii="宋体" w:hAnsi="宋体"/>
          <w:szCs w:val="21"/>
        </w:rPr>
      </w:pPr>
      <w:r>
        <w:rPr>
          <w:rFonts w:hint="eastAsia" w:ascii="宋体" w:hAnsi="宋体"/>
          <w:szCs w:val="21"/>
        </w:rPr>
        <w:t>（5）奖励、罚金及违约金；</w:t>
      </w:r>
    </w:p>
    <w:p>
      <w:pPr>
        <w:spacing w:line="360" w:lineRule="auto"/>
        <w:ind w:right="105" w:rightChars="50" w:firstLine="420" w:firstLineChars="200"/>
        <w:jc w:val="left"/>
        <w:rPr>
          <w:rFonts w:ascii="宋体" w:hAnsi="宋体"/>
          <w:szCs w:val="21"/>
        </w:rPr>
      </w:pPr>
      <w:r>
        <w:rPr>
          <w:rFonts w:hint="eastAsia" w:ascii="宋体" w:hAnsi="宋体"/>
          <w:szCs w:val="21"/>
        </w:rPr>
        <w:t>（6）发包人已支付承包人的款项；</w:t>
      </w:r>
    </w:p>
    <w:p>
      <w:pPr>
        <w:spacing w:line="360" w:lineRule="auto"/>
        <w:ind w:right="105" w:rightChars="50" w:firstLine="420" w:firstLineChars="200"/>
        <w:jc w:val="left"/>
        <w:rPr>
          <w:rFonts w:ascii="宋体" w:hAnsi="宋体"/>
          <w:szCs w:val="21"/>
        </w:rPr>
      </w:pPr>
      <w:r>
        <w:rPr>
          <w:rFonts w:hint="eastAsia" w:ascii="宋体" w:hAnsi="宋体"/>
          <w:szCs w:val="21"/>
        </w:rPr>
        <w:t>（7）应扣留的质量保证金；</w:t>
      </w:r>
    </w:p>
    <w:p>
      <w:pPr>
        <w:spacing w:line="360" w:lineRule="auto"/>
        <w:ind w:right="105" w:rightChars="50" w:firstLine="420" w:firstLineChars="200"/>
        <w:jc w:val="left"/>
        <w:rPr>
          <w:rFonts w:ascii="宋体" w:hAnsi="宋体"/>
          <w:szCs w:val="21"/>
        </w:rPr>
      </w:pPr>
      <w:r>
        <w:rPr>
          <w:rFonts w:hint="eastAsia" w:ascii="宋体" w:hAnsi="宋体"/>
          <w:szCs w:val="21"/>
        </w:rPr>
        <w:t>（8）发包人应支付承包人的合同价款。</w:t>
      </w:r>
      <w:bookmarkEnd w:id="2073"/>
    </w:p>
    <w:p>
      <w:pPr>
        <w:spacing w:line="360" w:lineRule="auto"/>
        <w:ind w:right="105" w:rightChars="50"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2074" w:name="_Toc532377395"/>
      <w:bookmarkStart w:id="2075" w:name="_Toc532375658"/>
      <w:r>
        <w:rPr>
          <w:rFonts w:hint="eastAsia"/>
          <w:sz w:val="21"/>
          <w:szCs w:val="21"/>
        </w:rPr>
        <w:t>14.2 竣工结算审核</w:t>
      </w:r>
      <w:bookmarkEnd w:id="2074"/>
      <w:bookmarkEnd w:id="2075"/>
    </w:p>
    <w:p>
      <w:pPr>
        <w:spacing w:line="360" w:lineRule="auto"/>
        <w:ind w:right="105" w:rightChars="50" w:firstLine="420" w:firstLineChars="200"/>
        <w:jc w:val="left"/>
        <w:rPr>
          <w:rFonts w:ascii="宋体" w:hAnsi="宋体"/>
          <w:szCs w:val="21"/>
        </w:rPr>
      </w:pPr>
      <w:r>
        <w:rPr>
          <w:rFonts w:hint="eastAsia" w:ascii="宋体" w:hAnsi="宋体"/>
          <w:szCs w:val="21"/>
        </w:rPr>
        <w:t>14.2.1 竣工结算办法</w:t>
      </w:r>
    </w:p>
    <w:p>
      <w:pPr>
        <w:spacing w:line="360" w:lineRule="auto"/>
        <w:ind w:right="105" w:rightChars="50" w:firstLine="420" w:firstLineChars="200"/>
        <w:jc w:val="left"/>
        <w:rPr>
          <w:rFonts w:ascii="宋体" w:hAnsi="宋体"/>
          <w:szCs w:val="21"/>
        </w:rPr>
      </w:pPr>
      <w:r>
        <w:rPr>
          <w:rFonts w:hint="eastAsia" w:ascii="宋体" w:hAnsi="宋体"/>
          <w:szCs w:val="21"/>
        </w:rPr>
        <w:t>14.2.1.1计量原则</w:t>
      </w:r>
    </w:p>
    <w:p>
      <w:pPr>
        <w:spacing w:line="360" w:lineRule="auto"/>
        <w:ind w:right="105" w:rightChars="50" w:firstLine="420" w:firstLineChars="200"/>
        <w:jc w:val="left"/>
        <w:rPr>
          <w:rFonts w:ascii="宋体" w:hAnsi="宋体"/>
          <w:szCs w:val="21"/>
          <w:u w:val="single"/>
        </w:rPr>
      </w:pPr>
      <w:r>
        <w:rPr>
          <w:rFonts w:hint="eastAsia" w:ascii="宋体" w:hAnsi="宋体"/>
          <w:szCs w:val="21"/>
        </w:rPr>
        <w:t>按照第12.3.1项〔计量原则〕约定执行。</w:t>
      </w:r>
    </w:p>
    <w:p>
      <w:pPr>
        <w:spacing w:line="360" w:lineRule="auto"/>
        <w:ind w:right="105" w:rightChars="50" w:firstLine="420" w:firstLineChars="200"/>
        <w:jc w:val="left"/>
        <w:rPr>
          <w:rFonts w:ascii="宋体" w:hAnsi="宋体"/>
          <w:szCs w:val="21"/>
        </w:rPr>
      </w:pPr>
      <w:r>
        <w:rPr>
          <w:rFonts w:hint="eastAsia" w:ascii="宋体" w:hAnsi="宋体"/>
          <w:szCs w:val="21"/>
        </w:rPr>
        <w:t>14.2.1.2计价原则</w:t>
      </w:r>
    </w:p>
    <w:p>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合同竣工结算价=Σ分部分项工程结算价+Σ措施项目结算价+Σ其他项目结算价±Σ价格调整（如有）±Σ变更、索赔与现场签证结算价±Σ奖励、罚金、违约金及其他费用+Σ规费+Σ税金</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具体结算办法如下：</w:t>
      </w:r>
    </w:p>
    <w:p>
      <w:pPr>
        <w:tabs>
          <w:tab w:val="left" w:pos="711"/>
          <w:tab w:val="left" w:pos="2580"/>
        </w:tabs>
        <w:spacing w:line="360" w:lineRule="auto"/>
        <w:ind w:right="105" w:rightChars="50" w:firstLine="420" w:firstLineChars="200"/>
        <w:jc w:val="left"/>
        <w:textAlignment w:val="baseline"/>
        <w:rPr>
          <w:rFonts w:ascii="宋体" w:hAnsi="宋体"/>
          <w:szCs w:val="21"/>
        </w:rPr>
      </w:pPr>
      <w:r>
        <w:rPr>
          <w:rFonts w:hint="eastAsia" w:ascii="宋体" w:hAnsi="宋体"/>
          <w:szCs w:val="21"/>
        </w:rPr>
        <w:t>（1）分部分项工程：</w:t>
      </w:r>
    </w:p>
    <w:p>
      <w:pPr>
        <w:tabs>
          <w:tab w:val="left" w:pos="711"/>
          <w:tab w:val="left" w:pos="2580"/>
        </w:tabs>
        <w:spacing w:line="360" w:lineRule="auto"/>
        <w:ind w:right="105" w:rightChars="50" w:firstLine="420" w:firstLineChars="200"/>
        <w:jc w:val="left"/>
        <w:textAlignment w:val="baseline"/>
        <w:rPr>
          <w:rFonts w:ascii="宋体" w:hAnsi="宋体"/>
          <w:szCs w:val="21"/>
          <w:u w:val="single"/>
        </w:rPr>
      </w:pPr>
      <w:r>
        <w:rPr>
          <w:rFonts w:hint="eastAsia" w:ascii="宋体" w:hAnsi="宋体"/>
          <w:szCs w:val="21"/>
          <w:u w:val="single"/>
        </w:rPr>
        <w:t>①已标价工程量清单子目综合单价按合同约定无需调整的，以按照竣工图和第12.3.1项〔计量原则〕约定确定的工程量乘以相应的已标价工程量清单子目综合单价确定该部分分部分项工程结算价</w:t>
      </w:r>
      <w:r>
        <w:rPr>
          <w:rFonts w:hint="eastAsia" w:ascii="宋体" w:hAnsi="宋体"/>
          <w:szCs w:val="21"/>
        </w:rPr>
        <w:t>；</w:t>
      </w:r>
    </w:p>
    <w:p>
      <w:pPr>
        <w:tabs>
          <w:tab w:val="left" w:pos="711"/>
          <w:tab w:val="left" w:pos="2580"/>
        </w:tabs>
        <w:spacing w:line="360" w:lineRule="auto"/>
        <w:ind w:right="105" w:rightChars="50" w:firstLine="420" w:firstLineChars="200"/>
        <w:jc w:val="left"/>
        <w:textAlignment w:val="baseline"/>
        <w:rPr>
          <w:rFonts w:ascii="宋体" w:hAnsi="宋体"/>
          <w:szCs w:val="21"/>
          <w:u w:val="single"/>
        </w:rPr>
      </w:pPr>
      <w:r>
        <w:rPr>
          <w:rFonts w:hint="eastAsia" w:ascii="宋体" w:hAnsi="宋体"/>
          <w:szCs w:val="21"/>
          <w:u w:val="single"/>
        </w:rPr>
        <w:t>②已标价工程量清单子目综合单价按第11.3款〔严重不平衡报价引起的调整〕约定需要修正综合单价的，结算工程量超过已标价工程量15%的，超出部分工程量乘以按第11.3款〔严重不平衡报价引起的调整〕约定修正综合单价确定该部分分部分项工程结算价</w:t>
      </w:r>
      <w:r>
        <w:rPr>
          <w:rFonts w:hint="eastAsia" w:ascii="宋体" w:hAnsi="宋体"/>
          <w:szCs w:val="21"/>
        </w:rPr>
        <w:t>；</w:t>
      </w:r>
    </w:p>
    <w:p>
      <w:pPr>
        <w:tabs>
          <w:tab w:val="left" w:pos="711"/>
          <w:tab w:val="left" w:pos="2580"/>
        </w:tabs>
        <w:spacing w:line="360" w:lineRule="auto"/>
        <w:ind w:right="105" w:rightChars="50" w:firstLine="420" w:firstLineChars="200"/>
        <w:jc w:val="left"/>
        <w:textAlignment w:val="baseline"/>
        <w:rPr>
          <w:rFonts w:ascii="宋体" w:hAnsi="宋体"/>
          <w:szCs w:val="21"/>
          <w:u w:val="single"/>
        </w:rPr>
      </w:pPr>
      <w:r>
        <w:rPr>
          <w:rFonts w:hint="eastAsia" w:ascii="宋体" w:hAnsi="宋体"/>
          <w:szCs w:val="21"/>
          <w:u w:val="single"/>
        </w:rPr>
        <w:t>③需要对没有填入综合单价或总额价的子目项目进行扣减的，第12.3.1项〔计量原则〕约定确定的工程量乘以按照10.4.1〔变更估价原则〕（3）目约定的综合单价进行扣减</w:t>
      </w:r>
      <w:r>
        <w:rPr>
          <w:rFonts w:hint="eastAsia" w:ascii="宋体" w:hAnsi="宋体"/>
          <w:szCs w:val="21"/>
        </w:rPr>
        <w:t>；</w:t>
      </w:r>
    </w:p>
    <w:p>
      <w:pPr>
        <w:tabs>
          <w:tab w:val="left" w:pos="711"/>
          <w:tab w:val="left" w:pos="2580"/>
        </w:tabs>
        <w:spacing w:line="360" w:lineRule="auto"/>
        <w:ind w:right="105" w:rightChars="50" w:firstLine="420" w:firstLineChars="200"/>
        <w:jc w:val="left"/>
        <w:textAlignment w:val="baseline"/>
        <w:rPr>
          <w:rFonts w:ascii="宋体" w:hAnsi="宋体"/>
          <w:szCs w:val="21"/>
          <w:u w:val="single"/>
        </w:rPr>
      </w:pPr>
      <w:r>
        <w:rPr>
          <w:rFonts w:hint="eastAsia" w:ascii="宋体" w:hAnsi="宋体"/>
          <w:szCs w:val="21"/>
          <w:u w:val="single"/>
        </w:rPr>
        <w:t>④合同、已标价工程量清单和招标文件另有约定的，按照其约定执行</w:t>
      </w:r>
      <w:r>
        <w:rPr>
          <w:rFonts w:hint="eastAsia" w:ascii="宋体" w:hAnsi="宋体"/>
          <w:szCs w:val="21"/>
        </w:rPr>
        <w:t>。</w:t>
      </w:r>
    </w:p>
    <w:p>
      <w:pPr>
        <w:tabs>
          <w:tab w:val="left" w:pos="711"/>
          <w:tab w:val="left" w:pos="2580"/>
        </w:tabs>
        <w:spacing w:line="360" w:lineRule="auto"/>
        <w:ind w:right="105" w:rightChars="50" w:firstLine="420" w:firstLineChars="200"/>
        <w:jc w:val="left"/>
        <w:textAlignment w:val="baseline"/>
        <w:rPr>
          <w:rFonts w:ascii="宋体" w:hAnsi="宋体"/>
          <w:szCs w:val="21"/>
        </w:rPr>
      </w:pPr>
      <w:r>
        <w:rPr>
          <w:rFonts w:hint="eastAsia" w:ascii="宋体" w:hAnsi="宋体"/>
          <w:szCs w:val="21"/>
        </w:rPr>
        <w:t>（2）措施项目：</w:t>
      </w:r>
    </w:p>
    <w:p>
      <w:pPr>
        <w:tabs>
          <w:tab w:val="left" w:pos="711"/>
          <w:tab w:val="left" w:pos="2580"/>
        </w:tabs>
        <w:spacing w:line="360" w:lineRule="auto"/>
        <w:ind w:right="105" w:rightChars="50" w:firstLine="420" w:firstLineChars="200"/>
        <w:jc w:val="left"/>
        <w:textAlignment w:val="baseline"/>
        <w:rPr>
          <w:rFonts w:ascii="宋体" w:hAnsi="宋体"/>
          <w:szCs w:val="21"/>
          <w:u w:val="single"/>
        </w:rPr>
      </w:pPr>
      <w:r>
        <w:rPr>
          <w:rFonts w:hint="eastAsia" w:ascii="宋体" w:hAnsi="宋体"/>
          <w:szCs w:val="21"/>
          <w:u w:val="single"/>
        </w:rPr>
        <w:t>①已标价工程量清单范围内以项为计量单位的措施项目费（安全文明施工费除外）包干使用；不以项为计量单位的措施项目费按第14.2.1项〔竣工结算办理办法〕分部分项约定执行</w:t>
      </w:r>
      <w:r>
        <w:rPr>
          <w:rFonts w:hint="eastAsia" w:ascii="宋体" w:hAnsi="宋体"/>
          <w:szCs w:val="21"/>
        </w:rPr>
        <w:t>。</w:t>
      </w:r>
    </w:p>
    <w:p>
      <w:pPr>
        <w:tabs>
          <w:tab w:val="left" w:pos="711"/>
          <w:tab w:val="left" w:pos="2580"/>
        </w:tabs>
        <w:spacing w:line="360" w:lineRule="auto"/>
        <w:ind w:right="105" w:rightChars="50" w:firstLine="420" w:firstLineChars="200"/>
        <w:jc w:val="left"/>
        <w:textAlignment w:val="baseline"/>
        <w:rPr>
          <w:rFonts w:ascii="宋体" w:hAnsi="宋体"/>
          <w:szCs w:val="21"/>
          <w:u w:val="single"/>
        </w:rPr>
      </w:pPr>
      <w:r>
        <w:rPr>
          <w:rFonts w:hint="eastAsia" w:ascii="宋体" w:hAnsi="宋体"/>
          <w:szCs w:val="21"/>
          <w:u w:val="single"/>
        </w:rPr>
        <w:t>②工程变更引起施工方案改变使措施项目发生变化的，经监理人、发包人确定后可对按第10.4.3项约定执行</w:t>
      </w:r>
      <w:r>
        <w:rPr>
          <w:rFonts w:hint="eastAsia" w:ascii="宋体" w:hAnsi="宋体"/>
          <w:szCs w:val="21"/>
        </w:rPr>
        <w:t>。</w:t>
      </w:r>
    </w:p>
    <w:p>
      <w:pPr>
        <w:tabs>
          <w:tab w:val="left" w:pos="711"/>
          <w:tab w:val="left" w:pos="2580"/>
        </w:tabs>
        <w:spacing w:line="360" w:lineRule="auto"/>
        <w:ind w:right="105" w:rightChars="50" w:firstLine="420" w:firstLineChars="200"/>
        <w:jc w:val="left"/>
        <w:textAlignment w:val="baseline"/>
        <w:rPr>
          <w:rFonts w:ascii="宋体" w:hAnsi="宋体"/>
          <w:szCs w:val="21"/>
          <w:u w:val="single"/>
        </w:rPr>
      </w:pPr>
      <w:r>
        <w:rPr>
          <w:rFonts w:hint="eastAsia" w:ascii="宋体" w:hAnsi="宋体"/>
          <w:szCs w:val="21"/>
          <w:u w:val="single"/>
        </w:rPr>
        <w:t>③安全文明施工费按照《重庆市建设工程费用定额》（CQFYDE-2018）</w:t>
      </w:r>
      <w:r>
        <w:rPr>
          <w:rFonts w:hint="eastAsia" w:ascii="宋体" w:hAnsi="宋体"/>
          <w:szCs w:val="21"/>
          <w:u w:val="single"/>
          <w:lang w:eastAsia="zh-CN"/>
        </w:rPr>
        <w:t>、</w:t>
      </w:r>
      <w:r>
        <w:rPr>
          <w:rFonts w:hint="eastAsia" w:ascii="宋体" w:hAnsi="宋体"/>
          <w:szCs w:val="21"/>
          <w:u w:val="single"/>
        </w:rPr>
        <w:t>《重庆市住房和城乡建设委员会关于修订发布&lt;重庆市建设工程安全文明施工费计取及使用管理规定&gt;的通知》（渝建管〔2024〕38号）的规定进行结算</w:t>
      </w:r>
      <w:r>
        <w:rPr>
          <w:rFonts w:hint="eastAsia" w:ascii="宋体" w:hAnsi="宋体"/>
          <w:szCs w:val="21"/>
        </w:rPr>
        <w:t>。</w:t>
      </w:r>
    </w:p>
    <w:p>
      <w:pPr>
        <w:tabs>
          <w:tab w:val="left" w:pos="711"/>
          <w:tab w:val="left" w:pos="2580"/>
        </w:tabs>
        <w:spacing w:line="360" w:lineRule="auto"/>
        <w:ind w:right="105" w:rightChars="50" w:firstLine="420" w:firstLineChars="200"/>
        <w:jc w:val="left"/>
        <w:textAlignment w:val="baseline"/>
        <w:rPr>
          <w:rFonts w:ascii="宋体" w:hAnsi="宋体"/>
          <w:szCs w:val="21"/>
        </w:rPr>
      </w:pPr>
      <w:r>
        <w:rPr>
          <w:rFonts w:hint="eastAsia" w:ascii="宋体" w:hAnsi="宋体"/>
          <w:szCs w:val="21"/>
        </w:rPr>
        <w:t>（3）其他项目：</w:t>
      </w:r>
    </w:p>
    <w:p>
      <w:pPr>
        <w:spacing w:line="360" w:lineRule="auto"/>
        <w:ind w:right="105" w:rightChars="50" w:firstLine="420" w:firstLineChars="200"/>
        <w:jc w:val="left"/>
        <w:rPr>
          <w:rFonts w:ascii="宋体" w:hAnsi="宋体"/>
          <w:szCs w:val="21"/>
        </w:rPr>
      </w:pPr>
      <w:r>
        <w:rPr>
          <w:rFonts w:hint="eastAsia" w:ascii="宋体" w:hAnsi="宋体"/>
          <w:szCs w:val="21"/>
        </w:rPr>
        <w:t>①材料（工程设备）暂估价：</w:t>
      </w:r>
      <w:r>
        <w:rPr>
          <w:rFonts w:hint="eastAsia" w:ascii="宋体" w:hAnsi="宋体"/>
          <w:szCs w:val="21"/>
          <w:u w:val="single"/>
        </w:rPr>
        <w:t>按照第12.3.1项〔计量原则〕约定及对应定额消耗量确定的数量乘以监理人、发包人根据市场行情认质核价确定的价格进行结算</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②专业工程暂估价：</w:t>
      </w:r>
    </w:p>
    <w:p>
      <w:pPr>
        <w:spacing w:line="360" w:lineRule="auto"/>
        <w:ind w:right="105" w:rightChars="50" w:firstLine="420" w:firstLineChars="200"/>
        <w:jc w:val="left"/>
        <w:rPr>
          <w:rFonts w:ascii="宋体" w:hAnsi="宋体"/>
          <w:szCs w:val="21"/>
        </w:rPr>
      </w:pPr>
      <w:r>
        <w:rPr>
          <w:rFonts w:hint="eastAsia" w:ascii="宋体" w:hAnsi="宋体"/>
          <w:szCs w:val="21"/>
          <w:u w:val="single"/>
        </w:rPr>
        <w:t>1）对于不属于依法必须招标的暂估价项目：按发包人审定的价格进行结算</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single"/>
        </w:rPr>
        <w:t>2）对于依法必须招标的暂估价项目：达到招标规模标准的暂估价内容，包括专业工程暂估价和材料设备暂估价均应招标确定，并按暂估价招标文件约定结算</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none"/>
          <w:lang w:val="en-US" w:eastAsia="zh-CN"/>
        </w:rPr>
        <w:t>③</w:t>
      </w:r>
      <w:r>
        <w:rPr>
          <w:rFonts w:hint="eastAsia" w:ascii="宋体" w:hAnsi="宋体"/>
          <w:szCs w:val="21"/>
          <w:u w:val="none"/>
        </w:rPr>
        <w:t>总承包服务费：</w:t>
      </w:r>
      <w:r>
        <w:rPr>
          <w:rFonts w:hint="eastAsia" w:ascii="宋体" w:hAnsi="宋体"/>
          <w:szCs w:val="21"/>
          <w:u w:val="single"/>
        </w:rPr>
        <w:t>总承包服务费包干使用，结算时不作调整</w:t>
      </w:r>
      <w:r>
        <w:rPr>
          <w:rFonts w:hint="eastAsia" w:ascii="宋体" w:hAnsi="宋体"/>
          <w:szCs w:val="21"/>
        </w:rPr>
        <w:t>。</w:t>
      </w:r>
    </w:p>
    <w:p>
      <w:pPr>
        <w:tabs>
          <w:tab w:val="left" w:pos="711"/>
          <w:tab w:val="left" w:pos="2580"/>
        </w:tabs>
        <w:spacing w:line="360" w:lineRule="auto"/>
        <w:ind w:right="105" w:rightChars="50" w:firstLine="420" w:firstLineChars="200"/>
        <w:jc w:val="left"/>
        <w:textAlignment w:val="baseline"/>
        <w:rPr>
          <w:rFonts w:ascii="宋体" w:hAnsi="宋体"/>
          <w:szCs w:val="21"/>
        </w:rPr>
      </w:pPr>
      <w:r>
        <w:rPr>
          <w:rFonts w:hint="eastAsia" w:ascii="宋体" w:hAnsi="宋体"/>
          <w:szCs w:val="21"/>
        </w:rPr>
        <w:t>（4）价格调整：</w:t>
      </w:r>
      <w:r>
        <w:rPr>
          <w:rFonts w:hint="eastAsia" w:ascii="宋体" w:hAnsi="宋体"/>
          <w:szCs w:val="21"/>
          <w:u w:val="single"/>
        </w:rPr>
        <w:t>按照第11条〔价格调整〕约定约定执行</w:t>
      </w:r>
      <w:r>
        <w:rPr>
          <w:rFonts w:hint="eastAsia" w:ascii="宋体" w:hAnsi="宋体"/>
          <w:szCs w:val="21"/>
        </w:rPr>
        <w:t>。</w:t>
      </w:r>
    </w:p>
    <w:p>
      <w:pPr>
        <w:tabs>
          <w:tab w:val="left" w:pos="711"/>
          <w:tab w:val="left" w:pos="2580"/>
        </w:tabs>
        <w:spacing w:line="360" w:lineRule="auto"/>
        <w:ind w:right="105" w:rightChars="50" w:firstLine="420" w:firstLineChars="200"/>
        <w:jc w:val="left"/>
        <w:textAlignment w:val="baseline"/>
        <w:rPr>
          <w:rFonts w:ascii="宋体" w:hAnsi="宋体"/>
          <w:szCs w:val="21"/>
          <w:u w:val="single"/>
        </w:rPr>
      </w:pPr>
      <w:r>
        <w:rPr>
          <w:rFonts w:hint="eastAsia" w:ascii="宋体" w:hAnsi="宋体"/>
          <w:szCs w:val="21"/>
        </w:rPr>
        <w:t>（5）工程变更、索赔与现场签证：</w:t>
      </w:r>
    </w:p>
    <w:p>
      <w:pPr>
        <w:tabs>
          <w:tab w:val="left" w:pos="711"/>
          <w:tab w:val="left" w:pos="2580"/>
        </w:tabs>
        <w:spacing w:line="360" w:lineRule="auto"/>
        <w:ind w:right="105" w:rightChars="50" w:firstLine="420" w:firstLineChars="200"/>
        <w:jc w:val="left"/>
        <w:textAlignment w:val="baseline"/>
        <w:rPr>
          <w:rFonts w:ascii="宋体" w:hAnsi="宋体"/>
          <w:szCs w:val="21"/>
          <w:u w:val="single"/>
        </w:rPr>
      </w:pPr>
      <w:r>
        <w:rPr>
          <w:rFonts w:hint="eastAsia" w:ascii="宋体" w:hAnsi="宋体"/>
          <w:szCs w:val="21"/>
        </w:rPr>
        <w:t>1）工程变更：按照第10.4.1项〔变更估价原则〕约定确定为总价包干的，按审定包干总价计入结算；其余项目按照有效的竣工结算资料和第12.3.1项〔计量原则〕约定确定的工程量乘以相应的按照第10.4.1项〔变更估价原则〕约定确定综合单价来确定该部分结算价。</w:t>
      </w:r>
    </w:p>
    <w:p>
      <w:pPr>
        <w:tabs>
          <w:tab w:val="left" w:pos="711"/>
          <w:tab w:val="left" w:pos="2580"/>
        </w:tabs>
        <w:spacing w:line="360" w:lineRule="auto"/>
        <w:ind w:right="105" w:rightChars="50" w:firstLine="420" w:firstLineChars="200"/>
        <w:jc w:val="left"/>
        <w:textAlignment w:val="baseline"/>
        <w:rPr>
          <w:rFonts w:ascii="宋体" w:hAnsi="宋体"/>
          <w:szCs w:val="21"/>
          <w:u w:val="single"/>
        </w:rPr>
      </w:pPr>
      <w:r>
        <w:rPr>
          <w:rFonts w:hint="eastAsia" w:ascii="宋体" w:hAnsi="宋体"/>
          <w:szCs w:val="21"/>
        </w:rPr>
        <w:t>2）索赔：按照第10.4.1项〔变更估价原则〕和第14.2.1项〔竣工结算办法〕约定执行。</w:t>
      </w:r>
    </w:p>
    <w:p>
      <w:pPr>
        <w:tabs>
          <w:tab w:val="left" w:pos="711"/>
          <w:tab w:val="left" w:pos="2580"/>
        </w:tabs>
        <w:spacing w:line="360" w:lineRule="auto"/>
        <w:ind w:right="105" w:rightChars="50" w:firstLine="420" w:firstLineChars="200"/>
        <w:jc w:val="left"/>
        <w:textAlignment w:val="baseline"/>
        <w:rPr>
          <w:rFonts w:ascii="宋体" w:hAnsi="宋体"/>
          <w:szCs w:val="21"/>
          <w:u w:val="single"/>
        </w:rPr>
      </w:pPr>
      <w:r>
        <w:rPr>
          <w:rFonts w:hint="eastAsia" w:ascii="宋体" w:hAnsi="宋体"/>
          <w:szCs w:val="21"/>
        </w:rPr>
        <w:t>3）现场签证：按照第10.4.1项〔变更估价原则〕和第14.2.1项〔竣工结算办法〕约定执行。</w:t>
      </w:r>
    </w:p>
    <w:p>
      <w:pPr>
        <w:tabs>
          <w:tab w:val="left" w:pos="711"/>
          <w:tab w:val="left" w:pos="2580"/>
        </w:tabs>
        <w:spacing w:line="360" w:lineRule="auto"/>
        <w:ind w:right="105" w:rightChars="50" w:firstLine="420" w:firstLineChars="200"/>
        <w:jc w:val="left"/>
        <w:textAlignment w:val="baseline"/>
        <w:rPr>
          <w:rFonts w:ascii="宋体" w:hAnsi="宋体"/>
          <w:szCs w:val="21"/>
          <w:u w:val="single"/>
        </w:rPr>
      </w:pPr>
      <w:r>
        <w:rPr>
          <w:rFonts w:hint="eastAsia" w:ascii="宋体" w:hAnsi="宋体"/>
          <w:szCs w:val="21"/>
        </w:rPr>
        <w:t>（6）奖励、罚金、违约金及其他费用：</w:t>
      </w:r>
      <w:r>
        <w:rPr>
          <w:rFonts w:hint="eastAsia" w:ascii="宋体" w:hAnsi="宋体"/>
          <w:szCs w:val="21"/>
          <w:u w:val="single"/>
        </w:rPr>
        <w:t>按实进行结算</w:t>
      </w:r>
      <w:r>
        <w:rPr>
          <w:rFonts w:hint="eastAsia" w:ascii="宋体" w:hAnsi="宋体"/>
          <w:szCs w:val="21"/>
        </w:rPr>
        <w:t>。</w:t>
      </w:r>
    </w:p>
    <w:p>
      <w:pPr>
        <w:tabs>
          <w:tab w:val="left" w:pos="711"/>
          <w:tab w:val="left" w:pos="2580"/>
        </w:tabs>
        <w:spacing w:line="360" w:lineRule="auto"/>
        <w:ind w:right="105" w:rightChars="50" w:firstLine="420" w:firstLineChars="200"/>
        <w:jc w:val="left"/>
        <w:textAlignment w:val="baseline"/>
        <w:rPr>
          <w:rFonts w:ascii="宋体" w:hAnsi="宋体"/>
          <w:szCs w:val="21"/>
          <w:u w:val="single"/>
        </w:rPr>
      </w:pPr>
      <w:r>
        <w:rPr>
          <w:rFonts w:hint="eastAsia" w:ascii="宋体" w:hAnsi="宋体"/>
          <w:szCs w:val="21"/>
        </w:rPr>
        <w:t>（7）规费：已标价工程量清单中规费费用按</w:t>
      </w:r>
      <w:r>
        <w:rPr>
          <w:rFonts w:hint="eastAsia" w:ascii="宋体" w:hAnsi="宋体"/>
          <w:szCs w:val="21"/>
          <w:u w:val="single"/>
        </w:rPr>
        <w:t>《重庆市建设工程费用定额》（CQFYDE-2018）</w:t>
      </w:r>
      <w:r>
        <w:rPr>
          <w:rFonts w:hint="eastAsia" w:ascii="宋体" w:hAnsi="宋体"/>
          <w:szCs w:val="21"/>
        </w:rPr>
        <w:t>执行。</w:t>
      </w:r>
    </w:p>
    <w:p>
      <w:pPr>
        <w:tabs>
          <w:tab w:val="left" w:pos="711"/>
          <w:tab w:val="left" w:pos="2580"/>
        </w:tabs>
        <w:spacing w:line="360" w:lineRule="auto"/>
        <w:ind w:right="105" w:rightChars="50" w:firstLine="420" w:firstLineChars="200"/>
        <w:jc w:val="left"/>
        <w:textAlignment w:val="baseline"/>
        <w:rPr>
          <w:rFonts w:ascii="宋体" w:hAnsi="宋体"/>
          <w:szCs w:val="21"/>
          <w:u w:val="single"/>
        </w:rPr>
      </w:pPr>
      <w:r>
        <w:rPr>
          <w:rFonts w:hint="eastAsia" w:ascii="宋体" w:hAnsi="宋体"/>
          <w:szCs w:val="21"/>
        </w:rPr>
        <w:t>（8）税金：包含增值税、城市维护建设税、教育费附加、地方教育附加以及环境保护税。其中增值税按</w:t>
      </w:r>
      <w:r>
        <w:rPr>
          <w:rFonts w:hint="eastAsia" w:ascii="宋体" w:hAnsi="宋体"/>
          <w:szCs w:val="21"/>
          <w:u w:val="single"/>
        </w:rPr>
        <w:t>《重庆市建设工程费用定额》（CQFYDE-2018）、《重庆市城乡建设委员会关于适用增值税新税率调整建设工程计价依据的通知》（渝建〔2019〕143号）</w:t>
      </w:r>
      <w:r>
        <w:rPr>
          <w:rFonts w:hint="eastAsia" w:ascii="宋体" w:hAnsi="宋体"/>
          <w:szCs w:val="21"/>
        </w:rPr>
        <w:t>规定执行，环境保护税按实结算。</w:t>
      </w:r>
    </w:p>
    <w:p>
      <w:pPr>
        <w:spacing w:line="360" w:lineRule="auto"/>
        <w:ind w:right="105" w:rightChars="50" w:firstLine="420" w:firstLineChars="200"/>
        <w:jc w:val="left"/>
        <w:rPr>
          <w:rFonts w:ascii="宋体" w:hAnsi="宋体"/>
          <w:szCs w:val="21"/>
        </w:rPr>
      </w:pPr>
      <w:r>
        <w:rPr>
          <w:rFonts w:hint="eastAsia" w:ascii="宋体" w:hAnsi="宋体"/>
          <w:szCs w:val="21"/>
        </w:rPr>
        <w:t>14.2.1.3竣工结算价</w:t>
      </w:r>
    </w:p>
    <w:p>
      <w:pPr>
        <w:tabs>
          <w:tab w:val="left" w:pos="711"/>
          <w:tab w:val="left" w:pos="2580"/>
        </w:tabs>
        <w:spacing w:line="360" w:lineRule="auto"/>
        <w:ind w:right="105" w:rightChars="50" w:firstLine="420" w:firstLineChars="200"/>
        <w:jc w:val="left"/>
        <w:textAlignment w:val="baseline"/>
        <w:rPr>
          <w:rFonts w:ascii="宋体" w:hAnsi="宋体"/>
          <w:szCs w:val="21"/>
          <w:u w:val="single"/>
        </w:rPr>
      </w:pPr>
      <w:bookmarkStart w:id="2076" w:name="_Hlk528660512"/>
      <w:r>
        <w:rPr>
          <w:rFonts w:hint="eastAsia" w:ascii="宋体" w:hAnsi="宋体"/>
          <w:szCs w:val="21"/>
          <w:u w:val="single"/>
        </w:rPr>
        <w:t>以发包人会同监理人、承包人根据有效资料共同确定竣工结算金额作为合同竣工结算价</w:t>
      </w:r>
      <w:r>
        <w:rPr>
          <w:rFonts w:hint="eastAsia" w:ascii="宋体" w:hAnsi="宋体"/>
          <w:szCs w:val="21"/>
        </w:rPr>
        <w:t>。</w:t>
      </w:r>
    </w:p>
    <w:bookmarkEnd w:id="2076"/>
    <w:p>
      <w:pPr>
        <w:spacing w:line="360" w:lineRule="auto"/>
        <w:ind w:right="105" w:rightChars="50" w:firstLine="420" w:firstLineChars="200"/>
        <w:jc w:val="left"/>
        <w:rPr>
          <w:rFonts w:ascii="宋体" w:hAnsi="宋体"/>
          <w:szCs w:val="21"/>
        </w:rPr>
      </w:pPr>
      <w:r>
        <w:rPr>
          <w:rFonts w:hint="eastAsia" w:ascii="宋体" w:hAnsi="宋体"/>
          <w:szCs w:val="21"/>
        </w:rPr>
        <w:t>14.2.2 竣工结算审核期限</w:t>
      </w:r>
    </w:p>
    <w:p>
      <w:pPr>
        <w:spacing w:line="360" w:lineRule="auto"/>
        <w:ind w:right="105" w:rightChars="50" w:firstLine="420" w:firstLineChars="200"/>
        <w:jc w:val="left"/>
        <w:rPr>
          <w:rFonts w:ascii="宋体" w:hAnsi="宋体"/>
          <w:szCs w:val="21"/>
        </w:rPr>
      </w:pPr>
      <w:r>
        <w:rPr>
          <w:rFonts w:hint="eastAsia" w:ascii="宋体" w:hAnsi="宋体"/>
          <w:szCs w:val="21"/>
        </w:rPr>
        <w:t>监理人审核竣工付款申请单的期限：</w:t>
      </w:r>
      <w:r>
        <w:rPr>
          <w:rFonts w:hint="eastAsia" w:ascii="宋体" w:hAnsi="宋体"/>
          <w:szCs w:val="21"/>
          <w:u w:val="single"/>
        </w:rPr>
        <w:t>不超过  日</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发包人审核竣工付款申请单的期限：</w:t>
      </w:r>
      <w:r>
        <w:rPr>
          <w:rFonts w:hint="eastAsia" w:ascii="宋体" w:hAnsi="宋体"/>
          <w:szCs w:val="21"/>
          <w:u w:val="single"/>
        </w:rPr>
        <w:t>不超过  日</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发包人完成竣工付款的期限：</w:t>
      </w:r>
      <w:r>
        <w:rPr>
          <w:rFonts w:hint="eastAsia" w:ascii="宋体" w:hAnsi="宋体"/>
          <w:szCs w:val="21"/>
          <w:u w:val="single"/>
        </w:rPr>
        <w:t>完成竣工付款申请单审核后  天内</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关于竣工付款证书异议部分复核的方式和程序： 按照第20条〔争议解决〕约定处理。</w:t>
      </w:r>
    </w:p>
    <w:p>
      <w:pPr>
        <w:pStyle w:val="7"/>
        <w:spacing w:before="0" w:beforeAutospacing="0" w:after="0" w:afterAutospacing="0" w:line="360" w:lineRule="auto"/>
        <w:ind w:firstLine="421" w:firstLineChars="200"/>
        <w:rPr>
          <w:sz w:val="21"/>
          <w:szCs w:val="21"/>
        </w:rPr>
      </w:pPr>
      <w:bookmarkStart w:id="2077" w:name="_Toc532377396"/>
      <w:bookmarkStart w:id="2078" w:name="_Toc532375659"/>
      <w:r>
        <w:rPr>
          <w:rFonts w:hint="eastAsia"/>
          <w:sz w:val="21"/>
          <w:szCs w:val="21"/>
        </w:rPr>
        <w:t>14.4 最终结清</w:t>
      </w:r>
      <w:bookmarkEnd w:id="2077"/>
      <w:bookmarkEnd w:id="2078"/>
    </w:p>
    <w:p>
      <w:pPr>
        <w:spacing w:line="360" w:lineRule="auto"/>
        <w:ind w:right="105" w:rightChars="50" w:firstLine="420" w:firstLineChars="200"/>
        <w:jc w:val="left"/>
        <w:rPr>
          <w:rFonts w:ascii="宋体" w:hAnsi="宋体"/>
          <w:szCs w:val="21"/>
        </w:rPr>
      </w:pPr>
      <w:r>
        <w:rPr>
          <w:rFonts w:hint="eastAsia" w:ascii="宋体" w:hAnsi="宋体"/>
          <w:szCs w:val="21"/>
        </w:rPr>
        <w:t>14.4.1 最终结清申请单</w:t>
      </w:r>
    </w:p>
    <w:p>
      <w:pPr>
        <w:spacing w:line="360" w:lineRule="auto"/>
        <w:ind w:right="105" w:rightChars="50" w:firstLine="420" w:firstLineChars="200"/>
        <w:jc w:val="left"/>
        <w:rPr>
          <w:rFonts w:ascii="宋体" w:hAnsi="宋体"/>
          <w:szCs w:val="21"/>
        </w:rPr>
      </w:pPr>
      <w:r>
        <w:rPr>
          <w:rFonts w:hint="eastAsia" w:ascii="宋体" w:hAnsi="宋体"/>
          <w:szCs w:val="21"/>
        </w:rPr>
        <w:t>承包人提交最终结清申请单的份数：</w:t>
      </w:r>
      <w:r>
        <w:rPr>
          <w:rFonts w:hint="eastAsia" w:ascii="宋体" w:hAnsi="宋体"/>
          <w:szCs w:val="21"/>
          <w:u w:val="single"/>
        </w:rPr>
        <w:t>3份</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承包人提交最终结算申请单的期限：</w:t>
      </w:r>
      <w:r>
        <w:rPr>
          <w:rFonts w:hint="eastAsia" w:ascii="宋体" w:hAnsi="宋体"/>
          <w:szCs w:val="21"/>
          <w:u w:val="single"/>
        </w:rPr>
        <w:t>缺陷责任期终止证书颁发后14天内</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14.4.2 最终结清证书和支付</w:t>
      </w:r>
    </w:p>
    <w:p>
      <w:pPr>
        <w:spacing w:line="360" w:lineRule="auto"/>
        <w:ind w:right="105" w:rightChars="50" w:firstLine="420" w:firstLineChars="200"/>
        <w:jc w:val="left"/>
        <w:rPr>
          <w:rFonts w:ascii="宋体" w:hAnsi="宋体"/>
          <w:szCs w:val="21"/>
        </w:rPr>
      </w:pPr>
      <w:r>
        <w:rPr>
          <w:rFonts w:hint="eastAsia" w:ascii="宋体" w:hAnsi="宋体"/>
          <w:szCs w:val="21"/>
        </w:rPr>
        <w:t>（1）发包人完成最终结清申请单的审批并颁发最终结清证书的期限：</w:t>
      </w:r>
      <w:r>
        <w:rPr>
          <w:rFonts w:hint="eastAsia" w:ascii="宋体" w:hAnsi="宋体"/>
          <w:szCs w:val="21"/>
          <w:u w:val="single"/>
        </w:rPr>
        <w:t>发包人收到完整资料后14天内完成审批并颁发最终结清证书</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（2）发包人完成支付的期限：</w:t>
      </w:r>
      <w:r>
        <w:rPr>
          <w:rFonts w:hint="eastAsia" w:ascii="宋体" w:hAnsi="宋体"/>
          <w:szCs w:val="21"/>
          <w:u w:val="single"/>
        </w:rPr>
        <w:t>颁发最终结清证书的14天内</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本条补充14.5款：</w:t>
      </w:r>
    </w:p>
    <w:bookmarkEnd w:id="2038"/>
    <w:bookmarkEnd w:id="2039"/>
    <w:bookmarkEnd w:id="2040"/>
    <w:bookmarkEnd w:id="2041"/>
    <w:bookmarkEnd w:id="2042"/>
    <w:bookmarkEnd w:id="2043"/>
    <w:bookmarkEnd w:id="2044"/>
    <w:bookmarkEnd w:id="2045"/>
    <w:p>
      <w:pPr>
        <w:pStyle w:val="7"/>
        <w:spacing w:before="0" w:beforeAutospacing="0" w:after="0" w:afterAutospacing="0" w:line="360" w:lineRule="auto"/>
        <w:ind w:firstLine="421" w:firstLineChars="200"/>
        <w:rPr>
          <w:sz w:val="21"/>
          <w:szCs w:val="21"/>
        </w:rPr>
      </w:pPr>
      <w:bookmarkStart w:id="2079" w:name="_Toc532377397"/>
      <w:bookmarkStart w:id="2080" w:name="_Toc532375660"/>
      <w:r>
        <w:rPr>
          <w:rFonts w:hint="eastAsia"/>
          <w:sz w:val="21"/>
          <w:szCs w:val="21"/>
        </w:rPr>
        <w:t>14.5 逾期办理或不配合办理竣工结算的处理</w:t>
      </w:r>
      <w:bookmarkEnd w:id="2079"/>
      <w:bookmarkEnd w:id="2080"/>
    </w:p>
    <w:p>
      <w:pPr>
        <w:spacing w:line="360" w:lineRule="auto"/>
        <w:ind w:right="105" w:rightChars="50" w:firstLine="420" w:firstLineChars="200"/>
        <w:jc w:val="left"/>
        <w:rPr>
          <w:rFonts w:ascii="宋体" w:hAnsi="宋体"/>
          <w:szCs w:val="21"/>
        </w:rPr>
      </w:pPr>
      <w:r>
        <w:rPr>
          <w:rFonts w:hint="eastAsia" w:ascii="宋体" w:hAnsi="宋体"/>
          <w:szCs w:val="21"/>
        </w:rPr>
        <w:t>有下列情形之一的，视为承包人放弃与发包人共同办理竣工结算的权利，发包人有权会同监理人根据有效资料共同确定竣工结算金额。</w:t>
      </w:r>
    </w:p>
    <w:p>
      <w:pPr>
        <w:spacing w:line="360" w:lineRule="auto"/>
        <w:ind w:right="105" w:rightChars="50" w:firstLine="420" w:firstLineChars="200"/>
        <w:jc w:val="left"/>
        <w:rPr>
          <w:rFonts w:ascii="宋体" w:hAnsi="宋体"/>
          <w:szCs w:val="21"/>
        </w:rPr>
      </w:pPr>
      <w:r>
        <w:rPr>
          <w:rFonts w:hint="eastAsia" w:ascii="宋体" w:hAnsi="宋体"/>
          <w:szCs w:val="21"/>
        </w:rPr>
        <w:t>（1）承包人逾期未报送竣工结算资料，亦未获得发包人批准延期报送，经发包人两</w:t>
      </w:r>
      <w:bookmarkStart w:id="2081" w:name="_Hlk529133622"/>
      <w:r>
        <w:rPr>
          <w:rFonts w:hint="eastAsia" w:ascii="宋体" w:hAnsi="宋体"/>
          <w:szCs w:val="21"/>
        </w:rPr>
        <w:t>次书面催告仍未在限期内报送的</w:t>
      </w:r>
      <w:bookmarkEnd w:id="2081"/>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承包人在接到监理人或发包人对竣工结算申请单提出的审核意见后，未在限期内按监理人或发包人提出的合理要求补充资料和（或）修改竣工结算资料，亦未获得发包人批准延期报送，经发包人两次书面催告仍未在限期内报送的；</w:t>
      </w:r>
    </w:p>
    <w:p>
      <w:pPr>
        <w:spacing w:line="360" w:lineRule="auto"/>
        <w:ind w:right="105" w:rightChars="50" w:firstLine="420" w:firstLineChars="200"/>
        <w:jc w:val="left"/>
        <w:rPr>
          <w:rFonts w:ascii="宋体" w:hAnsi="宋体"/>
          <w:szCs w:val="21"/>
        </w:rPr>
      </w:pPr>
      <w:r>
        <w:rPr>
          <w:rFonts w:hint="eastAsia" w:ascii="宋体" w:hAnsi="宋体"/>
          <w:szCs w:val="21"/>
        </w:rPr>
        <w:t>（3）承包人不配合发包人、监理人、发包人委托的工程造价咨询服务单位办理竣工结算的，经发包人两次书面函告仍未改正的。</w:t>
      </w:r>
    </w:p>
    <w:p>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应在竣工结算定案表确定后28天内，以书面函件形式将竣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r>
        <w:rPr>
          <w:rFonts w:hint="eastAsia" w:ascii="宋体" w:hAnsi="宋体"/>
          <w:szCs w:val="21"/>
        </w:rPr>
        <w:t>。</w:t>
      </w:r>
    </w:p>
    <w:bookmarkEnd w:id="1746"/>
    <w:bookmarkEnd w:id="1747"/>
    <w:bookmarkEnd w:id="1748"/>
    <w:bookmarkEnd w:id="1749"/>
    <w:bookmarkEnd w:id="1750"/>
    <w:bookmarkEnd w:id="1751"/>
    <w:bookmarkEnd w:id="1752"/>
    <w:bookmarkEnd w:id="1753"/>
    <w:p>
      <w:pPr>
        <w:pStyle w:val="6"/>
        <w:keepNext/>
        <w:keepLines/>
        <w:spacing w:before="156" w:beforeLines="50" w:beforeAutospacing="0" w:after="156" w:afterLines="50" w:afterAutospacing="0" w:line="360" w:lineRule="auto"/>
        <w:jc w:val="both"/>
        <w:rPr>
          <w:bCs w:val="0"/>
          <w:kern w:val="2"/>
          <w:sz w:val="21"/>
          <w:szCs w:val="21"/>
        </w:rPr>
      </w:pPr>
      <w:bookmarkStart w:id="2082" w:name="_Toc532377398"/>
      <w:bookmarkStart w:id="2083" w:name="_Toc351203647"/>
      <w:bookmarkStart w:id="2084" w:name="_Toc532375661"/>
      <w:bookmarkStart w:id="2085" w:name="_Toc267251483"/>
      <w:bookmarkStart w:id="2086" w:name="_Toc280868717"/>
      <w:bookmarkStart w:id="2087" w:name="_Toc280868718"/>
      <w:r>
        <w:rPr>
          <w:rFonts w:hint="eastAsia"/>
          <w:kern w:val="2"/>
          <w:sz w:val="21"/>
          <w:szCs w:val="21"/>
        </w:rPr>
        <w:t>15. 缺陷责任期与保修</w:t>
      </w:r>
      <w:bookmarkEnd w:id="2082"/>
      <w:bookmarkEnd w:id="2083"/>
      <w:bookmarkEnd w:id="2084"/>
    </w:p>
    <w:bookmarkEnd w:id="2085"/>
    <w:p>
      <w:pPr>
        <w:pStyle w:val="7"/>
        <w:spacing w:before="0" w:beforeAutospacing="0" w:after="0" w:afterAutospacing="0" w:line="360" w:lineRule="auto"/>
        <w:ind w:firstLine="421" w:firstLineChars="200"/>
        <w:rPr>
          <w:sz w:val="21"/>
          <w:szCs w:val="21"/>
        </w:rPr>
      </w:pPr>
      <w:bookmarkStart w:id="2088" w:name="_Toc532375662"/>
      <w:bookmarkStart w:id="2089" w:name="_Toc532377399"/>
      <w:r>
        <w:rPr>
          <w:rFonts w:hint="eastAsia"/>
          <w:sz w:val="21"/>
          <w:szCs w:val="21"/>
        </w:rPr>
        <w:t>15.3 质量保证金</w:t>
      </w:r>
      <w:bookmarkEnd w:id="2088"/>
      <w:bookmarkEnd w:id="2089"/>
    </w:p>
    <w:p>
      <w:pPr>
        <w:spacing w:line="360" w:lineRule="auto"/>
        <w:ind w:right="105" w:rightChars="50" w:firstLine="420" w:firstLineChars="200"/>
        <w:jc w:val="left"/>
        <w:rPr>
          <w:rFonts w:ascii="宋体" w:hAnsi="宋体"/>
          <w:szCs w:val="21"/>
        </w:rPr>
      </w:pPr>
      <w:r>
        <w:rPr>
          <w:rFonts w:hint="eastAsia" w:ascii="宋体" w:hAnsi="宋体"/>
          <w:szCs w:val="21"/>
        </w:rPr>
        <w:t>15.3.1 承包人提供质量保证金的方式</w:t>
      </w:r>
    </w:p>
    <w:p>
      <w:pPr>
        <w:spacing w:line="360" w:lineRule="auto"/>
        <w:ind w:right="105" w:rightChars="50" w:firstLine="420" w:firstLineChars="200"/>
        <w:jc w:val="left"/>
        <w:rPr>
          <w:rFonts w:ascii="宋体" w:hAnsi="宋体"/>
          <w:szCs w:val="21"/>
        </w:rPr>
      </w:pPr>
      <w:r>
        <w:rPr>
          <w:rFonts w:hint="eastAsia" w:ascii="宋体" w:hAnsi="宋体"/>
          <w:szCs w:val="21"/>
        </w:rPr>
        <w:t>质量保证金采用以下第</w:t>
      </w:r>
      <w:r>
        <w:rPr>
          <w:rFonts w:hint="eastAsia" w:ascii="宋体" w:hAnsi="宋体"/>
          <w:szCs w:val="21"/>
          <w:u w:val="single"/>
        </w:rPr>
        <w:t xml:space="preserve">    </w:t>
      </w:r>
      <w:r>
        <w:rPr>
          <w:rFonts w:hint="eastAsia" w:ascii="宋体" w:hAnsi="宋体"/>
          <w:szCs w:val="21"/>
        </w:rPr>
        <w:t>种方式：</w:t>
      </w:r>
    </w:p>
    <w:p>
      <w:pPr>
        <w:spacing w:line="360" w:lineRule="auto"/>
        <w:ind w:right="105" w:rightChars="50" w:firstLine="420" w:firstLineChars="200"/>
        <w:jc w:val="left"/>
        <w:rPr>
          <w:rFonts w:ascii="宋体" w:hAnsi="宋体"/>
          <w:szCs w:val="21"/>
        </w:rPr>
      </w:pPr>
      <w:r>
        <w:rPr>
          <w:rFonts w:hint="eastAsia" w:ascii="宋体" w:hAnsi="宋体"/>
          <w:szCs w:val="21"/>
        </w:rPr>
        <w:t>（1）质量保证金保函</w:t>
      </w:r>
    </w:p>
    <w:p>
      <w:pPr>
        <w:spacing w:line="360" w:lineRule="auto"/>
        <w:ind w:right="105" w:rightChars="50" w:firstLine="420" w:firstLineChars="200"/>
        <w:jc w:val="left"/>
        <w:rPr>
          <w:rFonts w:hint="eastAsia" w:ascii="宋体" w:hAnsi="宋体" w:eastAsia="宋体"/>
          <w:szCs w:val="21"/>
          <w:lang w:eastAsia="zh-CN"/>
        </w:rPr>
      </w:pPr>
      <w:r>
        <w:rPr>
          <w:rFonts w:hint="eastAsia" w:ascii="宋体" w:hAnsi="宋体"/>
          <w:szCs w:val="21"/>
          <w:u w:val="none"/>
        </w:rPr>
        <w:t>1）</w:t>
      </w:r>
      <w:r>
        <w:rPr>
          <w:rFonts w:hint="eastAsia" w:ascii="宋体" w:hAnsi="宋体"/>
          <w:szCs w:val="21"/>
          <w:u w:val="none"/>
          <w:lang w:val="en-US" w:eastAsia="zh-CN"/>
        </w:rPr>
        <w:t>缴纳形式：</w:t>
      </w:r>
      <w:r>
        <w:rPr>
          <w:rFonts w:hint="eastAsia" w:ascii="宋体" w:hAnsi="宋体"/>
          <w:kern w:val="0"/>
          <w:szCs w:val="21"/>
          <w:u w:val="none"/>
          <w:lang w:val="en-US" w:eastAsia="zh-CN"/>
        </w:rPr>
        <w:t>质量保证金</w:t>
      </w:r>
      <w:r>
        <w:rPr>
          <w:rFonts w:hint="eastAsia" w:ascii="宋体" w:hAnsi="宋体"/>
          <w:kern w:val="0"/>
          <w:szCs w:val="21"/>
          <w:u w:val="none"/>
        </w:rPr>
        <w:t>保函包括银行保函、保证保险和担保保函</w:t>
      </w:r>
      <w:r>
        <w:rPr>
          <w:rFonts w:hint="eastAsia" w:ascii="宋体" w:hAnsi="宋体"/>
          <w:szCs w:val="21"/>
          <w:u w:val="none"/>
          <w:lang w:eastAsia="zh-CN"/>
        </w:rPr>
        <w:t>，</w:t>
      </w:r>
      <w:r>
        <w:rPr>
          <w:rFonts w:hint="eastAsia" w:ascii="宋体" w:hAnsi="宋体"/>
          <w:szCs w:val="21"/>
          <w:u w:val="none"/>
          <w:lang w:val="en-US" w:eastAsia="zh-CN"/>
        </w:rPr>
        <w:t>其示范文本详见合同附件</w:t>
      </w:r>
      <w:r>
        <w:rPr>
          <w:rFonts w:hint="eastAsia" w:ascii="宋体" w:hAnsi="宋体"/>
          <w:szCs w:val="21"/>
          <w:u w:val="none"/>
          <w:lang w:eastAsia="zh-CN"/>
        </w:rPr>
        <w:t>。</w:t>
      </w:r>
      <w:r>
        <w:rPr>
          <w:rFonts w:hint="eastAsia" w:ascii="宋体" w:hAnsi="宋体"/>
          <w:kern w:val="0"/>
          <w:szCs w:val="21"/>
          <w:u w:val="none"/>
          <w:lang w:val="en-US" w:eastAsia="zh-CN"/>
        </w:rPr>
        <w:t>承包人提交的质量保证金</w:t>
      </w:r>
      <w:r>
        <w:rPr>
          <w:rFonts w:hint="eastAsia" w:ascii="宋体" w:hAnsi="宋体"/>
          <w:kern w:val="0"/>
          <w:szCs w:val="21"/>
          <w:u w:val="none"/>
        </w:rPr>
        <w:t>保函</w:t>
      </w:r>
      <w:r>
        <w:rPr>
          <w:rFonts w:hint="eastAsia" w:ascii="宋体" w:hAnsi="宋体"/>
          <w:kern w:val="0"/>
          <w:szCs w:val="21"/>
          <w:u w:val="none"/>
          <w:lang w:val="en-US" w:eastAsia="zh-CN"/>
        </w:rPr>
        <w:t>应</w:t>
      </w:r>
      <w:r>
        <w:rPr>
          <w:rFonts w:hint="eastAsia" w:ascii="宋体" w:hAnsi="宋体"/>
          <w:kern w:val="0"/>
          <w:szCs w:val="21"/>
          <w:u w:val="none"/>
        </w:rPr>
        <w:t>严格执行</w:t>
      </w:r>
      <w:r>
        <w:rPr>
          <w:rFonts w:hint="eastAsia" w:ascii="宋体" w:hAnsi="宋体"/>
          <w:kern w:val="0"/>
          <w:szCs w:val="21"/>
          <w:u w:val="none"/>
          <w:lang w:val="en-US" w:eastAsia="zh-CN"/>
        </w:rPr>
        <w:t>其</w:t>
      </w:r>
      <w:r>
        <w:rPr>
          <w:rFonts w:hint="eastAsia" w:ascii="宋体" w:hAnsi="宋体"/>
          <w:kern w:val="0"/>
          <w:szCs w:val="21"/>
          <w:u w:val="none"/>
        </w:rPr>
        <w:t>示范文本，不得对示范文本中的实质性内容进行修改</w:t>
      </w:r>
      <w:r>
        <w:rPr>
          <w:rFonts w:hint="eastAsia" w:ascii="宋体" w:hAnsi="宋体"/>
          <w:szCs w:val="21"/>
          <w:u w:val="none"/>
          <w:lang w:eastAsia="zh-CN"/>
        </w:rPr>
        <w:t>。</w:t>
      </w:r>
    </w:p>
    <w:p>
      <w:pPr>
        <w:spacing w:line="360" w:lineRule="auto"/>
        <w:ind w:right="105" w:rightChars="50" w:firstLine="420" w:firstLineChars="200"/>
        <w:jc w:val="left"/>
        <w:rPr>
          <w:rFonts w:hint="default" w:ascii="宋体" w:hAnsi="宋体" w:eastAsia="宋体"/>
          <w:szCs w:val="21"/>
          <w:lang w:val="en-US" w:eastAsia="zh-CN"/>
        </w:rPr>
      </w:pPr>
      <w:r>
        <w:rPr>
          <w:rFonts w:hint="eastAsia" w:ascii="宋体" w:hAnsi="宋体"/>
          <w:szCs w:val="21"/>
          <w:lang w:val="en-US" w:eastAsia="zh-CN"/>
        </w:rPr>
        <w:t>2）具体要求：</w:t>
      </w:r>
      <w:r>
        <w:rPr>
          <w:rFonts w:hint="eastAsia" w:ascii="宋体" w:hAnsi="宋体"/>
          <w:kern w:val="0"/>
          <w:szCs w:val="21"/>
          <w:lang w:val="en-US" w:eastAsia="zh-CN"/>
        </w:rPr>
        <w:t>质量保证金</w:t>
      </w:r>
      <w:r>
        <w:rPr>
          <w:rFonts w:hint="eastAsia" w:ascii="宋体" w:hAnsi="宋体"/>
          <w:kern w:val="0"/>
          <w:szCs w:val="21"/>
        </w:rPr>
        <w:t>保函的开立人应当是具有相应资格的银行、保险机构、融资担保公司，其信用资质、履约能力、担保能力、赔付流程、安全保密等应符合工程保函业务条件</w:t>
      </w:r>
      <w:r>
        <w:rPr>
          <w:rFonts w:hint="eastAsia" w:ascii="宋体" w:hAnsi="宋体"/>
          <w:kern w:val="0"/>
          <w:szCs w:val="21"/>
          <w:lang w:eastAsia="zh-CN"/>
        </w:rPr>
        <w:t>。</w:t>
      </w:r>
      <w:r>
        <w:rPr>
          <w:rFonts w:hint="eastAsia" w:ascii="宋体" w:hAnsi="宋体"/>
          <w:kern w:val="0"/>
          <w:szCs w:val="21"/>
          <w:lang w:val="en-US" w:eastAsia="zh-CN"/>
        </w:rPr>
        <w:t>质量保证金</w:t>
      </w:r>
      <w:r>
        <w:rPr>
          <w:rFonts w:hint="eastAsia" w:ascii="宋体" w:hAnsi="宋体"/>
          <w:kern w:val="0"/>
          <w:szCs w:val="21"/>
        </w:rPr>
        <w:t>保函</w:t>
      </w:r>
      <w:r>
        <w:rPr>
          <w:rFonts w:hint="eastAsia" w:ascii="宋体" w:hAnsi="宋体"/>
          <w:kern w:val="0"/>
          <w:szCs w:val="21"/>
          <w:lang w:eastAsia="zh-CN"/>
        </w:rPr>
        <w:t>应合法合规，符合招投标行政监督部门、行业主管部门和金融监管部门的相关规定，满足招标文件约定要求。</w:t>
      </w:r>
      <w:r>
        <w:rPr>
          <w:rFonts w:hint="eastAsia" w:ascii="宋体" w:hAnsi="宋体"/>
          <w:kern w:val="0"/>
          <w:szCs w:val="21"/>
          <w:lang w:val="en-US" w:eastAsia="zh-CN"/>
        </w:rPr>
        <w:t>承包人</w:t>
      </w:r>
      <w:r>
        <w:rPr>
          <w:rFonts w:hint="eastAsia" w:ascii="宋体" w:hAnsi="宋体"/>
          <w:kern w:val="0"/>
          <w:szCs w:val="21"/>
        </w:rPr>
        <w:t>应选择在渝依法设立总部或者设有分支机构的金融机构开具</w:t>
      </w:r>
      <w:r>
        <w:rPr>
          <w:rFonts w:hint="eastAsia" w:ascii="宋体" w:hAnsi="宋体"/>
          <w:kern w:val="0"/>
          <w:szCs w:val="21"/>
          <w:lang w:val="en-US" w:eastAsia="zh-CN"/>
        </w:rPr>
        <w:t>质量保证金</w:t>
      </w:r>
      <w:r>
        <w:rPr>
          <w:rFonts w:hint="eastAsia" w:ascii="宋体" w:hAnsi="宋体"/>
          <w:kern w:val="0"/>
          <w:szCs w:val="21"/>
        </w:rPr>
        <w:t>保函</w:t>
      </w:r>
      <w:r>
        <w:rPr>
          <w:rFonts w:hint="eastAsia" w:ascii="宋体" w:hAnsi="宋体"/>
          <w:kern w:val="0"/>
          <w:szCs w:val="21"/>
          <w:lang w:val="en-US" w:eastAsia="zh-CN"/>
        </w:rPr>
        <w:t>（包括纸质保函或电子保函）</w:t>
      </w:r>
      <w:r>
        <w:rPr>
          <w:rFonts w:hint="eastAsia" w:ascii="宋体" w:hAnsi="宋体"/>
          <w:kern w:val="0"/>
          <w:szCs w:val="21"/>
          <w:lang w:eastAsia="zh-CN"/>
        </w:rPr>
        <w:t>。</w:t>
      </w:r>
      <w:r>
        <w:rPr>
          <w:rFonts w:hint="eastAsia" w:ascii="宋体" w:hAnsi="宋体"/>
          <w:kern w:val="0"/>
          <w:szCs w:val="21"/>
          <w:lang w:val="en-US" w:eastAsia="zh-CN"/>
        </w:rPr>
        <w:t>质量保证金</w:t>
      </w:r>
      <w:r>
        <w:rPr>
          <w:rFonts w:hint="eastAsia" w:ascii="宋体" w:hAnsi="宋体"/>
          <w:kern w:val="0"/>
          <w:szCs w:val="21"/>
        </w:rPr>
        <w:t>保函</w:t>
      </w:r>
      <w:r>
        <w:rPr>
          <w:rFonts w:hint="eastAsia" w:ascii="宋体" w:hAnsi="宋体"/>
          <w:kern w:val="0"/>
          <w:szCs w:val="21"/>
          <w:lang w:val="en-US" w:eastAsia="zh-CN"/>
        </w:rPr>
        <w:t>为纸质保函的，纸质保函应注明在</w:t>
      </w:r>
      <w:r>
        <w:rPr>
          <w:rFonts w:hint="eastAsia" w:ascii="宋体" w:hAnsi="宋体"/>
          <w:kern w:val="0"/>
          <w:szCs w:val="21"/>
        </w:rPr>
        <w:t>重庆市辖区范围内的核验地址和核验方式</w:t>
      </w:r>
      <w:r>
        <w:rPr>
          <w:rFonts w:hint="eastAsia" w:ascii="宋体" w:hAnsi="宋体"/>
          <w:kern w:val="0"/>
          <w:szCs w:val="21"/>
          <w:lang w:eastAsia="zh-CN"/>
        </w:rPr>
        <w:t>，</w:t>
      </w:r>
      <w:r>
        <w:rPr>
          <w:rFonts w:hint="eastAsia" w:ascii="宋体" w:hAnsi="宋体"/>
          <w:kern w:val="0"/>
          <w:szCs w:val="21"/>
          <w:lang w:val="en-US" w:eastAsia="zh-CN"/>
        </w:rPr>
        <w:t>并确保该纸质保函能在开立人在渝的总部或者分支机构进行核验</w:t>
      </w:r>
      <w:r>
        <w:rPr>
          <w:rFonts w:hint="eastAsia" w:ascii="宋体" w:hAnsi="宋体"/>
          <w:kern w:val="0"/>
          <w:szCs w:val="21"/>
          <w:lang w:eastAsia="zh-CN"/>
        </w:rPr>
        <w:t>。</w:t>
      </w:r>
      <w:r>
        <w:rPr>
          <w:rFonts w:hint="eastAsia" w:ascii="宋体" w:hAnsi="宋体"/>
          <w:kern w:val="0"/>
          <w:szCs w:val="21"/>
          <w:lang w:val="en-US" w:eastAsia="zh-CN"/>
        </w:rPr>
        <w:t>承包人对所提交的质量保证金</w:t>
      </w:r>
      <w:r>
        <w:rPr>
          <w:rFonts w:hint="eastAsia" w:ascii="宋体" w:hAnsi="宋体"/>
          <w:kern w:val="0"/>
          <w:szCs w:val="21"/>
        </w:rPr>
        <w:t>保函</w:t>
      </w:r>
      <w:r>
        <w:rPr>
          <w:rFonts w:hint="eastAsia" w:ascii="宋体" w:hAnsi="宋体"/>
          <w:kern w:val="0"/>
          <w:szCs w:val="21"/>
          <w:lang w:val="en-US" w:eastAsia="zh-CN"/>
        </w:rPr>
        <w:t>的真实性、合法性、有效性负责。</w:t>
      </w:r>
    </w:p>
    <w:p>
      <w:pPr>
        <w:spacing w:line="360" w:lineRule="auto"/>
        <w:ind w:right="105" w:rightChars="50" w:firstLine="420" w:firstLineChars="200"/>
        <w:jc w:val="left"/>
        <w:rPr>
          <w:rFonts w:ascii="宋体" w:hAnsi="宋体"/>
          <w:szCs w:val="21"/>
        </w:rPr>
      </w:pPr>
      <w:r>
        <w:rPr>
          <w:rFonts w:hint="eastAsia" w:ascii="宋体" w:hAnsi="宋体"/>
          <w:szCs w:val="21"/>
        </w:rPr>
        <w:t>3）保函金额为：</w:t>
      </w:r>
      <w:r>
        <w:rPr>
          <w:rFonts w:hint="eastAsia" w:ascii="宋体" w:hAnsi="宋体"/>
          <w:szCs w:val="21"/>
          <w:u w:val="single"/>
        </w:rPr>
        <w:t xml:space="preserve">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default" w:ascii="宋体" w:hAnsi="宋体"/>
          <w:szCs w:val="21"/>
          <w:lang w:val="en-US"/>
        </w:rPr>
        <w:t>4</w:t>
      </w:r>
      <w:r>
        <w:rPr>
          <w:rFonts w:hint="eastAsia" w:ascii="宋体" w:hAnsi="宋体"/>
          <w:szCs w:val="21"/>
        </w:rPr>
        <w:t>）提交时间：</w:t>
      </w:r>
      <w:r>
        <w:rPr>
          <w:rFonts w:hint="eastAsia" w:ascii="宋体" w:hAnsi="宋体"/>
          <w:szCs w:val="21"/>
          <w:u w:val="single"/>
        </w:rPr>
        <w:t>工程竣工验收合格后14天内</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single"/>
        </w:rPr>
        <w:t>承包人提交质量保证金保函的，发包人应同时退还（若有）扣留的作为质量保证金的工程价款、履约担保；保函金额不得超过工程价款结算总额的3%</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（2）竣工结算价的</w:t>
      </w:r>
      <w:r>
        <w:rPr>
          <w:rFonts w:hint="eastAsia" w:ascii="宋体" w:hAnsi="宋体"/>
          <w:szCs w:val="21"/>
          <w:u w:val="single"/>
        </w:rPr>
        <w:t xml:space="preserve"> 3%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（3）其他方式：</w:t>
      </w:r>
      <w:r>
        <w:rPr>
          <w:rFonts w:hint="eastAsia" w:ascii="宋体" w:hAnsi="宋体"/>
          <w:szCs w:val="21"/>
          <w:u w:val="single"/>
        </w:rPr>
        <w:t xml:space="preserve"> /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15.3.2 质量保证金的扣留</w:t>
      </w:r>
    </w:p>
    <w:p>
      <w:pPr>
        <w:spacing w:line="360" w:lineRule="auto"/>
        <w:ind w:right="105" w:rightChars="50" w:firstLine="420" w:firstLineChars="200"/>
        <w:jc w:val="left"/>
        <w:rPr>
          <w:rFonts w:ascii="宋体" w:hAnsi="宋体"/>
          <w:szCs w:val="21"/>
        </w:rPr>
      </w:pPr>
      <w:r>
        <w:rPr>
          <w:rFonts w:hint="eastAsia" w:ascii="宋体" w:hAnsi="宋体"/>
          <w:szCs w:val="21"/>
        </w:rPr>
        <w:t>质量保证金的扣留采取以下第</w:t>
      </w:r>
      <w:r>
        <w:rPr>
          <w:rFonts w:hint="eastAsia" w:ascii="宋体" w:hAnsi="宋体"/>
          <w:szCs w:val="21"/>
          <w:u w:val="single"/>
        </w:rPr>
        <w:t xml:space="preserve">    </w:t>
      </w:r>
      <w:r>
        <w:rPr>
          <w:rFonts w:hint="eastAsia" w:ascii="宋体" w:hAnsi="宋体"/>
          <w:szCs w:val="21"/>
        </w:rPr>
        <w:t>种方式：</w:t>
      </w:r>
    </w:p>
    <w:p>
      <w:pPr>
        <w:spacing w:line="360" w:lineRule="auto"/>
        <w:ind w:right="105" w:rightChars="50" w:firstLine="420" w:firstLineChars="200"/>
        <w:jc w:val="left"/>
        <w:rPr>
          <w:rFonts w:ascii="宋体" w:hAnsi="宋体"/>
          <w:szCs w:val="21"/>
        </w:rPr>
      </w:pPr>
      <w:r>
        <w:rPr>
          <w:rFonts w:hint="eastAsia" w:ascii="宋体" w:hAnsi="宋体"/>
          <w:szCs w:val="21"/>
        </w:rPr>
        <w:t>（1）在支付工程进度款时逐次扣留，在此情形下，质量保证金的计算基数不包括预付款的支付、扣回以及价格调整的金额；</w:t>
      </w:r>
    </w:p>
    <w:p>
      <w:pPr>
        <w:spacing w:line="360" w:lineRule="auto"/>
        <w:ind w:right="105" w:rightChars="50" w:firstLine="420" w:firstLineChars="200"/>
        <w:jc w:val="left"/>
        <w:rPr>
          <w:rFonts w:ascii="宋体" w:hAnsi="宋体"/>
          <w:szCs w:val="21"/>
        </w:rPr>
      </w:pPr>
      <w:r>
        <w:rPr>
          <w:rFonts w:hint="eastAsia" w:ascii="宋体" w:hAnsi="宋体"/>
          <w:szCs w:val="21"/>
        </w:rPr>
        <w:t>（2）工程竣工结算时一次性扣留质量保证金；</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w:t>
      </w:r>
      <w:r>
        <w:rPr>
          <w:rFonts w:hint="eastAsia" w:ascii="宋体" w:hAnsi="宋体"/>
          <w:szCs w:val="21"/>
          <w:u w:val="single"/>
        </w:rPr>
        <w:t xml:space="preserve">其他扣留方式：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15.3.3质量保证金的退还</w:t>
      </w:r>
    </w:p>
    <w:p>
      <w:pPr>
        <w:spacing w:line="360" w:lineRule="auto"/>
        <w:ind w:right="105" w:rightChars="50" w:firstLine="420" w:firstLineChars="200"/>
        <w:jc w:val="left"/>
        <w:rPr>
          <w:rFonts w:ascii="宋体" w:hAnsi="宋体"/>
          <w:szCs w:val="21"/>
        </w:rPr>
      </w:pPr>
      <w:r>
        <w:rPr>
          <w:rFonts w:hint="eastAsia" w:ascii="宋体" w:hAnsi="宋体"/>
          <w:szCs w:val="21"/>
        </w:rPr>
        <w:t>（1）在发包人颁发缺陷责任期终止证书之日起14天内退还。</w:t>
      </w:r>
    </w:p>
    <w:p>
      <w:pPr>
        <w:spacing w:line="360" w:lineRule="auto"/>
        <w:ind w:right="105" w:rightChars="50" w:firstLine="420" w:firstLineChars="200"/>
        <w:jc w:val="left"/>
        <w:rPr>
          <w:rFonts w:ascii="宋体" w:hAnsi="宋体"/>
          <w:szCs w:val="21"/>
        </w:rPr>
      </w:pPr>
      <w:r>
        <w:rPr>
          <w:rFonts w:hint="eastAsia" w:ascii="宋体" w:hAnsi="宋体"/>
          <w:szCs w:val="21"/>
        </w:rPr>
        <w:t>（2）缺陷责任期内，承包人认真履行合同约定的责任，到期后，承包人可向发包人申请返还质量保证金。</w:t>
      </w:r>
    </w:p>
    <w:p>
      <w:pPr>
        <w:spacing w:line="360" w:lineRule="auto"/>
        <w:ind w:right="105" w:rightChars="50" w:firstLine="420" w:firstLineChars="200"/>
        <w:jc w:val="left"/>
        <w:rPr>
          <w:rFonts w:ascii="宋体" w:hAnsi="宋体"/>
          <w:szCs w:val="21"/>
        </w:rPr>
      </w:pPr>
      <w:r>
        <w:rPr>
          <w:rFonts w:hint="eastAsia" w:ascii="宋体" w:hAnsi="宋体"/>
          <w:szCs w:val="21"/>
        </w:rPr>
        <w:t>（3）质量保证金是否支付利息采取以下</w:t>
      </w:r>
      <w:r>
        <w:rPr>
          <w:rFonts w:hint="eastAsia" w:ascii="宋体" w:hAnsi="宋体"/>
          <w:szCs w:val="21"/>
          <w:u w:val="single"/>
        </w:rPr>
        <w:t>第②种</w:t>
      </w:r>
      <w:r>
        <w:rPr>
          <w:rFonts w:hint="eastAsia" w:ascii="宋体" w:hAnsi="宋体"/>
          <w:szCs w:val="21"/>
        </w:rPr>
        <w:t>方式：</w:t>
      </w:r>
    </w:p>
    <w:p>
      <w:pPr>
        <w:spacing w:line="360" w:lineRule="auto"/>
        <w:ind w:right="105" w:rightChars="50" w:firstLine="420" w:firstLineChars="200"/>
        <w:jc w:val="left"/>
        <w:rPr>
          <w:rFonts w:ascii="宋体" w:hAnsi="宋体"/>
          <w:szCs w:val="21"/>
        </w:rPr>
      </w:pPr>
      <w:r>
        <w:rPr>
          <w:rFonts w:hint="eastAsia" w:ascii="宋体" w:hAnsi="宋体"/>
          <w:szCs w:val="21"/>
          <w:u w:val="single"/>
        </w:rPr>
        <w:t>①按照中国人民银行  年  月公布的5年期贷款市场报价利率支付利息</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single"/>
        </w:rPr>
        <w:t>②不采用</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2090" w:name="_Toc532375663"/>
      <w:bookmarkStart w:id="2091" w:name="_Toc532377400"/>
      <w:r>
        <w:rPr>
          <w:rFonts w:hint="eastAsia"/>
          <w:sz w:val="21"/>
          <w:szCs w:val="21"/>
        </w:rPr>
        <w:t>15.4 保修</w:t>
      </w:r>
      <w:bookmarkEnd w:id="2090"/>
      <w:bookmarkEnd w:id="2091"/>
    </w:p>
    <w:p>
      <w:pPr>
        <w:spacing w:line="360" w:lineRule="auto"/>
        <w:ind w:right="105" w:rightChars="50" w:firstLine="420" w:firstLineChars="200"/>
        <w:jc w:val="left"/>
        <w:rPr>
          <w:rFonts w:ascii="宋体" w:hAnsi="宋体"/>
          <w:szCs w:val="21"/>
        </w:rPr>
      </w:pPr>
      <w:r>
        <w:rPr>
          <w:rFonts w:hint="eastAsia" w:ascii="宋体" w:hAnsi="宋体"/>
          <w:szCs w:val="21"/>
        </w:rPr>
        <w:t>15.4.1 保修责任</w:t>
      </w:r>
    </w:p>
    <w:p>
      <w:pPr>
        <w:spacing w:line="360" w:lineRule="auto"/>
        <w:ind w:right="105" w:rightChars="50" w:firstLine="420" w:firstLineChars="200"/>
        <w:jc w:val="left"/>
        <w:rPr>
          <w:rFonts w:ascii="宋体" w:hAnsi="宋体"/>
          <w:szCs w:val="21"/>
        </w:rPr>
      </w:pPr>
      <w:r>
        <w:rPr>
          <w:rFonts w:hint="eastAsia" w:ascii="宋体" w:hAnsi="宋体"/>
          <w:szCs w:val="21"/>
        </w:rPr>
        <w:t>工程保修期为：</w:t>
      </w:r>
      <w:bookmarkStart w:id="2092" w:name="_Hlk524381274"/>
      <w:r>
        <w:rPr>
          <w:rFonts w:hint="eastAsia" w:ascii="宋体" w:hAnsi="宋体"/>
          <w:szCs w:val="21"/>
        </w:rPr>
        <w:t>按照附件1《工程质量保修书》的规定执行。</w:t>
      </w:r>
      <w:bookmarkEnd w:id="2092"/>
    </w:p>
    <w:p>
      <w:pPr>
        <w:spacing w:line="360" w:lineRule="auto"/>
        <w:ind w:right="105" w:rightChars="50" w:firstLine="420" w:firstLineChars="200"/>
        <w:jc w:val="left"/>
        <w:rPr>
          <w:rFonts w:ascii="宋体" w:hAnsi="宋体"/>
          <w:szCs w:val="21"/>
        </w:rPr>
      </w:pPr>
      <w:r>
        <w:rPr>
          <w:rFonts w:hint="eastAsia" w:ascii="宋体" w:hAnsi="宋体"/>
          <w:szCs w:val="21"/>
        </w:rPr>
        <w:t>15.4.3 修复通知</w:t>
      </w:r>
    </w:p>
    <w:p>
      <w:pPr>
        <w:spacing w:line="360" w:lineRule="auto"/>
        <w:ind w:right="105" w:rightChars="50" w:firstLine="420" w:firstLineChars="200"/>
        <w:jc w:val="left"/>
        <w:rPr>
          <w:rFonts w:ascii="宋体" w:hAnsi="宋体"/>
          <w:szCs w:val="21"/>
        </w:rPr>
      </w:pPr>
      <w:r>
        <w:rPr>
          <w:rFonts w:hint="eastAsia" w:ascii="宋体" w:hAnsi="宋体"/>
          <w:szCs w:val="21"/>
        </w:rPr>
        <w:t>承包人收到保修通知并到达工程现场的合理时间：</w:t>
      </w:r>
      <w:r>
        <w:rPr>
          <w:rFonts w:hint="eastAsia" w:ascii="宋体" w:hAnsi="宋体"/>
          <w:szCs w:val="21"/>
          <w:u w:val="single"/>
        </w:rPr>
        <w:t xml:space="preserve">  小时内，最长不能超过  小时</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2093" w:name="_Toc532375664"/>
      <w:bookmarkStart w:id="2094" w:name="_Toc351203648"/>
      <w:bookmarkStart w:id="2095" w:name="_Toc532377401"/>
      <w:r>
        <w:rPr>
          <w:rFonts w:hint="eastAsia"/>
          <w:kern w:val="2"/>
          <w:sz w:val="21"/>
          <w:szCs w:val="21"/>
        </w:rPr>
        <w:t>16. 违约</w:t>
      </w:r>
      <w:bookmarkEnd w:id="2093"/>
      <w:bookmarkEnd w:id="2094"/>
      <w:bookmarkEnd w:id="2095"/>
    </w:p>
    <w:p>
      <w:pPr>
        <w:pStyle w:val="7"/>
        <w:spacing w:before="0" w:beforeAutospacing="0" w:after="0" w:afterAutospacing="0" w:line="360" w:lineRule="auto"/>
        <w:ind w:firstLine="421" w:firstLineChars="200"/>
        <w:rPr>
          <w:sz w:val="21"/>
          <w:szCs w:val="21"/>
        </w:rPr>
      </w:pPr>
      <w:bookmarkStart w:id="2096" w:name="_Toc532377402"/>
      <w:r>
        <w:rPr>
          <w:rFonts w:hint="eastAsia"/>
          <w:sz w:val="21"/>
          <w:szCs w:val="21"/>
        </w:rPr>
        <w:t>16.1 发包人违约</w:t>
      </w:r>
      <w:bookmarkEnd w:id="2096"/>
    </w:p>
    <w:p>
      <w:pPr>
        <w:spacing w:line="360" w:lineRule="auto"/>
        <w:ind w:firstLine="420" w:firstLineChars="200"/>
        <w:rPr>
          <w:rFonts w:ascii="宋体" w:hAnsi="宋体"/>
          <w:szCs w:val="21"/>
        </w:rPr>
      </w:pPr>
      <w:r>
        <w:rPr>
          <w:rFonts w:hint="eastAsia" w:ascii="宋体" w:hAnsi="宋体"/>
          <w:szCs w:val="21"/>
        </w:rPr>
        <w:t>16.1.1 发包人违约的情形</w:t>
      </w:r>
    </w:p>
    <w:p>
      <w:pPr>
        <w:spacing w:line="360" w:lineRule="auto"/>
        <w:ind w:firstLine="420" w:firstLineChars="200"/>
        <w:rPr>
          <w:rFonts w:ascii="宋体" w:hAnsi="宋体"/>
          <w:szCs w:val="21"/>
        </w:rPr>
      </w:pPr>
      <w:r>
        <w:rPr>
          <w:rFonts w:hint="eastAsia" w:ascii="宋体" w:hAnsi="宋体" w:cs="Microsoft Sans Serif"/>
          <w:kern w:val="0"/>
          <w:szCs w:val="21"/>
        </w:rPr>
        <w:t>除通用合同条款约定外，发包人违约的其他情形：</w:t>
      </w:r>
    </w:p>
    <w:p>
      <w:pPr>
        <w:spacing w:line="360" w:lineRule="auto"/>
        <w:ind w:firstLine="420" w:firstLineChars="200"/>
        <w:rPr>
          <w:rFonts w:ascii="宋体" w:hAnsi="宋体"/>
          <w:szCs w:val="21"/>
        </w:rPr>
      </w:pPr>
      <w:r>
        <w:rPr>
          <w:rFonts w:hint="eastAsia" w:ascii="宋体" w:hAnsi="宋体" w:cs="Microsoft Sans Serif"/>
          <w:kern w:val="0"/>
          <w:szCs w:val="21"/>
        </w:rPr>
        <w:t>（1）根据专用合同条款7.5.1项因发包人原因导致工期延误的；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（2）因发包人原因未能及时办理完毕合同约定的许可、批准或备案的；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（3）因监理人未能按合同约定发出指示、指示延误或发出了错误指示而导致承包人费用增加和（或）工期延误的；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（4）根据5.3.3发包人或监理人要求重新检查的，经检查证明工程质量符合合同要求的，并由此产生增加的费用和（或）延误的工期的；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（5）因发包人原因造成工程质量未达到合同约定标准的；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（6）由于发包人原因对承包人造成的人员人身伤亡和财产损失的；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（7）因发包人原因导致工程无法按期办理竣工验收或竣工结算的；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（8）发包人无正当理由未按约定退还履约担保、预付款担保或质量保证金的；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（9）发包人不当提取履约担保或质量保证金的；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（10）发包人未按合同约定接收全部或部分工作的；</w:t>
      </w:r>
    </w:p>
    <w:p>
      <w:pPr>
        <w:pStyle w:val="107"/>
        <w:spacing w:line="360" w:lineRule="auto"/>
        <w:jc w:val="left"/>
        <w:rPr>
          <w:rFonts w:ascii="宋体" w:hAnsi="宋体" w:cs="Microsoft Sans Serif"/>
          <w:kern w:val="0"/>
          <w:sz w:val="21"/>
          <w:szCs w:val="21"/>
          <w:u w:val="single"/>
        </w:rPr>
      </w:pPr>
      <w:r>
        <w:rPr>
          <w:rFonts w:hint="eastAsia" w:ascii="宋体" w:hAnsi="宋体" w:cs="Microsoft Sans Serif"/>
          <w:kern w:val="0"/>
          <w:sz w:val="21"/>
          <w:szCs w:val="21"/>
        </w:rPr>
        <w:t>（11）发包人未按合同约定办理保险的；</w:t>
      </w:r>
    </w:p>
    <w:p>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u w:val="single"/>
        </w:rPr>
        <w:t xml:space="preserve">（12）其他：        </w:t>
      </w:r>
      <w:r>
        <w:rPr>
          <w:rFonts w:hint="eastAsia" w:ascii="宋体" w:hAnsi="宋体" w:cs="Microsoft Sans Serif"/>
          <w:kern w:val="0"/>
          <w:szCs w:val="21"/>
        </w:rPr>
        <w:t>。</w:t>
      </w:r>
    </w:p>
    <w:p>
      <w:pPr>
        <w:pStyle w:val="107"/>
        <w:spacing w:line="360" w:lineRule="auto"/>
        <w:rPr>
          <w:rFonts w:ascii="宋体" w:hAnsi="宋体"/>
          <w:sz w:val="21"/>
          <w:szCs w:val="21"/>
        </w:rPr>
      </w:pPr>
      <w:r>
        <w:rPr>
          <w:rFonts w:hint="eastAsia" w:ascii="宋体" w:hAnsi="宋体"/>
          <w:sz w:val="21"/>
          <w:szCs w:val="21"/>
        </w:rPr>
        <w:t>16.1.2发包人违约的责任</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（1）因发包人原因未能及时办理完毕前述许可、批准或备案的违约责任：由发包人承担由此增加的费用和（或）顺延工期，并支付合理利润，具体索赔程序按照第19条〔索赔〕约定执行。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监理人未能按合同约定发出指示、指示延误或发出了错误指示而导致承包人费用增加和（或）工期延误的，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（3）因发包人原因导致工期延误的违约责任：由发包人承担由此增加的费用和（或）顺延工期，并支付合理利润，具体索赔程序按照第19条〔索赔〕约定执行。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（4）因发包人原因未能在计划开工日期前7天内下达开工通知的违约责任：由发包人承担由此增加的费用和（或）顺延工期，并支付合理利润，具体索赔程序按照第19条〔索赔〕约定执行。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（5）根据5.3.3项发包人或监理人要求重新检查的，经检查证明工程质量符合合同要求的，由发包人承担由此增加的费用和（或）顺延工期，并支付合理利润，具体索赔程序按照第19条〔索赔〕约定执行。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（6）因发包人原因未按合同约定支付合同价款的违约责任：发包人应向承包人支付违约金，自应当支付之日起28天后开始计算违约金，计算公式：</w:t>
      </w:r>
      <w:r>
        <w:rPr>
          <w:rFonts w:hint="eastAsia" w:ascii="宋体" w:hAnsi="宋体" w:cs="Microsoft Sans Serif"/>
          <w:kern w:val="0"/>
          <w:szCs w:val="21"/>
          <w:u w:val="single"/>
        </w:rPr>
        <w:t>违约金=应付未付金额×中国人民银行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u w:val="single"/>
        </w:rPr>
        <w:t>；逾期天数超过56天的，超过部分天数按上述利率的两倍计算并支付违约金</w:t>
      </w:r>
      <w:r>
        <w:rPr>
          <w:rFonts w:hint="eastAsia" w:ascii="宋体" w:hAnsi="宋体" w:cs="Microsoft Sans Serif"/>
          <w:kern w:val="0"/>
          <w:szCs w:val="21"/>
        </w:rPr>
        <w:t>。</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（7）发包人违反合同约定，自行实施或转由他人实施被取消的合同工作内容的违约责任：由发包人承担由此给承包人造成的实际损失并支付合理利润。</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（9）因发包人原因造成工程质量未达到合同约定标准的，由发包人承担由此增加的费用和（或）延误的工期，并支付合理利润。</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（10）因发包人违反合同约定造成暂停施工的违约责任：由发包人承担由此增加的费用和（或）顺延工期，并支付合理利润，具体索赔程序按照第19条〔索赔〕约定执行。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（11）发包人无正当理由没有在约定期限内发出复工指示，导致承包人无法复工的违约责任：由发包人承担由此增加的费用和（或）顺延工期，并支付合理利润，具体索赔程序按照第19条〔索赔〕约定执行。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（12）因发包人原因导致工程无法按期办理竣工验收或竣工结算的违约责任：由发包人承担由此增加的费用和（或）顺延工期，并支付合理利润，具体索赔程序按照第19条〔索赔〕约定执行。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u w:val="single"/>
        </w:rPr>
      </w:pPr>
      <w:r>
        <w:rPr>
          <w:rFonts w:hint="eastAsia" w:ascii="宋体" w:hAnsi="宋体"/>
          <w:szCs w:val="21"/>
        </w:rPr>
        <w:t>（13）</w:t>
      </w:r>
      <w:r>
        <w:rPr>
          <w:rFonts w:hint="eastAsia" w:ascii="宋体" w:hAnsi="宋体" w:cs="Microsoft Sans Serif"/>
          <w:kern w:val="0"/>
          <w:szCs w:val="21"/>
        </w:rPr>
        <w:t>发包人无正当理由未按约定退还履约担保、预付款担保或质量保证金的违约责任：发包人应向承包人支付违约金，自应当退还之日起28天后开始计算违约金，</w:t>
      </w:r>
      <w:r>
        <w:rPr>
          <w:rFonts w:hint="eastAsia" w:ascii="宋体" w:hAnsi="宋体" w:cs="Microsoft Sans Serif"/>
          <w:kern w:val="0"/>
          <w:szCs w:val="21"/>
          <w:u w:val="single"/>
        </w:rPr>
        <w:t>计算公式：违约金=应退未退担保金额×中国人民银行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rPr>
        <w:t>。</w:t>
      </w:r>
    </w:p>
    <w:p>
      <w:pPr>
        <w:pStyle w:val="2"/>
        <w:spacing w:after="0" w:line="360" w:lineRule="auto"/>
        <w:ind w:firstLine="420" w:firstLineChars="200"/>
        <w:rPr>
          <w:rFonts w:ascii="宋体" w:hAnsi="宋体" w:cs="Microsoft Sans Serif"/>
          <w:kern w:val="0"/>
          <w:szCs w:val="21"/>
        </w:rPr>
      </w:pPr>
      <w:r>
        <w:rPr>
          <w:rFonts w:hint="eastAsia" w:ascii="宋体" w:hAnsi="宋体" w:cs="Microsoft Sans Serif"/>
          <w:kern w:val="0"/>
          <w:szCs w:val="21"/>
        </w:rPr>
        <w:t>（14）</w:t>
      </w:r>
      <w:r>
        <w:rPr>
          <w:rFonts w:hint="eastAsia" w:ascii="宋体" w:hAnsi="宋体"/>
          <w:szCs w:val="21"/>
        </w:rPr>
        <w:t>发包人不当提取履约担保、预付款担保或质量保证金的，应及时予以退还，若不当提取超过28天的，应承担违约责任：发包人应向承包人支付违约金，</w:t>
      </w:r>
      <w:r>
        <w:rPr>
          <w:rFonts w:hint="eastAsia" w:ascii="宋体" w:hAnsi="宋体"/>
          <w:szCs w:val="21"/>
          <w:u w:val="single"/>
        </w:rPr>
        <w:t>计算公式：违约金=不当提取的担保金额×中国人民银行  年  月公布的5年期贷款市场报价利率/360天×逾期天数（自第29天起计算）</w:t>
      </w:r>
      <w:r>
        <w:rPr>
          <w:rFonts w:hint="eastAsia" w:ascii="宋体" w:hAnsi="宋体"/>
          <w:szCs w:val="21"/>
        </w:rPr>
        <w:t>。</w:t>
      </w:r>
    </w:p>
    <w:p>
      <w:pPr>
        <w:pStyle w:val="2"/>
        <w:spacing w:after="0" w:line="360" w:lineRule="auto"/>
        <w:ind w:firstLine="420" w:firstLineChars="200"/>
        <w:rPr>
          <w:rFonts w:ascii="宋体" w:hAnsi="宋体"/>
          <w:szCs w:val="21"/>
        </w:rPr>
      </w:pPr>
      <w:r>
        <w:rPr>
          <w:rFonts w:hint="eastAsia" w:ascii="宋体" w:hAnsi="宋体" w:cs="Microsoft Sans Serif"/>
          <w:kern w:val="0"/>
          <w:szCs w:val="21"/>
        </w:rPr>
        <w:t>（15）发包人未按合同约定接收全部或部分工作的违约责任：由发包人承担自应当接收工程之日起的工程照管、成品保护、保管等与工程有关的各项费用。</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（16）由于发包人原因对承包人造成的人员人身伤亡和财产损失的，由发包人负责赔偿，并承担由此增加的费用和（或）延误的工期，并支付合理利润。</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（17）发包人未按合同约定办理保险的违约责任：除按18.6.1项约定执行外，每延迟1天，按</w:t>
      </w:r>
      <w:r>
        <w:rPr>
          <w:rFonts w:hint="eastAsia" w:ascii="宋体" w:hAnsi="宋体" w:cs="Microsoft Sans Serif"/>
          <w:kern w:val="0"/>
          <w:szCs w:val="21"/>
          <w:u w:val="single"/>
        </w:rPr>
        <w:t>500元/天</w:t>
      </w:r>
      <w:r>
        <w:rPr>
          <w:rFonts w:hint="eastAsia" w:ascii="宋体" w:hAnsi="宋体" w:cs="Microsoft Sans Serif"/>
          <w:kern w:val="0"/>
          <w:szCs w:val="21"/>
        </w:rPr>
        <w:t>支付违约金。</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（18）其他：</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发包人发生除通用条款第16.1.1项第（7）目以外的违约情况时，承包人可向发包人发出通知，要求发包人采取有效措施纠正违约行为。发包人收到承包人通知后的28天内仍不履行合同义务，承包人有权暂停施工，并通知监理人。</w:t>
      </w:r>
    </w:p>
    <w:p>
      <w:pPr>
        <w:spacing w:line="360" w:lineRule="auto"/>
        <w:ind w:firstLine="420" w:firstLineChars="200"/>
        <w:rPr>
          <w:rFonts w:ascii="宋体" w:hAnsi="宋体"/>
          <w:szCs w:val="21"/>
        </w:rPr>
      </w:pPr>
      <w:r>
        <w:rPr>
          <w:rFonts w:hint="eastAsia" w:ascii="宋体" w:hAnsi="宋体"/>
          <w:szCs w:val="21"/>
        </w:rPr>
        <w:t>16.1.3 因发包人违约解除合同</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因发包人违约并致使合同目的不能实现的，承包人有权解除合同：</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（1）因发包人原因延迟支付合同价款超过180天的；</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（2）因发包人原因导致工期延误超过90天的；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（3）因发包人第16.1.2（5）违约情形导致暂停施工满56天，且发包人仍未纠正其违约行为的；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（4）其他未履行合同项下的义务构成对合同的实质性违约，并且在收到承包人要求说明其违约并予以补救的通知后56天内仍未补救该实质性违约的；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w:t>
      </w:r>
      <w:r>
        <w:rPr>
          <w:rFonts w:hint="eastAsia" w:ascii="宋体" w:hAnsi="宋体" w:cs="Microsoft Sans Serif"/>
          <w:kern w:val="0"/>
          <w:szCs w:val="21"/>
          <w:u w:val="single"/>
        </w:rPr>
        <w:t>合同约定的承包人有权解除合同的其他情形</w:t>
      </w:r>
      <w:r>
        <w:rPr>
          <w:rFonts w:hint="eastAsia" w:ascii="宋体" w:hAnsi="宋体" w:cs="Microsoft Sans Serif"/>
          <w:kern w:val="0"/>
          <w:szCs w:val="21"/>
        </w:rPr>
        <w:t>。</w:t>
      </w:r>
    </w:p>
    <w:p>
      <w:pPr>
        <w:spacing w:line="360" w:lineRule="auto"/>
        <w:ind w:firstLine="420" w:firstLineChars="200"/>
        <w:rPr>
          <w:rFonts w:ascii="宋体" w:hAnsi="宋体"/>
          <w:szCs w:val="21"/>
        </w:rPr>
      </w:pPr>
      <w:r>
        <w:rPr>
          <w:rFonts w:hint="eastAsia" w:ascii="宋体" w:hAnsi="宋体"/>
          <w:szCs w:val="21"/>
        </w:rPr>
        <w:t>16.1.4 因发包人违约解除合同后的付款</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承包人按照本款约定解除合同的，发包人应在解除合同后28天内支付下列款项，并解除履约担保、预付款担保：</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（1）合同解除前所完成工作的价款；</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（2）承包人为工程施工订购并已付款的材料、工程设备和其他物品的价款；</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（3）承包人撤离施工现场以及遣散承包人人员的款项；</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（4）按照合同约定在合同解除前应支付的违约金；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（5）按照合同约定应当支付给承包人的其他款项；</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（6）按照合同约定应退还的质量保证金；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（7）因解除合同给承包人造成的损失；</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w:t>
      </w:r>
      <w:r>
        <w:rPr>
          <w:rFonts w:hint="eastAsia" w:ascii="宋体" w:hAnsi="宋体" w:cs="Microsoft Sans Serif"/>
          <w:kern w:val="0"/>
          <w:szCs w:val="21"/>
          <w:u w:val="single"/>
        </w:rPr>
        <w:t xml:space="preserve">        。</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合同当事人未能就解除合同后的结清达成一致的，按照第20条〔争议解决〕的约定处理。</w:t>
      </w:r>
    </w:p>
    <w:p>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承包人应妥善做好已完工程和与工程有关的已购材料、工程设备的保护和移交工作，并将施工设备和人员撤出施工现场，发包人应为承包人撤出提供必要条件。</w:t>
      </w:r>
    </w:p>
    <w:p>
      <w:pPr>
        <w:pStyle w:val="7"/>
        <w:spacing w:before="0" w:beforeAutospacing="0" w:after="0" w:afterAutospacing="0" w:line="360" w:lineRule="auto"/>
        <w:ind w:firstLine="421" w:firstLineChars="200"/>
        <w:rPr>
          <w:sz w:val="21"/>
          <w:szCs w:val="21"/>
        </w:rPr>
      </w:pPr>
      <w:bookmarkStart w:id="2097" w:name="_Toc532377403"/>
      <w:r>
        <w:rPr>
          <w:rFonts w:hint="eastAsia"/>
          <w:sz w:val="21"/>
          <w:szCs w:val="21"/>
        </w:rPr>
        <w:t>16.2 承包人违约</w:t>
      </w:r>
      <w:bookmarkEnd w:id="2097"/>
    </w:p>
    <w:p>
      <w:pPr>
        <w:snapToGrid w:val="0"/>
        <w:spacing w:line="360" w:lineRule="auto"/>
        <w:ind w:firstLine="420" w:firstLineChars="200"/>
        <w:jc w:val="left"/>
        <w:rPr>
          <w:rFonts w:ascii="宋体" w:hAnsi="宋体" w:cs="Microsoft Sans Serif"/>
          <w:kern w:val="0"/>
          <w:szCs w:val="21"/>
        </w:rPr>
      </w:pPr>
      <w:bookmarkStart w:id="2098" w:name="_Hlk524380579"/>
      <w:r>
        <w:rPr>
          <w:rFonts w:hint="eastAsia" w:ascii="宋体" w:hAnsi="宋体" w:cs="Microsoft Sans Serif"/>
          <w:kern w:val="0"/>
          <w:szCs w:val="21"/>
        </w:rPr>
        <w:t>16.2.1 承包人违约的情形</w:t>
      </w:r>
    </w:p>
    <w:p>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除通用合同条款约定外，承包人违约的其他情形：</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（1）承包人未按合同约定提交履约担保或质量保证金的；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（2）承包人未能按期开工的；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（3）承包人未按投标文件或监理人的要求及时配备称职的主要管理人员，或承包人未按经审定的施工组织设计配备或更换关键施工设备的；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（4）承包人有安全问题或有违反安全管理规章制度情况的；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（5）承包人在缺陷责任期及保修期内，未能在合理期限对工程缺陷进行修复，或拒绝按发包人要求进行修复的；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（6）承包人拖欠其工人或所雇人员工资或报酬，导致其工人或所雇人员向有关部门投诉、控告、检举或以聚集等方式讨要工资或报酬的；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（7）承包人不配合发包人、监理人及发包人委托的工程造价咨询服务单位结算审核或承包人其他原因导致未按期完成工程竣工结算的；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（8）承包人违反合同约定进行转包或违法分包的；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（9）承包人未按合同约定移交全部或部分工作的；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（10）承包人未按合同约定购买保险的；</w:t>
      </w:r>
    </w:p>
    <w:p>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（11）项目经理若有以下情形，属于承包人违约：</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1）项目经理不按承诺到岗的；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2）每月在施工现场的天数少于约定天数的；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3）承包人未提交项目经理劳动合同和社会保险证明的；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4）未经批准，擅自离开施工现场（超过约定时间）的；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5）未经批准，擅自变更项目经理的；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w:t>
      </w:r>
      <w:r>
        <w:rPr>
          <w:rFonts w:hint="eastAsia" w:ascii="宋体" w:hAnsi="宋体" w:cs="Microsoft Sans Serif"/>
          <w:kern w:val="0"/>
          <w:szCs w:val="21"/>
          <w:u w:val="single"/>
        </w:rPr>
        <w:t>渝建发〔2015〕35号</w:t>
      </w:r>
      <w:r>
        <w:rPr>
          <w:rFonts w:hint="eastAsia" w:ascii="宋体" w:hAnsi="宋体" w:cs="Microsoft Sans Serif"/>
          <w:kern w:val="0"/>
          <w:szCs w:val="21"/>
        </w:rPr>
        <w:t>文的要求，施工期间，项目经理因在一个记分周期内累计记分达到12分，被建设行政主管部门依法责令停止执业的；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7）发包人有正当理由认为项目经理不称职/不履职，且承包人在约定时间内不予更换的；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（12）技术负责人若有以下情形，属于承包人违约：</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1）每月在施工现场的天数少于约定天数的；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2）承包人未提交技术负责人劳动合同和社会保险证明的；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3）未经批准，擅自离开施工现场（超过约定时间）的；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4）未经批准，擅自变更技术负责人的；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5）发包人有正当理由认为技术负责人不称职/不履职，且承包人在约定时间内不予更换的；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（13）主要施工管理人员若有以下情形，属于承包人违约：</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1）承包人未提交主要管理人员劳动合同和社会保险证明的；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2）未经批准，擅自离开施工现场（超过约定时间）的；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3）未经批准，擅自变更主要施工管理人员的；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4）发包人有正当理由认为主要施工管理人员不称职/不履职，且承包人在约定时间内不予更换的；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w:t>
      </w:r>
      <w:r>
        <w:rPr>
          <w:rFonts w:hint="eastAsia" w:ascii="宋体" w:hAnsi="宋体" w:cs="Microsoft Sans Serif"/>
          <w:kern w:val="0"/>
          <w:szCs w:val="21"/>
          <w:u w:val="single"/>
        </w:rPr>
        <w:t xml:space="preserve">        。</w:t>
      </w:r>
    </w:p>
    <w:bookmarkEnd w:id="2098"/>
    <w:p>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16.2.2 承包人违约的责任</w:t>
      </w:r>
    </w:p>
    <w:p>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承包人违约责任的承担方式和计算方法：</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（1）承包人未按合同约定提交履约担保、质量保证金的违约责任：承包人应支付违约金，</w:t>
      </w:r>
      <w:r>
        <w:rPr>
          <w:rFonts w:hint="eastAsia" w:ascii="宋体" w:hAnsi="宋体" w:cs="Microsoft Sans Serif"/>
          <w:szCs w:val="21"/>
        </w:rPr>
        <w:t>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计算违约金，累计违约金上限：</w:t>
      </w:r>
      <w:r>
        <w:rPr>
          <w:rFonts w:hint="eastAsia" w:ascii="宋体" w:hAnsi="宋体" w:cs="Microsoft Sans Serif"/>
          <w:kern w:val="0"/>
          <w:szCs w:val="21"/>
          <w:u w:val="single"/>
        </w:rPr>
        <w:t xml:space="preserve">  万元（不超过签约合同价的3%）</w:t>
      </w:r>
      <w:r>
        <w:rPr>
          <w:rFonts w:hint="eastAsia" w:ascii="宋体" w:hAnsi="宋体" w:cs="Microsoft Sans Serif"/>
          <w:kern w:val="0"/>
          <w:szCs w:val="21"/>
          <w:lang w:val="zh-CN"/>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（2）承包人违反合同约定进行转包或违法分包的违约责任：按照违反合同约定进行转包和（或）违法分包相应转包和（或）分包合同的合同金额的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支付违约金，违法转/分包商应在7天内撤离出场。</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（3）承包人违反合同约定采购和使用不合格的材料和工程设备的违约责任：按照违反合同约定采购和使用不合格的材料和（或）工程设备相应合同金额的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cs="Microsoft Sans Serif"/>
          <w:kern w:val="0"/>
          <w:szCs w:val="21"/>
          <w:u w:val="single"/>
        </w:rPr>
        <w:t xml:space="preserve">  （1～5）%</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（6）因承包人原因造成工期延误的违约承担方式和计算方法：由承包人承担由此增加的费用，</w:t>
      </w:r>
      <w:r>
        <w:rPr>
          <w:rFonts w:hint="eastAsia" w:ascii="宋体" w:hAnsi="宋体" w:cs="Microsoft Sans Serif"/>
          <w:szCs w:val="21"/>
        </w:rPr>
        <w:t>由此导致工期延误的，工期不予顺延；逾期竣工违约金的计算方法：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计算逾期竣工违约金，累计违约金上限：</w:t>
      </w:r>
      <w:r>
        <w:rPr>
          <w:rFonts w:hint="eastAsia" w:ascii="宋体" w:hAnsi="宋体" w:cs="Microsoft Sans Serif"/>
          <w:kern w:val="0"/>
          <w:szCs w:val="21"/>
          <w:u w:val="single"/>
        </w:rPr>
        <w:t xml:space="preserve">  </w:t>
      </w:r>
      <w:r>
        <w:rPr>
          <w:rFonts w:hint="eastAsia" w:ascii="宋体" w:hAnsi="宋体" w:cs="Microsoft Sans Serif"/>
          <w:kern w:val="0"/>
          <w:szCs w:val="21"/>
        </w:rPr>
        <w:t>万元（不超过签约合同价的3%）</w:t>
      </w:r>
      <w:r>
        <w:rPr>
          <w:rFonts w:hint="eastAsia" w:ascii="宋体" w:hAnsi="宋体" w:cs="Microsoft Sans Serif"/>
          <w:kern w:val="0"/>
          <w:szCs w:val="21"/>
          <w:lang w:val="zh-CN"/>
        </w:rPr>
        <w:t>；</w:t>
      </w:r>
      <w:r>
        <w:rPr>
          <w:rFonts w:hint="eastAsia" w:ascii="宋体" w:hAnsi="宋体" w:cs="Microsoft Sans Serif"/>
          <w:kern w:val="0"/>
          <w:szCs w:val="21"/>
        </w:rPr>
        <w:t>承包人支付逾期竣工违约金后，不免除承包人继续完成工程及修补缺陷的义务。</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（7）承包人在缺陷责任期及保修期内，未能在合理期限对工程缺陷进行修复，或拒绝按发包人要求进行修复的违约责任：按照发包人修复缺陷费用的</w:t>
      </w:r>
      <w:r>
        <w:rPr>
          <w:rFonts w:hint="eastAsia" w:ascii="宋体" w:hAnsi="宋体" w:cs="Microsoft Sans Serif"/>
          <w:kern w:val="0"/>
          <w:szCs w:val="21"/>
          <w:u w:val="single"/>
        </w:rPr>
        <w:t xml:space="preserve">  （0.5～2）%</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（8）承包人明确表示或者以其行为表明不履行合同主要义务的违约责任：按签约合同价的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（9）承包人未能按照合同约定履行其他义务的违约责任：按</w:t>
      </w:r>
      <w:r>
        <w:rPr>
          <w:rFonts w:hint="eastAsia" w:ascii="宋体" w:hAnsi="宋体" w:cs="Microsoft Sans Serif"/>
          <w:kern w:val="0"/>
          <w:szCs w:val="21"/>
          <w:u w:val="single"/>
        </w:rPr>
        <w:t>（500～5000）元/次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（10）承包人未能按期开工的违约责任：按合同价</w:t>
      </w:r>
      <w:r>
        <w:rPr>
          <w:rFonts w:hint="eastAsia" w:ascii="宋体" w:hAnsi="宋体" w:cs="Microsoft Sans Serif"/>
          <w:kern w:val="0"/>
          <w:szCs w:val="21"/>
          <w:u w:val="single"/>
        </w:rPr>
        <w:t>0.2‰/天</w:t>
      </w:r>
      <w:r>
        <w:rPr>
          <w:rFonts w:hint="eastAsia" w:ascii="宋体" w:hAnsi="宋体" w:cs="Microsoft Sans Serif"/>
          <w:kern w:val="0"/>
          <w:szCs w:val="21"/>
        </w:rPr>
        <w:t>支付违约金，本项违约金累计限额为签约合同价的</w:t>
      </w:r>
      <w:r>
        <w:rPr>
          <w:rFonts w:hint="eastAsia" w:ascii="宋体" w:hAnsi="宋体" w:cs="Microsoft Sans Serif"/>
          <w:kern w:val="0"/>
          <w:szCs w:val="21"/>
          <w:u w:val="single"/>
        </w:rPr>
        <w:t xml:space="preserve"> 1 %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（11）承包人未按经审定的施工组织设计配备或更换关键施工设备的违约责任：按</w:t>
      </w:r>
      <w:r>
        <w:rPr>
          <w:rFonts w:hint="eastAsia" w:ascii="宋体" w:hAnsi="宋体" w:cs="Microsoft Sans Serif"/>
          <w:kern w:val="0"/>
          <w:szCs w:val="21"/>
          <w:u w:val="single"/>
        </w:rPr>
        <w:t xml:space="preserve">  （5000～50000）元/台·次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（12）承包人有安全问题或有违反安全管理规章制度情况的违约责任：根据具体情节，按签约合同价的</w:t>
      </w:r>
      <w:r>
        <w:rPr>
          <w:rFonts w:hint="eastAsia" w:ascii="宋体" w:hAnsi="宋体" w:cs="Microsoft Sans Serif"/>
          <w:kern w:val="0"/>
          <w:szCs w:val="21"/>
          <w:u w:val="single"/>
        </w:rPr>
        <w:t>0.5‰～4‰/次</w:t>
      </w:r>
      <w:r>
        <w:rPr>
          <w:rFonts w:hint="eastAsia" w:ascii="宋体" w:hAnsi="宋体" w:cs="Microsoft Sans Serif"/>
          <w:kern w:val="0"/>
          <w:szCs w:val="21"/>
        </w:rPr>
        <w:t>支付违约金（累计不超过签约合同价的1%，详见附件9安全管理协议）。</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（13）承包人拖欠其工人或所雇人员工资或报酬，导致其工人或所雇人员向有关部门投诉、控告、检举或以聚集等方式讨要工资或报酬的违约责任：根据具体情节，按违约金额</w:t>
      </w:r>
      <w:r>
        <w:rPr>
          <w:rFonts w:hint="eastAsia" w:ascii="宋体" w:hAnsi="宋体" w:cs="Microsoft Sans Serif"/>
          <w:kern w:val="0"/>
          <w:szCs w:val="21"/>
          <w:u w:val="single"/>
        </w:rPr>
        <w:t xml:space="preserve">  （50000～200000）元/次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（14）承包人不配合发包人、监理人及发包人委托的工程造价咨询服务单位结算审核的违约责任：根据具体情节，按</w:t>
      </w:r>
      <w:r>
        <w:rPr>
          <w:rFonts w:hint="eastAsia" w:ascii="宋体" w:hAnsi="宋体" w:cs="Microsoft Sans Serif"/>
          <w:kern w:val="0"/>
          <w:szCs w:val="21"/>
          <w:u w:val="single"/>
        </w:rPr>
        <w:t xml:space="preserve">  （10000～100000）元/次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（15）承包人未按合同约定移交全部和部分工程的违约责任：由承包人承担工程照管、成品保护、保管等与工程有关的各种费用，并按结算金额或违约部分结算金额的</w:t>
      </w:r>
      <w:r>
        <w:rPr>
          <w:rFonts w:hint="eastAsia" w:ascii="宋体" w:hAnsi="宋体" w:cs="Microsoft Sans Serif"/>
          <w:kern w:val="0"/>
          <w:szCs w:val="21"/>
          <w:u w:val="single"/>
        </w:rPr>
        <w:t>0.5～1‰</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（16）承包人未按合同约定购买保险的违约责任：除按18.6.2项约定执行外，每延迟1天，按</w:t>
      </w:r>
      <w:r>
        <w:rPr>
          <w:rFonts w:hint="eastAsia" w:ascii="宋体" w:hAnsi="宋体" w:cs="Microsoft Sans Serif"/>
          <w:szCs w:val="21"/>
          <w:u w:val="single"/>
        </w:rPr>
        <w:t>500元/天</w:t>
      </w:r>
      <w:r>
        <w:rPr>
          <w:rFonts w:hint="eastAsia" w:ascii="宋体" w:hAnsi="宋体" w:cs="Microsoft Sans Serif"/>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（17）发生第16.2.1项（11）目、16.2.1项（12）目、16.2.1项（13）目违约情形的违约责任：除承担由此增加的费用和工期延误的责任，承包人应向发包人支付违约金：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1）项目经理违约承担方式和计算方法：对于第16.2.1项（11）目的情形，每发现一次，根据具体情节，按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计算违约金；项目经理不按承诺到岗的（</w:t>
      </w:r>
      <w:r>
        <w:rPr>
          <w:rFonts w:ascii="宋体" w:hAnsi="宋体" w:cs="Microsoft Sans Serif"/>
          <w:kern w:val="0"/>
          <w:szCs w:val="21"/>
        </w:rPr>
        <w:t>3.2.3项约定的情形除外</w:t>
      </w:r>
      <w:r>
        <w:rPr>
          <w:rFonts w:hint="eastAsia" w:ascii="宋体" w:hAnsi="宋体" w:cs="Microsoft Sans Serif"/>
          <w:kern w:val="0"/>
          <w:szCs w:val="21"/>
        </w:rPr>
        <w:t>），按履约保证金的</w:t>
      </w:r>
      <w:r>
        <w:rPr>
          <w:rFonts w:hint="eastAsia" w:ascii="宋体" w:hAnsi="宋体" w:cs="Microsoft Sans Serif"/>
          <w:kern w:val="0"/>
          <w:szCs w:val="21"/>
          <w:u w:val="single"/>
        </w:rPr>
        <w:t>（50～100）%</w:t>
      </w:r>
      <w:r>
        <w:rPr>
          <w:rFonts w:hint="eastAsia" w:ascii="宋体" w:hAnsi="宋体" w:cs="Microsoft Sans Serif"/>
          <w:kern w:val="0"/>
          <w:szCs w:val="21"/>
        </w:rPr>
        <w:t>支付违约金，并解除合同；擅自更换项目经理的，按签约合同价的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2）主要技术负责人违约承担方式和计算方法：对于第16.2.1项（12）目的六种情形，每发现一次，根据具体情节，按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计算违约金；擅自更换主要技术负责人的，按签约合同价的</w:t>
      </w:r>
      <w:r>
        <w:rPr>
          <w:rFonts w:hint="eastAsia" w:ascii="宋体" w:hAnsi="宋体" w:cs="Microsoft Sans Serif"/>
          <w:kern w:val="0"/>
          <w:szCs w:val="21"/>
          <w:u w:val="single"/>
        </w:rPr>
        <w:t>（0.5～2）%/人·次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10万</w:t>
      </w:r>
      <w:r>
        <w:rPr>
          <w:rFonts w:hint="eastAsia" w:ascii="宋体" w:hAnsi="宋体" w:cs="Microsoft Sans Serif"/>
          <w:kern w:val="0"/>
          <w:szCs w:val="21"/>
        </w:rPr>
        <w:t>，累计不超过</w:t>
      </w:r>
      <w:r>
        <w:rPr>
          <w:rFonts w:hint="eastAsia" w:ascii="宋体" w:hAnsi="宋体" w:cs="Microsoft Sans Serif"/>
          <w:kern w:val="0"/>
          <w:szCs w:val="21"/>
          <w:u w:val="single"/>
        </w:rPr>
        <w:t>100万</w:t>
      </w:r>
      <w:r>
        <w:rPr>
          <w:rFonts w:hint="eastAsia" w:ascii="宋体" w:hAnsi="宋体" w:cs="Microsoft Sans Serif"/>
          <w:kern w:val="0"/>
          <w:szCs w:val="21"/>
        </w:rPr>
        <w:t>。</w:t>
      </w:r>
    </w:p>
    <w:p>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3）主要施工管理人员违约承担方式和计算方法：对于第16.2.1项（13）目的五种情形，每发现一次，根据具体情节，按</w:t>
      </w:r>
      <w:r>
        <w:rPr>
          <w:rFonts w:hint="eastAsia" w:ascii="宋体" w:hAnsi="宋体" w:cs="Microsoft Sans Serif"/>
          <w:kern w:val="0"/>
          <w:szCs w:val="21"/>
          <w:u w:val="single"/>
        </w:rPr>
        <w:t>500～10000元/天·次</w:t>
      </w:r>
      <w:r>
        <w:rPr>
          <w:rFonts w:hint="eastAsia" w:ascii="宋体" w:hAnsi="宋体" w:cs="Microsoft Sans Serif"/>
          <w:kern w:val="0"/>
          <w:szCs w:val="21"/>
        </w:rPr>
        <w:t>计算违约金。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（18）</w:t>
      </w:r>
      <w:r>
        <w:rPr>
          <w:rFonts w:hint="eastAsia" w:ascii="宋体" w:hAnsi="宋体" w:cs="Microsoft Sans Serif"/>
          <w:kern w:val="0"/>
          <w:szCs w:val="21"/>
          <w:u w:val="single"/>
        </w:rPr>
        <w:t xml:space="preserve">        </w:t>
      </w:r>
      <w:r>
        <w:rPr>
          <w:rFonts w:hint="eastAsia" w:ascii="宋体" w:hAnsi="宋体" w:cs="Microsoft Sans Serif"/>
          <w:kern w:val="0"/>
          <w:szCs w:val="21"/>
        </w:rPr>
        <w:t>。</w:t>
      </w:r>
      <w:bookmarkStart w:id="2099" w:name="_Hlk524380347"/>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w:t>
      </w:r>
      <w:r>
        <w:rPr>
          <w:rFonts w:hint="eastAsia" w:ascii="宋体" w:hAnsi="宋体" w:cs="Microsoft Sans Serif"/>
          <w:kern w:val="0"/>
          <w:szCs w:val="21"/>
        </w:rPr>
        <w:t>16.2.2项第（1）目承担违约责任</w:t>
      </w:r>
      <w:r>
        <w:rPr>
          <w:rFonts w:hint="eastAsia" w:ascii="宋体" w:hAnsi="宋体" w:cs="Microsoft Sans Serif"/>
          <w:szCs w:val="21"/>
        </w:rPr>
        <w:t>，并从应付或到期应付给承包人的任何款项中或采用其他方法，扣除该违约金。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承包人必须及时纠正违约行为并采取积极措施，满足合同要求，自行承担与纠正违约行为有关的人身伤亡、罚款、索赔、损失补偿、诉讼费用及其他一切责任，工期不予顺延</w:t>
      </w:r>
      <w:r>
        <w:rPr>
          <w:rFonts w:hint="eastAsia" w:ascii="宋体" w:hAnsi="宋体" w:cs="Microsoft Sans Serif"/>
          <w:kern w:val="0"/>
          <w:szCs w:val="21"/>
        </w:rPr>
        <w:t>，承担由此给</w:t>
      </w:r>
      <w:r>
        <w:rPr>
          <w:rFonts w:hint="eastAsia" w:ascii="宋体" w:hAnsi="宋体" w:cs="Microsoft Sans Serif"/>
          <w:szCs w:val="21"/>
        </w:rPr>
        <w:t>发包人造成的经济损失。</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承包人承担承包范围的工程质量、安全、环保责任，因承包人原因引起的质量、安全、环保等事故由承包人承担相应的法律后果。</w:t>
      </w:r>
    </w:p>
    <w:bookmarkEnd w:id="2099"/>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16.2.3 因承包人违约解除合同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因承包人违约并致使合同目的不能实现的，发包人有权解除合同：</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（1）未按合同约定延迟提供履约担保、质量保证金超过14天的；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（2）未按合同约定购买保险且经催告后超过56天的；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（3）因承包人原因导致开工时间累计延误超过56天的；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（4）因承包人原因导致工期延误超过90天的；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（5）发生第21.2款〔退出机制〕约定的情形的；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（6）监理人发出整改通知后，承包人在监理人限定的期限内仍不纠正违约行为的；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（7）承包人进入清算或者严重资不抵债且无法履行合同的；</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（8）违反适用法律而被相关政府部门依法吊销营业执照、责令停业、清算或宣布破产、责令关闭的；</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（9）承包人未履行合同项下的义务构成对合同的实质性违约，并且在收到发包人要求说明其违约并予以补救的通知后56天内仍未能补救该实质性违约的；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w:t>
      </w:r>
      <w:r>
        <w:rPr>
          <w:rFonts w:hint="eastAsia" w:ascii="宋体" w:hAnsi="宋体" w:cs="Microsoft Sans Serif"/>
          <w:kern w:val="0"/>
          <w:sz w:val="21"/>
          <w:szCs w:val="21"/>
          <w:u w:val="single"/>
        </w:rPr>
        <w:t>合同约定的发包人有权解除合同的其他情形</w:t>
      </w:r>
      <w:r>
        <w:rPr>
          <w:rFonts w:hint="eastAsia" w:ascii="宋体" w:hAnsi="宋体" w:cs="Microsoft Sans Serif"/>
          <w:kern w:val="0"/>
          <w:sz w:val="21"/>
          <w:szCs w:val="21"/>
        </w:rPr>
        <w:t>。</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16.2.4因承包人违约解除合同后的处理</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因承包人违约导致合同解除的，合同当事人应在</w:t>
      </w:r>
      <w:r>
        <w:rPr>
          <w:rFonts w:hint="eastAsia" w:ascii="宋体" w:hAnsi="宋体" w:cs="Microsoft Sans Serif"/>
          <w:kern w:val="0"/>
          <w:szCs w:val="21"/>
          <w:u w:val="single"/>
        </w:rPr>
        <w:t>合同解除后</w:t>
      </w:r>
      <w:r>
        <w:rPr>
          <w:rFonts w:hint="eastAsia" w:ascii="宋体" w:hAnsi="宋体" w:cs="Microsoft Sans Serif"/>
          <w:kern w:val="0"/>
          <w:szCs w:val="21"/>
          <w:u w:val="single"/>
          <w:lang w:eastAsia="zh-CN"/>
        </w:rPr>
        <w:t>2</w:t>
      </w:r>
      <w:r>
        <w:rPr>
          <w:rFonts w:hint="eastAsia" w:ascii="宋体" w:hAnsi="宋体" w:cs="Microsoft Sans Serif"/>
          <w:kern w:val="0"/>
          <w:szCs w:val="21"/>
          <w:u w:val="single"/>
          <w:lang w:val="en-US" w:eastAsia="zh-CN"/>
        </w:rPr>
        <w:t>8</w:t>
      </w:r>
      <w:r>
        <w:rPr>
          <w:rFonts w:hint="eastAsia" w:ascii="宋体" w:hAnsi="宋体" w:cs="Microsoft Sans Serif"/>
          <w:kern w:val="0"/>
          <w:szCs w:val="21"/>
          <w:u w:val="single"/>
        </w:rPr>
        <w:t>天内</w:t>
      </w:r>
      <w:r>
        <w:rPr>
          <w:rFonts w:hint="eastAsia" w:ascii="宋体" w:hAnsi="宋体" w:cs="Microsoft Sans Serif"/>
          <w:kern w:val="0"/>
          <w:szCs w:val="21"/>
        </w:rPr>
        <w:t>完成估价、付款和清算，并按以下约定执行：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（1）合同解除后，按第14.2款结算审定方式确定承包人实际完成工作对应的合同价款，以及承包人已提供的材料、工程设备、施工设备和临时工程等的价值；</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（2）合同解除后，承包人应支付违约金；</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（3）合同解除后，赔偿因解除合同给发包人造成的损失；</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（4）合同解除后，承包人应按照发包人要求和监理人的指示完成现场的清理和撤离。</w:t>
      </w:r>
    </w:p>
    <w:p>
      <w:pPr>
        <w:spacing w:line="360" w:lineRule="auto"/>
        <w:ind w:firstLine="420" w:firstLineChars="200"/>
        <w:jc w:val="left"/>
        <w:rPr>
          <w:rFonts w:ascii="宋体" w:hAnsi="宋体"/>
          <w:szCs w:val="21"/>
        </w:rPr>
      </w:pPr>
      <w:r>
        <w:rPr>
          <w:rFonts w:hint="eastAsia" w:ascii="宋体" w:hAnsi="宋体" w:cs="Microsoft Sans Serif"/>
          <w:kern w:val="0"/>
          <w:szCs w:val="21"/>
        </w:rPr>
        <w:t>（5）</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因承包人违约导致解除合同的，发包人有权暂停对承包人的付款，查清各项付款和已扣款项。发包人和承包人未能就合同解除后的清算和款项支付达成一致的，按照第20条〔争议解决〕的约定处理。</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2086"/>
    <w:bookmarkEnd w:id="2087"/>
    <w:p>
      <w:pPr>
        <w:pStyle w:val="6"/>
        <w:keepNext/>
        <w:keepLines/>
        <w:spacing w:before="156" w:beforeLines="50" w:beforeAutospacing="0" w:after="156" w:afterLines="50" w:afterAutospacing="0" w:line="360" w:lineRule="auto"/>
        <w:jc w:val="both"/>
        <w:rPr>
          <w:bCs w:val="0"/>
          <w:kern w:val="2"/>
          <w:sz w:val="21"/>
          <w:szCs w:val="21"/>
        </w:rPr>
      </w:pPr>
      <w:bookmarkStart w:id="2100" w:name="_Toc532375665"/>
      <w:bookmarkStart w:id="2101" w:name="_Toc351203649"/>
      <w:bookmarkStart w:id="2102" w:name="_Toc532377404"/>
      <w:bookmarkStart w:id="2103" w:name="_Hlk528928440"/>
      <w:r>
        <w:rPr>
          <w:rFonts w:hint="eastAsia"/>
          <w:kern w:val="2"/>
          <w:sz w:val="21"/>
          <w:szCs w:val="21"/>
        </w:rPr>
        <w:t>17. 不可抗力</w:t>
      </w:r>
      <w:bookmarkEnd w:id="2100"/>
      <w:bookmarkEnd w:id="2101"/>
      <w:bookmarkEnd w:id="2102"/>
    </w:p>
    <w:p>
      <w:pPr>
        <w:pStyle w:val="7"/>
        <w:spacing w:before="0" w:beforeAutospacing="0" w:after="0" w:afterAutospacing="0" w:line="360" w:lineRule="auto"/>
        <w:ind w:firstLine="421" w:firstLineChars="200"/>
        <w:rPr>
          <w:sz w:val="21"/>
          <w:szCs w:val="21"/>
        </w:rPr>
      </w:pPr>
      <w:bookmarkStart w:id="2104" w:name="_Toc532375666"/>
      <w:bookmarkStart w:id="2105" w:name="_Toc532377405"/>
      <w:r>
        <w:rPr>
          <w:rFonts w:hint="eastAsia"/>
          <w:sz w:val="21"/>
          <w:szCs w:val="21"/>
        </w:rPr>
        <w:t>17.1 不可抗力的确认</w:t>
      </w:r>
      <w:bookmarkEnd w:id="2104"/>
      <w:bookmarkEnd w:id="2105"/>
    </w:p>
    <w:p>
      <w:pPr>
        <w:spacing w:line="360" w:lineRule="auto"/>
        <w:ind w:right="105" w:rightChars="50" w:firstLine="420" w:firstLineChars="200"/>
        <w:jc w:val="left"/>
        <w:rPr>
          <w:rFonts w:ascii="宋体" w:hAnsi="宋体"/>
          <w:szCs w:val="21"/>
        </w:rPr>
      </w:pPr>
      <w:r>
        <w:rPr>
          <w:rFonts w:hint="eastAsia" w:ascii="宋体" w:hAnsi="宋体"/>
          <w:szCs w:val="21"/>
        </w:rPr>
        <w:t>除通用合同条款约定的不可抗力事件之外，视为不可抗力的其他情形：</w:t>
      </w:r>
      <w:bookmarkStart w:id="2106" w:name="_Hlk524379638"/>
    </w:p>
    <w:p>
      <w:pPr>
        <w:spacing w:line="360" w:lineRule="auto"/>
        <w:ind w:right="105" w:rightChars="50" w:firstLine="420" w:firstLineChars="200"/>
        <w:jc w:val="left"/>
        <w:rPr>
          <w:rFonts w:ascii="宋体" w:hAnsi="宋体"/>
          <w:szCs w:val="21"/>
        </w:rPr>
      </w:pPr>
      <w:r>
        <w:rPr>
          <w:rFonts w:hint="eastAsia" w:ascii="宋体" w:hAnsi="宋体"/>
          <w:szCs w:val="21"/>
        </w:rPr>
        <w:t>（1）洪水、火山爆发、山崩、山体滑坡、泥石流、龙卷风、隧道内不可预测的突发性地质灾害等自然灾害；</w:t>
      </w:r>
    </w:p>
    <w:p>
      <w:pPr>
        <w:spacing w:line="360" w:lineRule="auto"/>
        <w:ind w:right="105" w:rightChars="50" w:firstLine="420" w:firstLineChars="200"/>
        <w:jc w:val="left"/>
        <w:rPr>
          <w:rFonts w:ascii="宋体" w:hAnsi="宋体"/>
          <w:szCs w:val="21"/>
        </w:rPr>
      </w:pPr>
      <w:r>
        <w:rPr>
          <w:rFonts w:hint="eastAsia" w:ascii="宋体" w:hAnsi="宋体"/>
          <w:szCs w:val="21"/>
        </w:rPr>
        <w:t>（2）骚乱、戒严、封锁、禁运、恐怖行为、等社会行为，但承包人或其分包人派遣与雇佣的人员由于合同工程施工原因引起的除外；</w:t>
      </w:r>
    </w:p>
    <w:p>
      <w:pPr>
        <w:spacing w:line="360" w:lineRule="auto"/>
        <w:ind w:right="105" w:rightChars="50" w:firstLine="420" w:firstLineChars="200"/>
        <w:jc w:val="left"/>
        <w:rPr>
          <w:rFonts w:ascii="宋体" w:hAnsi="宋体"/>
          <w:szCs w:val="21"/>
        </w:rPr>
      </w:pPr>
      <w:r>
        <w:rPr>
          <w:rFonts w:hint="eastAsia" w:ascii="宋体" w:hAnsi="宋体"/>
          <w:szCs w:val="21"/>
        </w:rPr>
        <w:t>（3）不能合理预见的重大交通阻滞、停运、交通事故，非双方责任引起的火灾、爆炸、船舶撞击等情形；</w:t>
      </w:r>
    </w:p>
    <w:p>
      <w:pPr>
        <w:spacing w:line="360" w:lineRule="auto"/>
        <w:ind w:right="105" w:rightChars="50" w:firstLine="420" w:firstLineChars="200"/>
        <w:jc w:val="left"/>
        <w:rPr>
          <w:rFonts w:ascii="宋体" w:hAnsi="宋体"/>
          <w:szCs w:val="21"/>
        </w:rPr>
      </w:pPr>
      <w:r>
        <w:rPr>
          <w:rFonts w:hint="eastAsia" w:ascii="宋体" w:hAnsi="宋体"/>
          <w:szCs w:val="21"/>
        </w:rPr>
        <w:t>（4）化学或放射性污染或核辐射；</w:t>
      </w:r>
    </w:p>
    <w:p>
      <w:pPr>
        <w:spacing w:line="360" w:lineRule="auto"/>
        <w:ind w:right="105" w:rightChars="50" w:firstLine="420" w:firstLineChars="200"/>
        <w:jc w:val="left"/>
        <w:rPr>
          <w:rFonts w:ascii="宋体" w:hAnsi="宋体"/>
          <w:szCs w:val="21"/>
        </w:rPr>
      </w:pPr>
      <w:r>
        <w:rPr>
          <w:rFonts w:hint="eastAsia" w:ascii="宋体" w:hAnsi="宋体"/>
          <w:szCs w:val="21"/>
        </w:rPr>
        <w:t>（5）环保治理等政府行为导致项目停工的。</w:t>
      </w:r>
      <w:bookmarkEnd w:id="2106"/>
    </w:p>
    <w:p>
      <w:pPr>
        <w:spacing w:line="360" w:lineRule="auto"/>
        <w:ind w:right="105" w:rightChars="50"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2107" w:name="_Toc532377406"/>
      <w:bookmarkStart w:id="2108" w:name="_Toc351203610"/>
      <w:bookmarkStart w:id="2109" w:name="_Toc532375667"/>
      <w:bookmarkStart w:id="2110" w:name="_Toc296346620"/>
      <w:bookmarkStart w:id="2111" w:name="_Toc337558826"/>
      <w:bookmarkStart w:id="2112" w:name="_Toc296503119"/>
      <w:r>
        <w:rPr>
          <w:rFonts w:hint="eastAsia"/>
          <w:sz w:val="21"/>
          <w:szCs w:val="21"/>
        </w:rPr>
        <w:t>17.3 不可抗力后果的承担</w:t>
      </w:r>
      <w:bookmarkEnd w:id="2107"/>
      <w:bookmarkEnd w:id="2108"/>
      <w:bookmarkEnd w:id="2109"/>
    </w:p>
    <w:bookmarkEnd w:id="2110"/>
    <w:bookmarkEnd w:id="2111"/>
    <w:bookmarkEnd w:id="2112"/>
    <w:p>
      <w:pPr>
        <w:spacing w:line="360" w:lineRule="auto"/>
        <w:ind w:right="105" w:rightChars="50" w:firstLine="420" w:firstLineChars="200"/>
        <w:jc w:val="left"/>
        <w:rPr>
          <w:rFonts w:ascii="宋体" w:hAnsi="宋体"/>
          <w:szCs w:val="21"/>
        </w:rPr>
      </w:pPr>
      <w:r>
        <w:rPr>
          <w:rFonts w:hint="eastAsia" w:ascii="宋体" w:hAnsi="宋体"/>
          <w:szCs w:val="21"/>
        </w:rPr>
        <w:t>17.3.1 不可抗力引起的后果及造成的损失由合同当事人按照法律规定及合同约定各自承担。不可抗力发生前已完成的工程应当按照合同约定进行计量支付。</w:t>
      </w:r>
    </w:p>
    <w:p>
      <w:pPr>
        <w:spacing w:line="360" w:lineRule="auto"/>
        <w:ind w:right="105" w:rightChars="50" w:firstLine="420" w:firstLineChars="200"/>
        <w:jc w:val="left"/>
        <w:rPr>
          <w:rFonts w:ascii="宋体" w:hAnsi="宋体"/>
          <w:szCs w:val="21"/>
        </w:rPr>
      </w:pPr>
      <w:r>
        <w:rPr>
          <w:rFonts w:hint="eastAsia" w:ascii="宋体" w:hAnsi="宋体"/>
          <w:szCs w:val="21"/>
        </w:rPr>
        <w:t>17.3.2 不可抗力导致的人员伤亡、财产损失、费用增加和（或）工期延误等后果，由合同当事人按以下原则承担：</w:t>
      </w:r>
    </w:p>
    <w:p>
      <w:pPr>
        <w:spacing w:line="360" w:lineRule="auto"/>
        <w:ind w:right="105" w:rightChars="50" w:firstLine="420" w:firstLineChars="200"/>
        <w:jc w:val="left"/>
        <w:rPr>
          <w:rFonts w:ascii="宋体" w:hAnsi="宋体"/>
          <w:szCs w:val="21"/>
        </w:rPr>
      </w:pPr>
      <w:r>
        <w:rPr>
          <w:rFonts w:hint="eastAsia" w:ascii="宋体" w:hAnsi="宋体"/>
          <w:szCs w:val="21"/>
        </w:rPr>
        <w:t>（1）永久工程、已运至施工现场的施工材料和工程设备的损坏，以及因工程损坏造成的第三方人员伤亡和财产损失由发包人承担；</w:t>
      </w:r>
    </w:p>
    <w:p>
      <w:pPr>
        <w:spacing w:line="360" w:lineRule="auto"/>
        <w:ind w:right="105" w:rightChars="50" w:firstLine="420" w:firstLineChars="200"/>
        <w:jc w:val="left"/>
        <w:rPr>
          <w:rFonts w:ascii="宋体" w:hAnsi="宋体"/>
          <w:szCs w:val="21"/>
        </w:rPr>
      </w:pPr>
      <w:r>
        <w:rPr>
          <w:rFonts w:hint="eastAsia" w:ascii="宋体" w:hAnsi="宋体"/>
          <w:szCs w:val="21"/>
        </w:rPr>
        <w:t>（2）承包人施工设备的损坏由承包人承担；</w:t>
      </w:r>
    </w:p>
    <w:p>
      <w:pPr>
        <w:spacing w:line="360" w:lineRule="auto"/>
        <w:ind w:right="105" w:rightChars="50" w:firstLine="420" w:firstLineChars="200"/>
        <w:jc w:val="left"/>
        <w:rPr>
          <w:rFonts w:ascii="宋体" w:hAnsi="宋体"/>
          <w:szCs w:val="21"/>
        </w:rPr>
      </w:pPr>
      <w:r>
        <w:rPr>
          <w:rFonts w:hint="eastAsia" w:ascii="宋体" w:hAnsi="宋体"/>
          <w:szCs w:val="21"/>
        </w:rPr>
        <w:t>（3）发包人和承包人承担各自人员伤亡和财产的损失；</w:t>
      </w:r>
    </w:p>
    <w:p>
      <w:pPr>
        <w:spacing w:line="360" w:lineRule="auto"/>
        <w:ind w:right="105" w:rightChars="50" w:firstLine="420" w:firstLineChars="200"/>
        <w:jc w:val="left"/>
        <w:rPr>
          <w:rFonts w:ascii="宋体" w:hAnsi="宋体"/>
          <w:szCs w:val="21"/>
        </w:rPr>
      </w:pPr>
      <w:r>
        <w:rPr>
          <w:rFonts w:hint="eastAsia" w:ascii="宋体" w:hAnsi="宋体"/>
          <w:szCs w:val="21"/>
        </w:rPr>
        <w:t>（4）因不可抗力影响承包人履行合同约定的义务，已经引起或将引起工期延误的，应当顺延工期，由此导致承包人停工的费用损失由发包人和承包人合理共担；</w:t>
      </w:r>
    </w:p>
    <w:p>
      <w:pPr>
        <w:spacing w:line="360" w:lineRule="auto"/>
        <w:ind w:right="105" w:rightChars="50" w:firstLine="420" w:firstLineChars="200"/>
        <w:jc w:val="left"/>
        <w:rPr>
          <w:rFonts w:ascii="宋体" w:hAnsi="宋体"/>
          <w:szCs w:val="21"/>
        </w:rPr>
      </w:pPr>
      <w:r>
        <w:rPr>
          <w:rFonts w:hint="eastAsia" w:ascii="宋体" w:hAnsi="宋体"/>
          <w:szCs w:val="21"/>
        </w:rPr>
        <w:t>（5）因不可抗力引起或将引起工期延误，发包人要求赶工的，由此增加的赶工费用由发包人承担；</w:t>
      </w:r>
    </w:p>
    <w:p>
      <w:pPr>
        <w:spacing w:line="360" w:lineRule="auto"/>
        <w:ind w:right="105" w:rightChars="50" w:firstLine="420" w:firstLineChars="200"/>
        <w:jc w:val="left"/>
        <w:rPr>
          <w:rFonts w:ascii="宋体" w:hAnsi="宋体"/>
          <w:szCs w:val="21"/>
        </w:rPr>
      </w:pPr>
      <w:r>
        <w:rPr>
          <w:rFonts w:hint="eastAsia" w:ascii="宋体" w:hAnsi="宋体"/>
          <w:szCs w:val="21"/>
        </w:rPr>
        <w:t>（6）承包人在停工期间按照发包人要求照管、清理和修复工程的费用由发包人承担；</w:t>
      </w:r>
    </w:p>
    <w:p>
      <w:pPr>
        <w:spacing w:line="360" w:lineRule="auto"/>
        <w:ind w:right="105" w:rightChars="50" w:firstLine="420" w:firstLineChars="200"/>
        <w:jc w:val="left"/>
        <w:rPr>
          <w:rFonts w:ascii="宋体" w:hAnsi="宋体"/>
          <w:szCs w:val="21"/>
        </w:rPr>
      </w:pPr>
      <w:r>
        <w:rPr>
          <w:rFonts w:hint="eastAsia" w:ascii="宋体" w:hAnsi="宋体"/>
          <w:szCs w:val="21"/>
        </w:rPr>
        <w:t>（7）不可抗力事件发生后，合同当事人均应采取措施尽量避免和减少损失的扩大，任何一方当事人没有采取有效措施导致损失扩大的，应对扩大的损失承担责任。</w:t>
      </w:r>
    </w:p>
    <w:p>
      <w:pPr>
        <w:spacing w:line="360" w:lineRule="auto"/>
        <w:ind w:right="105" w:rightChars="50"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2113" w:name="_Toc532377407"/>
      <w:bookmarkStart w:id="2114" w:name="_Toc532375668"/>
      <w:r>
        <w:rPr>
          <w:rFonts w:hint="eastAsia"/>
          <w:sz w:val="21"/>
          <w:szCs w:val="21"/>
        </w:rPr>
        <w:t>17.4 因不可抗力解除合同</w:t>
      </w:r>
      <w:bookmarkEnd w:id="2113"/>
      <w:bookmarkEnd w:id="2114"/>
    </w:p>
    <w:p>
      <w:pPr>
        <w:spacing w:line="360" w:lineRule="auto"/>
        <w:ind w:right="105" w:rightChars="50" w:firstLine="420" w:firstLineChars="200"/>
        <w:jc w:val="left"/>
        <w:rPr>
          <w:rFonts w:ascii="宋体" w:hAnsi="宋体"/>
          <w:szCs w:val="21"/>
        </w:rPr>
      </w:pPr>
      <w:r>
        <w:rPr>
          <w:rFonts w:hint="eastAsia" w:ascii="宋体" w:hAnsi="宋体"/>
          <w:szCs w:val="21"/>
        </w:rPr>
        <w:t>合同解除后，发包人应在商定或确定发包人应支付款项后</w:t>
      </w:r>
      <w:r>
        <w:rPr>
          <w:rFonts w:hint="eastAsia" w:ascii="宋体" w:hAnsi="宋体"/>
          <w:szCs w:val="21"/>
          <w:u w:val="single"/>
        </w:rPr>
        <w:t>28</w:t>
      </w:r>
      <w:r>
        <w:rPr>
          <w:rFonts w:hint="eastAsia" w:ascii="宋体" w:hAnsi="宋体"/>
          <w:szCs w:val="21"/>
        </w:rPr>
        <w:t>天内完成款项的支付。</w:t>
      </w:r>
    </w:p>
    <w:p>
      <w:pPr>
        <w:pStyle w:val="6"/>
        <w:keepNext/>
        <w:keepLines/>
        <w:spacing w:before="156" w:beforeLines="50" w:beforeAutospacing="0" w:after="156" w:afterLines="50" w:afterAutospacing="0" w:line="360" w:lineRule="auto"/>
        <w:jc w:val="both"/>
        <w:rPr>
          <w:bCs w:val="0"/>
          <w:kern w:val="2"/>
          <w:sz w:val="21"/>
          <w:szCs w:val="21"/>
        </w:rPr>
      </w:pPr>
      <w:bookmarkStart w:id="2115" w:name="_Toc532375669"/>
      <w:bookmarkStart w:id="2116" w:name="_Toc532377408"/>
      <w:bookmarkStart w:id="2117" w:name="_Toc351203650"/>
      <w:r>
        <w:rPr>
          <w:rFonts w:hint="eastAsia"/>
          <w:kern w:val="2"/>
          <w:sz w:val="21"/>
          <w:szCs w:val="21"/>
        </w:rPr>
        <w:t>18. 保险</w:t>
      </w:r>
      <w:bookmarkEnd w:id="2115"/>
      <w:bookmarkEnd w:id="2116"/>
      <w:bookmarkEnd w:id="2117"/>
    </w:p>
    <w:p>
      <w:pPr>
        <w:pStyle w:val="7"/>
        <w:spacing w:before="0" w:beforeAutospacing="0" w:after="0" w:afterAutospacing="0" w:line="360" w:lineRule="auto"/>
        <w:ind w:firstLine="421" w:firstLineChars="200"/>
        <w:rPr>
          <w:sz w:val="21"/>
          <w:szCs w:val="21"/>
        </w:rPr>
      </w:pPr>
      <w:bookmarkStart w:id="2118" w:name="_Toc532377409"/>
      <w:bookmarkStart w:id="2119" w:name="_Toc532375670"/>
      <w:r>
        <w:rPr>
          <w:rFonts w:hint="eastAsia"/>
          <w:sz w:val="21"/>
          <w:szCs w:val="21"/>
        </w:rPr>
        <w:t>18.1 工程保险</w:t>
      </w:r>
      <w:bookmarkEnd w:id="2118"/>
      <w:bookmarkEnd w:id="2119"/>
    </w:p>
    <w:p>
      <w:pPr>
        <w:spacing w:line="360" w:lineRule="auto"/>
        <w:ind w:right="105" w:rightChars="50" w:firstLine="420" w:firstLineChars="200"/>
        <w:jc w:val="left"/>
        <w:rPr>
          <w:rFonts w:ascii="宋体" w:hAnsi="宋体"/>
          <w:szCs w:val="21"/>
        </w:rPr>
      </w:pPr>
      <w:r>
        <w:rPr>
          <w:rFonts w:hint="eastAsia" w:ascii="宋体" w:hAnsi="宋体"/>
          <w:szCs w:val="21"/>
        </w:rPr>
        <w:t>关于工程保险的特别约定：发包人应投保</w:t>
      </w:r>
      <w:r>
        <w:rPr>
          <w:rFonts w:hint="eastAsia" w:ascii="宋体" w:hAnsi="宋体"/>
          <w:szCs w:val="21"/>
          <w:u w:val="single"/>
        </w:rPr>
        <w:t>建筑工程一切险或安装工程一切险</w:t>
      </w:r>
      <w:r>
        <w:rPr>
          <w:rFonts w:hint="eastAsia" w:ascii="宋体" w:hAnsi="宋体"/>
          <w:szCs w:val="21"/>
        </w:rPr>
        <w:t>；发包人委托承包人投保的，因投保产生的保险费和其他相关费用由发包人承担。</w:t>
      </w:r>
    </w:p>
    <w:p>
      <w:pPr>
        <w:pStyle w:val="7"/>
        <w:spacing w:before="0" w:beforeAutospacing="0" w:after="0" w:afterAutospacing="0" w:line="360" w:lineRule="auto"/>
        <w:ind w:firstLine="421" w:firstLineChars="200"/>
        <w:rPr>
          <w:sz w:val="21"/>
          <w:szCs w:val="21"/>
        </w:rPr>
      </w:pPr>
      <w:bookmarkStart w:id="2120" w:name="_Toc532375671"/>
      <w:bookmarkStart w:id="2121" w:name="_Toc532377410"/>
      <w:r>
        <w:rPr>
          <w:rFonts w:hint="eastAsia"/>
          <w:sz w:val="21"/>
          <w:szCs w:val="21"/>
        </w:rPr>
        <w:t>18.3 其他保险</w:t>
      </w:r>
      <w:bookmarkEnd w:id="2120"/>
      <w:bookmarkEnd w:id="2121"/>
    </w:p>
    <w:p>
      <w:pPr>
        <w:spacing w:line="360" w:lineRule="auto"/>
        <w:ind w:right="105" w:rightChars="50" w:firstLine="420" w:firstLineChars="200"/>
        <w:jc w:val="left"/>
        <w:rPr>
          <w:rFonts w:ascii="宋体" w:hAnsi="宋体"/>
          <w:szCs w:val="21"/>
        </w:rPr>
      </w:pPr>
      <w:r>
        <w:rPr>
          <w:rFonts w:hint="eastAsia" w:ascii="宋体" w:hAnsi="宋体"/>
          <w:szCs w:val="21"/>
        </w:rPr>
        <w:t>关于其他保险的约定：</w:t>
      </w:r>
      <w:r>
        <w:rPr>
          <w:rFonts w:hint="eastAsia" w:ascii="宋体" w:hAnsi="宋体"/>
          <w:szCs w:val="21"/>
          <w:u w:val="single"/>
        </w:rPr>
        <w:t xml:space="preserve">    /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承包人是否应为其施工设备等办理财产保险：</w:t>
      </w:r>
      <w:r>
        <w:rPr>
          <w:rFonts w:hint="eastAsia" w:ascii="宋体" w:hAnsi="宋体"/>
          <w:szCs w:val="21"/>
          <w:u w:val="single"/>
        </w:rPr>
        <w:t xml:space="preserve">    /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安全生产责任险：</w:t>
      </w:r>
      <w:r>
        <w:rPr>
          <w:rFonts w:hint="eastAsia" w:ascii="宋体" w:hAnsi="宋体"/>
          <w:szCs w:val="21"/>
          <w:u w:val="single"/>
        </w:rPr>
        <w:t>承包人应按《重庆市人民政府办公厅关于在高危行业领域强制推行安全生产责任保险的实施意见》（渝府办法〔2017〕182号）的要求办理安全生产责任保险</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2122" w:name="_Toc532377411"/>
      <w:bookmarkStart w:id="2123" w:name="_Toc532375672"/>
      <w:r>
        <w:rPr>
          <w:rFonts w:hint="eastAsia"/>
          <w:sz w:val="21"/>
          <w:szCs w:val="21"/>
        </w:rPr>
        <w:t>18.7 通知义务</w:t>
      </w:r>
      <w:bookmarkEnd w:id="2122"/>
      <w:bookmarkEnd w:id="2123"/>
    </w:p>
    <w:p>
      <w:pPr>
        <w:spacing w:line="360" w:lineRule="auto"/>
        <w:ind w:right="105" w:rightChars="50" w:firstLine="420" w:firstLineChars="200"/>
        <w:jc w:val="left"/>
        <w:rPr>
          <w:rFonts w:ascii="宋体" w:hAnsi="宋体"/>
          <w:szCs w:val="21"/>
        </w:rPr>
      </w:pPr>
      <w:r>
        <w:rPr>
          <w:rFonts w:hint="eastAsia" w:ascii="宋体" w:hAnsi="宋体"/>
          <w:szCs w:val="21"/>
        </w:rPr>
        <w:t>关于变更保险合同时的通知义务的约定：</w:t>
      </w:r>
      <w:r>
        <w:rPr>
          <w:rFonts w:hint="eastAsia" w:ascii="宋体" w:hAnsi="宋体"/>
          <w:szCs w:val="21"/>
          <w:u w:val="single"/>
        </w:rPr>
        <w:t>按通用合同条款执行</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2124" w:name="_Toc532377412"/>
      <w:bookmarkStart w:id="2125" w:name="_Toc532375673"/>
      <w:r>
        <w:rPr>
          <w:rFonts w:hint="eastAsia"/>
          <w:sz w:val="21"/>
          <w:szCs w:val="21"/>
        </w:rPr>
        <w:t>18.8 其他</w:t>
      </w:r>
      <w:bookmarkEnd w:id="2124"/>
      <w:bookmarkEnd w:id="2125"/>
    </w:p>
    <w:p>
      <w:pPr>
        <w:spacing w:line="360" w:lineRule="auto"/>
        <w:ind w:right="105" w:rightChars="50" w:firstLine="420" w:firstLineChars="200"/>
        <w:jc w:val="left"/>
        <w:rPr>
          <w:rFonts w:ascii="宋体" w:hAnsi="宋体"/>
          <w:szCs w:val="21"/>
        </w:rPr>
      </w:pPr>
      <w:r>
        <w:rPr>
          <w:rFonts w:hint="eastAsia" w:ascii="宋体" w:hAnsi="宋体"/>
          <w:szCs w:val="21"/>
        </w:rPr>
        <w:t>18.8.1 工程开工日前，承包人向发包人提交各项生效的保险证据和保险单副本。未按本项约定提交的，每延后1天，承包人按500元/天支付违约金。</w:t>
      </w:r>
    </w:p>
    <w:p>
      <w:pPr>
        <w:spacing w:line="360" w:lineRule="auto"/>
        <w:ind w:right="105" w:rightChars="50" w:firstLine="420" w:firstLineChars="200"/>
        <w:jc w:val="left"/>
        <w:rPr>
          <w:rFonts w:ascii="宋体" w:hAnsi="宋体"/>
          <w:szCs w:val="21"/>
        </w:rPr>
      </w:pPr>
      <w:r>
        <w:rPr>
          <w:rFonts w:hint="eastAsia" w:ascii="宋体" w:hAnsi="宋体"/>
          <w:szCs w:val="21"/>
        </w:rPr>
        <w:t>18.8.2 承包人保险赔偿金不足以补偿发包人损失时，</w:t>
      </w:r>
      <w:bookmarkStart w:id="2126" w:name="_Hlk524378346"/>
      <w:r>
        <w:rPr>
          <w:rFonts w:hint="eastAsia" w:ascii="宋体" w:hAnsi="宋体"/>
          <w:szCs w:val="21"/>
        </w:rPr>
        <w:t>差额由承包人负责补足</w:t>
      </w:r>
      <w:bookmarkEnd w:id="2126"/>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2127" w:name="_Toc532377413"/>
      <w:bookmarkStart w:id="2128" w:name="_Toc351203620"/>
      <w:bookmarkStart w:id="2129" w:name="_Toc532375674"/>
      <w:bookmarkStart w:id="2130" w:name="_Toc296346641"/>
      <w:bookmarkStart w:id="2131" w:name="_Toc296503140"/>
      <w:bookmarkStart w:id="2132" w:name="_Toc337558835"/>
      <w:r>
        <w:rPr>
          <w:rFonts w:hint="eastAsia"/>
          <w:kern w:val="2"/>
          <w:sz w:val="21"/>
          <w:szCs w:val="21"/>
        </w:rPr>
        <w:t>19. 索赔</w:t>
      </w:r>
      <w:bookmarkEnd w:id="2127"/>
      <w:bookmarkEnd w:id="2128"/>
      <w:bookmarkEnd w:id="2129"/>
    </w:p>
    <w:bookmarkEnd w:id="2130"/>
    <w:bookmarkEnd w:id="2131"/>
    <w:bookmarkEnd w:id="2132"/>
    <w:p>
      <w:pPr>
        <w:pStyle w:val="7"/>
        <w:spacing w:before="0" w:beforeAutospacing="0" w:after="0" w:afterAutospacing="0" w:line="360" w:lineRule="auto"/>
        <w:ind w:firstLine="421" w:firstLineChars="200"/>
        <w:rPr>
          <w:sz w:val="21"/>
          <w:szCs w:val="21"/>
        </w:rPr>
      </w:pPr>
      <w:bookmarkStart w:id="2133" w:name="_Toc532377414"/>
      <w:bookmarkStart w:id="2134" w:name="_Toc532375675"/>
      <w:bookmarkStart w:id="2135" w:name="_Toc296346642"/>
      <w:bookmarkStart w:id="2136" w:name="_Toc296503141"/>
      <w:bookmarkStart w:id="2137" w:name="_Toc337558836"/>
      <w:bookmarkStart w:id="2138" w:name="_Toc351203621"/>
      <w:r>
        <w:rPr>
          <w:rFonts w:hint="eastAsia"/>
          <w:sz w:val="21"/>
          <w:szCs w:val="21"/>
        </w:rPr>
        <w:t>19.1 承包人的索赔</w:t>
      </w:r>
      <w:bookmarkEnd w:id="2133"/>
      <w:bookmarkEnd w:id="2134"/>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根据合同约定，承包人认为有权得到追加付款和（或）延长工期的，应按以下程序向发包人提出索赔：</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（1）承包人应在索赔事件发生后28天内，向监理人递交索赔意向通知书，并说明发生索赔事件的事由；承包人未在前述28天内发出索赔意向通知书的，丧失要求追加付款和（或）延长工期的权利；</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（3）索赔事件具有持续影响的，承包人应按监理人要求的合理时间间隔继续递交延续索赔通知，说明持续影响的实际情况和记录，列出累计的追加付款金额和（或）工期延长天数；</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（4）在索赔事件影响结束后28天内，承包人应向监理人递交最终索赔报告，说明最终要求索赔的追加付款金额和（或）延长的工期，并附必要的记录和证明材料。</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2139" w:name="_Toc532377415"/>
      <w:bookmarkStart w:id="2140" w:name="_Toc532375676"/>
      <w:r>
        <w:rPr>
          <w:rFonts w:hint="eastAsia"/>
          <w:sz w:val="21"/>
          <w:szCs w:val="21"/>
        </w:rPr>
        <w:t>19.2 对承包人索赔的处理</w:t>
      </w:r>
      <w:bookmarkEnd w:id="2139"/>
      <w:bookmarkEnd w:id="2140"/>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对承包人索赔的处理如下：</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（1）监理人应在收到索赔报告后14天内完成审查并报送发包人。监理人对索赔报告存在异议的，有权要求承包人提交全部原始记录副本</w:t>
      </w:r>
      <w:r>
        <w:rPr>
          <w:rFonts w:hint="eastAsia" w:ascii="宋体" w:hAnsi="宋体"/>
          <w:szCs w:val="21"/>
        </w:rPr>
        <w:t>；</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2）发包人应在监理人收到索赔报告或有关索赔的进一步证明材料后的28天内，由监理人向承包人出具经发包人签认的索赔处理结果。发包人逾期未答复的，承包人应以书面形式催告发包人，经承包人三次（每次间隔不少于3天）书面催告后，发包人仍未按期限答复的，则视为认可承包人的索赔要求</w:t>
      </w:r>
      <w:r>
        <w:rPr>
          <w:rFonts w:hint="eastAsia" w:ascii="宋体" w:hAnsi="宋体"/>
          <w:szCs w:val="21"/>
        </w:rPr>
        <w:t>；</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（3）承包人接受索赔处理结果的，索赔款项在当期进度款中进行支付；承包人不接受索赔处理结果的，按照第20条〔争议解决〕约定处理</w:t>
      </w:r>
      <w:r>
        <w:rPr>
          <w:rFonts w:hint="eastAsia" w:ascii="宋体" w:hAnsi="宋体"/>
          <w:szCs w:val="21"/>
        </w:rPr>
        <w:t>；</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（4）工期延误的关键线路按照经监理人、发包人审批同意的施工组织设计计算</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2141" w:name="_Toc532375677"/>
      <w:bookmarkStart w:id="2142" w:name="_Toc532377416"/>
      <w:r>
        <w:rPr>
          <w:rFonts w:hint="eastAsia"/>
          <w:sz w:val="21"/>
          <w:szCs w:val="21"/>
        </w:rPr>
        <w:t>19.3发包人的索赔</w:t>
      </w:r>
      <w:bookmarkEnd w:id="2141"/>
      <w:bookmarkEnd w:id="2142"/>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根据合同约定，发包人认为有权得到赔付金额和（或）延长缺陷责任期的，监理人应向承包人发出通知并附有详细的证明。</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w:t>
      </w:r>
      <w:bookmarkStart w:id="2143" w:name="_Hlk528652769"/>
      <w:r>
        <w:rPr>
          <w:rFonts w:hint="eastAsia" w:ascii="宋体" w:hAnsi="宋体"/>
          <w:szCs w:val="21"/>
        </w:rPr>
        <w:t>通过监理人向承包人正式递交最终索赔报告</w:t>
      </w:r>
      <w:bookmarkEnd w:id="2143"/>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2144" w:name="_Toc532375678"/>
      <w:bookmarkStart w:id="2145" w:name="_Toc532377417"/>
      <w:r>
        <w:rPr>
          <w:rFonts w:hint="eastAsia"/>
          <w:sz w:val="21"/>
          <w:szCs w:val="21"/>
        </w:rPr>
        <w:t>19.4 对发包人索赔的处理</w:t>
      </w:r>
      <w:bookmarkEnd w:id="2144"/>
      <w:bookmarkEnd w:id="2145"/>
    </w:p>
    <w:p>
      <w:pPr>
        <w:autoSpaceDE w:val="0"/>
        <w:autoSpaceDN w:val="0"/>
        <w:spacing w:line="360" w:lineRule="auto"/>
        <w:ind w:right="105" w:rightChars="50" w:firstLine="420" w:firstLineChars="200"/>
        <w:jc w:val="left"/>
        <w:rPr>
          <w:rFonts w:ascii="宋体" w:hAnsi="宋体"/>
          <w:kern w:val="0"/>
          <w:szCs w:val="21"/>
        </w:rPr>
      </w:pPr>
      <w:r>
        <w:rPr>
          <w:rFonts w:hint="eastAsia" w:ascii="宋体" w:hAnsi="宋体"/>
          <w:kern w:val="0"/>
          <w:szCs w:val="21"/>
        </w:rPr>
        <w:t>对发包人索赔的处理如下：</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（1）承包人收到发包人提交的索赔报告后，应及时审查索赔报告的内容、查验发包人证明材料；</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（3）承包人接受索赔处理结果的，发包人可从应支付给承包人的合同价款中扣除赔付的金额或延长缺陷责任期；发包人不接受索赔处理结果的，按第20条〔争议解决〕约定处理。</w:t>
      </w:r>
    </w:p>
    <w:p>
      <w:pPr>
        <w:pStyle w:val="7"/>
        <w:spacing w:before="0" w:beforeAutospacing="0" w:after="0" w:afterAutospacing="0" w:line="360" w:lineRule="auto"/>
        <w:ind w:firstLine="421" w:firstLineChars="200"/>
        <w:rPr>
          <w:sz w:val="21"/>
          <w:szCs w:val="21"/>
        </w:rPr>
      </w:pPr>
      <w:bookmarkStart w:id="2146" w:name="_Toc532377418"/>
      <w:bookmarkStart w:id="2147" w:name="_Toc532375679"/>
      <w:bookmarkStart w:id="2148" w:name="_Hlk528928420"/>
      <w:r>
        <w:rPr>
          <w:rFonts w:hint="eastAsia"/>
          <w:sz w:val="21"/>
          <w:szCs w:val="21"/>
        </w:rPr>
        <w:t>19.5 提出索赔的期限</w:t>
      </w:r>
      <w:bookmarkEnd w:id="2146"/>
      <w:bookmarkEnd w:id="2147"/>
    </w:p>
    <w:p>
      <w:pPr>
        <w:autoSpaceDE w:val="0"/>
        <w:autoSpaceDN w:val="0"/>
        <w:spacing w:line="360" w:lineRule="auto"/>
        <w:ind w:right="105" w:rightChars="50" w:firstLine="420" w:firstLineChars="200"/>
        <w:jc w:val="left"/>
        <w:rPr>
          <w:rFonts w:ascii="宋体" w:hAnsi="宋体"/>
          <w:szCs w:val="21"/>
        </w:rPr>
      </w:pPr>
      <w:bookmarkStart w:id="2149" w:name="_Hlk524298376"/>
      <w:r>
        <w:rPr>
          <w:rFonts w:hint="eastAsia" w:ascii="宋体" w:hAnsi="宋体"/>
          <w:szCs w:val="21"/>
        </w:rPr>
        <w:t>任一索赔事件发生后28天内，承包人/发包人未向对方发出索赔意向通知书的，视为其已放弃索赔权，无权再就该索赔事项提出任何索赔。</w:t>
      </w:r>
    </w:p>
    <w:bookmarkEnd w:id="2135"/>
    <w:bookmarkEnd w:id="2136"/>
    <w:bookmarkEnd w:id="2137"/>
    <w:bookmarkEnd w:id="2138"/>
    <w:bookmarkEnd w:id="2148"/>
    <w:bookmarkEnd w:id="2149"/>
    <w:p>
      <w:pPr>
        <w:pStyle w:val="6"/>
        <w:keepNext/>
        <w:keepLines/>
        <w:spacing w:before="156" w:beforeLines="50" w:beforeAutospacing="0" w:after="156" w:afterLines="50" w:afterAutospacing="0" w:line="360" w:lineRule="auto"/>
        <w:jc w:val="both"/>
        <w:rPr>
          <w:bCs w:val="0"/>
          <w:kern w:val="2"/>
          <w:sz w:val="21"/>
          <w:szCs w:val="21"/>
        </w:rPr>
      </w:pPr>
      <w:bookmarkStart w:id="2150" w:name="_Toc532375680"/>
      <w:bookmarkStart w:id="2151" w:name="_Toc351203651"/>
      <w:bookmarkStart w:id="2152" w:name="_Toc532377419"/>
      <w:r>
        <w:rPr>
          <w:rFonts w:hint="eastAsia"/>
          <w:kern w:val="2"/>
          <w:sz w:val="21"/>
          <w:szCs w:val="21"/>
        </w:rPr>
        <w:t>20. 争议解决</w:t>
      </w:r>
      <w:bookmarkEnd w:id="2150"/>
      <w:bookmarkEnd w:id="2151"/>
      <w:bookmarkEnd w:id="2152"/>
    </w:p>
    <w:p>
      <w:pPr>
        <w:pStyle w:val="7"/>
        <w:spacing w:before="0" w:beforeAutospacing="0" w:after="0" w:afterAutospacing="0" w:line="360" w:lineRule="auto"/>
        <w:ind w:firstLine="421" w:firstLineChars="200"/>
        <w:rPr>
          <w:sz w:val="21"/>
          <w:szCs w:val="21"/>
        </w:rPr>
      </w:pPr>
      <w:bookmarkStart w:id="2153" w:name="_Toc532375681"/>
      <w:bookmarkStart w:id="2154" w:name="_Toc532377420"/>
      <w:r>
        <w:rPr>
          <w:rFonts w:hint="eastAsia"/>
          <w:sz w:val="21"/>
          <w:szCs w:val="21"/>
        </w:rPr>
        <w:t>20.3 争议评审</w:t>
      </w:r>
      <w:bookmarkEnd w:id="2153"/>
      <w:bookmarkEnd w:id="2154"/>
    </w:p>
    <w:p>
      <w:pPr>
        <w:spacing w:line="360" w:lineRule="auto"/>
        <w:ind w:right="105" w:rightChars="50" w:firstLine="420" w:firstLineChars="200"/>
        <w:jc w:val="left"/>
        <w:rPr>
          <w:rFonts w:ascii="宋体" w:hAnsi="宋体"/>
          <w:szCs w:val="21"/>
        </w:rPr>
      </w:pPr>
      <w:r>
        <w:rPr>
          <w:rFonts w:hint="eastAsia" w:ascii="宋体" w:hAnsi="宋体"/>
          <w:szCs w:val="21"/>
        </w:rPr>
        <w:t>合同当事人是否同意将工程争议提交争议评审小组决定：</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1" w:firstLineChars="200"/>
        <w:rPr>
          <w:sz w:val="21"/>
          <w:szCs w:val="21"/>
        </w:rPr>
      </w:pPr>
      <w:bookmarkStart w:id="2155" w:name="_Toc532375682"/>
      <w:bookmarkStart w:id="2156" w:name="_Toc532377421"/>
      <w:r>
        <w:rPr>
          <w:rFonts w:hint="eastAsia"/>
          <w:sz w:val="21"/>
          <w:szCs w:val="21"/>
        </w:rPr>
        <w:t>20.4 仲裁或诉讼</w:t>
      </w:r>
      <w:bookmarkEnd w:id="2155"/>
      <w:bookmarkEnd w:id="2156"/>
    </w:p>
    <w:p>
      <w:pPr>
        <w:spacing w:line="360" w:lineRule="auto"/>
        <w:ind w:right="105" w:rightChars="50" w:firstLine="420" w:firstLineChars="200"/>
        <w:jc w:val="left"/>
        <w:rPr>
          <w:rFonts w:ascii="宋体" w:hAnsi="宋体"/>
          <w:szCs w:val="21"/>
        </w:rPr>
      </w:pPr>
      <w:r>
        <w:rPr>
          <w:rFonts w:hint="eastAsia" w:ascii="宋体" w:hAnsi="宋体"/>
          <w:szCs w:val="21"/>
        </w:rPr>
        <w:t>因合同及合同有关事项发生的争议，按下列第</w:t>
      </w:r>
      <w:r>
        <w:rPr>
          <w:rFonts w:hint="eastAsia" w:ascii="宋体" w:hAnsi="宋体"/>
          <w:szCs w:val="21"/>
          <w:u w:val="single"/>
        </w:rPr>
        <w:t xml:space="preserve">    </w:t>
      </w:r>
      <w:r>
        <w:rPr>
          <w:rFonts w:hint="eastAsia" w:ascii="宋体" w:hAnsi="宋体"/>
          <w:szCs w:val="21"/>
        </w:rPr>
        <w:t>种方式解决：</w:t>
      </w:r>
    </w:p>
    <w:p>
      <w:pPr>
        <w:spacing w:line="360" w:lineRule="auto"/>
        <w:ind w:right="105" w:rightChars="50" w:firstLine="420" w:firstLineChars="200"/>
        <w:jc w:val="left"/>
        <w:rPr>
          <w:rFonts w:ascii="宋体" w:hAnsi="宋体"/>
          <w:szCs w:val="21"/>
        </w:rPr>
      </w:pPr>
      <w:r>
        <w:rPr>
          <w:rFonts w:ascii="宋体" w:hAnsi="宋体"/>
          <w:szCs w:val="21"/>
        </w:rPr>
        <w:t>（1）向</w:t>
      </w:r>
      <w:r>
        <w:rPr>
          <w:rFonts w:ascii="宋体" w:hAnsi="宋体"/>
          <w:szCs w:val="21"/>
          <w:u w:val="single"/>
        </w:rPr>
        <w:t xml:space="preserve">                     </w:t>
      </w:r>
      <w:r>
        <w:rPr>
          <w:rFonts w:ascii="宋体" w:hAnsi="宋体"/>
          <w:szCs w:val="21"/>
        </w:rPr>
        <w:t>仲裁委员会申请仲裁；</w:t>
      </w:r>
    </w:p>
    <w:p>
      <w:pPr>
        <w:spacing w:line="360" w:lineRule="auto"/>
        <w:ind w:right="105" w:rightChars="50" w:firstLine="420" w:firstLineChars="200"/>
        <w:jc w:val="left"/>
        <w:rPr>
          <w:rFonts w:ascii="宋体" w:hAnsi="宋体"/>
          <w:szCs w:val="21"/>
        </w:rPr>
      </w:pPr>
      <w:r>
        <w:rPr>
          <w:rFonts w:ascii="宋体" w:hAnsi="宋体"/>
          <w:szCs w:val="21"/>
        </w:rPr>
        <w:t>（2）向</w:t>
      </w:r>
      <w:r>
        <w:rPr>
          <w:rFonts w:ascii="宋体" w:hAnsi="宋体"/>
          <w:szCs w:val="21"/>
          <w:u w:val="single"/>
        </w:rPr>
        <w:t xml:space="preserve">                     </w:t>
      </w:r>
      <w:r>
        <w:rPr>
          <w:rFonts w:ascii="宋体" w:hAnsi="宋体"/>
          <w:szCs w:val="21"/>
        </w:rPr>
        <w:t>人民法院起诉。</w:t>
      </w:r>
    </w:p>
    <w:p>
      <w:pPr>
        <w:pStyle w:val="6"/>
        <w:keepNext/>
        <w:keepLines/>
        <w:spacing w:before="156" w:beforeLines="50" w:beforeAutospacing="0" w:after="156" w:afterLines="50" w:afterAutospacing="0" w:line="360" w:lineRule="auto"/>
        <w:jc w:val="both"/>
        <w:rPr>
          <w:bCs w:val="0"/>
          <w:kern w:val="2"/>
          <w:sz w:val="21"/>
          <w:szCs w:val="21"/>
        </w:rPr>
      </w:pPr>
      <w:bookmarkStart w:id="2157" w:name="_Toc532375683"/>
      <w:bookmarkStart w:id="2158" w:name="_Toc532377422"/>
      <w:r>
        <w:rPr>
          <w:rFonts w:hint="eastAsia"/>
          <w:kern w:val="2"/>
          <w:sz w:val="21"/>
          <w:szCs w:val="21"/>
        </w:rPr>
        <w:t>21. 补充条款</w:t>
      </w:r>
      <w:bookmarkEnd w:id="2157"/>
      <w:bookmarkEnd w:id="2158"/>
    </w:p>
    <w:p>
      <w:pPr>
        <w:pStyle w:val="7"/>
        <w:spacing w:before="0" w:beforeAutospacing="0" w:after="0" w:afterAutospacing="0" w:line="360" w:lineRule="auto"/>
        <w:ind w:firstLine="421" w:firstLineChars="200"/>
        <w:rPr>
          <w:sz w:val="21"/>
          <w:szCs w:val="21"/>
        </w:rPr>
      </w:pPr>
      <w:bookmarkStart w:id="2159" w:name="_Toc532375684"/>
      <w:bookmarkStart w:id="2160" w:name="_Toc532377423"/>
      <w:r>
        <w:rPr>
          <w:rFonts w:hint="eastAsia"/>
          <w:sz w:val="21"/>
          <w:szCs w:val="21"/>
        </w:rPr>
        <w:t>21.1 退出机制</w:t>
      </w:r>
      <w:bookmarkEnd w:id="2159"/>
      <w:bookmarkEnd w:id="2160"/>
    </w:p>
    <w:p>
      <w:pPr>
        <w:spacing w:line="360" w:lineRule="auto"/>
        <w:ind w:right="105" w:rightChars="50" w:firstLine="420" w:firstLineChars="200"/>
        <w:jc w:val="left"/>
        <w:rPr>
          <w:rFonts w:ascii="宋体" w:hAnsi="宋体"/>
          <w:szCs w:val="21"/>
        </w:rPr>
      </w:pPr>
      <w:r>
        <w:rPr>
          <w:rFonts w:hint="eastAsia" w:ascii="宋体" w:hAnsi="宋体"/>
          <w:szCs w:val="21"/>
        </w:rPr>
        <w:t>21.1.1有下列情形之一的，发包人有权解除合同，亦有权兑付履约担保，并对承包人做清退出场处理</w:t>
      </w:r>
      <w:r>
        <w:rPr>
          <w:rFonts w:hint="eastAsia" w:ascii="宋体" w:hAnsi="宋体"/>
          <w:kern w:val="0"/>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（1）因承包人原因造成较大及以上等级生产安全事故或工程质量事故的；</w:t>
      </w:r>
    </w:p>
    <w:p>
      <w:pPr>
        <w:spacing w:line="360" w:lineRule="auto"/>
        <w:ind w:right="105" w:rightChars="50" w:firstLine="420" w:firstLineChars="200"/>
        <w:jc w:val="left"/>
        <w:rPr>
          <w:rFonts w:ascii="宋体" w:hAnsi="宋体"/>
          <w:kern w:val="0"/>
          <w:szCs w:val="21"/>
        </w:rPr>
      </w:pPr>
      <w:r>
        <w:rPr>
          <w:rFonts w:hint="eastAsia" w:ascii="宋体" w:hAnsi="宋体"/>
          <w:kern w:val="0"/>
          <w:szCs w:val="21"/>
        </w:rPr>
        <w:t>（2）因承包人债权债务纠纷或其他纠纷导致工程无法正常施工的。</w:t>
      </w:r>
    </w:p>
    <w:p>
      <w:pPr>
        <w:spacing w:line="360" w:lineRule="auto"/>
        <w:ind w:right="105" w:rightChars="50" w:firstLine="420" w:firstLineChars="200"/>
        <w:jc w:val="left"/>
        <w:rPr>
          <w:rFonts w:ascii="宋体" w:hAnsi="宋体"/>
          <w:szCs w:val="21"/>
        </w:rPr>
      </w:pPr>
      <w:r>
        <w:rPr>
          <w:rFonts w:hint="eastAsia" w:ascii="宋体" w:hAnsi="宋体"/>
          <w:kern w:val="0"/>
          <w:szCs w:val="21"/>
        </w:rPr>
        <w:t>（3）</w:t>
      </w:r>
      <w:r>
        <w:rPr>
          <w:rFonts w:hint="eastAsia" w:ascii="宋体" w:hAnsi="宋体"/>
          <w:kern w:val="0"/>
          <w:szCs w:val="21"/>
          <w:u w:val="single"/>
        </w:rPr>
        <w:t xml:space="preserve">        </w:t>
      </w:r>
      <w:r>
        <w:rPr>
          <w:rFonts w:hint="eastAsia" w:ascii="宋体" w:hAnsi="宋体"/>
          <w:kern w:val="0"/>
          <w:szCs w:val="21"/>
        </w:rPr>
        <w:t>。</w:t>
      </w:r>
    </w:p>
    <w:p>
      <w:pPr>
        <w:pStyle w:val="2"/>
        <w:spacing w:after="0" w:line="360" w:lineRule="auto"/>
        <w:ind w:firstLine="420" w:firstLineChars="200"/>
        <w:rPr>
          <w:rFonts w:ascii="宋体" w:hAnsi="宋体"/>
          <w:szCs w:val="21"/>
        </w:rPr>
      </w:pPr>
      <w:r>
        <w:rPr>
          <w:rFonts w:hint="eastAsia" w:ascii="宋体" w:hAnsi="宋体"/>
          <w:szCs w:val="21"/>
        </w:rPr>
        <w:t>21.1.2有下列情形之一的，承包人有权解除合同，并按16.1.4约定执行：</w:t>
      </w:r>
    </w:p>
    <w:p>
      <w:pPr>
        <w:pStyle w:val="2"/>
        <w:spacing w:after="0" w:line="360" w:lineRule="auto"/>
        <w:ind w:right="105" w:rightChars="50" w:firstLine="420" w:firstLineChars="200"/>
        <w:jc w:val="left"/>
        <w:rPr>
          <w:rFonts w:ascii="宋体" w:hAnsi="宋体"/>
          <w:szCs w:val="21"/>
        </w:rPr>
      </w:pPr>
      <w:r>
        <w:rPr>
          <w:rFonts w:hint="eastAsia" w:ascii="宋体" w:hAnsi="宋体"/>
          <w:szCs w:val="21"/>
        </w:rPr>
        <w:t>（1）因发包人征地、拆迁、补偿、审批手续等原因致使本工程延期开工超过90天的。</w:t>
      </w:r>
    </w:p>
    <w:p>
      <w:pPr>
        <w:spacing w:line="360" w:lineRule="auto"/>
        <w:ind w:right="105" w:rightChars="50" w:firstLine="420" w:firstLineChars="200"/>
        <w:jc w:val="left"/>
        <w:rPr>
          <w:rFonts w:ascii="宋体" w:hAnsi="宋体"/>
          <w:szCs w:val="21"/>
        </w:rPr>
      </w:pPr>
      <w:r>
        <w:rPr>
          <w:rFonts w:hint="eastAsia" w:ascii="宋体" w:hAnsi="宋体"/>
          <w:kern w:val="0"/>
          <w:szCs w:val="21"/>
        </w:rPr>
        <w:t>（2）</w:t>
      </w:r>
      <w:r>
        <w:rPr>
          <w:rFonts w:hint="eastAsia" w:ascii="宋体" w:hAnsi="宋体"/>
          <w:kern w:val="0"/>
          <w:szCs w:val="21"/>
          <w:u w:val="single"/>
        </w:rPr>
        <w:t xml:space="preserve">        </w:t>
      </w:r>
      <w:r>
        <w:rPr>
          <w:rFonts w:hint="eastAsia" w:ascii="宋体" w:hAnsi="宋体"/>
          <w:kern w:val="0"/>
          <w:szCs w:val="21"/>
        </w:rPr>
        <w:t>。</w:t>
      </w:r>
    </w:p>
    <w:p>
      <w:pPr>
        <w:pStyle w:val="7"/>
        <w:spacing w:before="0" w:beforeAutospacing="0" w:after="0" w:afterAutospacing="0" w:line="360" w:lineRule="auto"/>
        <w:ind w:firstLine="421" w:firstLineChars="200"/>
        <w:rPr>
          <w:sz w:val="21"/>
          <w:szCs w:val="21"/>
        </w:rPr>
      </w:pPr>
      <w:bookmarkStart w:id="2161" w:name="_Toc532375685"/>
      <w:bookmarkStart w:id="2162" w:name="_Toc532377424"/>
      <w:r>
        <w:rPr>
          <w:rFonts w:hint="eastAsia"/>
          <w:sz w:val="21"/>
          <w:szCs w:val="21"/>
        </w:rPr>
        <w:t>21.2智慧工地</w:t>
      </w:r>
      <w:bookmarkEnd w:id="2161"/>
      <w:bookmarkEnd w:id="2162"/>
    </w:p>
    <w:p>
      <w:pPr>
        <w:spacing w:line="360" w:lineRule="auto"/>
        <w:ind w:right="105" w:rightChars="50" w:firstLine="420" w:firstLineChars="200"/>
        <w:jc w:val="left"/>
        <w:rPr>
          <w:rFonts w:ascii="宋体" w:hAnsi="宋体"/>
          <w:szCs w:val="21"/>
        </w:rPr>
      </w:pPr>
      <w:r>
        <w:rPr>
          <w:rFonts w:hint="eastAsia" w:ascii="宋体" w:hAnsi="宋体"/>
          <w:szCs w:val="21"/>
        </w:rPr>
        <w:t>工地建设可参照</w:t>
      </w:r>
      <w:r>
        <w:rPr>
          <w:rFonts w:hint="eastAsia" w:ascii="宋体" w:hAnsi="宋体"/>
          <w:szCs w:val="21"/>
          <w:u w:val="single"/>
        </w:rPr>
        <w:t>重庆市城乡建设委员会《关于印发“智慧工地”建设工作方案的通知》（渝建〔2017〕414号）</w:t>
      </w:r>
      <w:r>
        <w:rPr>
          <w:rFonts w:hint="eastAsia" w:ascii="宋体" w:hAnsi="宋体"/>
          <w:szCs w:val="21"/>
        </w:rPr>
        <w:t>的相关要求建设。</w:t>
      </w:r>
      <w:bookmarkEnd w:id="2103"/>
    </w:p>
    <w:p>
      <w:pPr>
        <w:pStyle w:val="7"/>
        <w:spacing w:before="0" w:beforeAutospacing="0" w:after="0" w:afterAutospacing="0" w:line="360" w:lineRule="auto"/>
        <w:ind w:firstLine="421" w:firstLineChars="200"/>
        <w:rPr>
          <w:sz w:val="21"/>
          <w:szCs w:val="21"/>
        </w:rPr>
      </w:pPr>
      <w:r>
        <w:rPr>
          <w:rFonts w:hint="eastAsia"/>
          <w:sz w:val="21"/>
          <w:szCs w:val="21"/>
        </w:rPr>
        <w:t>21.</w:t>
      </w:r>
      <w:r>
        <w:rPr>
          <w:rFonts w:hint="eastAsia"/>
          <w:sz w:val="21"/>
          <w:szCs w:val="21"/>
          <w:lang w:val="en-US" w:eastAsia="zh-CN"/>
        </w:rPr>
        <w:t>3</w:t>
      </w:r>
      <w:r>
        <w:rPr>
          <w:rFonts w:hint="eastAsia"/>
          <w:sz w:val="21"/>
          <w:szCs w:val="21"/>
        </w:rPr>
        <w:t xml:space="preserve"> </w:t>
      </w:r>
      <w:r>
        <w:rPr>
          <w:rFonts w:hint="eastAsia"/>
          <w:sz w:val="21"/>
          <w:szCs w:val="21"/>
          <w:u w:val="single"/>
        </w:rPr>
        <w:t xml:space="preserve">       </w:t>
      </w:r>
    </w:p>
    <w:p>
      <w:pPr>
        <w:pStyle w:val="6"/>
        <w:keepNext/>
        <w:keepLines/>
        <w:spacing w:before="156" w:beforeLines="50" w:beforeAutospacing="0" w:after="156" w:afterLines="50" w:afterAutospacing="0" w:line="360" w:lineRule="auto"/>
        <w:jc w:val="both"/>
        <w:rPr>
          <w:bCs w:val="0"/>
          <w:kern w:val="2"/>
          <w:sz w:val="21"/>
          <w:szCs w:val="21"/>
        </w:rPr>
      </w:pPr>
      <w:bookmarkStart w:id="2163" w:name="baidusnap7"/>
      <w:bookmarkEnd w:id="2163"/>
      <w:bookmarkStart w:id="2164" w:name="baidusnap3"/>
      <w:bookmarkEnd w:id="2164"/>
      <w:bookmarkStart w:id="2165" w:name="_Toc532377425"/>
      <w:bookmarkStart w:id="2166" w:name="_Toc532375686"/>
      <w:bookmarkStart w:id="2167" w:name="_Toc351203652"/>
      <w:r>
        <w:rPr>
          <w:rFonts w:hint="eastAsia"/>
          <w:kern w:val="2"/>
          <w:sz w:val="21"/>
          <w:szCs w:val="21"/>
        </w:rPr>
        <w:t>22. 合同附件</w:t>
      </w:r>
      <w:bookmarkEnd w:id="2165"/>
      <w:bookmarkEnd w:id="2166"/>
    </w:p>
    <w:p>
      <w:pPr>
        <w:spacing w:line="360" w:lineRule="auto"/>
        <w:ind w:right="105" w:rightChars="50" w:firstLine="420" w:firstLineChars="200"/>
        <w:jc w:val="left"/>
        <w:rPr>
          <w:rFonts w:ascii="宋体" w:hAnsi="宋体"/>
        </w:rPr>
      </w:pPr>
      <w:r>
        <w:rPr>
          <w:rFonts w:hint="eastAsia" w:ascii="宋体" w:hAnsi="宋体"/>
        </w:rPr>
        <w:t>以下附件是本合同的有效组成部分：</w:t>
      </w:r>
    </w:p>
    <w:p>
      <w:pPr>
        <w:spacing w:line="360" w:lineRule="auto"/>
        <w:ind w:right="105" w:rightChars="50" w:firstLine="420" w:firstLineChars="200"/>
        <w:jc w:val="left"/>
        <w:rPr>
          <w:rFonts w:ascii="宋体" w:hAnsi="宋体"/>
          <w:szCs w:val="21"/>
        </w:rPr>
      </w:pPr>
      <w:r>
        <w:rPr>
          <w:rFonts w:hint="eastAsia" w:ascii="宋体" w:hAnsi="宋体"/>
          <w:szCs w:val="21"/>
        </w:rPr>
        <w:t>附件1：工程质量保修书</w:t>
      </w:r>
    </w:p>
    <w:p>
      <w:pPr>
        <w:spacing w:line="360" w:lineRule="auto"/>
        <w:ind w:right="105" w:rightChars="50" w:firstLine="420" w:firstLineChars="200"/>
        <w:jc w:val="left"/>
        <w:rPr>
          <w:rFonts w:ascii="宋体" w:hAnsi="宋体"/>
          <w:szCs w:val="21"/>
        </w:rPr>
      </w:pPr>
      <w:r>
        <w:rPr>
          <w:rFonts w:hint="eastAsia" w:ascii="宋体" w:hAnsi="宋体"/>
          <w:szCs w:val="21"/>
        </w:rPr>
        <w:t>附件2：主要建设工程文件目录</w:t>
      </w:r>
    </w:p>
    <w:p>
      <w:pPr>
        <w:spacing w:line="360" w:lineRule="auto"/>
        <w:ind w:right="105" w:rightChars="50" w:firstLine="420" w:firstLineChars="200"/>
        <w:jc w:val="left"/>
        <w:rPr>
          <w:rFonts w:ascii="宋体" w:hAnsi="宋体"/>
          <w:szCs w:val="21"/>
        </w:rPr>
      </w:pPr>
      <w:r>
        <w:rPr>
          <w:rFonts w:hint="eastAsia" w:ascii="宋体" w:hAnsi="宋体"/>
          <w:szCs w:val="21"/>
        </w:rPr>
        <w:t>附件3：承包人项目管理机构组成表</w:t>
      </w:r>
    </w:p>
    <w:p>
      <w:pPr>
        <w:spacing w:line="360" w:lineRule="auto"/>
        <w:ind w:right="105" w:rightChars="50" w:firstLine="420" w:firstLineChars="200"/>
        <w:jc w:val="left"/>
        <w:rPr>
          <w:rFonts w:ascii="宋体" w:hAnsi="宋体"/>
          <w:szCs w:val="21"/>
        </w:rPr>
      </w:pPr>
      <w:r>
        <w:rPr>
          <w:rFonts w:hint="eastAsia" w:ascii="宋体" w:hAnsi="宋体"/>
          <w:szCs w:val="21"/>
        </w:rPr>
        <w:t>附件4：履约</w:t>
      </w:r>
      <w:r>
        <w:rPr>
          <w:rFonts w:ascii="宋体" w:hAnsi="宋体"/>
          <w:szCs w:val="21"/>
        </w:rPr>
        <w:t>担保</w:t>
      </w:r>
      <w:r>
        <w:rPr>
          <w:rFonts w:hint="eastAsia" w:ascii="宋体" w:hAnsi="宋体"/>
          <w:szCs w:val="21"/>
        </w:rPr>
        <w:t>（如有）</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5</w:t>
      </w:r>
      <w:r>
        <w:rPr>
          <w:rFonts w:hint="eastAsia" w:ascii="宋体" w:hAnsi="宋体"/>
          <w:szCs w:val="21"/>
        </w:rPr>
        <w:t>：预付款担保（如有）</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6</w:t>
      </w:r>
      <w:r>
        <w:rPr>
          <w:rFonts w:hint="eastAsia" w:ascii="宋体" w:hAnsi="宋体"/>
          <w:szCs w:val="21"/>
        </w:rPr>
        <w:t>：支付担保（如有）</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：专业工程暂估价表</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：廉洁从业协议</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9</w:t>
      </w:r>
      <w:r>
        <w:rPr>
          <w:rFonts w:hint="eastAsia" w:ascii="宋体" w:hAnsi="宋体"/>
          <w:szCs w:val="21"/>
        </w:rPr>
        <w:t>：安全管理协议</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：保障农民工工资支付协议</w:t>
      </w:r>
    </w:p>
    <w:p>
      <w:pPr>
        <w:spacing w:line="360" w:lineRule="auto"/>
        <w:ind w:right="105" w:rightChars="50" w:firstLine="420" w:firstLineChars="200"/>
        <w:jc w:val="left"/>
        <w:rPr>
          <w:rFonts w:hint="default" w:ascii="宋体" w:hAnsi="宋体" w:eastAsia="宋体"/>
          <w:szCs w:val="21"/>
          <w:lang w:val="en-US" w:eastAsia="zh-CN"/>
        </w:rPr>
      </w:pPr>
      <w:r>
        <w:rPr>
          <w:rFonts w:hint="eastAsia" w:ascii="宋体" w:hAnsi="宋体"/>
          <w:szCs w:val="21"/>
          <w:lang w:val="en-US" w:eastAsia="zh-CN"/>
        </w:rPr>
        <w:t>附件11：质量保证金保函（如有）</w:t>
      </w:r>
    </w:p>
    <w:bookmarkEnd w:id="2167"/>
    <w:p>
      <w:pPr>
        <w:spacing w:line="360" w:lineRule="auto"/>
        <w:rPr>
          <w:rFonts w:ascii="宋体" w:hAnsi="宋体"/>
          <w:szCs w:val="21"/>
        </w:rPr>
      </w:pPr>
      <w:r>
        <w:rPr>
          <w:rFonts w:hint="eastAsia" w:ascii="宋体" w:hAnsi="宋体"/>
          <w:szCs w:val="21"/>
        </w:rPr>
        <w:br w:type="page"/>
      </w:r>
      <w:r>
        <w:rPr>
          <w:rFonts w:hint="eastAsia" w:ascii="宋体" w:hAnsi="宋体"/>
          <w:szCs w:val="21"/>
        </w:rPr>
        <w:t>附</w:t>
      </w:r>
      <w:bookmarkStart w:id="2168" w:name="_Toc296891054"/>
      <w:bookmarkStart w:id="2169" w:name="_Toc296347225"/>
      <w:bookmarkStart w:id="2170" w:name="_Toc267261693"/>
      <w:bookmarkStart w:id="2171" w:name="_Toc296346727"/>
      <w:bookmarkStart w:id="2172" w:name="_Toc296944565"/>
      <w:bookmarkStart w:id="2173" w:name="_Toc296891266"/>
      <w:bookmarkStart w:id="2174" w:name="_Toc296503226"/>
      <w:r>
        <w:rPr>
          <w:rFonts w:hint="eastAsia" w:ascii="宋体" w:hAnsi="宋体"/>
          <w:szCs w:val="21"/>
        </w:rPr>
        <w:t>件1：</w:t>
      </w:r>
      <w:bookmarkEnd w:id="2168"/>
      <w:bookmarkEnd w:id="2169"/>
      <w:bookmarkEnd w:id="2170"/>
      <w:bookmarkEnd w:id="2171"/>
      <w:bookmarkEnd w:id="2172"/>
      <w:bookmarkEnd w:id="2173"/>
      <w:bookmarkEnd w:id="2174"/>
    </w:p>
    <w:p>
      <w:pPr>
        <w:spacing w:before="156" w:beforeLines="50" w:after="156" w:afterLines="50" w:line="360" w:lineRule="auto"/>
        <w:jc w:val="center"/>
        <w:rPr>
          <w:rFonts w:ascii="宋体" w:hAnsi="宋体"/>
          <w:szCs w:val="21"/>
        </w:rPr>
      </w:pPr>
      <w:r>
        <w:rPr>
          <w:rFonts w:hint="eastAsia" w:ascii="宋体" w:hAnsi="宋体"/>
          <w:szCs w:val="21"/>
        </w:rPr>
        <w:t>工程质量保修书</w:t>
      </w:r>
    </w:p>
    <w:p>
      <w:pPr>
        <w:snapToGrid w:val="0"/>
        <w:spacing w:line="360" w:lineRule="auto"/>
        <w:ind w:firstLine="421"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1"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ascii="宋体" w:hAnsi="宋体"/>
          <w:szCs w:val="21"/>
        </w:rPr>
      </w:pPr>
      <w:r>
        <w:rPr>
          <w:rFonts w:hint="eastAsia" w:ascii="宋体" w:hAnsi="宋体"/>
          <w:szCs w:val="21"/>
        </w:rPr>
        <w:t>发包人和承包人根据《中华人民共和国建筑法》和《建设工程质量管理条例》，经协商一致就</w:t>
      </w:r>
    </w:p>
    <w:p>
      <w:pPr>
        <w:spacing w:line="360" w:lineRule="auto"/>
        <w:rPr>
          <w:rFonts w:ascii="宋体" w:hAnsi="宋体"/>
          <w:szCs w:val="21"/>
        </w:rPr>
      </w:pPr>
      <w:r>
        <w:rPr>
          <w:rFonts w:hint="eastAsia" w:ascii="宋体" w:hAnsi="宋体"/>
          <w:szCs w:val="21"/>
          <w:u w:val="single"/>
        </w:rPr>
        <w:t xml:space="preserve">        </w:t>
      </w:r>
      <w:r>
        <w:rPr>
          <w:rFonts w:hint="eastAsia" w:ascii="宋体" w:hAnsi="宋体"/>
          <w:szCs w:val="21"/>
        </w:rPr>
        <w:t>（工程全称）签订工程质量保修书。</w:t>
      </w:r>
    </w:p>
    <w:p>
      <w:pPr>
        <w:spacing w:line="360" w:lineRule="auto"/>
        <w:ind w:firstLine="420" w:firstLineChars="200"/>
        <w:rPr>
          <w:rFonts w:ascii="宋体" w:hAnsi="宋体"/>
          <w:szCs w:val="21"/>
        </w:rPr>
      </w:pPr>
      <w:bookmarkStart w:id="2175" w:name="_Toc532375687"/>
      <w:r>
        <w:rPr>
          <w:rFonts w:hint="eastAsia" w:ascii="宋体" w:hAnsi="宋体"/>
          <w:szCs w:val="21"/>
        </w:rPr>
        <w:t>一、工程质量保修范围和内容</w:t>
      </w:r>
      <w:bookmarkEnd w:id="2175"/>
    </w:p>
    <w:p>
      <w:pPr>
        <w:spacing w:line="360" w:lineRule="auto"/>
        <w:ind w:firstLine="420" w:firstLineChars="200"/>
        <w:rPr>
          <w:rFonts w:ascii="宋体" w:hAnsi="宋体"/>
          <w:szCs w:val="21"/>
        </w:rPr>
      </w:pPr>
      <w:r>
        <w:rPr>
          <w:rFonts w:hint="eastAsia" w:ascii="宋体" w:hAnsi="宋体"/>
          <w:szCs w:val="21"/>
        </w:rPr>
        <w:t>承包人在质量保修期内，按照有关法律规定和合同约定，承担工程质量保修责任。</w:t>
      </w:r>
    </w:p>
    <w:p>
      <w:pPr>
        <w:spacing w:line="360" w:lineRule="auto"/>
        <w:ind w:firstLine="420" w:firstLineChars="200"/>
        <w:rPr>
          <w:rFonts w:ascii="宋体" w:hAnsi="宋体"/>
          <w:szCs w:val="21"/>
        </w:rPr>
      </w:pPr>
      <w:r>
        <w:rPr>
          <w:rFonts w:hint="eastAsia" w:ascii="宋体" w:hAnsi="宋体"/>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ind w:firstLine="420" w:firstLineChars="200"/>
        <w:rPr>
          <w:rFonts w:ascii="宋体" w:hAnsi="宋体"/>
          <w:szCs w:val="21"/>
        </w:rPr>
      </w:pPr>
      <w:r>
        <w:rPr>
          <w:rFonts w:hint="eastAsia" w:ascii="宋体" w:hAnsi="宋体"/>
          <w:szCs w:val="21"/>
        </w:rPr>
        <w:t>承包人承包范围内容均属质量保修范围内容；其中：</w:t>
      </w:r>
    </w:p>
    <w:p>
      <w:pPr>
        <w:spacing w:line="360" w:lineRule="auto"/>
        <w:ind w:firstLine="420" w:firstLineChars="200"/>
        <w:rPr>
          <w:rFonts w:ascii="宋体" w:hAnsi="宋体"/>
          <w:szCs w:val="21"/>
        </w:rPr>
      </w:pPr>
      <w:r>
        <w:rPr>
          <w:rFonts w:hint="eastAsia" w:ascii="宋体" w:hAnsi="宋体"/>
          <w:szCs w:val="21"/>
        </w:rPr>
        <w:t>1.属于设计原因造成的质量问题，承包人负责维修，不留隐患，费用由发包人承担；</w:t>
      </w:r>
    </w:p>
    <w:p>
      <w:pPr>
        <w:spacing w:line="360" w:lineRule="auto"/>
        <w:ind w:firstLine="420" w:firstLineChars="200"/>
        <w:rPr>
          <w:rFonts w:ascii="宋体" w:hAnsi="宋体"/>
          <w:szCs w:val="21"/>
        </w:rPr>
      </w:pPr>
      <w:r>
        <w:rPr>
          <w:rFonts w:hint="eastAsia" w:ascii="宋体" w:hAnsi="宋体"/>
          <w:szCs w:val="21"/>
        </w:rPr>
        <w:t>2.属于施工造成的质量问题，承包人负责维修，不留隐患；</w:t>
      </w:r>
    </w:p>
    <w:p>
      <w:pPr>
        <w:spacing w:line="360" w:lineRule="auto"/>
        <w:ind w:firstLine="420" w:firstLineChars="200"/>
        <w:rPr>
          <w:rFonts w:ascii="宋体" w:hAnsi="宋体"/>
          <w:szCs w:val="21"/>
        </w:rPr>
      </w:pPr>
      <w:r>
        <w:rPr>
          <w:rFonts w:hint="eastAsia" w:ascii="宋体" w:hAnsi="宋体"/>
          <w:szCs w:val="21"/>
        </w:rPr>
        <w:t>3.属于业主使用不当造成的质量问题，配合抢修，费用由发包人承担。</w:t>
      </w:r>
    </w:p>
    <w:p>
      <w:pPr>
        <w:spacing w:line="360" w:lineRule="auto"/>
        <w:ind w:firstLine="420" w:firstLineChars="200"/>
        <w:rPr>
          <w:rFonts w:ascii="宋体" w:hAnsi="宋体"/>
          <w:szCs w:val="21"/>
        </w:rPr>
      </w:pPr>
      <w:bookmarkStart w:id="2176" w:name="_Toc532375688"/>
      <w:r>
        <w:rPr>
          <w:rFonts w:hint="eastAsia" w:ascii="宋体" w:hAnsi="宋体"/>
          <w:szCs w:val="21"/>
        </w:rPr>
        <w:t>二、质量保修期</w:t>
      </w:r>
      <w:bookmarkEnd w:id="2176"/>
    </w:p>
    <w:p>
      <w:pPr>
        <w:spacing w:line="360" w:lineRule="auto"/>
        <w:ind w:firstLine="420" w:firstLineChars="200"/>
        <w:rPr>
          <w:rFonts w:ascii="宋体" w:hAnsi="宋体"/>
          <w:szCs w:val="21"/>
        </w:rPr>
      </w:pPr>
      <w:r>
        <w:rPr>
          <w:rFonts w:hint="eastAsia" w:ascii="宋体" w:hAnsi="宋体"/>
          <w:szCs w:val="21"/>
        </w:rPr>
        <w:t>根据《建设工程质量管理条例》及有关规定，本工程质量保修期约定如下：</w:t>
      </w:r>
    </w:p>
    <w:p>
      <w:pPr>
        <w:spacing w:line="360" w:lineRule="auto"/>
        <w:ind w:firstLine="420" w:firstLineChars="200"/>
        <w:rPr>
          <w:rFonts w:ascii="宋体" w:hAnsi="宋体"/>
          <w:szCs w:val="21"/>
        </w:rPr>
      </w:pPr>
      <w:r>
        <w:rPr>
          <w:rFonts w:hint="eastAsia" w:ascii="宋体" w:hAnsi="宋体"/>
          <w:szCs w:val="21"/>
        </w:rPr>
        <w:t>1.基础设施工程、房屋建筑的地基基础工程和主体结构工程，为设计文件规定的该工程的合理使用年限；</w:t>
      </w:r>
    </w:p>
    <w:p>
      <w:pPr>
        <w:spacing w:line="360" w:lineRule="auto"/>
        <w:ind w:firstLine="420" w:firstLineChars="200"/>
        <w:rPr>
          <w:rFonts w:ascii="宋体" w:hAnsi="宋体"/>
          <w:szCs w:val="21"/>
        </w:rPr>
      </w:pPr>
      <w:r>
        <w:rPr>
          <w:rFonts w:hint="eastAsia" w:ascii="宋体" w:hAnsi="宋体"/>
          <w:szCs w:val="21"/>
        </w:rPr>
        <w:t>2.屋面防水工程、有防水要求的卫生间、房间和外墙面的防渗漏，为5年；</w:t>
      </w:r>
    </w:p>
    <w:p>
      <w:pPr>
        <w:spacing w:line="360" w:lineRule="auto"/>
        <w:ind w:firstLine="420" w:firstLineChars="200"/>
        <w:rPr>
          <w:rFonts w:ascii="宋体" w:hAnsi="宋体"/>
          <w:szCs w:val="21"/>
        </w:rPr>
      </w:pPr>
      <w:r>
        <w:rPr>
          <w:rFonts w:hint="eastAsia" w:ascii="宋体" w:hAnsi="宋体"/>
          <w:szCs w:val="21"/>
        </w:rPr>
        <w:t>3.供热与供冷系统，为2个采暖期、供冷期；</w:t>
      </w:r>
    </w:p>
    <w:p>
      <w:pPr>
        <w:spacing w:line="360" w:lineRule="auto"/>
        <w:ind w:firstLine="420" w:firstLineChars="200"/>
        <w:rPr>
          <w:rFonts w:ascii="宋体" w:hAnsi="宋体"/>
          <w:szCs w:val="21"/>
        </w:rPr>
      </w:pPr>
      <w:r>
        <w:rPr>
          <w:rFonts w:hint="eastAsia" w:ascii="宋体" w:hAnsi="宋体"/>
          <w:szCs w:val="21"/>
        </w:rPr>
        <w:t>4.电气管线、给排水管道、设备安装和装修工程，为2年；</w:t>
      </w:r>
    </w:p>
    <w:p>
      <w:pPr>
        <w:spacing w:line="360" w:lineRule="auto"/>
        <w:ind w:firstLine="420" w:firstLineChars="200"/>
        <w:rPr>
          <w:rFonts w:ascii="宋体" w:hAnsi="宋体"/>
          <w:szCs w:val="21"/>
        </w:rPr>
      </w:pPr>
      <w:r>
        <w:rPr>
          <w:rFonts w:hint="eastAsia" w:ascii="宋体" w:hAnsi="宋体"/>
          <w:szCs w:val="21"/>
        </w:rPr>
        <w:t>5.其他项目保修期限：</w:t>
      </w:r>
      <w:r>
        <w:rPr>
          <w:rFonts w:hint="eastAsia" w:ascii="宋体" w:hAnsi="宋体"/>
          <w:szCs w:val="21"/>
          <w:u w:val="single"/>
        </w:rPr>
        <w:t>2年</w:t>
      </w:r>
      <w:r>
        <w:rPr>
          <w:rFonts w:hint="eastAsia" w:ascii="宋体" w:hAnsi="宋体"/>
          <w:szCs w:val="21"/>
        </w:rPr>
        <w:t>；</w:t>
      </w:r>
      <w:r>
        <w:rPr>
          <w:rFonts w:hint="eastAsia" w:ascii="宋体" w:hAnsi="宋体"/>
          <w:i/>
          <w:szCs w:val="21"/>
        </w:rPr>
        <w:t>[提示：如有不同，根据具体情况修改]</w:t>
      </w:r>
    </w:p>
    <w:p>
      <w:pPr>
        <w:spacing w:line="360" w:lineRule="auto"/>
        <w:ind w:firstLine="420" w:firstLineChars="200"/>
        <w:rPr>
          <w:rFonts w:ascii="宋体" w:hAnsi="宋体"/>
          <w:szCs w:val="21"/>
        </w:rPr>
      </w:pPr>
      <w:r>
        <w:rPr>
          <w:rFonts w:hint="eastAsia" w:ascii="宋体" w:hAnsi="宋体"/>
          <w:szCs w:val="21"/>
        </w:rPr>
        <w:t>建设工程的保修期，自工程竣工验收合格之日起计算。</w:t>
      </w:r>
    </w:p>
    <w:p>
      <w:pPr>
        <w:spacing w:line="360" w:lineRule="auto"/>
        <w:ind w:firstLine="420" w:firstLineChars="200"/>
        <w:rPr>
          <w:rFonts w:ascii="宋体" w:hAnsi="宋体"/>
          <w:szCs w:val="21"/>
        </w:rPr>
      </w:pPr>
      <w:bookmarkStart w:id="2177" w:name="_Toc532375689"/>
      <w:r>
        <w:rPr>
          <w:rFonts w:hint="eastAsia" w:ascii="宋体" w:hAnsi="宋体"/>
          <w:szCs w:val="21"/>
        </w:rPr>
        <w:t>三、质量保修责任</w:t>
      </w:r>
      <w:bookmarkEnd w:id="2177"/>
    </w:p>
    <w:p>
      <w:pPr>
        <w:spacing w:line="360" w:lineRule="auto"/>
        <w:ind w:firstLine="420" w:firstLineChars="200"/>
        <w:rPr>
          <w:rFonts w:ascii="宋体" w:hAnsi="宋体"/>
          <w:szCs w:val="21"/>
        </w:rPr>
      </w:pPr>
      <w:r>
        <w:rPr>
          <w:rFonts w:hint="eastAsia" w:ascii="宋体" w:hAnsi="宋体"/>
          <w:szCs w:val="21"/>
        </w:rPr>
        <w:t>1.属于保修范围、内容的项目，承包人应当在接到保修通知之日起7天内派人保修。承包人不在约定期限内派人保修的，发包人可以委托他人修理。</w:t>
      </w:r>
    </w:p>
    <w:p>
      <w:pPr>
        <w:spacing w:line="360" w:lineRule="auto"/>
        <w:ind w:firstLine="420" w:firstLineChars="200"/>
        <w:rPr>
          <w:rFonts w:ascii="宋体" w:hAnsi="宋体"/>
          <w:szCs w:val="21"/>
        </w:rPr>
      </w:pPr>
      <w:r>
        <w:rPr>
          <w:rFonts w:hint="eastAsia" w:ascii="宋体" w:hAnsi="宋体"/>
          <w:szCs w:val="21"/>
        </w:rPr>
        <w:t>2.发生紧急事故需抢修的，承包人在接到事故通知后，应当立即到达事故现场抢修。</w:t>
      </w:r>
    </w:p>
    <w:p>
      <w:pPr>
        <w:spacing w:line="360" w:lineRule="auto"/>
        <w:ind w:firstLine="420" w:firstLineChars="200"/>
        <w:rPr>
          <w:rFonts w:ascii="宋体" w:hAnsi="宋体"/>
          <w:szCs w:val="21"/>
        </w:rPr>
      </w:pPr>
      <w:r>
        <w:rPr>
          <w:rFonts w:hint="eastAsia" w:ascii="宋体" w:hAnsi="宋体"/>
          <w:szCs w:val="21"/>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spacing w:line="360" w:lineRule="auto"/>
        <w:ind w:firstLine="420" w:firstLineChars="200"/>
        <w:rPr>
          <w:rFonts w:ascii="宋体" w:hAnsi="宋体"/>
          <w:szCs w:val="21"/>
        </w:rPr>
      </w:pPr>
      <w:r>
        <w:rPr>
          <w:rFonts w:hint="eastAsia" w:ascii="宋体" w:hAnsi="宋体"/>
          <w:szCs w:val="21"/>
        </w:rPr>
        <w:t>4.质量保修完成后，由发包人组织验收。</w:t>
      </w:r>
    </w:p>
    <w:p>
      <w:pPr>
        <w:spacing w:line="360" w:lineRule="auto"/>
        <w:ind w:firstLine="420" w:firstLineChars="200"/>
        <w:rPr>
          <w:rFonts w:ascii="宋体" w:hAnsi="宋体"/>
          <w:szCs w:val="21"/>
        </w:rPr>
      </w:pPr>
      <w:bookmarkStart w:id="2178" w:name="_Toc532375690"/>
      <w:r>
        <w:rPr>
          <w:rFonts w:hint="eastAsia" w:ascii="宋体" w:hAnsi="宋体"/>
          <w:szCs w:val="21"/>
        </w:rPr>
        <w:t>四、保修费用</w:t>
      </w:r>
      <w:bookmarkEnd w:id="2178"/>
    </w:p>
    <w:p>
      <w:pPr>
        <w:spacing w:line="360" w:lineRule="auto"/>
        <w:ind w:firstLine="420" w:firstLineChars="200"/>
        <w:rPr>
          <w:rFonts w:ascii="宋体" w:hAnsi="宋体"/>
          <w:szCs w:val="21"/>
        </w:rPr>
      </w:pPr>
      <w:r>
        <w:rPr>
          <w:rFonts w:hint="eastAsia" w:ascii="宋体" w:hAnsi="宋体"/>
          <w:szCs w:val="21"/>
        </w:rPr>
        <w:t>保修费用由质量缺陷的责任方承担。</w:t>
      </w:r>
    </w:p>
    <w:p>
      <w:pPr>
        <w:spacing w:line="360" w:lineRule="auto"/>
        <w:ind w:firstLine="420" w:firstLineChars="200"/>
        <w:rPr>
          <w:rFonts w:ascii="宋体" w:hAnsi="宋体"/>
          <w:szCs w:val="21"/>
        </w:rPr>
      </w:pPr>
      <w:bookmarkStart w:id="2179" w:name="_Toc532375691"/>
      <w:r>
        <w:rPr>
          <w:rFonts w:hint="eastAsia" w:ascii="宋体" w:hAnsi="宋体"/>
          <w:szCs w:val="21"/>
        </w:rPr>
        <w:t>五、双方约定的其他工程质量保修事项</w:t>
      </w:r>
    </w:p>
    <w:p>
      <w:pPr>
        <w:spacing w:line="360" w:lineRule="auto"/>
        <w:ind w:firstLine="420" w:firstLineChars="200"/>
        <w:rPr>
          <w:rFonts w:ascii="宋体" w:hAnsi="宋体"/>
          <w:szCs w:val="21"/>
        </w:rPr>
      </w:pPr>
      <w:r>
        <w:rPr>
          <w:rFonts w:hint="eastAsia" w:ascii="宋体" w:hAnsi="宋体"/>
          <w:szCs w:val="21"/>
          <w:u w:val="single"/>
        </w:rPr>
        <w:t>按国家相关法律和规定执行</w:t>
      </w:r>
      <w:r>
        <w:rPr>
          <w:rFonts w:hint="eastAsia" w:ascii="宋体" w:hAnsi="宋体"/>
          <w:szCs w:val="21"/>
        </w:rPr>
        <w:t>。</w:t>
      </w:r>
      <w:bookmarkEnd w:id="2179"/>
    </w:p>
    <w:p>
      <w:pPr>
        <w:spacing w:line="360" w:lineRule="auto"/>
        <w:ind w:firstLine="420" w:firstLineChars="200"/>
        <w:rPr>
          <w:rFonts w:ascii="宋体" w:hAnsi="宋体"/>
          <w:szCs w:val="21"/>
        </w:rPr>
      </w:pPr>
      <w:r>
        <w:rPr>
          <w:rFonts w:hint="eastAsia" w:ascii="宋体" w:hAnsi="宋体"/>
          <w:szCs w:val="21"/>
        </w:rPr>
        <w:t>本工程质量保修书由发包人、承包人在工程竣工验收前共同签署，作为施工合同附件，其有效期限至保修期满。</w:t>
      </w:r>
    </w:p>
    <w:p>
      <w:pPr>
        <w:spacing w:line="360" w:lineRule="auto"/>
        <w:ind w:firstLine="420" w:firstLineChars="200"/>
        <w:rPr>
          <w:rFonts w:ascii="宋体" w:hAnsi="宋体"/>
          <w:szCs w:val="21"/>
        </w:rPr>
      </w:pPr>
      <w:r>
        <w:rPr>
          <w:rFonts w:ascii="宋体" w:hAnsi="宋体"/>
          <w:szCs w:val="21"/>
        </w:rPr>
        <w:t>六</w:t>
      </w:r>
      <w:r>
        <w:rPr>
          <w:rFonts w:hint="eastAsia" w:ascii="宋体" w:hAnsi="宋体"/>
          <w:szCs w:val="21"/>
        </w:rPr>
        <w:t>、</w:t>
      </w:r>
      <w:r>
        <w:rPr>
          <w:rFonts w:ascii="宋体" w:hAnsi="宋体"/>
          <w:szCs w:val="21"/>
        </w:rPr>
        <w:t>本文件生效</w:t>
      </w:r>
    </w:p>
    <w:p>
      <w:pPr>
        <w:spacing w:line="360" w:lineRule="auto"/>
        <w:ind w:firstLine="420" w:firstLineChars="200"/>
        <w:rPr>
          <w:rFonts w:ascii="宋体" w:hAnsi="宋体"/>
          <w:szCs w:val="21"/>
        </w:rPr>
      </w:pPr>
      <w:r>
        <w:rPr>
          <w:rFonts w:hint="eastAsia" w:ascii="宋体" w:hAnsi="宋体"/>
          <w:szCs w:val="21"/>
        </w:rPr>
        <w:t>本工程质量保修书经发包人与承包人盖章后生效。</w:t>
      </w:r>
    </w:p>
    <w:p>
      <w:pPr>
        <w:pStyle w:val="2"/>
        <w:spacing w:line="360" w:lineRule="auto"/>
        <w:ind w:firstLine="420" w:firstLineChars="200"/>
        <w:rPr>
          <w:rFonts w:ascii="宋体" w:hAnsi="宋体"/>
          <w:szCs w:val="21"/>
        </w:rPr>
      </w:pP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发包人：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（签名）</w:t>
      </w: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zCs w:val="21"/>
        </w:rPr>
      </w:pPr>
      <w:r>
        <w:rPr>
          <w:rFonts w:hint="eastAsia" w:ascii="宋体" w:hAnsi="宋体"/>
          <w:snapToGrid w:val="0"/>
          <w:kern w:val="0"/>
          <w:szCs w:val="21"/>
        </w:rPr>
        <w:t>承包人：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bCs/>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（签名）</w:t>
      </w:r>
    </w:p>
    <w:p>
      <w:pPr>
        <w:spacing w:line="360" w:lineRule="auto"/>
        <w:ind w:firstLine="418" w:firstLineChars="200"/>
        <w:rPr>
          <w:rFonts w:ascii="宋体" w:hAnsi="宋体"/>
          <w:snapToGrid w:val="0"/>
          <w:spacing w:val="1"/>
          <w:w w:val="99"/>
          <w:kern w:val="0"/>
          <w:position w:val="-2"/>
          <w:szCs w:val="21"/>
        </w:rPr>
      </w:pPr>
    </w:p>
    <w:p>
      <w:pPr>
        <w:spacing w:line="360" w:lineRule="auto"/>
        <w:ind w:firstLine="418" w:firstLineChars="200"/>
        <w:rPr>
          <w:rFonts w:ascii="宋体" w:hAnsi="宋体"/>
          <w:snapToGrid w:val="0"/>
          <w:spacing w:val="1"/>
          <w:w w:val="99"/>
          <w:kern w:val="0"/>
          <w:position w:val="-2"/>
          <w:szCs w:val="21"/>
        </w:rPr>
      </w:pP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p>
    <w:p>
      <w:pPr>
        <w:spacing w:line="480" w:lineRule="auto"/>
        <w:rPr>
          <w:rFonts w:ascii="宋体" w:hAnsi="宋体"/>
          <w:szCs w:val="21"/>
        </w:rPr>
      </w:pPr>
      <w:r>
        <w:rPr>
          <w:rFonts w:hint="eastAsia" w:ascii="宋体" w:hAnsi="宋体"/>
          <w:szCs w:val="21"/>
        </w:rPr>
        <w:br w:type="page"/>
      </w:r>
      <w:r>
        <w:rPr>
          <w:rFonts w:hint="eastAsia" w:ascii="宋体" w:hAnsi="宋体"/>
          <w:szCs w:val="21"/>
        </w:rPr>
        <w:t>附件2：</w:t>
      </w:r>
    </w:p>
    <w:p>
      <w:pPr>
        <w:spacing w:before="156" w:beforeLines="50" w:after="156" w:afterLines="50" w:line="480" w:lineRule="auto"/>
        <w:jc w:val="center"/>
        <w:rPr>
          <w:rFonts w:ascii="宋体" w:hAnsi="宋体"/>
          <w:szCs w:val="21"/>
        </w:rPr>
      </w:pPr>
      <w:r>
        <w:rPr>
          <w:rFonts w:hint="eastAsia" w:ascii="宋体" w:hAnsi="宋体"/>
          <w:szCs w:val="21"/>
        </w:rPr>
        <w:t>主要建设工程文件目录</w:t>
      </w:r>
    </w:p>
    <w:tbl>
      <w:tblPr>
        <w:tblStyle w:val="45"/>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pPr>
              <w:spacing w:line="400" w:lineRule="exact"/>
              <w:jc w:val="center"/>
              <w:rPr>
                <w:rFonts w:ascii="宋体" w:hAnsi="宋体"/>
                <w:szCs w:val="21"/>
              </w:rPr>
            </w:pPr>
            <w:r>
              <w:rPr>
                <w:rFonts w:hint="eastAsia" w:ascii="宋体" w:hAnsi="宋体"/>
                <w:szCs w:val="21"/>
              </w:rPr>
              <w:t>文件名称</w:t>
            </w:r>
          </w:p>
        </w:tc>
        <w:tc>
          <w:tcPr>
            <w:tcW w:w="1418" w:type="dxa"/>
            <w:vAlign w:val="center"/>
          </w:tcPr>
          <w:p>
            <w:pPr>
              <w:spacing w:line="400" w:lineRule="exact"/>
              <w:jc w:val="center"/>
              <w:rPr>
                <w:rFonts w:ascii="宋体" w:hAnsi="宋体"/>
                <w:szCs w:val="21"/>
              </w:rPr>
            </w:pPr>
            <w:r>
              <w:rPr>
                <w:rFonts w:hint="eastAsia" w:ascii="宋体" w:hAnsi="宋体"/>
                <w:szCs w:val="21"/>
              </w:rPr>
              <w:t>套数</w:t>
            </w:r>
          </w:p>
        </w:tc>
        <w:tc>
          <w:tcPr>
            <w:tcW w:w="1418" w:type="dxa"/>
          </w:tcPr>
          <w:p>
            <w:pPr>
              <w:spacing w:line="400" w:lineRule="exact"/>
              <w:jc w:val="center"/>
              <w:rPr>
                <w:rFonts w:ascii="宋体" w:hAnsi="宋体"/>
                <w:szCs w:val="21"/>
              </w:rPr>
            </w:pPr>
            <w:r>
              <w:rPr>
                <w:rFonts w:hint="eastAsia" w:ascii="宋体" w:hAnsi="宋体"/>
                <w:szCs w:val="21"/>
              </w:rPr>
              <w:t>移交时间</w:t>
            </w:r>
          </w:p>
        </w:tc>
        <w:tc>
          <w:tcPr>
            <w:tcW w:w="2917" w:type="dxa"/>
          </w:tcPr>
          <w:p>
            <w:pPr>
              <w:spacing w:line="400" w:lineRule="exact"/>
              <w:jc w:val="center"/>
              <w:rPr>
                <w:rFonts w:ascii="宋体" w:hAnsi="宋体"/>
                <w:szCs w:val="21"/>
              </w:rPr>
            </w:pPr>
            <w:r>
              <w:rPr>
                <w:rFonts w:hint="eastAsia" w:ascii="宋体" w:hAnsi="宋体"/>
                <w:szCs w:val="21"/>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bl>
    <w:p>
      <w:pPr>
        <w:spacing w:line="360" w:lineRule="auto"/>
        <w:ind w:firstLine="420" w:firstLineChars="200"/>
        <w:rPr>
          <w:rFonts w:ascii="宋体" w:hAnsi="宋体"/>
          <w:szCs w:val="21"/>
        </w:rPr>
      </w:pPr>
    </w:p>
    <w:p>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2180" w:name="_Toc296503228"/>
      <w:bookmarkStart w:id="2181" w:name="_Toc296944567"/>
      <w:bookmarkStart w:id="2182" w:name="_Toc296346729"/>
      <w:bookmarkStart w:id="2183" w:name="_Toc296891268"/>
      <w:bookmarkStart w:id="2184" w:name="_Toc296891056"/>
      <w:bookmarkStart w:id="2185" w:name="_Toc267261699"/>
      <w:bookmarkStart w:id="2186" w:name="_Toc296347227"/>
      <w:r>
        <w:rPr>
          <w:rFonts w:hint="eastAsia" w:ascii="宋体" w:hAnsi="宋体"/>
          <w:szCs w:val="21"/>
        </w:rPr>
        <w:t>件3：</w:t>
      </w:r>
    </w:p>
    <w:bookmarkEnd w:id="2180"/>
    <w:bookmarkEnd w:id="2181"/>
    <w:bookmarkEnd w:id="2182"/>
    <w:bookmarkEnd w:id="2183"/>
    <w:bookmarkEnd w:id="2184"/>
    <w:bookmarkEnd w:id="2185"/>
    <w:bookmarkEnd w:id="2186"/>
    <w:p>
      <w:pPr>
        <w:spacing w:before="156" w:beforeLines="50" w:after="156" w:afterLines="50" w:line="480" w:lineRule="auto"/>
        <w:jc w:val="center"/>
        <w:rPr>
          <w:rFonts w:ascii="宋体" w:hAnsi="宋体"/>
          <w:szCs w:val="21"/>
        </w:rPr>
      </w:pPr>
      <w:r>
        <w:rPr>
          <w:rFonts w:hint="eastAsia" w:ascii="宋体" w:hAnsi="宋体"/>
          <w:szCs w:val="21"/>
        </w:rPr>
        <w:t>承包人项目管理机构组成表</w:t>
      </w:r>
    </w:p>
    <w:tbl>
      <w:tblPr>
        <w:tblStyle w:val="45"/>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名    称</w:t>
            </w:r>
          </w:p>
        </w:tc>
        <w:tc>
          <w:tcPr>
            <w:tcW w:w="1418" w:type="dxa"/>
            <w:vAlign w:val="center"/>
          </w:tcPr>
          <w:p>
            <w:pPr>
              <w:spacing w:line="400" w:lineRule="exact"/>
              <w:jc w:val="center"/>
              <w:rPr>
                <w:rFonts w:ascii="宋体" w:hAnsi="宋体"/>
                <w:szCs w:val="21"/>
              </w:rPr>
            </w:pPr>
            <w:r>
              <w:rPr>
                <w:rFonts w:hint="eastAsia" w:ascii="宋体" w:hAnsi="宋体"/>
                <w:szCs w:val="21"/>
              </w:rPr>
              <w:t>姓名</w:t>
            </w:r>
          </w:p>
        </w:tc>
        <w:tc>
          <w:tcPr>
            <w:tcW w:w="1134" w:type="dxa"/>
            <w:vAlign w:val="center"/>
          </w:tcPr>
          <w:p>
            <w:pPr>
              <w:spacing w:line="400" w:lineRule="exact"/>
              <w:jc w:val="center"/>
              <w:rPr>
                <w:rFonts w:ascii="宋体" w:hAnsi="宋体"/>
                <w:szCs w:val="21"/>
              </w:rPr>
            </w:pPr>
            <w:r>
              <w:rPr>
                <w:rFonts w:hint="eastAsia" w:ascii="宋体" w:hAnsi="宋体"/>
                <w:szCs w:val="21"/>
              </w:rPr>
              <w:t>职务</w:t>
            </w:r>
          </w:p>
        </w:tc>
        <w:tc>
          <w:tcPr>
            <w:tcW w:w="1134" w:type="dxa"/>
            <w:vAlign w:val="center"/>
          </w:tcPr>
          <w:p>
            <w:pPr>
              <w:spacing w:line="400" w:lineRule="exact"/>
              <w:jc w:val="center"/>
              <w:rPr>
                <w:rFonts w:ascii="宋体" w:hAnsi="宋体"/>
                <w:szCs w:val="21"/>
              </w:rPr>
            </w:pPr>
            <w:r>
              <w:rPr>
                <w:rFonts w:hint="eastAsia" w:ascii="宋体" w:hAnsi="宋体"/>
                <w:szCs w:val="21"/>
              </w:rPr>
              <w:t>职称</w:t>
            </w:r>
          </w:p>
        </w:tc>
        <w:tc>
          <w:tcPr>
            <w:tcW w:w="4252" w:type="dxa"/>
            <w:vAlign w:val="center"/>
          </w:tcPr>
          <w:p>
            <w:pPr>
              <w:spacing w:line="400" w:lineRule="exact"/>
              <w:jc w:val="center"/>
              <w:rPr>
                <w:rFonts w:ascii="宋体" w:hAnsi="宋体"/>
                <w:szCs w:val="21"/>
              </w:rPr>
            </w:pPr>
            <w:r>
              <w:rPr>
                <w:rFonts w:hint="eastAsia" w:ascii="宋体" w:hAnsi="宋体"/>
                <w:szCs w:val="21"/>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7" w:hRule="atLeast"/>
          <w:jc w:val="center"/>
        </w:trPr>
        <w:tc>
          <w:tcPr>
            <w:tcW w:w="9809" w:type="dxa"/>
            <w:gridSpan w:val="5"/>
            <w:vAlign w:val="center"/>
          </w:tcPr>
          <w:p>
            <w:pPr>
              <w:spacing w:line="400" w:lineRule="exact"/>
              <w:rPr>
                <w:rFonts w:ascii="宋体" w:hAnsi="宋体"/>
                <w:szCs w:val="21"/>
              </w:rPr>
            </w:pPr>
            <w:r>
              <w:rPr>
                <w:rFonts w:hint="eastAsia" w:ascii="宋体" w:hAnsi="宋体"/>
                <w:szCs w:val="21"/>
              </w:rPr>
              <w:t>一、总部人员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项目主管</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其他人员</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spacing w:line="400" w:lineRule="exact"/>
              <w:rPr>
                <w:rFonts w:ascii="宋体" w:hAnsi="宋体"/>
                <w:szCs w:val="21"/>
              </w:rPr>
            </w:pPr>
            <w:r>
              <w:rPr>
                <w:rFonts w:hint="eastAsia" w:ascii="宋体" w:hAnsi="宋体"/>
                <w:szCs w:val="21"/>
              </w:rPr>
              <w:t>二、现场人员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项目经理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项目副经理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技术负责人</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造价管理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质量管理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材料管理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计划管理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安全管理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pPr>
              <w:spacing w:line="400" w:lineRule="exact"/>
              <w:jc w:val="center"/>
              <w:rPr>
                <w:rFonts w:ascii="宋体" w:hAnsi="宋体"/>
                <w:szCs w:val="21"/>
              </w:rPr>
            </w:pPr>
            <w:r>
              <w:rPr>
                <w:rFonts w:hint="eastAsia" w:ascii="宋体" w:hAnsi="宋体"/>
                <w:szCs w:val="21"/>
              </w:rPr>
              <w:t>其他人员</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1871" w:type="dxa"/>
            <w:vMerge w:val="continue"/>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871" w:type="dxa"/>
            <w:vMerge w:val="continue"/>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bl>
    <w:p>
      <w:pPr>
        <w:spacing w:line="480" w:lineRule="auto"/>
        <w:rPr>
          <w:rFonts w:hint="default" w:ascii="宋体" w:hAnsi="宋体" w:eastAsia="宋体"/>
          <w:szCs w:val="21"/>
          <w:lang w:val="en-US" w:eastAsia="zh-CN"/>
        </w:rPr>
      </w:pPr>
      <w:r>
        <w:rPr>
          <w:rFonts w:hint="eastAsia" w:ascii="宋体" w:hAnsi="宋体"/>
          <w:szCs w:val="21"/>
        </w:rPr>
        <w:br w:type="page"/>
      </w:r>
      <w:bookmarkStart w:id="2187" w:name="_Toc267261701"/>
      <w:r>
        <w:rPr>
          <w:rFonts w:hint="eastAsia" w:ascii="宋体" w:hAnsi="宋体"/>
          <w:szCs w:val="21"/>
        </w:rPr>
        <w:t>附</w:t>
      </w:r>
      <w:bookmarkStart w:id="2188" w:name="_Toc296347230"/>
      <w:bookmarkStart w:id="2189" w:name="_Toc296346732"/>
      <w:bookmarkStart w:id="2190" w:name="_Toc296944570"/>
      <w:bookmarkStart w:id="2191" w:name="_Toc296891059"/>
      <w:bookmarkStart w:id="2192" w:name="_Toc296891271"/>
      <w:bookmarkStart w:id="2193" w:name="_Toc296503231"/>
      <w:r>
        <w:rPr>
          <w:rFonts w:hint="eastAsia" w:ascii="宋体" w:hAnsi="宋体"/>
          <w:szCs w:val="21"/>
        </w:rPr>
        <w:t>件4：</w:t>
      </w:r>
      <w:r>
        <w:rPr>
          <w:rFonts w:hint="eastAsia" w:ascii="宋体" w:hAnsi="宋体"/>
          <w:szCs w:val="21"/>
          <w:lang w:val="en-US" w:eastAsia="zh-CN"/>
        </w:rPr>
        <w:t>履约担保（如有）</w:t>
      </w:r>
    </w:p>
    <w:bookmarkEnd w:id="2187"/>
    <w:bookmarkEnd w:id="2188"/>
    <w:bookmarkEnd w:id="2189"/>
    <w:bookmarkEnd w:id="2190"/>
    <w:bookmarkEnd w:id="2191"/>
    <w:bookmarkEnd w:id="2192"/>
    <w:bookmarkEnd w:id="2193"/>
    <w:p>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履约保函示范文本</w:t>
      </w:r>
    </w:p>
    <w:p>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rPr>
      </w:pP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申请人：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地</w:t>
      </w:r>
      <w:r>
        <w:rPr>
          <w:rFonts w:hint="eastAsia" w:asciiTheme="minorEastAsia" w:hAnsiTheme="minorEastAsia" w:eastAsiaTheme="minorEastAsia" w:cstheme="minorEastAsia"/>
          <w:color w:val="auto"/>
          <w:kern w:val="2"/>
          <w:sz w:val="21"/>
          <w:szCs w:val="21"/>
          <w:lang w:val="en-US" w:eastAsia="zh-CN"/>
        </w:rPr>
        <w:t xml:space="preserve">  </w:t>
      </w:r>
      <w:r>
        <w:rPr>
          <w:rFonts w:hint="eastAsia" w:asciiTheme="minorEastAsia" w:hAnsiTheme="minorEastAsia" w:eastAsiaTheme="minorEastAsia" w:cstheme="minorEastAsia"/>
          <w:color w:val="auto"/>
          <w:kern w:val="2"/>
          <w:sz w:val="21"/>
          <w:szCs w:val="21"/>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受益人：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地</w:t>
      </w:r>
      <w:r>
        <w:rPr>
          <w:rFonts w:hint="eastAsia" w:asciiTheme="minorEastAsia" w:hAnsiTheme="minorEastAsia" w:eastAsiaTheme="minorEastAsia" w:cstheme="minorEastAsia"/>
          <w:color w:val="auto"/>
          <w:kern w:val="2"/>
          <w:sz w:val="21"/>
          <w:szCs w:val="21"/>
          <w:lang w:val="en-US" w:eastAsia="zh-CN"/>
        </w:rPr>
        <w:t xml:space="preserve">  </w:t>
      </w:r>
      <w:r>
        <w:rPr>
          <w:rFonts w:hint="eastAsia" w:asciiTheme="minorEastAsia" w:hAnsiTheme="minorEastAsia" w:eastAsiaTheme="minorEastAsia" w:cstheme="minorEastAsia"/>
          <w:color w:val="auto"/>
          <w:kern w:val="2"/>
          <w:sz w:val="21"/>
          <w:szCs w:val="21"/>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开立人：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地</w:t>
      </w:r>
      <w:r>
        <w:rPr>
          <w:rFonts w:hint="eastAsia" w:asciiTheme="minorEastAsia" w:hAnsiTheme="minorEastAsia" w:eastAsiaTheme="minorEastAsia" w:cstheme="minorEastAsia"/>
          <w:color w:val="auto"/>
          <w:kern w:val="2"/>
          <w:sz w:val="21"/>
          <w:szCs w:val="21"/>
          <w:lang w:val="en-US" w:eastAsia="zh-CN"/>
        </w:rPr>
        <w:t xml:space="preserve">  </w:t>
      </w:r>
      <w:r>
        <w:rPr>
          <w:rFonts w:hint="eastAsia" w:asciiTheme="minorEastAsia" w:hAnsiTheme="minorEastAsia" w:eastAsiaTheme="minorEastAsia" w:cstheme="minorEastAsia"/>
          <w:color w:val="auto"/>
          <w:kern w:val="2"/>
          <w:sz w:val="21"/>
          <w:szCs w:val="21"/>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textAlignment w:val="auto"/>
        <w:outlineLvl w:val="9"/>
        <w:rPr>
          <w:rFonts w:hint="eastAsia" w:asciiTheme="minorEastAsia" w:hAnsiTheme="minorEastAsia" w:eastAsiaTheme="minorEastAsia" w:cstheme="minorEastAsia"/>
          <w:color w:val="auto"/>
          <w:kern w:val="2"/>
          <w:sz w:val="21"/>
          <w:szCs w:val="21"/>
        </w:rPr>
      </w:pPr>
    </w:p>
    <w:p>
      <w:pPr>
        <w:keepNext w:val="0"/>
        <w:keepLines w:val="0"/>
        <w:pageBreakBefore w:val="0"/>
        <w:shd w:val="clear"/>
        <w:kinsoku/>
        <w:wordWrap/>
        <w:overflowPunct/>
        <w:topLinePunct w:val="0"/>
        <w:autoSpaceDE/>
        <w:autoSpaceDN/>
        <w:bidi w:val="0"/>
        <w:adjustRightInd/>
        <w:snapToGrid/>
        <w:spacing w:beforeLines="0" w:line="360" w:lineRule="auto"/>
        <w:ind w:right="0" w:rightChars="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（受益人名称）：</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鉴于</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 xml:space="preserve"> </w:t>
      </w:r>
      <w:r>
        <w:rPr>
          <w:rFonts w:hint="eastAsia" w:asciiTheme="minorEastAsia" w:hAnsiTheme="minorEastAsia" w:eastAsiaTheme="minorEastAsia" w:cstheme="minorEastAsia"/>
          <w:color w:val="auto"/>
          <w:kern w:val="2"/>
          <w:sz w:val="21"/>
          <w:szCs w:val="21"/>
          <w:lang w:eastAsia="zh-CN"/>
        </w:rPr>
        <w:t>（</w:t>
      </w:r>
      <w:r>
        <w:rPr>
          <w:rFonts w:hint="eastAsia" w:asciiTheme="minorEastAsia" w:hAnsiTheme="minorEastAsia" w:eastAsiaTheme="minorEastAsia" w:cstheme="minorEastAsia"/>
          <w:color w:val="auto"/>
          <w:kern w:val="2"/>
          <w:sz w:val="21"/>
          <w:szCs w:val="21"/>
        </w:rPr>
        <w:t>以下简称“受益人”）与</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（以下简称“申请人”）就工程</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以下简称“本工程”）施工和有关事项协商一致，根据本工程中标通知书、招标文件和投标文件，了解到申请人为本工程项下之承包人、受益人为本工程项下之发包人，基于申请人的请求，我方（即“开立人”）同意就申请人履行本工程依据中标通知书、招标文件和投标文件签订的</w:t>
      </w:r>
      <w:r>
        <w:rPr>
          <w:rFonts w:hint="eastAsia" w:asciiTheme="minorEastAsia" w:hAnsiTheme="minorEastAsia" w:eastAsiaTheme="minorEastAsia" w:cstheme="minorEastAsia"/>
          <w:color w:val="auto"/>
          <w:kern w:val="2"/>
          <w:sz w:val="21"/>
          <w:szCs w:val="21"/>
          <w:u w:val="single"/>
        </w:rPr>
        <w:t>《        》</w:t>
      </w:r>
      <w:r>
        <w:rPr>
          <w:rFonts w:hint="eastAsia" w:asciiTheme="minorEastAsia" w:hAnsiTheme="minorEastAsia" w:eastAsiaTheme="minorEastAsia" w:cstheme="minorEastAsia"/>
          <w:color w:val="auto"/>
          <w:kern w:val="2"/>
          <w:sz w:val="21"/>
          <w:szCs w:val="21"/>
        </w:rPr>
        <w:t>（以下简称“基础合同”）约定的义务，向贵方提供不可撤销、不可转让的见索即付保函（以下简称“本保函”）。</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一、本保函担保范围：承包人未按照基础合同的约定履行义务，应当向贵方承担的违约责任和赔偿因此造成的损失、利息、律师费、诉讼费用等实现债权的费用。</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二、本保函担保金额最高不超过人民币（大写）</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元（¥</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spacing w:val="6"/>
          <w:kern w:val="2"/>
          <w:sz w:val="21"/>
          <w:szCs w:val="21"/>
        </w:rPr>
      </w:pPr>
      <w:r>
        <w:rPr>
          <w:rFonts w:hint="eastAsia" w:asciiTheme="minorEastAsia" w:hAnsiTheme="minorEastAsia" w:eastAsiaTheme="minorEastAsia" w:cstheme="minorEastAsia"/>
          <w:color w:val="auto"/>
          <w:kern w:val="2"/>
          <w:sz w:val="21"/>
          <w:szCs w:val="21"/>
        </w:rPr>
        <w:t>三、</w:t>
      </w:r>
      <w:r>
        <w:rPr>
          <w:rFonts w:hint="eastAsia" w:asciiTheme="minorEastAsia" w:hAnsiTheme="minorEastAsia" w:eastAsiaTheme="minorEastAsia" w:cstheme="minorEastAsia"/>
          <w:color w:val="auto"/>
          <w:spacing w:val="6"/>
          <w:kern w:val="2"/>
          <w:sz w:val="21"/>
          <w:szCs w:val="21"/>
        </w:rPr>
        <w:t>本保函有效期自</w:t>
      </w:r>
      <w:r>
        <w:rPr>
          <w:rFonts w:hint="eastAsia" w:asciiTheme="minorEastAsia" w:hAnsiTheme="minorEastAsia" w:eastAsiaTheme="minorEastAsia" w:cstheme="minorEastAsia"/>
          <w:color w:val="auto"/>
          <w:spacing w:val="6"/>
          <w:kern w:val="2"/>
          <w:sz w:val="21"/>
          <w:szCs w:val="21"/>
          <w:lang w:eastAsia="zh-CN"/>
        </w:rPr>
        <w:t>受益人与申请人签订的合同生效之日</w:t>
      </w:r>
      <w:r>
        <w:rPr>
          <w:rFonts w:hint="eastAsia" w:asciiTheme="minorEastAsia" w:hAnsiTheme="minorEastAsia" w:eastAsiaTheme="minorEastAsia" w:cstheme="minorEastAsia"/>
          <w:color w:val="auto"/>
          <w:spacing w:val="0"/>
          <w:kern w:val="2"/>
          <w:sz w:val="21"/>
          <w:szCs w:val="21"/>
          <w:lang w:eastAsia="zh-CN"/>
        </w:rPr>
        <w:t>起至合同约定的工期截止日后</w:t>
      </w:r>
      <w:r>
        <w:rPr>
          <w:rFonts w:hint="eastAsia" w:asciiTheme="minorEastAsia" w:hAnsiTheme="minorEastAsia" w:eastAsiaTheme="minorEastAsia" w:cstheme="minorEastAsia"/>
          <w:color w:val="auto"/>
          <w:spacing w:val="0"/>
          <w:kern w:val="2"/>
          <w:sz w:val="21"/>
          <w:szCs w:val="21"/>
          <w:u w:val="single"/>
          <w:lang w:val="en-US" w:eastAsia="zh-CN"/>
        </w:rPr>
        <w:t xml:space="preserve">  </w:t>
      </w:r>
      <w:r>
        <w:rPr>
          <w:rFonts w:hint="eastAsia" w:asciiTheme="minorEastAsia" w:hAnsiTheme="minorEastAsia" w:eastAsiaTheme="minorEastAsia" w:cstheme="minorEastAsia"/>
          <w:color w:val="auto"/>
          <w:spacing w:val="0"/>
          <w:kern w:val="2"/>
          <w:sz w:val="21"/>
          <w:szCs w:val="21"/>
        </w:rPr>
        <w:t>天</w:t>
      </w:r>
      <w:r>
        <w:rPr>
          <w:rFonts w:hint="eastAsia" w:asciiTheme="minorEastAsia" w:hAnsiTheme="minorEastAsia" w:eastAsiaTheme="minorEastAsia" w:cstheme="minorEastAsia"/>
          <w:color w:val="auto"/>
          <w:spacing w:val="0"/>
          <w:kern w:val="2"/>
          <w:sz w:val="21"/>
          <w:szCs w:val="21"/>
          <w:lang w:eastAsia="zh-CN"/>
        </w:rPr>
        <w:t>，最迟不超过</w:t>
      </w:r>
      <w:r>
        <w:rPr>
          <w:rFonts w:hint="eastAsia" w:asciiTheme="minorEastAsia" w:hAnsiTheme="minorEastAsia" w:eastAsiaTheme="minorEastAsia" w:cstheme="minorEastAsia"/>
          <w:color w:val="auto"/>
          <w:spacing w:val="0"/>
          <w:kern w:val="2"/>
          <w:sz w:val="21"/>
          <w:szCs w:val="21"/>
          <w:u w:val="single"/>
          <w:lang w:val="en-US" w:eastAsia="zh-CN"/>
        </w:rPr>
        <w:t xml:space="preserve">  </w:t>
      </w:r>
      <w:r>
        <w:rPr>
          <w:rFonts w:hint="eastAsia" w:asciiTheme="minorEastAsia" w:hAnsiTheme="minorEastAsia" w:eastAsiaTheme="minorEastAsia" w:cstheme="minorEastAsia"/>
          <w:color w:val="auto"/>
          <w:spacing w:val="0"/>
          <w:kern w:val="2"/>
          <w:sz w:val="21"/>
          <w:szCs w:val="21"/>
          <w:lang w:val="en-US" w:eastAsia="zh-CN"/>
        </w:rPr>
        <w:t>年</w:t>
      </w:r>
      <w:r>
        <w:rPr>
          <w:rFonts w:hint="eastAsia" w:asciiTheme="minorEastAsia" w:hAnsiTheme="minorEastAsia" w:eastAsiaTheme="minorEastAsia" w:cstheme="minorEastAsia"/>
          <w:color w:val="auto"/>
          <w:spacing w:val="0"/>
          <w:kern w:val="2"/>
          <w:sz w:val="21"/>
          <w:szCs w:val="21"/>
          <w:u w:val="single"/>
          <w:lang w:val="en-US" w:eastAsia="zh-CN"/>
        </w:rPr>
        <w:t xml:space="preserve">  </w:t>
      </w:r>
      <w:r>
        <w:rPr>
          <w:rFonts w:hint="eastAsia" w:asciiTheme="minorEastAsia" w:hAnsiTheme="minorEastAsia" w:eastAsiaTheme="minorEastAsia" w:cstheme="minorEastAsia"/>
          <w:color w:val="auto"/>
          <w:spacing w:val="0"/>
          <w:kern w:val="2"/>
          <w:sz w:val="21"/>
          <w:szCs w:val="21"/>
          <w:lang w:val="en-US" w:eastAsia="zh-CN"/>
        </w:rPr>
        <w:t>月</w:t>
      </w:r>
      <w:r>
        <w:rPr>
          <w:rFonts w:hint="eastAsia" w:asciiTheme="minorEastAsia" w:hAnsiTheme="minorEastAsia" w:eastAsiaTheme="minorEastAsia" w:cstheme="minorEastAsia"/>
          <w:color w:val="auto"/>
          <w:spacing w:val="0"/>
          <w:kern w:val="2"/>
          <w:sz w:val="21"/>
          <w:szCs w:val="21"/>
          <w:u w:val="single"/>
          <w:lang w:val="en-US" w:eastAsia="zh-CN"/>
        </w:rPr>
        <w:t xml:space="preserve">  </w:t>
      </w:r>
      <w:r>
        <w:rPr>
          <w:rFonts w:hint="eastAsia" w:asciiTheme="minorEastAsia" w:hAnsiTheme="minorEastAsia" w:eastAsiaTheme="minorEastAsia" w:cstheme="minorEastAsia"/>
          <w:color w:val="auto"/>
          <w:spacing w:val="0"/>
          <w:kern w:val="2"/>
          <w:sz w:val="21"/>
          <w:szCs w:val="21"/>
          <w:lang w:val="en-US" w:eastAsia="zh-CN"/>
        </w:rPr>
        <w:t>日。</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四、我方承诺，在收到受益人发来的书面</w:t>
      </w:r>
      <w:r>
        <w:rPr>
          <w:rFonts w:hint="eastAsia" w:asciiTheme="minorEastAsia" w:hAnsiTheme="minorEastAsia" w:eastAsiaTheme="minorEastAsia" w:cstheme="minorEastAsia"/>
          <w:color w:val="auto"/>
          <w:kern w:val="2"/>
          <w:sz w:val="21"/>
          <w:szCs w:val="21"/>
          <w:lang w:eastAsia="zh-CN"/>
        </w:rPr>
        <w:t>索赔</w:t>
      </w:r>
      <w:r>
        <w:rPr>
          <w:rFonts w:hint="eastAsia" w:asciiTheme="minorEastAsia" w:hAnsiTheme="minorEastAsia" w:eastAsiaTheme="minorEastAsia" w:cstheme="minorEastAsia"/>
          <w:color w:val="auto"/>
          <w:kern w:val="2"/>
          <w:sz w:val="21"/>
          <w:szCs w:val="21"/>
        </w:rPr>
        <w:t>通知</w:t>
      </w:r>
      <w:r>
        <w:rPr>
          <w:rFonts w:hint="eastAsia" w:asciiTheme="minorEastAsia" w:hAnsiTheme="minorEastAsia" w:eastAsiaTheme="minorEastAsia" w:cstheme="minorEastAsia"/>
          <w:color w:val="auto"/>
          <w:kern w:val="2"/>
          <w:sz w:val="21"/>
          <w:szCs w:val="21"/>
          <w:lang w:eastAsia="zh-CN"/>
        </w:rPr>
        <w:t>和本保函原件</w:t>
      </w:r>
      <w:r>
        <w:rPr>
          <w:rFonts w:hint="eastAsia" w:asciiTheme="minorEastAsia" w:hAnsiTheme="minorEastAsia" w:eastAsiaTheme="minorEastAsia" w:cstheme="minorEastAsia"/>
          <w:color w:val="auto"/>
          <w:kern w:val="2"/>
          <w:sz w:val="21"/>
          <w:szCs w:val="21"/>
        </w:rPr>
        <w:t>后的</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个工作日内无条件支付至受益人指定账户，前述书面</w:t>
      </w:r>
      <w:r>
        <w:rPr>
          <w:rFonts w:hint="eastAsia" w:asciiTheme="minorEastAsia" w:hAnsiTheme="minorEastAsia" w:eastAsiaTheme="minorEastAsia" w:cstheme="minorEastAsia"/>
          <w:color w:val="auto"/>
          <w:kern w:val="2"/>
          <w:sz w:val="21"/>
          <w:szCs w:val="21"/>
          <w:lang w:eastAsia="zh-CN"/>
        </w:rPr>
        <w:t>索赔</w:t>
      </w:r>
      <w:r>
        <w:rPr>
          <w:rFonts w:hint="eastAsia" w:asciiTheme="minorEastAsia" w:hAnsiTheme="minorEastAsia" w:eastAsiaTheme="minorEastAsia" w:cstheme="minorEastAsia"/>
          <w:color w:val="auto"/>
          <w:kern w:val="2"/>
          <w:sz w:val="21"/>
          <w:szCs w:val="21"/>
        </w:rPr>
        <w:t>通知即为付款要求之单据，且应满足以下要求：</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（1）</w:t>
      </w:r>
      <w:r>
        <w:rPr>
          <w:rFonts w:hint="eastAsia" w:asciiTheme="minorEastAsia" w:hAnsiTheme="minorEastAsia" w:eastAsiaTheme="minorEastAsia" w:cstheme="minorEastAsia"/>
          <w:color w:val="auto"/>
          <w:kern w:val="2"/>
          <w:sz w:val="21"/>
          <w:szCs w:val="21"/>
          <w:lang w:eastAsia="zh-CN"/>
        </w:rPr>
        <w:t>索赔</w:t>
      </w:r>
      <w:r>
        <w:rPr>
          <w:rFonts w:hint="eastAsia" w:asciiTheme="minorEastAsia" w:hAnsiTheme="minorEastAsia" w:eastAsiaTheme="minorEastAsia" w:cstheme="minorEastAsia"/>
          <w:color w:val="auto"/>
          <w:kern w:val="2"/>
          <w:sz w:val="21"/>
          <w:szCs w:val="21"/>
        </w:rPr>
        <w:t>通知到达的日期在本保函的有效期内；</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（2）载明要求支付的金额；</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（3）载明申请人违反合同义务的条款和内容；</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（4）声明不存在合同文件约定或我国法律规定免除申请人或开立人支付责任的情形；</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（5）</w:t>
      </w:r>
      <w:r>
        <w:rPr>
          <w:rFonts w:hint="eastAsia" w:asciiTheme="minorEastAsia" w:hAnsiTheme="minorEastAsia" w:eastAsiaTheme="minorEastAsia" w:cstheme="minorEastAsia"/>
          <w:color w:val="auto"/>
          <w:kern w:val="2"/>
          <w:sz w:val="21"/>
          <w:szCs w:val="21"/>
          <w:lang w:eastAsia="zh-CN"/>
        </w:rPr>
        <w:t>索赔</w:t>
      </w:r>
      <w:r>
        <w:rPr>
          <w:rFonts w:hint="eastAsia" w:asciiTheme="minorEastAsia" w:hAnsiTheme="minorEastAsia" w:eastAsiaTheme="minorEastAsia" w:cstheme="minorEastAsia"/>
          <w:color w:val="auto"/>
          <w:kern w:val="2"/>
          <w:sz w:val="21"/>
          <w:szCs w:val="21"/>
        </w:rPr>
        <w:t>通知应在本保函有效期内到达的地址是：</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eastAsia="zh-CN"/>
        </w:rPr>
        <w:t>受益人发出的书面索赔通知应由其为鉴明受益人法定代表人（负责人）或授权代理人签名或盖个人名章并加盖公章。</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五、本保函项下的权利不得转让，不得设定担保。贵方未经我方书面同意转让本保函或其项下任何权利，对我方不发生法律效力。</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六、与本保函有关的基础合同不成立、不生效、无效、被撤销、被解除，不影响本保函的独立有效。</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七、贵方应在本保函到期后的</w:t>
      </w:r>
      <w:r>
        <w:rPr>
          <w:rFonts w:hint="eastAsia" w:asciiTheme="minorEastAsia" w:hAnsiTheme="minorEastAsia" w:eastAsiaTheme="minorEastAsia" w:cstheme="minorEastAsia"/>
          <w:color w:val="auto"/>
          <w:kern w:val="2"/>
          <w:sz w:val="21"/>
          <w:szCs w:val="21"/>
          <w:lang w:val="en-US" w:eastAsia="zh-CN"/>
        </w:rPr>
        <w:t>七个工作</w:t>
      </w:r>
      <w:r>
        <w:rPr>
          <w:rFonts w:hint="eastAsia" w:asciiTheme="minorEastAsia" w:hAnsiTheme="minorEastAsia" w:eastAsiaTheme="minorEastAsia" w:cstheme="minorEastAsia"/>
          <w:color w:val="auto"/>
          <w:kern w:val="2"/>
          <w:sz w:val="21"/>
          <w:szCs w:val="21"/>
        </w:rPr>
        <w:t>日内将本保函正本退回我方注销，但是不论贵方是否按此要求将本保函正本退回我方，我方在本保函项下的义务和责任均在保函有效期到期后自动消灭。</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八、本保函适用的法律为中华人民共和国法律，争议裁判管辖地为中华人民共和国</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九、本保函自我方法定代表人或授权代表</w:t>
      </w:r>
      <w:r>
        <w:rPr>
          <w:rFonts w:hint="eastAsia" w:asciiTheme="minorEastAsia" w:hAnsiTheme="minorEastAsia" w:eastAsiaTheme="minorEastAsia" w:cstheme="minorEastAsia"/>
          <w:color w:val="auto"/>
          <w:kern w:val="2"/>
          <w:sz w:val="21"/>
          <w:szCs w:val="21"/>
          <w:lang w:eastAsia="zh-CN"/>
        </w:rPr>
        <w:t>签名</w:t>
      </w:r>
      <w:r>
        <w:rPr>
          <w:rFonts w:hint="eastAsia" w:asciiTheme="minorEastAsia" w:hAnsiTheme="minorEastAsia" w:eastAsiaTheme="minorEastAsia" w:cstheme="minorEastAsia"/>
          <w:color w:val="auto"/>
          <w:kern w:val="2"/>
          <w:sz w:val="21"/>
          <w:szCs w:val="21"/>
        </w:rPr>
        <w:t>或盖个人名章并加盖公章或合同专用章之日起生效。</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u w:val="none"/>
        </w:rPr>
      </w:pPr>
      <w:r>
        <w:rPr>
          <w:rFonts w:hint="eastAsia" w:asciiTheme="minorEastAsia" w:hAnsiTheme="minorEastAsia" w:eastAsiaTheme="minorEastAsia" w:cstheme="minorEastAsia"/>
          <w:color w:val="auto"/>
          <w:kern w:val="2"/>
          <w:sz w:val="21"/>
          <w:szCs w:val="21"/>
          <w:lang w:val="en-US" w:eastAsia="zh-CN"/>
        </w:rPr>
        <w:t>十、</w:t>
      </w:r>
      <w:r>
        <w:rPr>
          <w:rFonts w:hint="eastAsia" w:asciiTheme="minorEastAsia" w:hAnsiTheme="minorEastAsia" w:eastAsiaTheme="minorEastAsia" w:cstheme="minorEastAsia"/>
          <w:color w:val="auto"/>
          <w:kern w:val="2"/>
          <w:sz w:val="21"/>
          <w:szCs w:val="21"/>
          <w:lang w:eastAsia="zh-CN"/>
        </w:rPr>
        <w:t>本保函在重庆市辖区范围内的核验地点：</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none"/>
          <w:lang w:eastAsia="zh-CN"/>
        </w:rPr>
        <w:t>；核验方式：</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i/>
          <w:iCs/>
          <w:color w:val="auto"/>
          <w:kern w:val="2"/>
          <w:sz w:val="21"/>
          <w:szCs w:val="21"/>
          <w:u w:val="single"/>
        </w:rPr>
        <w:t>[提示：招标人可以根据项目实际情况，填写本保函在重庆本地的核验方式，如现场核验等]</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none"/>
          <w:lang w:val="en-US" w:eastAsia="zh-CN"/>
        </w:rPr>
        <w:t>。</w:t>
      </w:r>
    </w:p>
    <w:p>
      <w:pPr>
        <w:keepNext w:val="0"/>
        <w:keepLines w:val="0"/>
        <w:pageBreakBefore w:val="0"/>
        <w:widowControl w:val="0"/>
        <w:shd w:val="clear"/>
        <w:kinsoku/>
        <w:wordWrap/>
        <w:topLinePunct w:val="0"/>
        <w:autoSpaceDE/>
        <w:autoSpaceDN/>
        <w:bidi w:val="0"/>
        <w:snapToGrid/>
        <w:spacing w:beforeLines="0" w:after="0" w:line="360" w:lineRule="auto"/>
        <w:jc w:val="both"/>
        <w:rPr>
          <w:rFonts w:hint="eastAsia" w:asciiTheme="minorEastAsia" w:hAnsiTheme="minorEastAsia" w:eastAsiaTheme="minorEastAsia" w:cstheme="minorEastAsia"/>
          <w:kern w:val="2"/>
          <w:sz w:val="21"/>
          <w:szCs w:val="21"/>
          <w:lang w:val="en-US" w:eastAsia="zh-CN" w:bidi="ar-SA"/>
        </w:rPr>
      </w:pP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 xml:space="preserve">开 立 人：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（公章）</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法定代表人（或授权代表）：</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w:t>
      </w:r>
      <w:r>
        <w:rPr>
          <w:rFonts w:hint="eastAsia" w:asciiTheme="minorEastAsia" w:hAnsiTheme="minorEastAsia" w:eastAsiaTheme="minorEastAsia" w:cstheme="minorEastAsia"/>
          <w:color w:val="auto"/>
          <w:kern w:val="2"/>
          <w:sz w:val="21"/>
          <w:szCs w:val="21"/>
          <w:lang w:eastAsia="zh-CN"/>
        </w:rPr>
        <w:t>签名或盖个人名章</w:t>
      </w:r>
      <w:r>
        <w:rPr>
          <w:rFonts w:hint="eastAsia" w:asciiTheme="minorEastAsia" w:hAnsiTheme="minorEastAsia" w:eastAsiaTheme="minorEastAsia" w:cstheme="minorEastAsia"/>
          <w:color w:val="auto"/>
          <w:kern w:val="2"/>
          <w:sz w:val="21"/>
          <w:szCs w:val="21"/>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u w:val="single"/>
          <w:lang w:val="en-US" w:eastAsia="zh-CN"/>
        </w:rPr>
      </w:pPr>
      <w:r>
        <w:rPr>
          <w:rFonts w:hint="eastAsia" w:asciiTheme="minorEastAsia" w:hAnsiTheme="minorEastAsia" w:eastAsiaTheme="minorEastAsia" w:cstheme="minorEastAsia"/>
          <w:color w:val="auto"/>
          <w:kern w:val="2"/>
          <w:sz w:val="21"/>
          <w:szCs w:val="21"/>
        </w:rPr>
        <w:t xml:space="preserve">地   </w:t>
      </w:r>
      <w:r>
        <w:rPr>
          <w:rFonts w:hint="eastAsia" w:asciiTheme="minorEastAsia" w:hAnsiTheme="minorEastAsia" w:eastAsiaTheme="minorEastAsia" w:cstheme="minorEastAsia"/>
          <w:color w:val="auto"/>
          <w:kern w:val="2"/>
          <w:sz w:val="21"/>
          <w:szCs w:val="21"/>
          <w:lang w:val="en-US" w:eastAsia="zh-CN"/>
        </w:rPr>
        <w:t xml:space="preserve"> </w:t>
      </w:r>
      <w:r>
        <w:rPr>
          <w:rFonts w:hint="eastAsia" w:asciiTheme="minorEastAsia" w:hAnsiTheme="minorEastAsia" w:eastAsiaTheme="minorEastAsia" w:cstheme="minorEastAsia"/>
          <w:color w:val="auto"/>
          <w:kern w:val="2"/>
          <w:sz w:val="21"/>
          <w:szCs w:val="21"/>
        </w:rPr>
        <w:t>址：</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邮政编码：</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电    话：</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传    真：</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p>
    <w:p>
      <w:pPr>
        <w:spacing w:line="360" w:lineRule="auto"/>
        <w:ind w:firstLine="420" w:firstLineChars="200"/>
        <w:jc w:val="left"/>
        <w:outlineLvl w:val="9"/>
        <w:rPr>
          <w:rFonts w:ascii="宋体" w:hAnsi="宋体"/>
          <w:szCs w:val="21"/>
        </w:rPr>
      </w:pPr>
      <w:r>
        <w:rPr>
          <w:rFonts w:hint="eastAsia" w:asciiTheme="minorEastAsia" w:hAnsiTheme="minorEastAsia" w:eastAsiaTheme="minorEastAsia" w:cstheme="minorEastAsia"/>
          <w:color w:val="auto"/>
          <w:kern w:val="2"/>
          <w:sz w:val="21"/>
          <w:szCs w:val="21"/>
        </w:rPr>
        <w:t xml:space="preserve">开立时间：    年    月    </w:t>
      </w:r>
      <w:r>
        <w:rPr>
          <w:rFonts w:hint="eastAsia" w:ascii="宋体" w:hAnsi="宋体" w:eastAsia="宋体" w:cs="宋体"/>
          <w:color w:val="auto"/>
          <w:sz w:val="21"/>
          <w:szCs w:val="21"/>
          <w:lang w:eastAsia="zh-CN"/>
        </w:rPr>
        <w:t>日</w:t>
      </w:r>
    </w:p>
    <w:p>
      <w:pPr>
        <w:widowControl/>
        <w:spacing w:line="360" w:lineRule="auto"/>
        <w:jc w:val="left"/>
        <w:rPr>
          <w:rFonts w:ascii="宋体" w:hAnsi="宋体"/>
          <w:szCs w:val="21"/>
        </w:rPr>
      </w:pPr>
      <w:r>
        <w:rPr>
          <w:rFonts w:ascii="宋体" w:hAnsi="宋体"/>
          <w:szCs w:val="21"/>
        </w:rPr>
        <w:br w:type="page"/>
      </w:r>
    </w:p>
    <w:p>
      <w:pPr>
        <w:spacing w:line="480" w:lineRule="auto"/>
        <w:rPr>
          <w:rFonts w:ascii="宋体" w:hAnsi="宋体"/>
          <w:szCs w:val="21"/>
        </w:rPr>
      </w:pPr>
      <w:r>
        <w:rPr>
          <w:rFonts w:hint="eastAsia" w:ascii="宋体" w:hAnsi="宋体"/>
          <w:szCs w:val="21"/>
        </w:rPr>
        <w:t>附</w:t>
      </w:r>
      <w:bookmarkStart w:id="2194" w:name="_Toc296503232"/>
      <w:bookmarkStart w:id="2195" w:name="_Toc296891060"/>
      <w:bookmarkStart w:id="2196" w:name="_Toc296346733"/>
      <w:bookmarkStart w:id="2197" w:name="_Toc296347231"/>
      <w:bookmarkStart w:id="2198" w:name="_Toc267261702"/>
      <w:bookmarkStart w:id="2199" w:name="_Toc296891272"/>
      <w:bookmarkStart w:id="2200" w:name="_Toc296944571"/>
      <w:r>
        <w:rPr>
          <w:rFonts w:hint="eastAsia" w:ascii="宋体" w:hAnsi="宋体"/>
          <w:szCs w:val="21"/>
        </w:rPr>
        <w:t>件</w:t>
      </w:r>
      <w:r>
        <w:rPr>
          <w:rFonts w:ascii="宋体" w:hAnsi="宋体"/>
          <w:szCs w:val="21"/>
        </w:rPr>
        <w:t>5</w:t>
      </w:r>
      <w:r>
        <w:rPr>
          <w:rFonts w:hint="eastAsia" w:ascii="宋体" w:hAnsi="宋体"/>
          <w:szCs w:val="21"/>
        </w:rPr>
        <w:t>：</w:t>
      </w:r>
    </w:p>
    <w:bookmarkEnd w:id="2194"/>
    <w:bookmarkEnd w:id="2195"/>
    <w:bookmarkEnd w:id="2196"/>
    <w:bookmarkEnd w:id="2197"/>
    <w:bookmarkEnd w:id="2198"/>
    <w:bookmarkEnd w:id="2199"/>
    <w:bookmarkEnd w:id="2200"/>
    <w:p>
      <w:pPr>
        <w:spacing w:before="156" w:beforeLines="50" w:after="156" w:afterLines="50" w:line="480" w:lineRule="auto"/>
        <w:jc w:val="center"/>
        <w:rPr>
          <w:rFonts w:ascii="宋体" w:hAnsi="宋体"/>
          <w:szCs w:val="21"/>
        </w:rPr>
      </w:pPr>
      <w:r>
        <w:rPr>
          <w:rFonts w:hint="eastAsia" w:ascii="宋体" w:hAnsi="宋体"/>
          <w:szCs w:val="21"/>
        </w:rPr>
        <w:t>预付款担保（如有）</w:t>
      </w:r>
    </w:p>
    <w:p>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 xml:space="preserve"> （发包人名称）：</w:t>
      </w:r>
    </w:p>
    <w:p>
      <w:pPr>
        <w:spacing w:line="360" w:lineRule="auto"/>
        <w:ind w:firstLine="420" w:firstLineChars="200"/>
        <w:rPr>
          <w:rFonts w:ascii="宋体" w:hAnsi="宋体"/>
          <w:szCs w:val="21"/>
        </w:rPr>
      </w:pPr>
      <w:r>
        <w:rPr>
          <w:rFonts w:hint="eastAsia" w:ascii="宋体" w:hAnsi="宋体"/>
          <w:szCs w:val="21"/>
        </w:rPr>
        <w:t>根据</w:t>
      </w:r>
      <w:r>
        <w:rPr>
          <w:rFonts w:hint="eastAsia" w:ascii="宋体" w:hAnsi="宋体"/>
          <w:szCs w:val="21"/>
          <w:u w:val="single"/>
        </w:rPr>
        <w:t xml:space="preserve">       </w:t>
      </w:r>
      <w:r>
        <w:rPr>
          <w:rFonts w:hint="eastAsia" w:ascii="宋体" w:hAnsi="宋体"/>
          <w:szCs w:val="21"/>
        </w:rPr>
        <w:t>（承包人名称）（以下称“承包人”）与</w:t>
      </w:r>
      <w:r>
        <w:rPr>
          <w:rFonts w:hint="eastAsia" w:ascii="宋体" w:hAnsi="宋体"/>
          <w:szCs w:val="21"/>
          <w:u w:val="single"/>
        </w:rPr>
        <w:t xml:space="preserve">         </w:t>
      </w:r>
      <w:r>
        <w:rPr>
          <w:rFonts w:hint="eastAsia" w:ascii="宋体" w:hAnsi="宋体"/>
          <w:szCs w:val="21"/>
        </w:rPr>
        <w:t>（发包人名称）（以下简称“发包人”）于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日签订的</w:t>
      </w:r>
      <w:r>
        <w:rPr>
          <w:rFonts w:hint="eastAsia" w:ascii="宋体" w:hAnsi="宋体"/>
          <w:szCs w:val="21"/>
          <w:u w:val="single"/>
        </w:rPr>
        <w:t xml:space="preserve">            </w:t>
      </w:r>
      <w:r>
        <w:rPr>
          <w:rFonts w:hint="eastAsia" w:ascii="宋体" w:hAnsi="宋体"/>
          <w:szCs w:val="21"/>
        </w:rPr>
        <w:t>（工程名称）《建设工程施工合同》，承包人按约定的金额向你方提交一份预付款担保，即有权得到你方支付相等金额的预付款。我方愿意就你方提供给承包人的预付款为承包人提供连带责任担保。</w:t>
      </w:r>
    </w:p>
    <w:p>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 担保有效期自预付款支付给承包人起生效，至你方签发的进度款支付证书说明已完全扣清止。</w:t>
      </w:r>
    </w:p>
    <w:p>
      <w:pPr>
        <w:spacing w:line="360" w:lineRule="auto"/>
        <w:ind w:firstLine="420" w:firstLineChars="200"/>
        <w:rPr>
          <w:rFonts w:ascii="宋体" w:hAnsi="宋体"/>
          <w:szCs w:val="21"/>
        </w:rPr>
      </w:pPr>
      <w:r>
        <w:rPr>
          <w:rFonts w:hint="eastAsia" w:ascii="宋体" w:hAnsi="宋体"/>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spacing w:line="360" w:lineRule="auto"/>
        <w:ind w:firstLine="420" w:firstLineChars="200"/>
        <w:rPr>
          <w:rFonts w:ascii="宋体" w:hAnsi="宋体"/>
          <w:szCs w:val="21"/>
        </w:rPr>
      </w:pPr>
      <w:r>
        <w:rPr>
          <w:rFonts w:hint="eastAsia" w:ascii="宋体" w:hAnsi="宋体"/>
          <w:szCs w:val="21"/>
        </w:rPr>
        <w:t>4. 你方和承包人按合同约定变更合同时，我方承担本保函规定的义务不变。</w:t>
      </w:r>
    </w:p>
    <w:p>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pPr>
        <w:spacing w:line="360" w:lineRule="auto"/>
        <w:ind w:firstLine="420" w:firstLineChars="200"/>
        <w:rPr>
          <w:rFonts w:ascii="宋体" w:hAnsi="宋体"/>
          <w:szCs w:val="21"/>
        </w:rPr>
      </w:pPr>
      <w:r>
        <w:rPr>
          <w:rFonts w:hint="eastAsia" w:ascii="宋体" w:hAnsi="宋体"/>
          <w:szCs w:val="21"/>
        </w:rPr>
        <w:t>6. 本保函自我方法定代表人（或其委托代理人）</w:t>
      </w:r>
      <w:r>
        <w:rPr>
          <w:rFonts w:hint="eastAsia" w:ascii="宋体" w:hAnsi="宋体"/>
          <w:szCs w:val="21"/>
          <w:lang w:eastAsia="zh-CN"/>
        </w:rPr>
        <w:t>签名</w:t>
      </w:r>
      <w:r>
        <w:rPr>
          <w:rFonts w:hint="eastAsia" w:ascii="宋体" w:hAnsi="宋体"/>
          <w:szCs w:val="21"/>
        </w:rPr>
        <w:t>并加盖</w:t>
      </w:r>
      <w:r>
        <w:rPr>
          <w:rFonts w:hint="eastAsia" w:ascii="宋体" w:hAnsi="宋体"/>
          <w:szCs w:val="21"/>
          <w:lang w:val="en-US" w:eastAsia="zh-CN"/>
        </w:rPr>
        <w:t>单位</w:t>
      </w:r>
      <w:r>
        <w:rPr>
          <w:rFonts w:hint="eastAsia" w:ascii="宋体" w:hAnsi="宋体"/>
          <w:szCs w:val="21"/>
        </w:rPr>
        <w:t>公章之日起生效。</w:t>
      </w:r>
    </w:p>
    <w:p>
      <w:pPr>
        <w:pStyle w:val="2"/>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（盖单位</w:t>
      </w:r>
      <w:r>
        <w:rPr>
          <w:rFonts w:hint="eastAsia" w:ascii="宋体" w:hAnsi="宋体"/>
          <w:szCs w:val="21"/>
          <w:lang w:eastAsia="zh-CN"/>
        </w:rPr>
        <w:t>公</w:t>
      </w:r>
      <w:r>
        <w:rPr>
          <w:rFonts w:hint="eastAsia" w:ascii="宋体" w:hAnsi="宋体"/>
          <w:szCs w:val="21"/>
        </w:rPr>
        <w:t>章）</w:t>
      </w:r>
    </w:p>
    <w:p>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签名</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r>
        <w:rPr>
          <w:rFonts w:hint="eastAsia" w:ascii="宋体" w:hAnsi="宋体"/>
          <w:szCs w:val="21"/>
        </w:rPr>
        <w:t>邮政编码：</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r>
        <w:rPr>
          <w:rFonts w:hint="eastAsia" w:ascii="宋体" w:hAnsi="宋体"/>
          <w:szCs w:val="21"/>
        </w:rPr>
        <w:t>传    真：</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p>
    <w:p>
      <w:pPr>
        <w:spacing w:line="360" w:lineRule="auto"/>
        <w:ind w:firstLine="420" w:firstLineChars="200"/>
        <w:jc w:val="both"/>
        <w:rPr>
          <w:rFonts w:hint="eastAsia"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360" w:lineRule="auto"/>
        <w:ind w:firstLine="420" w:firstLineChars="200"/>
        <w:jc w:val="both"/>
        <w:rPr>
          <w:rFonts w:hint="eastAsia" w:ascii="宋体" w:hAnsi="宋体"/>
          <w:szCs w:val="21"/>
        </w:rPr>
      </w:pPr>
    </w:p>
    <w:p>
      <w:pPr>
        <w:spacing w:line="360" w:lineRule="auto"/>
        <w:ind w:firstLine="420" w:firstLineChars="200"/>
        <w:jc w:val="both"/>
        <w:rPr>
          <w:rFonts w:ascii="宋体" w:hAnsi="宋体"/>
          <w:szCs w:val="21"/>
        </w:rPr>
      </w:pPr>
      <w:r>
        <w:rPr>
          <w:rFonts w:hint="eastAsia" w:ascii="宋体" w:hAnsi="宋体"/>
          <w:i/>
          <w:iCs/>
          <w:sz w:val="21"/>
          <w:szCs w:val="21"/>
        </w:rPr>
        <w:t>[提示：招标人可以根据项目实际情况，增加本保函在重庆本地的核验要求。]</w:t>
      </w:r>
    </w:p>
    <w:p>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2201" w:name="_Toc296944572"/>
      <w:bookmarkStart w:id="2202" w:name="_Toc296347232"/>
      <w:bookmarkStart w:id="2203" w:name="_Toc296891273"/>
      <w:bookmarkStart w:id="2204" w:name="_Toc296503233"/>
      <w:bookmarkStart w:id="2205" w:name="_Toc296346734"/>
      <w:bookmarkStart w:id="2206" w:name="_Toc296891061"/>
      <w:r>
        <w:rPr>
          <w:rFonts w:hint="eastAsia" w:ascii="宋体" w:hAnsi="宋体"/>
          <w:szCs w:val="21"/>
        </w:rPr>
        <w:t>件</w:t>
      </w:r>
      <w:r>
        <w:rPr>
          <w:rFonts w:ascii="宋体" w:hAnsi="宋体"/>
          <w:szCs w:val="21"/>
        </w:rPr>
        <w:t>6</w:t>
      </w:r>
      <w:r>
        <w:rPr>
          <w:rFonts w:hint="eastAsia" w:ascii="宋体" w:hAnsi="宋体"/>
          <w:szCs w:val="21"/>
        </w:rPr>
        <w:t>：</w:t>
      </w:r>
    </w:p>
    <w:bookmarkEnd w:id="2201"/>
    <w:bookmarkEnd w:id="2202"/>
    <w:bookmarkEnd w:id="2203"/>
    <w:bookmarkEnd w:id="2204"/>
    <w:bookmarkEnd w:id="2205"/>
    <w:bookmarkEnd w:id="2206"/>
    <w:p>
      <w:pPr>
        <w:spacing w:line="360" w:lineRule="auto"/>
        <w:ind w:firstLine="420" w:firstLineChars="200"/>
        <w:jc w:val="center"/>
        <w:rPr>
          <w:rFonts w:ascii="宋体" w:hAnsi="宋体"/>
          <w:szCs w:val="21"/>
        </w:rPr>
      </w:pPr>
      <w:r>
        <w:rPr>
          <w:rFonts w:hint="eastAsia" w:ascii="宋体" w:hAnsi="宋体"/>
          <w:szCs w:val="21"/>
        </w:rPr>
        <w:t>支付担保（如有）</w:t>
      </w:r>
    </w:p>
    <w:p>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rPr>
        <w:t>（承包人）：</w:t>
      </w:r>
    </w:p>
    <w:p>
      <w:pPr>
        <w:spacing w:line="360" w:lineRule="auto"/>
        <w:ind w:firstLine="420" w:firstLineChars="200"/>
        <w:rPr>
          <w:rFonts w:ascii="宋体" w:hAnsi="宋体"/>
          <w:szCs w:val="21"/>
        </w:rPr>
      </w:pPr>
      <w:r>
        <w:rPr>
          <w:rFonts w:hint="eastAsia" w:ascii="宋体" w:hAnsi="宋体"/>
          <w:szCs w:val="21"/>
        </w:rPr>
        <w:t xml:space="preserve">鉴于你方作为承包人已经与 </w:t>
      </w:r>
      <w:r>
        <w:rPr>
          <w:rFonts w:hint="eastAsia" w:ascii="宋体" w:hAnsi="宋体"/>
          <w:szCs w:val="21"/>
          <w:u w:val="single"/>
        </w:rPr>
        <w:t xml:space="preserve">            </w:t>
      </w:r>
      <w:r>
        <w:rPr>
          <w:rFonts w:hint="eastAsia" w:ascii="宋体" w:hAnsi="宋体"/>
          <w:szCs w:val="21"/>
        </w:rPr>
        <w:t>（发包人名称）（以下称“发包人”）于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日签订了</w:t>
      </w:r>
      <w:r>
        <w:rPr>
          <w:rFonts w:hint="eastAsia" w:ascii="宋体" w:hAnsi="宋体"/>
          <w:szCs w:val="21"/>
          <w:u w:val="single"/>
        </w:rPr>
        <w:t xml:space="preserve">             </w:t>
      </w:r>
      <w:r>
        <w:rPr>
          <w:rFonts w:hint="eastAsia" w:ascii="宋体" w:hAnsi="宋体"/>
          <w:szCs w:val="21"/>
        </w:rPr>
        <w:t>（工程名称）《建设工程施工合同》（以下称“主合同”），应发包人的申请，我方愿就发包人履行主合同约定的工程款支付义务以保证的方式向你方提供如下担保：</w:t>
      </w:r>
    </w:p>
    <w:p>
      <w:pPr>
        <w:spacing w:line="360" w:lineRule="auto"/>
        <w:ind w:firstLine="420" w:firstLineChars="200"/>
        <w:rPr>
          <w:rFonts w:ascii="宋体" w:hAnsi="宋体"/>
          <w:szCs w:val="21"/>
        </w:rPr>
      </w:pPr>
      <w:bookmarkStart w:id="2207" w:name="_Toc532375692"/>
      <w:r>
        <w:rPr>
          <w:rFonts w:hint="eastAsia" w:ascii="宋体" w:hAnsi="宋体"/>
          <w:szCs w:val="21"/>
        </w:rPr>
        <w:t>一、保证的范围及保证金额</w:t>
      </w:r>
      <w:bookmarkEnd w:id="2207"/>
    </w:p>
    <w:p>
      <w:pPr>
        <w:spacing w:line="360" w:lineRule="auto"/>
        <w:ind w:firstLine="420" w:firstLineChars="200"/>
        <w:rPr>
          <w:rFonts w:ascii="宋体" w:hAnsi="宋体"/>
          <w:szCs w:val="21"/>
        </w:rPr>
      </w:pPr>
      <w:r>
        <w:rPr>
          <w:rFonts w:hint="eastAsia" w:ascii="宋体" w:hAnsi="宋体"/>
          <w:szCs w:val="21"/>
        </w:rPr>
        <w:t>1. 我方的保证范围是主合同约定的工程款。</w:t>
      </w:r>
    </w:p>
    <w:p>
      <w:pPr>
        <w:spacing w:line="360" w:lineRule="auto"/>
        <w:ind w:firstLine="420" w:firstLineChars="200"/>
        <w:rPr>
          <w:rFonts w:ascii="宋体" w:hAnsi="宋体"/>
          <w:szCs w:val="21"/>
        </w:rPr>
      </w:pPr>
      <w:r>
        <w:rPr>
          <w:rFonts w:hint="eastAsia" w:ascii="宋体" w:hAnsi="宋体"/>
          <w:szCs w:val="21"/>
        </w:rPr>
        <w:t>2. 本保函所称主合同约定的工程款是指主合同约定的除工程质量保证金以外的合同价款。</w:t>
      </w:r>
    </w:p>
    <w:p>
      <w:pPr>
        <w:spacing w:line="360" w:lineRule="auto"/>
        <w:ind w:firstLine="420" w:firstLineChars="200"/>
        <w:rPr>
          <w:rFonts w:ascii="宋体" w:hAnsi="宋体"/>
          <w:szCs w:val="21"/>
        </w:rPr>
      </w:pPr>
      <w:r>
        <w:rPr>
          <w:rFonts w:hint="eastAsia" w:ascii="宋体" w:hAnsi="宋体"/>
          <w:szCs w:val="21"/>
        </w:rPr>
        <w:t>3. 我方保证的金额是主合同约定的工程款的</w:t>
      </w:r>
      <w:r>
        <w:rPr>
          <w:rFonts w:hint="eastAsia" w:ascii="宋体" w:hAnsi="宋体"/>
          <w:szCs w:val="21"/>
          <w:u w:val="single"/>
        </w:rPr>
        <w:t xml:space="preserve">      </w:t>
      </w:r>
      <w:r>
        <w:rPr>
          <w:rFonts w:hint="eastAsia" w:ascii="宋体" w:hAnsi="宋体"/>
          <w:szCs w:val="21"/>
        </w:rPr>
        <w:t xml:space="preserve"> %，数额最高不超过人民币元（大写：</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bookmarkStart w:id="2208" w:name="_Toc532375693"/>
      <w:r>
        <w:rPr>
          <w:rFonts w:hint="eastAsia" w:ascii="宋体" w:hAnsi="宋体"/>
          <w:szCs w:val="21"/>
        </w:rPr>
        <w:t>二、保证的方式及保证期间</w:t>
      </w:r>
      <w:bookmarkEnd w:id="2208"/>
    </w:p>
    <w:p>
      <w:pPr>
        <w:spacing w:line="360" w:lineRule="auto"/>
        <w:ind w:firstLine="420" w:firstLineChars="200"/>
        <w:rPr>
          <w:rFonts w:ascii="宋体" w:hAnsi="宋体"/>
          <w:szCs w:val="21"/>
        </w:rPr>
      </w:pPr>
      <w:r>
        <w:rPr>
          <w:rFonts w:hint="eastAsia" w:ascii="宋体" w:hAnsi="宋体"/>
          <w:szCs w:val="21"/>
        </w:rPr>
        <w:t>1. 我方保证的方式为：连带责任保证。</w:t>
      </w:r>
    </w:p>
    <w:p>
      <w:pPr>
        <w:spacing w:line="360" w:lineRule="auto"/>
        <w:ind w:firstLine="420" w:firstLineChars="200"/>
        <w:rPr>
          <w:rFonts w:ascii="宋体" w:hAnsi="宋体"/>
          <w:szCs w:val="21"/>
        </w:rPr>
      </w:pPr>
      <w:r>
        <w:rPr>
          <w:rFonts w:hint="eastAsia" w:ascii="宋体" w:hAnsi="宋体"/>
          <w:szCs w:val="21"/>
        </w:rPr>
        <w:t>2. 我方保证的期间为：自合同生效之日起至主合同约定的工程款支付完毕之日后</w:t>
      </w:r>
      <w:r>
        <w:rPr>
          <w:rFonts w:hint="eastAsia" w:ascii="宋体" w:hAnsi="宋体"/>
          <w:szCs w:val="21"/>
          <w:u w:val="single"/>
        </w:rPr>
        <w:t xml:space="preserve">    </w:t>
      </w:r>
      <w:r>
        <w:rPr>
          <w:rFonts w:hint="eastAsia" w:ascii="宋体" w:hAnsi="宋体"/>
          <w:szCs w:val="21"/>
        </w:rPr>
        <w:t>日内。</w:t>
      </w:r>
    </w:p>
    <w:p>
      <w:pPr>
        <w:spacing w:line="360" w:lineRule="auto"/>
        <w:ind w:firstLine="420" w:firstLineChars="200"/>
        <w:rPr>
          <w:rFonts w:ascii="宋体" w:hAnsi="宋体"/>
          <w:szCs w:val="21"/>
        </w:rPr>
      </w:pPr>
      <w:r>
        <w:rPr>
          <w:rFonts w:hint="eastAsia" w:ascii="宋体" w:hAnsi="宋体"/>
          <w:szCs w:val="21"/>
        </w:rPr>
        <w:t>3. 你方与发包人协议变更工程款支付日期的，经我方书面同意后，保证期间按照变更后的支付日期做相应调整。</w:t>
      </w:r>
    </w:p>
    <w:p>
      <w:pPr>
        <w:spacing w:line="360" w:lineRule="auto"/>
        <w:ind w:firstLine="420" w:firstLineChars="200"/>
        <w:rPr>
          <w:rFonts w:ascii="宋体" w:hAnsi="宋体"/>
          <w:szCs w:val="21"/>
        </w:rPr>
      </w:pPr>
      <w:bookmarkStart w:id="2209" w:name="_Toc532375694"/>
      <w:r>
        <w:rPr>
          <w:rFonts w:hint="eastAsia" w:ascii="宋体" w:hAnsi="宋体"/>
          <w:szCs w:val="21"/>
        </w:rPr>
        <w:t>三、承担保证责任的形式</w:t>
      </w:r>
      <w:bookmarkEnd w:id="2209"/>
    </w:p>
    <w:p>
      <w:pPr>
        <w:spacing w:line="360" w:lineRule="auto"/>
        <w:ind w:firstLine="420" w:firstLineChars="200"/>
        <w:rPr>
          <w:rFonts w:ascii="宋体" w:hAnsi="宋体"/>
          <w:szCs w:val="21"/>
        </w:rPr>
      </w:pPr>
      <w:r>
        <w:rPr>
          <w:rFonts w:hint="eastAsia" w:ascii="宋体" w:hAnsi="宋体"/>
          <w:szCs w:val="21"/>
        </w:rPr>
        <w:t>我方承担保证责任的形式是代为支付。发包人未按主合同约定向你方支付工程款的，由我方在保证金额内代为支付。</w:t>
      </w:r>
    </w:p>
    <w:p>
      <w:pPr>
        <w:spacing w:line="360" w:lineRule="auto"/>
        <w:ind w:firstLine="420" w:firstLineChars="200"/>
        <w:rPr>
          <w:rFonts w:ascii="宋体" w:hAnsi="宋体"/>
          <w:szCs w:val="21"/>
        </w:rPr>
      </w:pPr>
      <w:bookmarkStart w:id="2210" w:name="_Toc532375695"/>
      <w:r>
        <w:rPr>
          <w:rFonts w:hint="eastAsia" w:ascii="宋体" w:hAnsi="宋体"/>
          <w:szCs w:val="21"/>
        </w:rPr>
        <w:t>四、代偿的安排</w:t>
      </w:r>
      <w:bookmarkEnd w:id="2210"/>
    </w:p>
    <w:p>
      <w:pPr>
        <w:spacing w:line="360" w:lineRule="auto"/>
        <w:ind w:firstLine="420" w:firstLineChars="200"/>
        <w:rPr>
          <w:rFonts w:ascii="宋体" w:hAnsi="宋体"/>
          <w:szCs w:val="21"/>
        </w:rPr>
      </w:pPr>
      <w:r>
        <w:rPr>
          <w:rFonts w:hint="eastAsia" w:ascii="宋体" w:hAnsi="宋体"/>
          <w:szCs w:val="21"/>
        </w:rPr>
        <w:t>1. 你方要求我方承担保证责任的，应向我方发出书面索赔通知及发包人未支付主合同约定工程款的证明材料。索赔通知应写明要求索赔的金额，支付款项应到达的账号。</w:t>
      </w:r>
    </w:p>
    <w:p>
      <w:pPr>
        <w:spacing w:line="360" w:lineRule="auto"/>
        <w:ind w:firstLine="420" w:firstLineChars="200"/>
        <w:rPr>
          <w:rFonts w:ascii="宋体" w:hAnsi="宋体"/>
          <w:szCs w:val="21"/>
        </w:rPr>
      </w:pPr>
      <w:r>
        <w:rPr>
          <w:rFonts w:hint="eastAsia" w:ascii="宋体" w:hAnsi="宋体"/>
          <w:szCs w:val="21"/>
        </w:rPr>
        <w:t>2. 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firstLine="420" w:firstLineChars="200"/>
        <w:rPr>
          <w:rFonts w:ascii="宋体" w:hAnsi="宋体"/>
          <w:szCs w:val="21"/>
        </w:rPr>
      </w:pPr>
      <w:r>
        <w:rPr>
          <w:rFonts w:hint="eastAsia" w:ascii="宋体" w:hAnsi="宋体"/>
          <w:szCs w:val="21"/>
        </w:rPr>
        <w:t>3. 我方收到你方的书面索赔通知及相应的证明材料后７天内无条件支付。</w:t>
      </w:r>
    </w:p>
    <w:p>
      <w:pPr>
        <w:spacing w:line="360" w:lineRule="auto"/>
        <w:ind w:firstLine="420" w:firstLineChars="200"/>
        <w:rPr>
          <w:rFonts w:ascii="宋体" w:hAnsi="宋体"/>
          <w:szCs w:val="21"/>
        </w:rPr>
      </w:pPr>
      <w:bookmarkStart w:id="2211" w:name="_Toc532375696"/>
      <w:r>
        <w:rPr>
          <w:rFonts w:hint="eastAsia" w:ascii="宋体" w:hAnsi="宋体"/>
          <w:szCs w:val="21"/>
        </w:rPr>
        <w:t>五、保证责任的解除</w:t>
      </w:r>
      <w:bookmarkEnd w:id="2211"/>
    </w:p>
    <w:p>
      <w:pPr>
        <w:spacing w:line="360" w:lineRule="auto"/>
        <w:ind w:firstLine="420" w:firstLineChars="200"/>
        <w:rPr>
          <w:rFonts w:ascii="宋体" w:hAnsi="宋体"/>
          <w:szCs w:val="21"/>
        </w:rPr>
      </w:pPr>
      <w:r>
        <w:rPr>
          <w:rFonts w:hint="eastAsia" w:ascii="宋体" w:hAnsi="宋体"/>
          <w:szCs w:val="21"/>
        </w:rPr>
        <w:t>1. 在本保函承诺的保证期间内，你方未书面向我方主张保证责任的，自保证期间届满次日起，我方保证责任解除。</w:t>
      </w:r>
    </w:p>
    <w:p>
      <w:pPr>
        <w:spacing w:line="360" w:lineRule="auto"/>
        <w:ind w:firstLine="420" w:firstLineChars="200"/>
        <w:rPr>
          <w:rFonts w:ascii="宋体" w:hAnsi="宋体"/>
          <w:szCs w:val="21"/>
        </w:rPr>
      </w:pPr>
      <w:r>
        <w:rPr>
          <w:rFonts w:hint="eastAsia" w:ascii="宋体" w:hAnsi="宋体"/>
          <w:szCs w:val="21"/>
        </w:rPr>
        <w:t>2. 发包人按主合同约定履行了工程款的全部支付义务的，自本保函承诺的保证期间届满次日起，我方保证责任解除。</w:t>
      </w:r>
    </w:p>
    <w:p>
      <w:pPr>
        <w:spacing w:line="360" w:lineRule="auto"/>
        <w:ind w:firstLine="420" w:firstLineChars="200"/>
        <w:rPr>
          <w:rFonts w:ascii="宋体" w:hAnsi="宋体"/>
          <w:szCs w:val="21"/>
        </w:rPr>
      </w:pPr>
      <w:r>
        <w:rPr>
          <w:rFonts w:hint="eastAsia" w:ascii="宋体" w:hAnsi="宋体"/>
          <w:szCs w:val="21"/>
        </w:rPr>
        <w:t>3. 我方按照本保函向你方履行保证责任所支付金额达到本保函保证金额时，自我方向你方支付（支付款项从我方账户划出）之日起，保证责任即解除。</w:t>
      </w:r>
    </w:p>
    <w:p>
      <w:pPr>
        <w:spacing w:line="360" w:lineRule="auto"/>
        <w:ind w:firstLine="420" w:firstLineChars="200"/>
        <w:rPr>
          <w:rFonts w:ascii="宋体" w:hAnsi="宋体"/>
          <w:szCs w:val="21"/>
        </w:rPr>
      </w:pPr>
      <w:r>
        <w:rPr>
          <w:rFonts w:hint="eastAsia" w:ascii="宋体" w:hAnsi="宋体"/>
          <w:szCs w:val="21"/>
        </w:rPr>
        <w:t>4. 按照法律法规的规定或出现应解除我方保证责任的其他情形的，我方在本保函项下的保证责任亦解除。</w:t>
      </w:r>
    </w:p>
    <w:p>
      <w:pPr>
        <w:spacing w:line="360" w:lineRule="auto"/>
        <w:ind w:firstLine="420" w:firstLineChars="200"/>
        <w:rPr>
          <w:rFonts w:ascii="宋体" w:hAnsi="宋体"/>
          <w:szCs w:val="21"/>
        </w:rPr>
      </w:pPr>
      <w:r>
        <w:rPr>
          <w:rFonts w:hint="eastAsia" w:ascii="宋体" w:hAnsi="宋体"/>
          <w:szCs w:val="21"/>
        </w:rPr>
        <w:t>5. 我方解除保证责任后，你方应自我方保证责任解除之日起  个工作日内，将本保函原件返还我方。</w:t>
      </w:r>
    </w:p>
    <w:p>
      <w:pPr>
        <w:spacing w:line="360" w:lineRule="auto"/>
        <w:ind w:firstLine="420" w:firstLineChars="200"/>
        <w:rPr>
          <w:rFonts w:ascii="宋体" w:hAnsi="宋体"/>
          <w:szCs w:val="21"/>
        </w:rPr>
      </w:pPr>
      <w:bookmarkStart w:id="2212" w:name="_Toc532375697"/>
      <w:r>
        <w:rPr>
          <w:rFonts w:hint="eastAsia" w:ascii="宋体" w:hAnsi="宋体"/>
          <w:szCs w:val="21"/>
        </w:rPr>
        <w:t>六、免责条款</w:t>
      </w:r>
      <w:bookmarkEnd w:id="2212"/>
    </w:p>
    <w:p>
      <w:pPr>
        <w:spacing w:line="360" w:lineRule="auto"/>
        <w:ind w:firstLine="420" w:firstLineChars="200"/>
        <w:rPr>
          <w:rFonts w:ascii="宋体" w:hAnsi="宋体"/>
          <w:szCs w:val="21"/>
        </w:rPr>
      </w:pPr>
      <w:r>
        <w:rPr>
          <w:rFonts w:hint="eastAsia" w:ascii="宋体" w:hAnsi="宋体"/>
          <w:szCs w:val="21"/>
        </w:rPr>
        <w:t>1. 因你方违约致使发包人不能履行义务的，我方不承担保证责任。</w:t>
      </w:r>
    </w:p>
    <w:p>
      <w:pPr>
        <w:spacing w:line="360" w:lineRule="auto"/>
        <w:ind w:firstLine="420" w:firstLineChars="200"/>
        <w:rPr>
          <w:rFonts w:ascii="宋体" w:hAnsi="宋体"/>
          <w:szCs w:val="21"/>
        </w:rPr>
      </w:pPr>
      <w:r>
        <w:rPr>
          <w:rFonts w:hint="eastAsia" w:ascii="宋体" w:hAnsi="宋体"/>
          <w:szCs w:val="21"/>
        </w:rPr>
        <w:t>2. 依照法律法规的规定或你方与发包人的另行约定，免除发包人部分或全部义务的，我方亦免除其相应的保证责任。</w:t>
      </w:r>
    </w:p>
    <w:p>
      <w:pPr>
        <w:spacing w:line="360" w:lineRule="auto"/>
        <w:ind w:firstLine="420" w:firstLineChars="200"/>
        <w:rPr>
          <w:rFonts w:ascii="宋体" w:hAnsi="宋体"/>
          <w:szCs w:val="21"/>
        </w:rPr>
      </w:pPr>
      <w:r>
        <w:rPr>
          <w:rFonts w:hint="eastAsia" w:ascii="宋体" w:hAnsi="宋体"/>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pPr>
        <w:spacing w:line="360" w:lineRule="auto"/>
        <w:ind w:firstLine="420" w:firstLineChars="200"/>
        <w:rPr>
          <w:rFonts w:ascii="宋体" w:hAnsi="宋体"/>
          <w:szCs w:val="21"/>
        </w:rPr>
      </w:pPr>
      <w:r>
        <w:rPr>
          <w:rFonts w:hint="eastAsia" w:ascii="宋体" w:hAnsi="宋体"/>
          <w:szCs w:val="21"/>
        </w:rPr>
        <w:t>4. 因不可抗力造成发包人不能履行义务的，我方不承担保证责任。</w:t>
      </w:r>
    </w:p>
    <w:p>
      <w:pPr>
        <w:spacing w:line="360" w:lineRule="auto"/>
        <w:ind w:firstLine="420" w:firstLineChars="200"/>
        <w:rPr>
          <w:rFonts w:ascii="宋体" w:hAnsi="宋体"/>
          <w:szCs w:val="21"/>
        </w:rPr>
      </w:pPr>
      <w:bookmarkStart w:id="2213" w:name="_Toc532375698"/>
      <w:r>
        <w:rPr>
          <w:rFonts w:hint="eastAsia" w:ascii="宋体" w:hAnsi="宋体"/>
          <w:szCs w:val="21"/>
        </w:rPr>
        <w:t>七、争议解决</w:t>
      </w:r>
      <w:bookmarkEnd w:id="2213"/>
    </w:p>
    <w:p>
      <w:pPr>
        <w:spacing w:line="360" w:lineRule="auto"/>
        <w:ind w:firstLine="420" w:firstLineChars="200"/>
        <w:rPr>
          <w:rFonts w:ascii="宋体" w:hAnsi="宋体"/>
          <w:szCs w:val="21"/>
        </w:rPr>
      </w:pPr>
      <w:r>
        <w:rPr>
          <w:rFonts w:hint="eastAsia" w:ascii="宋体" w:hAnsi="宋体"/>
          <w:szCs w:val="21"/>
        </w:rPr>
        <w:t>因本保函或本保函相关事项发生的纠纷，可由双方协商解决，协商不成的，按下列第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pPr>
        <w:spacing w:line="360" w:lineRule="auto"/>
        <w:ind w:firstLine="420" w:firstLineChars="200"/>
        <w:rPr>
          <w:rFonts w:ascii="宋体" w:hAnsi="宋体"/>
          <w:szCs w:val="21"/>
        </w:rPr>
      </w:pPr>
      <w:bookmarkStart w:id="2214" w:name="_Toc532375699"/>
      <w:r>
        <w:rPr>
          <w:rFonts w:hint="eastAsia" w:ascii="宋体" w:hAnsi="宋体"/>
          <w:szCs w:val="21"/>
        </w:rPr>
        <w:t>八、保函的生效</w:t>
      </w:r>
      <w:bookmarkEnd w:id="2214"/>
    </w:p>
    <w:p>
      <w:pPr>
        <w:spacing w:line="360" w:lineRule="auto"/>
        <w:ind w:firstLine="420" w:firstLineChars="200"/>
        <w:rPr>
          <w:rFonts w:ascii="宋体" w:hAnsi="宋体"/>
          <w:szCs w:val="21"/>
        </w:rPr>
      </w:pPr>
      <w:r>
        <w:rPr>
          <w:rFonts w:hint="eastAsia" w:ascii="宋体" w:hAnsi="宋体"/>
          <w:szCs w:val="21"/>
        </w:rPr>
        <w:t>本保函自我方法定代表人（或其委托代理人）</w:t>
      </w:r>
      <w:r>
        <w:rPr>
          <w:rFonts w:hint="eastAsia" w:ascii="宋体" w:hAnsi="宋体"/>
          <w:szCs w:val="21"/>
          <w:lang w:eastAsia="zh-CN"/>
        </w:rPr>
        <w:t>签名</w:t>
      </w:r>
      <w:r>
        <w:rPr>
          <w:rFonts w:hint="eastAsia" w:ascii="宋体" w:hAnsi="宋体"/>
          <w:szCs w:val="21"/>
        </w:rPr>
        <w:t>并加盖</w:t>
      </w:r>
      <w:r>
        <w:rPr>
          <w:rFonts w:hint="eastAsia" w:ascii="宋体" w:hAnsi="宋体"/>
          <w:szCs w:val="21"/>
          <w:lang w:val="en-US" w:eastAsia="zh-CN"/>
        </w:rPr>
        <w:t>单位</w:t>
      </w:r>
      <w:r>
        <w:rPr>
          <w:rFonts w:hint="eastAsia" w:ascii="宋体" w:hAnsi="宋体"/>
          <w:szCs w:val="21"/>
        </w:rPr>
        <w:t>公章之日起生效。</w:t>
      </w:r>
    </w:p>
    <w:p>
      <w:pPr>
        <w:spacing w:line="360" w:lineRule="auto"/>
        <w:ind w:firstLine="420" w:firstLineChars="200"/>
        <w:jc w:val="left"/>
        <w:rPr>
          <w:rFonts w:ascii="宋体" w:hAnsi="宋体"/>
          <w:szCs w:val="21"/>
        </w:rPr>
      </w:pPr>
    </w:p>
    <w:p>
      <w:pPr>
        <w:spacing w:line="360" w:lineRule="auto"/>
        <w:ind w:firstLine="420" w:firstLineChars="200"/>
        <w:jc w:val="left"/>
        <w:rPr>
          <w:rFonts w:ascii="宋体" w:hAnsi="宋体"/>
          <w:szCs w:val="21"/>
        </w:rPr>
      </w:pPr>
    </w:p>
    <w:p>
      <w:pPr>
        <w:spacing w:line="360" w:lineRule="auto"/>
        <w:ind w:firstLine="420" w:firstLineChars="200"/>
        <w:jc w:val="left"/>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w:t>
      </w:r>
      <w:r>
        <w:rPr>
          <w:rFonts w:hint="eastAsia" w:ascii="宋体" w:hAnsi="宋体"/>
          <w:szCs w:val="21"/>
          <w:lang w:val="en-US" w:eastAsia="zh-CN"/>
        </w:rPr>
        <w:t>单位公</w:t>
      </w:r>
      <w:r>
        <w:rPr>
          <w:rFonts w:hint="eastAsia" w:ascii="宋体" w:hAnsi="宋体"/>
          <w:szCs w:val="21"/>
        </w:rPr>
        <w:t>章）</w:t>
      </w:r>
    </w:p>
    <w:p>
      <w:pPr>
        <w:spacing w:line="360" w:lineRule="auto"/>
        <w:ind w:firstLine="420" w:firstLineChars="200"/>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签名</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地    址：</w:t>
      </w:r>
      <w:r>
        <w:rPr>
          <w:rFonts w:hint="eastAsia" w:ascii="宋体" w:hAnsi="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邮政编码：</w:t>
      </w:r>
      <w:r>
        <w:rPr>
          <w:rFonts w:hint="eastAsia" w:ascii="宋体" w:hAnsi="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传    真：</w:t>
      </w:r>
      <w:r>
        <w:rPr>
          <w:rFonts w:hint="eastAsia" w:ascii="宋体" w:hAnsi="宋体"/>
          <w:szCs w:val="21"/>
          <w:u w:val="single"/>
        </w:rPr>
        <w:t xml:space="preserve">                                        </w:t>
      </w:r>
    </w:p>
    <w:p>
      <w:pPr>
        <w:spacing w:line="360" w:lineRule="auto"/>
        <w:ind w:firstLine="420" w:firstLineChars="200"/>
        <w:rPr>
          <w:rFonts w:ascii="宋体" w:hAnsi="宋体"/>
          <w:szCs w:val="21"/>
        </w:rPr>
      </w:pPr>
      <w:r>
        <w:rPr>
          <w:rFonts w:hint="eastAsia" w:ascii="宋体" w:hAnsi="宋体"/>
          <w:szCs w:val="21"/>
        </w:rPr>
        <w:t xml:space="preserve">           </w:t>
      </w:r>
    </w:p>
    <w:p>
      <w:pPr>
        <w:spacing w:line="360" w:lineRule="auto"/>
        <w:ind w:firstLine="420" w:firstLineChars="200"/>
        <w:jc w:val="left"/>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360" w:lineRule="auto"/>
        <w:ind w:firstLine="420" w:firstLineChars="200"/>
        <w:jc w:val="left"/>
        <w:rPr>
          <w:rFonts w:hint="eastAsia" w:ascii="宋体" w:hAnsi="宋体"/>
          <w:szCs w:val="21"/>
        </w:rPr>
      </w:pPr>
    </w:p>
    <w:p>
      <w:pPr>
        <w:spacing w:line="360" w:lineRule="auto"/>
        <w:ind w:firstLine="420" w:firstLineChars="200"/>
        <w:jc w:val="left"/>
        <w:rPr>
          <w:rFonts w:ascii="宋体" w:hAnsi="宋体"/>
          <w:szCs w:val="21"/>
        </w:rPr>
      </w:pPr>
      <w:r>
        <w:rPr>
          <w:rFonts w:hint="eastAsia" w:ascii="宋体" w:hAnsi="宋体"/>
          <w:i/>
          <w:iCs/>
          <w:sz w:val="21"/>
          <w:szCs w:val="21"/>
        </w:rPr>
        <w:t>[提示：招标人可以根据项目实际情况，增加本保函在重庆本地的核验要求。]</w:t>
      </w:r>
      <w:r>
        <w:rPr>
          <w:rFonts w:hint="eastAsia" w:ascii="宋体" w:hAnsi="宋体"/>
          <w:szCs w:val="21"/>
        </w:rPr>
        <w:br w:type="page"/>
      </w:r>
    </w:p>
    <w:p>
      <w:pPr>
        <w:spacing w:line="480" w:lineRule="auto"/>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w:t>
      </w:r>
    </w:p>
    <w:p>
      <w:pPr>
        <w:spacing w:before="156" w:beforeLines="50" w:after="156" w:afterLines="50" w:line="480" w:lineRule="auto"/>
        <w:jc w:val="center"/>
        <w:rPr>
          <w:rFonts w:ascii="宋体" w:hAnsi="宋体"/>
          <w:szCs w:val="21"/>
        </w:rPr>
      </w:pPr>
      <w:r>
        <w:rPr>
          <w:rFonts w:hint="eastAsia" w:ascii="宋体" w:hAnsi="宋体"/>
          <w:szCs w:val="21"/>
        </w:rPr>
        <w:t>专业工程暂估价表</w:t>
      </w:r>
    </w:p>
    <w:tbl>
      <w:tblPr>
        <w:tblStyle w:val="45"/>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3"/>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jc w:val="center"/>
              <w:rPr>
                <w:rFonts w:ascii="宋体" w:hAnsi="宋体"/>
                <w:szCs w:val="21"/>
              </w:rPr>
            </w:pPr>
            <w:r>
              <w:rPr>
                <w:rFonts w:hint="eastAsia" w:ascii="宋体" w:hAnsi="宋体"/>
                <w:szCs w:val="21"/>
              </w:rPr>
              <w:t>序号</w:t>
            </w:r>
          </w:p>
        </w:tc>
        <w:tc>
          <w:tcPr>
            <w:tcW w:w="1984" w:type="dxa"/>
          </w:tcPr>
          <w:p>
            <w:pPr>
              <w:spacing w:line="400" w:lineRule="exact"/>
              <w:jc w:val="center"/>
              <w:rPr>
                <w:rFonts w:ascii="宋体" w:hAnsi="宋体"/>
                <w:szCs w:val="21"/>
              </w:rPr>
            </w:pPr>
            <w:r>
              <w:rPr>
                <w:rFonts w:hint="eastAsia" w:ascii="宋体" w:hAnsi="宋体"/>
                <w:szCs w:val="21"/>
              </w:rPr>
              <w:t>专业工程名称</w:t>
            </w:r>
          </w:p>
        </w:tc>
        <w:tc>
          <w:tcPr>
            <w:tcW w:w="5103" w:type="dxa"/>
          </w:tcPr>
          <w:p>
            <w:pPr>
              <w:spacing w:line="400" w:lineRule="exact"/>
              <w:jc w:val="center"/>
              <w:rPr>
                <w:rFonts w:ascii="宋体" w:hAnsi="宋体"/>
                <w:szCs w:val="21"/>
              </w:rPr>
            </w:pPr>
            <w:r>
              <w:rPr>
                <w:rFonts w:hint="eastAsia" w:ascii="宋体" w:hAnsi="宋体"/>
                <w:szCs w:val="21"/>
              </w:rPr>
              <w:t>工程内容</w:t>
            </w:r>
          </w:p>
        </w:tc>
        <w:tc>
          <w:tcPr>
            <w:tcW w:w="1560" w:type="dxa"/>
          </w:tcPr>
          <w:p>
            <w:pPr>
              <w:spacing w:line="400" w:lineRule="exact"/>
              <w:jc w:val="center"/>
              <w:rPr>
                <w:rFonts w:ascii="宋体" w:hAnsi="宋体"/>
                <w:szCs w:val="21"/>
              </w:rPr>
            </w:pPr>
            <w:r>
              <w:rPr>
                <w:rFonts w:hint="eastAsia" w:ascii="宋体" w:hAnsi="宋体"/>
                <w:szCs w:val="21"/>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26" w:type="dxa"/>
            <w:gridSpan w:val="4"/>
          </w:tcPr>
          <w:p>
            <w:pPr>
              <w:spacing w:line="400" w:lineRule="exact"/>
              <w:ind w:firstLine="420" w:firstLineChars="200"/>
              <w:rPr>
                <w:rFonts w:ascii="宋体" w:hAnsi="宋体"/>
                <w:szCs w:val="21"/>
              </w:rPr>
            </w:pPr>
            <w:r>
              <w:rPr>
                <w:rFonts w:hint="eastAsia" w:ascii="宋体" w:hAnsi="宋体"/>
                <w:szCs w:val="21"/>
              </w:rPr>
              <w:t>小计：</w:t>
            </w:r>
          </w:p>
        </w:tc>
      </w:tr>
    </w:tbl>
    <w:p>
      <w:pPr>
        <w:spacing w:line="360" w:lineRule="auto"/>
        <w:ind w:firstLine="420" w:firstLineChars="200"/>
        <w:rPr>
          <w:rFonts w:ascii="宋体" w:hAnsi="宋体"/>
          <w:szCs w:val="21"/>
        </w:rPr>
      </w:pPr>
    </w:p>
    <w:p>
      <w:pPr>
        <w:pStyle w:val="2"/>
        <w:spacing w:line="360" w:lineRule="auto"/>
        <w:rPr>
          <w:rFonts w:ascii="宋体" w:hAnsi="宋体"/>
          <w:szCs w:val="21"/>
        </w:rPr>
      </w:pPr>
    </w:p>
    <w:p>
      <w:pPr>
        <w:spacing w:line="480" w:lineRule="auto"/>
        <w:ind w:firstLine="420" w:firstLineChars="200"/>
        <w:rPr>
          <w:rFonts w:ascii="宋体" w:hAnsi="宋体"/>
          <w:szCs w:val="21"/>
        </w:rPr>
      </w:pPr>
      <w:r>
        <w:rPr>
          <w:rFonts w:ascii="宋体" w:hAnsi="宋体"/>
          <w:szCs w:val="21"/>
        </w:rPr>
        <w:br w:type="page"/>
      </w:r>
    </w:p>
    <w:p>
      <w:pPr>
        <w:spacing w:line="480" w:lineRule="auto"/>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w:t>
      </w:r>
    </w:p>
    <w:p>
      <w:pPr>
        <w:spacing w:before="156" w:beforeLines="50" w:after="156" w:afterLines="50" w:line="480" w:lineRule="auto"/>
        <w:jc w:val="center"/>
        <w:rPr>
          <w:rFonts w:ascii="宋体" w:hAnsi="宋体"/>
          <w:szCs w:val="21"/>
        </w:rPr>
      </w:pPr>
      <w:r>
        <w:rPr>
          <w:rFonts w:hint="eastAsia" w:ascii="宋体" w:hAnsi="宋体"/>
          <w:szCs w:val="21"/>
        </w:rPr>
        <w:t>廉洁从业协议</w:t>
      </w:r>
    </w:p>
    <w:p>
      <w:pPr>
        <w:snapToGrid w:val="0"/>
        <w:spacing w:line="360" w:lineRule="auto"/>
        <w:ind w:firstLine="421"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1"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ascii="宋体" w:hAnsi="宋体"/>
          <w:szCs w:val="21"/>
        </w:rPr>
      </w:pPr>
      <w:r>
        <w:rPr>
          <w:rFonts w:hint="eastAsia" w:ascii="宋体" w:hAnsi="宋体"/>
          <w:szCs w:val="21"/>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pPr>
        <w:spacing w:line="360" w:lineRule="auto"/>
        <w:ind w:firstLine="420" w:firstLineChars="200"/>
        <w:rPr>
          <w:rFonts w:ascii="宋体" w:hAnsi="宋体"/>
          <w:szCs w:val="21"/>
        </w:rPr>
      </w:pPr>
      <w:r>
        <w:rPr>
          <w:rFonts w:hint="eastAsia" w:ascii="宋体" w:hAnsi="宋体"/>
          <w:szCs w:val="21"/>
        </w:rPr>
        <w:t xml:space="preserve"> 1. 发包人承包人的权利和义务</w:t>
      </w:r>
    </w:p>
    <w:p>
      <w:pPr>
        <w:spacing w:line="360" w:lineRule="auto"/>
        <w:ind w:firstLine="420" w:firstLineChars="200"/>
        <w:rPr>
          <w:rFonts w:ascii="宋体" w:hAnsi="宋体"/>
          <w:szCs w:val="21"/>
        </w:rPr>
      </w:pPr>
      <w:r>
        <w:rPr>
          <w:rFonts w:hint="eastAsia" w:ascii="宋体" w:hAnsi="宋体"/>
          <w:szCs w:val="21"/>
        </w:rPr>
        <w:t>（1）严格遵守党的政策规定和国家有关法律法规及相关部门的有关规定。</w:t>
      </w:r>
    </w:p>
    <w:p>
      <w:pPr>
        <w:spacing w:line="360" w:lineRule="auto"/>
        <w:ind w:firstLine="420" w:firstLineChars="200"/>
        <w:rPr>
          <w:rFonts w:ascii="宋体" w:hAnsi="宋体"/>
          <w:szCs w:val="21"/>
        </w:rPr>
      </w:pPr>
      <w:r>
        <w:rPr>
          <w:rFonts w:hint="eastAsia" w:ascii="宋体" w:hAnsi="宋体"/>
          <w:szCs w:val="21"/>
        </w:rPr>
        <w:t>（2）严格执行 工程的合同文件，自觉按合同办事。</w:t>
      </w:r>
    </w:p>
    <w:p>
      <w:pPr>
        <w:spacing w:line="360" w:lineRule="auto"/>
        <w:ind w:firstLine="420" w:firstLineChars="200"/>
        <w:rPr>
          <w:rFonts w:ascii="宋体" w:hAnsi="宋体"/>
          <w:szCs w:val="21"/>
        </w:rPr>
      </w:pPr>
      <w:r>
        <w:rPr>
          <w:rFonts w:hint="eastAsia" w:ascii="宋体" w:hAnsi="宋体"/>
          <w:szCs w:val="21"/>
        </w:rPr>
        <w:t>（3）双方的业务活动坚持公开、公正、诚信、透明的原则（法律认定的商业秘密和合同文件另有规定除外），不得损害国家和集体利益，违反工程建设管理规章制度。</w:t>
      </w:r>
    </w:p>
    <w:p>
      <w:pPr>
        <w:spacing w:line="360" w:lineRule="auto"/>
        <w:ind w:firstLine="420" w:firstLineChars="200"/>
        <w:rPr>
          <w:rFonts w:ascii="宋体" w:hAnsi="宋体"/>
          <w:szCs w:val="21"/>
        </w:rPr>
      </w:pPr>
      <w:r>
        <w:rPr>
          <w:rFonts w:hint="eastAsia" w:ascii="宋体" w:hAnsi="宋体"/>
          <w:szCs w:val="21"/>
        </w:rPr>
        <w:t>（4）建立健全廉政制度，开展廉政教育，设立廉政告示牌，公布举报电话，监督并认真查处违法违纪行为。</w:t>
      </w:r>
    </w:p>
    <w:p>
      <w:pPr>
        <w:spacing w:line="360" w:lineRule="auto"/>
        <w:ind w:firstLine="420" w:firstLineChars="200"/>
        <w:rPr>
          <w:rFonts w:ascii="宋体" w:hAnsi="宋体"/>
          <w:szCs w:val="21"/>
        </w:rPr>
      </w:pPr>
      <w:r>
        <w:rPr>
          <w:rFonts w:hint="eastAsia" w:ascii="宋体" w:hAnsi="宋体"/>
          <w:szCs w:val="21"/>
        </w:rPr>
        <w:t>（5）发现对方在业务活动中有违反廉政规定的行为，有及时提醒对方纠正的权利和义务。</w:t>
      </w:r>
    </w:p>
    <w:p>
      <w:pPr>
        <w:spacing w:line="360" w:lineRule="auto"/>
        <w:ind w:firstLine="420" w:firstLineChars="200"/>
        <w:rPr>
          <w:rFonts w:ascii="宋体" w:hAnsi="宋体"/>
          <w:szCs w:val="21"/>
        </w:rPr>
      </w:pPr>
      <w:r>
        <w:rPr>
          <w:rFonts w:hint="eastAsia" w:ascii="宋体" w:hAnsi="宋体"/>
          <w:szCs w:val="21"/>
        </w:rPr>
        <w:t>（6）发现对方严重违反协议义务条款的行为，有向其上级有关部门举报、建议给予处理并要求告知处理结果的权利。</w:t>
      </w:r>
    </w:p>
    <w:p>
      <w:pPr>
        <w:spacing w:line="360" w:lineRule="auto"/>
        <w:ind w:firstLine="420" w:firstLineChars="200"/>
        <w:rPr>
          <w:rFonts w:ascii="宋体" w:hAnsi="宋体"/>
          <w:szCs w:val="21"/>
        </w:rPr>
      </w:pPr>
      <w:r>
        <w:rPr>
          <w:rFonts w:hint="eastAsia" w:ascii="宋体" w:hAnsi="宋体"/>
          <w:szCs w:val="21"/>
        </w:rPr>
        <w:t>2. 发包人的义务</w:t>
      </w:r>
    </w:p>
    <w:p>
      <w:pPr>
        <w:spacing w:line="360" w:lineRule="auto"/>
        <w:ind w:firstLine="420" w:firstLineChars="200"/>
        <w:rPr>
          <w:rFonts w:ascii="宋体" w:hAnsi="宋体"/>
          <w:szCs w:val="21"/>
        </w:rPr>
      </w:pPr>
      <w:r>
        <w:rPr>
          <w:rFonts w:hint="eastAsia" w:ascii="宋体" w:hAnsi="宋体"/>
          <w:szCs w:val="21"/>
        </w:rPr>
        <w:t>（1）发包人及其工作人员不得索要或接受承包人的礼金、有价证券和贵重物品，不得在承包人报销任何应由发包人或发包人工作人员个人支付的费用等。</w:t>
      </w:r>
    </w:p>
    <w:p>
      <w:pPr>
        <w:spacing w:line="360" w:lineRule="auto"/>
        <w:ind w:firstLine="420" w:firstLineChars="200"/>
        <w:rPr>
          <w:rFonts w:ascii="宋体" w:hAnsi="宋体"/>
          <w:szCs w:val="21"/>
        </w:rPr>
      </w:pPr>
      <w:r>
        <w:rPr>
          <w:rFonts w:hint="eastAsia" w:ascii="宋体" w:hAnsi="宋体"/>
          <w:szCs w:val="21"/>
        </w:rPr>
        <w:t>（2）发包人工作人员不得参加承包人安排的超标准宴请和娱乐活动；不得接受承包人提供的通讯工具、交通工具和高档办公用品等。</w:t>
      </w:r>
    </w:p>
    <w:p>
      <w:pPr>
        <w:spacing w:line="360" w:lineRule="auto"/>
        <w:ind w:firstLine="420" w:firstLineChars="200"/>
        <w:rPr>
          <w:rFonts w:ascii="宋体" w:hAnsi="宋体"/>
          <w:szCs w:val="21"/>
        </w:rPr>
      </w:pPr>
      <w:r>
        <w:rPr>
          <w:rFonts w:hint="eastAsia" w:ascii="宋体" w:hAnsi="宋体"/>
          <w:szCs w:val="21"/>
        </w:rPr>
        <w:t>（3）发包人及其工作人员不得要求或者接受承包人为其住房装修、婚丧嫁娶活动、配偶子女的工作安排以及出国出境、旅游等提供方便等。</w:t>
      </w:r>
    </w:p>
    <w:p>
      <w:pPr>
        <w:spacing w:line="360" w:lineRule="auto"/>
        <w:ind w:firstLine="420" w:firstLineChars="200"/>
        <w:rPr>
          <w:rFonts w:ascii="宋体" w:hAnsi="宋体"/>
          <w:szCs w:val="21"/>
        </w:rPr>
      </w:pPr>
      <w:r>
        <w:rPr>
          <w:rFonts w:hint="eastAsia" w:ascii="宋体" w:hAnsi="宋体"/>
          <w:szCs w:val="21"/>
        </w:rPr>
        <w:t>（4）发包人工作人员及其配偶、子女不得从事与发包人工程有关的材料设备供应、工程分包、劳务等经济活动等。</w:t>
      </w:r>
    </w:p>
    <w:p>
      <w:pPr>
        <w:spacing w:line="360" w:lineRule="auto"/>
        <w:ind w:firstLine="420" w:firstLineChars="200"/>
        <w:rPr>
          <w:rFonts w:ascii="宋体" w:hAnsi="宋体"/>
          <w:szCs w:val="21"/>
        </w:rPr>
      </w:pPr>
      <w:r>
        <w:rPr>
          <w:rFonts w:hint="eastAsia" w:ascii="宋体" w:hAnsi="宋体"/>
          <w:szCs w:val="21"/>
        </w:rPr>
        <w:t>（5）发包人及其工作人员不得以任何理由向承包人推荐分包单位或推销材料，不得要求承包人购买合同规定外的材料和设备。</w:t>
      </w:r>
    </w:p>
    <w:p>
      <w:pPr>
        <w:spacing w:line="360" w:lineRule="auto"/>
        <w:ind w:firstLine="420" w:firstLineChars="200"/>
        <w:rPr>
          <w:rFonts w:ascii="宋体" w:hAnsi="宋体"/>
          <w:szCs w:val="21"/>
        </w:rPr>
      </w:pPr>
      <w:r>
        <w:rPr>
          <w:rFonts w:hint="eastAsia" w:ascii="宋体" w:hAnsi="宋体"/>
          <w:szCs w:val="21"/>
        </w:rPr>
        <w:t>（6）发包人工作人员要秉公办事，不准营私舞弊，不准利用职权从事各种个人有偿中介活动和安排个人施工队伍。</w:t>
      </w:r>
    </w:p>
    <w:p>
      <w:pPr>
        <w:spacing w:line="360" w:lineRule="auto"/>
        <w:ind w:firstLine="420" w:firstLineChars="200"/>
        <w:rPr>
          <w:rFonts w:ascii="宋体" w:hAnsi="宋体"/>
          <w:szCs w:val="21"/>
        </w:rPr>
      </w:pPr>
      <w:r>
        <w:rPr>
          <w:rFonts w:hint="eastAsia" w:ascii="宋体" w:hAnsi="宋体"/>
          <w:szCs w:val="21"/>
        </w:rPr>
        <w:t>3. 承包人义务</w:t>
      </w:r>
    </w:p>
    <w:p>
      <w:pPr>
        <w:spacing w:line="360" w:lineRule="auto"/>
        <w:ind w:firstLine="420" w:firstLineChars="200"/>
        <w:rPr>
          <w:rFonts w:ascii="宋体" w:hAnsi="宋体"/>
          <w:szCs w:val="21"/>
        </w:rPr>
      </w:pPr>
      <w:r>
        <w:rPr>
          <w:rFonts w:hint="eastAsia" w:ascii="宋体" w:hAnsi="宋体"/>
          <w:szCs w:val="21"/>
        </w:rPr>
        <w:t>（1）承包人不得以任何理由向发包人及其工作人员行贿或馈赠礼金、有价证券、贵重礼品。</w:t>
      </w:r>
    </w:p>
    <w:p>
      <w:pPr>
        <w:spacing w:line="360" w:lineRule="auto"/>
        <w:ind w:firstLine="420" w:firstLineChars="200"/>
        <w:rPr>
          <w:rFonts w:ascii="宋体" w:hAnsi="宋体"/>
          <w:szCs w:val="21"/>
        </w:rPr>
      </w:pPr>
      <w:r>
        <w:rPr>
          <w:rFonts w:hint="eastAsia" w:ascii="宋体" w:hAnsi="宋体"/>
          <w:szCs w:val="21"/>
        </w:rPr>
        <w:t>（2）承包人不得以任何名义为发包人及其工作人员报销应由发包人单位或个人支付的任何费用。</w:t>
      </w:r>
    </w:p>
    <w:p>
      <w:pPr>
        <w:spacing w:line="360" w:lineRule="auto"/>
        <w:ind w:firstLine="420" w:firstLineChars="200"/>
        <w:rPr>
          <w:rFonts w:ascii="宋体" w:hAnsi="宋体"/>
          <w:szCs w:val="21"/>
        </w:rPr>
      </w:pPr>
      <w:r>
        <w:rPr>
          <w:rFonts w:hint="eastAsia" w:ascii="宋体" w:hAnsi="宋体"/>
          <w:szCs w:val="21"/>
        </w:rPr>
        <w:t>（3）承包人不得以任何理由安排发包人工作人员参加超标准宴请及娱乐活动。</w:t>
      </w:r>
    </w:p>
    <w:p>
      <w:pPr>
        <w:spacing w:line="360" w:lineRule="auto"/>
        <w:ind w:firstLine="420" w:firstLineChars="200"/>
        <w:rPr>
          <w:rFonts w:ascii="宋体" w:hAnsi="宋体"/>
          <w:szCs w:val="21"/>
        </w:rPr>
      </w:pPr>
      <w:r>
        <w:rPr>
          <w:rFonts w:hint="eastAsia" w:ascii="宋体" w:hAnsi="宋体"/>
          <w:szCs w:val="21"/>
        </w:rPr>
        <w:t>（4）承包人不得为发包人单位和个人购置或提供通讯工具、交通工具和高档办公用品等。</w:t>
      </w:r>
    </w:p>
    <w:p>
      <w:pPr>
        <w:spacing w:line="360" w:lineRule="auto"/>
        <w:ind w:firstLine="420" w:firstLineChars="200"/>
        <w:rPr>
          <w:rFonts w:ascii="宋体" w:hAnsi="宋体"/>
          <w:szCs w:val="21"/>
        </w:rPr>
      </w:pPr>
      <w:r>
        <w:rPr>
          <w:rFonts w:hint="eastAsia" w:ascii="宋体" w:hAnsi="宋体"/>
          <w:szCs w:val="21"/>
        </w:rPr>
        <w:t>4. 违约责任</w:t>
      </w:r>
    </w:p>
    <w:p>
      <w:pPr>
        <w:spacing w:line="360" w:lineRule="auto"/>
        <w:ind w:firstLine="420" w:firstLineChars="200"/>
        <w:rPr>
          <w:rFonts w:ascii="宋体" w:hAnsi="宋体"/>
          <w:szCs w:val="21"/>
        </w:rPr>
      </w:pPr>
      <w:r>
        <w:rPr>
          <w:rFonts w:hint="eastAsia" w:ascii="宋体" w:hAnsi="宋体"/>
          <w:szCs w:val="21"/>
        </w:rPr>
        <w:t>（1）发包人及其工作人员违反合同第1、2条，按管理权限，依据有关规定给予党纪、政纪或组织处理；涉嫌犯罪的，移交司法机关追究刑事责任；给承包人单位造成经济损失的，应予以赔偿。</w:t>
      </w:r>
    </w:p>
    <w:p>
      <w:pPr>
        <w:spacing w:line="360" w:lineRule="auto"/>
        <w:ind w:firstLine="420" w:firstLineChars="200"/>
        <w:rPr>
          <w:rFonts w:ascii="宋体" w:hAnsi="宋体"/>
          <w:szCs w:val="21"/>
        </w:rPr>
      </w:pPr>
      <w:r>
        <w:rPr>
          <w:rFonts w:hint="eastAsia" w:ascii="宋体" w:hAnsi="宋体"/>
          <w:szCs w:val="21"/>
        </w:rPr>
        <w:t>（2）承包人及其工作人员违反合同第1、3条，按管理权限，依据有关规定给予党纪、政纪或组织处理；给发包人单位造成经济损失的，应予以赔偿。</w:t>
      </w:r>
    </w:p>
    <w:p>
      <w:pPr>
        <w:spacing w:line="360" w:lineRule="auto"/>
        <w:ind w:firstLine="420" w:firstLineChars="200"/>
        <w:rPr>
          <w:rFonts w:ascii="宋体" w:hAnsi="宋体"/>
          <w:szCs w:val="21"/>
        </w:rPr>
      </w:pPr>
      <w:r>
        <w:rPr>
          <w:rFonts w:hint="eastAsia" w:ascii="宋体" w:hAnsi="宋体"/>
          <w:szCs w:val="21"/>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pPr>
        <w:spacing w:line="360" w:lineRule="auto"/>
        <w:ind w:firstLine="420" w:firstLineChars="200"/>
        <w:rPr>
          <w:rFonts w:ascii="宋体" w:hAnsi="宋体"/>
          <w:szCs w:val="21"/>
        </w:rPr>
      </w:pPr>
      <w:r>
        <w:rPr>
          <w:rFonts w:hint="eastAsia" w:ascii="宋体" w:hAnsi="宋体"/>
          <w:szCs w:val="21"/>
        </w:rPr>
        <w:t>6. 协议有效期为</w:t>
      </w:r>
      <w:r>
        <w:rPr>
          <w:rFonts w:hint="eastAsia" w:ascii="宋体" w:hAnsi="宋体"/>
          <w:szCs w:val="21"/>
          <w:lang w:val="en-US" w:eastAsia="zh-CN"/>
        </w:rPr>
        <w:t>发承包</w:t>
      </w:r>
      <w:r>
        <w:rPr>
          <w:rFonts w:hint="eastAsia" w:ascii="宋体" w:hAnsi="宋体"/>
          <w:szCs w:val="21"/>
        </w:rPr>
        <w:t>双方签署之日起至该工程项目竣工验收后止。</w:t>
      </w:r>
    </w:p>
    <w:p>
      <w:pPr>
        <w:spacing w:line="360" w:lineRule="auto"/>
        <w:ind w:firstLine="420" w:firstLineChars="200"/>
        <w:rPr>
          <w:rFonts w:ascii="宋体" w:hAnsi="宋体"/>
          <w:szCs w:val="21"/>
        </w:rPr>
      </w:pPr>
      <w:r>
        <w:rPr>
          <w:rFonts w:hint="eastAsia" w:ascii="宋体" w:hAnsi="宋体"/>
          <w:szCs w:val="21"/>
        </w:rPr>
        <w:t>7.协议作为工程施工合同的附件，与工程施工合同具有同等的法律效力，经合同双方签署立即生效。</w:t>
      </w:r>
    </w:p>
    <w:p>
      <w:pPr>
        <w:spacing w:line="360" w:lineRule="auto"/>
        <w:ind w:firstLine="420" w:firstLineChars="200"/>
        <w:rPr>
          <w:rFonts w:ascii="宋体" w:hAnsi="宋体"/>
          <w:szCs w:val="21"/>
        </w:rPr>
      </w:pPr>
      <w:r>
        <w:rPr>
          <w:rFonts w:hint="eastAsia" w:ascii="宋体" w:hAnsi="宋体"/>
          <w:szCs w:val="21"/>
        </w:rPr>
        <w:t>（以下无正文）</w:t>
      </w:r>
    </w:p>
    <w:p>
      <w:pPr>
        <w:spacing w:line="360" w:lineRule="auto"/>
        <w:rPr>
          <w:rFonts w:ascii="宋体" w:hAnsi="宋体"/>
          <w:szCs w:val="21"/>
        </w:rPr>
      </w:pPr>
    </w:p>
    <w:p>
      <w:pPr>
        <w:pStyle w:val="2"/>
        <w:spacing w:line="360" w:lineRule="auto"/>
        <w:rPr>
          <w:rFonts w:ascii="宋体" w:hAnsi="宋体"/>
          <w:szCs w:val="21"/>
        </w:rPr>
      </w:pPr>
    </w:p>
    <w:p>
      <w:pPr>
        <w:pStyle w:val="2"/>
        <w:spacing w:line="360" w:lineRule="auto"/>
        <w:rPr>
          <w:rFonts w:ascii="宋体" w:hAnsi="宋体"/>
          <w:szCs w:val="21"/>
        </w:rPr>
      </w:pPr>
    </w:p>
    <w:p>
      <w:pPr>
        <w:spacing w:line="360" w:lineRule="auto"/>
        <w:rPr>
          <w:rFonts w:ascii="宋体" w:hAnsi="宋体"/>
          <w:szCs w:val="21"/>
        </w:rPr>
      </w:pPr>
      <w:r>
        <w:rPr>
          <w:rFonts w:hint="eastAsia" w:ascii="宋体" w:hAnsi="宋体"/>
          <w:szCs w:val="21"/>
          <w:lang w:val="en-US" w:eastAsia="zh-CN"/>
        </w:rPr>
        <w:t xml:space="preserve">发 包 人 </w:t>
      </w:r>
      <w:r>
        <w:rPr>
          <w:rFonts w:hint="eastAsia" w:ascii="宋体" w:hAnsi="宋体"/>
          <w:szCs w:val="21"/>
        </w:rPr>
        <w:t xml:space="preserve">：                         </w:t>
      </w:r>
      <w:r>
        <w:rPr>
          <w:rFonts w:hint="eastAsia" w:ascii="宋体" w:hAnsi="宋体"/>
          <w:szCs w:val="21"/>
          <w:lang w:val="en-US" w:eastAsia="zh-CN"/>
        </w:rPr>
        <w:t xml:space="preserve">承 包 人 </w:t>
      </w:r>
      <w:r>
        <w:rPr>
          <w:rFonts w:hint="eastAsia"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法定代表人                          法定代表人                      </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或其授权的代理人：                  或授权的代理人：</w:t>
      </w:r>
    </w:p>
    <w:p>
      <w:pPr>
        <w:spacing w:line="480" w:lineRule="auto"/>
        <w:rPr>
          <w:rFonts w:ascii="宋体" w:hAnsi="宋体"/>
          <w:szCs w:val="21"/>
        </w:rPr>
      </w:pPr>
      <w:r>
        <w:rPr>
          <w:rFonts w:hint="eastAsia" w:ascii="宋体" w:hAnsi="宋体"/>
          <w:szCs w:val="21"/>
        </w:rPr>
        <w:br w:type="page"/>
      </w:r>
      <w:r>
        <w:rPr>
          <w:rFonts w:hint="eastAsia" w:ascii="宋体" w:hAnsi="宋体"/>
          <w:szCs w:val="21"/>
        </w:rPr>
        <w:t>附件</w:t>
      </w:r>
      <w:r>
        <w:rPr>
          <w:rFonts w:ascii="宋体" w:hAnsi="宋体"/>
          <w:szCs w:val="21"/>
        </w:rPr>
        <w:t>9</w:t>
      </w:r>
      <w:r>
        <w:rPr>
          <w:rFonts w:hint="eastAsia" w:ascii="宋体" w:hAnsi="宋体"/>
          <w:szCs w:val="21"/>
        </w:rPr>
        <w:t>：</w:t>
      </w:r>
    </w:p>
    <w:p>
      <w:pPr>
        <w:spacing w:before="156" w:beforeLines="50" w:after="156" w:afterLines="50" w:line="480" w:lineRule="auto"/>
        <w:jc w:val="center"/>
        <w:rPr>
          <w:rFonts w:ascii="宋体" w:hAnsi="宋体"/>
          <w:szCs w:val="21"/>
        </w:rPr>
      </w:pPr>
      <w:bookmarkStart w:id="2215" w:name="_Toc435690184"/>
      <w:bookmarkStart w:id="2216" w:name="_Toc336680145"/>
      <w:bookmarkStart w:id="2217" w:name="_Toc247431422"/>
      <w:bookmarkStart w:id="2218" w:name="_Toc435689499"/>
      <w:bookmarkStart w:id="2219" w:name="_Toc448406299"/>
      <w:bookmarkStart w:id="2220" w:name="_Toc239510288"/>
      <w:r>
        <w:rPr>
          <w:rFonts w:hint="eastAsia" w:ascii="宋体" w:hAnsi="宋体"/>
          <w:szCs w:val="21"/>
        </w:rPr>
        <w:t>安全管理协议</w:t>
      </w:r>
      <w:bookmarkEnd w:id="2215"/>
      <w:bookmarkEnd w:id="2216"/>
      <w:bookmarkEnd w:id="2217"/>
      <w:bookmarkEnd w:id="2218"/>
      <w:bookmarkEnd w:id="2219"/>
      <w:bookmarkEnd w:id="2220"/>
    </w:p>
    <w:p>
      <w:pPr>
        <w:snapToGrid w:val="0"/>
        <w:spacing w:line="360" w:lineRule="auto"/>
        <w:ind w:firstLine="421"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1"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jc w:val="left"/>
        <w:rPr>
          <w:rFonts w:ascii="宋体" w:hAnsi="宋体"/>
          <w:szCs w:val="21"/>
        </w:rPr>
      </w:pPr>
      <w:r>
        <w:rPr>
          <w:rFonts w:hint="eastAsia" w:ascii="宋体" w:hAnsi="宋体"/>
          <w:szCs w:val="21"/>
        </w:rPr>
        <w:t>为了确保实现</w:t>
      </w:r>
      <w:r>
        <w:rPr>
          <w:rFonts w:hint="eastAsia" w:ascii="宋体" w:hAnsi="宋体"/>
          <w:szCs w:val="21"/>
          <w:u w:val="single"/>
        </w:rPr>
        <w:t xml:space="preserve">        </w:t>
      </w:r>
      <w:r>
        <w:rPr>
          <w:rFonts w:hint="eastAsia" w:ascii="宋体" w:hAnsi="宋体"/>
          <w:szCs w:val="21"/>
        </w:rPr>
        <w:t>安全生产目标，进一步明确双方的安全管理责任，加强安全生产管理工作的协调、管理力度，</w:t>
      </w:r>
      <w:r>
        <w:rPr>
          <w:rFonts w:hint="eastAsia" w:ascii="宋体" w:hAnsi="宋体"/>
          <w:szCs w:val="21"/>
          <w:u w:val="single"/>
        </w:rPr>
        <w:t xml:space="preserve">        </w:t>
      </w:r>
      <w:r>
        <w:rPr>
          <w:rFonts w:hint="eastAsia" w:ascii="宋体" w:hAnsi="宋体"/>
          <w:szCs w:val="21"/>
        </w:rPr>
        <w:t>（以下简称“发包人”）与</w:t>
      </w:r>
      <w:r>
        <w:rPr>
          <w:rFonts w:hint="eastAsia" w:ascii="宋体" w:hAnsi="宋体"/>
          <w:szCs w:val="21"/>
          <w:u w:val="single"/>
        </w:rPr>
        <w:t xml:space="preserve">        </w:t>
      </w:r>
      <w:r>
        <w:rPr>
          <w:rFonts w:hint="eastAsia" w:ascii="宋体" w:hAnsi="宋体"/>
          <w:szCs w:val="21"/>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pPr>
        <w:spacing w:line="360" w:lineRule="auto"/>
        <w:ind w:firstLine="420" w:firstLineChars="200"/>
        <w:rPr>
          <w:rFonts w:ascii="宋体" w:hAnsi="宋体"/>
          <w:szCs w:val="21"/>
        </w:rPr>
      </w:pPr>
      <w:bookmarkStart w:id="2221" w:name="_Toc239510289"/>
      <w:bookmarkStart w:id="2222" w:name="_Toc532375700"/>
      <w:bookmarkStart w:id="2223" w:name="_Toc247431423"/>
      <w:bookmarkStart w:id="2224" w:name="_Toc247418263"/>
      <w:r>
        <w:rPr>
          <w:rFonts w:hint="eastAsia" w:ascii="宋体" w:hAnsi="宋体"/>
          <w:szCs w:val="21"/>
        </w:rPr>
        <w:t>一、协议有效期限</w:t>
      </w:r>
      <w:bookmarkEnd w:id="2221"/>
      <w:bookmarkEnd w:id="2222"/>
      <w:bookmarkEnd w:id="2223"/>
      <w:bookmarkEnd w:id="2224"/>
    </w:p>
    <w:p>
      <w:pPr>
        <w:spacing w:line="360" w:lineRule="auto"/>
        <w:ind w:firstLine="420" w:firstLineChars="200"/>
        <w:jc w:val="left"/>
        <w:rPr>
          <w:rFonts w:ascii="宋体" w:hAnsi="宋体"/>
          <w:szCs w:val="21"/>
        </w:rPr>
      </w:pPr>
      <w:r>
        <w:rPr>
          <w:rFonts w:hint="eastAsia" w:ascii="宋体" w:hAnsi="宋体"/>
          <w:szCs w:val="21"/>
        </w:rPr>
        <w:t>本协议中所涉及的安全管理责任自合同签订之日起开始生效，至合同工程全部完工验收且经发包人与承包人签订移交协议生效后之日终止。</w:t>
      </w:r>
    </w:p>
    <w:p>
      <w:pPr>
        <w:spacing w:line="360" w:lineRule="auto"/>
        <w:ind w:firstLine="420" w:firstLineChars="200"/>
        <w:rPr>
          <w:rFonts w:ascii="宋体" w:hAnsi="宋体"/>
          <w:szCs w:val="21"/>
        </w:rPr>
      </w:pPr>
      <w:bookmarkStart w:id="2225" w:name="_Toc532375701"/>
      <w:bookmarkStart w:id="2226" w:name="_Toc247418264"/>
      <w:bookmarkStart w:id="2227" w:name="_Toc247431424"/>
      <w:bookmarkStart w:id="2228" w:name="_Toc239510290"/>
      <w:r>
        <w:rPr>
          <w:rFonts w:hint="eastAsia" w:ascii="宋体" w:hAnsi="宋体"/>
          <w:szCs w:val="21"/>
        </w:rPr>
        <w:t>二、责任目标</w:t>
      </w:r>
      <w:bookmarkEnd w:id="2225"/>
      <w:bookmarkEnd w:id="2226"/>
      <w:bookmarkEnd w:id="2227"/>
      <w:bookmarkEnd w:id="2228"/>
    </w:p>
    <w:p>
      <w:pPr>
        <w:spacing w:line="360" w:lineRule="auto"/>
        <w:ind w:firstLine="420" w:firstLineChars="200"/>
        <w:jc w:val="left"/>
        <w:rPr>
          <w:rFonts w:ascii="宋体" w:hAnsi="宋体"/>
          <w:szCs w:val="21"/>
        </w:rPr>
      </w:pPr>
      <w:r>
        <w:rPr>
          <w:rFonts w:hint="eastAsia" w:ascii="宋体" w:hAnsi="宋体"/>
          <w:szCs w:val="21"/>
        </w:rPr>
        <w:t>（一）承包人承诺承担和履行合同和发包人所规定的安全责任，且满足要求。</w:t>
      </w:r>
    </w:p>
    <w:p>
      <w:pPr>
        <w:spacing w:line="360" w:lineRule="auto"/>
        <w:ind w:firstLine="420" w:firstLineChars="200"/>
        <w:jc w:val="left"/>
        <w:rPr>
          <w:rFonts w:ascii="宋体" w:hAnsi="宋体"/>
          <w:szCs w:val="21"/>
        </w:rPr>
      </w:pPr>
      <w:r>
        <w:rPr>
          <w:rFonts w:hint="eastAsia" w:ascii="宋体" w:hAnsi="宋体"/>
          <w:szCs w:val="21"/>
        </w:rPr>
        <w:t>（二）承包人的安全控制目标是确保本工程在实施过程中：</w:t>
      </w:r>
    </w:p>
    <w:p>
      <w:pPr>
        <w:spacing w:line="360" w:lineRule="auto"/>
        <w:ind w:firstLine="420" w:firstLineChars="200"/>
        <w:jc w:val="left"/>
        <w:rPr>
          <w:rFonts w:ascii="宋体" w:hAnsi="宋体"/>
          <w:szCs w:val="21"/>
        </w:rPr>
      </w:pPr>
      <w:r>
        <w:rPr>
          <w:rFonts w:hint="eastAsia" w:ascii="宋体" w:hAnsi="宋体"/>
          <w:szCs w:val="21"/>
        </w:rPr>
        <w:t>1．不发生人身重伤事故；</w:t>
      </w:r>
    </w:p>
    <w:p>
      <w:pPr>
        <w:spacing w:line="360" w:lineRule="auto"/>
        <w:ind w:firstLine="420" w:firstLineChars="200"/>
        <w:jc w:val="left"/>
        <w:rPr>
          <w:rFonts w:ascii="宋体" w:hAnsi="宋体"/>
          <w:szCs w:val="21"/>
        </w:rPr>
      </w:pPr>
      <w:r>
        <w:rPr>
          <w:rFonts w:hint="eastAsia" w:ascii="宋体" w:hAnsi="宋体"/>
          <w:szCs w:val="21"/>
        </w:rPr>
        <w:t>2．不发生火灾事故；</w:t>
      </w:r>
    </w:p>
    <w:p>
      <w:pPr>
        <w:spacing w:line="360" w:lineRule="auto"/>
        <w:ind w:firstLine="420" w:firstLineChars="200"/>
        <w:jc w:val="left"/>
        <w:rPr>
          <w:rFonts w:ascii="宋体" w:hAnsi="宋体"/>
          <w:szCs w:val="21"/>
        </w:rPr>
      </w:pPr>
      <w:r>
        <w:rPr>
          <w:rFonts w:hint="eastAsia" w:ascii="宋体" w:hAnsi="宋体"/>
          <w:szCs w:val="21"/>
        </w:rPr>
        <w:t>3．不发生负有同等及以上事故责任的造成人身重伤的一般交通事故；</w:t>
      </w:r>
    </w:p>
    <w:p>
      <w:pPr>
        <w:spacing w:line="360" w:lineRule="auto"/>
        <w:ind w:firstLine="420" w:firstLineChars="200"/>
        <w:jc w:val="left"/>
        <w:rPr>
          <w:rFonts w:ascii="宋体" w:hAnsi="宋体"/>
          <w:szCs w:val="21"/>
        </w:rPr>
      </w:pPr>
      <w:r>
        <w:rPr>
          <w:rFonts w:hint="eastAsia" w:ascii="宋体" w:hAnsi="宋体"/>
          <w:szCs w:val="21"/>
        </w:rPr>
        <w:t>4．不发生集体食物中毒事件（同时5人及以上的食物中毒）；</w:t>
      </w:r>
    </w:p>
    <w:p>
      <w:pPr>
        <w:spacing w:line="360" w:lineRule="auto"/>
        <w:ind w:firstLine="420" w:firstLineChars="200"/>
        <w:jc w:val="left"/>
        <w:rPr>
          <w:rFonts w:ascii="宋体" w:hAnsi="宋体"/>
          <w:szCs w:val="21"/>
        </w:rPr>
      </w:pPr>
      <w:r>
        <w:rPr>
          <w:rFonts w:hint="eastAsia" w:ascii="宋体" w:hAnsi="宋体"/>
          <w:szCs w:val="21"/>
        </w:rPr>
        <w:t>5．不发生流行性传染病 （无甲型传染病、其他常见传染病未形成多人同时患病）；</w:t>
      </w:r>
    </w:p>
    <w:p>
      <w:pPr>
        <w:spacing w:line="360" w:lineRule="auto"/>
        <w:ind w:firstLine="420" w:firstLineChars="200"/>
        <w:jc w:val="left"/>
        <w:rPr>
          <w:rFonts w:ascii="宋体" w:hAnsi="宋体"/>
          <w:szCs w:val="21"/>
        </w:rPr>
      </w:pPr>
      <w:r>
        <w:rPr>
          <w:rFonts w:hint="eastAsia" w:ascii="宋体" w:hAnsi="宋体"/>
          <w:szCs w:val="21"/>
        </w:rPr>
        <w:t>6．不发生重大环境污染事件（生活、工业垃圾及其他污染物造成环境污染和大面积水土流失）；</w:t>
      </w:r>
    </w:p>
    <w:p>
      <w:pPr>
        <w:spacing w:line="360" w:lineRule="auto"/>
        <w:ind w:firstLine="420" w:firstLineChars="200"/>
        <w:jc w:val="left"/>
        <w:rPr>
          <w:rFonts w:ascii="宋体" w:hAnsi="宋体"/>
          <w:szCs w:val="21"/>
        </w:rPr>
      </w:pPr>
      <w:r>
        <w:rPr>
          <w:rFonts w:hint="eastAsia" w:ascii="宋体" w:hAnsi="宋体"/>
          <w:szCs w:val="21"/>
        </w:rPr>
        <w:t>7．不发生对施工区附近生产、生活造成重大影响的事件（如造成重大设备损坏、重大财产损失、人员伤害等）；</w:t>
      </w:r>
    </w:p>
    <w:p>
      <w:pPr>
        <w:spacing w:line="360" w:lineRule="auto"/>
        <w:ind w:firstLine="420" w:firstLineChars="200"/>
        <w:jc w:val="left"/>
        <w:rPr>
          <w:rFonts w:ascii="宋体" w:hAnsi="宋体"/>
          <w:szCs w:val="21"/>
        </w:rPr>
      </w:pPr>
      <w:r>
        <w:rPr>
          <w:rFonts w:hint="eastAsia" w:ascii="宋体" w:hAnsi="宋体"/>
          <w:szCs w:val="21"/>
        </w:rPr>
        <w:t>8．不发生治安保卫事件（构成刑事拘留及以上的事件、盗窃直接损失超过1万元人民币的事件）。</w:t>
      </w:r>
    </w:p>
    <w:p>
      <w:pPr>
        <w:spacing w:line="360" w:lineRule="auto"/>
        <w:ind w:firstLine="420" w:firstLineChars="200"/>
        <w:jc w:val="left"/>
        <w:rPr>
          <w:rFonts w:ascii="宋体" w:hAnsi="宋体"/>
          <w:szCs w:val="21"/>
        </w:rPr>
      </w:pPr>
      <w:bookmarkStart w:id="2229" w:name="_Toc239510291"/>
      <w:bookmarkStart w:id="2230" w:name="_Toc247418265"/>
      <w:bookmarkStart w:id="2231" w:name="_Toc247431425"/>
      <w:r>
        <w:rPr>
          <w:rFonts w:hint="eastAsia" w:ascii="宋体" w:hAnsi="宋体"/>
          <w:szCs w:val="21"/>
        </w:rPr>
        <w:t>（三）承包人承诺在施工中控制以下安全事故的发生：</w:t>
      </w:r>
      <w:bookmarkEnd w:id="2229"/>
      <w:bookmarkEnd w:id="2230"/>
      <w:bookmarkEnd w:id="2231"/>
    </w:p>
    <w:p>
      <w:pPr>
        <w:spacing w:line="360" w:lineRule="auto"/>
        <w:ind w:firstLine="420" w:firstLineChars="200"/>
        <w:jc w:val="left"/>
        <w:rPr>
          <w:rFonts w:ascii="宋体" w:hAnsi="宋体"/>
          <w:szCs w:val="21"/>
        </w:rPr>
      </w:pPr>
      <w:r>
        <w:rPr>
          <w:rFonts w:hint="eastAsia" w:ascii="宋体" w:hAnsi="宋体"/>
          <w:szCs w:val="21"/>
        </w:rPr>
        <w:t>1．人员轻伤事故。</w:t>
      </w:r>
    </w:p>
    <w:p>
      <w:pPr>
        <w:spacing w:line="360" w:lineRule="auto"/>
        <w:ind w:firstLine="420" w:firstLineChars="200"/>
        <w:jc w:val="left"/>
        <w:rPr>
          <w:rFonts w:ascii="宋体" w:hAnsi="宋体"/>
          <w:szCs w:val="21"/>
        </w:rPr>
      </w:pPr>
      <w:r>
        <w:rPr>
          <w:rFonts w:hint="eastAsia" w:ascii="宋体" w:hAnsi="宋体"/>
          <w:szCs w:val="21"/>
        </w:rPr>
        <w:t>2．负有同等及以上事故责任的人身轻伤交通事故。</w:t>
      </w:r>
    </w:p>
    <w:p>
      <w:pPr>
        <w:spacing w:line="360" w:lineRule="auto"/>
        <w:ind w:firstLine="420" w:firstLineChars="200"/>
        <w:jc w:val="left"/>
        <w:rPr>
          <w:rFonts w:ascii="宋体" w:hAnsi="宋体"/>
          <w:szCs w:val="21"/>
        </w:rPr>
      </w:pPr>
      <w:r>
        <w:rPr>
          <w:rFonts w:hint="eastAsia" w:ascii="宋体" w:hAnsi="宋体"/>
          <w:szCs w:val="21"/>
        </w:rPr>
        <w:t>3．其他安全未遂事故和异常事件。</w:t>
      </w:r>
    </w:p>
    <w:p>
      <w:pPr>
        <w:spacing w:line="360" w:lineRule="auto"/>
        <w:ind w:firstLine="420" w:firstLineChars="200"/>
        <w:rPr>
          <w:rFonts w:ascii="宋体" w:hAnsi="宋体"/>
          <w:szCs w:val="21"/>
        </w:rPr>
      </w:pPr>
      <w:bookmarkStart w:id="2232" w:name="_Toc247431426"/>
      <w:bookmarkStart w:id="2233" w:name="_Toc247418266"/>
      <w:bookmarkStart w:id="2234" w:name="_Toc239510292"/>
      <w:bookmarkStart w:id="2235" w:name="_Toc532375702"/>
      <w:r>
        <w:rPr>
          <w:rFonts w:hint="eastAsia" w:ascii="宋体" w:hAnsi="宋体"/>
          <w:szCs w:val="21"/>
        </w:rPr>
        <w:t>三、安全责任</w:t>
      </w:r>
      <w:bookmarkEnd w:id="2232"/>
      <w:bookmarkEnd w:id="2233"/>
      <w:bookmarkEnd w:id="2234"/>
      <w:bookmarkEnd w:id="2235"/>
    </w:p>
    <w:p>
      <w:pPr>
        <w:spacing w:line="360" w:lineRule="auto"/>
        <w:ind w:firstLine="420" w:firstLineChars="200"/>
        <w:jc w:val="left"/>
        <w:rPr>
          <w:rFonts w:ascii="宋体" w:hAnsi="宋体"/>
          <w:szCs w:val="21"/>
        </w:rPr>
      </w:pPr>
      <w:r>
        <w:rPr>
          <w:rFonts w:hint="eastAsia" w:ascii="宋体" w:hAnsi="宋体"/>
          <w:szCs w:val="21"/>
        </w:rPr>
        <w:t>1．承包人负有安全生产的管理责任和直接责任。</w:t>
      </w:r>
    </w:p>
    <w:p>
      <w:pPr>
        <w:spacing w:line="360" w:lineRule="auto"/>
        <w:ind w:firstLine="420" w:firstLineChars="200"/>
        <w:jc w:val="left"/>
        <w:rPr>
          <w:rFonts w:ascii="宋体" w:hAnsi="宋体"/>
          <w:szCs w:val="21"/>
        </w:rPr>
      </w:pPr>
      <w:r>
        <w:rPr>
          <w:rFonts w:hint="eastAsia" w:ascii="宋体" w:hAnsi="宋体"/>
          <w:szCs w:val="21"/>
        </w:rPr>
        <w:t>2．承包人的法人或签署合同的公司总经理或受委托的代理人对合同安全负有全面的领导责任。</w:t>
      </w:r>
    </w:p>
    <w:p>
      <w:pPr>
        <w:spacing w:line="360" w:lineRule="auto"/>
        <w:ind w:firstLine="420" w:firstLineChars="200"/>
        <w:jc w:val="left"/>
        <w:rPr>
          <w:rFonts w:ascii="宋体" w:hAnsi="宋体"/>
          <w:szCs w:val="21"/>
        </w:rPr>
      </w:pPr>
      <w:r>
        <w:rPr>
          <w:rFonts w:hint="eastAsia" w:ascii="宋体" w:hAnsi="宋体"/>
          <w:szCs w:val="21"/>
        </w:rPr>
        <w:t>3．承包人项目经理对施工现场的安全工作负有全面的直接领导责任。</w:t>
      </w:r>
    </w:p>
    <w:p>
      <w:pPr>
        <w:spacing w:line="360" w:lineRule="auto"/>
        <w:ind w:firstLine="420" w:firstLineChars="200"/>
        <w:jc w:val="left"/>
        <w:rPr>
          <w:rFonts w:ascii="宋体" w:hAnsi="宋体"/>
          <w:szCs w:val="21"/>
        </w:rPr>
      </w:pPr>
      <w:r>
        <w:rPr>
          <w:rFonts w:hint="eastAsia" w:ascii="宋体" w:hAnsi="宋体"/>
          <w:szCs w:val="21"/>
        </w:rPr>
        <w:t>4．承包人保证执行“谁施工、谁负责”的施工安全原则。</w:t>
      </w:r>
    </w:p>
    <w:p>
      <w:pPr>
        <w:spacing w:line="360" w:lineRule="auto"/>
        <w:ind w:firstLine="420" w:firstLineChars="200"/>
        <w:jc w:val="left"/>
        <w:rPr>
          <w:rFonts w:ascii="宋体" w:hAnsi="宋体"/>
          <w:szCs w:val="21"/>
        </w:rPr>
      </w:pPr>
      <w:r>
        <w:rPr>
          <w:rFonts w:hint="eastAsia" w:ascii="宋体" w:hAnsi="宋体"/>
          <w:szCs w:val="21"/>
        </w:rPr>
        <w:t>5．承包人保证服从发包人对安全工作的统一协调和管理。</w:t>
      </w:r>
    </w:p>
    <w:p>
      <w:pPr>
        <w:spacing w:line="360" w:lineRule="auto"/>
        <w:ind w:firstLine="420" w:firstLineChars="200"/>
        <w:jc w:val="left"/>
        <w:rPr>
          <w:rFonts w:ascii="宋体" w:hAnsi="宋体"/>
          <w:szCs w:val="21"/>
        </w:rPr>
      </w:pPr>
      <w:r>
        <w:rPr>
          <w:rFonts w:hint="eastAsia" w:ascii="宋体" w:hAnsi="宋体"/>
          <w:szCs w:val="21"/>
        </w:rPr>
        <w:t>6．承包人保证对本工程项目安全生产条件及其管理资源自行投入，保证安全资金的专款专用。</w:t>
      </w:r>
    </w:p>
    <w:p>
      <w:pPr>
        <w:spacing w:line="360" w:lineRule="auto"/>
        <w:ind w:firstLine="420" w:firstLineChars="200"/>
        <w:jc w:val="left"/>
        <w:rPr>
          <w:rFonts w:ascii="宋体" w:hAnsi="宋体"/>
          <w:szCs w:val="21"/>
        </w:rPr>
      </w:pPr>
      <w:r>
        <w:rPr>
          <w:rFonts w:hint="eastAsia" w:ascii="宋体" w:hAnsi="宋体"/>
          <w:szCs w:val="21"/>
        </w:rPr>
        <w:t>7．承包人保证建立本工程项目的安全管理体系及安全保证体系（注：项目安全管理大纲/手册、管理性的程序文件等）。</w:t>
      </w:r>
    </w:p>
    <w:p>
      <w:pPr>
        <w:spacing w:line="360" w:lineRule="auto"/>
        <w:ind w:firstLine="420" w:firstLineChars="200"/>
        <w:jc w:val="left"/>
        <w:rPr>
          <w:rFonts w:ascii="宋体" w:hAnsi="宋体"/>
          <w:szCs w:val="21"/>
        </w:rPr>
      </w:pPr>
      <w:r>
        <w:rPr>
          <w:rFonts w:hint="eastAsia" w:ascii="宋体" w:hAnsi="宋体"/>
          <w:szCs w:val="21"/>
        </w:rPr>
        <w:t>8．承包人保证现场的安全管理专职人员必须持有建设主管部门安全生产培训考核合格证书。</w:t>
      </w:r>
    </w:p>
    <w:p>
      <w:pPr>
        <w:spacing w:line="360" w:lineRule="auto"/>
        <w:ind w:firstLine="420" w:firstLineChars="200"/>
        <w:jc w:val="left"/>
        <w:rPr>
          <w:rFonts w:ascii="宋体" w:hAnsi="宋体"/>
          <w:szCs w:val="21"/>
        </w:rPr>
      </w:pPr>
      <w:r>
        <w:rPr>
          <w:rFonts w:hint="eastAsia" w:ascii="宋体" w:hAnsi="宋体"/>
          <w:szCs w:val="21"/>
        </w:rPr>
        <w:t>9．承包人保证为现场所有工作人员（含分包商员工及劳务人员）配备符合国家标准的有承包人和/或其下属分包商标志的个人基本劳动保护用品。</w:t>
      </w:r>
    </w:p>
    <w:p>
      <w:pPr>
        <w:spacing w:line="360" w:lineRule="auto"/>
        <w:ind w:firstLine="420" w:firstLineChars="200"/>
        <w:jc w:val="left"/>
        <w:rPr>
          <w:rFonts w:ascii="宋体" w:hAnsi="宋体"/>
          <w:szCs w:val="21"/>
        </w:rPr>
      </w:pPr>
      <w:r>
        <w:rPr>
          <w:rFonts w:hint="eastAsia" w:ascii="宋体" w:hAnsi="宋体"/>
          <w:szCs w:val="21"/>
        </w:rPr>
        <w:t>10．承包人保证按照国家法律规定为现场所有工作人员（含分包商员工及劳务人员）购买意外伤害保险。</w:t>
      </w:r>
    </w:p>
    <w:p>
      <w:pPr>
        <w:spacing w:line="360" w:lineRule="auto"/>
        <w:ind w:firstLine="420" w:firstLineChars="200"/>
        <w:jc w:val="left"/>
        <w:rPr>
          <w:rFonts w:ascii="宋体" w:hAnsi="宋体"/>
          <w:szCs w:val="21"/>
        </w:rPr>
      </w:pPr>
      <w:r>
        <w:rPr>
          <w:rFonts w:hint="eastAsia" w:ascii="宋体" w:hAnsi="宋体"/>
          <w:szCs w:val="21"/>
        </w:rPr>
        <w:t>11．承包人保证施工生活营地（包括自建的和租用的营地）满足消防、安全用电、卫生防疫、防暴雨、防雷击等方面的安全要求。</w:t>
      </w:r>
    </w:p>
    <w:p>
      <w:pPr>
        <w:spacing w:line="360" w:lineRule="auto"/>
        <w:ind w:firstLine="420" w:firstLineChars="200"/>
        <w:jc w:val="left"/>
        <w:rPr>
          <w:rFonts w:ascii="宋体" w:hAnsi="宋体"/>
          <w:szCs w:val="21"/>
        </w:rPr>
      </w:pPr>
      <w:r>
        <w:rPr>
          <w:rFonts w:hint="eastAsia" w:ascii="宋体" w:hAnsi="宋体"/>
          <w:szCs w:val="21"/>
        </w:rPr>
        <w:t>12．承包人保证对带入现场的设备、工具、材料按照国家法规和标准进行检测、试验，并持有法定部门出具的检验证书。</w:t>
      </w:r>
    </w:p>
    <w:p>
      <w:pPr>
        <w:spacing w:line="360" w:lineRule="auto"/>
        <w:ind w:firstLine="420" w:firstLineChars="200"/>
        <w:jc w:val="left"/>
        <w:rPr>
          <w:rFonts w:ascii="宋体" w:hAnsi="宋体"/>
          <w:szCs w:val="21"/>
        </w:rPr>
      </w:pPr>
      <w:r>
        <w:rPr>
          <w:rFonts w:hint="eastAsia" w:ascii="宋体" w:hAnsi="宋体"/>
          <w:szCs w:val="21"/>
        </w:rPr>
        <w:t>13．承包人保证制订施工现场的文明施工措施，保护环境、树木和植被，保持施工现场的良好秩序和整洁的作业环境。</w:t>
      </w:r>
    </w:p>
    <w:p>
      <w:pPr>
        <w:spacing w:line="360" w:lineRule="auto"/>
        <w:ind w:firstLine="420" w:firstLineChars="200"/>
        <w:jc w:val="left"/>
        <w:rPr>
          <w:rFonts w:ascii="宋体" w:hAnsi="宋体"/>
          <w:szCs w:val="21"/>
        </w:rPr>
      </w:pPr>
      <w:r>
        <w:rPr>
          <w:rFonts w:hint="eastAsia" w:ascii="宋体" w:hAnsi="宋体"/>
          <w:szCs w:val="21"/>
        </w:rPr>
        <w:t>14．承包人负责在施工过程中与当地政府、周边群众及其他承包商保持良好的沟通和交流。承包人遇到与周边群众发生纠纷时，应负责协调工作，确保工程能够顺利进行。</w:t>
      </w:r>
    </w:p>
    <w:p>
      <w:pPr>
        <w:spacing w:line="360" w:lineRule="auto"/>
        <w:ind w:firstLine="420" w:firstLineChars="200"/>
        <w:rPr>
          <w:rFonts w:ascii="宋体" w:hAnsi="宋体"/>
          <w:szCs w:val="21"/>
        </w:rPr>
      </w:pPr>
      <w:bookmarkStart w:id="2236" w:name="_Toc247418267"/>
      <w:bookmarkStart w:id="2237" w:name="_Toc247431427"/>
      <w:bookmarkStart w:id="2238" w:name="_Toc532375703"/>
      <w:bookmarkStart w:id="2239" w:name="_Toc239510293"/>
      <w:r>
        <w:rPr>
          <w:rFonts w:hint="eastAsia" w:ascii="宋体" w:hAnsi="宋体"/>
          <w:szCs w:val="21"/>
        </w:rPr>
        <w:t>四、接口及协调</w:t>
      </w:r>
      <w:bookmarkEnd w:id="2236"/>
      <w:bookmarkEnd w:id="2237"/>
      <w:bookmarkEnd w:id="2238"/>
      <w:bookmarkEnd w:id="2239"/>
    </w:p>
    <w:p>
      <w:pPr>
        <w:spacing w:line="360" w:lineRule="auto"/>
        <w:ind w:firstLine="420" w:firstLineChars="200"/>
        <w:jc w:val="left"/>
        <w:rPr>
          <w:rFonts w:ascii="宋体" w:hAnsi="宋体"/>
          <w:szCs w:val="21"/>
        </w:rPr>
      </w:pPr>
      <w:r>
        <w:rPr>
          <w:rFonts w:hint="eastAsia" w:ascii="宋体" w:hAnsi="宋体"/>
          <w:szCs w:val="21"/>
        </w:rPr>
        <w:t>1．发包人委托监理公司对该工程实施监理，监理公司在安全管理方面代表发包人行使监督检查职能，承包人必须给予配合和支持。</w:t>
      </w:r>
    </w:p>
    <w:p>
      <w:pPr>
        <w:spacing w:line="360" w:lineRule="auto"/>
        <w:ind w:firstLine="420" w:firstLineChars="200"/>
        <w:jc w:val="left"/>
        <w:rPr>
          <w:rFonts w:ascii="宋体" w:hAnsi="宋体"/>
          <w:szCs w:val="21"/>
        </w:rPr>
      </w:pPr>
      <w:r>
        <w:rPr>
          <w:rFonts w:hint="eastAsia" w:ascii="宋体" w:hAnsi="宋体"/>
          <w:szCs w:val="21"/>
        </w:rPr>
        <w:t>2．承包人人员、车辆的出入，带入现场的设备、机具、材料，在现场使用的或直接管理的办公、生活、生产性设施的安全管理须满足发包人现场管理的基本要求。</w:t>
      </w:r>
    </w:p>
    <w:p>
      <w:pPr>
        <w:spacing w:line="360" w:lineRule="auto"/>
        <w:ind w:firstLine="420" w:firstLineChars="200"/>
        <w:jc w:val="left"/>
        <w:rPr>
          <w:rFonts w:ascii="宋体" w:hAnsi="宋体"/>
          <w:szCs w:val="21"/>
        </w:rPr>
      </w:pPr>
      <w:r>
        <w:rPr>
          <w:rFonts w:hint="eastAsia" w:ascii="宋体" w:hAnsi="宋体"/>
          <w:szCs w:val="21"/>
        </w:rPr>
        <w:t>3．承包人应指定专职安全管理人员与发包人委托的监理公司接口，参与安全协调和管理。安全协调和管理的内容包括职业健康、工业安全、消防安全、卫生防疫、交通安全、环境保护、治安保卫等各方面。</w:t>
      </w:r>
    </w:p>
    <w:p>
      <w:pPr>
        <w:spacing w:line="360" w:lineRule="auto"/>
        <w:ind w:firstLine="420" w:firstLineChars="200"/>
        <w:jc w:val="left"/>
        <w:rPr>
          <w:rFonts w:ascii="宋体" w:hAnsi="宋体"/>
          <w:szCs w:val="21"/>
        </w:rPr>
      </w:pPr>
      <w:r>
        <w:rPr>
          <w:rFonts w:hint="eastAsia" w:ascii="宋体" w:hAnsi="宋体"/>
          <w:szCs w:val="21"/>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pPr>
        <w:spacing w:line="360" w:lineRule="auto"/>
        <w:ind w:firstLine="420" w:firstLineChars="200"/>
        <w:jc w:val="left"/>
        <w:rPr>
          <w:rFonts w:ascii="宋体" w:hAnsi="宋体"/>
          <w:szCs w:val="21"/>
        </w:rPr>
      </w:pPr>
      <w:r>
        <w:rPr>
          <w:rFonts w:hint="eastAsia" w:ascii="宋体" w:hAnsi="宋体"/>
          <w:szCs w:val="21"/>
        </w:rPr>
        <w:t>5．承包人指定的专职安全管理人员应与发包人委托的监理公司建立联系，在业务上接受发包人委托的监理公司的协调和指导。</w:t>
      </w:r>
    </w:p>
    <w:p>
      <w:pPr>
        <w:spacing w:line="360" w:lineRule="auto"/>
        <w:ind w:firstLine="420" w:firstLineChars="200"/>
        <w:jc w:val="left"/>
        <w:rPr>
          <w:rFonts w:ascii="宋体" w:hAnsi="宋体"/>
          <w:szCs w:val="21"/>
        </w:rPr>
      </w:pPr>
      <w:r>
        <w:rPr>
          <w:rFonts w:hint="eastAsia" w:ascii="宋体" w:hAnsi="宋体"/>
          <w:szCs w:val="21"/>
        </w:rPr>
        <w:t>6．开工后承包人的专职安全管理人员应按照发包人委托的监理公司的规定，定期报送安全月度快报、季报、年报和各种专项事故报告等。</w:t>
      </w:r>
    </w:p>
    <w:p>
      <w:pPr>
        <w:spacing w:line="360" w:lineRule="auto"/>
        <w:ind w:firstLine="420" w:firstLineChars="200"/>
        <w:jc w:val="left"/>
        <w:rPr>
          <w:rFonts w:ascii="宋体" w:hAnsi="宋体"/>
          <w:szCs w:val="21"/>
        </w:rPr>
      </w:pPr>
      <w:r>
        <w:rPr>
          <w:rFonts w:hint="eastAsia" w:ascii="宋体" w:hAnsi="宋体"/>
          <w:szCs w:val="21"/>
        </w:rPr>
        <w:t>7．在工程实体未全部正式移交发包人施工管理部门之前，承包人依旧对施工范围内的安全管理负责。</w:t>
      </w:r>
    </w:p>
    <w:p>
      <w:pPr>
        <w:spacing w:line="360" w:lineRule="auto"/>
        <w:ind w:firstLine="420" w:firstLineChars="200"/>
        <w:rPr>
          <w:rFonts w:ascii="宋体" w:hAnsi="宋体"/>
          <w:szCs w:val="21"/>
        </w:rPr>
      </w:pPr>
      <w:bookmarkStart w:id="2240" w:name="_Toc247431428"/>
      <w:bookmarkStart w:id="2241" w:name="_Toc532375704"/>
      <w:bookmarkStart w:id="2242" w:name="_Toc247418268"/>
      <w:bookmarkStart w:id="2243" w:name="_Toc239510294"/>
      <w:r>
        <w:rPr>
          <w:rFonts w:hint="eastAsia" w:ascii="宋体" w:hAnsi="宋体"/>
          <w:szCs w:val="21"/>
        </w:rPr>
        <w:t>五、安全资质审查</w:t>
      </w:r>
      <w:bookmarkEnd w:id="2240"/>
      <w:bookmarkEnd w:id="2241"/>
      <w:bookmarkEnd w:id="2242"/>
      <w:bookmarkEnd w:id="2243"/>
    </w:p>
    <w:p>
      <w:pPr>
        <w:spacing w:line="360" w:lineRule="auto"/>
        <w:ind w:firstLine="420" w:firstLineChars="200"/>
        <w:jc w:val="left"/>
        <w:rPr>
          <w:rFonts w:ascii="宋体" w:hAnsi="宋体"/>
          <w:szCs w:val="21"/>
        </w:rPr>
      </w:pPr>
      <w:r>
        <w:rPr>
          <w:rFonts w:hint="eastAsia" w:ascii="宋体" w:hAnsi="宋体"/>
          <w:szCs w:val="21"/>
        </w:rPr>
        <w:t>承包人在项目开工前5个工作天内向发包人委托的监理公司提供以下安全资质供审查和存档：</w:t>
      </w:r>
    </w:p>
    <w:p>
      <w:pPr>
        <w:spacing w:line="360" w:lineRule="auto"/>
        <w:ind w:firstLine="420" w:firstLineChars="200"/>
        <w:jc w:val="left"/>
        <w:rPr>
          <w:rFonts w:ascii="宋体" w:hAnsi="宋体"/>
          <w:szCs w:val="21"/>
        </w:rPr>
      </w:pPr>
      <w:r>
        <w:rPr>
          <w:rFonts w:hint="eastAsia" w:ascii="宋体" w:hAnsi="宋体"/>
          <w:szCs w:val="21"/>
        </w:rPr>
        <w:t>1．企业安全生产许可证书复印件。</w:t>
      </w:r>
    </w:p>
    <w:p>
      <w:pPr>
        <w:spacing w:line="360" w:lineRule="auto"/>
        <w:ind w:firstLine="420" w:firstLineChars="200"/>
        <w:jc w:val="left"/>
        <w:rPr>
          <w:rFonts w:ascii="宋体" w:hAnsi="宋体"/>
          <w:szCs w:val="21"/>
        </w:rPr>
      </w:pPr>
      <w:r>
        <w:rPr>
          <w:rFonts w:hint="eastAsia" w:ascii="宋体" w:hAnsi="宋体"/>
          <w:szCs w:val="21"/>
        </w:rPr>
        <w:t>2．企业近三年的施工简历及安全施工业绩证明文件。</w:t>
      </w:r>
    </w:p>
    <w:p>
      <w:pPr>
        <w:spacing w:line="360" w:lineRule="auto"/>
        <w:ind w:firstLine="420" w:firstLineChars="200"/>
        <w:jc w:val="left"/>
        <w:rPr>
          <w:rFonts w:ascii="宋体" w:hAnsi="宋体"/>
          <w:szCs w:val="21"/>
        </w:rPr>
      </w:pPr>
      <w:r>
        <w:rPr>
          <w:rFonts w:hint="eastAsia" w:ascii="宋体" w:hAnsi="宋体"/>
          <w:szCs w:val="21"/>
        </w:rPr>
        <w:t>3．企业主要安全管理人员（包括项目经理、专职安全管理人员）经建设主管部门安全生产知识考核合格证书。</w:t>
      </w:r>
    </w:p>
    <w:p>
      <w:pPr>
        <w:spacing w:line="360" w:lineRule="auto"/>
        <w:ind w:firstLine="420" w:firstLineChars="200"/>
        <w:jc w:val="left"/>
        <w:rPr>
          <w:rFonts w:ascii="宋体" w:hAnsi="宋体"/>
          <w:szCs w:val="21"/>
        </w:rPr>
      </w:pPr>
      <w:r>
        <w:rPr>
          <w:rFonts w:hint="eastAsia" w:ascii="宋体" w:hAnsi="宋体"/>
          <w:szCs w:val="21"/>
        </w:rPr>
        <w:t>4．特种作业人员资格证书。</w:t>
      </w:r>
    </w:p>
    <w:p>
      <w:pPr>
        <w:spacing w:line="360" w:lineRule="auto"/>
        <w:ind w:firstLine="420" w:firstLineChars="200"/>
        <w:jc w:val="left"/>
        <w:rPr>
          <w:rFonts w:ascii="宋体" w:hAnsi="宋体"/>
          <w:szCs w:val="21"/>
        </w:rPr>
      </w:pPr>
      <w:r>
        <w:rPr>
          <w:rFonts w:hint="eastAsia" w:ascii="宋体" w:hAnsi="宋体"/>
          <w:szCs w:val="21"/>
        </w:rPr>
        <w:t>5．项目安全管理机构及其人员配备（承包人必须配有专职的安全员）。</w:t>
      </w:r>
    </w:p>
    <w:p>
      <w:pPr>
        <w:spacing w:line="360" w:lineRule="auto"/>
        <w:ind w:firstLine="420" w:firstLineChars="200"/>
        <w:jc w:val="left"/>
        <w:rPr>
          <w:rFonts w:ascii="宋体" w:hAnsi="宋体"/>
          <w:szCs w:val="21"/>
        </w:rPr>
      </w:pPr>
      <w:r>
        <w:rPr>
          <w:rFonts w:hint="eastAsia" w:ascii="宋体" w:hAnsi="宋体"/>
          <w:szCs w:val="21"/>
        </w:rPr>
        <w:t>6．适用于项目的安全管理体系及保证体系文件（安全管理大纲及管理程序文件）。</w:t>
      </w:r>
    </w:p>
    <w:p>
      <w:pPr>
        <w:spacing w:line="360" w:lineRule="auto"/>
        <w:ind w:firstLine="420" w:firstLineChars="200"/>
        <w:rPr>
          <w:rFonts w:ascii="宋体" w:hAnsi="宋体"/>
          <w:szCs w:val="21"/>
        </w:rPr>
      </w:pPr>
      <w:bookmarkStart w:id="2244" w:name="_Toc247431429"/>
      <w:bookmarkStart w:id="2245" w:name="_Toc247418269"/>
      <w:bookmarkStart w:id="2246" w:name="_Toc239510295"/>
      <w:bookmarkStart w:id="2247" w:name="_Toc532375705"/>
      <w:r>
        <w:rPr>
          <w:rFonts w:hint="eastAsia" w:ascii="宋体" w:hAnsi="宋体"/>
          <w:szCs w:val="21"/>
        </w:rPr>
        <w:t>六、人员基本素质</w:t>
      </w:r>
      <w:bookmarkEnd w:id="2244"/>
      <w:bookmarkEnd w:id="2245"/>
      <w:bookmarkEnd w:id="2246"/>
      <w:bookmarkEnd w:id="2247"/>
    </w:p>
    <w:p>
      <w:pPr>
        <w:spacing w:line="360" w:lineRule="auto"/>
        <w:ind w:firstLine="420" w:firstLineChars="200"/>
        <w:jc w:val="left"/>
        <w:rPr>
          <w:rFonts w:ascii="宋体" w:hAnsi="宋体"/>
          <w:szCs w:val="21"/>
        </w:rPr>
      </w:pPr>
      <w:r>
        <w:rPr>
          <w:rFonts w:hint="eastAsia" w:ascii="宋体" w:hAnsi="宋体"/>
          <w:szCs w:val="21"/>
        </w:rPr>
        <w:t>承包人提供的人员必须满足下列要求：</w:t>
      </w:r>
    </w:p>
    <w:p>
      <w:pPr>
        <w:spacing w:line="360" w:lineRule="auto"/>
        <w:ind w:firstLine="420" w:firstLineChars="200"/>
        <w:jc w:val="left"/>
        <w:rPr>
          <w:rFonts w:ascii="宋体" w:hAnsi="宋体"/>
          <w:szCs w:val="21"/>
        </w:rPr>
      </w:pPr>
      <w:r>
        <w:rPr>
          <w:rFonts w:hint="eastAsia" w:ascii="宋体" w:hAnsi="宋体"/>
          <w:szCs w:val="21"/>
        </w:rPr>
        <w:t>1．身体健康，无影响工作的精神疾病、无传染病和其他重大疾病；承包人需对其雇用的施工人员签发健康声明并保证其健康。其中体检证明材料（县级以上医院）和健康声明作为人员办理入场证件的必备材料。</w:t>
      </w:r>
    </w:p>
    <w:p>
      <w:pPr>
        <w:spacing w:line="360" w:lineRule="auto"/>
        <w:ind w:firstLine="420" w:firstLineChars="200"/>
        <w:jc w:val="left"/>
        <w:rPr>
          <w:rFonts w:ascii="宋体" w:hAnsi="宋体"/>
          <w:szCs w:val="21"/>
        </w:rPr>
      </w:pPr>
      <w:r>
        <w:rPr>
          <w:rFonts w:hint="eastAsia" w:ascii="宋体" w:hAnsi="宋体"/>
          <w:szCs w:val="21"/>
        </w:rPr>
        <w:t>2．无刑事案件牵连。</w:t>
      </w:r>
    </w:p>
    <w:p>
      <w:pPr>
        <w:spacing w:line="360" w:lineRule="auto"/>
        <w:ind w:firstLine="420" w:firstLineChars="200"/>
        <w:jc w:val="left"/>
        <w:rPr>
          <w:rFonts w:ascii="宋体" w:hAnsi="宋体"/>
          <w:szCs w:val="21"/>
        </w:rPr>
      </w:pPr>
      <w:r>
        <w:rPr>
          <w:rFonts w:hint="eastAsia" w:ascii="宋体" w:hAnsi="宋体"/>
          <w:szCs w:val="21"/>
        </w:rPr>
        <w:t>3．无吸毒、酗酒、赌博、嫖娼等恶习及违法行为。</w:t>
      </w:r>
    </w:p>
    <w:p>
      <w:pPr>
        <w:spacing w:line="360" w:lineRule="auto"/>
        <w:ind w:firstLine="420" w:firstLineChars="200"/>
        <w:rPr>
          <w:rFonts w:ascii="宋体" w:hAnsi="宋体"/>
          <w:szCs w:val="21"/>
        </w:rPr>
      </w:pPr>
      <w:bookmarkStart w:id="2248" w:name="_Toc247418270"/>
      <w:bookmarkStart w:id="2249" w:name="_Toc532375706"/>
      <w:bookmarkStart w:id="2250" w:name="_Toc247431430"/>
      <w:bookmarkStart w:id="2251" w:name="_Toc239510296"/>
      <w:r>
        <w:rPr>
          <w:rFonts w:hint="eastAsia" w:ascii="宋体" w:hAnsi="宋体"/>
          <w:szCs w:val="21"/>
        </w:rPr>
        <w:t>七、劳动保护</w:t>
      </w:r>
      <w:bookmarkEnd w:id="2248"/>
      <w:bookmarkEnd w:id="2249"/>
      <w:bookmarkEnd w:id="2250"/>
      <w:bookmarkEnd w:id="2251"/>
    </w:p>
    <w:p>
      <w:pPr>
        <w:spacing w:line="360" w:lineRule="auto"/>
        <w:ind w:firstLine="420" w:firstLineChars="200"/>
        <w:jc w:val="left"/>
        <w:rPr>
          <w:rFonts w:ascii="宋体" w:hAnsi="宋体"/>
          <w:szCs w:val="21"/>
        </w:rPr>
      </w:pPr>
      <w:r>
        <w:rPr>
          <w:rFonts w:hint="eastAsia" w:ascii="宋体" w:hAnsi="宋体"/>
          <w:szCs w:val="21"/>
        </w:rPr>
        <w:t>1．承包人负责为本单位任何用工形式的员工提供个人劳动保护用品（包括工作服、安全帽、安全鞋等）。</w:t>
      </w:r>
    </w:p>
    <w:p>
      <w:pPr>
        <w:spacing w:line="360" w:lineRule="auto"/>
        <w:ind w:firstLine="420" w:firstLineChars="200"/>
        <w:jc w:val="left"/>
        <w:rPr>
          <w:rFonts w:ascii="宋体" w:hAnsi="宋体"/>
          <w:szCs w:val="21"/>
        </w:rPr>
      </w:pPr>
      <w:r>
        <w:rPr>
          <w:rFonts w:hint="eastAsia" w:ascii="宋体" w:hAnsi="宋体"/>
          <w:szCs w:val="21"/>
        </w:rPr>
        <w:t>2．承包人负责向特殊工种的员工提供特殊劳动保护，否则不得从事特殊工种作业。</w:t>
      </w:r>
    </w:p>
    <w:p>
      <w:pPr>
        <w:spacing w:line="360" w:lineRule="auto"/>
        <w:ind w:firstLine="420" w:firstLineChars="200"/>
        <w:jc w:val="left"/>
        <w:rPr>
          <w:rFonts w:ascii="宋体" w:hAnsi="宋体"/>
          <w:szCs w:val="21"/>
        </w:rPr>
      </w:pPr>
      <w:r>
        <w:rPr>
          <w:rFonts w:hint="eastAsia" w:ascii="宋体" w:hAnsi="宋体"/>
          <w:szCs w:val="21"/>
        </w:rPr>
        <w:t>3．发包人委托的监理公司有权检查承包人的个人劳动保护用品是否符合国家的相应标准。</w:t>
      </w:r>
    </w:p>
    <w:p>
      <w:pPr>
        <w:spacing w:line="360" w:lineRule="auto"/>
        <w:ind w:firstLine="420" w:firstLineChars="200"/>
        <w:jc w:val="left"/>
        <w:rPr>
          <w:rFonts w:ascii="宋体" w:hAnsi="宋体"/>
          <w:szCs w:val="21"/>
        </w:rPr>
      </w:pPr>
      <w:r>
        <w:rPr>
          <w:rFonts w:hint="eastAsia" w:ascii="宋体" w:hAnsi="宋体"/>
          <w:szCs w:val="21"/>
        </w:rPr>
        <w:t>4． 承包人在特殊风险场所作业而需要特殊防护用品或安全仪表时，必须在上述防护用品全部到位后才能开工。</w:t>
      </w:r>
    </w:p>
    <w:p>
      <w:pPr>
        <w:spacing w:line="360" w:lineRule="auto"/>
        <w:ind w:firstLine="420" w:firstLineChars="200"/>
        <w:jc w:val="left"/>
        <w:rPr>
          <w:rFonts w:ascii="宋体" w:hAnsi="宋体"/>
          <w:szCs w:val="21"/>
        </w:rPr>
      </w:pPr>
      <w:r>
        <w:rPr>
          <w:rFonts w:hint="eastAsia" w:ascii="宋体" w:hAnsi="宋体"/>
          <w:szCs w:val="21"/>
        </w:rPr>
        <w:t>5．承包人应配备临时安全围栏、警示带、警告标志、防火布等集体防护用品。</w:t>
      </w:r>
    </w:p>
    <w:p>
      <w:pPr>
        <w:spacing w:line="360" w:lineRule="auto"/>
        <w:ind w:firstLine="420" w:firstLineChars="200"/>
        <w:rPr>
          <w:rFonts w:ascii="宋体" w:hAnsi="宋体"/>
          <w:szCs w:val="21"/>
        </w:rPr>
      </w:pPr>
      <w:bookmarkStart w:id="2252" w:name="_Toc532375707"/>
      <w:bookmarkStart w:id="2253" w:name="_Toc247431431"/>
      <w:bookmarkStart w:id="2254" w:name="_Toc247418271"/>
      <w:bookmarkStart w:id="2255" w:name="_Toc239510297"/>
      <w:r>
        <w:rPr>
          <w:rFonts w:hint="eastAsia" w:ascii="宋体" w:hAnsi="宋体"/>
          <w:szCs w:val="21"/>
        </w:rPr>
        <w:t>八、施工机具与材料</w:t>
      </w:r>
      <w:bookmarkEnd w:id="2252"/>
      <w:bookmarkEnd w:id="2253"/>
      <w:bookmarkEnd w:id="2254"/>
      <w:bookmarkEnd w:id="2255"/>
    </w:p>
    <w:p>
      <w:pPr>
        <w:spacing w:line="360" w:lineRule="auto"/>
        <w:ind w:firstLine="420" w:firstLineChars="200"/>
        <w:jc w:val="left"/>
        <w:rPr>
          <w:rFonts w:ascii="宋体" w:hAnsi="宋体"/>
          <w:szCs w:val="21"/>
        </w:rPr>
      </w:pPr>
      <w:r>
        <w:rPr>
          <w:rFonts w:hint="eastAsia" w:ascii="宋体" w:hAnsi="宋体"/>
          <w:szCs w:val="21"/>
        </w:rPr>
        <w:t>1．承包人对带入现场的施工机械和工器具的安全负责。</w:t>
      </w:r>
    </w:p>
    <w:p>
      <w:pPr>
        <w:spacing w:line="360" w:lineRule="auto"/>
        <w:ind w:firstLine="420" w:firstLineChars="200"/>
        <w:jc w:val="left"/>
        <w:rPr>
          <w:rFonts w:ascii="宋体" w:hAnsi="宋体"/>
          <w:szCs w:val="21"/>
        </w:rPr>
      </w:pPr>
      <w:r>
        <w:rPr>
          <w:rFonts w:hint="eastAsia" w:ascii="宋体" w:hAnsi="宋体"/>
          <w:szCs w:val="21"/>
        </w:rPr>
        <w:t>2．对于承包人带入现场的特殊工器具，如起重设备、索具、机动车辆、压缩气瓶等，承包人必须按国家法规和标准进行检测、试验，并持有法定部门出具的检验证书。</w:t>
      </w:r>
    </w:p>
    <w:p>
      <w:pPr>
        <w:spacing w:line="360" w:lineRule="auto"/>
        <w:ind w:firstLine="420" w:firstLineChars="200"/>
        <w:jc w:val="left"/>
        <w:rPr>
          <w:rFonts w:ascii="宋体" w:hAnsi="宋体"/>
          <w:szCs w:val="21"/>
        </w:rPr>
      </w:pPr>
      <w:r>
        <w:rPr>
          <w:rFonts w:hint="eastAsia" w:ascii="宋体" w:hAnsi="宋体"/>
          <w:szCs w:val="21"/>
        </w:rPr>
        <w:t>3．对于不属于法定检测的工器具，承包人也必须建立相应的管理、检测制度，这些工器具包括登高工具、脚手架材料、电动工具、安全防护设备及用具等。</w:t>
      </w:r>
    </w:p>
    <w:p>
      <w:pPr>
        <w:spacing w:line="360" w:lineRule="auto"/>
        <w:ind w:firstLine="420" w:firstLineChars="200"/>
        <w:rPr>
          <w:rFonts w:ascii="宋体" w:hAnsi="宋体"/>
          <w:szCs w:val="21"/>
        </w:rPr>
      </w:pPr>
      <w:bookmarkStart w:id="2256" w:name="_Toc247431432"/>
      <w:bookmarkStart w:id="2257" w:name="_Toc532375708"/>
      <w:bookmarkStart w:id="2258" w:name="_Toc247418272"/>
      <w:bookmarkStart w:id="2259" w:name="_Toc239510298"/>
      <w:r>
        <w:rPr>
          <w:rFonts w:hint="eastAsia" w:ascii="宋体" w:hAnsi="宋体"/>
          <w:szCs w:val="21"/>
        </w:rPr>
        <w:t>九、开工前安全条件检查</w:t>
      </w:r>
      <w:bookmarkEnd w:id="2256"/>
      <w:bookmarkEnd w:id="2257"/>
      <w:bookmarkEnd w:id="2258"/>
      <w:bookmarkEnd w:id="2259"/>
    </w:p>
    <w:p>
      <w:pPr>
        <w:spacing w:line="360" w:lineRule="auto"/>
        <w:ind w:firstLine="420" w:firstLineChars="200"/>
        <w:jc w:val="left"/>
        <w:rPr>
          <w:rFonts w:ascii="宋体" w:hAnsi="宋体"/>
          <w:szCs w:val="21"/>
        </w:rPr>
      </w:pPr>
      <w:r>
        <w:rPr>
          <w:rFonts w:hint="eastAsia" w:ascii="宋体" w:hAnsi="宋体"/>
          <w:szCs w:val="21"/>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pPr>
        <w:spacing w:line="360" w:lineRule="auto"/>
        <w:ind w:firstLine="420" w:firstLineChars="200"/>
        <w:jc w:val="left"/>
        <w:rPr>
          <w:rFonts w:ascii="宋体" w:hAnsi="宋体"/>
          <w:szCs w:val="21"/>
        </w:rPr>
      </w:pPr>
      <w:r>
        <w:rPr>
          <w:rFonts w:hint="eastAsia" w:ascii="宋体" w:hAnsi="宋体"/>
          <w:szCs w:val="21"/>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pPr>
        <w:spacing w:line="360" w:lineRule="auto"/>
        <w:ind w:firstLine="420" w:firstLineChars="200"/>
        <w:jc w:val="left"/>
        <w:rPr>
          <w:rFonts w:ascii="宋体" w:hAnsi="宋体"/>
          <w:szCs w:val="21"/>
        </w:rPr>
      </w:pPr>
      <w:r>
        <w:rPr>
          <w:rFonts w:hint="eastAsia" w:ascii="宋体" w:hAnsi="宋体"/>
          <w:szCs w:val="21"/>
        </w:rPr>
        <w:t>3．发包人委托的监理公司检查发现的缺陷，承包人应在规定期限内完成整改。对于重大缺陷，发包人委托的监理公司有权要求承包人推迟开工，由此对工期产生的影响或经济损失，由承包人承担。</w:t>
      </w:r>
    </w:p>
    <w:p>
      <w:pPr>
        <w:spacing w:line="360" w:lineRule="auto"/>
        <w:ind w:firstLine="420" w:firstLineChars="200"/>
        <w:rPr>
          <w:rFonts w:ascii="宋体" w:hAnsi="宋体"/>
          <w:szCs w:val="21"/>
        </w:rPr>
      </w:pPr>
      <w:bookmarkStart w:id="2260" w:name="_Toc239510299"/>
      <w:bookmarkStart w:id="2261" w:name="_Toc532375709"/>
      <w:bookmarkStart w:id="2262" w:name="_Toc247431433"/>
      <w:bookmarkStart w:id="2263" w:name="_Toc247418273"/>
      <w:r>
        <w:rPr>
          <w:rFonts w:hint="eastAsia" w:ascii="宋体" w:hAnsi="宋体"/>
          <w:szCs w:val="21"/>
        </w:rPr>
        <w:t>十、安全监督</w:t>
      </w:r>
      <w:bookmarkEnd w:id="2260"/>
      <w:bookmarkEnd w:id="2261"/>
      <w:bookmarkEnd w:id="2262"/>
      <w:bookmarkEnd w:id="2263"/>
    </w:p>
    <w:p>
      <w:pPr>
        <w:spacing w:line="360" w:lineRule="auto"/>
        <w:ind w:firstLine="420" w:firstLineChars="200"/>
        <w:jc w:val="left"/>
        <w:rPr>
          <w:rFonts w:ascii="宋体" w:hAnsi="宋体"/>
          <w:szCs w:val="21"/>
        </w:rPr>
      </w:pPr>
      <w:r>
        <w:rPr>
          <w:rFonts w:hint="eastAsia" w:ascii="宋体" w:hAnsi="宋体"/>
          <w:szCs w:val="21"/>
        </w:rPr>
        <w:t>1．承包人应配备有满足项目安全管理需要的专职安全管理人员。</w:t>
      </w:r>
    </w:p>
    <w:p>
      <w:pPr>
        <w:spacing w:line="360" w:lineRule="auto"/>
        <w:ind w:firstLine="420" w:firstLineChars="200"/>
        <w:jc w:val="left"/>
        <w:rPr>
          <w:rFonts w:ascii="宋体" w:hAnsi="宋体"/>
          <w:szCs w:val="21"/>
        </w:rPr>
      </w:pPr>
      <w:r>
        <w:rPr>
          <w:rFonts w:hint="eastAsia" w:ascii="宋体" w:hAnsi="宋体"/>
          <w:szCs w:val="21"/>
        </w:rPr>
        <w:t>2．承包人的专职安全管理人员必须持建设主管部门颁发的安全生产知识考核合格证书。</w:t>
      </w:r>
    </w:p>
    <w:p>
      <w:pPr>
        <w:spacing w:line="360" w:lineRule="auto"/>
        <w:ind w:firstLine="420" w:firstLineChars="200"/>
        <w:jc w:val="left"/>
        <w:rPr>
          <w:rFonts w:ascii="宋体" w:hAnsi="宋体"/>
          <w:szCs w:val="21"/>
        </w:rPr>
      </w:pPr>
      <w:r>
        <w:rPr>
          <w:rFonts w:hint="eastAsia" w:ascii="宋体" w:hAnsi="宋体"/>
          <w:szCs w:val="21"/>
        </w:rPr>
        <w:t>3．承包人的专职安全管理人员在业务上接受发包人委托的监理公司和发包人安全管理部门的协调和指导。</w:t>
      </w:r>
    </w:p>
    <w:p>
      <w:pPr>
        <w:spacing w:line="360" w:lineRule="auto"/>
        <w:ind w:firstLine="420" w:firstLineChars="200"/>
        <w:jc w:val="left"/>
        <w:rPr>
          <w:rFonts w:ascii="宋体" w:hAnsi="宋体"/>
          <w:szCs w:val="21"/>
        </w:rPr>
      </w:pPr>
      <w:r>
        <w:rPr>
          <w:rFonts w:hint="eastAsia" w:ascii="宋体" w:hAnsi="宋体"/>
          <w:szCs w:val="21"/>
        </w:rPr>
        <w:t>4．承包人应建立班前安全交底制度；施工期间坚持开展安全检查和日常安全监督并形成相应的记录。</w:t>
      </w:r>
    </w:p>
    <w:p>
      <w:pPr>
        <w:spacing w:line="360" w:lineRule="auto"/>
        <w:ind w:firstLine="420" w:firstLineChars="200"/>
        <w:jc w:val="left"/>
        <w:rPr>
          <w:rFonts w:ascii="宋体" w:hAnsi="宋体"/>
          <w:szCs w:val="21"/>
        </w:rPr>
      </w:pPr>
      <w:r>
        <w:rPr>
          <w:rFonts w:hint="eastAsia" w:ascii="宋体" w:hAnsi="宋体"/>
          <w:szCs w:val="21"/>
        </w:rPr>
        <w:t>5．承包人应在每个作业区任命兼职安全员，赋予兼职安全员相应的授权和义务，并对兼职安全员进行定期考核。</w:t>
      </w:r>
    </w:p>
    <w:p>
      <w:pPr>
        <w:spacing w:line="360" w:lineRule="auto"/>
        <w:ind w:firstLine="420" w:firstLineChars="200"/>
        <w:jc w:val="left"/>
        <w:rPr>
          <w:rFonts w:ascii="宋体" w:hAnsi="宋体"/>
          <w:szCs w:val="21"/>
        </w:rPr>
      </w:pPr>
      <w:r>
        <w:rPr>
          <w:rFonts w:hint="eastAsia" w:ascii="宋体" w:hAnsi="宋体"/>
          <w:szCs w:val="21"/>
        </w:rPr>
        <w:t>6．承包人应接受和配合发包人专业部门及委托的监理公司的监督与安全评价。</w:t>
      </w:r>
    </w:p>
    <w:p>
      <w:pPr>
        <w:spacing w:line="360" w:lineRule="auto"/>
        <w:ind w:firstLine="420" w:firstLineChars="200"/>
        <w:jc w:val="left"/>
        <w:rPr>
          <w:rFonts w:ascii="宋体" w:hAnsi="宋体"/>
          <w:szCs w:val="21"/>
        </w:rPr>
      </w:pPr>
      <w:r>
        <w:rPr>
          <w:rFonts w:hint="eastAsia" w:ascii="宋体" w:hAnsi="宋体"/>
          <w:szCs w:val="21"/>
        </w:rPr>
        <w:t>7．发包人和委托的监理公司有权对承包人履行安全管理协议的情况进行监督，并有权对违章行为实行停工和处罚，处罚情况将通知承包人。涉及经济处罚时将直接通知合同管理部门从合同结算中扣除。</w:t>
      </w:r>
    </w:p>
    <w:p>
      <w:pPr>
        <w:spacing w:line="360" w:lineRule="auto"/>
        <w:ind w:firstLine="420" w:firstLineChars="200"/>
        <w:rPr>
          <w:rFonts w:ascii="宋体" w:hAnsi="宋体"/>
          <w:szCs w:val="21"/>
        </w:rPr>
      </w:pPr>
      <w:bookmarkStart w:id="2264" w:name="_Toc247431434"/>
      <w:bookmarkStart w:id="2265" w:name="_Toc239510300"/>
      <w:bookmarkStart w:id="2266" w:name="_Toc247418274"/>
      <w:bookmarkStart w:id="2267" w:name="_Toc532375710"/>
      <w:r>
        <w:rPr>
          <w:rFonts w:hint="eastAsia" w:ascii="宋体" w:hAnsi="宋体"/>
          <w:szCs w:val="21"/>
        </w:rPr>
        <w:t>十一、安全培训与授权</w:t>
      </w:r>
      <w:bookmarkEnd w:id="2264"/>
      <w:bookmarkEnd w:id="2265"/>
      <w:bookmarkEnd w:id="2266"/>
      <w:bookmarkEnd w:id="2267"/>
    </w:p>
    <w:p>
      <w:pPr>
        <w:spacing w:line="360" w:lineRule="auto"/>
        <w:ind w:firstLine="420" w:firstLineChars="200"/>
        <w:jc w:val="left"/>
        <w:rPr>
          <w:rFonts w:ascii="宋体" w:hAnsi="宋体"/>
          <w:szCs w:val="21"/>
        </w:rPr>
      </w:pPr>
      <w:r>
        <w:rPr>
          <w:rFonts w:hint="eastAsia" w:ascii="宋体" w:hAnsi="宋体"/>
          <w:szCs w:val="21"/>
        </w:rPr>
        <w:t>1．承包人所有特殊工种人员必须持证上岗，发包人和发包人委托的监理公司有权对其进行抽查。承包人要建立特殊工种定期培训和检查计划，这些工种包括但不限于：机动车驾驶员、焊工、起重工、电工等。</w:t>
      </w:r>
    </w:p>
    <w:p>
      <w:pPr>
        <w:spacing w:line="360" w:lineRule="auto"/>
        <w:ind w:firstLine="420" w:firstLineChars="200"/>
        <w:jc w:val="left"/>
        <w:rPr>
          <w:rFonts w:ascii="宋体" w:hAnsi="宋体"/>
          <w:szCs w:val="21"/>
        </w:rPr>
      </w:pPr>
      <w:r>
        <w:rPr>
          <w:rFonts w:hint="eastAsia" w:ascii="宋体" w:hAnsi="宋体"/>
          <w:szCs w:val="21"/>
        </w:rPr>
        <w:t>2．承包人应在特殊工种之外的其他工种中，筛选出高风险工种，并对其开展针对性的专题安全培训。</w:t>
      </w:r>
    </w:p>
    <w:p>
      <w:pPr>
        <w:spacing w:line="360" w:lineRule="auto"/>
        <w:ind w:firstLine="420" w:firstLineChars="200"/>
        <w:jc w:val="left"/>
        <w:rPr>
          <w:rFonts w:ascii="宋体" w:hAnsi="宋体"/>
          <w:szCs w:val="21"/>
        </w:rPr>
      </w:pPr>
      <w:r>
        <w:rPr>
          <w:rFonts w:hint="eastAsia" w:ascii="宋体" w:hAnsi="宋体"/>
          <w:szCs w:val="21"/>
        </w:rPr>
        <w:t>3．承包人应组织 “入场培训”和考核。发包人委托的监理公司有权监督培训、考核情况或组织抽查考核。</w:t>
      </w:r>
    </w:p>
    <w:p>
      <w:pPr>
        <w:spacing w:line="360" w:lineRule="auto"/>
        <w:ind w:firstLine="420" w:firstLineChars="200"/>
        <w:jc w:val="left"/>
        <w:rPr>
          <w:rFonts w:ascii="宋体" w:hAnsi="宋体"/>
          <w:szCs w:val="21"/>
        </w:rPr>
      </w:pPr>
      <w:r>
        <w:rPr>
          <w:rFonts w:hint="eastAsia" w:ascii="宋体" w:hAnsi="宋体"/>
          <w:szCs w:val="21"/>
        </w:rPr>
        <w:t>4．承包人应建立安全培训和考核机制，编制培训教材和培训滚动计划。承包人应组织安全考试/考核，建立培训考核记录，发包人委托的监理公司有权查看这些记录。</w:t>
      </w:r>
    </w:p>
    <w:p>
      <w:pPr>
        <w:spacing w:line="360" w:lineRule="auto"/>
        <w:ind w:firstLine="420" w:firstLineChars="200"/>
        <w:rPr>
          <w:rFonts w:ascii="宋体" w:hAnsi="宋体"/>
          <w:szCs w:val="21"/>
        </w:rPr>
      </w:pPr>
      <w:bookmarkStart w:id="2268" w:name="_Toc532375711"/>
      <w:bookmarkStart w:id="2269" w:name="_Toc247418275"/>
      <w:bookmarkStart w:id="2270" w:name="_Toc247431435"/>
      <w:bookmarkStart w:id="2271" w:name="_Toc239510301"/>
      <w:r>
        <w:rPr>
          <w:rFonts w:hint="eastAsia" w:ascii="宋体" w:hAnsi="宋体"/>
          <w:szCs w:val="21"/>
        </w:rPr>
        <w:t>十二、职业健康与卫生防疫</w:t>
      </w:r>
      <w:bookmarkEnd w:id="2268"/>
      <w:bookmarkEnd w:id="2269"/>
      <w:bookmarkEnd w:id="2270"/>
      <w:bookmarkEnd w:id="2271"/>
    </w:p>
    <w:p>
      <w:pPr>
        <w:spacing w:line="360" w:lineRule="auto"/>
        <w:ind w:firstLine="420" w:firstLineChars="200"/>
        <w:jc w:val="left"/>
        <w:rPr>
          <w:rFonts w:ascii="宋体" w:hAnsi="宋体"/>
          <w:szCs w:val="21"/>
        </w:rPr>
      </w:pPr>
      <w:r>
        <w:rPr>
          <w:rFonts w:hint="eastAsia" w:ascii="宋体" w:hAnsi="宋体"/>
          <w:szCs w:val="21"/>
        </w:rPr>
        <w:t>1．承包人应有特殊健康检查制度，预防有禁忌症患者从事有关职业，如恐高症患者不得从事高空作业，患有心血管疾病的人员不得从事繁重的体力劳动，特殊工种人员的体检应符合国家的规定。</w:t>
      </w:r>
    </w:p>
    <w:p>
      <w:pPr>
        <w:spacing w:line="360" w:lineRule="auto"/>
        <w:ind w:firstLine="420" w:firstLineChars="200"/>
        <w:jc w:val="left"/>
        <w:rPr>
          <w:rFonts w:ascii="宋体" w:hAnsi="宋体"/>
          <w:szCs w:val="21"/>
        </w:rPr>
      </w:pPr>
      <w:r>
        <w:rPr>
          <w:rFonts w:hint="eastAsia" w:ascii="宋体" w:hAnsi="宋体"/>
          <w:szCs w:val="21"/>
        </w:rPr>
        <w:t>2．承包人应保证卫生防疫基本设施的投入，以满足医疗、急救的要求，建立外部医疗支持渠道。</w:t>
      </w:r>
    </w:p>
    <w:p>
      <w:pPr>
        <w:spacing w:line="360" w:lineRule="auto"/>
        <w:ind w:firstLine="420" w:firstLineChars="200"/>
        <w:jc w:val="left"/>
        <w:rPr>
          <w:rFonts w:ascii="宋体" w:hAnsi="宋体"/>
          <w:szCs w:val="21"/>
        </w:rPr>
      </w:pPr>
      <w:r>
        <w:rPr>
          <w:rFonts w:hint="eastAsia" w:ascii="宋体" w:hAnsi="宋体"/>
          <w:szCs w:val="21"/>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pPr>
        <w:spacing w:line="360" w:lineRule="auto"/>
        <w:ind w:firstLine="420" w:firstLineChars="200"/>
        <w:rPr>
          <w:rFonts w:ascii="宋体" w:hAnsi="宋体"/>
          <w:szCs w:val="21"/>
        </w:rPr>
      </w:pPr>
      <w:bookmarkStart w:id="2272" w:name="_Toc532375712"/>
      <w:bookmarkStart w:id="2273" w:name="_Toc247418276"/>
      <w:bookmarkStart w:id="2274" w:name="_Toc247431436"/>
      <w:bookmarkStart w:id="2275" w:name="_Toc239510302"/>
      <w:r>
        <w:rPr>
          <w:rFonts w:hint="eastAsia" w:ascii="宋体" w:hAnsi="宋体"/>
          <w:szCs w:val="21"/>
        </w:rPr>
        <w:t>十三、文明施工与环保要求</w:t>
      </w:r>
      <w:bookmarkEnd w:id="2272"/>
      <w:bookmarkEnd w:id="2273"/>
      <w:bookmarkEnd w:id="2274"/>
      <w:bookmarkEnd w:id="2275"/>
    </w:p>
    <w:p>
      <w:pPr>
        <w:spacing w:line="360" w:lineRule="auto"/>
        <w:ind w:firstLine="420" w:firstLineChars="200"/>
        <w:jc w:val="left"/>
        <w:rPr>
          <w:rFonts w:ascii="宋体" w:hAnsi="宋体"/>
          <w:szCs w:val="21"/>
        </w:rPr>
      </w:pPr>
      <w:r>
        <w:rPr>
          <w:rFonts w:hint="eastAsia" w:ascii="宋体" w:hAnsi="宋体"/>
          <w:szCs w:val="21"/>
        </w:rPr>
        <w:t>1．承包人需制订施工现场的文明施工措施，保持良好的施工现场秩序。施工现场的物料堆放要摆放整齐，安全标志和宣传标志要清楚醒目，废料、废物要分类收集，安全通道要畅通。</w:t>
      </w:r>
    </w:p>
    <w:p>
      <w:pPr>
        <w:spacing w:line="360" w:lineRule="auto"/>
        <w:ind w:firstLine="420" w:firstLineChars="200"/>
        <w:jc w:val="left"/>
        <w:rPr>
          <w:rFonts w:ascii="宋体" w:hAnsi="宋体"/>
          <w:szCs w:val="21"/>
        </w:rPr>
      </w:pPr>
      <w:r>
        <w:rPr>
          <w:rFonts w:hint="eastAsia" w:ascii="宋体" w:hAnsi="宋体"/>
          <w:szCs w:val="21"/>
        </w:rPr>
        <w:t>2．承包人作业时应避免建筑材料抛洒、飞扬、流淌；应尽可能降低噪音、震动。</w:t>
      </w:r>
    </w:p>
    <w:p>
      <w:pPr>
        <w:spacing w:line="360" w:lineRule="auto"/>
        <w:ind w:firstLine="420" w:firstLineChars="200"/>
        <w:jc w:val="left"/>
        <w:rPr>
          <w:rFonts w:ascii="宋体" w:hAnsi="宋体"/>
          <w:szCs w:val="21"/>
        </w:rPr>
      </w:pPr>
      <w:r>
        <w:rPr>
          <w:rFonts w:hint="eastAsia" w:ascii="宋体" w:hAnsi="宋体"/>
          <w:szCs w:val="21"/>
        </w:rPr>
        <w:t>3．承包人应根据实际需要，在施工现场布置临时卫生设施（洗手间、卫生间等），施工作业不破坏环境卫生，不污染现场环境。</w:t>
      </w:r>
    </w:p>
    <w:p>
      <w:pPr>
        <w:spacing w:line="360" w:lineRule="auto"/>
        <w:ind w:firstLine="420" w:firstLineChars="200"/>
        <w:jc w:val="left"/>
        <w:rPr>
          <w:rFonts w:ascii="宋体" w:hAnsi="宋体"/>
          <w:szCs w:val="21"/>
        </w:rPr>
      </w:pPr>
      <w:r>
        <w:rPr>
          <w:rFonts w:hint="eastAsia" w:ascii="宋体" w:hAnsi="宋体"/>
          <w:szCs w:val="21"/>
        </w:rPr>
        <w:t>4．承包人在施工中应充分重视对环境的保护，保护绿色植被，保护古树。施工如需伤害古树，必须报告发包人委托的监理公司，在未得到指令前，禁止擅自伤害古树。</w:t>
      </w:r>
    </w:p>
    <w:p>
      <w:pPr>
        <w:spacing w:line="360" w:lineRule="auto"/>
        <w:ind w:firstLine="420" w:firstLineChars="200"/>
        <w:jc w:val="left"/>
        <w:rPr>
          <w:rFonts w:ascii="宋体" w:hAnsi="宋体"/>
          <w:szCs w:val="21"/>
        </w:rPr>
      </w:pPr>
      <w:r>
        <w:rPr>
          <w:rFonts w:hint="eastAsia" w:ascii="宋体" w:hAnsi="宋体"/>
          <w:szCs w:val="21"/>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pPr>
        <w:spacing w:line="360" w:lineRule="auto"/>
        <w:ind w:firstLine="420" w:firstLineChars="200"/>
        <w:jc w:val="left"/>
        <w:rPr>
          <w:rFonts w:ascii="宋体" w:hAnsi="宋体"/>
          <w:szCs w:val="21"/>
        </w:rPr>
      </w:pPr>
      <w:r>
        <w:rPr>
          <w:rFonts w:hint="eastAsia" w:ascii="宋体" w:hAnsi="宋体"/>
          <w:szCs w:val="21"/>
        </w:rPr>
        <w:t>6．承包人在施工中应禁止向环境，排放工业污水、生活污水、废油或其他有害物质。</w:t>
      </w:r>
    </w:p>
    <w:p>
      <w:pPr>
        <w:spacing w:line="360" w:lineRule="auto"/>
        <w:ind w:firstLine="420" w:firstLineChars="200"/>
        <w:jc w:val="left"/>
        <w:rPr>
          <w:rFonts w:ascii="宋体" w:hAnsi="宋体"/>
          <w:szCs w:val="21"/>
        </w:rPr>
      </w:pPr>
      <w:r>
        <w:rPr>
          <w:rFonts w:hint="eastAsia" w:ascii="宋体" w:hAnsi="宋体"/>
          <w:szCs w:val="21"/>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pPr>
        <w:spacing w:line="360" w:lineRule="auto"/>
        <w:ind w:firstLine="420" w:firstLineChars="200"/>
        <w:rPr>
          <w:rFonts w:ascii="宋体" w:hAnsi="宋体"/>
          <w:szCs w:val="21"/>
        </w:rPr>
      </w:pPr>
      <w:bookmarkStart w:id="2276" w:name="_Toc247418277"/>
      <w:bookmarkStart w:id="2277" w:name="_Toc239510303"/>
      <w:bookmarkStart w:id="2278" w:name="_Toc532375713"/>
      <w:bookmarkStart w:id="2279" w:name="_Toc247431437"/>
      <w:r>
        <w:rPr>
          <w:rFonts w:hint="eastAsia" w:ascii="宋体" w:hAnsi="宋体"/>
          <w:szCs w:val="21"/>
        </w:rPr>
        <w:t>十四、工程风险管理与事故预防</w:t>
      </w:r>
      <w:bookmarkEnd w:id="2276"/>
      <w:bookmarkEnd w:id="2277"/>
      <w:bookmarkEnd w:id="2278"/>
      <w:bookmarkEnd w:id="2279"/>
    </w:p>
    <w:p>
      <w:pPr>
        <w:spacing w:line="360" w:lineRule="auto"/>
        <w:ind w:firstLine="420" w:firstLineChars="200"/>
        <w:jc w:val="left"/>
        <w:rPr>
          <w:rFonts w:ascii="宋体" w:hAnsi="宋体"/>
          <w:szCs w:val="21"/>
        </w:rPr>
      </w:pPr>
      <w:bookmarkStart w:id="2280" w:name="_Toc247431438"/>
      <w:bookmarkStart w:id="2281" w:name="_Toc247418278"/>
      <w:bookmarkStart w:id="2282" w:name="_Toc239510304"/>
      <w:r>
        <w:rPr>
          <w:rFonts w:hint="eastAsia" w:ascii="宋体" w:hAnsi="宋体"/>
          <w:szCs w:val="21"/>
        </w:rPr>
        <w:t>（一）基本要求</w:t>
      </w:r>
      <w:bookmarkEnd w:id="2280"/>
      <w:bookmarkEnd w:id="2281"/>
      <w:bookmarkEnd w:id="2282"/>
    </w:p>
    <w:p>
      <w:pPr>
        <w:spacing w:line="360" w:lineRule="auto"/>
        <w:ind w:firstLine="420" w:firstLineChars="200"/>
        <w:jc w:val="left"/>
        <w:rPr>
          <w:rFonts w:ascii="宋体" w:hAnsi="宋体"/>
          <w:szCs w:val="21"/>
        </w:rPr>
      </w:pPr>
      <w:bookmarkStart w:id="2283" w:name="_Toc532375714"/>
      <w:r>
        <w:rPr>
          <w:rFonts w:hint="eastAsia" w:ascii="宋体" w:hAnsi="宋体"/>
          <w:szCs w:val="21"/>
        </w:rPr>
        <w:t>1．承包人应对施工过程进行全面、深入的危险源识别和风险分析。在施工安全组织设计中提供危险源及重要危险源清单、作业风险分析报告，该报告应包括（但不限于）如下信息：</w:t>
      </w:r>
      <w:bookmarkEnd w:id="2283"/>
    </w:p>
    <w:p>
      <w:pPr>
        <w:spacing w:line="360" w:lineRule="auto"/>
        <w:ind w:firstLine="420" w:firstLineChars="200"/>
        <w:jc w:val="left"/>
        <w:rPr>
          <w:rFonts w:ascii="宋体" w:hAnsi="宋体"/>
          <w:szCs w:val="21"/>
        </w:rPr>
      </w:pPr>
      <w:r>
        <w:rPr>
          <w:rFonts w:hint="eastAsia" w:ascii="宋体" w:hAnsi="宋体"/>
          <w:szCs w:val="21"/>
        </w:rPr>
        <w:t>（1）高风险作业和工种清单：作业名称、类别和数量、主要事故风险。</w:t>
      </w:r>
    </w:p>
    <w:p>
      <w:pPr>
        <w:spacing w:line="360" w:lineRule="auto"/>
        <w:ind w:firstLine="420" w:firstLineChars="200"/>
        <w:jc w:val="left"/>
        <w:rPr>
          <w:rFonts w:ascii="宋体" w:hAnsi="宋体"/>
          <w:szCs w:val="21"/>
        </w:rPr>
      </w:pPr>
      <w:r>
        <w:rPr>
          <w:rFonts w:hint="eastAsia" w:ascii="宋体" w:hAnsi="宋体"/>
          <w:szCs w:val="21"/>
        </w:rPr>
        <w:t>（2）施工能源和机械的种类、数量和主要事故风险。</w:t>
      </w:r>
    </w:p>
    <w:p>
      <w:pPr>
        <w:spacing w:line="360" w:lineRule="auto"/>
        <w:ind w:firstLine="420" w:firstLineChars="200"/>
        <w:jc w:val="left"/>
        <w:rPr>
          <w:rFonts w:ascii="宋体" w:hAnsi="宋体"/>
          <w:szCs w:val="21"/>
        </w:rPr>
      </w:pPr>
      <w:r>
        <w:rPr>
          <w:rFonts w:hint="eastAsia" w:ascii="宋体" w:hAnsi="宋体"/>
          <w:szCs w:val="21"/>
        </w:rPr>
        <w:t>（3）施工作业条件的类型和主要事故风险。</w:t>
      </w:r>
    </w:p>
    <w:p>
      <w:pPr>
        <w:spacing w:line="360" w:lineRule="auto"/>
        <w:ind w:firstLine="420" w:firstLineChars="200"/>
        <w:jc w:val="left"/>
        <w:rPr>
          <w:rFonts w:ascii="宋体" w:hAnsi="宋体"/>
          <w:szCs w:val="21"/>
        </w:rPr>
      </w:pPr>
      <w:r>
        <w:rPr>
          <w:rFonts w:hint="eastAsia" w:ascii="宋体" w:hAnsi="宋体"/>
          <w:szCs w:val="21"/>
        </w:rPr>
        <w:t>（4）主要工艺过程（或施工活动）的类别及其相关的事故风险。</w:t>
      </w:r>
    </w:p>
    <w:p>
      <w:pPr>
        <w:spacing w:line="360" w:lineRule="auto"/>
        <w:ind w:firstLine="420" w:firstLineChars="200"/>
        <w:jc w:val="left"/>
        <w:rPr>
          <w:rFonts w:ascii="宋体" w:hAnsi="宋体"/>
          <w:szCs w:val="21"/>
        </w:rPr>
      </w:pPr>
      <w:r>
        <w:rPr>
          <w:rFonts w:hint="eastAsia" w:ascii="宋体" w:hAnsi="宋体"/>
          <w:szCs w:val="21"/>
        </w:rPr>
        <w:t>（5）主要火灾危险（可燃物、点火源）。</w:t>
      </w:r>
    </w:p>
    <w:p>
      <w:pPr>
        <w:spacing w:line="360" w:lineRule="auto"/>
        <w:ind w:firstLine="420" w:firstLineChars="200"/>
        <w:jc w:val="left"/>
        <w:rPr>
          <w:rFonts w:ascii="宋体" w:hAnsi="宋体"/>
          <w:szCs w:val="21"/>
        </w:rPr>
      </w:pPr>
      <w:r>
        <w:rPr>
          <w:rFonts w:hint="eastAsia" w:ascii="宋体" w:hAnsi="宋体"/>
          <w:szCs w:val="21"/>
        </w:rPr>
        <w:t>（6）主要自然灾害（洪水、大风、雷暴、暴雨、地质灾害等）。</w:t>
      </w:r>
    </w:p>
    <w:p>
      <w:pPr>
        <w:spacing w:line="360" w:lineRule="auto"/>
        <w:ind w:firstLine="420" w:firstLineChars="200"/>
        <w:jc w:val="left"/>
        <w:rPr>
          <w:rFonts w:ascii="宋体" w:hAnsi="宋体"/>
          <w:szCs w:val="21"/>
        </w:rPr>
      </w:pPr>
      <w:r>
        <w:rPr>
          <w:rFonts w:hint="eastAsia" w:ascii="宋体" w:hAnsi="宋体"/>
          <w:szCs w:val="21"/>
        </w:rPr>
        <w:t>（7）主要环境保护事件（有害垃圾、机械的跑冒滴漏、原材料流失、水土流失等）。</w:t>
      </w:r>
    </w:p>
    <w:p>
      <w:pPr>
        <w:spacing w:line="360" w:lineRule="auto"/>
        <w:ind w:firstLine="420" w:firstLineChars="200"/>
        <w:jc w:val="left"/>
        <w:rPr>
          <w:rFonts w:ascii="宋体" w:hAnsi="宋体"/>
          <w:szCs w:val="21"/>
        </w:rPr>
      </w:pPr>
      <w:r>
        <w:rPr>
          <w:rFonts w:hint="eastAsia" w:ascii="宋体" w:hAnsi="宋体"/>
          <w:szCs w:val="21"/>
        </w:rPr>
        <w:t>（8）其他。</w:t>
      </w:r>
    </w:p>
    <w:p>
      <w:pPr>
        <w:spacing w:line="360" w:lineRule="auto"/>
        <w:ind w:firstLine="420" w:firstLineChars="200"/>
        <w:jc w:val="left"/>
        <w:rPr>
          <w:rFonts w:ascii="宋体" w:hAnsi="宋体"/>
          <w:szCs w:val="21"/>
        </w:rPr>
      </w:pPr>
      <w:r>
        <w:rPr>
          <w:rFonts w:hint="eastAsia" w:ascii="宋体" w:hAnsi="宋体"/>
          <w:szCs w:val="21"/>
        </w:rPr>
        <w:t>2．承包人应针对识别出的危险源制定有针对性的事故预防措施并确保在施工中得到有效落实。</w:t>
      </w:r>
    </w:p>
    <w:p>
      <w:pPr>
        <w:spacing w:line="360" w:lineRule="auto"/>
        <w:ind w:firstLine="420" w:firstLineChars="200"/>
        <w:jc w:val="left"/>
        <w:rPr>
          <w:rFonts w:ascii="宋体" w:hAnsi="宋体"/>
          <w:szCs w:val="21"/>
        </w:rPr>
      </w:pPr>
      <w:r>
        <w:rPr>
          <w:rFonts w:hint="eastAsia" w:ascii="宋体" w:hAnsi="宋体"/>
          <w:szCs w:val="21"/>
        </w:rPr>
        <w:t>3．承包人应建立日常施工活动的动态作业风险分析和安全交底制度。该制度应明确规定风险分析的方法、责任和交底的内容、时间及记录。</w:t>
      </w:r>
    </w:p>
    <w:p>
      <w:pPr>
        <w:spacing w:line="360" w:lineRule="auto"/>
        <w:ind w:firstLine="420" w:firstLineChars="200"/>
        <w:jc w:val="left"/>
        <w:rPr>
          <w:rFonts w:ascii="宋体" w:hAnsi="宋体"/>
          <w:szCs w:val="21"/>
        </w:rPr>
      </w:pPr>
      <w:bookmarkStart w:id="2284" w:name="_Toc247418279"/>
      <w:bookmarkStart w:id="2285" w:name="_Toc239510305"/>
      <w:bookmarkStart w:id="2286" w:name="_Toc247431439"/>
      <w:r>
        <w:rPr>
          <w:rFonts w:hint="eastAsia" w:ascii="宋体" w:hAnsi="宋体"/>
          <w:szCs w:val="21"/>
        </w:rPr>
        <w:t>（二）现场作业基本安全条件</w:t>
      </w:r>
      <w:bookmarkEnd w:id="2284"/>
      <w:bookmarkEnd w:id="2285"/>
      <w:bookmarkEnd w:id="2286"/>
    </w:p>
    <w:p>
      <w:pPr>
        <w:spacing w:line="360" w:lineRule="auto"/>
        <w:ind w:firstLine="420" w:firstLineChars="200"/>
        <w:jc w:val="left"/>
        <w:rPr>
          <w:rFonts w:ascii="宋体" w:hAnsi="宋体"/>
          <w:szCs w:val="21"/>
        </w:rPr>
      </w:pPr>
      <w:r>
        <w:rPr>
          <w:rFonts w:hint="eastAsia" w:ascii="宋体" w:hAnsi="宋体"/>
          <w:szCs w:val="21"/>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pPr>
        <w:spacing w:line="360" w:lineRule="auto"/>
        <w:ind w:firstLine="420" w:firstLineChars="200"/>
        <w:rPr>
          <w:rFonts w:ascii="宋体" w:hAnsi="宋体"/>
          <w:szCs w:val="21"/>
        </w:rPr>
      </w:pPr>
      <w:bookmarkStart w:id="2287" w:name="_Toc532375715"/>
      <w:bookmarkStart w:id="2288" w:name="_Toc247418280"/>
      <w:bookmarkStart w:id="2289" w:name="_Toc247431440"/>
      <w:bookmarkStart w:id="2290" w:name="_Toc239510306"/>
      <w:r>
        <w:rPr>
          <w:rFonts w:hint="eastAsia" w:ascii="宋体" w:hAnsi="宋体"/>
          <w:szCs w:val="21"/>
        </w:rPr>
        <w:t>十五、事故报告与应急救援</w:t>
      </w:r>
      <w:bookmarkEnd w:id="2287"/>
      <w:bookmarkEnd w:id="2288"/>
      <w:bookmarkEnd w:id="2289"/>
      <w:bookmarkEnd w:id="2290"/>
    </w:p>
    <w:p>
      <w:pPr>
        <w:spacing w:line="360" w:lineRule="auto"/>
        <w:ind w:firstLine="420" w:firstLineChars="200"/>
        <w:jc w:val="left"/>
        <w:rPr>
          <w:rFonts w:ascii="宋体" w:hAnsi="宋体"/>
          <w:szCs w:val="21"/>
        </w:rPr>
      </w:pPr>
      <w:r>
        <w:rPr>
          <w:rFonts w:hint="eastAsia" w:ascii="宋体" w:hAnsi="宋体"/>
          <w:szCs w:val="21"/>
        </w:rPr>
        <w:t>1．承包人应制定对于未遂事故及以上级别的安全事件和事故，定期报送安全月度快报、季报、年报和各种专项事故报告等。</w:t>
      </w:r>
    </w:p>
    <w:p>
      <w:pPr>
        <w:spacing w:line="360" w:lineRule="auto"/>
        <w:ind w:firstLine="420" w:firstLineChars="200"/>
        <w:jc w:val="left"/>
        <w:rPr>
          <w:rFonts w:ascii="宋体" w:hAnsi="宋体"/>
          <w:szCs w:val="21"/>
        </w:rPr>
      </w:pPr>
      <w:r>
        <w:rPr>
          <w:rFonts w:hint="eastAsia" w:ascii="宋体" w:hAnsi="宋体"/>
          <w:szCs w:val="21"/>
        </w:rPr>
        <w:t>2．承包人应建立安全事故统计记录、未遂事故统计记录、违章统计记录，并根据统计情况进行分析，并就分析结果制定相应的预防措施。</w:t>
      </w:r>
    </w:p>
    <w:p>
      <w:pPr>
        <w:spacing w:line="360" w:lineRule="auto"/>
        <w:ind w:firstLine="420" w:firstLineChars="200"/>
        <w:jc w:val="left"/>
        <w:rPr>
          <w:rFonts w:ascii="宋体" w:hAnsi="宋体"/>
          <w:szCs w:val="21"/>
        </w:rPr>
      </w:pPr>
      <w:r>
        <w:rPr>
          <w:rFonts w:hint="eastAsia" w:ascii="宋体" w:hAnsi="宋体"/>
          <w:szCs w:val="21"/>
        </w:rPr>
        <w:t>3．承包人应建立事故应急救援机制，明确事故处置的基本原则，即现场发生事故时，首先抢救生命，向救援组织报警，并采取措施限制事故扩大。</w:t>
      </w:r>
    </w:p>
    <w:p>
      <w:pPr>
        <w:spacing w:line="360" w:lineRule="auto"/>
        <w:ind w:firstLine="420" w:firstLineChars="200"/>
        <w:jc w:val="left"/>
        <w:rPr>
          <w:rFonts w:ascii="宋体" w:hAnsi="宋体"/>
          <w:szCs w:val="21"/>
        </w:rPr>
      </w:pPr>
      <w:r>
        <w:rPr>
          <w:rFonts w:hint="eastAsia" w:ascii="宋体" w:hAnsi="宋体"/>
          <w:szCs w:val="21"/>
        </w:rPr>
        <w:t>4．承包人应建立相应的应急响应组织，以便能迅速处理突发意外。</w:t>
      </w:r>
    </w:p>
    <w:p>
      <w:pPr>
        <w:spacing w:line="360" w:lineRule="auto"/>
        <w:ind w:firstLine="420" w:firstLineChars="200"/>
        <w:jc w:val="left"/>
        <w:rPr>
          <w:rFonts w:ascii="宋体" w:hAnsi="宋体"/>
          <w:szCs w:val="21"/>
        </w:rPr>
      </w:pPr>
      <w:r>
        <w:rPr>
          <w:rFonts w:hint="eastAsia" w:ascii="宋体" w:hAnsi="宋体"/>
          <w:szCs w:val="21"/>
        </w:rPr>
        <w:t>5．承包人应建立专项应急响应预案，包括重大人身伤亡事故的救护预案、火灾响应预案、“四防”预案（防风、防冻、防雷、防暴雨）、重大疫病防护预案、环境污染防护预案、地质灾害防护预案等。</w:t>
      </w:r>
    </w:p>
    <w:p>
      <w:pPr>
        <w:spacing w:line="360" w:lineRule="auto"/>
        <w:ind w:firstLine="420" w:firstLineChars="200"/>
        <w:jc w:val="left"/>
        <w:rPr>
          <w:rFonts w:ascii="宋体" w:hAnsi="宋体"/>
          <w:szCs w:val="21"/>
        </w:rPr>
      </w:pPr>
      <w:r>
        <w:rPr>
          <w:rFonts w:hint="eastAsia" w:ascii="宋体" w:hAnsi="宋体"/>
          <w:szCs w:val="21"/>
        </w:rPr>
        <w:t>6．承包人应对应急预案进行适当演练，保证应急预案的可操作性。</w:t>
      </w:r>
    </w:p>
    <w:p>
      <w:pPr>
        <w:spacing w:line="360" w:lineRule="auto"/>
        <w:ind w:firstLine="420" w:firstLineChars="200"/>
        <w:jc w:val="left"/>
        <w:rPr>
          <w:rFonts w:ascii="宋体" w:hAnsi="宋体"/>
          <w:szCs w:val="21"/>
        </w:rPr>
      </w:pPr>
      <w:r>
        <w:rPr>
          <w:rFonts w:hint="eastAsia" w:ascii="宋体" w:hAnsi="宋体"/>
          <w:szCs w:val="21"/>
        </w:rPr>
        <w:t>7．在工地的其他施工单位发生重大事故时，承包人应无条件立即配合、支持事故抢险。</w:t>
      </w:r>
    </w:p>
    <w:p>
      <w:pPr>
        <w:spacing w:line="360" w:lineRule="auto"/>
        <w:ind w:firstLine="420" w:firstLineChars="200"/>
        <w:jc w:val="left"/>
        <w:rPr>
          <w:rFonts w:ascii="宋体" w:hAnsi="宋体"/>
          <w:szCs w:val="21"/>
        </w:rPr>
      </w:pPr>
      <w:r>
        <w:rPr>
          <w:rFonts w:hint="eastAsia" w:ascii="宋体" w:hAnsi="宋体"/>
          <w:szCs w:val="21"/>
        </w:rPr>
        <w:t>8．承包人必须为事故处置支付各项费用，包括受伤者的抚恤、补偿等费用，并按合同要求赔偿对发包人造成的损失。</w:t>
      </w:r>
    </w:p>
    <w:p>
      <w:pPr>
        <w:spacing w:line="360" w:lineRule="auto"/>
        <w:ind w:firstLine="420" w:firstLineChars="200"/>
        <w:jc w:val="left"/>
        <w:rPr>
          <w:rFonts w:ascii="宋体" w:hAnsi="宋体"/>
          <w:szCs w:val="21"/>
        </w:rPr>
      </w:pPr>
      <w:r>
        <w:rPr>
          <w:rFonts w:hint="eastAsia" w:ascii="宋体" w:hAnsi="宋体"/>
          <w:szCs w:val="21"/>
        </w:rPr>
        <w:t>9．由于发包人原因而造成的事故，发包人应负责按事故的具体损失情况给予承包人经济赔偿。</w:t>
      </w:r>
    </w:p>
    <w:p>
      <w:pPr>
        <w:spacing w:line="360" w:lineRule="auto"/>
        <w:ind w:firstLine="420" w:firstLineChars="200"/>
        <w:jc w:val="left"/>
        <w:rPr>
          <w:rFonts w:ascii="宋体" w:hAnsi="宋体"/>
          <w:szCs w:val="21"/>
        </w:rPr>
      </w:pPr>
      <w:r>
        <w:rPr>
          <w:rFonts w:hint="eastAsia" w:ascii="宋体" w:hAnsi="宋体"/>
          <w:szCs w:val="21"/>
        </w:rPr>
        <w:t>10．涉及承包人员工的伤害事故，承包人除要报告发包人委托的监理公司外，还应负责按照国家、行业和本单位上级公司的要求，上报事故。</w:t>
      </w:r>
    </w:p>
    <w:p>
      <w:pPr>
        <w:spacing w:line="360" w:lineRule="auto"/>
        <w:ind w:firstLine="420" w:firstLineChars="200"/>
        <w:rPr>
          <w:rFonts w:ascii="宋体" w:hAnsi="宋体"/>
          <w:szCs w:val="21"/>
        </w:rPr>
      </w:pPr>
      <w:bookmarkStart w:id="2291" w:name="_Toc532375716"/>
      <w:bookmarkStart w:id="2292" w:name="_Toc247431441"/>
      <w:bookmarkStart w:id="2293" w:name="_Toc239510307"/>
      <w:bookmarkStart w:id="2294" w:name="_Toc247418281"/>
      <w:r>
        <w:rPr>
          <w:rFonts w:hint="eastAsia" w:ascii="宋体" w:hAnsi="宋体"/>
          <w:szCs w:val="21"/>
        </w:rPr>
        <w:t>十六、安全业绩考核</w:t>
      </w:r>
      <w:bookmarkEnd w:id="2291"/>
      <w:bookmarkEnd w:id="2292"/>
      <w:bookmarkEnd w:id="2293"/>
      <w:bookmarkEnd w:id="2294"/>
    </w:p>
    <w:p>
      <w:pPr>
        <w:spacing w:line="360" w:lineRule="auto"/>
        <w:ind w:firstLine="420" w:firstLineChars="200"/>
        <w:jc w:val="left"/>
        <w:rPr>
          <w:rFonts w:ascii="宋体" w:hAnsi="宋体"/>
          <w:szCs w:val="21"/>
        </w:rPr>
      </w:pPr>
      <w:r>
        <w:rPr>
          <w:rFonts w:hint="eastAsia" w:ascii="宋体" w:hAnsi="宋体"/>
          <w:szCs w:val="21"/>
        </w:rPr>
        <w:t>为了落实安全管理的责任，承包人在施工过程中发生安全事故时，承包人除应按国家有关规定承担责任和处罚外，发包人还将按照以下标准进行考核：</w:t>
      </w:r>
    </w:p>
    <w:tbl>
      <w:tblPr>
        <w:tblStyle w:val="45"/>
        <w:tblW w:w="7005" w:type="dxa"/>
        <w:jc w:val="center"/>
        <w:tblLayout w:type="fixed"/>
        <w:tblCellMar>
          <w:top w:w="0" w:type="dxa"/>
          <w:left w:w="0" w:type="dxa"/>
          <w:bottom w:w="0" w:type="dxa"/>
          <w:right w:w="0" w:type="dxa"/>
        </w:tblCellMar>
      </w:tblPr>
      <w:tblGrid>
        <w:gridCol w:w="3240"/>
        <w:gridCol w:w="3765"/>
      </w:tblGrid>
      <w:tr>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违约金额</w:t>
            </w:r>
          </w:p>
        </w:tc>
      </w:tr>
      <w:tr>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较大事故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szCs w:val="21"/>
              </w:rPr>
            </w:pPr>
            <w:r>
              <w:rPr>
                <w:rFonts w:hint="eastAsia" w:ascii="宋体" w:hAnsi="宋体"/>
                <w:kern w:val="0"/>
                <w:szCs w:val="21"/>
              </w:rPr>
              <w:t>签约合同价</w:t>
            </w:r>
            <w:r>
              <w:rPr>
                <w:rFonts w:hint="eastAsia" w:ascii="宋体" w:hAnsi="宋体"/>
                <w:szCs w:val="21"/>
              </w:rPr>
              <w:t>的0.5‰</w:t>
            </w:r>
          </w:p>
        </w:tc>
      </w:tr>
      <w:tr>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重大事故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szCs w:val="21"/>
              </w:rPr>
            </w:pPr>
            <w:r>
              <w:rPr>
                <w:rFonts w:hint="eastAsia" w:ascii="宋体" w:hAnsi="宋体"/>
                <w:szCs w:val="21"/>
              </w:rPr>
              <w:t>签约合同价的2‰</w:t>
            </w:r>
          </w:p>
        </w:tc>
      </w:tr>
      <w:tr>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特别重大事故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szCs w:val="21"/>
              </w:rPr>
            </w:pPr>
            <w:r>
              <w:rPr>
                <w:rFonts w:hint="eastAsia" w:ascii="宋体" w:hAnsi="宋体"/>
                <w:szCs w:val="21"/>
              </w:rPr>
              <w:t>签约合同价的4‰</w:t>
            </w:r>
          </w:p>
        </w:tc>
      </w:tr>
    </w:tbl>
    <w:p>
      <w:pPr>
        <w:spacing w:line="360" w:lineRule="auto"/>
        <w:ind w:firstLine="420" w:firstLineChars="200"/>
        <w:jc w:val="left"/>
        <w:rPr>
          <w:rFonts w:ascii="宋体" w:hAnsi="宋体"/>
          <w:szCs w:val="21"/>
        </w:rPr>
      </w:pPr>
      <w:r>
        <w:rPr>
          <w:rFonts w:hint="eastAsia" w:ascii="宋体" w:hAnsi="宋体"/>
          <w:szCs w:val="21"/>
        </w:rPr>
        <w:t>（1）较大事故，是指造成3人以上10人以下死亡，或者10人以上50人以下重伤，或者1000万元以上5000万元以下直接经济损失的事故；</w:t>
      </w:r>
    </w:p>
    <w:p>
      <w:pPr>
        <w:spacing w:line="360" w:lineRule="auto"/>
        <w:ind w:firstLine="420" w:firstLineChars="200"/>
        <w:jc w:val="left"/>
        <w:rPr>
          <w:rFonts w:ascii="宋体" w:hAnsi="宋体"/>
          <w:szCs w:val="21"/>
        </w:rPr>
      </w:pPr>
      <w:r>
        <w:rPr>
          <w:rFonts w:hint="eastAsia" w:ascii="宋体" w:hAnsi="宋体"/>
          <w:szCs w:val="21"/>
        </w:rPr>
        <w:t>（2）重大事故，是指造成10人以上30人以下死亡，或者50人以上100人以下重伤，或者5000万元以上1亿元以下直接经济损失的事故；</w:t>
      </w:r>
    </w:p>
    <w:p>
      <w:pPr>
        <w:spacing w:line="360" w:lineRule="auto"/>
        <w:ind w:firstLine="420" w:firstLineChars="200"/>
        <w:jc w:val="left"/>
        <w:rPr>
          <w:rFonts w:ascii="宋体" w:hAnsi="宋体"/>
          <w:szCs w:val="21"/>
        </w:rPr>
      </w:pPr>
      <w:r>
        <w:rPr>
          <w:rFonts w:hint="eastAsia" w:ascii="宋体" w:hAnsi="宋体"/>
          <w:szCs w:val="21"/>
        </w:rPr>
        <w:t>（3）特别重大事故，是指造成30人以上死亡，或者100人以上重伤（包括急性工业中毒，下同），或者1亿元以上直接经济损失的事故；</w:t>
      </w:r>
    </w:p>
    <w:p>
      <w:pPr>
        <w:spacing w:line="276" w:lineRule="auto"/>
        <w:ind w:firstLine="420" w:firstLineChars="200"/>
        <w:jc w:val="left"/>
        <w:rPr>
          <w:rFonts w:ascii="宋体" w:hAnsi="宋体"/>
          <w:szCs w:val="21"/>
        </w:rPr>
      </w:pPr>
      <w:r>
        <w:rPr>
          <w:rFonts w:hint="eastAsia" w:ascii="宋体" w:hAnsi="宋体"/>
          <w:szCs w:val="21"/>
        </w:rPr>
        <w:t>（4）所称的“以上”包括本数，所称的“以下”不包括本数。</w:t>
      </w:r>
    </w:p>
    <w:p>
      <w:pPr>
        <w:spacing w:line="276" w:lineRule="auto"/>
        <w:ind w:firstLine="420" w:firstLineChars="200"/>
        <w:jc w:val="left"/>
        <w:rPr>
          <w:rFonts w:ascii="宋体" w:hAnsi="宋体"/>
          <w:szCs w:val="21"/>
        </w:rPr>
      </w:pPr>
      <w:r>
        <w:rPr>
          <w:rFonts w:hint="eastAsia" w:ascii="宋体" w:hAnsi="宋体"/>
          <w:szCs w:val="21"/>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pPr>
        <w:spacing w:line="276" w:lineRule="auto"/>
        <w:ind w:firstLine="420" w:firstLineChars="200"/>
        <w:rPr>
          <w:rFonts w:ascii="宋体" w:hAnsi="宋体"/>
          <w:szCs w:val="21"/>
        </w:rPr>
      </w:pPr>
      <w:bookmarkStart w:id="2295" w:name="_Toc247431442"/>
      <w:bookmarkStart w:id="2296" w:name="_Toc239510308"/>
      <w:bookmarkStart w:id="2297" w:name="_Toc247418282"/>
      <w:bookmarkStart w:id="2298" w:name="_Toc532375717"/>
      <w:r>
        <w:rPr>
          <w:rFonts w:hint="eastAsia" w:ascii="宋体" w:hAnsi="宋体"/>
          <w:szCs w:val="21"/>
        </w:rPr>
        <w:t>十七、协议条款的修订</w:t>
      </w:r>
      <w:bookmarkEnd w:id="2295"/>
      <w:bookmarkEnd w:id="2296"/>
      <w:bookmarkEnd w:id="2297"/>
      <w:bookmarkEnd w:id="2298"/>
    </w:p>
    <w:p>
      <w:pPr>
        <w:spacing w:line="276" w:lineRule="auto"/>
        <w:ind w:firstLine="420" w:firstLineChars="200"/>
        <w:jc w:val="left"/>
        <w:rPr>
          <w:rFonts w:ascii="宋体" w:hAnsi="宋体"/>
          <w:szCs w:val="21"/>
        </w:rPr>
      </w:pPr>
      <w:r>
        <w:rPr>
          <w:rFonts w:hint="eastAsia" w:ascii="宋体" w:hAnsi="宋体"/>
          <w:szCs w:val="21"/>
        </w:rPr>
        <w:t>在项目实施过程中，经双方友好协商，本协议的有关条款也可做出相应的修改。</w:t>
      </w:r>
    </w:p>
    <w:p>
      <w:pPr>
        <w:spacing w:line="276" w:lineRule="auto"/>
        <w:ind w:firstLine="420" w:firstLineChars="200"/>
        <w:jc w:val="left"/>
        <w:rPr>
          <w:rFonts w:ascii="宋体" w:hAnsi="宋体"/>
          <w:szCs w:val="21"/>
        </w:rPr>
      </w:pPr>
      <w:r>
        <w:rPr>
          <w:rFonts w:hint="eastAsia" w:ascii="宋体" w:hAnsi="宋体"/>
          <w:szCs w:val="21"/>
        </w:rPr>
        <w:t>本工程安全管理协议，由发包人、承包人双方在施工承包合同签订后7天内共同签署，作为施工合同附件。</w:t>
      </w:r>
    </w:p>
    <w:p>
      <w:pPr>
        <w:spacing w:line="360" w:lineRule="auto"/>
        <w:ind w:firstLine="420" w:firstLineChars="200"/>
        <w:jc w:val="left"/>
        <w:rPr>
          <w:rFonts w:ascii="宋体" w:hAnsi="宋体"/>
          <w:szCs w:val="21"/>
        </w:rPr>
      </w:pPr>
      <w:r>
        <w:rPr>
          <w:rFonts w:hint="eastAsia" w:ascii="宋体" w:hAnsi="宋体"/>
          <w:szCs w:val="21"/>
        </w:rPr>
        <w:t>发  包  人（</w:t>
      </w:r>
      <w:r>
        <w:rPr>
          <w:rFonts w:hint="eastAsia" w:ascii="宋体" w:hAnsi="宋体"/>
          <w:szCs w:val="21"/>
          <w:lang w:val="en-US" w:eastAsia="zh-CN"/>
        </w:rPr>
        <w:t>单位</w:t>
      </w:r>
      <w:r>
        <w:rPr>
          <w:rFonts w:hint="eastAsia" w:ascii="宋体" w:hAnsi="宋体"/>
          <w:szCs w:val="21"/>
        </w:rPr>
        <w:t>公章）：</w:t>
      </w:r>
      <w:r>
        <w:rPr>
          <w:rFonts w:hint="eastAsia" w:ascii="宋体" w:hAnsi="宋体" w:cs="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法定代表人（签名）：</w:t>
      </w:r>
      <w:r>
        <w:rPr>
          <w:rFonts w:hint="eastAsia" w:ascii="宋体" w:hAnsi="宋体" w:cs="宋体"/>
          <w:szCs w:val="21"/>
          <w:u w:val="single"/>
        </w:rPr>
        <w:t xml:space="preserve">                       </w:t>
      </w:r>
      <w:r>
        <w:rPr>
          <w:rFonts w:hint="eastAsia" w:ascii="宋体" w:hAnsi="宋体"/>
          <w:szCs w:val="21"/>
        </w:rPr>
        <w:t xml:space="preserve">  </w:t>
      </w:r>
    </w:p>
    <w:p>
      <w:pPr>
        <w:spacing w:line="360" w:lineRule="auto"/>
        <w:ind w:firstLine="420" w:firstLineChars="200"/>
        <w:jc w:val="left"/>
        <w:rPr>
          <w:rFonts w:ascii="宋体" w:hAnsi="宋体"/>
          <w:szCs w:val="21"/>
        </w:rPr>
      </w:pPr>
      <w:r>
        <w:rPr>
          <w:rFonts w:hint="eastAsia" w:ascii="宋体" w:hAnsi="宋体"/>
          <w:szCs w:val="21"/>
        </w:rPr>
        <w:t>或其委托代理人（签名）：</w:t>
      </w:r>
      <w:r>
        <w:rPr>
          <w:rFonts w:hint="eastAsia" w:ascii="宋体" w:hAnsi="宋体" w:cs="宋体"/>
          <w:szCs w:val="21"/>
          <w:u w:val="single"/>
        </w:rPr>
        <w:t xml:space="preserve">                   </w:t>
      </w:r>
      <w:r>
        <w:rPr>
          <w:rFonts w:hint="eastAsia" w:ascii="宋体" w:hAnsi="宋体"/>
          <w:szCs w:val="21"/>
        </w:rPr>
        <w:t xml:space="preserve">  </w:t>
      </w:r>
    </w:p>
    <w:p>
      <w:pPr>
        <w:spacing w:line="360" w:lineRule="auto"/>
        <w:ind w:firstLine="420" w:firstLineChars="200"/>
        <w:jc w:val="left"/>
        <w:rPr>
          <w:rFonts w:ascii="宋体" w:hAnsi="宋体"/>
          <w:szCs w:val="21"/>
        </w:rPr>
      </w:pPr>
    </w:p>
    <w:p>
      <w:pPr>
        <w:spacing w:line="360" w:lineRule="auto"/>
        <w:ind w:firstLine="420" w:firstLineChars="200"/>
        <w:jc w:val="left"/>
        <w:rPr>
          <w:rFonts w:ascii="宋体" w:hAnsi="宋体"/>
          <w:kern w:val="0"/>
          <w:szCs w:val="21"/>
        </w:rPr>
      </w:pPr>
      <w:r>
        <w:rPr>
          <w:rFonts w:hint="eastAsia" w:ascii="宋体" w:hAnsi="宋体"/>
          <w:szCs w:val="21"/>
        </w:rPr>
        <w:t>承  包  人（</w:t>
      </w:r>
      <w:r>
        <w:rPr>
          <w:rFonts w:hint="eastAsia" w:ascii="宋体" w:hAnsi="宋体"/>
          <w:szCs w:val="21"/>
          <w:lang w:val="en-US" w:eastAsia="zh-CN"/>
        </w:rPr>
        <w:t>单位</w:t>
      </w:r>
      <w:r>
        <w:rPr>
          <w:rFonts w:hint="eastAsia" w:ascii="宋体" w:hAnsi="宋体"/>
          <w:szCs w:val="21"/>
        </w:rPr>
        <w:t>公章）：</w:t>
      </w:r>
      <w:r>
        <w:rPr>
          <w:rFonts w:hint="eastAsia" w:ascii="宋体" w:hAnsi="宋体" w:cs="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法定代表人（签名）：</w:t>
      </w:r>
      <w:r>
        <w:rPr>
          <w:rFonts w:hint="eastAsia" w:ascii="宋体" w:hAnsi="宋体" w:cs="宋体"/>
          <w:szCs w:val="21"/>
          <w:u w:val="single"/>
        </w:rPr>
        <w:t xml:space="preserve">                       </w:t>
      </w:r>
    </w:p>
    <w:p>
      <w:pPr>
        <w:spacing w:line="360" w:lineRule="auto"/>
        <w:ind w:firstLine="420" w:firstLineChars="200"/>
        <w:jc w:val="left"/>
        <w:rPr>
          <w:rFonts w:ascii="宋体" w:hAnsi="宋体"/>
          <w:kern w:val="0"/>
          <w:szCs w:val="21"/>
        </w:rPr>
      </w:pPr>
      <w:r>
        <w:rPr>
          <w:rFonts w:hint="eastAsia" w:ascii="宋体" w:hAnsi="宋体"/>
          <w:szCs w:val="21"/>
        </w:rPr>
        <w:t>或其委托代理人（签名）：</w:t>
      </w:r>
      <w:r>
        <w:rPr>
          <w:rFonts w:hint="eastAsia" w:ascii="宋体" w:hAnsi="宋体" w:cs="宋体"/>
          <w:szCs w:val="21"/>
          <w:u w:val="single"/>
        </w:rPr>
        <w:t xml:space="preserve">                   </w:t>
      </w:r>
    </w:p>
    <w:p>
      <w:pPr>
        <w:snapToGrid w:val="0"/>
        <w:spacing w:line="360" w:lineRule="auto"/>
        <w:jc w:val="left"/>
        <w:rPr>
          <w:rFonts w:ascii="宋体" w:hAnsi="宋体"/>
          <w:kern w:val="0"/>
          <w:szCs w:val="21"/>
        </w:rPr>
      </w:pPr>
      <w:r>
        <w:rPr>
          <w:rFonts w:hint="eastAsia" w:ascii="宋体" w:hAnsi="宋体"/>
          <w:szCs w:val="21"/>
        </w:rPr>
        <w:br w:type="page"/>
      </w:r>
    </w:p>
    <w:p>
      <w:pPr>
        <w:spacing w:line="480" w:lineRule="auto"/>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w:t>
      </w:r>
    </w:p>
    <w:p>
      <w:pPr>
        <w:spacing w:before="156" w:beforeLines="50" w:after="156" w:afterLines="50" w:line="480" w:lineRule="auto"/>
        <w:jc w:val="center"/>
        <w:rPr>
          <w:rFonts w:ascii="宋体" w:hAnsi="宋体"/>
          <w:szCs w:val="21"/>
        </w:rPr>
      </w:pPr>
      <w:r>
        <w:rPr>
          <w:rFonts w:hint="eastAsia" w:ascii="宋体" w:hAnsi="宋体"/>
          <w:szCs w:val="21"/>
        </w:rPr>
        <w:t>保障农民工工资支付协议</w:t>
      </w:r>
    </w:p>
    <w:p>
      <w:pPr>
        <w:snapToGrid w:val="0"/>
        <w:spacing w:line="480" w:lineRule="auto"/>
        <w:rPr>
          <w:rFonts w:ascii="宋体" w:hAnsi="宋体"/>
          <w:szCs w:val="21"/>
        </w:rPr>
      </w:pPr>
      <w:r>
        <w:rPr>
          <w:rFonts w:hint="eastAsia" w:ascii="宋体" w:hAnsi="宋体"/>
          <w:szCs w:val="21"/>
        </w:rPr>
        <w:t xml:space="preserve"> 发包人：</w:t>
      </w:r>
      <w:r>
        <w:rPr>
          <w:rFonts w:hint="eastAsia" w:ascii="宋体" w:hAnsi="宋体" w:cs="宋体"/>
          <w:szCs w:val="21"/>
          <w:u w:val="single"/>
        </w:rPr>
        <w:t xml:space="preserve">                                 </w:t>
      </w:r>
      <w:r>
        <w:rPr>
          <w:rFonts w:hint="eastAsia" w:ascii="宋体" w:hAnsi="宋体"/>
          <w:szCs w:val="21"/>
        </w:rPr>
        <w:t>（发包人）</w:t>
      </w:r>
    </w:p>
    <w:p>
      <w:pPr>
        <w:snapToGrid w:val="0"/>
        <w:spacing w:line="360" w:lineRule="auto"/>
        <w:rPr>
          <w:rFonts w:ascii="宋体" w:hAnsi="宋体"/>
          <w:szCs w:val="21"/>
        </w:rPr>
      </w:pPr>
      <w:r>
        <w:rPr>
          <w:rFonts w:hint="eastAsia" w:ascii="宋体" w:hAnsi="宋体"/>
          <w:szCs w:val="21"/>
        </w:rPr>
        <w:t xml:space="preserve"> 承包人：</w:t>
      </w:r>
      <w:r>
        <w:rPr>
          <w:rFonts w:hint="eastAsia" w:ascii="宋体" w:hAnsi="宋体" w:cs="宋体"/>
          <w:szCs w:val="21"/>
          <w:u w:val="single"/>
        </w:rPr>
        <w:t xml:space="preserve">                                 </w:t>
      </w:r>
      <w:r>
        <w:rPr>
          <w:rFonts w:hint="eastAsia" w:ascii="宋体" w:hAnsi="宋体"/>
          <w:szCs w:val="21"/>
        </w:rPr>
        <w:t>（承包人）</w:t>
      </w:r>
    </w:p>
    <w:p>
      <w:pPr>
        <w:spacing w:line="360" w:lineRule="auto"/>
        <w:ind w:firstLine="420" w:firstLineChars="200"/>
        <w:rPr>
          <w:rFonts w:ascii="宋体" w:hAnsi="宋体"/>
          <w:szCs w:val="21"/>
        </w:rPr>
      </w:pPr>
      <w:r>
        <w:rPr>
          <w:rFonts w:hint="eastAsia" w:ascii="宋体" w:hAnsi="宋体"/>
          <w:szCs w:val="21"/>
        </w:rPr>
        <w:t>为贯彻落实</w:t>
      </w:r>
      <w:r>
        <w:rPr>
          <w:rFonts w:hint="eastAsia" w:ascii="宋体" w:hAnsi="宋体"/>
          <w:szCs w:val="21"/>
          <w:u w:val="single"/>
        </w:rPr>
        <w:t>《保障农民工工资支付条例》（中华人民共和国国务院令第724号）及国家和重庆市现行有关农民工工资支付规定</w:t>
      </w:r>
      <w:r>
        <w:rPr>
          <w:rFonts w:hint="eastAsia" w:ascii="宋体" w:hAnsi="宋体"/>
          <w:szCs w:val="21"/>
        </w:rPr>
        <w:t>，健全预防和解决拖欠农民工工资问题的长效机制，切实保障农民工劳动报酬权益，维护社会公平正义，促进社会和谐稳定。经</w:t>
      </w:r>
      <w:r>
        <w:rPr>
          <w:rFonts w:hint="eastAsia" w:ascii="宋体" w:hAnsi="宋体"/>
          <w:szCs w:val="21"/>
          <w:lang w:val="en-US" w:eastAsia="zh-CN"/>
        </w:rPr>
        <w:t>发承包</w:t>
      </w:r>
      <w:r>
        <w:rPr>
          <w:rFonts w:hint="eastAsia" w:ascii="宋体" w:hAnsi="宋体"/>
          <w:szCs w:val="21"/>
        </w:rPr>
        <w:t>双方结合实际情况，友好协商，达成如下协议：</w:t>
      </w:r>
    </w:p>
    <w:p>
      <w:pPr>
        <w:spacing w:line="360" w:lineRule="auto"/>
        <w:ind w:firstLine="420" w:firstLineChars="200"/>
        <w:rPr>
          <w:rFonts w:ascii="宋体" w:hAnsi="宋体"/>
          <w:szCs w:val="21"/>
        </w:rPr>
      </w:pPr>
      <w:r>
        <w:rPr>
          <w:rFonts w:hint="eastAsia" w:ascii="宋体" w:hAnsi="宋体"/>
          <w:szCs w:val="21"/>
        </w:rPr>
        <w:t>一、承包人申报工程进度款时，应对上月已支付工程款用于农民工工资发放的情况进行说明，并附农民工代表按时足额收取了工资的签名确认书。监理单位应对相关情况说明和签名确认书（详附件）进行审查签名后，与工程进度款申报资料一并提交给发包人。发包人审核合格后，才进行当期工程进度款的支付。</w:t>
      </w:r>
    </w:p>
    <w:p>
      <w:pPr>
        <w:spacing w:line="360" w:lineRule="auto"/>
        <w:ind w:firstLine="420" w:firstLineChars="200"/>
        <w:rPr>
          <w:rFonts w:ascii="宋体" w:hAnsi="宋体"/>
          <w:szCs w:val="21"/>
        </w:rPr>
      </w:pPr>
      <w:r>
        <w:rPr>
          <w:rFonts w:hint="eastAsia" w:ascii="宋体" w:hAnsi="宋体"/>
          <w:szCs w:val="21"/>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pPr>
        <w:spacing w:line="360" w:lineRule="auto"/>
        <w:ind w:firstLine="420" w:firstLineChars="200"/>
        <w:rPr>
          <w:rFonts w:ascii="宋体" w:hAnsi="宋体"/>
          <w:szCs w:val="21"/>
        </w:rPr>
      </w:pPr>
      <w:r>
        <w:rPr>
          <w:rFonts w:hint="eastAsia" w:ascii="宋体" w:hAnsi="宋体"/>
          <w:szCs w:val="21"/>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pPr>
        <w:spacing w:line="360" w:lineRule="auto"/>
        <w:ind w:firstLine="420" w:firstLineChars="200"/>
        <w:rPr>
          <w:rFonts w:ascii="宋体" w:hAnsi="宋体"/>
          <w:szCs w:val="21"/>
        </w:rPr>
      </w:pPr>
      <w:r>
        <w:rPr>
          <w:rFonts w:hint="eastAsia" w:ascii="宋体" w:hAnsi="宋体"/>
          <w:szCs w:val="21"/>
        </w:rPr>
        <w:t>四、若发现承包人有下列事项的，发包人在支付当期进度款时暂扣当期应支付进度款5%比例的款项。</w:t>
      </w:r>
      <w:r>
        <w:rPr>
          <w:rFonts w:hint="eastAsia" w:ascii="宋体" w:hAnsi="宋体"/>
          <w:szCs w:val="21"/>
        </w:rPr>
        <w:br w:type="textWrapping"/>
      </w:r>
      <w:r>
        <w:rPr>
          <w:rFonts w:hint="eastAsia" w:ascii="宋体" w:hAnsi="宋体"/>
          <w:szCs w:val="21"/>
        </w:rPr>
        <w:t xml:space="preserve">    （一）现场检查发现项目存在拖欠农民工工资情况并经核查属实的；</w:t>
      </w:r>
    </w:p>
    <w:p>
      <w:pPr>
        <w:spacing w:line="360" w:lineRule="auto"/>
        <w:ind w:firstLine="420" w:firstLineChars="200"/>
        <w:rPr>
          <w:rFonts w:ascii="宋体" w:hAnsi="宋体"/>
          <w:szCs w:val="21"/>
        </w:rPr>
      </w:pPr>
      <w:r>
        <w:rPr>
          <w:rFonts w:hint="eastAsia" w:ascii="宋体" w:hAnsi="宋体"/>
          <w:szCs w:val="21"/>
        </w:rPr>
        <w:t>（二）相关行政管理部门检查发现存在拖欠农民工工资情况并经核查属实的；</w:t>
      </w:r>
      <w:r>
        <w:rPr>
          <w:rFonts w:hint="eastAsia" w:ascii="宋体" w:hAnsi="宋体"/>
          <w:szCs w:val="21"/>
        </w:rPr>
        <w:br w:type="textWrapping"/>
      </w:r>
      <w:r>
        <w:rPr>
          <w:rFonts w:hint="eastAsia" w:ascii="宋体" w:hAnsi="宋体"/>
          <w:szCs w:val="21"/>
        </w:rPr>
        <w:t xml:space="preserve">    （三）有拖欠农民工工资投诉事项并经核查属实的。</w:t>
      </w:r>
      <w:r>
        <w:rPr>
          <w:rFonts w:hint="eastAsia" w:ascii="宋体" w:hAnsi="宋体"/>
          <w:szCs w:val="21"/>
        </w:rPr>
        <w:br w:type="textWrapping"/>
      </w:r>
      <w:r>
        <w:rPr>
          <w:rFonts w:hint="eastAsia" w:ascii="宋体" w:hAnsi="宋体"/>
          <w:szCs w:val="21"/>
        </w:rPr>
        <w:t xml:space="preserve">    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pPr>
        <w:tabs>
          <w:tab w:val="left" w:pos="1080"/>
          <w:tab w:val="left" w:pos="1260"/>
          <w:tab w:val="left" w:pos="1440"/>
        </w:tabs>
        <w:spacing w:line="360" w:lineRule="auto"/>
        <w:ind w:firstLine="420" w:firstLineChars="200"/>
        <w:rPr>
          <w:rFonts w:ascii="宋体" w:hAnsi="宋体"/>
          <w:snapToGrid w:val="0"/>
          <w:spacing w:val="-4"/>
          <w:kern w:val="0"/>
          <w:szCs w:val="21"/>
        </w:rPr>
      </w:pPr>
      <w:r>
        <w:rPr>
          <w:rFonts w:hint="eastAsia" w:ascii="宋体" w:hAnsi="宋体"/>
          <w:szCs w:val="21"/>
        </w:rPr>
        <w:t>六、本协议经双方法定代表人或委托代理人签名并加盖</w:t>
      </w:r>
      <w:r>
        <w:rPr>
          <w:rFonts w:hint="eastAsia" w:ascii="宋体" w:hAnsi="宋体"/>
          <w:szCs w:val="21"/>
          <w:lang w:val="en-US" w:eastAsia="zh-CN"/>
        </w:rPr>
        <w:t>单位</w:t>
      </w:r>
      <w:r>
        <w:rPr>
          <w:rFonts w:hint="eastAsia" w:ascii="宋体" w:hAnsi="宋体"/>
          <w:szCs w:val="21"/>
        </w:rPr>
        <w:t>公章后生效，履行完毕后自然失效。</w:t>
      </w:r>
    </w:p>
    <w:p>
      <w:pPr>
        <w:spacing w:line="360" w:lineRule="auto"/>
        <w:ind w:firstLine="420" w:firstLineChars="200"/>
        <w:rPr>
          <w:rFonts w:ascii="宋体" w:hAnsi="宋体"/>
          <w:szCs w:val="21"/>
        </w:rPr>
      </w:pPr>
      <w:r>
        <w:rPr>
          <w:rFonts w:hint="eastAsia" w:ascii="宋体" w:hAnsi="宋体"/>
          <w:szCs w:val="21"/>
        </w:rPr>
        <w:t>附件：</w:t>
      </w:r>
    </w:p>
    <w:p>
      <w:pPr>
        <w:spacing w:line="360" w:lineRule="auto"/>
        <w:ind w:firstLine="420" w:firstLineChars="200"/>
        <w:rPr>
          <w:rFonts w:ascii="宋体" w:hAnsi="宋体"/>
          <w:szCs w:val="21"/>
        </w:rPr>
      </w:pPr>
      <w:r>
        <w:rPr>
          <w:rFonts w:hint="eastAsia" w:ascii="宋体" w:hAnsi="宋体"/>
          <w:szCs w:val="21"/>
        </w:rPr>
        <w:t>1、关于农民工工资发放情况的说明表</w:t>
      </w:r>
    </w:p>
    <w:p>
      <w:pPr>
        <w:pStyle w:val="2"/>
        <w:spacing w:line="360" w:lineRule="auto"/>
        <w:ind w:firstLine="420" w:firstLineChars="200"/>
        <w:rPr>
          <w:rFonts w:ascii="宋体" w:hAnsi="宋体"/>
          <w:szCs w:val="21"/>
        </w:rPr>
      </w:pPr>
    </w:p>
    <w:p>
      <w:pPr>
        <w:pStyle w:val="2"/>
        <w:spacing w:line="360" w:lineRule="auto"/>
        <w:ind w:firstLine="420" w:firstLineChars="200"/>
        <w:rPr>
          <w:rFonts w:ascii="宋体" w:hAnsi="宋体"/>
          <w:szCs w:val="21"/>
        </w:rPr>
      </w:pPr>
    </w:p>
    <w:p>
      <w:pPr>
        <w:pStyle w:val="2"/>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（以下无正文）</w:t>
      </w: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p>
    <w:p>
      <w:pPr>
        <w:pStyle w:val="2"/>
        <w:spacing w:line="360" w:lineRule="auto"/>
        <w:rPr>
          <w:rFonts w:ascii="宋体" w:hAnsi="宋体"/>
          <w:szCs w:val="21"/>
        </w:rPr>
      </w:pPr>
    </w:p>
    <w:p>
      <w:pPr>
        <w:spacing w:line="360" w:lineRule="auto"/>
        <w:rPr>
          <w:rFonts w:ascii="宋体" w:hAnsi="宋体"/>
          <w:szCs w:val="21"/>
        </w:rPr>
      </w:pPr>
      <w:r>
        <w:rPr>
          <w:rFonts w:hint="eastAsia" w:ascii="宋体" w:hAnsi="宋体"/>
          <w:szCs w:val="21"/>
        </w:rPr>
        <w:t>发包人：</w:t>
      </w:r>
      <w:r>
        <w:rPr>
          <w:rFonts w:hint="eastAsia" w:ascii="宋体" w:hAnsi="宋体" w:cs="宋体"/>
          <w:szCs w:val="21"/>
          <w:u w:val="single"/>
        </w:rPr>
        <w:t xml:space="preserve">       </w:t>
      </w:r>
      <w:r>
        <w:rPr>
          <w:rFonts w:hint="eastAsia" w:ascii="宋体" w:hAnsi="宋体"/>
          <w:szCs w:val="21"/>
        </w:rPr>
        <w:t>（发包人）</w:t>
      </w:r>
    </w:p>
    <w:p>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承包人：</w:t>
      </w:r>
      <w:r>
        <w:rPr>
          <w:rFonts w:hint="eastAsia" w:ascii="宋体" w:hAnsi="宋体" w:cs="宋体"/>
          <w:szCs w:val="21"/>
          <w:u w:val="single"/>
        </w:rPr>
        <w:t xml:space="preserve">       </w:t>
      </w:r>
      <w:r>
        <w:rPr>
          <w:rFonts w:hint="eastAsia" w:ascii="宋体" w:hAnsi="宋体"/>
          <w:szCs w:val="21"/>
        </w:rPr>
        <w:t>（承包人）</w:t>
      </w:r>
    </w:p>
    <w:p>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pPr>
        <w:snapToGrid w:val="0"/>
        <w:spacing w:line="360" w:lineRule="auto"/>
        <w:ind w:firstLine="560"/>
        <w:rPr>
          <w:rFonts w:ascii="宋体" w:hAnsi="宋体"/>
          <w:szCs w:val="21"/>
        </w:rPr>
      </w:pPr>
    </w:p>
    <w:p>
      <w:pPr>
        <w:spacing w:line="480" w:lineRule="auto"/>
        <w:rPr>
          <w:rFonts w:ascii="宋体" w:hAnsi="宋体"/>
          <w:szCs w:val="21"/>
        </w:rPr>
      </w:pPr>
      <w:r>
        <w:rPr>
          <w:rFonts w:hint="eastAsia" w:ascii="宋体" w:hAnsi="宋体"/>
          <w:szCs w:val="21"/>
        </w:rPr>
        <w:br w:type="page"/>
      </w:r>
      <w:r>
        <w:rPr>
          <w:rFonts w:hint="eastAsia" w:ascii="宋体" w:hAnsi="宋体"/>
          <w:szCs w:val="21"/>
        </w:rPr>
        <w:t>保障农民工工资支付协议附件1：</w:t>
      </w:r>
    </w:p>
    <w:p>
      <w:pPr>
        <w:widowControl/>
        <w:snapToGrid w:val="0"/>
        <w:spacing w:after="100" w:afterAutospacing="1" w:line="480" w:lineRule="auto"/>
        <w:jc w:val="center"/>
        <w:rPr>
          <w:rFonts w:ascii="宋体" w:hAnsi="宋体"/>
          <w:szCs w:val="21"/>
        </w:rPr>
      </w:pPr>
      <w:r>
        <w:rPr>
          <w:rFonts w:hint="eastAsia" w:ascii="宋体" w:hAnsi="宋体"/>
          <w:szCs w:val="21"/>
        </w:rPr>
        <w:t>关于农民工工资发放情况的说明表</w:t>
      </w:r>
    </w:p>
    <w:tbl>
      <w:tblPr>
        <w:tblStyle w:val="45"/>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7" w:type="dxa"/>
            <w:gridSpan w:val="2"/>
          </w:tcPr>
          <w:p>
            <w:pPr>
              <w:widowControl/>
              <w:snapToGrid w:val="0"/>
              <w:spacing w:after="100" w:afterAutospacing="1" w:line="400" w:lineRule="exact"/>
              <w:jc w:val="left"/>
              <w:rPr>
                <w:rFonts w:ascii="宋体" w:hAnsi="宋体"/>
                <w:kern w:val="0"/>
                <w:szCs w:val="21"/>
              </w:rPr>
            </w:pPr>
            <w:r>
              <w:rPr>
                <w:rFonts w:hint="eastAsia" w:ascii="宋体" w:hAnsi="宋体"/>
                <w:kern w:val="0"/>
                <w:szCs w:val="21"/>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36" w:type="dxa"/>
          </w:tcPr>
          <w:p>
            <w:pPr>
              <w:widowControl/>
              <w:snapToGrid w:val="0"/>
              <w:spacing w:after="100" w:afterAutospacing="1" w:line="400" w:lineRule="exact"/>
              <w:rPr>
                <w:rFonts w:ascii="宋体" w:hAnsi="宋体"/>
                <w:kern w:val="0"/>
                <w:szCs w:val="21"/>
              </w:rPr>
            </w:pPr>
            <w:r>
              <w:rPr>
                <w:rFonts w:hint="eastAsia" w:ascii="宋体" w:hAnsi="宋体"/>
                <w:kern w:val="0"/>
                <w:szCs w:val="21"/>
              </w:rPr>
              <w:t>施工单位：</w:t>
            </w:r>
          </w:p>
        </w:tc>
        <w:tc>
          <w:tcPr>
            <w:tcW w:w="6201" w:type="dxa"/>
          </w:tcPr>
          <w:p>
            <w:pPr>
              <w:widowControl/>
              <w:snapToGrid w:val="0"/>
              <w:spacing w:after="100" w:afterAutospacing="1" w:line="40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Pr>
          <w:p>
            <w:pPr>
              <w:widowControl/>
              <w:snapToGrid w:val="0"/>
              <w:spacing w:after="100" w:afterAutospacing="1" w:line="400" w:lineRule="exact"/>
              <w:rPr>
                <w:rFonts w:ascii="宋体" w:hAnsi="宋体"/>
                <w:kern w:val="0"/>
                <w:szCs w:val="21"/>
              </w:rPr>
            </w:pPr>
            <w:r>
              <w:rPr>
                <w:rFonts w:hint="eastAsia" w:ascii="宋体" w:hAnsi="宋体"/>
                <w:kern w:val="0"/>
                <w:szCs w:val="21"/>
              </w:rPr>
              <w:t>监理单位：</w:t>
            </w:r>
          </w:p>
        </w:tc>
        <w:tc>
          <w:tcPr>
            <w:tcW w:w="6201" w:type="dxa"/>
          </w:tcPr>
          <w:p>
            <w:pPr>
              <w:widowControl/>
              <w:snapToGrid w:val="0"/>
              <w:spacing w:after="100" w:afterAutospacing="1" w:line="40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tcPr>
          <w:p>
            <w:pPr>
              <w:widowControl/>
              <w:snapToGrid w:val="0"/>
              <w:spacing w:after="100" w:afterAutospacing="1" w:line="400" w:lineRule="exact"/>
              <w:rPr>
                <w:rFonts w:ascii="宋体" w:hAnsi="宋体"/>
                <w:kern w:val="0"/>
                <w:szCs w:val="21"/>
                <w:u w:val="single"/>
              </w:rPr>
            </w:pPr>
          </w:p>
          <w:p>
            <w:pPr>
              <w:widowControl/>
              <w:snapToGrid w:val="0"/>
              <w:spacing w:after="100" w:afterAutospacing="1" w:line="400" w:lineRule="exact"/>
              <w:rPr>
                <w:rFonts w:ascii="宋体" w:hAnsi="宋体"/>
                <w:kern w:val="0"/>
                <w:szCs w:val="21"/>
              </w:rPr>
            </w:pPr>
            <w:r>
              <w:rPr>
                <w:rFonts w:hint="eastAsia" w:ascii="宋体" w:hAnsi="宋体"/>
                <w:kern w:val="0"/>
                <w:szCs w:val="21"/>
              </w:rPr>
              <w:t>（项目业主单位名称）：</w:t>
            </w:r>
            <w:r>
              <w:rPr>
                <w:rFonts w:hint="eastAsia" w:ascii="宋体" w:hAnsi="宋体"/>
                <w:kern w:val="0"/>
                <w:szCs w:val="21"/>
                <w:u w:val="single"/>
              </w:rPr>
              <w:br w:type="textWrapping"/>
            </w:r>
            <w:r>
              <w:rPr>
                <w:rFonts w:hint="eastAsia" w:ascii="宋体" w:hAnsi="宋体"/>
                <w:kern w:val="0"/>
                <w:szCs w:val="21"/>
              </w:rPr>
              <w:t xml:space="preserve">    我单位负责承建的（工程名称）无拖欠农民工资的情况，贵单位先期支付我单位的工程款已优先用于支付了农民工工资，农民工工资全部按时足额进行了发放，请贵单位予以审核。</w:t>
            </w:r>
            <w:r>
              <w:rPr>
                <w:rFonts w:hint="eastAsia" w:ascii="宋体" w:hAnsi="宋体"/>
                <w:kern w:val="0"/>
                <w:szCs w:val="21"/>
              </w:rPr>
              <w:br w:type="textWrapping"/>
            </w:r>
          </w:p>
          <w:p>
            <w:pPr>
              <w:widowControl/>
              <w:snapToGrid w:val="0"/>
              <w:spacing w:after="100" w:afterAutospacing="1" w:line="400" w:lineRule="exact"/>
              <w:ind w:firstLine="1260" w:firstLineChars="600"/>
              <w:rPr>
                <w:rFonts w:ascii="宋体" w:hAnsi="宋体"/>
                <w:kern w:val="0"/>
                <w:szCs w:val="21"/>
                <w:u w:val="single"/>
              </w:rPr>
            </w:pPr>
            <w:r>
              <w:rPr>
                <w:rFonts w:hint="eastAsia" w:ascii="宋体" w:hAnsi="宋体"/>
                <w:kern w:val="0"/>
                <w:szCs w:val="21"/>
              </w:rPr>
              <w:t>施工单位项目负责人签名（加盖项目章）：</w:t>
            </w:r>
            <w:r>
              <w:rPr>
                <w:rFonts w:hint="eastAsia" w:ascii="宋体" w:hAnsi="宋体"/>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236" w:type="dxa"/>
            <w:vAlign w:val="center"/>
          </w:tcPr>
          <w:p>
            <w:pPr>
              <w:widowControl/>
              <w:snapToGrid w:val="0"/>
              <w:spacing w:after="100" w:afterAutospacing="1" w:line="400" w:lineRule="exact"/>
              <w:jc w:val="center"/>
              <w:rPr>
                <w:rFonts w:ascii="宋体" w:hAnsi="宋体" w:cs="宋体"/>
                <w:kern w:val="0"/>
                <w:szCs w:val="21"/>
              </w:rPr>
            </w:pPr>
            <w:r>
              <w:rPr>
                <w:rFonts w:hint="eastAsia" w:ascii="宋体" w:hAnsi="宋体" w:cs="宋体"/>
                <w:kern w:val="0"/>
                <w:szCs w:val="21"/>
              </w:rPr>
              <w:t>监理单位意见：</w:t>
            </w:r>
          </w:p>
        </w:tc>
        <w:tc>
          <w:tcPr>
            <w:tcW w:w="6201" w:type="dxa"/>
          </w:tcPr>
          <w:p>
            <w:pPr>
              <w:widowControl/>
              <w:snapToGrid w:val="0"/>
              <w:spacing w:after="100" w:afterAutospacing="1" w:line="400" w:lineRule="exact"/>
              <w:rPr>
                <w:rFonts w:ascii="宋体" w:hAnsi="宋体"/>
                <w:kern w:val="0"/>
                <w:szCs w:val="21"/>
                <w:u w:val="single"/>
              </w:rPr>
            </w:pPr>
          </w:p>
          <w:p>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总监签名并加盖项目章：</w:t>
            </w:r>
            <w:r>
              <w:rPr>
                <w:rFonts w:hint="eastAsia" w:ascii="宋体" w:hAnsi="宋体"/>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36" w:type="dxa"/>
            <w:vAlign w:val="center"/>
          </w:tcPr>
          <w:p>
            <w:pPr>
              <w:widowControl/>
              <w:snapToGrid w:val="0"/>
              <w:spacing w:after="100" w:afterAutospacing="1" w:line="400" w:lineRule="exact"/>
              <w:jc w:val="center"/>
              <w:rPr>
                <w:rFonts w:ascii="宋体" w:hAnsi="宋体"/>
                <w:kern w:val="0"/>
                <w:szCs w:val="21"/>
              </w:rPr>
            </w:pPr>
            <w:r>
              <w:rPr>
                <w:rFonts w:hint="eastAsia" w:ascii="宋体" w:hAnsi="宋体"/>
                <w:kern w:val="0"/>
                <w:szCs w:val="21"/>
              </w:rPr>
              <w:t>工程部项目负责人意见：</w:t>
            </w:r>
          </w:p>
        </w:tc>
        <w:tc>
          <w:tcPr>
            <w:tcW w:w="6201" w:type="dxa"/>
          </w:tcPr>
          <w:p>
            <w:pPr>
              <w:widowControl/>
              <w:snapToGrid w:val="0"/>
              <w:spacing w:after="100" w:afterAutospacing="1" w:line="400" w:lineRule="exact"/>
              <w:rPr>
                <w:rFonts w:ascii="宋体" w:hAnsi="宋体"/>
                <w:kern w:val="0"/>
                <w:szCs w:val="21"/>
                <w:u w:val="single"/>
              </w:rPr>
            </w:pPr>
          </w:p>
          <w:p>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项目负责人签名：</w:t>
            </w:r>
            <w:r>
              <w:rPr>
                <w:rFonts w:hint="eastAsia" w:ascii="宋体" w:hAnsi="宋体"/>
                <w:kern w:val="0"/>
                <w:szCs w:val="21"/>
                <w:u w:val="single"/>
              </w:rPr>
              <w:t xml:space="preserve">        </w:t>
            </w:r>
          </w:p>
        </w:tc>
      </w:tr>
    </w:tbl>
    <w:p>
      <w:pPr>
        <w:rPr>
          <w:rFonts w:ascii="宋体" w:hAnsi="宋体"/>
          <w:sz w:val="24"/>
        </w:rPr>
      </w:pPr>
      <w:r>
        <w:rPr>
          <w:rFonts w:ascii="宋体" w:hAnsi="宋体"/>
          <w:sz w:val="24"/>
        </w:rPr>
        <w:br w:type="page"/>
      </w:r>
    </w:p>
    <w:bookmarkEnd w:id="806"/>
    <w:p>
      <w:pPr>
        <w:spacing w:line="360" w:lineRule="auto"/>
        <w:rPr>
          <w:rFonts w:ascii="宋体" w:hAnsi="宋体"/>
          <w:szCs w:val="21"/>
        </w:rPr>
      </w:pPr>
      <w:r>
        <w:rPr>
          <w:rFonts w:hint="eastAsia" w:ascii="宋体" w:hAnsi="宋体"/>
          <w:szCs w:val="20"/>
          <w:lang w:val="en-US" w:eastAsia="zh-CN"/>
        </w:rPr>
        <w:t>附件11</w:t>
      </w:r>
      <w:r>
        <w:rPr>
          <w:rFonts w:hint="eastAsia" w:ascii="宋体" w:hAnsi="宋体"/>
          <w:szCs w:val="21"/>
          <w:lang w:eastAsia="zh-CN"/>
        </w:rPr>
        <w:t>：</w:t>
      </w:r>
      <w:r>
        <w:rPr>
          <w:rFonts w:hint="eastAsia" w:ascii="宋体" w:hAnsi="宋体"/>
          <w:szCs w:val="21"/>
          <w:lang w:val="en-US" w:eastAsia="zh-CN"/>
        </w:rPr>
        <w:t>质量保证金保函</w:t>
      </w:r>
      <w:r>
        <w:rPr>
          <w:rFonts w:hint="eastAsia" w:ascii="宋体" w:hAnsi="宋体"/>
          <w:szCs w:val="21"/>
        </w:rPr>
        <w:t>（如有）</w:t>
      </w:r>
    </w:p>
    <w:p>
      <w:pPr>
        <w:keepNext w:val="0"/>
        <w:keepLines w:val="0"/>
        <w:pageBreakBefore w:val="0"/>
        <w:kinsoku/>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val="0"/>
          <w:bCs w:val="0"/>
          <w:color w:val="auto"/>
          <w:sz w:val="21"/>
          <w:szCs w:val="21"/>
        </w:rPr>
      </w:pPr>
    </w:p>
    <w:p>
      <w:pPr>
        <w:keepNext w:val="0"/>
        <w:keepLines w:val="0"/>
        <w:pageBreakBefore w:val="0"/>
        <w:kinsoku/>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工程质量保函示范文本</w:t>
      </w:r>
    </w:p>
    <w:p>
      <w:pPr>
        <w:keepNext w:val="0"/>
        <w:keepLines w:val="0"/>
        <w:pageBreakBefore w:val="0"/>
        <w:kinsoku/>
        <w:wordWrap w:val="0"/>
        <w:overflowPunct/>
        <w:topLinePunct w:val="0"/>
        <w:autoSpaceDE/>
        <w:autoSpaceDN/>
        <w:bidi w:val="0"/>
        <w:adjustRightInd/>
        <w:snapToGrid/>
        <w:spacing w:line="360" w:lineRule="auto"/>
        <w:ind w:right="0" w:rightChars="0"/>
        <w:jc w:val="righ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申请人：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地</w:t>
      </w:r>
      <w:r>
        <w:rPr>
          <w:rFonts w:hint="eastAsia" w:asciiTheme="minorEastAsia" w:hAnsiTheme="minorEastAsia" w:eastAsiaTheme="minorEastAsia" w:cstheme="minorEastAsia"/>
          <w:color w:val="auto"/>
          <w:kern w:val="2"/>
          <w:sz w:val="21"/>
          <w:szCs w:val="21"/>
          <w:lang w:val="en-US" w:eastAsia="zh-CN"/>
        </w:rPr>
        <w:t xml:space="preserve">  </w:t>
      </w:r>
      <w:r>
        <w:rPr>
          <w:rFonts w:hint="eastAsia" w:asciiTheme="minorEastAsia" w:hAnsiTheme="minorEastAsia" w:eastAsiaTheme="minorEastAsia" w:cstheme="minorEastAsia"/>
          <w:color w:val="auto"/>
          <w:kern w:val="2"/>
          <w:sz w:val="21"/>
          <w:szCs w:val="21"/>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受益人：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地</w:t>
      </w:r>
      <w:r>
        <w:rPr>
          <w:rFonts w:hint="eastAsia" w:asciiTheme="minorEastAsia" w:hAnsiTheme="minorEastAsia" w:eastAsiaTheme="minorEastAsia" w:cstheme="minorEastAsia"/>
          <w:color w:val="auto"/>
          <w:kern w:val="2"/>
          <w:sz w:val="21"/>
          <w:szCs w:val="21"/>
          <w:lang w:val="en-US" w:eastAsia="zh-CN"/>
        </w:rPr>
        <w:t xml:space="preserve">  </w:t>
      </w:r>
      <w:r>
        <w:rPr>
          <w:rFonts w:hint="eastAsia" w:asciiTheme="minorEastAsia" w:hAnsiTheme="minorEastAsia" w:eastAsiaTheme="minorEastAsia" w:cstheme="minorEastAsia"/>
          <w:color w:val="auto"/>
          <w:kern w:val="2"/>
          <w:sz w:val="21"/>
          <w:szCs w:val="21"/>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开立人：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地</w:t>
      </w:r>
      <w:r>
        <w:rPr>
          <w:rFonts w:hint="eastAsia" w:asciiTheme="minorEastAsia" w:hAnsiTheme="minorEastAsia" w:eastAsiaTheme="minorEastAsia" w:cstheme="minorEastAsia"/>
          <w:color w:val="auto"/>
          <w:kern w:val="2"/>
          <w:sz w:val="21"/>
          <w:szCs w:val="21"/>
          <w:lang w:val="en-US" w:eastAsia="zh-CN"/>
        </w:rPr>
        <w:t xml:space="preserve">  </w:t>
      </w:r>
      <w:r>
        <w:rPr>
          <w:rFonts w:hint="eastAsia" w:asciiTheme="minorEastAsia" w:hAnsiTheme="minorEastAsia" w:eastAsiaTheme="minorEastAsia" w:cstheme="minorEastAsia"/>
          <w:color w:val="auto"/>
          <w:kern w:val="2"/>
          <w:sz w:val="21"/>
          <w:szCs w:val="21"/>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textAlignment w:val="auto"/>
        <w:rPr>
          <w:rFonts w:hint="eastAsia" w:asciiTheme="minorEastAsia" w:hAnsiTheme="minorEastAsia" w:eastAsiaTheme="minorEastAsia" w:cstheme="minorEastAsia"/>
          <w:color w:val="auto"/>
          <w:kern w:val="2"/>
          <w:sz w:val="21"/>
          <w:szCs w:val="21"/>
        </w:rPr>
      </w:pPr>
    </w:p>
    <w:p>
      <w:pPr>
        <w:keepNext w:val="0"/>
        <w:keepLines w:val="0"/>
        <w:pageBreakBefore w:val="0"/>
        <w:shd w:val="clear"/>
        <w:kinsoku/>
        <w:wordWrap/>
        <w:overflowPunct/>
        <w:topLinePunct w:val="0"/>
        <w:autoSpaceDE/>
        <w:autoSpaceDN/>
        <w:bidi w:val="0"/>
        <w:adjustRightInd/>
        <w:snapToGrid/>
        <w:spacing w:beforeLines="0" w:line="360" w:lineRule="auto"/>
        <w:ind w:right="0" w:rightChars="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 xml:space="preserve">（受益人名称）： </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鉴于</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（以下简称“受益人”）与</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（以下简称“申请人”）于</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年</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月</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日就</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工程（以下简称“本工程”）施工和有关事项协商一致共同签订</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（合同名称）合同编号</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我方（即“开立人”）根据上述合同了解到申请人为合同项下之承包人，受益人为合同项下之发包人，基于申请人的请求，我方同意就申请人履行与贵方签订的合同项下的义务，向贵方提供不可撤销、不可转让的见索即付保函（以下简称“本保函”）。</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一、本保函担保范围：承包人未按照合同约定履行工程缺陷责任期内的保修义务，应当向贵方承担的违约责任和赔偿因此造成的损失、利息、律师费、诉讼费用等实现债权的费用。</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二、本保函担保金额最高不超过人民币（大写）</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元（¥</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三、本保函有效期（保证期间）为以下第</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种：</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eastAsia="zh-CN"/>
        </w:rPr>
        <w:t>（</w:t>
      </w:r>
      <w:r>
        <w:rPr>
          <w:rFonts w:hint="eastAsia" w:asciiTheme="minorEastAsia" w:hAnsiTheme="minorEastAsia" w:eastAsiaTheme="minorEastAsia" w:cstheme="minorEastAsia"/>
          <w:color w:val="auto"/>
          <w:kern w:val="2"/>
          <w:sz w:val="21"/>
          <w:szCs w:val="21"/>
          <w:lang w:val="en-US" w:eastAsia="zh-CN"/>
        </w:rPr>
        <w:t>1</w:t>
      </w:r>
      <w:r>
        <w:rPr>
          <w:rFonts w:hint="eastAsia" w:asciiTheme="minorEastAsia" w:hAnsiTheme="minorEastAsia" w:eastAsiaTheme="minorEastAsia" w:cstheme="minorEastAsia"/>
          <w:color w:val="auto"/>
          <w:kern w:val="2"/>
          <w:sz w:val="21"/>
          <w:szCs w:val="21"/>
          <w:lang w:eastAsia="zh-CN"/>
        </w:rPr>
        <w:t>）</w:t>
      </w:r>
      <w:r>
        <w:rPr>
          <w:rFonts w:hint="eastAsia" w:asciiTheme="minorEastAsia" w:hAnsiTheme="minorEastAsia" w:eastAsiaTheme="minorEastAsia" w:cstheme="minorEastAsia"/>
          <w:color w:val="auto"/>
          <w:kern w:val="2"/>
          <w:sz w:val="21"/>
          <w:szCs w:val="21"/>
        </w:rPr>
        <w:t>本保函有效期至</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年</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月</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日。</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eastAsia="zh-CN"/>
        </w:rPr>
        <w:t>（</w:t>
      </w:r>
      <w:r>
        <w:rPr>
          <w:rFonts w:hint="eastAsia" w:asciiTheme="minorEastAsia" w:hAnsiTheme="minorEastAsia" w:eastAsiaTheme="minorEastAsia" w:cstheme="minorEastAsia"/>
          <w:color w:val="auto"/>
          <w:kern w:val="2"/>
          <w:sz w:val="21"/>
          <w:szCs w:val="21"/>
          <w:lang w:val="en-US" w:eastAsia="zh-CN"/>
        </w:rPr>
        <w:t>2</w:t>
      </w:r>
      <w:r>
        <w:rPr>
          <w:rFonts w:hint="eastAsia" w:asciiTheme="minorEastAsia" w:hAnsiTheme="minorEastAsia" w:eastAsiaTheme="minorEastAsia" w:cstheme="minorEastAsia"/>
          <w:color w:val="auto"/>
          <w:kern w:val="2"/>
          <w:sz w:val="21"/>
          <w:szCs w:val="21"/>
          <w:lang w:eastAsia="zh-CN"/>
        </w:rPr>
        <w:t>）</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四、我方承诺，在收到受益人发来的书面索赔通知和本保函原件后的</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none"/>
          <w:lang w:eastAsia="zh-CN"/>
        </w:rPr>
        <w:t>个工作</w:t>
      </w:r>
      <w:r>
        <w:rPr>
          <w:rFonts w:hint="eastAsia" w:asciiTheme="minorEastAsia" w:hAnsiTheme="minorEastAsia" w:eastAsiaTheme="minorEastAsia" w:cstheme="minorEastAsia"/>
          <w:color w:val="auto"/>
          <w:kern w:val="2"/>
          <w:sz w:val="21"/>
          <w:szCs w:val="21"/>
        </w:rPr>
        <w:t>日内无条件支付至受益人指定账户，前述书面索赔通知即为付款要求之单据，且应满足以下要求：</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（1）索赔通知到达的日期在本保函的有效期内；</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（2）载明要求支付的金额；</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（3）载明申请人违反合同义务的条款和内容；</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（4）声明不存在合同文件约定或我国法律规定免除申请人或开立人支付责任的情形；</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（5）索赔通知应在本保函有效期内到达的地址是：</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eastAsia="zh-CN"/>
        </w:rPr>
        <w:t>受益人发出的书面索赔通知应由其为鉴明受益人法定代表人（负责人）或授权代理人签名或盖个人名章并加盖公章。</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五、本保函项下的权利不得转让，不得设定担保。贵方未经我方书面同意转让本保函或其项下任何权利，对我方不发生法律效力。</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 xml:space="preserve">六、与本保函有关的合同不成立、不生效、无效、被撤销、被解除，不影响本保函的独立有效。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七、贵方应在本保函到期后的</w:t>
      </w:r>
      <w:r>
        <w:rPr>
          <w:rFonts w:hint="eastAsia" w:asciiTheme="minorEastAsia" w:hAnsiTheme="minorEastAsia" w:eastAsiaTheme="minorEastAsia" w:cstheme="minorEastAsia"/>
          <w:color w:val="auto"/>
          <w:kern w:val="2"/>
          <w:sz w:val="21"/>
          <w:szCs w:val="21"/>
          <w:lang w:eastAsia="zh-CN"/>
        </w:rPr>
        <w:t>七个工作</w:t>
      </w:r>
      <w:r>
        <w:rPr>
          <w:rFonts w:hint="eastAsia" w:asciiTheme="minorEastAsia" w:hAnsiTheme="minorEastAsia" w:eastAsiaTheme="minorEastAsia" w:cstheme="minorEastAsia"/>
          <w:color w:val="auto"/>
          <w:kern w:val="2"/>
          <w:sz w:val="21"/>
          <w:szCs w:val="21"/>
        </w:rPr>
        <w:t>日内将本保函正本退回我方注销，但是不论贵方是否按此要求将本保函正本退回我方，我方在本保函项下的义务和责任均在保函有效期到期后自动消灭。</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八、本保函适用的法律为中华人民共和国法律，争议裁判管辖地为中华人民共和国</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九、本保函自我方法定代表人或授权代表</w:t>
      </w:r>
      <w:r>
        <w:rPr>
          <w:rFonts w:hint="eastAsia" w:asciiTheme="minorEastAsia" w:hAnsiTheme="minorEastAsia" w:eastAsiaTheme="minorEastAsia" w:cstheme="minorEastAsia"/>
          <w:color w:val="auto"/>
          <w:kern w:val="2"/>
          <w:sz w:val="21"/>
          <w:szCs w:val="21"/>
          <w:lang w:eastAsia="zh-CN"/>
        </w:rPr>
        <w:t>签名</w:t>
      </w:r>
      <w:r>
        <w:rPr>
          <w:rFonts w:hint="eastAsia" w:asciiTheme="minorEastAsia" w:hAnsiTheme="minorEastAsia" w:eastAsiaTheme="minorEastAsia" w:cstheme="minorEastAsia"/>
          <w:color w:val="auto"/>
          <w:kern w:val="2"/>
          <w:sz w:val="21"/>
          <w:szCs w:val="21"/>
        </w:rPr>
        <w:t>或盖个人名章并加盖公章或合同专用章之日起生效。</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u w:val="none"/>
        </w:rPr>
      </w:pPr>
      <w:r>
        <w:rPr>
          <w:rFonts w:hint="eastAsia" w:asciiTheme="minorEastAsia" w:hAnsiTheme="minorEastAsia" w:eastAsiaTheme="minorEastAsia" w:cstheme="minorEastAsia"/>
          <w:color w:val="auto"/>
          <w:kern w:val="2"/>
          <w:sz w:val="21"/>
          <w:szCs w:val="21"/>
          <w:lang w:val="en-US" w:eastAsia="zh-CN"/>
        </w:rPr>
        <w:t>十、</w:t>
      </w:r>
      <w:r>
        <w:rPr>
          <w:rFonts w:hint="eastAsia" w:asciiTheme="minorEastAsia" w:hAnsiTheme="minorEastAsia" w:eastAsiaTheme="minorEastAsia" w:cstheme="minorEastAsia"/>
          <w:color w:val="auto"/>
          <w:kern w:val="2"/>
          <w:sz w:val="21"/>
          <w:szCs w:val="21"/>
          <w:lang w:eastAsia="zh-CN"/>
        </w:rPr>
        <w:t>本保函在重庆市辖区范围内的核验地点：</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none"/>
          <w:lang w:eastAsia="zh-CN"/>
        </w:rPr>
        <w:t>；核验方式：</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i/>
          <w:iCs/>
          <w:color w:val="auto"/>
          <w:kern w:val="2"/>
          <w:sz w:val="21"/>
          <w:szCs w:val="21"/>
          <w:u w:val="single"/>
        </w:rPr>
        <w:t>[提示：招标人可以根据项目实际情况，填写本保函在重庆本地的核验方式，如现场核验等]</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none"/>
          <w:lang w:val="en-US" w:eastAsia="zh-CN"/>
        </w:rPr>
        <w:t>。</w:t>
      </w:r>
    </w:p>
    <w:p>
      <w:pPr>
        <w:keepNext w:val="0"/>
        <w:keepLines w:val="0"/>
        <w:pageBreakBefore w:val="0"/>
        <w:widowControl w:val="0"/>
        <w:shd w:val="clear"/>
        <w:kinsoku/>
        <w:wordWrap/>
        <w:topLinePunct w:val="0"/>
        <w:autoSpaceDE/>
        <w:autoSpaceDN/>
        <w:bidi w:val="0"/>
        <w:snapToGrid/>
        <w:spacing w:beforeLines="0" w:after="0" w:line="360" w:lineRule="auto"/>
        <w:ind w:firstLine="420" w:firstLineChars="200"/>
        <w:jc w:val="both"/>
        <w:rPr>
          <w:rFonts w:hint="eastAsia" w:asciiTheme="minorEastAsia" w:hAnsiTheme="minorEastAsia" w:eastAsiaTheme="minorEastAsia" w:cstheme="minorEastAsia"/>
          <w:color w:val="auto"/>
          <w:kern w:val="2"/>
          <w:sz w:val="21"/>
          <w:szCs w:val="21"/>
          <w:lang w:val="en-US" w:eastAsia="zh-CN" w:bidi="ar-SA"/>
        </w:rPr>
      </w:pP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 xml:space="preserve">开 立 人：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（公章）</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法定代表人（或授权代表）：</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w:t>
      </w:r>
      <w:r>
        <w:rPr>
          <w:rFonts w:hint="eastAsia" w:asciiTheme="minorEastAsia" w:hAnsiTheme="minorEastAsia" w:eastAsiaTheme="minorEastAsia" w:cstheme="minorEastAsia"/>
          <w:color w:val="auto"/>
          <w:kern w:val="2"/>
          <w:sz w:val="21"/>
          <w:szCs w:val="21"/>
          <w:lang w:eastAsia="zh-CN"/>
        </w:rPr>
        <w:t>签名或盖个人名章</w:t>
      </w:r>
      <w:r>
        <w:rPr>
          <w:rFonts w:hint="eastAsia" w:asciiTheme="minorEastAsia" w:hAnsiTheme="minorEastAsia" w:eastAsiaTheme="minorEastAsia" w:cstheme="minorEastAsia"/>
          <w:color w:val="auto"/>
          <w:kern w:val="2"/>
          <w:sz w:val="21"/>
          <w:szCs w:val="21"/>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地    址：</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邮政编码：</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电    话：</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传    真：</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spacing w:line="240" w:lineRule="exact"/>
        <w:ind w:firstLine="420" w:firstLineChars="200"/>
        <w:rPr>
          <w:rFonts w:ascii="宋体" w:hAnsi="宋体"/>
          <w:szCs w:val="20"/>
        </w:rPr>
      </w:pPr>
      <w:r>
        <w:rPr>
          <w:rFonts w:hint="eastAsia" w:asciiTheme="minorEastAsia" w:hAnsiTheme="minorEastAsia" w:eastAsiaTheme="minorEastAsia" w:cstheme="minorEastAsia"/>
          <w:color w:val="auto"/>
          <w:kern w:val="2"/>
          <w:sz w:val="21"/>
          <w:szCs w:val="21"/>
        </w:rPr>
        <w:t xml:space="preserve">开立时间：    年    月    </w:t>
      </w:r>
      <w:r>
        <w:rPr>
          <w:rFonts w:hint="eastAsia" w:ascii="宋体" w:hAnsi="宋体" w:eastAsia="宋体" w:cs="宋体"/>
          <w:color w:val="auto"/>
          <w:sz w:val="21"/>
          <w:szCs w:val="21"/>
        </w:rPr>
        <w:t>日</w:t>
      </w:r>
      <w:r>
        <w:rPr>
          <w:rFonts w:ascii="宋体" w:hAnsi="宋体"/>
          <w:szCs w:val="20"/>
        </w:rPr>
        <w:br w:type="page"/>
      </w:r>
      <w:bookmarkStart w:id="2299" w:name="招标文件05章工程量清单"/>
      <w:bookmarkEnd w:id="2299"/>
    </w:p>
    <w:p>
      <w:pPr>
        <w:pStyle w:val="3"/>
        <w:spacing w:before="0" w:after="0" w:line="360" w:lineRule="auto"/>
        <w:jc w:val="center"/>
        <w:rPr>
          <w:rFonts w:ascii="宋体" w:hAnsi="宋体"/>
        </w:rPr>
      </w:pPr>
      <w:bookmarkStart w:id="2300" w:name="_Toc287607855"/>
      <w:bookmarkStart w:id="2301" w:name="_Toc28823"/>
      <w:bookmarkStart w:id="2302" w:name="_Toc534185822"/>
      <w:bookmarkStart w:id="2303" w:name="_Toc509218843"/>
      <w:bookmarkStart w:id="2304" w:name="_Toc287620797"/>
      <w:bookmarkStart w:id="2305" w:name="_Toc430530513"/>
      <w:bookmarkStart w:id="2306" w:name="_Toc17058"/>
      <w:r>
        <w:rPr>
          <w:rFonts w:hint="eastAsia" w:ascii="宋体" w:hAnsi="宋体"/>
        </w:rPr>
        <w:t>第五章  工程量清单</w:t>
      </w:r>
      <w:bookmarkEnd w:id="2300"/>
      <w:bookmarkEnd w:id="2301"/>
      <w:bookmarkEnd w:id="2302"/>
      <w:bookmarkEnd w:id="2303"/>
      <w:bookmarkEnd w:id="2304"/>
      <w:bookmarkEnd w:id="2305"/>
      <w:bookmarkEnd w:id="2306"/>
      <w:bookmarkStart w:id="2307" w:name="招标文件05章工程量清单01"/>
      <w:bookmarkEnd w:id="2307"/>
      <w:bookmarkStart w:id="2308" w:name="_Toc287607856"/>
      <w:bookmarkStart w:id="2309" w:name="_Toc287620798"/>
      <w:bookmarkStart w:id="2310" w:name="_Toc430530514"/>
      <w:bookmarkStart w:id="2311" w:name="_Toc224103477"/>
      <w:bookmarkStart w:id="2312" w:name="_Toc277082638"/>
    </w:p>
    <w:bookmarkEnd w:id="2308"/>
    <w:bookmarkEnd w:id="2309"/>
    <w:bookmarkEnd w:id="2310"/>
    <w:bookmarkEnd w:id="2311"/>
    <w:bookmarkEnd w:id="2312"/>
    <w:p>
      <w:pPr>
        <w:snapToGrid w:val="0"/>
        <w:spacing w:line="360" w:lineRule="auto"/>
        <w:jc w:val="center"/>
        <w:rPr>
          <w:rFonts w:ascii="宋体" w:hAnsi="宋体"/>
          <w:sz w:val="24"/>
        </w:rPr>
      </w:pPr>
    </w:p>
    <w:p>
      <w:pPr>
        <w:snapToGrid w:val="0"/>
        <w:spacing w:line="360" w:lineRule="auto"/>
        <w:jc w:val="center"/>
        <w:rPr>
          <w:rFonts w:ascii="宋体" w:hAnsi="宋体"/>
          <w:szCs w:val="21"/>
        </w:rPr>
      </w:pPr>
      <w:r>
        <w:rPr>
          <w:rFonts w:hint="eastAsia" w:ascii="宋体" w:hAnsi="宋体"/>
          <w:szCs w:val="20"/>
        </w:rPr>
        <w:t>在</w:t>
      </w:r>
      <w:r>
        <w:rPr>
          <w:rFonts w:hint="eastAsia" w:ascii="宋体" w:hAnsi="宋体"/>
          <w:szCs w:val="20"/>
          <w:u w:val="single"/>
        </w:rPr>
        <w:t>重庆市公共资源交易网</w:t>
      </w:r>
      <w:r>
        <w:rPr>
          <w:rFonts w:hint="eastAsia" w:ascii="宋体" w:hAnsi="宋体"/>
          <w:szCs w:val="20"/>
        </w:rPr>
        <w:t>下载。</w:t>
      </w:r>
    </w:p>
    <w:p>
      <w:pPr>
        <w:ind w:right="561"/>
        <w:rPr>
          <w:rFonts w:ascii="宋体" w:hAnsi="宋体"/>
          <w:szCs w:val="21"/>
        </w:rPr>
      </w:pPr>
      <w:r>
        <w:rPr>
          <w:rFonts w:ascii="宋体" w:hAnsi="宋体"/>
          <w:sz w:val="24"/>
        </w:rPr>
        <w:br w:type="page"/>
      </w:r>
    </w:p>
    <w:p>
      <w:pPr>
        <w:pStyle w:val="3"/>
        <w:spacing w:before="0" w:after="0" w:line="360" w:lineRule="auto"/>
        <w:jc w:val="center"/>
        <w:rPr>
          <w:rFonts w:ascii="宋体" w:hAnsi="宋体"/>
          <w:sz w:val="52"/>
          <w:szCs w:val="52"/>
        </w:rPr>
      </w:pPr>
      <w:bookmarkStart w:id="2313" w:name="_Toc1904"/>
      <w:bookmarkStart w:id="2314" w:name="_Toc534185823"/>
      <w:bookmarkStart w:id="2315" w:name="_Toc14382"/>
      <w:bookmarkStart w:id="2316" w:name="_Toc509218844"/>
      <w:r>
        <w:rPr>
          <w:rFonts w:ascii="宋体" w:hAnsi="宋体"/>
          <w:sz w:val="52"/>
          <w:szCs w:val="52"/>
        </w:rPr>
        <w:t>第 二 卷</w:t>
      </w:r>
      <w:bookmarkEnd w:id="2313"/>
      <w:bookmarkEnd w:id="2314"/>
      <w:bookmarkEnd w:id="2315"/>
      <w:bookmarkEnd w:id="2316"/>
    </w:p>
    <w:p>
      <w:pPr>
        <w:spacing w:line="360" w:lineRule="auto"/>
        <w:rPr>
          <w:rFonts w:ascii="宋体" w:hAnsi="宋体"/>
          <w:szCs w:val="20"/>
        </w:rPr>
      </w:pPr>
      <w:r>
        <w:rPr>
          <w:rFonts w:ascii="宋体" w:hAnsi="宋体"/>
          <w:szCs w:val="20"/>
        </w:rPr>
        <w:br w:type="page"/>
      </w:r>
    </w:p>
    <w:p>
      <w:pPr>
        <w:pStyle w:val="3"/>
        <w:spacing w:line="360" w:lineRule="auto"/>
        <w:jc w:val="center"/>
        <w:rPr>
          <w:rFonts w:ascii="宋体" w:hAnsi="宋体"/>
        </w:rPr>
      </w:pPr>
      <w:bookmarkStart w:id="2317" w:name="招标文件06章图纸"/>
      <w:bookmarkEnd w:id="2317"/>
      <w:bookmarkStart w:id="2318" w:name="_Toc11625"/>
      <w:bookmarkStart w:id="2319" w:name="_Toc534185825"/>
      <w:bookmarkStart w:id="2320" w:name="_Toc287620803"/>
      <w:bookmarkStart w:id="2321" w:name="_Toc509218846"/>
      <w:bookmarkStart w:id="2322" w:name="_Toc287607861"/>
      <w:bookmarkStart w:id="2323" w:name="_Toc430530519"/>
      <w:bookmarkStart w:id="2324" w:name="_Toc27908"/>
      <w:r>
        <w:rPr>
          <w:rFonts w:hint="eastAsia" w:ascii="宋体" w:hAnsi="宋体"/>
        </w:rPr>
        <w:t>第六章  图纸</w:t>
      </w:r>
      <w:bookmarkEnd w:id="2318"/>
      <w:bookmarkEnd w:id="2319"/>
      <w:bookmarkEnd w:id="2320"/>
      <w:bookmarkEnd w:id="2321"/>
      <w:bookmarkEnd w:id="2322"/>
      <w:bookmarkEnd w:id="2323"/>
      <w:bookmarkEnd w:id="2324"/>
    </w:p>
    <w:p>
      <w:pPr>
        <w:spacing w:line="360" w:lineRule="auto"/>
        <w:jc w:val="center"/>
        <w:rPr>
          <w:rFonts w:ascii="宋体" w:hAnsi="宋体"/>
          <w:szCs w:val="20"/>
        </w:rPr>
      </w:pPr>
      <w:r>
        <w:rPr>
          <w:rFonts w:hint="eastAsia" w:ascii="宋体" w:hAnsi="宋体"/>
          <w:szCs w:val="20"/>
        </w:rPr>
        <w:t>在</w:t>
      </w:r>
      <w:r>
        <w:rPr>
          <w:rFonts w:hint="eastAsia" w:ascii="宋体" w:hAnsi="宋体"/>
          <w:szCs w:val="20"/>
          <w:u w:val="single"/>
        </w:rPr>
        <w:t>重庆市公共资源交易网</w:t>
      </w:r>
      <w:r>
        <w:rPr>
          <w:rFonts w:hint="eastAsia" w:ascii="宋体" w:hAnsi="宋体"/>
          <w:szCs w:val="20"/>
        </w:rPr>
        <w:t>下载。</w:t>
      </w:r>
    </w:p>
    <w:p>
      <w:pPr>
        <w:spacing w:line="360" w:lineRule="auto"/>
        <w:rPr>
          <w:rFonts w:ascii="宋体" w:hAnsi="宋体"/>
          <w:szCs w:val="20"/>
        </w:rPr>
      </w:pPr>
      <w:bookmarkStart w:id="2325" w:name="招标文件06章图纸01"/>
      <w:bookmarkEnd w:id="2325"/>
      <w:bookmarkStart w:id="2326" w:name="_Toc287620804"/>
      <w:bookmarkStart w:id="2327" w:name="_Toc430530520"/>
    </w:p>
    <w:bookmarkEnd w:id="2326"/>
    <w:bookmarkEnd w:id="2327"/>
    <w:p>
      <w:pPr>
        <w:spacing w:line="360" w:lineRule="auto"/>
        <w:rPr>
          <w:rFonts w:ascii="宋体" w:hAnsi="宋体"/>
        </w:rPr>
      </w:pPr>
      <w:r>
        <w:rPr>
          <w:rFonts w:ascii="宋体" w:hAnsi="宋体"/>
          <w:szCs w:val="20"/>
        </w:rPr>
        <w:br w:type="page"/>
      </w:r>
    </w:p>
    <w:p>
      <w:pPr>
        <w:pStyle w:val="3"/>
        <w:spacing w:before="0" w:after="0" w:line="360" w:lineRule="auto"/>
        <w:jc w:val="center"/>
        <w:rPr>
          <w:rFonts w:ascii="宋体" w:hAnsi="宋体"/>
          <w:sz w:val="52"/>
          <w:szCs w:val="52"/>
        </w:rPr>
      </w:pPr>
      <w:bookmarkStart w:id="2328" w:name="_Toc7492"/>
      <w:bookmarkStart w:id="2329" w:name="_Toc25822"/>
      <w:r>
        <w:rPr>
          <w:rFonts w:hint="eastAsia" w:ascii="宋体" w:hAnsi="宋体"/>
          <w:sz w:val="52"/>
          <w:szCs w:val="52"/>
        </w:rPr>
        <w:t>第 三 卷</w:t>
      </w:r>
      <w:bookmarkEnd w:id="2328"/>
      <w:bookmarkEnd w:id="2329"/>
      <w:bookmarkStart w:id="2330" w:name="_Toc509218847"/>
      <w:bookmarkStart w:id="2331" w:name="_Toc534185826"/>
      <w:bookmarkStart w:id="2332" w:name="_Toc536797255"/>
      <w:bookmarkStart w:id="2333" w:name="_Toc536796986"/>
      <w:bookmarkStart w:id="2334" w:name="_Toc536797121"/>
      <w:bookmarkStart w:id="2335" w:name="_Toc536797390"/>
      <w:bookmarkStart w:id="2336" w:name="_Toc13211764"/>
      <w:bookmarkStart w:id="2337" w:name="_Toc536620100"/>
      <w:bookmarkStart w:id="2338" w:name="_Toc536628344"/>
      <w:bookmarkStart w:id="2339" w:name="_Toc536796850"/>
      <w:bookmarkStart w:id="2340" w:name="_Toc536619968"/>
      <w:bookmarkStart w:id="2341" w:name="_Toc13211206"/>
      <w:bookmarkStart w:id="2342" w:name="_Toc536621880"/>
      <w:bookmarkStart w:id="2343" w:name="_Toc13210772"/>
    </w:p>
    <w:bookmarkEnd w:id="2330"/>
    <w:p>
      <w:r>
        <w:br w:type="page"/>
      </w:r>
      <w:bookmarkEnd w:id="2331"/>
      <w:bookmarkEnd w:id="2332"/>
      <w:bookmarkEnd w:id="2333"/>
      <w:bookmarkEnd w:id="2334"/>
      <w:bookmarkEnd w:id="2335"/>
      <w:bookmarkEnd w:id="2336"/>
      <w:bookmarkEnd w:id="2337"/>
      <w:bookmarkEnd w:id="2338"/>
      <w:bookmarkEnd w:id="2339"/>
      <w:bookmarkEnd w:id="2340"/>
      <w:bookmarkEnd w:id="2341"/>
      <w:bookmarkEnd w:id="2342"/>
      <w:bookmarkEnd w:id="2343"/>
    </w:p>
    <w:p>
      <w:pPr>
        <w:pStyle w:val="3"/>
        <w:spacing w:line="360" w:lineRule="auto"/>
        <w:jc w:val="center"/>
        <w:rPr>
          <w:rFonts w:ascii="宋体" w:hAnsi="宋体"/>
        </w:rPr>
      </w:pPr>
      <w:bookmarkStart w:id="2344" w:name="招标文件07章技术标准和要求"/>
      <w:bookmarkEnd w:id="2344"/>
      <w:bookmarkStart w:id="2345" w:name="_Toc18321"/>
      <w:bookmarkStart w:id="2346" w:name="_Toc12972"/>
      <w:r>
        <w:rPr>
          <w:rFonts w:ascii="宋体" w:hAnsi="宋体"/>
        </w:rPr>
        <w:t>第七章</w:t>
      </w:r>
      <w:r>
        <w:rPr>
          <w:rFonts w:hint="eastAsia" w:ascii="宋体" w:hAnsi="宋体"/>
        </w:rPr>
        <w:t xml:space="preserve">  </w:t>
      </w:r>
      <w:r>
        <w:rPr>
          <w:rFonts w:ascii="宋体" w:hAnsi="宋体"/>
        </w:rPr>
        <w:t>技术标准和要求</w:t>
      </w:r>
      <w:bookmarkEnd w:id="2345"/>
      <w:bookmarkEnd w:id="2346"/>
      <w:bookmarkStart w:id="2347" w:name="招标文件07章技术标准和要求01"/>
      <w:bookmarkEnd w:id="2347"/>
      <w:bookmarkStart w:id="2348" w:name="_Toc430530524"/>
      <w:bookmarkStart w:id="2349" w:name="_Toc287620808"/>
    </w:p>
    <w:bookmarkEnd w:id="2348"/>
    <w:bookmarkEnd w:id="2349"/>
    <w:p>
      <w:pPr>
        <w:spacing w:line="360" w:lineRule="auto"/>
        <w:jc w:val="center"/>
        <w:rPr>
          <w:rStyle w:val="54"/>
        </w:rPr>
      </w:pPr>
      <w:r>
        <w:rPr>
          <w:rFonts w:ascii="宋体" w:hAnsi="宋体"/>
          <w:szCs w:val="21"/>
        </w:rPr>
        <w:t>由招标人根据招标项目的实际情况编写</w:t>
      </w:r>
      <w:r>
        <w:rPr>
          <w:rFonts w:hint="eastAsia" w:ascii="宋体" w:hAnsi="宋体"/>
          <w:szCs w:val="21"/>
        </w:rPr>
        <w:t>（如有）。</w:t>
      </w:r>
    </w:p>
    <w:p>
      <w:pPr>
        <w:spacing w:line="360" w:lineRule="auto"/>
        <w:rPr>
          <w:rFonts w:ascii="宋体" w:hAnsi="宋体"/>
        </w:rPr>
      </w:pPr>
      <w:r>
        <w:rPr>
          <w:rFonts w:ascii="宋体" w:hAnsi="宋体"/>
        </w:rPr>
        <w:br w:type="page"/>
      </w:r>
    </w:p>
    <w:p>
      <w:pPr>
        <w:pStyle w:val="3"/>
        <w:spacing w:before="0" w:after="0" w:line="360" w:lineRule="auto"/>
        <w:jc w:val="center"/>
        <w:rPr>
          <w:rFonts w:ascii="宋体" w:hAnsi="宋体"/>
          <w:sz w:val="52"/>
          <w:szCs w:val="52"/>
        </w:rPr>
      </w:pPr>
      <w:bookmarkStart w:id="2350" w:name="_Toc509218849"/>
      <w:bookmarkStart w:id="2351" w:name="_Toc2213"/>
      <w:bookmarkStart w:id="2352" w:name="_Toc13493"/>
      <w:bookmarkStart w:id="2353" w:name="_Toc534185827"/>
      <w:r>
        <w:rPr>
          <w:rFonts w:ascii="宋体" w:hAnsi="宋体"/>
          <w:sz w:val="52"/>
          <w:szCs w:val="52"/>
        </w:rPr>
        <w:t>第 四 卷</w:t>
      </w:r>
      <w:bookmarkEnd w:id="2350"/>
      <w:bookmarkEnd w:id="2351"/>
      <w:bookmarkEnd w:id="2352"/>
      <w:bookmarkEnd w:id="2353"/>
      <w:bookmarkStart w:id="2354" w:name="_Toc536628347"/>
      <w:bookmarkStart w:id="2355" w:name="_Toc509218850"/>
      <w:bookmarkStart w:id="2356" w:name="_Toc536797393"/>
      <w:bookmarkStart w:id="2357" w:name="_Toc13210775"/>
      <w:bookmarkStart w:id="2358" w:name="_Toc536620102"/>
      <w:bookmarkStart w:id="2359" w:name="_Toc534185828"/>
      <w:bookmarkStart w:id="2360" w:name="_Toc536796853"/>
      <w:bookmarkStart w:id="2361" w:name="_Toc536797258"/>
      <w:bookmarkStart w:id="2362" w:name="_Toc536797124"/>
      <w:bookmarkStart w:id="2363" w:name="_Toc13211209"/>
      <w:bookmarkStart w:id="2364" w:name="_Toc536621883"/>
      <w:bookmarkStart w:id="2365" w:name="_Toc536796989"/>
      <w:bookmarkStart w:id="2366" w:name="_Toc13211767"/>
      <w:bookmarkStart w:id="2367" w:name="_Toc536619970"/>
    </w:p>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p>
      <w:r>
        <w:br w:type="page"/>
      </w:r>
      <w:bookmarkStart w:id="2368" w:name="招标文件08章投标文件格式"/>
      <w:bookmarkEnd w:id="2368"/>
      <w:bookmarkStart w:id="2369" w:name="_Toc287607865"/>
      <w:bookmarkStart w:id="2370" w:name="_Toc287620812"/>
    </w:p>
    <w:p>
      <w:pPr>
        <w:pStyle w:val="3"/>
        <w:spacing w:line="360" w:lineRule="auto"/>
        <w:jc w:val="center"/>
        <w:rPr>
          <w:rFonts w:ascii="宋体" w:hAnsi="宋体"/>
        </w:rPr>
      </w:pPr>
      <w:bookmarkStart w:id="2371" w:name="_Toc23619"/>
      <w:bookmarkStart w:id="2372" w:name="_Toc430530528"/>
      <w:bookmarkStart w:id="2373" w:name="_Toc509218852"/>
      <w:bookmarkStart w:id="2374" w:name="_Toc27161"/>
      <w:bookmarkStart w:id="2375" w:name="_Toc534185829"/>
      <w:r>
        <w:rPr>
          <w:rFonts w:hint="eastAsia" w:ascii="宋体" w:hAnsi="宋体"/>
        </w:rPr>
        <w:t>第八章  投标文件格式</w:t>
      </w:r>
      <w:bookmarkEnd w:id="2369"/>
      <w:bookmarkEnd w:id="2370"/>
      <w:bookmarkEnd w:id="2371"/>
      <w:bookmarkEnd w:id="2372"/>
      <w:bookmarkEnd w:id="2373"/>
      <w:bookmarkEnd w:id="2374"/>
      <w:bookmarkEnd w:id="2375"/>
    </w:p>
    <w:p>
      <w:pPr>
        <w:spacing w:line="360" w:lineRule="auto"/>
        <w:rPr>
          <w:rFonts w:ascii="宋体" w:hAnsi="宋体"/>
          <w:sz w:val="32"/>
          <w:szCs w:val="32"/>
        </w:rPr>
      </w:pPr>
    </w:p>
    <w:p>
      <w:pPr>
        <w:spacing w:line="360" w:lineRule="auto"/>
        <w:jc w:val="center"/>
        <w:rPr>
          <w:rFonts w:ascii="宋体" w:hAnsi="宋体"/>
          <w:sz w:val="36"/>
          <w:szCs w:val="36"/>
        </w:rPr>
      </w:pPr>
      <w:r>
        <w:rPr>
          <w:rFonts w:ascii="宋体" w:hAnsi="宋体"/>
          <w:szCs w:val="20"/>
        </w:rPr>
        <w:br w:type="page"/>
      </w:r>
      <w:bookmarkStart w:id="2376" w:name="_Toc224103493"/>
      <w:r>
        <w:rPr>
          <w:rFonts w:hint="eastAsia" w:ascii="宋体" w:hAnsi="宋体"/>
          <w:sz w:val="36"/>
          <w:szCs w:val="36"/>
        </w:rPr>
        <w:t>目  录</w:t>
      </w:r>
      <w:bookmarkEnd w:id="2376"/>
    </w:p>
    <w:p>
      <w:pPr>
        <w:spacing w:line="360" w:lineRule="auto"/>
        <w:jc w:val="center"/>
        <w:rPr>
          <w:rFonts w:ascii="宋体" w:hAnsi="宋体"/>
          <w:szCs w:val="20"/>
        </w:rPr>
      </w:pPr>
    </w:p>
    <w:p>
      <w:pPr>
        <w:spacing w:line="360" w:lineRule="auto"/>
        <w:rPr>
          <w:rFonts w:ascii="宋体" w:hAnsi="宋体"/>
          <w:b/>
        </w:rPr>
      </w:pPr>
      <w:r>
        <w:rPr>
          <w:rFonts w:hint="eastAsia" w:ascii="宋体" w:hAnsi="宋体"/>
          <w:b/>
        </w:rPr>
        <w:t>一</w:t>
      </w:r>
      <w:r>
        <w:rPr>
          <w:rFonts w:ascii="宋体" w:hAnsi="宋体"/>
          <w:b/>
        </w:rPr>
        <w:t>、投标函部分</w:t>
      </w:r>
    </w:p>
    <w:p>
      <w:pPr>
        <w:spacing w:line="360" w:lineRule="auto"/>
        <w:ind w:firstLine="420" w:firstLineChars="200"/>
        <w:rPr>
          <w:rFonts w:ascii="宋体" w:hAnsi="宋体"/>
        </w:rPr>
      </w:pPr>
      <w:r>
        <w:rPr>
          <w:rFonts w:ascii="宋体" w:hAnsi="宋体"/>
        </w:rPr>
        <w:t>（一）投标函</w:t>
      </w:r>
    </w:p>
    <w:p>
      <w:pPr>
        <w:spacing w:line="360" w:lineRule="auto"/>
        <w:ind w:firstLine="420" w:firstLineChars="200"/>
        <w:rPr>
          <w:rFonts w:ascii="宋体" w:hAnsi="宋体"/>
        </w:rPr>
      </w:pPr>
      <w:r>
        <w:rPr>
          <w:rFonts w:ascii="宋体" w:hAnsi="宋体"/>
        </w:rPr>
        <w:t>（二）投标函附录</w:t>
      </w:r>
    </w:p>
    <w:p>
      <w:pPr>
        <w:spacing w:line="360" w:lineRule="auto"/>
        <w:ind w:firstLine="420" w:firstLineChars="200"/>
        <w:rPr>
          <w:rFonts w:ascii="宋体" w:hAnsi="宋体"/>
        </w:rPr>
      </w:pPr>
      <w:r>
        <w:rPr>
          <w:rFonts w:ascii="宋体" w:hAnsi="宋体"/>
        </w:rPr>
        <w:t>（三）</w:t>
      </w:r>
      <w:r>
        <w:rPr>
          <w:rFonts w:hint="eastAsia" w:ascii="宋体" w:hAnsi="宋体"/>
        </w:rPr>
        <w:t>法定代表人身份证明或授权委托书</w:t>
      </w:r>
    </w:p>
    <w:p>
      <w:pPr>
        <w:spacing w:line="360" w:lineRule="auto"/>
        <w:ind w:firstLine="420" w:firstLineChars="200"/>
        <w:rPr>
          <w:rFonts w:ascii="宋体" w:hAnsi="宋体"/>
        </w:rPr>
      </w:pPr>
      <w:r>
        <w:rPr>
          <w:rFonts w:ascii="宋体" w:hAnsi="宋体"/>
        </w:rPr>
        <w:t>（四）</w:t>
      </w:r>
      <w:r>
        <w:rPr>
          <w:rFonts w:hint="eastAsia" w:ascii="宋体" w:hAnsi="宋体"/>
          <w:lang w:val="en-US" w:eastAsia="zh-CN"/>
        </w:rPr>
        <w:t>投标报价合理性说明</w:t>
      </w:r>
      <w:r>
        <w:rPr>
          <w:rFonts w:hint="eastAsia" w:ascii="宋体" w:hAnsi="宋体"/>
        </w:rPr>
        <w:t>（如有）</w:t>
      </w:r>
    </w:p>
    <w:p>
      <w:pPr>
        <w:spacing w:line="360" w:lineRule="auto"/>
        <w:rPr>
          <w:rFonts w:ascii="宋体" w:hAnsi="宋体"/>
          <w:b/>
        </w:rPr>
      </w:pPr>
      <w:r>
        <w:rPr>
          <w:rFonts w:hint="eastAsia" w:ascii="宋体" w:hAnsi="宋体"/>
          <w:b/>
        </w:rPr>
        <w:t>二</w:t>
      </w:r>
      <w:r>
        <w:rPr>
          <w:rFonts w:ascii="宋体" w:hAnsi="宋体"/>
          <w:b/>
        </w:rPr>
        <w:t>、</w:t>
      </w:r>
      <w:r>
        <w:rPr>
          <w:rFonts w:hint="eastAsia" w:ascii="宋体" w:hAnsi="宋体"/>
          <w:b/>
          <w:lang w:val="en-US" w:eastAsia="zh-CN"/>
        </w:rPr>
        <w:t>报价</w:t>
      </w:r>
      <w:r>
        <w:rPr>
          <w:rFonts w:ascii="宋体" w:hAnsi="宋体"/>
          <w:b/>
        </w:rPr>
        <w:t>部分</w:t>
      </w:r>
    </w:p>
    <w:p>
      <w:pPr>
        <w:spacing w:line="360" w:lineRule="auto"/>
        <w:ind w:firstLine="420" w:firstLineChars="200"/>
        <w:rPr>
          <w:rFonts w:ascii="宋体" w:hAnsi="宋体"/>
        </w:rPr>
      </w:pPr>
      <w:r>
        <w:rPr>
          <w:rFonts w:ascii="宋体" w:hAnsi="宋体"/>
        </w:rPr>
        <w:t>已标价工程量清单</w:t>
      </w:r>
    </w:p>
    <w:p>
      <w:pPr>
        <w:spacing w:line="360" w:lineRule="auto"/>
        <w:rPr>
          <w:rFonts w:ascii="宋体" w:hAnsi="宋体"/>
          <w:b/>
        </w:rPr>
      </w:pPr>
      <w:r>
        <w:rPr>
          <w:rFonts w:hint="eastAsia" w:ascii="宋体" w:hAnsi="宋体"/>
          <w:b/>
          <w:lang w:val="en-US" w:eastAsia="zh-CN"/>
        </w:rPr>
        <w:t>三</w:t>
      </w:r>
      <w:r>
        <w:rPr>
          <w:rFonts w:ascii="宋体" w:hAnsi="宋体"/>
          <w:b/>
        </w:rPr>
        <w:t>、</w:t>
      </w:r>
      <w:r>
        <w:rPr>
          <w:rFonts w:hint="eastAsia" w:ascii="宋体" w:hAnsi="宋体"/>
          <w:b/>
          <w:lang w:val="en-US" w:eastAsia="zh-CN"/>
        </w:rPr>
        <w:t>商务</w:t>
      </w:r>
      <w:r>
        <w:rPr>
          <w:rFonts w:ascii="宋体" w:hAnsi="宋体"/>
          <w:b/>
        </w:rPr>
        <w:t>部分（</w:t>
      </w:r>
      <w:r>
        <w:rPr>
          <w:rFonts w:hint="eastAsia" w:ascii="宋体" w:hAnsi="宋体"/>
          <w:b/>
          <w:lang w:val="en-US" w:eastAsia="zh-CN"/>
        </w:rPr>
        <w:t>如有</w:t>
      </w:r>
      <w:r>
        <w:rPr>
          <w:rFonts w:ascii="宋体" w:hAnsi="宋体"/>
          <w:b/>
        </w:rPr>
        <w:t>）</w:t>
      </w:r>
    </w:p>
    <w:p>
      <w:pPr>
        <w:spacing w:line="360" w:lineRule="auto"/>
        <w:rPr>
          <w:rFonts w:ascii="宋体" w:hAnsi="宋体"/>
          <w:b/>
        </w:rPr>
      </w:pPr>
      <w:r>
        <w:rPr>
          <w:rFonts w:hint="eastAsia" w:ascii="宋体" w:hAnsi="宋体"/>
          <w:b/>
          <w:lang w:val="en-US" w:eastAsia="zh-CN"/>
        </w:rPr>
        <w:t>四</w:t>
      </w:r>
      <w:r>
        <w:rPr>
          <w:rFonts w:ascii="宋体" w:hAnsi="宋体"/>
          <w:b/>
        </w:rPr>
        <w:t>、技术部分（</w:t>
      </w:r>
      <w:r>
        <w:rPr>
          <w:rFonts w:hint="eastAsia" w:ascii="宋体" w:hAnsi="宋体"/>
          <w:b/>
          <w:lang w:val="en-US" w:eastAsia="zh-CN"/>
        </w:rPr>
        <w:t>如有</w:t>
      </w:r>
      <w:r>
        <w:rPr>
          <w:rFonts w:ascii="宋体" w:hAnsi="宋体"/>
          <w:b/>
        </w:rPr>
        <w:t>）</w:t>
      </w:r>
    </w:p>
    <w:p>
      <w:pPr>
        <w:spacing w:line="360" w:lineRule="auto"/>
        <w:rPr>
          <w:rFonts w:ascii="宋体" w:hAnsi="宋体"/>
          <w:b/>
        </w:rPr>
      </w:pPr>
      <w:r>
        <w:rPr>
          <w:rFonts w:hint="eastAsia" w:ascii="宋体" w:hAnsi="宋体"/>
          <w:b/>
          <w:lang w:val="en-US" w:eastAsia="zh-CN"/>
        </w:rPr>
        <w:t>五</w:t>
      </w:r>
      <w:r>
        <w:rPr>
          <w:rFonts w:ascii="宋体" w:hAnsi="宋体"/>
          <w:b/>
        </w:rPr>
        <w:t>、</w:t>
      </w:r>
      <w:r>
        <w:rPr>
          <w:rFonts w:hint="eastAsia" w:ascii="宋体" w:hAnsi="宋体"/>
          <w:b/>
        </w:rPr>
        <w:t>资格审查部分</w:t>
      </w:r>
    </w:p>
    <w:p>
      <w:pPr>
        <w:spacing w:line="360" w:lineRule="auto"/>
        <w:ind w:firstLine="420" w:firstLineChars="200"/>
        <w:rPr>
          <w:rFonts w:ascii="宋体" w:hAnsi="宋体"/>
        </w:rPr>
      </w:pPr>
      <w:r>
        <w:rPr>
          <w:rFonts w:ascii="宋体" w:hAnsi="宋体"/>
        </w:rPr>
        <w:t>（一）</w:t>
      </w:r>
      <w:r>
        <w:rPr>
          <w:rFonts w:hint="eastAsia" w:ascii="宋体" w:hAnsi="宋体"/>
        </w:rPr>
        <w:t>法定代表人身份证明或授权委托书</w:t>
      </w:r>
    </w:p>
    <w:p>
      <w:pPr>
        <w:spacing w:line="360" w:lineRule="auto"/>
        <w:ind w:firstLine="420" w:firstLineChars="200"/>
        <w:rPr>
          <w:rFonts w:ascii="宋体" w:hAnsi="宋体"/>
        </w:rPr>
      </w:pPr>
      <w:r>
        <w:rPr>
          <w:rFonts w:ascii="宋体" w:hAnsi="宋体"/>
        </w:rPr>
        <w:t>（二）</w:t>
      </w:r>
      <w:r>
        <w:rPr>
          <w:rFonts w:hint="eastAsia" w:ascii="宋体" w:hAnsi="宋体"/>
          <w:lang w:val="en-US" w:eastAsia="zh-CN"/>
        </w:rPr>
        <w:t>共同投标协议</w:t>
      </w:r>
      <w:r>
        <w:rPr>
          <w:rFonts w:hint="eastAsia" w:ascii="宋体" w:hAnsi="宋体"/>
        </w:rPr>
        <w:t>（如有）</w:t>
      </w:r>
    </w:p>
    <w:p>
      <w:pPr>
        <w:spacing w:line="360" w:lineRule="auto"/>
        <w:ind w:firstLine="420" w:firstLineChars="200"/>
        <w:rPr>
          <w:rFonts w:ascii="宋体" w:hAnsi="宋体"/>
        </w:rPr>
      </w:pPr>
      <w:r>
        <w:rPr>
          <w:rFonts w:ascii="宋体" w:hAnsi="宋体"/>
        </w:rPr>
        <w:t>（三）</w:t>
      </w:r>
      <w:r>
        <w:rPr>
          <w:rFonts w:hint="eastAsia" w:ascii="宋体" w:hAnsi="宋体"/>
        </w:rPr>
        <w:t>承诺</w:t>
      </w:r>
    </w:p>
    <w:p>
      <w:pPr>
        <w:spacing w:line="360" w:lineRule="auto"/>
        <w:ind w:firstLine="420" w:firstLineChars="200"/>
        <w:rPr>
          <w:rFonts w:ascii="宋体" w:hAnsi="宋体"/>
        </w:rPr>
      </w:pPr>
      <w:r>
        <w:rPr>
          <w:rFonts w:ascii="宋体" w:hAnsi="宋体"/>
        </w:rPr>
        <w:t>（</w:t>
      </w:r>
      <w:r>
        <w:rPr>
          <w:rFonts w:hint="eastAsia" w:ascii="宋体" w:hAnsi="宋体"/>
          <w:lang w:val="en-US" w:eastAsia="zh-CN"/>
        </w:rPr>
        <w:t>四</w:t>
      </w:r>
      <w:r>
        <w:rPr>
          <w:rFonts w:ascii="宋体" w:hAnsi="宋体"/>
        </w:rPr>
        <w:t>）其他资料</w:t>
      </w:r>
    </w:p>
    <w:p>
      <w:pPr>
        <w:autoSpaceDE w:val="0"/>
        <w:autoSpaceDN w:val="0"/>
        <w:adjustRightInd w:val="0"/>
        <w:spacing w:line="276" w:lineRule="auto"/>
        <w:ind w:right="-23"/>
        <w:jc w:val="left"/>
        <w:rPr>
          <w:rFonts w:ascii="宋体" w:hAnsi="宋体"/>
          <w:kern w:val="0"/>
          <w:szCs w:val="21"/>
          <w:u w:val="single"/>
        </w:rPr>
      </w:pPr>
      <w:r>
        <w:rPr>
          <w:rFonts w:ascii="宋体" w:hAnsi="宋体"/>
          <w:b/>
          <w:kern w:val="0"/>
          <w:sz w:val="24"/>
        </w:rPr>
        <w:br w:type="page"/>
      </w:r>
      <w:bookmarkStart w:id="2377" w:name="_Toc287607866"/>
      <w:bookmarkStart w:id="2378" w:name="_Toc430530529"/>
      <w:bookmarkStart w:id="2379" w:name="_Toc224103494"/>
      <w:bookmarkStart w:id="2380" w:name="_Toc287620813"/>
      <w:bookmarkStart w:id="2381" w:name="_Toc277082642"/>
    </w:p>
    <w:p>
      <w:pPr>
        <w:pStyle w:val="4"/>
        <w:spacing w:line="360" w:lineRule="auto"/>
        <w:jc w:val="center"/>
        <w:rPr>
          <w:rFonts w:ascii="宋体" w:hAnsi="宋体"/>
          <w:b w:val="0"/>
          <w:bCs w:val="0"/>
          <w:sz w:val="44"/>
          <w:szCs w:val="44"/>
        </w:rPr>
      </w:pPr>
      <w:bookmarkStart w:id="2382" w:name="_Toc27093"/>
      <w:bookmarkStart w:id="2383" w:name="_Toc19604"/>
      <w:r>
        <w:rPr>
          <w:rFonts w:hint="eastAsia" w:ascii="宋体" w:hAnsi="宋体"/>
          <w:b w:val="0"/>
          <w:bCs w:val="0"/>
          <w:sz w:val="44"/>
          <w:szCs w:val="44"/>
        </w:rPr>
        <w:t>一、投标函部分</w:t>
      </w:r>
      <w:bookmarkEnd w:id="2377"/>
      <w:bookmarkEnd w:id="2378"/>
      <w:bookmarkEnd w:id="2379"/>
      <w:bookmarkEnd w:id="2380"/>
      <w:bookmarkEnd w:id="2381"/>
      <w:bookmarkEnd w:id="2382"/>
      <w:bookmarkEnd w:id="2383"/>
    </w:p>
    <w:p>
      <w:pPr>
        <w:tabs>
          <w:tab w:val="left" w:pos="2580"/>
          <w:tab w:val="left" w:pos="5940"/>
        </w:tabs>
        <w:autoSpaceDE w:val="0"/>
        <w:autoSpaceDN w:val="0"/>
        <w:adjustRightInd w:val="0"/>
        <w:snapToGrid w:val="0"/>
        <w:spacing w:line="360" w:lineRule="auto"/>
        <w:jc w:val="left"/>
        <w:rPr>
          <w:rFonts w:ascii="宋体" w:hAnsi="宋体"/>
          <w:kern w:val="0"/>
          <w:sz w:val="28"/>
          <w:szCs w:val="28"/>
          <w:u w:val="single"/>
        </w:rPr>
      </w:pPr>
      <w:r>
        <w:rPr>
          <w:rFonts w:ascii="宋体" w:hAnsi="宋体"/>
          <w:kern w:val="0"/>
          <w:sz w:val="28"/>
          <w:szCs w:val="28"/>
          <w:u w:val="single"/>
        </w:rPr>
        <w:br w:type="page"/>
      </w:r>
    </w:p>
    <w:p>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投标函部分</w:t>
      </w: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签名</w:t>
      </w:r>
      <w:r>
        <w:rPr>
          <w:rFonts w:ascii="宋体" w:hAnsi="宋体"/>
          <w:w w:val="99"/>
          <w:kern w:val="0"/>
          <w:sz w:val="28"/>
          <w:szCs w:val="28"/>
        </w:rPr>
        <w:t>或盖章）</w:t>
      </w:r>
    </w:p>
    <w:p>
      <w:pPr>
        <w:autoSpaceDE w:val="0"/>
        <w:autoSpaceDN w:val="0"/>
        <w:adjustRightInd w:val="0"/>
        <w:snapToGrid w:val="0"/>
        <w:spacing w:line="360" w:lineRule="auto"/>
        <w:jc w:val="center"/>
        <w:rPr>
          <w:rFonts w:ascii="宋体" w:hAnsi="宋体"/>
          <w:kern w:val="0"/>
          <w:sz w:val="24"/>
          <w:szCs w:val="21"/>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r>
        <w:rPr>
          <w:rFonts w:ascii="宋体" w:hAnsi="宋体"/>
          <w:kern w:val="0"/>
          <w:sz w:val="24"/>
          <w:szCs w:val="21"/>
        </w:rPr>
        <w:br w:type="page"/>
      </w: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 w:val="24"/>
          <w:szCs w:val="21"/>
        </w:rPr>
      </w:pP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（一）投标函</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（二）投标函附录</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（三）</w:t>
      </w:r>
      <w:r>
        <w:rPr>
          <w:rFonts w:hint="eastAsia" w:ascii="宋体" w:hAnsi="宋体"/>
          <w:kern w:val="0"/>
          <w:sz w:val="24"/>
        </w:rPr>
        <w:t>法定代表人身份证明或授权委托书</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（四）</w:t>
      </w:r>
      <w:r>
        <w:rPr>
          <w:rFonts w:hint="eastAsia" w:ascii="宋体" w:hAnsi="宋体"/>
          <w:kern w:val="0"/>
          <w:sz w:val="24"/>
        </w:rPr>
        <w:t>投标报价合理性说明（如有）</w:t>
      </w:r>
    </w:p>
    <w:p>
      <w:pPr>
        <w:pStyle w:val="5"/>
        <w:spacing w:before="0" w:after="0" w:line="240" w:lineRule="auto"/>
        <w:jc w:val="center"/>
        <w:rPr>
          <w:rFonts w:ascii="宋体" w:hAnsi="宋体"/>
          <w:b w:val="0"/>
        </w:rPr>
      </w:pPr>
      <w:bookmarkStart w:id="2384" w:name="_Toc287620814"/>
      <w:bookmarkStart w:id="2385" w:name="_Toc287607867"/>
      <w:bookmarkStart w:id="2386" w:name="_Toc224103495"/>
      <w:bookmarkStart w:id="2387" w:name="_Toc509218854"/>
      <w:bookmarkStart w:id="2388" w:name="_Toc277082643"/>
      <w:bookmarkStart w:id="2389" w:name="_Toc430530530"/>
      <w:bookmarkStart w:id="2390" w:name="_Toc534185831"/>
      <w:r>
        <w:rPr>
          <w:rFonts w:ascii="宋体" w:hAnsi="宋体"/>
        </w:rPr>
        <w:br w:type="page"/>
      </w:r>
      <w:bookmarkStart w:id="2391" w:name="_Toc21453"/>
      <w:bookmarkStart w:id="2392" w:name="_Toc27359"/>
      <w:r>
        <w:rPr>
          <w:rFonts w:hint="eastAsia" w:ascii="宋体" w:hAnsi="宋体"/>
          <w:b w:val="0"/>
          <w:bCs w:val="0"/>
        </w:rPr>
        <w:t>（一）投标函</w:t>
      </w:r>
      <w:bookmarkEnd w:id="2384"/>
      <w:bookmarkEnd w:id="2385"/>
      <w:bookmarkEnd w:id="2386"/>
      <w:bookmarkEnd w:id="2387"/>
      <w:bookmarkEnd w:id="2388"/>
      <w:bookmarkEnd w:id="2389"/>
      <w:bookmarkEnd w:id="2390"/>
      <w:bookmarkEnd w:id="2391"/>
      <w:bookmarkEnd w:id="2392"/>
    </w:p>
    <w:p>
      <w:pPr>
        <w:tabs>
          <w:tab w:val="left" w:pos="2640"/>
        </w:tabs>
        <w:autoSpaceDE w:val="0"/>
        <w:autoSpaceDN w:val="0"/>
        <w:adjustRightInd w:val="0"/>
        <w:spacing w:line="400" w:lineRule="exact"/>
        <w:rPr>
          <w:rFonts w:ascii="宋体" w:hAnsi="宋体"/>
          <w:snapToGrid w:val="0"/>
          <w:kern w:val="0"/>
          <w:szCs w:val="21"/>
        </w:rPr>
      </w:pPr>
      <w:r>
        <w:rPr>
          <w:rFonts w:ascii="宋体" w:hAnsi="宋体"/>
          <w:snapToGrid w:val="0"/>
          <w:kern w:val="0"/>
          <w:szCs w:val="21"/>
          <w:u w:val="single"/>
        </w:rPr>
        <w:tab/>
      </w:r>
      <w:r>
        <w:rPr>
          <w:rFonts w:ascii="宋体" w:hAnsi="宋体"/>
          <w:snapToGrid w:val="0"/>
          <w:kern w:val="0"/>
          <w:szCs w:val="21"/>
          <w:u w:val="single"/>
        </w:rPr>
        <w:t>（招标人名称）</w:t>
      </w:r>
      <w:r>
        <w:rPr>
          <w:rFonts w:ascii="宋体" w:hAnsi="宋体"/>
          <w:snapToGrid w:val="0"/>
          <w:kern w:val="0"/>
          <w:szCs w:val="21"/>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u w:val="single"/>
        </w:rPr>
        <w:t>（项目名称）</w:t>
      </w:r>
      <w:r>
        <w:rPr>
          <w:rFonts w:ascii="宋体" w:hAnsi="宋体"/>
          <w:snapToGrid w:val="0"/>
          <w:kern w:val="0"/>
          <w:szCs w:val="21"/>
        </w:rPr>
        <w:t>招标文件的全部内容，愿意以人民币（大写）</w:t>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u w:val="single"/>
        </w:rPr>
        <w:t xml:space="preserve">    </w:t>
      </w:r>
      <w:r>
        <w:rPr>
          <w:rFonts w:ascii="宋体" w:hAnsi="宋体"/>
          <w:snapToGrid w:val="0"/>
          <w:kern w:val="0"/>
          <w:szCs w:val="21"/>
        </w:rPr>
        <w:t>）的投标总报价进行报价，其中</w:t>
      </w:r>
      <w:r>
        <w:rPr>
          <w:rFonts w:ascii="宋体" w:hAnsi="宋体"/>
          <w:snapToGrid w:val="0"/>
          <w:kern w:val="0"/>
        </w:rPr>
        <w:t>安全文明施工费暂定金额为人民币</w:t>
      </w:r>
      <w:r>
        <w:rPr>
          <w:rFonts w:ascii="宋体" w:hAnsi="宋体"/>
          <w:snapToGrid w:val="0"/>
          <w:kern w:val="0"/>
          <w:szCs w:val="21"/>
        </w:rPr>
        <w:t>（大写）</w:t>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u w:val="single"/>
        </w:rPr>
        <w:t xml:space="preserve">    </w:t>
      </w:r>
      <w:r>
        <w:rPr>
          <w:rFonts w:ascii="宋体" w:hAnsi="宋体"/>
          <w:snapToGrid w:val="0"/>
          <w:kern w:val="0"/>
          <w:szCs w:val="21"/>
        </w:rPr>
        <w:t>），该工程</w:t>
      </w:r>
      <w:r>
        <w:rPr>
          <w:rFonts w:ascii="宋体" w:hAnsi="宋体"/>
          <w:snapToGrid w:val="0"/>
          <w:kern w:val="0"/>
        </w:rPr>
        <w:t>项目经理为</w:t>
      </w:r>
      <w:r>
        <w:rPr>
          <w:rFonts w:hint="eastAsia" w:ascii="宋体" w:hAnsi="宋体"/>
          <w:snapToGrid w:val="0"/>
          <w:kern w:val="0"/>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hint="eastAsia" w:ascii="宋体" w:hAnsi="宋体"/>
          <w:snapToGrid w:val="0"/>
          <w:kern w:val="0"/>
          <w:szCs w:val="21"/>
        </w:rPr>
        <w:t>；委托代理人为：</w:t>
      </w:r>
      <w:r>
        <w:rPr>
          <w:rFonts w:hint="eastAsia" w:ascii="宋体" w:hAnsi="宋体"/>
          <w:snapToGrid w:val="0"/>
          <w:kern w:val="0"/>
          <w:szCs w:val="21"/>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ascii="宋体" w:hAnsi="宋体"/>
          <w:snapToGrid w:val="0"/>
          <w:kern w:val="0"/>
          <w:szCs w:val="21"/>
        </w:rPr>
        <w:t>。工期</w:t>
      </w:r>
      <w:r>
        <w:rPr>
          <w:rFonts w:hint="eastAsia" w:ascii="宋体" w:hAnsi="宋体"/>
          <w:snapToGrid w:val="0"/>
          <w:kern w:val="0"/>
          <w:szCs w:val="21"/>
          <w:u w:val="single"/>
        </w:rPr>
        <w:t>达到招标文件的要求</w:t>
      </w:r>
      <w:r>
        <w:rPr>
          <w:rFonts w:ascii="宋体" w:hAnsi="宋体"/>
          <w:snapToGrid w:val="0"/>
          <w:kern w:val="0"/>
          <w:szCs w:val="21"/>
        </w:rPr>
        <w:t>，</w:t>
      </w:r>
      <w:r>
        <w:rPr>
          <w:rFonts w:hint="eastAsia" w:ascii="宋体" w:hAnsi="宋体"/>
          <w:snapToGrid w:val="0"/>
          <w:kern w:val="0"/>
          <w:szCs w:val="21"/>
        </w:rPr>
        <w:t>缺陷责任期</w:t>
      </w:r>
      <w:r>
        <w:rPr>
          <w:rFonts w:hint="eastAsia" w:ascii="宋体" w:hAnsi="宋体"/>
          <w:snapToGrid w:val="0"/>
          <w:kern w:val="0"/>
          <w:szCs w:val="21"/>
          <w:u w:val="single"/>
        </w:rPr>
        <w:t xml:space="preserve">        </w:t>
      </w:r>
      <w:r>
        <w:rPr>
          <w:rFonts w:hint="eastAsia" w:ascii="宋体" w:hAnsi="宋体"/>
          <w:snapToGrid w:val="0"/>
          <w:kern w:val="0"/>
          <w:szCs w:val="21"/>
        </w:rPr>
        <w:t>，</w:t>
      </w:r>
      <w:r>
        <w:rPr>
          <w:rFonts w:ascii="宋体" w:hAnsi="宋体"/>
          <w:snapToGrid w:val="0"/>
          <w:kern w:val="0"/>
          <w:szCs w:val="21"/>
        </w:rPr>
        <w:t xml:space="preserve"> 按合同约定实施和完成承包工程，修补工程中的任何缺陷，工程质量</w:t>
      </w:r>
      <w:r>
        <w:rPr>
          <w:rFonts w:hint="eastAsia" w:ascii="宋体" w:hAnsi="宋体"/>
          <w:snapToGrid w:val="0"/>
          <w:kern w:val="0"/>
          <w:szCs w:val="21"/>
          <w:u w:val="single"/>
        </w:rPr>
        <w:t>达到招标文件的要求</w:t>
      </w:r>
      <w:r>
        <w:rPr>
          <w:rFonts w:ascii="宋体" w:hAnsi="宋体"/>
          <w:snapToGrid w:val="0"/>
          <w:kern w:val="0"/>
          <w:szCs w:val="21"/>
        </w:rPr>
        <w:t>。</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我方承诺</w:t>
      </w:r>
      <w:r>
        <w:rPr>
          <w:rFonts w:hint="eastAsia" w:ascii="宋体" w:hAnsi="宋体"/>
          <w:snapToGrid w:val="0"/>
          <w:kern w:val="0"/>
          <w:szCs w:val="21"/>
        </w:rPr>
        <w:t>响应招标文件规定的投标有效期，</w:t>
      </w:r>
      <w:r>
        <w:rPr>
          <w:rFonts w:ascii="宋体" w:hAnsi="宋体"/>
          <w:snapToGrid w:val="0"/>
          <w:kern w:val="0"/>
          <w:szCs w:val="21"/>
        </w:rPr>
        <w:t>在投标有效期内不修改、撤销投标文件。</w:t>
      </w:r>
    </w:p>
    <w:p>
      <w:pPr>
        <w:tabs>
          <w:tab w:val="left" w:pos="2730"/>
          <w:tab w:val="left" w:pos="7980"/>
        </w:tabs>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3</w:t>
      </w:r>
      <w:r>
        <w:rPr>
          <w:rFonts w:hint="eastAsia" w:ascii="宋体" w:hAnsi="宋体"/>
          <w:snapToGrid w:val="0"/>
          <w:kern w:val="0"/>
          <w:szCs w:val="21"/>
        </w:rPr>
        <w:t xml:space="preserve">. </w:t>
      </w:r>
      <w:r>
        <w:rPr>
          <w:rFonts w:ascii="宋体" w:hAnsi="宋体"/>
          <w:snapToGrid w:val="0"/>
          <w:kern w:val="0"/>
          <w:szCs w:val="21"/>
        </w:rPr>
        <w:t>随同本投标函提交投标保证金一份，金额为人民币（大写）</w:t>
      </w:r>
      <w:r>
        <w:rPr>
          <w:rFonts w:ascii="宋体" w:hAnsi="宋体"/>
          <w:snapToGrid w:val="0"/>
          <w:kern w:val="0"/>
          <w:szCs w:val="21"/>
          <w:u w:val="single"/>
        </w:rPr>
        <w:tab/>
      </w:r>
      <w:r>
        <w:rPr>
          <w:rFonts w:ascii="宋体" w:hAnsi="宋体"/>
          <w:snapToGrid w:val="0"/>
          <w:kern w:val="0"/>
          <w:szCs w:val="21"/>
        </w:rPr>
        <w:t>（¥</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投标保证金有效期</w:t>
      </w:r>
      <w:r>
        <w:rPr>
          <w:rFonts w:ascii="宋体" w:hAnsi="宋体"/>
          <w:snapToGrid w:val="0"/>
          <w:kern w:val="0"/>
          <w:szCs w:val="21"/>
        </w:rPr>
        <w:t>与</w:t>
      </w:r>
      <w:r>
        <w:rPr>
          <w:rFonts w:hint="eastAsia" w:ascii="宋体" w:hAnsi="宋体"/>
          <w:snapToGrid w:val="0"/>
          <w:kern w:val="0"/>
          <w:szCs w:val="21"/>
        </w:rPr>
        <w:t>投标有效期</w:t>
      </w:r>
      <w:r>
        <w:rPr>
          <w:rFonts w:ascii="宋体" w:hAnsi="宋体"/>
          <w:snapToGrid w:val="0"/>
          <w:kern w:val="0"/>
          <w:szCs w:val="21"/>
        </w:rPr>
        <w:t>一致，在此期间，若我方违反招投标有关法律、法规及本招标文件的相关规定，投标保证金的受益人为招标人。</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 xml:space="preserve">. </w:t>
      </w:r>
      <w:r>
        <w:rPr>
          <w:rFonts w:ascii="宋体" w:hAnsi="宋体"/>
          <w:snapToGrid w:val="0"/>
          <w:kern w:val="0"/>
          <w:szCs w:val="21"/>
        </w:rPr>
        <w:t>如我方中标：</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（1）我方承诺在收到中标通知书后，在中标通知书规定的期限内与你方签订合同。</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（2）随同本投标函递交的投标函附录属于合同文件的组成部分。</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（3）我方承诺按照招标文件规定向你方递交履约担保。</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（4）我方承诺在合同约定的期限内完成并移交全部合同工程。</w:t>
      </w:r>
    </w:p>
    <w:p>
      <w:pPr>
        <w:autoSpaceDE w:val="0"/>
        <w:autoSpaceDN w:val="0"/>
        <w:adjustRightInd w:val="0"/>
        <w:spacing w:line="400" w:lineRule="exact"/>
        <w:ind w:firstLine="420" w:firstLineChars="200"/>
        <w:rPr>
          <w:rFonts w:ascii="宋体" w:hAnsi="宋体"/>
          <w:snapToGrid w:val="0"/>
          <w:kern w:val="0"/>
          <w:sz w:val="10"/>
          <w:szCs w:val="10"/>
        </w:rPr>
      </w:pPr>
      <w:r>
        <w:rPr>
          <w:rFonts w:hint="eastAsia" w:ascii="宋体" w:hAnsi="宋体"/>
          <w:snapToGrid w:val="0"/>
          <w:kern w:val="0"/>
          <w:szCs w:val="21"/>
        </w:rPr>
        <w:t>（5）我方承诺以不低于招标文件第七章 技术标准和要求中所列的技术指标和参数要求完成全部合同工程。</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在此声明，所递交的投标文件及有关资料内容完整、真实和准确，且不存在第二章“投标人</w:t>
      </w:r>
      <w:r>
        <w:rPr>
          <w:rFonts w:ascii="宋体" w:hAnsi="宋体"/>
          <w:snapToGrid w:val="0"/>
          <w:kern w:val="0"/>
          <w:szCs w:val="21"/>
        </w:rPr>
        <w:t>须知”第 1.4.3 项</w:t>
      </w:r>
      <w:r>
        <w:rPr>
          <w:rFonts w:hint="eastAsia" w:ascii="宋体" w:hAnsi="宋体"/>
          <w:snapToGrid w:val="0"/>
          <w:kern w:val="0"/>
          <w:szCs w:val="21"/>
          <w:lang w:val="en-US" w:eastAsia="zh-CN"/>
        </w:rPr>
        <w:t>和第9.2款</w:t>
      </w:r>
      <w:r>
        <w:rPr>
          <w:rFonts w:ascii="宋体" w:hAnsi="宋体"/>
          <w:snapToGrid w:val="0"/>
          <w:kern w:val="0"/>
          <w:szCs w:val="21"/>
        </w:rPr>
        <w:t>规定的任何一种情形。同时我方承诺接受招标文件及附件、</w:t>
      </w:r>
      <w:r>
        <w:rPr>
          <w:rFonts w:hint="eastAsia" w:ascii="宋体" w:hAnsi="宋体"/>
          <w:snapToGrid w:val="0"/>
          <w:kern w:val="0"/>
          <w:szCs w:val="21"/>
        </w:rPr>
        <w:t>澄清</w:t>
      </w:r>
      <w:r>
        <w:rPr>
          <w:rFonts w:ascii="宋体" w:hAnsi="宋体"/>
          <w:snapToGrid w:val="0"/>
          <w:kern w:val="0"/>
          <w:szCs w:val="21"/>
        </w:rPr>
        <w:t>及</w:t>
      </w:r>
      <w:r>
        <w:rPr>
          <w:rFonts w:hint="eastAsia" w:ascii="宋体" w:hAnsi="宋体"/>
          <w:snapToGrid w:val="0"/>
          <w:kern w:val="0"/>
          <w:szCs w:val="21"/>
        </w:rPr>
        <w:t>修改</w:t>
      </w:r>
      <w:r>
        <w:rPr>
          <w:rFonts w:ascii="宋体" w:hAnsi="宋体"/>
          <w:snapToGrid w:val="0"/>
          <w:kern w:val="0"/>
          <w:szCs w:val="21"/>
        </w:rPr>
        <w:t>通知中所有的内容。</w:t>
      </w:r>
    </w:p>
    <w:p>
      <w:pPr>
        <w:tabs>
          <w:tab w:val="left" w:pos="5985"/>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6</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（其他补充说明）</w:t>
      </w:r>
      <w:r>
        <w:rPr>
          <w:rFonts w:ascii="宋体" w:hAnsi="宋体"/>
          <w:snapToGrid w:val="0"/>
          <w:kern w:val="0"/>
          <w:szCs w:val="21"/>
        </w:rPr>
        <w:t>。</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网</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传</w:t>
      </w:r>
      <w:r>
        <w:rPr>
          <w:rFonts w:hint="eastAsia" w:ascii="宋体" w:hAnsi="宋体"/>
          <w:snapToGrid w:val="0"/>
          <w:kern w:val="0"/>
          <w:szCs w:val="21"/>
        </w:rPr>
        <w:t xml:space="preserve">    </w:t>
      </w:r>
      <w:r>
        <w:rPr>
          <w:rFonts w:ascii="宋体" w:hAnsi="宋体"/>
          <w:snapToGrid w:val="0"/>
          <w:kern w:val="0"/>
          <w:szCs w:val="21"/>
        </w:rPr>
        <w:t>真：</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u w:val="single"/>
        </w:rPr>
      </w:pPr>
      <w:r>
        <w:rPr>
          <w:rFonts w:ascii="宋体" w:hAnsi="宋体"/>
          <w:snapToGrid w:val="0"/>
          <w:kern w:val="0"/>
          <w:szCs w:val="21"/>
        </w:rPr>
        <w:t>邮政编码：</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00" w:firstLineChars="200"/>
        <w:rPr>
          <w:rFonts w:ascii="宋体" w:hAnsi="宋体"/>
          <w:snapToGrid w:val="0"/>
          <w:kern w:val="0"/>
          <w:sz w:val="20"/>
          <w:szCs w:val="20"/>
        </w:rPr>
      </w:pPr>
    </w:p>
    <w:p>
      <w:pPr>
        <w:tabs>
          <w:tab w:val="left" w:pos="8300"/>
        </w:tabs>
        <w:autoSpaceDE w:val="0"/>
        <w:autoSpaceDN w:val="0"/>
        <w:adjustRightInd w:val="0"/>
        <w:spacing w:line="400" w:lineRule="exact"/>
        <w:ind w:firstLine="420" w:firstLineChars="200"/>
        <w:jc w:val="right"/>
        <w:rPr>
          <w:rFonts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tabs>
          <w:tab w:val="left" w:pos="8300"/>
        </w:tabs>
        <w:autoSpaceDE w:val="0"/>
        <w:autoSpaceDN w:val="0"/>
        <w:adjustRightInd w:val="0"/>
        <w:spacing w:line="400" w:lineRule="exact"/>
        <w:ind w:firstLine="420" w:firstLineChars="200"/>
        <w:jc w:val="right"/>
        <w:rPr>
          <w:rFonts w:ascii="宋体" w:hAnsi="宋体"/>
          <w:kern w:val="0"/>
          <w:szCs w:val="21"/>
        </w:rPr>
      </w:pPr>
    </w:p>
    <w:p>
      <w:pPr>
        <w:pStyle w:val="5"/>
        <w:spacing w:before="0" w:after="0" w:line="240" w:lineRule="auto"/>
        <w:jc w:val="center"/>
        <w:rPr>
          <w:rFonts w:ascii="宋体" w:hAnsi="宋体"/>
          <w:snapToGrid w:val="0"/>
          <w:kern w:val="0"/>
          <w:szCs w:val="21"/>
        </w:rPr>
      </w:pPr>
      <w:bookmarkStart w:id="2393" w:name="_Toc430530531"/>
      <w:bookmarkStart w:id="2394" w:name="_Toc287607868"/>
      <w:bookmarkStart w:id="2395" w:name="_Toc224103496"/>
      <w:bookmarkStart w:id="2396" w:name="_Toc277082644"/>
      <w:bookmarkStart w:id="2397" w:name="_Toc287620815"/>
      <w:r>
        <w:rPr>
          <w:rFonts w:ascii="宋体" w:hAnsi="宋体"/>
          <w:sz w:val="28"/>
        </w:rPr>
        <w:br w:type="page"/>
      </w:r>
      <w:bookmarkStart w:id="2398" w:name="_Toc534185832"/>
      <w:bookmarkStart w:id="2399" w:name="_Toc509218855"/>
      <w:bookmarkStart w:id="2400" w:name="_Toc5557"/>
      <w:bookmarkStart w:id="2401" w:name="_Toc6673"/>
      <w:r>
        <w:rPr>
          <w:rFonts w:ascii="宋体" w:hAnsi="宋体"/>
          <w:b w:val="0"/>
          <w:bCs w:val="0"/>
        </w:rPr>
        <w:t>（二）投标函附录</w:t>
      </w:r>
      <w:bookmarkEnd w:id="2393"/>
      <w:bookmarkEnd w:id="2394"/>
      <w:bookmarkEnd w:id="2395"/>
      <w:bookmarkEnd w:id="2396"/>
      <w:bookmarkEnd w:id="2397"/>
      <w:bookmarkEnd w:id="2398"/>
      <w:bookmarkEnd w:id="2399"/>
      <w:bookmarkEnd w:id="2400"/>
      <w:bookmarkEnd w:id="2401"/>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序号</w:t>
            </w:r>
          </w:p>
        </w:tc>
        <w:tc>
          <w:tcPr>
            <w:tcW w:w="258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条款名称</w:t>
            </w:r>
          </w:p>
        </w:tc>
        <w:tc>
          <w:tcPr>
            <w:tcW w:w="2388"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合同条款号</w:t>
            </w:r>
          </w:p>
        </w:tc>
        <w:tc>
          <w:tcPr>
            <w:tcW w:w="2987"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约定内容</w:t>
            </w:r>
          </w:p>
        </w:tc>
        <w:tc>
          <w:tcPr>
            <w:tcW w:w="79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rPr>
            </w:pPr>
            <w:r>
              <w:rPr>
                <w:rFonts w:hint="eastAsia" w:ascii="宋体" w:hAnsi="宋体"/>
                <w:snapToGrid w:val="0"/>
                <w:kern w:val="0"/>
                <w:szCs w:val="21"/>
              </w:rPr>
              <w:t>1</w:t>
            </w:r>
          </w:p>
        </w:tc>
        <w:tc>
          <w:tcPr>
            <w:tcW w:w="258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工期</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1.1.4.3</w:t>
            </w:r>
          </w:p>
        </w:tc>
        <w:tc>
          <w:tcPr>
            <w:tcW w:w="2987" w:type="dxa"/>
            <w:vAlign w:val="center"/>
          </w:tcPr>
          <w:p>
            <w:pPr>
              <w:tabs>
                <w:tab w:val="left" w:pos="1560"/>
              </w:tabs>
              <w:autoSpaceDE w:val="0"/>
              <w:autoSpaceDN w:val="0"/>
              <w:adjustRightInd w:val="0"/>
              <w:jc w:val="center"/>
              <w:rPr>
                <w:rFonts w:ascii="宋体" w:hAnsi="宋体"/>
                <w:snapToGrid w:val="0"/>
                <w:kern w:val="0"/>
                <w:szCs w:val="21"/>
              </w:rPr>
            </w:pP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rPr>
            </w:pPr>
            <w:r>
              <w:rPr>
                <w:rFonts w:hint="eastAsia" w:ascii="宋体" w:hAnsi="宋体"/>
                <w:snapToGrid w:val="0"/>
                <w:kern w:val="0"/>
                <w:szCs w:val="21"/>
              </w:rPr>
              <w:t>2</w:t>
            </w:r>
          </w:p>
        </w:tc>
        <w:tc>
          <w:tcPr>
            <w:tcW w:w="258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分包</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3.5</w:t>
            </w:r>
          </w:p>
        </w:tc>
        <w:tc>
          <w:tcPr>
            <w:tcW w:w="2987" w:type="dxa"/>
            <w:vAlign w:val="center"/>
          </w:tcPr>
          <w:p>
            <w:pPr>
              <w:autoSpaceDE w:val="0"/>
              <w:autoSpaceDN w:val="0"/>
              <w:adjustRightInd w:val="0"/>
              <w:jc w:val="center"/>
              <w:rPr>
                <w:rFonts w:ascii="宋体" w:hAnsi="宋体"/>
                <w:snapToGrid w:val="0"/>
                <w:kern w:val="0"/>
                <w:szCs w:val="21"/>
              </w:rPr>
            </w:pP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rPr>
            </w:pPr>
            <w:r>
              <w:rPr>
                <w:rFonts w:hint="eastAsia" w:ascii="宋体" w:hAnsi="宋体"/>
                <w:snapToGrid w:val="0"/>
                <w:kern w:val="0"/>
                <w:szCs w:val="21"/>
              </w:rPr>
              <w:t>3</w:t>
            </w:r>
          </w:p>
        </w:tc>
        <w:tc>
          <w:tcPr>
            <w:tcW w:w="2582" w:type="dxa"/>
            <w:vAlign w:val="center"/>
          </w:tcPr>
          <w:p>
            <w:pPr>
              <w:autoSpaceDE w:val="0"/>
              <w:autoSpaceDN w:val="0"/>
              <w:adjustRightInd w:val="0"/>
              <w:jc w:val="center"/>
              <w:rPr>
                <w:rFonts w:ascii="宋体" w:hAnsi="宋体"/>
                <w:snapToGrid w:val="0"/>
                <w:kern w:val="0"/>
                <w:szCs w:val="21"/>
              </w:rPr>
            </w:pPr>
            <w:r>
              <w:rPr>
                <w:rFonts w:hint="eastAsia" w:ascii="宋体" w:hAnsi="宋体"/>
                <w:snapToGrid w:val="0"/>
                <w:kern w:val="0"/>
                <w:szCs w:val="21"/>
              </w:rPr>
              <w:t>工程质量</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hint="eastAsia" w:ascii="宋体" w:hAnsi="宋体"/>
                <w:snapToGrid w:val="0"/>
                <w:kern w:val="0"/>
                <w:szCs w:val="21"/>
              </w:rPr>
              <w:t>5.1</w:t>
            </w:r>
          </w:p>
        </w:tc>
        <w:tc>
          <w:tcPr>
            <w:tcW w:w="2987" w:type="dxa"/>
            <w:vAlign w:val="center"/>
          </w:tcPr>
          <w:p>
            <w:pPr>
              <w:autoSpaceDE w:val="0"/>
              <w:autoSpaceDN w:val="0"/>
              <w:adjustRightInd w:val="0"/>
              <w:jc w:val="center"/>
              <w:rPr>
                <w:rFonts w:ascii="宋体" w:hAnsi="宋体"/>
                <w:snapToGrid w:val="0"/>
                <w:kern w:val="0"/>
                <w:szCs w:val="21"/>
              </w:rPr>
            </w:pP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pPr>
              <w:autoSpaceDE w:val="0"/>
              <w:autoSpaceDN w:val="0"/>
              <w:adjustRightInd w:val="0"/>
              <w:jc w:val="center"/>
              <w:rPr>
                <w:rFonts w:ascii="宋体" w:hAnsi="宋体"/>
                <w:snapToGrid w:val="0"/>
                <w:kern w:val="0"/>
                <w:szCs w:val="21"/>
              </w:rPr>
            </w:pPr>
          </w:p>
        </w:tc>
      </w:tr>
    </w:tbl>
    <w:p>
      <w:pPr>
        <w:spacing w:line="360" w:lineRule="auto"/>
        <w:rPr>
          <w:rFonts w:ascii="宋体" w:hAnsi="宋体"/>
          <w:snapToGrid w:val="0"/>
          <w:w w:val="99"/>
        </w:rPr>
      </w:pPr>
    </w:p>
    <w:p>
      <w:pPr>
        <w:spacing w:line="360" w:lineRule="auto"/>
        <w:rPr>
          <w:rFonts w:ascii="宋体" w:hAnsi="宋体"/>
          <w:snapToGrid w:val="0"/>
          <w:kern w:val="0"/>
          <w:sz w:val="32"/>
          <w:szCs w:val="32"/>
        </w:rPr>
      </w:pPr>
    </w:p>
    <w:p>
      <w:pPr>
        <w:spacing w:line="360" w:lineRule="auto"/>
        <w:rPr>
          <w:rFonts w:ascii="宋体" w:hAnsi="宋体"/>
          <w:snapToGrid w:val="0"/>
        </w:rPr>
      </w:pPr>
    </w:p>
    <w:p>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kern w:val="0"/>
          <w:szCs w:val="21"/>
        </w:rPr>
      </w:pPr>
      <w:r>
        <w:rPr>
          <w:rFonts w:hint="eastAsia" w:ascii="宋体" w:hAnsi="宋体"/>
          <w:snapToGrid w:val="0"/>
          <w:kern w:val="0"/>
          <w:szCs w:val="21"/>
        </w:rPr>
        <w:t xml:space="preserve">   </w:t>
      </w:r>
    </w:p>
    <w:p>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 xml:space="preserve">或盖章） </w:t>
      </w:r>
    </w:p>
    <w:p>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kern w:val="0"/>
          <w:szCs w:val="21"/>
        </w:rPr>
      </w:pPr>
    </w:p>
    <w:p>
      <w:pPr>
        <w:pStyle w:val="5"/>
        <w:spacing w:before="0" w:after="0" w:line="240" w:lineRule="auto"/>
        <w:jc w:val="center"/>
        <w:rPr>
          <w:rFonts w:ascii="宋体" w:hAnsi="宋体"/>
          <w:snapToGrid w:val="0"/>
          <w:kern w:val="0"/>
          <w:szCs w:val="21"/>
        </w:rPr>
      </w:pPr>
      <w:r>
        <w:rPr>
          <w:rFonts w:ascii="宋体" w:hAnsi="宋体"/>
          <w:snapToGrid w:val="0"/>
        </w:rPr>
        <w:br w:type="page"/>
      </w:r>
      <w:bookmarkStart w:id="2402" w:name="_Toc15282"/>
      <w:bookmarkStart w:id="2403" w:name="_Toc277082645"/>
      <w:bookmarkStart w:id="2404" w:name="_Toc224103497"/>
      <w:bookmarkStart w:id="2405" w:name="_Toc287607869"/>
      <w:bookmarkStart w:id="2406" w:name="_Toc18883"/>
      <w:bookmarkStart w:id="2407" w:name="_Toc287620816"/>
      <w:bookmarkStart w:id="2408" w:name="_Toc430530532"/>
      <w:r>
        <w:rPr>
          <w:rFonts w:ascii="宋体" w:hAnsi="宋体"/>
          <w:b w:val="0"/>
          <w:bCs w:val="0"/>
        </w:rPr>
        <w:t>（三）</w:t>
      </w:r>
      <w:r>
        <w:rPr>
          <w:rFonts w:hint="eastAsia" w:ascii="宋体" w:hAnsi="宋体"/>
          <w:b w:val="0"/>
          <w:bCs w:val="0"/>
        </w:rPr>
        <w:t>法定代表人身份证明或授权委托书</w:t>
      </w:r>
      <w:bookmarkEnd w:id="2402"/>
      <w:bookmarkEnd w:id="2403"/>
      <w:bookmarkEnd w:id="2404"/>
      <w:bookmarkEnd w:id="2405"/>
      <w:bookmarkEnd w:id="2406"/>
      <w:bookmarkEnd w:id="2407"/>
      <w:bookmarkEnd w:id="2408"/>
    </w:p>
    <w:p>
      <w:pPr>
        <w:spacing w:line="480" w:lineRule="auto"/>
        <w:jc w:val="center"/>
        <w:rPr>
          <w:rFonts w:ascii="宋体" w:hAnsi="宋体"/>
          <w:sz w:val="28"/>
        </w:rPr>
      </w:pPr>
      <w:r>
        <w:rPr>
          <w:rFonts w:hint="eastAsia" w:ascii="宋体" w:hAnsi="宋体"/>
          <w:sz w:val="28"/>
        </w:rPr>
        <w:t>法定代表人身份证明</w:t>
      </w:r>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w:t>
      </w:r>
      <w:r>
        <w:rPr>
          <w:rFonts w:hint="eastAsia" w:ascii="宋体" w:hAnsi="宋体"/>
          <w:kern w:val="0"/>
          <w:szCs w:val="21"/>
          <w:lang w:val="en-US" w:eastAsia="zh-CN"/>
        </w:rPr>
        <w:t>明</w:t>
      </w:r>
      <w:r>
        <w:rPr>
          <w:rFonts w:hint="eastAsia" w:ascii="宋体" w:hAnsi="宋体"/>
          <w:kern w:val="0"/>
          <w:szCs w:val="21"/>
        </w:rPr>
        <w:t>扫描件（双面）</w:t>
      </w:r>
    </w:p>
    <w:p>
      <w:pPr>
        <w:autoSpaceDE w:val="0"/>
        <w:autoSpaceDN w:val="0"/>
        <w:adjustRightInd w:val="0"/>
        <w:snapToGrid w:val="0"/>
        <w:spacing w:line="360" w:lineRule="auto"/>
        <w:jc w:val="left"/>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tabs>
          <w:tab w:val="left" w:pos="5475"/>
        </w:tabs>
        <w:autoSpaceDE w:val="0"/>
        <w:autoSpaceDN w:val="0"/>
        <w:adjustRightInd w:val="0"/>
        <w:snapToGrid w:val="0"/>
        <w:spacing w:line="480" w:lineRule="auto"/>
        <w:ind w:firstLine="372" w:firstLineChars="186"/>
        <w:jc w:val="left"/>
        <w:rPr>
          <w:rFonts w:ascii="宋体" w:hAnsi="宋体"/>
          <w:kern w:val="0"/>
          <w:sz w:val="20"/>
          <w:szCs w:val="20"/>
        </w:rPr>
      </w:pPr>
    </w:p>
    <w:p>
      <w:pPr>
        <w:tabs>
          <w:tab w:val="left" w:pos="5460"/>
        </w:tabs>
        <w:autoSpaceDE w:val="0"/>
        <w:autoSpaceDN w:val="0"/>
        <w:adjustRightInd w:val="0"/>
        <w:snapToGrid w:val="0"/>
        <w:spacing w:line="480" w:lineRule="auto"/>
        <w:ind w:firstLine="21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spacing w:line="360" w:lineRule="auto"/>
        <w:ind w:firstLine="420" w:firstLineChars="200"/>
        <w:rPr>
          <w:rFonts w:ascii="宋体" w:hAnsi="宋体"/>
        </w:rPr>
      </w:pPr>
      <w:r>
        <w:rPr>
          <w:rFonts w:ascii="宋体" w:hAnsi="宋体"/>
        </w:rPr>
        <w:t>注：法定代表人身份证明需按上述格式填写完整，不可缺少内容。在此基础上增加内容的不影响其有效性。</w:t>
      </w:r>
    </w:p>
    <w:p>
      <w:pPr>
        <w:spacing w:line="360" w:lineRule="auto"/>
        <w:ind w:firstLine="420" w:firstLineChars="200"/>
        <w:rPr>
          <w:rFonts w:ascii="宋体" w:hAnsi="宋体"/>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kern w:val="0"/>
        </w:rPr>
        <w:br w:type="page"/>
      </w:r>
      <w:r>
        <w:rPr>
          <w:rFonts w:ascii="宋体" w:hAnsi="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w:t>
      </w:r>
      <w:r>
        <w:rPr>
          <w:rFonts w:hint="eastAsia" w:ascii="宋体" w:hAnsi="宋体"/>
          <w:kern w:val="0"/>
          <w:szCs w:val="21"/>
          <w:lang w:val="en-US" w:eastAsia="zh-CN"/>
        </w:rPr>
        <w:t>代表我方</w:t>
      </w:r>
      <w:r>
        <w:rPr>
          <w:rFonts w:ascii="宋体" w:hAnsi="宋体"/>
          <w:kern w:val="0"/>
          <w:szCs w:val="21"/>
        </w:rPr>
        <w:t>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w:t>
      </w:r>
      <w:r>
        <w:rPr>
          <w:rFonts w:hint="eastAsia" w:ascii="宋体" w:hAnsi="宋体"/>
          <w:kern w:val="0"/>
          <w:szCs w:val="21"/>
          <w:lang w:val="en-US" w:eastAsia="zh-CN"/>
        </w:rPr>
        <w:t>明</w:t>
      </w:r>
      <w:r>
        <w:rPr>
          <w:rFonts w:hint="eastAsia" w:ascii="宋体" w:hAnsi="宋体"/>
          <w:kern w:val="0"/>
          <w:szCs w:val="21"/>
        </w:rPr>
        <w:t>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pPr>
        <w:tabs>
          <w:tab w:val="left" w:pos="5760"/>
        </w:tabs>
        <w:autoSpaceDE w:val="0"/>
        <w:autoSpaceDN w:val="0"/>
        <w:adjustRightInd w:val="0"/>
        <w:spacing w:line="360" w:lineRule="auto"/>
        <w:ind w:firstLine="420" w:firstLineChars="200"/>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pPr>
        <w:spacing w:line="360" w:lineRule="auto"/>
        <w:ind w:firstLine="420" w:firstLineChars="200"/>
        <w:rPr>
          <w:rFonts w:ascii="宋体" w:hAnsi="宋体"/>
        </w:rPr>
      </w:pPr>
      <w:r>
        <w:rPr>
          <w:rFonts w:ascii="宋体" w:hAnsi="宋体"/>
        </w:rPr>
        <w:br w:type="page"/>
      </w:r>
    </w:p>
    <w:p>
      <w:pPr>
        <w:pStyle w:val="5"/>
        <w:spacing w:before="0" w:after="0" w:line="240" w:lineRule="auto"/>
        <w:jc w:val="center"/>
        <w:rPr>
          <w:rFonts w:ascii="宋体" w:hAnsi="宋体"/>
          <w:b w:val="0"/>
          <w:bCs w:val="0"/>
        </w:rPr>
      </w:pPr>
      <w:bookmarkStart w:id="2409" w:name="_Toc277082646"/>
      <w:bookmarkStart w:id="2410" w:name="_Toc287607870"/>
      <w:bookmarkStart w:id="2411" w:name="_Toc224103498"/>
      <w:bookmarkStart w:id="2412" w:name="_Toc287620817"/>
      <w:bookmarkStart w:id="2413" w:name="_Toc14007"/>
      <w:bookmarkStart w:id="2414" w:name="_Toc32475"/>
      <w:bookmarkStart w:id="2415" w:name="_Toc430530533"/>
      <w:r>
        <w:rPr>
          <w:rFonts w:ascii="宋体" w:hAnsi="宋体"/>
          <w:b w:val="0"/>
          <w:bCs w:val="0"/>
        </w:rPr>
        <w:t>（四）</w:t>
      </w:r>
      <w:bookmarkEnd w:id="2409"/>
      <w:bookmarkEnd w:id="2410"/>
      <w:bookmarkEnd w:id="2411"/>
      <w:bookmarkEnd w:id="2412"/>
      <w:bookmarkStart w:id="2416" w:name="_Toc287607871"/>
      <w:bookmarkStart w:id="2417" w:name="_Toc287620818"/>
      <w:bookmarkStart w:id="2418" w:name="_Toc224103499"/>
      <w:bookmarkStart w:id="2419" w:name="_Toc277082647"/>
      <w:r>
        <w:rPr>
          <w:rFonts w:hint="eastAsia" w:ascii="宋体" w:hAnsi="宋体"/>
          <w:b w:val="0"/>
          <w:bCs w:val="0"/>
        </w:rPr>
        <w:t>投标报价合理性说明</w:t>
      </w:r>
      <w:r>
        <w:rPr>
          <w:rFonts w:hint="eastAsia" w:ascii="宋体" w:hAnsi="宋体"/>
          <w:b w:val="0"/>
          <w:bCs w:val="0"/>
          <w:lang w:eastAsia="zh-CN"/>
        </w:rPr>
        <w:t>（</w:t>
      </w:r>
      <w:r>
        <w:rPr>
          <w:rFonts w:hint="eastAsia" w:ascii="宋体" w:hAnsi="宋体"/>
          <w:b w:val="0"/>
          <w:bCs w:val="0"/>
          <w:lang w:val="en-US" w:eastAsia="zh-CN"/>
        </w:rPr>
        <w:t>如有</w:t>
      </w:r>
      <w:r>
        <w:rPr>
          <w:rFonts w:hint="eastAsia" w:ascii="宋体" w:hAnsi="宋体"/>
          <w:b w:val="0"/>
          <w:bCs w:val="0"/>
          <w:lang w:eastAsia="zh-CN"/>
        </w:rPr>
        <w:t>）</w:t>
      </w:r>
      <w:bookmarkEnd w:id="2413"/>
      <w:bookmarkEnd w:id="2414"/>
    </w:p>
    <w:p>
      <w:pPr>
        <w:autoSpaceDE w:val="0"/>
        <w:autoSpaceDN w:val="0"/>
        <w:adjustRightInd w:val="0"/>
        <w:snapToGrid w:val="0"/>
        <w:spacing w:line="360" w:lineRule="auto"/>
        <w:jc w:val="center"/>
        <w:rPr>
          <w:rFonts w:ascii="宋体" w:hAnsi="宋体"/>
          <w:snapToGrid w:val="0"/>
          <w:kern w:val="0"/>
          <w:sz w:val="32"/>
          <w:szCs w:val="32"/>
        </w:rPr>
      </w:pPr>
    </w:p>
    <w:p>
      <w:pPr>
        <w:autoSpaceDE w:val="0"/>
        <w:autoSpaceDN w:val="0"/>
        <w:adjustRightInd w:val="0"/>
        <w:snapToGrid w:val="0"/>
        <w:spacing w:line="360" w:lineRule="auto"/>
        <w:ind w:firstLine="420" w:firstLineChars="200"/>
        <w:jc w:val="left"/>
        <w:rPr>
          <w:rFonts w:ascii="宋体" w:hAnsi="宋体"/>
          <w:snapToGrid w:val="0"/>
          <w:kern w:val="0"/>
          <w:sz w:val="32"/>
          <w:szCs w:val="32"/>
        </w:rPr>
      </w:pPr>
      <w:r>
        <w:rPr>
          <w:rFonts w:hint="eastAsia" w:ascii="宋体" w:hAnsi="宋体"/>
          <w:i w:val="0"/>
          <w:iCs w:val="0"/>
          <w:snapToGrid w:val="0"/>
          <w:kern w:val="0"/>
          <w:sz w:val="21"/>
          <w:szCs w:val="21"/>
          <w:lang w:val="en-US" w:eastAsia="zh-CN"/>
        </w:rPr>
        <w:t>（注：投标报价</w:t>
      </w:r>
      <w:r>
        <w:rPr>
          <w:rFonts w:hint="eastAsia" w:ascii="宋体" w:hAnsi="宋体"/>
          <w:lang w:val="en-US" w:eastAsia="zh-CN"/>
        </w:rPr>
        <w:t>低于异常低价警戒线</w:t>
      </w:r>
      <w:r>
        <w:rPr>
          <w:rFonts w:hint="eastAsia" w:ascii="宋体" w:hAnsi="宋体"/>
          <w:i w:val="0"/>
          <w:iCs w:val="0"/>
          <w:snapToGrid w:val="0"/>
          <w:kern w:val="0"/>
          <w:sz w:val="21"/>
          <w:szCs w:val="21"/>
          <w:lang w:val="en-US" w:eastAsia="zh-CN"/>
        </w:rPr>
        <w:t>时提供，格式自拟，并提供必要的佐证材料。</w:t>
      </w:r>
      <w:r>
        <w:rPr>
          <w:rFonts w:hint="eastAsia" w:ascii="宋体" w:hAnsi="宋体" w:cs="宋体"/>
          <w:i w:val="0"/>
          <w:iCs w:val="0"/>
          <w:szCs w:val="21"/>
          <w:u w:val="none"/>
          <w:lang w:val="en-US" w:eastAsia="zh-CN"/>
        </w:rPr>
        <w:t>投标人提供的说明不得降低或者改变原设计方案、技术工艺、施工标准，不得影响项目的质量、安全、工期、结算等正常履约</w:t>
      </w:r>
      <w:r>
        <w:rPr>
          <w:rFonts w:hint="eastAsia" w:ascii="宋体" w:hAnsi="宋体"/>
          <w:snapToGrid w:val="0"/>
          <w:kern w:val="0"/>
          <w:szCs w:val="21"/>
        </w:rPr>
        <w:t>。</w:t>
      </w:r>
      <w:r>
        <w:rPr>
          <w:rFonts w:hint="eastAsia" w:ascii="宋体" w:hAnsi="宋体"/>
          <w:i w:val="0"/>
          <w:iCs w:val="0"/>
          <w:snapToGrid w:val="0"/>
          <w:kern w:val="0"/>
          <w:sz w:val="21"/>
          <w:szCs w:val="21"/>
          <w:lang w:val="en-US" w:eastAsia="zh-CN"/>
        </w:rPr>
        <w:t>）</w:t>
      </w:r>
    </w:p>
    <w:p>
      <w:pPr>
        <w:autoSpaceDE w:val="0"/>
        <w:autoSpaceDN w:val="0"/>
        <w:adjustRightInd w:val="0"/>
        <w:snapToGrid w:val="0"/>
        <w:spacing w:line="360" w:lineRule="auto"/>
        <w:jc w:val="center"/>
        <w:rPr>
          <w:rFonts w:ascii="宋体" w:hAnsi="宋体"/>
          <w:snapToGrid w:val="0"/>
          <w:kern w:val="0"/>
          <w:sz w:val="32"/>
          <w:szCs w:val="32"/>
        </w:rPr>
      </w:pPr>
    </w:p>
    <w:p>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ascii="宋体" w:hAnsi="宋体"/>
          <w:snapToGrid w:val="0"/>
          <w:kern w:val="0"/>
          <w:szCs w:val="21"/>
        </w:rPr>
      </w:pPr>
    </w:p>
    <w:p>
      <w:pPr>
        <w:autoSpaceDE w:val="0"/>
        <w:autoSpaceDN w:val="0"/>
        <w:adjustRightInd w:val="0"/>
        <w:snapToGrid w:val="0"/>
        <w:spacing w:line="360" w:lineRule="auto"/>
        <w:ind w:firstLine="0"/>
        <w:rPr>
          <w:rFonts w:hint="eastAsia" w:asciiTheme="majorEastAsia" w:hAnsiTheme="majorEastAsia" w:eastAsiaTheme="majorEastAsia" w:cstheme="majorEastAsia"/>
          <w:i/>
          <w:iCs/>
        </w:rPr>
      </w:pPr>
    </w:p>
    <w:p>
      <w:pPr>
        <w:autoSpaceDE w:val="0"/>
        <w:autoSpaceDN w:val="0"/>
        <w:adjustRightInd w:val="0"/>
        <w:snapToGrid w:val="0"/>
        <w:spacing w:line="360" w:lineRule="auto"/>
        <w:jc w:val="center"/>
        <w:rPr>
          <w:rFonts w:ascii="宋体" w:hAnsi="宋体"/>
          <w:snapToGrid w:val="0"/>
          <w:kern w:val="0"/>
          <w:sz w:val="32"/>
          <w:szCs w:val="32"/>
        </w:rPr>
      </w:pPr>
    </w:p>
    <w:p>
      <w:pPr>
        <w:pStyle w:val="2"/>
        <w:rPr>
          <w:rFonts w:ascii="宋体" w:hAnsi="宋体"/>
          <w:snapToGrid w:val="0"/>
          <w:kern w:val="0"/>
          <w:sz w:val="32"/>
          <w:szCs w:val="32"/>
        </w:rPr>
      </w:pPr>
      <w:r>
        <w:rPr>
          <w:rFonts w:ascii="宋体" w:hAnsi="宋体"/>
          <w:snapToGrid w:val="0"/>
          <w:kern w:val="0"/>
          <w:sz w:val="32"/>
          <w:szCs w:val="32"/>
        </w:rPr>
        <w:br w:type="page"/>
      </w:r>
    </w:p>
    <w:bookmarkEnd w:id="2415"/>
    <w:bookmarkEnd w:id="2416"/>
    <w:bookmarkEnd w:id="2417"/>
    <w:bookmarkEnd w:id="2418"/>
    <w:bookmarkEnd w:id="2419"/>
    <w:p>
      <w:pPr>
        <w:pStyle w:val="4"/>
        <w:spacing w:line="360" w:lineRule="auto"/>
        <w:jc w:val="center"/>
        <w:rPr>
          <w:rFonts w:ascii="宋体" w:hAnsi="宋体"/>
          <w:b w:val="0"/>
          <w:bCs w:val="0"/>
          <w:sz w:val="44"/>
          <w:szCs w:val="44"/>
        </w:rPr>
      </w:pPr>
      <w:bookmarkStart w:id="2420" w:name="_Toc11873"/>
      <w:bookmarkStart w:id="2421" w:name="_Toc24315"/>
      <w:bookmarkStart w:id="2422" w:name="_Toc287620819"/>
      <w:bookmarkStart w:id="2423" w:name="_Toc430530534"/>
      <w:bookmarkStart w:id="2424" w:name="_Toc287607872"/>
      <w:bookmarkStart w:id="2425" w:name="_Toc224103500"/>
      <w:r>
        <w:rPr>
          <w:rFonts w:hint="eastAsia" w:ascii="宋体" w:hAnsi="宋体"/>
          <w:b w:val="0"/>
          <w:bCs w:val="0"/>
          <w:sz w:val="44"/>
          <w:szCs w:val="44"/>
        </w:rPr>
        <w:t>二、</w:t>
      </w:r>
      <w:r>
        <w:rPr>
          <w:rFonts w:hint="eastAsia" w:ascii="宋体" w:hAnsi="宋体"/>
          <w:b w:val="0"/>
          <w:bCs w:val="0"/>
          <w:sz w:val="44"/>
          <w:szCs w:val="44"/>
          <w:lang w:val="en-US" w:eastAsia="zh-CN"/>
        </w:rPr>
        <w:t>报价</w:t>
      </w:r>
      <w:r>
        <w:rPr>
          <w:rFonts w:hint="eastAsia" w:ascii="宋体" w:hAnsi="宋体"/>
          <w:b w:val="0"/>
          <w:bCs w:val="0"/>
          <w:sz w:val="44"/>
          <w:szCs w:val="44"/>
        </w:rPr>
        <w:t>部分</w:t>
      </w:r>
      <w:bookmarkEnd w:id="2420"/>
      <w:bookmarkEnd w:id="2421"/>
      <w:bookmarkEnd w:id="2422"/>
      <w:bookmarkEnd w:id="2423"/>
      <w:bookmarkEnd w:id="2424"/>
      <w:bookmarkEnd w:id="2425"/>
    </w:p>
    <w:p>
      <w:pPr>
        <w:spacing w:line="360" w:lineRule="auto"/>
        <w:jc w:val="center"/>
        <w:rPr>
          <w:rFonts w:ascii="宋体" w:hAnsi="宋体"/>
          <w:kern w:val="0"/>
          <w:sz w:val="32"/>
          <w:szCs w:val="32"/>
        </w:rPr>
      </w:pPr>
      <w:r>
        <w:rPr>
          <w:rFonts w:ascii="宋体" w:hAnsi="宋体"/>
          <w:kern w:val="0"/>
          <w:sz w:val="28"/>
          <w:szCs w:val="28"/>
        </w:rPr>
        <w:br w:type="page"/>
      </w: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lang w:val="en-US" w:eastAsia="zh-CN"/>
        </w:rPr>
        <w:t>报价</w:t>
      </w:r>
      <w:r>
        <w:rPr>
          <w:rFonts w:hint="eastAsia" w:ascii="宋体" w:hAnsi="宋体"/>
          <w:kern w:val="0"/>
          <w:sz w:val="36"/>
          <w:szCs w:val="36"/>
        </w:rPr>
        <w:t>部分</w:t>
      </w: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b/>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签名</w:t>
      </w:r>
      <w:r>
        <w:rPr>
          <w:rFonts w:ascii="宋体" w:hAnsi="宋体"/>
          <w:w w:val="99"/>
          <w:kern w:val="0"/>
          <w:sz w:val="28"/>
          <w:szCs w:val="28"/>
        </w:rPr>
        <w:t>或盖章）</w:t>
      </w:r>
    </w:p>
    <w:p>
      <w:pPr>
        <w:tabs>
          <w:tab w:val="left" w:pos="3280"/>
          <w:tab w:val="left" w:pos="4680"/>
          <w:tab w:val="left" w:pos="608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日</w:t>
      </w:r>
    </w:p>
    <w:p>
      <w:pPr>
        <w:autoSpaceDE w:val="0"/>
        <w:autoSpaceDN w:val="0"/>
        <w:adjustRightInd w:val="0"/>
        <w:snapToGrid w:val="0"/>
        <w:spacing w:line="360" w:lineRule="auto"/>
        <w:jc w:val="left"/>
        <w:rPr>
          <w:rFonts w:ascii="宋体" w:hAnsi="宋体"/>
          <w:kern w:val="0"/>
          <w:sz w:val="24"/>
          <w:szCs w:val="21"/>
        </w:rPr>
      </w:pPr>
      <w:r>
        <w:rPr>
          <w:rFonts w:ascii="宋体" w:hAnsi="宋体"/>
          <w:kern w:val="0"/>
          <w:sz w:val="24"/>
          <w:szCs w:val="21"/>
        </w:rPr>
        <w:br w:type="page"/>
      </w:r>
    </w:p>
    <w:p>
      <w:pPr>
        <w:autoSpaceDE w:val="0"/>
        <w:autoSpaceDN w:val="0"/>
        <w:adjustRightInd w:val="0"/>
        <w:snapToGrid w:val="0"/>
        <w:spacing w:line="360" w:lineRule="auto"/>
        <w:jc w:val="center"/>
        <w:rPr>
          <w:rFonts w:ascii="宋体" w:hAnsi="宋体"/>
          <w:kern w:val="0"/>
          <w:szCs w:val="21"/>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Cs w:val="21"/>
        </w:rPr>
      </w:pPr>
    </w:p>
    <w:p>
      <w:pPr>
        <w:autoSpaceDE w:val="0"/>
        <w:autoSpaceDN w:val="0"/>
        <w:adjustRightInd w:val="0"/>
        <w:snapToGrid w:val="0"/>
        <w:spacing w:line="360" w:lineRule="auto"/>
        <w:jc w:val="center"/>
        <w:rPr>
          <w:rFonts w:ascii="宋体" w:hAnsi="宋体"/>
          <w:i/>
          <w:iCs/>
          <w:kern w:val="0"/>
          <w:szCs w:val="21"/>
        </w:rPr>
      </w:pPr>
      <w:r>
        <w:rPr>
          <w:rFonts w:hint="eastAsia" w:ascii="宋体" w:hAnsi="宋体"/>
          <w:i w:val="0"/>
          <w:iCs w:val="0"/>
          <w:kern w:val="0"/>
          <w:szCs w:val="21"/>
          <w:lang w:eastAsia="zh-CN"/>
        </w:rPr>
        <w:t>（</w:t>
      </w:r>
      <w:r>
        <w:rPr>
          <w:rFonts w:hint="eastAsia" w:ascii="宋体" w:hAnsi="宋体"/>
          <w:i w:val="0"/>
          <w:iCs w:val="0"/>
          <w:kern w:val="0"/>
          <w:szCs w:val="21"/>
          <w:lang w:val="en-US" w:eastAsia="zh-CN"/>
        </w:rPr>
        <w:t>注</w:t>
      </w:r>
      <w:r>
        <w:rPr>
          <w:rFonts w:hint="eastAsia" w:ascii="宋体" w:hAnsi="宋体"/>
          <w:i w:val="0"/>
          <w:iCs w:val="0"/>
          <w:kern w:val="0"/>
          <w:szCs w:val="21"/>
        </w:rPr>
        <w:t>：</w:t>
      </w:r>
      <w:r>
        <w:rPr>
          <w:rFonts w:ascii="宋体" w:hAnsi="宋体"/>
          <w:i w:val="0"/>
          <w:iCs w:val="0"/>
          <w:kern w:val="0"/>
          <w:szCs w:val="21"/>
        </w:rPr>
        <w:t>目录由投标人自行编制</w:t>
      </w:r>
      <w:r>
        <w:rPr>
          <w:rFonts w:hint="eastAsia" w:ascii="宋体" w:hAnsi="宋体"/>
          <w:i w:val="0"/>
          <w:iCs w:val="0"/>
          <w:kern w:val="0"/>
          <w:szCs w:val="21"/>
          <w:lang w:eastAsia="zh-CN"/>
        </w:rPr>
        <w:t>）</w:t>
      </w:r>
    </w:p>
    <w:p>
      <w:pPr>
        <w:pStyle w:val="5"/>
        <w:spacing w:before="0" w:after="0" w:line="240" w:lineRule="auto"/>
        <w:jc w:val="center"/>
        <w:rPr>
          <w:rFonts w:ascii="宋体" w:hAnsi="宋体"/>
          <w:b w:val="0"/>
          <w:bCs w:val="0"/>
        </w:rPr>
      </w:pPr>
      <w:bookmarkStart w:id="2426" w:name="_Toc287607873"/>
      <w:bookmarkStart w:id="2427" w:name="_Toc287620820"/>
      <w:bookmarkStart w:id="2428" w:name="_Toc430530535"/>
      <w:bookmarkStart w:id="2429" w:name="_Toc224103501"/>
      <w:bookmarkStart w:id="2430" w:name="_Toc277082648"/>
      <w:r>
        <w:rPr>
          <w:rFonts w:ascii="宋体" w:hAnsi="宋体"/>
          <w:b w:val="0"/>
          <w:bCs w:val="0"/>
          <w:kern w:val="0"/>
          <w:sz w:val="21"/>
          <w:szCs w:val="21"/>
        </w:rPr>
        <w:br w:type="page"/>
      </w:r>
      <w:bookmarkStart w:id="2431" w:name="_Toc9942"/>
      <w:bookmarkStart w:id="2432" w:name="_Toc13284"/>
      <w:r>
        <w:rPr>
          <w:rFonts w:hint="eastAsia" w:ascii="宋体" w:hAnsi="宋体"/>
          <w:b w:val="0"/>
          <w:bCs w:val="0"/>
        </w:rPr>
        <w:t>（一）已标价工程量清单</w:t>
      </w:r>
      <w:bookmarkEnd w:id="2426"/>
      <w:bookmarkEnd w:id="2427"/>
      <w:bookmarkEnd w:id="2428"/>
      <w:bookmarkEnd w:id="2429"/>
      <w:bookmarkEnd w:id="2430"/>
      <w:bookmarkEnd w:id="2431"/>
      <w:bookmarkEnd w:id="2432"/>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pStyle w:val="4"/>
        <w:spacing w:line="360" w:lineRule="auto"/>
        <w:rPr>
          <w:rFonts w:ascii="宋体" w:hAnsi="宋体"/>
          <w:kern w:val="0"/>
          <w:sz w:val="24"/>
          <w:szCs w:val="21"/>
        </w:rPr>
      </w:pPr>
      <w:bookmarkStart w:id="2433" w:name="_Toc224103502"/>
      <w:bookmarkStart w:id="2434" w:name="_Toc430530536"/>
      <w:bookmarkStart w:id="2435" w:name="_Toc287607874"/>
      <w:bookmarkStart w:id="2436" w:name="_Toc287620821"/>
      <w:r>
        <w:rPr>
          <w:rFonts w:ascii="宋体" w:hAnsi="宋体"/>
        </w:rPr>
        <w:br w:type="page"/>
      </w:r>
    </w:p>
    <w:p>
      <w:pPr>
        <w:pStyle w:val="4"/>
        <w:spacing w:line="360" w:lineRule="auto"/>
        <w:jc w:val="center"/>
        <w:outlineLvl w:val="0"/>
        <w:rPr>
          <w:rFonts w:ascii="宋体" w:hAnsi="宋体"/>
          <w:b w:val="0"/>
          <w:bCs w:val="0"/>
          <w:color w:val="auto"/>
          <w:sz w:val="44"/>
          <w:szCs w:val="44"/>
          <w:highlight w:val="none"/>
        </w:rPr>
      </w:pPr>
      <w:bookmarkStart w:id="2437" w:name="_Toc10692"/>
      <w:bookmarkStart w:id="2438" w:name="_Toc57796015"/>
      <w:bookmarkStart w:id="2439" w:name="_Toc9026"/>
      <w:r>
        <w:rPr>
          <w:rFonts w:hint="eastAsia" w:ascii="宋体" w:hAnsi="宋体"/>
          <w:b w:val="0"/>
          <w:bCs w:val="0"/>
          <w:color w:val="auto"/>
          <w:sz w:val="44"/>
          <w:szCs w:val="44"/>
          <w:highlight w:val="none"/>
        </w:rPr>
        <w:t>三、</w:t>
      </w:r>
      <w:bookmarkEnd w:id="2437"/>
      <w:bookmarkEnd w:id="2438"/>
      <w:bookmarkStart w:id="2440" w:name="_Toc3267"/>
      <w:r>
        <w:rPr>
          <w:rFonts w:hint="eastAsia" w:ascii="宋体" w:hAnsi="宋体"/>
          <w:b w:val="0"/>
          <w:bCs w:val="0"/>
          <w:color w:val="auto"/>
          <w:sz w:val="44"/>
          <w:szCs w:val="44"/>
          <w:highlight w:val="none"/>
        </w:rPr>
        <w:t>商务部分</w:t>
      </w:r>
      <w:bookmarkEnd w:id="2439"/>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提示：不设置商务评审的不设此部分</w:t>
      </w:r>
      <w:r>
        <w:rPr>
          <w:rFonts w:ascii="宋体" w:hAnsi="宋体"/>
          <w:i/>
          <w:iCs/>
          <w:color w:val="auto"/>
          <w:kern w:val="0"/>
          <w:szCs w:val="21"/>
          <w:highlight w:val="none"/>
        </w:rPr>
        <w:t>]</w:t>
      </w:r>
    </w:p>
    <w:p>
      <w:pPr>
        <w:spacing w:line="360" w:lineRule="auto"/>
        <w:jc w:val="center"/>
        <w:outlineLvl w:val="1"/>
        <w:rPr>
          <w:rFonts w:hint="eastAsia" w:ascii="宋体" w:hAnsi="宋体"/>
          <w:color w:val="auto"/>
          <w:kern w:val="0"/>
          <w:sz w:val="32"/>
          <w:szCs w:val="32"/>
          <w:highlight w:val="none"/>
        </w:rPr>
      </w:pPr>
      <w:r>
        <w:rPr>
          <w:rFonts w:ascii="宋体" w:hAnsi="宋体"/>
          <w:color w:val="auto"/>
          <w:kern w:val="0"/>
          <w:sz w:val="28"/>
          <w:szCs w:val="28"/>
          <w:highlight w:val="none"/>
        </w:rPr>
        <w:br w:type="page"/>
      </w:r>
      <w:r>
        <w:rPr>
          <w:rFonts w:hint="eastAsia" w:ascii="宋体" w:hAnsi="宋体"/>
          <w:color w:val="auto"/>
          <w:kern w:val="0"/>
          <w:sz w:val="32"/>
          <w:szCs w:val="32"/>
          <w:highlight w:val="none"/>
          <w:u w:val="single"/>
        </w:rPr>
        <w:t xml:space="preserve">                   </w:t>
      </w:r>
      <w:bookmarkStart w:id="2441" w:name="_Toc13723"/>
      <w:bookmarkStart w:id="2442" w:name="_Toc18826"/>
      <w:bookmarkStart w:id="2443" w:name="_Toc8207"/>
      <w:bookmarkStart w:id="2444" w:name="_Toc2839"/>
      <w:bookmarkStart w:id="2445" w:name="_Toc27387"/>
      <w:bookmarkStart w:id="2446" w:name="_Toc19443"/>
      <w:bookmarkStart w:id="2447" w:name="_Toc4376"/>
      <w:r>
        <w:rPr>
          <w:rFonts w:hint="eastAsia" w:ascii="宋体" w:hAnsi="宋体"/>
          <w:color w:val="auto"/>
          <w:kern w:val="0"/>
          <w:sz w:val="32"/>
          <w:szCs w:val="32"/>
          <w:highlight w:val="none"/>
          <w:u w:val="single"/>
        </w:rPr>
        <w:t>（项目名称）</w:t>
      </w:r>
      <w:bookmarkEnd w:id="2441"/>
      <w:bookmarkEnd w:id="2442"/>
      <w:bookmarkEnd w:id="2443"/>
      <w:bookmarkEnd w:id="2444"/>
      <w:bookmarkEnd w:id="2445"/>
      <w:bookmarkEnd w:id="2446"/>
      <w:bookmarkEnd w:id="2447"/>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商务部分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outlineLvl w:val="1"/>
        <w:rPr>
          <w:rFonts w:ascii="宋体" w:hAnsi="宋体"/>
          <w:color w:val="auto"/>
          <w:w w:val="99"/>
          <w:kern w:val="0"/>
          <w:sz w:val="28"/>
          <w:szCs w:val="28"/>
          <w:highlight w:val="none"/>
        </w:rPr>
      </w:pPr>
      <w:bookmarkStart w:id="2448" w:name="_Toc673"/>
      <w:bookmarkStart w:id="2449" w:name="_Toc31341"/>
      <w:bookmarkStart w:id="2450" w:name="_Toc3785"/>
      <w:bookmarkStart w:id="2451" w:name="_Toc11184"/>
      <w:bookmarkStart w:id="2452" w:name="_Toc27180"/>
      <w:bookmarkStart w:id="2453" w:name="_Toc15873"/>
      <w:bookmarkStart w:id="2454" w:name="_Toc20175"/>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bookmarkEnd w:id="2448"/>
      <w:bookmarkEnd w:id="2449"/>
      <w:bookmarkEnd w:id="2450"/>
      <w:bookmarkEnd w:id="2451"/>
      <w:bookmarkEnd w:id="2452"/>
      <w:bookmarkEnd w:id="2453"/>
      <w:bookmarkEnd w:id="2454"/>
    </w:p>
    <w:p>
      <w:pPr>
        <w:tabs>
          <w:tab w:val="left" w:pos="6080"/>
          <w:tab w:val="left" w:pos="6640"/>
        </w:tabs>
        <w:autoSpaceDE w:val="0"/>
        <w:autoSpaceDN w:val="0"/>
        <w:adjustRightInd w:val="0"/>
        <w:snapToGrid w:val="0"/>
        <w:spacing w:after="156" w:afterLines="50" w:line="360" w:lineRule="auto"/>
        <w:jc w:val="center"/>
        <w:outlineLvl w:val="1"/>
        <w:rPr>
          <w:rFonts w:ascii="宋体" w:hAnsi="宋体"/>
          <w:b/>
          <w:color w:val="auto"/>
          <w:kern w:val="0"/>
          <w:sz w:val="28"/>
          <w:szCs w:val="28"/>
          <w:highlight w:val="none"/>
        </w:rPr>
      </w:pPr>
      <w:bookmarkStart w:id="2455" w:name="_Toc8616"/>
      <w:bookmarkStart w:id="2456" w:name="_Toc25792"/>
      <w:bookmarkStart w:id="2457" w:name="_Toc12304"/>
      <w:bookmarkStart w:id="2458" w:name="_Toc437"/>
      <w:bookmarkStart w:id="2459" w:name="_Toc29646"/>
      <w:bookmarkStart w:id="2460" w:name="_Toc115"/>
      <w:bookmarkStart w:id="2461" w:name="_Toc10205"/>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eastAsia="zh-CN"/>
        </w:rPr>
        <w:t>签名</w:t>
      </w:r>
      <w:r>
        <w:rPr>
          <w:rFonts w:ascii="宋体" w:hAnsi="宋体"/>
          <w:color w:val="auto"/>
          <w:w w:val="99"/>
          <w:kern w:val="0"/>
          <w:sz w:val="28"/>
          <w:szCs w:val="28"/>
          <w:highlight w:val="none"/>
        </w:rPr>
        <w:t>或盖章）</w:t>
      </w:r>
      <w:bookmarkEnd w:id="2455"/>
      <w:bookmarkEnd w:id="2456"/>
      <w:bookmarkEnd w:id="2457"/>
      <w:bookmarkEnd w:id="2458"/>
      <w:bookmarkEnd w:id="2459"/>
      <w:bookmarkEnd w:id="2460"/>
      <w:bookmarkEnd w:id="2461"/>
    </w:p>
    <w:p>
      <w:pPr>
        <w:tabs>
          <w:tab w:val="left" w:pos="3280"/>
          <w:tab w:val="left" w:pos="4680"/>
          <w:tab w:val="left" w:pos="6080"/>
        </w:tabs>
        <w:autoSpaceDE w:val="0"/>
        <w:autoSpaceDN w:val="0"/>
        <w:adjustRightInd w:val="0"/>
        <w:snapToGrid w:val="0"/>
        <w:spacing w:after="156" w:afterLines="50" w:line="360" w:lineRule="auto"/>
        <w:jc w:val="center"/>
        <w:outlineLvl w:val="1"/>
        <w:rPr>
          <w:rFonts w:ascii="宋体" w:hAnsi="宋体"/>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bookmarkStart w:id="2462" w:name="_Toc28879"/>
      <w:bookmarkStart w:id="2463" w:name="_Toc1395"/>
      <w:bookmarkStart w:id="2464" w:name="_Toc109"/>
      <w:bookmarkStart w:id="2465" w:name="_Toc1578"/>
      <w:bookmarkStart w:id="2466" w:name="_Toc11586"/>
      <w:bookmarkStart w:id="2467" w:name="_Toc22120"/>
      <w:bookmarkStart w:id="2468" w:name="_Toc7802"/>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bookmarkEnd w:id="2462"/>
      <w:bookmarkEnd w:id="2463"/>
      <w:bookmarkEnd w:id="2464"/>
      <w:bookmarkEnd w:id="2465"/>
      <w:bookmarkEnd w:id="2466"/>
      <w:bookmarkEnd w:id="2467"/>
      <w:bookmarkEnd w:id="2468"/>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kern w:val="0"/>
          <w:sz w:val="24"/>
          <w:szCs w:val="21"/>
          <w:highlight w:val="none"/>
        </w:rPr>
        <w:br w:type="page"/>
      </w:r>
    </w:p>
    <w:p>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hint="eastAsia" w:ascii="宋体" w:hAnsi="宋体"/>
          <w:i w:val="0"/>
          <w:iCs w:val="0"/>
          <w:color w:val="auto"/>
          <w:kern w:val="0"/>
          <w:szCs w:val="21"/>
          <w:highlight w:val="none"/>
          <w:lang w:eastAsia="zh-CN"/>
        </w:rPr>
        <w:t>（</w:t>
      </w:r>
      <w:r>
        <w:rPr>
          <w:rFonts w:hint="eastAsia" w:ascii="宋体" w:hAnsi="宋体"/>
          <w:i w:val="0"/>
          <w:iCs w:val="0"/>
          <w:color w:val="auto"/>
          <w:kern w:val="0"/>
          <w:szCs w:val="21"/>
          <w:highlight w:val="none"/>
          <w:lang w:val="en-US" w:eastAsia="zh-CN"/>
        </w:rPr>
        <w:t>注</w:t>
      </w:r>
      <w:r>
        <w:rPr>
          <w:rFonts w:hint="eastAsia" w:ascii="宋体" w:hAnsi="宋体"/>
          <w:i w:val="0"/>
          <w:iCs w:val="0"/>
          <w:color w:val="auto"/>
          <w:kern w:val="0"/>
          <w:szCs w:val="21"/>
          <w:highlight w:val="none"/>
        </w:rPr>
        <w:t>：</w:t>
      </w:r>
      <w:r>
        <w:rPr>
          <w:rFonts w:ascii="宋体" w:hAnsi="宋体"/>
          <w:i w:val="0"/>
          <w:iCs w:val="0"/>
          <w:color w:val="auto"/>
          <w:kern w:val="0"/>
          <w:szCs w:val="21"/>
          <w:highlight w:val="none"/>
        </w:rPr>
        <w:t>目录由投标人自行编制</w:t>
      </w:r>
      <w:r>
        <w:rPr>
          <w:rFonts w:hint="eastAsia" w:ascii="宋体" w:hAnsi="宋体"/>
          <w:i w:val="0"/>
          <w:iCs w:val="0"/>
          <w:color w:val="auto"/>
          <w:kern w:val="0"/>
          <w:szCs w:val="21"/>
          <w:highlight w:val="none"/>
          <w:lang w:eastAsia="zh-CN"/>
        </w:rPr>
        <w:t>）</w:t>
      </w:r>
    </w:p>
    <w:p>
      <w:pPr>
        <w:autoSpaceDE/>
        <w:autoSpaceDN/>
        <w:adjustRightInd/>
        <w:snapToGrid/>
        <w:spacing w:line="240" w:lineRule="auto"/>
        <w:jc w:val="left"/>
        <w:rPr>
          <w:rFonts w:ascii="宋体" w:hAnsi="宋体"/>
          <w:i/>
          <w:iCs/>
          <w:color w:val="auto"/>
          <w:kern w:val="0"/>
          <w:szCs w:val="21"/>
          <w:highlight w:val="none"/>
        </w:rPr>
      </w:pPr>
      <w:r>
        <w:rPr>
          <w:rFonts w:ascii="宋体" w:hAnsi="宋体"/>
          <w:i/>
          <w:iCs/>
          <w:color w:val="auto"/>
          <w:kern w:val="0"/>
          <w:szCs w:val="21"/>
          <w:highlight w:val="none"/>
        </w:rPr>
        <w:br w:type="page"/>
      </w:r>
    </w:p>
    <w:p>
      <w:pPr>
        <w:pStyle w:val="2"/>
        <w:spacing w:line="360" w:lineRule="auto"/>
        <w:ind w:firstLine="420" w:firstLineChars="200"/>
      </w:pPr>
      <w:r>
        <w:rPr>
          <w:rFonts w:hint="eastAsia" w:ascii="宋体" w:hAnsi="宋体"/>
          <w:b w:val="0"/>
          <w:bCs w:val="0"/>
          <w:color w:val="auto"/>
          <w:sz w:val="21"/>
          <w:szCs w:val="21"/>
          <w:highlight w:val="none"/>
          <w:lang w:val="en-US" w:eastAsia="zh-CN"/>
        </w:rPr>
        <w:t>注：提供第三章评标办法前附表商务部分要求提供的证明材料。</w:t>
      </w:r>
    </w:p>
    <w:p>
      <w:pPr>
        <w:pStyle w:val="4"/>
        <w:spacing w:line="360" w:lineRule="auto"/>
        <w:rPr>
          <w:rFonts w:hint="eastAsia"/>
          <w:color w:val="auto"/>
          <w:highlight w:val="none"/>
        </w:rPr>
      </w:pPr>
      <w:r>
        <w:rPr>
          <w:rFonts w:ascii="宋体" w:hAnsi="宋体"/>
          <w:color w:val="auto"/>
          <w:szCs w:val="21"/>
          <w:highlight w:val="none"/>
        </w:rPr>
        <w:br w:type="page"/>
      </w:r>
    </w:p>
    <w:p>
      <w:pPr>
        <w:pStyle w:val="4"/>
        <w:spacing w:line="360" w:lineRule="auto"/>
        <w:jc w:val="center"/>
        <w:rPr>
          <w:rFonts w:ascii="宋体" w:hAnsi="宋体"/>
          <w:b w:val="0"/>
          <w:bCs w:val="0"/>
          <w:sz w:val="44"/>
          <w:szCs w:val="44"/>
        </w:rPr>
      </w:pPr>
      <w:bookmarkStart w:id="2469" w:name="_Toc24107"/>
      <w:r>
        <w:rPr>
          <w:rFonts w:hint="eastAsia" w:ascii="宋体" w:hAnsi="宋体"/>
          <w:b w:val="0"/>
          <w:bCs w:val="0"/>
          <w:sz w:val="44"/>
          <w:szCs w:val="44"/>
          <w:lang w:val="en-US" w:eastAsia="zh-CN"/>
        </w:rPr>
        <w:t>四</w:t>
      </w:r>
      <w:r>
        <w:rPr>
          <w:rFonts w:hint="eastAsia" w:ascii="宋体" w:hAnsi="宋体"/>
          <w:b w:val="0"/>
          <w:bCs w:val="0"/>
          <w:sz w:val="44"/>
          <w:szCs w:val="44"/>
        </w:rPr>
        <w:t>、技术部分</w:t>
      </w:r>
      <w:bookmarkEnd w:id="2433"/>
      <w:bookmarkEnd w:id="2434"/>
      <w:bookmarkEnd w:id="2440"/>
      <w:bookmarkEnd w:id="2469"/>
    </w:p>
    <w:p>
      <w:pPr>
        <w:jc w:val="center"/>
        <w:rPr>
          <w:rFonts w:ascii="宋体" w:hAnsi="宋体"/>
          <w:i/>
          <w:iCs/>
          <w:kern w:val="0"/>
          <w:szCs w:val="21"/>
        </w:rPr>
      </w:pPr>
      <w:bookmarkStart w:id="2470" w:name="_Toc509218856"/>
      <w:bookmarkStart w:id="2471" w:name="_Toc534185833"/>
      <w:bookmarkStart w:id="2472" w:name="_Toc430530537"/>
      <w:bookmarkStart w:id="2473" w:name="_Toc536628352"/>
      <w:r>
        <w:rPr>
          <w:rFonts w:ascii="宋体" w:hAnsi="宋体"/>
          <w:i/>
          <w:iCs/>
          <w:kern w:val="0"/>
          <w:szCs w:val="21"/>
        </w:rPr>
        <w:t>[</w:t>
      </w:r>
      <w:r>
        <w:rPr>
          <w:rFonts w:hint="eastAsia"/>
          <w:i/>
          <w:iCs/>
        </w:rPr>
        <w:t>提示：</w:t>
      </w:r>
      <w:r>
        <w:rPr>
          <w:i/>
          <w:iCs/>
        </w:rPr>
        <w:t>不设置技术评审的不设此部分</w:t>
      </w:r>
      <w:bookmarkEnd w:id="2435"/>
      <w:bookmarkEnd w:id="2436"/>
      <w:bookmarkEnd w:id="2470"/>
      <w:bookmarkEnd w:id="2471"/>
      <w:bookmarkEnd w:id="2472"/>
      <w:bookmarkEnd w:id="2473"/>
      <w:r>
        <w:rPr>
          <w:rFonts w:ascii="宋体" w:hAnsi="宋体"/>
          <w:i/>
          <w:iCs/>
          <w:kern w:val="0"/>
          <w:szCs w:val="21"/>
        </w:rPr>
        <w:t>]</w:t>
      </w:r>
    </w:p>
    <w:p>
      <w:pPr>
        <w:jc w:val="center"/>
        <w:rPr>
          <w:rFonts w:hint="eastAsia" w:eastAsia="宋体"/>
          <w:i w:val="0"/>
          <w:iCs w:val="0"/>
          <w:lang w:eastAsia="zh-CN"/>
        </w:rPr>
      </w:pPr>
      <w:r>
        <w:rPr>
          <w:rFonts w:hint="eastAsia" w:ascii="宋体" w:hAnsi="宋体"/>
          <w:i w:val="0"/>
          <w:iCs w:val="0"/>
          <w:kern w:val="0"/>
          <w:szCs w:val="21"/>
          <w:lang w:eastAsia="zh-CN"/>
        </w:rPr>
        <w:t>（</w:t>
      </w:r>
      <w:r>
        <w:rPr>
          <w:rFonts w:hint="eastAsia" w:ascii="宋体" w:hAnsi="宋体"/>
          <w:i w:val="0"/>
          <w:iCs w:val="0"/>
          <w:kern w:val="0"/>
          <w:szCs w:val="21"/>
          <w:lang w:val="en-US" w:eastAsia="zh-CN"/>
        </w:rPr>
        <w:t>注：</w:t>
      </w:r>
      <w:r>
        <w:rPr>
          <w:rFonts w:hint="eastAsia" w:ascii="宋体" w:hAnsi="宋体"/>
          <w:i w:val="0"/>
          <w:iCs w:val="0"/>
          <w:szCs w:val="21"/>
        </w:rPr>
        <w:t>电子投标文件技术明</w:t>
      </w:r>
      <w:r>
        <w:rPr>
          <w:rFonts w:hint="eastAsia" w:ascii="宋体" w:hAnsi="宋体"/>
          <w:i w:val="0"/>
          <w:iCs w:val="0"/>
          <w:szCs w:val="21"/>
          <w:lang w:eastAsia="zh-CN"/>
        </w:rPr>
        <w:t>、</w:t>
      </w:r>
      <w:r>
        <w:rPr>
          <w:rFonts w:hint="eastAsia" w:ascii="宋体" w:hAnsi="宋体"/>
          <w:i w:val="0"/>
          <w:iCs w:val="0"/>
          <w:szCs w:val="21"/>
          <w:lang w:val="en-US" w:eastAsia="zh-CN"/>
        </w:rPr>
        <w:t>暗</w:t>
      </w:r>
      <w:r>
        <w:rPr>
          <w:rFonts w:hint="eastAsia" w:ascii="宋体" w:hAnsi="宋体"/>
          <w:i w:val="0"/>
          <w:iCs w:val="0"/>
          <w:szCs w:val="21"/>
        </w:rPr>
        <w:t>标</w:t>
      </w:r>
      <w:r>
        <w:rPr>
          <w:rFonts w:hint="eastAsia" w:ascii="宋体" w:hAnsi="宋体"/>
          <w:i w:val="0"/>
          <w:iCs w:val="0"/>
          <w:szCs w:val="21"/>
          <w:lang w:val="en-US" w:eastAsia="zh-CN"/>
        </w:rPr>
        <w:t>均</w:t>
      </w:r>
      <w:r>
        <w:rPr>
          <w:rFonts w:hint="eastAsia" w:ascii="宋体" w:hAnsi="宋体"/>
          <w:i w:val="0"/>
          <w:iCs w:val="0"/>
          <w:szCs w:val="21"/>
        </w:rPr>
        <w:t>不设封面</w:t>
      </w:r>
      <w:r>
        <w:rPr>
          <w:rFonts w:hint="eastAsia" w:ascii="宋体" w:hAnsi="宋体"/>
          <w:i w:val="0"/>
          <w:iCs w:val="0"/>
          <w:szCs w:val="21"/>
          <w:lang w:eastAsia="zh-CN"/>
        </w:rPr>
        <w:t>。</w:t>
      </w:r>
      <w:r>
        <w:rPr>
          <w:rFonts w:hint="eastAsia" w:ascii="宋体" w:hAnsi="宋体"/>
          <w:i w:val="0"/>
          <w:iCs w:val="0"/>
          <w:szCs w:val="21"/>
        </w:rPr>
        <w:t>投标人应根据招标文件的要求编制技术方案</w:t>
      </w:r>
      <w:r>
        <w:rPr>
          <w:rFonts w:hint="eastAsia" w:ascii="宋体" w:hAnsi="宋体"/>
          <w:i w:val="0"/>
          <w:iCs w:val="0"/>
          <w:szCs w:val="21"/>
          <w:lang w:eastAsia="zh-CN"/>
        </w:rPr>
        <w:t>。</w:t>
      </w:r>
      <w:r>
        <w:rPr>
          <w:rFonts w:hint="eastAsia" w:ascii="宋体" w:hAnsi="宋体"/>
          <w:i w:val="0"/>
          <w:iCs w:val="0"/>
          <w:kern w:val="0"/>
          <w:szCs w:val="21"/>
          <w:lang w:eastAsia="zh-CN"/>
        </w:rPr>
        <w:t>）</w:t>
      </w:r>
    </w:p>
    <w:p>
      <w:pPr>
        <w:autoSpaceDE w:val="0"/>
        <w:autoSpaceDN w:val="0"/>
        <w:adjustRightInd w:val="0"/>
        <w:snapToGrid w:val="0"/>
        <w:spacing w:line="360" w:lineRule="auto"/>
        <w:ind w:firstLine="472" w:firstLineChars="196"/>
        <w:rPr>
          <w:rFonts w:ascii="宋体" w:hAnsi="宋体"/>
          <w:b/>
          <w:snapToGrid w:val="0"/>
          <w:kern w:val="0"/>
          <w:sz w:val="24"/>
        </w:rPr>
      </w:pPr>
    </w:p>
    <w:p>
      <w:pPr>
        <w:autoSpaceDE w:val="0"/>
        <w:autoSpaceDN w:val="0"/>
        <w:adjustRightInd w:val="0"/>
        <w:snapToGrid w:val="0"/>
        <w:spacing w:line="360" w:lineRule="auto"/>
        <w:jc w:val="center"/>
        <w:rPr>
          <w:rFonts w:ascii="宋体" w:hAnsi="宋体"/>
          <w:kern w:val="0"/>
          <w:sz w:val="24"/>
        </w:rPr>
      </w:pPr>
      <w:r>
        <w:rPr>
          <w:rFonts w:ascii="宋体" w:hAnsi="宋体"/>
          <w:kern w:val="0"/>
          <w:sz w:val="24"/>
        </w:rPr>
        <w:br w:type="page"/>
      </w:r>
    </w:p>
    <w:p>
      <w:pPr>
        <w:autoSpaceDE w:val="0"/>
        <w:autoSpaceDN w:val="0"/>
        <w:adjustRightInd w:val="0"/>
        <w:snapToGrid w:val="0"/>
        <w:spacing w:line="360" w:lineRule="auto"/>
        <w:jc w:val="left"/>
        <w:rPr>
          <w:rFonts w:ascii="宋体" w:hAnsi="宋体"/>
          <w:kern w:val="0"/>
          <w:sz w:val="24"/>
          <w:szCs w:val="21"/>
        </w:rPr>
      </w:pPr>
    </w:p>
    <w:p>
      <w:pPr>
        <w:autoSpaceDE w:val="0"/>
        <w:autoSpaceDN w:val="0"/>
        <w:adjustRightInd w:val="0"/>
        <w:snapToGrid w:val="0"/>
        <w:spacing w:line="360" w:lineRule="auto"/>
        <w:jc w:val="center"/>
        <w:rPr>
          <w:rFonts w:ascii="宋体" w:hAnsi="宋体"/>
          <w:kern w:val="0"/>
          <w:sz w:val="32"/>
          <w:szCs w:val="32"/>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 w:val="32"/>
          <w:szCs w:val="32"/>
        </w:rPr>
      </w:pPr>
    </w:p>
    <w:p>
      <w:pPr>
        <w:autoSpaceDE w:val="0"/>
        <w:autoSpaceDN w:val="0"/>
        <w:adjustRightInd w:val="0"/>
        <w:snapToGrid w:val="0"/>
        <w:spacing w:line="360" w:lineRule="auto"/>
        <w:jc w:val="center"/>
        <w:rPr>
          <w:rFonts w:ascii="宋体" w:hAnsi="宋体"/>
          <w:i/>
          <w:iCs/>
          <w:kern w:val="0"/>
          <w:szCs w:val="21"/>
        </w:rPr>
      </w:pPr>
      <w:r>
        <w:rPr>
          <w:rFonts w:hint="eastAsia" w:ascii="宋体" w:hAnsi="宋体"/>
          <w:i w:val="0"/>
          <w:iCs w:val="0"/>
          <w:color w:val="auto"/>
          <w:kern w:val="0"/>
          <w:szCs w:val="21"/>
          <w:highlight w:val="none"/>
          <w:lang w:eastAsia="zh-CN"/>
        </w:rPr>
        <w:t>（</w:t>
      </w:r>
      <w:r>
        <w:rPr>
          <w:rFonts w:hint="eastAsia" w:ascii="宋体" w:hAnsi="宋体"/>
          <w:i w:val="0"/>
          <w:iCs w:val="0"/>
          <w:color w:val="auto"/>
          <w:kern w:val="0"/>
          <w:szCs w:val="21"/>
          <w:highlight w:val="none"/>
          <w:lang w:val="en-US" w:eastAsia="zh-CN"/>
        </w:rPr>
        <w:t>注</w:t>
      </w:r>
      <w:r>
        <w:rPr>
          <w:rFonts w:hint="eastAsia" w:ascii="宋体" w:hAnsi="宋体"/>
          <w:i w:val="0"/>
          <w:iCs w:val="0"/>
          <w:color w:val="auto"/>
          <w:kern w:val="0"/>
          <w:szCs w:val="21"/>
          <w:highlight w:val="none"/>
        </w:rPr>
        <w:t>：</w:t>
      </w:r>
      <w:r>
        <w:rPr>
          <w:rFonts w:ascii="宋体" w:hAnsi="宋体"/>
          <w:i w:val="0"/>
          <w:iCs w:val="0"/>
          <w:color w:val="auto"/>
          <w:kern w:val="0"/>
          <w:szCs w:val="21"/>
          <w:highlight w:val="none"/>
        </w:rPr>
        <w:t>目录由投标人自行编制</w:t>
      </w:r>
      <w:r>
        <w:rPr>
          <w:rFonts w:hint="eastAsia" w:ascii="宋体" w:hAnsi="宋体"/>
          <w:i w:val="0"/>
          <w:iCs w:val="0"/>
          <w:color w:val="auto"/>
          <w:kern w:val="0"/>
          <w:szCs w:val="21"/>
          <w:highlight w:val="none"/>
          <w:lang w:eastAsia="zh-CN"/>
        </w:rPr>
        <w:t>）</w:t>
      </w:r>
    </w:p>
    <w:p>
      <w:pPr>
        <w:autoSpaceDE w:val="0"/>
        <w:autoSpaceDN w:val="0"/>
        <w:adjustRightInd w:val="0"/>
        <w:snapToGrid w:val="0"/>
        <w:spacing w:line="360" w:lineRule="auto"/>
        <w:jc w:val="center"/>
        <w:rPr>
          <w:rFonts w:ascii="宋体" w:hAnsi="宋体"/>
          <w:sz w:val="36"/>
          <w:szCs w:val="36"/>
        </w:rPr>
      </w:pPr>
      <w:r>
        <w:rPr>
          <w:rFonts w:ascii="宋体" w:hAnsi="宋体"/>
        </w:rPr>
        <w:br w:type="page"/>
      </w:r>
    </w:p>
    <w:p>
      <w:pPr>
        <w:pStyle w:val="4"/>
        <w:spacing w:line="360" w:lineRule="auto"/>
        <w:jc w:val="center"/>
        <w:rPr>
          <w:rFonts w:ascii="宋体" w:hAnsi="宋体"/>
          <w:b w:val="0"/>
          <w:bCs w:val="0"/>
          <w:sz w:val="44"/>
          <w:szCs w:val="44"/>
        </w:rPr>
      </w:pPr>
      <w:bookmarkStart w:id="2474" w:name="_Toc277082656"/>
      <w:bookmarkStart w:id="2475" w:name="_Toc287620829"/>
      <w:bookmarkStart w:id="2476" w:name="_Toc224103510"/>
      <w:bookmarkStart w:id="2477" w:name="_Toc430530545"/>
      <w:bookmarkStart w:id="2478" w:name="_Toc287607882"/>
      <w:bookmarkStart w:id="2479" w:name="_Toc31135"/>
      <w:bookmarkStart w:id="2480" w:name="_Toc32055"/>
      <w:r>
        <w:rPr>
          <w:rFonts w:hint="eastAsia" w:ascii="宋体" w:hAnsi="宋体"/>
          <w:b w:val="0"/>
          <w:bCs w:val="0"/>
          <w:sz w:val="44"/>
          <w:szCs w:val="44"/>
          <w:lang w:val="en-US" w:eastAsia="zh-CN"/>
        </w:rPr>
        <w:t>五</w:t>
      </w:r>
      <w:r>
        <w:rPr>
          <w:rFonts w:hint="eastAsia" w:ascii="宋体" w:hAnsi="宋体"/>
          <w:b w:val="0"/>
          <w:bCs w:val="0"/>
          <w:sz w:val="44"/>
          <w:szCs w:val="44"/>
        </w:rPr>
        <w:t>、</w:t>
      </w:r>
      <w:bookmarkEnd w:id="2474"/>
      <w:bookmarkEnd w:id="2475"/>
      <w:bookmarkEnd w:id="2476"/>
      <w:bookmarkEnd w:id="2477"/>
      <w:bookmarkEnd w:id="2478"/>
      <w:r>
        <w:rPr>
          <w:rFonts w:hint="eastAsia" w:ascii="宋体" w:hAnsi="宋体"/>
          <w:b w:val="0"/>
          <w:bCs w:val="0"/>
          <w:sz w:val="44"/>
          <w:szCs w:val="44"/>
        </w:rPr>
        <w:t>资格审查部分</w:t>
      </w:r>
      <w:bookmarkEnd w:id="2479"/>
      <w:bookmarkEnd w:id="2480"/>
    </w:p>
    <w:p>
      <w:pPr>
        <w:spacing w:line="360" w:lineRule="auto"/>
        <w:jc w:val="center"/>
        <w:rPr>
          <w:rFonts w:ascii="宋体" w:hAnsi="宋体"/>
          <w:kern w:val="0"/>
          <w:sz w:val="32"/>
          <w:szCs w:val="32"/>
        </w:rPr>
      </w:pPr>
      <w:r>
        <w:rPr>
          <w:rFonts w:ascii="宋体" w:hAnsi="宋体"/>
          <w:sz w:val="32"/>
          <w:szCs w:val="32"/>
        </w:rPr>
        <w:br w:type="page"/>
      </w: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资格审查部分</w:t>
      </w:r>
    </w:p>
    <w:p>
      <w:pPr>
        <w:autoSpaceDE w:val="0"/>
        <w:autoSpaceDN w:val="0"/>
        <w:adjustRightInd w:val="0"/>
        <w:snapToGrid w:val="0"/>
        <w:spacing w:line="360" w:lineRule="auto"/>
        <w:jc w:val="left"/>
        <w:rPr>
          <w:rFonts w:ascii="宋体" w:hAnsi="宋体" w:cs="MingLiU"/>
          <w:kern w:val="0"/>
          <w:sz w:val="20"/>
          <w:szCs w:val="20"/>
        </w:rPr>
      </w:pPr>
    </w:p>
    <w:p>
      <w:pPr>
        <w:adjustRightInd w:val="0"/>
        <w:snapToGrid w:val="0"/>
        <w:spacing w:line="264" w:lineRule="auto"/>
        <w:rPr>
          <w:rFonts w:ascii="宋体" w:hAnsi="宋体"/>
          <w:szCs w:val="21"/>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tabs>
          <w:tab w:val="left" w:pos="6080"/>
          <w:tab w:val="left" w:pos="6640"/>
        </w:tabs>
        <w:autoSpaceDE w:val="0"/>
        <w:autoSpaceDN w:val="0"/>
        <w:adjustRightInd w:val="0"/>
        <w:snapToGrid w:val="0"/>
        <w:spacing w:line="48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line="48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签名</w:t>
      </w:r>
      <w:r>
        <w:rPr>
          <w:rFonts w:ascii="宋体" w:hAnsi="宋体"/>
          <w:w w:val="99"/>
          <w:kern w:val="0"/>
          <w:sz w:val="28"/>
          <w:szCs w:val="28"/>
        </w:rPr>
        <w:t>或盖章）</w:t>
      </w:r>
    </w:p>
    <w:p>
      <w:pPr>
        <w:tabs>
          <w:tab w:val="left" w:pos="3280"/>
          <w:tab w:val="left" w:pos="4680"/>
          <w:tab w:val="left" w:pos="6080"/>
        </w:tabs>
        <w:autoSpaceDE w:val="0"/>
        <w:autoSpaceDN w:val="0"/>
        <w:adjustRightInd w:val="0"/>
        <w:snapToGrid w:val="0"/>
        <w:spacing w:line="480" w:lineRule="auto"/>
        <w:jc w:val="center"/>
        <w:rPr>
          <w:rFonts w:ascii="宋体" w:hAnsi="宋体"/>
          <w:w w:val="99"/>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日</w:t>
      </w:r>
    </w:p>
    <w:p>
      <w:pPr>
        <w:tabs>
          <w:tab w:val="left" w:pos="3280"/>
          <w:tab w:val="left" w:pos="4680"/>
          <w:tab w:val="left" w:pos="6080"/>
        </w:tabs>
        <w:autoSpaceDE w:val="0"/>
        <w:autoSpaceDN w:val="0"/>
        <w:adjustRightInd w:val="0"/>
        <w:snapToGrid w:val="0"/>
        <w:spacing w:line="480" w:lineRule="auto"/>
        <w:jc w:val="center"/>
        <w:rPr>
          <w:rFonts w:ascii="宋体" w:hAnsi="宋体"/>
          <w:b/>
          <w:kern w:val="0"/>
          <w:sz w:val="28"/>
          <w:szCs w:val="28"/>
        </w:rPr>
      </w:pPr>
      <w:r>
        <w:rPr>
          <w:rFonts w:ascii="宋体" w:hAnsi="宋体"/>
          <w:w w:val="99"/>
          <w:kern w:val="0"/>
          <w:sz w:val="28"/>
          <w:szCs w:val="28"/>
        </w:rPr>
        <w:br w:type="page"/>
      </w:r>
    </w:p>
    <w:p>
      <w:pPr>
        <w:autoSpaceDE w:val="0"/>
        <w:autoSpaceDN w:val="0"/>
        <w:adjustRightInd w:val="0"/>
        <w:snapToGrid w:val="0"/>
        <w:jc w:val="center"/>
        <w:rPr>
          <w:rFonts w:ascii="宋体" w:hAnsi="宋体"/>
          <w:kern w:val="0"/>
          <w:sz w:val="36"/>
          <w:szCs w:val="36"/>
        </w:rPr>
      </w:pPr>
      <w:r>
        <w:rPr>
          <w:rFonts w:hint="eastAsia" w:ascii="宋体" w:hAnsi="宋体"/>
          <w:kern w:val="0"/>
          <w:sz w:val="36"/>
          <w:szCs w:val="36"/>
        </w:rPr>
        <w:t>目  录</w:t>
      </w:r>
    </w:p>
    <w:p>
      <w:pPr>
        <w:spacing w:line="360" w:lineRule="auto"/>
        <w:jc w:val="center"/>
        <w:rPr>
          <w:rFonts w:ascii="宋体" w:hAnsi="宋体"/>
          <w:b/>
          <w:kern w:val="0"/>
          <w:sz w:val="32"/>
          <w:szCs w:val="32"/>
        </w:rPr>
      </w:pPr>
    </w:p>
    <w:p>
      <w:pPr>
        <w:spacing w:line="360" w:lineRule="auto"/>
        <w:ind w:firstLine="420" w:firstLineChars="200"/>
        <w:rPr>
          <w:rFonts w:ascii="宋体" w:hAnsi="宋体"/>
          <w:szCs w:val="21"/>
        </w:rPr>
      </w:pPr>
      <w:r>
        <w:rPr>
          <w:rFonts w:ascii="宋体" w:hAnsi="宋体"/>
          <w:szCs w:val="21"/>
        </w:rPr>
        <w:t>（一）</w:t>
      </w:r>
      <w:r>
        <w:rPr>
          <w:rFonts w:hint="eastAsia" w:ascii="宋体" w:hAnsi="宋体"/>
          <w:szCs w:val="21"/>
        </w:rPr>
        <w:t>法定代表人身份证明或授权委托书</w:t>
      </w:r>
    </w:p>
    <w:p>
      <w:pPr>
        <w:spacing w:line="360" w:lineRule="auto"/>
        <w:ind w:firstLine="420" w:firstLineChars="200"/>
        <w:rPr>
          <w:rFonts w:ascii="宋体" w:hAnsi="宋体"/>
          <w:szCs w:val="21"/>
        </w:rPr>
      </w:pPr>
      <w:r>
        <w:rPr>
          <w:rFonts w:ascii="宋体" w:hAnsi="宋体"/>
          <w:szCs w:val="21"/>
        </w:rPr>
        <w:t>（二）</w:t>
      </w:r>
      <w:r>
        <w:rPr>
          <w:rFonts w:hint="eastAsia" w:ascii="宋体" w:hAnsi="宋体"/>
          <w:lang w:val="en-US" w:eastAsia="zh-CN"/>
        </w:rPr>
        <w:t>共同投标协议</w:t>
      </w:r>
      <w:r>
        <w:rPr>
          <w:rFonts w:hint="eastAsia" w:ascii="宋体" w:hAnsi="宋体"/>
          <w:szCs w:val="21"/>
        </w:rPr>
        <w:t>（如有）</w:t>
      </w:r>
    </w:p>
    <w:p>
      <w:pPr>
        <w:spacing w:line="360" w:lineRule="auto"/>
        <w:ind w:firstLine="420" w:firstLineChars="200"/>
        <w:rPr>
          <w:rFonts w:ascii="宋体" w:hAnsi="宋体"/>
          <w:szCs w:val="21"/>
        </w:rPr>
      </w:pPr>
      <w:r>
        <w:rPr>
          <w:rFonts w:ascii="宋体" w:hAnsi="宋体"/>
          <w:szCs w:val="21"/>
        </w:rPr>
        <w:t>（三）</w:t>
      </w:r>
      <w:r>
        <w:rPr>
          <w:rFonts w:hint="eastAsia" w:ascii="宋体" w:hAnsi="宋体"/>
          <w:szCs w:val="21"/>
        </w:rPr>
        <w:t>承诺</w:t>
      </w:r>
    </w:p>
    <w:p>
      <w:pPr>
        <w:spacing w:line="360" w:lineRule="auto"/>
        <w:ind w:firstLine="420" w:firstLineChars="200"/>
        <w:rPr>
          <w:rFonts w:ascii="宋体" w:hAnsi="宋体"/>
          <w:szCs w:val="21"/>
        </w:rPr>
      </w:pPr>
      <w:r>
        <w:rPr>
          <w:rFonts w:ascii="宋体" w:hAnsi="宋体"/>
          <w:szCs w:val="21"/>
        </w:rPr>
        <w:t>（</w:t>
      </w:r>
      <w:r>
        <w:rPr>
          <w:rFonts w:hint="eastAsia" w:ascii="宋体" w:hAnsi="宋体"/>
          <w:szCs w:val="21"/>
          <w:lang w:val="en-US" w:eastAsia="zh-CN"/>
        </w:rPr>
        <w:t>四</w:t>
      </w:r>
      <w:r>
        <w:rPr>
          <w:rFonts w:ascii="宋体" w:hAnsi="宋体"/>
          <w:szCs w:val="21"/>
        </w:rPr>
        <w:t>）其他资料</w:t>
      </w:r>
    </w:p>
    <w:p>
      <w:pPr>
        <w:spacing w:line="360" w:lineRule="auto"/>
        <w:jc w:val="both"/>
        <w:rPr>
          <w:rFonts w:ascii="宋体" w:hAnsi="宋体"/>
          <w:b/>
          <w:kern w:val="0"/>
          <w:sz w:val="32"/>
          <w:szCs w:val="32"/>
        </w:rPr>
      </w:pPr>
    </w:p>
    <w:p>
      <w:pPr>
        <w:spacing w:line="360" w:lineRule="auto"/>
        <w:jc w:val="center"/>
        <w:rPr>
          <w:rFonts w:ascii="宋体" w:hAnsi="宋体"/>
          <w:b/>
          <w:kern w:val="0"/>
          <w:sz w:val="32"/>
          <w:szCs w:val="32"/>
        </w:rPr>
      </w:pPr>
    </w:p>
    <w:p>
      <w:pPr>
        <w:pStyle w:val="5"/>
        <w:spacing w:before="0" w:after="0" w:line="240" w:lineRule="auto"/>
        <w:jc w:val="center"/>
        <w:rPr>
          <w:rFonts w:ascii="宋体" w:hAnsi="宋体"/>
          <w:sz w:val="36"/>
          <w:szCs w:val="36"/>
        </w:rPr>
      </w:pPr>
      <w:r>
        <w:rPr>
          <w:rFonts w:ascii="宋体" w:hAnsi="宋体"/>
        </w:rPr>
        <w:br w:type="page"/>
      </w:r>
      <w:bookmarkStart w:id="2481" w:name="_Toc277082657"/>
      <w:bookmarkStart w:id="2482" w:name="_Toc287607883"/>
      <w:bookmarkStart w:id="2483" w:name="_Toc287620830"/>
      <w:bookmarkStart w:id="2484" w:name="_Toc26028"/>
      <w:bookmarkStart w:id="2485" w:name="_Toc224103511"/>
      <w:bookmarkStart w:id="2486" w:name="_Toc3130"/>
      <w:bookmarkStart w:id="2487" w:name="_Toc430530546"/>
      <w:r>
        <w:rPr>
          <w:rFonts w:hint="eastAsia" w:ascii="宋体" w:hAnsi="宋体"/>
          <w:b w:val="0"/>
          <w:bCs w:val="0"/>
        </w:rPr>
        <w:t>（一）法定代表人身份证明或授权委托书</w:t>
      </w:r>
      <w:bookmarkEnd w:id="2481"/>
      <w:bookmarkEnd w:id="2482"/>
      <w:bookmarkEnd w:id="2483"/>
      <w:bookmarkEnd w:id="2484"/>
      <w:bookmarkEnd w:id="2485"/>
      <w:bookmarkEnd w:id="2486"/>
      <w:bookmarkEnd w:id="2487"/>
    </w:p>
    <w:p>
      <w:pPr>
        <w:spacing w:line="480" w:lineRule="auto"/>
        <w:jc w:val="center"/>
        <w:rPr>
          <w:rFonts w:ascii="宋体" w:hAnsi="宋体"/>
          <w:sz w:val="28"/>
        </w:rPr>
      </w:pPr>
      <w:r>
        <w:rPr>
          <w:rFonts w:hint="eastAsia" w:ascii="宋体" w:hAnsi="宋体"/>
          <w:sz w:val="28"/>
        </w:rPr>
        <w:t>法定代表人身份证明</w:t>
      </w:r>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w:t>
      </w:r>
      <w:r>
        <w:rPr>
          <w:rFonts w:hint="eastAsia" w:ascii="宋体" w:hAnsi="宋体"/>
          <w:kern w:val="0"/>
          <w:szCs w:val="21"/>
          <w:lang w:val="en-US" w:eastAsia="zh-CN"/>
        </w:rPr>
        <w:t>明</w:t>
      </w:r>
      <w:r>
        <w:rPr>
          <w:rFonts w:hint="eastAsia" w:ascii="宋体" w:hAnsi="宋体"/>
          <w:kern w:val="0"/>
          <w:szCs w:val="21"/>
        </w:rPr>
        <w:t>扫描件（双面）</w:t>
      </w:r>
    </w:p>
    <w:p>
      <w:pPr>
        <w:autoSpaceDE w:val="0"/>
        <w:autoSpaceDN w:val="0"/>
        <w:adjustRightInd w:val="0"/>
        <w:snapToGrid w:val="0"/>
        <w:spacing w:line="360" w:lineRule="auto"/>
        <w:jc w:val="left"/>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autoSpaceDE w:val="0"/>
        <w:autoSpaceDN w:val="0"/>
        <w:adjustRightInd w:val="0"/>
        <w:snapToGrid w:val="0"/>
        <w:spacing w:line="480" w:lineRule="auto"/>
        <w:ind w:firstLine="420" w:firstLineChars="2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r>
        <w:rPr>
          <w:rFonts w:ascii="宋体" w:hAnsi="宋体"/>
        </w:rPr>
        <w:t>注：法定代表人身份证明需按上述格式填写完整，不可缺少内容。在此基础上增加内容的不影响其有效性</w:t>
      </w:r>
      <w:r>
        <w:rPr>
          <w:rFonts w:hint="eastAsia" w:ascii="宋体" w:hAnsi="宋体"/>
          <w:kern w:val="0"/>
          <w:szCs w:val="21"/>
        </w:rPr>
        <w:t>。</w:t>
      </w: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b/>
          <w:kern w:val="0"/>
          <w:sz w:val="28"/>
          <w:szCs w:val="28"/>
        </w:rPr>
        <w:br w:type="page"/>
      </w:r>
      <w:r>
        <w:rPr>
          <w:rFonts w:ascii="宋体" w:hAnsi="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w:t>
      </w:r>
      <w:r>
        <w:rPr>
          <w:rFonts w:hint="eastAsia" w:ascii="宋体" w:hAnsi="宋体"/>
          <w:kern w:val="0"/>
          <w:szCs w:val="21"/>
          <w:lang w:val="en-US" w:eastAsia="zh-CN"/>
        </w:rPr>
        <w:t>代表我方</w:t>
      </w:r>
      <w:r>
        <w:rPr>
          <w:rFonts w:ascii="宋体" w:hAnsi="宋体"/>
          <w:kern w:val="0"/>
          <w:szCs w:val="21"/>
        </w:rPr>
        <w:t>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hint="eastAsia" w:ascii="宋体" w:hAnsi="宋体"/>
          <w:spacing w:val="-1"/>
          <w:kern w:val="0"/>
          <w:szCs w:val="21"/>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w:t>
      </w:r>
      <w:r>
        <w:rPr>
          <w:rFonts w:hint="eastAsia" w:ascii="宋体" w:hAnsi="宋体"/>
          <w:kern w:val="0"/>
          <w:szCs w:val="21"/>
          <w:lang w:val="en-US" w:eastAsia="zh-CN"/>
        </w:rPr>
        <w:t>明</w:t>
      </w:r>
      <w:r>
        <w:rPr>
          <w:rFonts w:hint="eastAsia" w:ascii="宋体" w:hAnsi="宋体"/>
          <w:kern w:val="0"/>
          <w:szCs w:val="21"/>
        </w:rPr>
        <w:t>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pPr>
        <w:tabs>
          <w:tab w:val="left" w:pos="5760"/>
        </w:tabs>
        <w:autoSpaceDE w:val="0"/>
        <w:autoSpaceDN w:val="0"/>
        <w:adjustRightInd w:val="0"/>
        <w:spacing w:line="360" w:lineRule="auto"/>
        <w:ind w:firstLine="420" w:firstLineChars="200"/>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pPr>
        <w:autoSpaceDE w:val="0"/>
        <w:autoSpaceDN w:val="0"/>
        <w:adjustRightInd w:val="0"/>
        <w:snapToGrid w:val="0"/>
        <w:jc w:val="center"/>
        <w:rPr>
          <w:rFonts w:ascii="宋体" w:hAnsi="宋体"/>
        </w:rPr>
      </w:pPr>
      <w:r>
        <w:rPr>
          <w:rFonts w:ascii="宋体" w:hAnsi="宋体"/>
        </w:rPr>
        <w:br w:type="page"/>
      </w:r>
    </w:p>
    <w:p>
      <w:pPr>
        <w:pStyle w:val="5"/>
        <w:spacing w:before="0" w:after="0" w:line="240" w:lineRule="auto"/>
        <w:jc w:val="center"/>
        <w:rPr>
          <w:rFonts w:ascii="宋体" w:hAnsi="宋体"/>
          <w:b w:val="0"/>
          <w:bCs w:val="0"/>
        </w:rPr>
      </w:pPr>
      <w:bookmarkStart w:id="2488" w:name="_Toc430530547"/>
      <w:bookmarkStart w:id="2489" w:name="_Toc26866"/>
      <w:bookmarkStart w:id="2490" w:name="_Toc4342"/>
      <w:bookmarkStart w:id="2491" w:name="_Toc224103512"/>
      <w:bookmarkStart w:id="2492" w:name="_Toc277082658"/>
      <w:bookmarkStart w:id="2493" w:name="_Toc287607884"/>
      <w:bookmarkStart w:id="2494" w:name="_Toc287620831"/>
      <w:r>
        <w:rPr>
          <w:rFonts w:hint="eastAsia" w:ascii="宋体" w:hAnsi="宋体"/>
          <w:b w:val="0"/>
          <w:bCs w:val="0"/>
        </w:rPr>
        <w:t>（二）</w:t>
      </w:r>
      <w:r>
        <w:rPr>
          <w:rFonts w:hint="eastAsia" w:ascii="宋体" w:hAnsi="宋体"/>
          <w:lang w:val="en-US" w:eastAsia="zh-CN"/>
        </w:rPr>
        <w:t>共同投标协议</w:t>
      </w:r>
      <w:bookmarkEnd w:id="2488"/>
      <w:r>
        <w:rPr>
          <w:rFonts w:hint="eastAsia" w:ascii="宋体" w:hAnsi="宋体"/>
          <w:b w:val="0"/>
          <w:bCs w:val="0"/>
        </w:rPr>
        <w:t>（如有）</w:t>
      </w:r>
      <w:bookmarkEnd w:id="2489"/>
      <w:bookmarkEnd w:id="2490"/>
    </w:p>
    <w:bookmarkEnd w:id="2491"/>
    <w:bookmarkEnd w:id="2492"/>
    <w:bookmarkEnd w:id="2493"/>
    <w:bookmarkEnd w:id="2494"/>
    <w:p>
      <w:pPr>
        <w:autoSpaceDE w:val="0"/>
        <w:autoSpaceDN w:val="0"/>
        <w:adjustRightInd w:val="0"/>
        <w:snapToGrid w:val="0"/>
        <w:spacing w:line="500" w:lineRule="exact"/>
        <w:ind w:firstLine="420" w:firstLineChars="200"/>
        <w:rPr>
          <w:rFonts w:ascii="宋体" w:hAnsi="宋体"/>
          <w:snapToGrid w:val="0"/>
          <w:kern w:val="0"/>
          <w:szCs w:val="21"/>
        </w:rPr>
      </w:pPr>
      <w:bookmarkStart w:id="2495" w:name="_Toc287607887"/>
      <w:bookmarkStart w:id="2496" w:name="_Toc277082659"/>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2.联合体牵头人合法代表联合体各成员负责本招标项目投标文件编制和合同谈判活动，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3.联合体将严格按照招标文件的各项要求，递交投标文件，履行合同，并对外承担连带责任。</w:t>
      </w:r>
    </w:p>
    <w:p>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pPr>
        <w:autoSpaceDE w:val="0"/>
        <w:autoSpaceDN w:val="0"/>
        <w:adjustRightInd w:val="0"/>
        <w:spacing w:line="500" w:lineRule="exact"/>
        <w:ind w:firstLine="420" w:firstLineChars="200"/>
        <w:jc w:val="left"/>
        <w:rPr>
          <w:rFonts w:ascii="宋体" w:hAnsi="宋体"/>
          <w:kern w:val="0"/>
          <w:szCs w:val="21"/>
        </w:rPr>
      </w:pPr>
      <w:r>
        <w:rPr>
          <w:rFonts w:ascii="宋体" w:hAnsi="宋体"/>
          <w:snapToGrid w:val="0"/>
          <w:kern w:val="0"/>
          <w:szCs w:val="21"/>
        </w:rPr>
        <w:t>5.</w:t>
      </w:r>
      <w:r>
        <w:rPr>
          <w:rFonts w:ascii="宋体" w:hAnsi="宋体"/>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jc w:val="center"/>
              <w:rPr>
                <w:rFonts w:ascii="宋体" w:hAnsi="宋体"/>
                <w:snapToGrid w:val="0"/>
                <w:kern w:val="0"/>
                <w:szCs w:val="21"/>
              </w:rPr>
            </w:pPr>
            <w:r>
              <w:rPr>
                <w:rFonts w:hint="eastAsia" w:ascii="宋体" w:hAnsi="宋体"/>
                <w:snapToGrid w:val="0"/>
                <w:kern w:val="0"/>
                <w:szCs w:val="21"/>
              </w:rPr>
              <w:t>联合体成员</w:t>
            </w:r>
            <w:r>
              <w:rPr>
                <w:rFonts w:ascii="宋体" w:hAnsi="宋体"/>
                <w:snapToGrid w:val="0"/>
                <w:kern w:val="0"/>
                <w:szCs w:val="21"/>
              </w:rPr>
              <w:t>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bl>
    <w:p>
      <w:pPr>
        <w:tabs>
          <w:tab w:val="left" w:pos="2020"/>
          <w:tab w:val="left" w:pos="4680"/>
          <w:tab w:val="left" w:pos="7640"/>
          <w:tab w:val="left" w:pos="7820"/>
        </w:tabs>
        <w:autoSpaceDE w:val="0"/>
        <w:autoSpaceDN w:val="0"/>
        <w:adjustRightInd w:val="0"/>
        <w:spacing w:line="500" w:lineRule="exact"/>
        <w:ind w:firstLine="420" w:firstLineChars="200"/>
        <w:jc w:val="left"/>
        <w:rPr>
          <w:rFonts w:ascii="宋体" w:hAnsi="宋体"/>
          <w:spacing w:val="7"/>
          <w:kern w:val="0"/>
          <w:szCs w:val="21"/>
        </w:rPr>
      </w:pPr>
      <w:r>
        <w:rPr>
          <w:rFonts w:ascii="宋体" w:hAnsi="宋体"/>
          <w:kern w:val="0"/>
          <w:szCs w:val="21"/>
        </w:rPr>
        <w:t>6</w:t>
      </w:r>
      <w:r>
        <w:rPr>
          <w:rFonts w:ascii="宋体" w:hAnsi="宋体"/>
          <w:spacing w:val="7"/>
          <w:kern w:val="0"/>
          <w:szCs w:val="21"/>
        </w:rPr>
        <w:t>.</w:t>
      </w:r>
      <w:r>
        <w:rPr>
          <w:rFonts w:hint="eastAsia" w:ascii="宋体" w:hAnsi="宋体"/>
          <w:spacing w:val="7"/>
          <w:kern w:val="0"/>
          <w:szCs w:val="21"/>
        </w:rPr>
        <w:t>由联合体牵头人委派</w:t>
      </w:r>
      <w:r>
        <w:rPr>
          <w:rFonts w:hint="eastAsia" w:ascii="宋体" w:hAnsi="宋体"/>
          <w:spacing w:val="7"/>
          <w:kern w:val="0"/>
          <w:szCs w:val="21"/>
          <w:lang w:val="en-US" w:eastAsia="zh-CN"/>
        </w:rPr>
        <w:t>本单位人员作为</w:t>
      </w:r>
      <w:r>
        <w:rPr>
          <w:rFonts w:hint="eastAsia" w:ascii="宋体" w:hAnsi="宋体"/>
          <w:spacing w:val="7"/>
          <w:kern w:val="0"/>
          <w:szCs w:val="21"/>
        </w:rPr>
        <w:t>委托代理人。</w:t>
      </w:r>
    </w:p>
    <w:p>
      <w:pPr>
        <w:autoSpaceDE w:val="0"/>
        <w:autoSpaceDN w:val="0"/>
        <w:adjustRightInd w:val="0"/>
        <w:spacing w:line="500" w:lineRule="exact"/>
        <w:ind w:firstLine="448" w:firstLineChars="200"/>
        <w:jc w:val="left"/>
        <w:rPr>
          <w:rFonts w:ascii="宋体" w:hAnsi="宋体"/>
          <w:kern w:val="0"/>
          <w:szCs w:val="21"/>
        </w:rPr>
      </w:pPr>
      <w:r>
        <w:rPr>
          <w:rFonts w:hint="eastAsia" w:ascii="宋体" w:hAnsi="宋体"/>
          <w:spacing w:val="7"/>
          <w:kern w:val="0"/>
          <w:szCs w:val="21"/>
        </w:rPr>
        <w:t>7.</w:t>
      </w:r>
      <w:r>
        <w:rPr>
          <w:rFonts w:ascii="宋体" w:hAnsi="宋体"/>
          <w:spacing w:val="7"/>
          <w:kern w:val="0"/>
          <w:szCs w:val="21"/>
        </w:rPr>
        <w:t>投标工作和联合体</w:t>
      </w:r>
      <w:r>
        <w:rPr>
          <w:rFonts w:ascii="宋体" w:hAnsi="宋体"/>
          <w:spacing w:val="5"/>
          <w:kern w:val="0"/>
          <w:szCs w:val="21"/>
        </w:rPr>
        <w:t>在</w:t>
      </w:r>
      <w:r>
        <w:rPr>
          <w:rFonts w:ascii="宋体" w:hAnsi="宋体"/>
          <w:spacing w:val="7"/>
          <w:kern w:val="0"/>
          <w:szCs w:val="21"/>
        </w:rPr>
        <w:t>中标后工程实施过</w:t>
      </w:r>
      <w:r>
        <w:rPr>
          <w:rFonts w:ascii="宋体" w:hAnsi="宋体"/>
          <w:spacing w:val="5"/>
          <w:kern w:val="0"/>
          <w:szCs w:val="21"/>
        </w:rPr>
        <w:t>程</w:t>
      </w:r>
      <w:r>
        <w:rPr>
          <w:rFonts w:ascii="宋体" w:hAnsi="宋体"/>
          <w:spacing w:val="7"/>
          <w:kern w:val="0"/>
          <w:szCs w:val="21"/>
        </w:rPr>
        <w:t>中的有关费用按各</w:t>
      </w:r>
      <w:r>
        <w:rPr>
          <w:rFonts w:ascii="宋体" w:hAnsi="宋体"/>
          <w:spacing w:val="5"/>
          <w:kern w:val="0"/>
          <w:szCs w:val="21"/>
        </w:rPr>
        <w:t>自</w:t>
      </w:r>
      <w:r>
        <w:rPr>
          <w:rFonts w:ascii="宋体" w:hAnsi="宋体"/>
          <w:spacing w:val="7"/>
          <w:kern w:val="0"/>
          <w:szCs w:val="21"/>
        </w:rPr>
        <w:t>承担的工作</w:t>
      </w:r>
      <w:r>
        <w:rPr>
          <w:rFonts w:ascii="宋体" w:hAnsi="宋体"/>
          <w:kern w:val="0"/>
          <w:szCs w:val="21"/>
        </w:rPr>
        <w:t>量分摊。</w:t>
      </w:r>
    </w:p>
    <w:p>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kern w:val="0"/>
          <w:szCs w:val="21"/>
        </w:rPr>
      </w:pPr>
      <w:r>
        <w:rPr>
          <w:rFonts w:hint="eastAsia" w:ascii="宋体" w:hAnsi="宋体"/>
          <w:snapToGrid w:val="0"/>
          <w:kern w:val="0"/>
          <w:szCs w:val="21"/>
        </w:rPr>
        <w:t>8</w:t>
      </w:r>
      <w:r>
        <w:rPr>
          <w:rFonts w:ascii="宋体" w:hAnsi="宋体"/>
          <w:snapToGrid w:val="0"/>
          <w:kern w:val="0"/>
          <w:szCs w:val="21"/>
        </w:rPr>
        <w:t>.本协议书自签署之日起生效，合同履行完毕后自动失效。</w:t>
      </w:r>
    </w:p>
    <w:p>
      <w:pPr>
        <w:autoSpaceDE w:val="0"/>
        <w:autoSpaceDN w:val="0"/>
        <w:adjustRightInd w:val="0"/>
        <w:snapToGrid w:val="0"/>
        <w:spacing w:line="500" w:lineRule="exact"/>
        <w:ind w:firstLine="390" w:firstLineChars="186"/>
        <w:jc w:val="left"/>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.本协议书一式</w:t>
      </w:r>
      <w:r>
        <w:rPr>
          <w:rFonts w:hint="eastAsia" w:ascii="宋体" w:hAnsi="宋体"/>
          <w:snapToGrid w:val="0"/>
          <w:kern w:val="0"/>
          <w:szCs w:val="21"/>
          <w:u w:val="single"/>
        </w:rPr>
        <w:t xml:space="preserve">    </w:t>
      </w:r>
      <w:r>
        <w:rPr>
          <w:rFonts w:ascii="宋体" w:hAnsi="宋体"/>
          <w:snapToGrid w:val="0"/>
          <w:kern w:val="0"/>
          <w:szCs w:val="21"/>
        </w:rPr>
        <w:t>份，联合体成员和招标人各执</w:t>
      </w:r>
      <w:r>
        <w:rPr>
          <w:rFonts w:hint="eastAsia" w:ascii="宋体" w:hAnsi="宋体"/>
          <w:snapToGrid w:val="0"/>
          <w:kern w:val="0"/>
          <w:szCs w:val="21"/>
          <w:u w:val="single"/>
        </w:rPr>
        <w:t xml:space="preserve">    </w:t>
      </w:r>
      <w:r>
        <w:rPr>
          <w:rFonts w:ascii="宋体" w:hAnsi="宋体"/>
          <w:snapToGrid w:val="0"/>
          <w:kern w:val="0"/>
          <w:szCs w:val="21"/>
        </w:rPr>
        <w:t>份。</w:t>
      </w:r>
    </w:p>
    <w:p>
      <w:pPr>
        <w:autoSpaceDE w:val="0"/>
        <w:autoSpaceDN w:val="0"/>
        <w:adjustRightInd w:val="0"/>
        <w:snapToGrid w:val="0"/>
        <w:spacing w:line="500" w:lineRule="exact"/>
        <w:ind w:firstLine="390" w:firstLineChars="186"/>
        <w:jc w:val="left"/>
        <w:rPr>
          <w:rFonts w:ascii="宋体" w:hAnsi="宋体"/>
          <w:snapToGrid w:val="0"/>
          <w:kern w:val="0"/>
          <w:szCs w:val="21"/>
        </w:rPr>
      </w:pPr>
    </w:p>
    <w:p>
      <w:pPr>
        <w:tabs>
          <w:tab w:val="left" w:pos="484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szCs w:val="21"/>
        </w:rPr>
        <w:t>牵头人名称：</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（盖单位法人章）</w:t>
      </w:r>
    </w:p>
    <w:p>
      <w:pPr>
        <w:tabs>
          <w:tab w:val="left" w:pos="526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position w:val="-2"/>
          <w:szCs w:val="21"/>
        </w:rPr>
        <w:t>法定代表人或其委托代理人：</w:t>
      </w:r>
      <w:r>
        <w:rPr>
          <w:rFonts w:hint="eastAsia" w:ascii="宋体" w:hAnsi="宋体"/>
          <w:snapToGrid w:val="0"/>
          <w:kern w:val="0"/>
          <w:position w:val="-2"/>
          <w:szCs w:val="21"/>
          <w:u w:val="single"/>
        </w:rPr>
        <w:t xml:space="preserve">                                    </w:t>
      </w:r>
      <w:r>
        <w:rPr>
          <w:rFonts w:ascii="宋体" w:hAnsi="宋体"/>
          <w:snapToGrid w:val="0"/>
          <w:kern w:val="0"/>
          <w:position w:val="-2"/>
          <w:szCs w:val="21"/>
        </w:rPr>
        <w:t>（</w:t>
      </w:r>
      <w:r>
        <w:rPr>
          <w:rFonts w:hint="eastAsia" w:ascii="宋体" w:hAnsi="宋体"/>
          <w:snapToGrid w:val="0"/>
          <w:kern w:val="0"/>
          <w:szCs w:val="21"/>
        </w:rPr>
        <w:t>签名</w:t>
      </w:r>
      <w:r>
        <w:rPr>
          <w:rFonts w:ascii="宋体" w:hAnsi="宋体"/>
          <w:snapToGrid w:val="0"/>
          <w:kern w:val="0"/>
          <w:szCs w:val="21"/>
        </w:rPr>
        <w:t>或盖章</w:t>
      </w:r>
      <w:r>
        <w:rPr>
          <w:rFonts w:ascii="宋体" w:hAnsi="宋体"/>
          <w:snapToGrid w:val="0"/>
          <w:kern w:val="0"/>
          <w:position w:val="-2"/>
          <w:szCs w:val="21"/>
        </w:rPr>
        <w:t>）</w:t>
      </w:r>
    </w:p>
    <w:p>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w:t>
      </w:r>
      <w:r>
        <w:rPr>
          <w:rFonts w:ascii="宋体" w:hAnsi="宋体"/>
          <w:kern w:val="0"/>
          <w:szCs w:val="21"/>
        </w:rPr>
        <w:t>一名称：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pPr>
        <w:tabs>
          <w:tab w:val="left" w:pos="774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签名</w:t>
      </w:r>
      <w:r>
        <w:rPr>
          <w:rFonts w:ascii="宋体" w:hAnsi="宋体"/>
          <w:snapToGrid w:val="0"/>
          <w:kern w:val="0"/>
          <w:szCs w:val="21"/>
        </w:rPr>
        <w:t>或盖章</w:t>
      </w:r>
      <w:r>
        <w:rPr>
          <w:rFonts w:ascii="宋体" w:hAnsi="宋体"/>
          <w:kern w:val="0"/>
          <w:szCs w:val="21"/>
        </w:rPr>
        <w:t>）</w:t>
      </w:r>
    </w:p>
    <w:p>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联合体其他成员单位二</w:t>
      </w:r>
      <w:r>
        <w:rPr>
          <w:rFonts w:ascii="宋体" w:hAnsi="宋体"/>
          <w:kern w:val="0"/>
          <w:szCs w:val="21"/>
        </w:rPr>
        <w:t>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签名</w:t>
      </w:r>
      <w:r>
        <w:rPr>
          <w:rFonts w:ascii="宋体" w:hAnsi="宋体"/>
          <w:snapToGrid w:val="0"/>
          <w:kern w:val="0"/>
          <w:szCs w:val="21"/>
        </w:rPr>
        <w:t>或盖章</w:t>
      </w:r>
      <w:r>
        <w:rPr>
          <w:rFonts w:ascii="宋体" w:hAnsi="宋体"/>
          <w:kern w:val="0"/>
          <w:szCs w:val="21"/>
        </w:rPr>
        <w:t>）</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spacing w:line="360" w:lineRule="auto"/>
        <w:jc w:val="center"/>
        <w:rPr>
          <w:rFonts w:ascii="宋体" w:hAnsi="宋体"/>
          <w:snapToGrid w:val="0"/>
          <w:szCs w:val="21"/>
        </w:rPr>
      </w:pPr>
    </w:p>
    <w:p>
      <w:pPr>
        <w:spacing w:line="500" w:lineRule="exact"/>
        <w:ind w:firstLine="420" w:firstLineChars="200"/>
        <w:jc w:val="left"/>
        <w:rPr>
          <w:rFonts w:ascii="宋体" w:hAnsi="宋体"/>
          <w:snapToGrid w:val="0"/>
          <w:szCs w:val="21"/>
        </w:rPr>
      </w:pPr>
      <w:r>
        <w:rPr>
          <w:rFonts w:ascii="宋体" w:hAnsi="宋体"/>
          <w:snapToGrid w:val="0"/>
          <w:szCs w:val="21"/>
        </w:rPr>
        <w:t>注：</w:t>
      </w:r>
      <w:r>
        <w:rPr>
          <w:rFonts w:hint="eastAsia" w:ascii="宋体" w:hAnsi="宋体"/>
          <w:snapToGrid w:val="0"/>
          <w:szCs w:val="21"/>
        </w:rPr>
        <w:t>1.在</w:t>
      </w:r>
      <w:r>
        <w:rPr>
          <w:rFonts w:hint="eastAsia" w:ascii="宋体" w:hAnsi="宋体"/>
          <w:lang w:val="en-US" w:eastAsia="zh-CN"/>
        </w:rPr>
        <w:t>共同投标协议</w:t>
      </w:r>
      <w:r>
        <w:rPr>
          <w:rFonts w:hint="eastAsia" w:ascii="宋体" w:hAnsi="宋体"/>
          <w:snapToGrid w:val="0"/>
          <w:szCs w:val="21"/>
        </w:rPr>
        <w:t>第5条联合体各成员单位内部的职责分工中填写的联合体所有成员单位名称应与其营业执照、资质证书、安全生产许可证一致，否则由评标委员会作否决投标处理。</w:t>
      </w:r>
    </w:p>
    <w:p>
      <w:pPr>
        <w:spacing w:line="500" w:lineRule="exact"/>
        <w:ind w:firstLine="420" w:firstLineChars="200"/>
        <w:jc w:val="left"/>
        <w:rPr>
          <w:rFonts w:ascii="宋体" w:hAnsi="宋体"/>
          <w:szCs w:val="21"/>
        </w:rPr>
      </w:pPr>
      <w:r>
        <w:rPr>
          <w:rFonts w:hint="eastAsia" w:ascii="宋体" w:hAnsi="宋体"/>
          <w:snapToGrid w:val="0"/>
          <w:szCs w:val="21"/>
        </w:rPr>
        <w:t>2.</w:t>
      </w:r>
      <w:r>
        <w:rPr>
          <w:rFonts w:ascii="宋体" w:hAnsi="宋体"/>
          <w:snapToGrid w:val="0"/>
          <w:szCs w:val="21"/>
        </w:rPr>
        <w:t>本协议书由委托代理人</w:t>
      </w:r>
      <w:r>
        <w:rPr>
          <w:rFonts w:hint="eastAsia" w:ascii="宋体" w:hAnsi="宋体"/>
          <w:snapToGrid w:val="0"/>
          <w:szCs w:val="21"/>
        </w:rPr>
        <w:t>签名</w:t>
      </w:r>
      <w:r>
        <w:rPr>
          <w:rFonts w:ascii="宋体" w:hAnsi="宋体"/>
          <w:snapToGrid w:val="0"/>
          <w:szCs w:val="21"/>
        </w:rPr>
        <w:t>或盖章的，应附法定代表人</w:t>
      </w:r>
      <w:r>
        <w:rPr>
          <w:rFonts w:hint="eastAsia" w:ascii="宋体" w:hAnsi="宋体"/>
          <w:snapToGrid w:val="0"/>
          <w:szCs w:val="21"/>
        </w:rPr>
        <w:t>签名</w:t>
      </w:r>
      <w:r>
        <w:rPr>
          <w:rFonts w:ascii="宋体" w:hAnsi="宋体"/>
          <w:snapToGrid w:val="0"/>
          <w:szCs w:val="21"/>
        </w:rPr>
        <w:t>或盖章的授权委托书。</w:t>
      </w:r>
    </w:p>
    <w:p>
      <w:pPr>
        <w:spacing w:line="20" w:lineRule="exact"/>
        <w:jc w:val="center"/>
        <w:rPr>
          <w:rFonts w:ascii="宋体" w:hAnsi="宋体"/>
          <w:szCs w:val="21"/>
        </w:rPr>
      </w:pPr>
    </w:p>
    <w:p>
      <w:pPr>
        <w:pStyle w:val="5"/>
        <w:spacing w:before="0" w:after="0" w:line="240" w:lineRule="auto"/>
        <w:jc w:val="center"/>
        <w:rPr>
          <w:rFonts w:hint="default" w:ascii="宋体" w:hAnsi="宋体"/>
          <w:b w:val="0"/>
          <w:bCs w:val="0"/>
          <w:lang w:val="en-US" w:eastAsia="zh-CN"/>
        </w:rPr>
      </w:pPr>
      <w:r>
        <w:rPr>
          <w:rFonts w:ascii="宋体" w:hAnsi="宋体"/>
          <w:szCs w:val="21"/>
        </w:rPr>
        <w:br w:type="page"/>
      </w:r>
      <w:bookmarkEnd w:id="2495"/>
      <w:bookmarkEnd w:id="2496"/>
      <w:bookmarkStart w:id="2497" w:name="_Toc23738"/>
      <w:r>
        <w:rPr>
          <w:rFonts w:hint="eastAsia" w:ascii="宋体" w:hAnsi="宋体"/>
          <w:b w:val="0"/>
          <w:bCs w:val="0"/>
          <w:lang w:eastAsia="zh-CN"/>
        </w:rPr>
        <w:t>（</w:t>
      </w:r>
      <w:r>
        <w:rPr>
          <w:rFonts w:hint="eastAsia" w:ascii="宋体" w:hAnsi="宋体"/>
          <w:b w:val="0"/>
          <w:bCs w:val="0"/>
          <w:lang w:val="en-US" w:eastAsia="zh-CN"/>
        </w:rPr>
        <w:t>三</w:t>
      </w:r>
      <w:r>
        <w:rPr>
          <w:rFonts w:hint="eastAsia" w:ascii="宋体" w:hAnsi="宋体"/>
          <w:b w:val="0"/>
          <w:bCs w:val="0"/>
          <w:lang w:eastAsia="zh-CN"/>
        </w:rPr>
        <w:t>）</w:t>
      </w:r>
      <w:r>
        <w:rPr>
          <w:rFonts w:hint="eastAsia" w:ascii="宋体" w:hAnsi="宋体"/>
          <w:b w:val="0"/>
          <w:bCs w:val="0"/>
          <w:lang w:val="en-US" w:eastAsia="zh-CN"/>
        </w:rPr>
        <w:t>承诺</w:t>
      </w:r>
      <w:bookmarkEnd w:id="2497"/>
    </w:p>
    <w:p>
      <w:pPr>
        <w:snapToGrid w:val="0"/>
        <w:spacing w:line="380" w:lineRule="exact"/>
        <w:rPr>
          <w:rFonts w:ascii="宋体" w:hAnsi="宋体"/>
          <w:szCs w:val="21"/>
          <w:u w:val="single"/>
        </w:rPr>
      </w:pPr>
      <w:r>
        <w:rPr>
          <w:rFonts w:hint="eastAsia" w:ascii="宋体" w:hAnsi="宋体"/>
          <w:szCs w:val="21"/>
          <w:u w:val="single"/>
        </w:rPr>
        <w:t xml:space="preserve">        （招标人名称</w:t>
      </w:r>
      <w:r>
        <w:rPr>
          <w:rFonts w:hint="eastAsia" w:ascii="宋体" w:hAnsi="宋体"/>
          <w:color w:val="auto"/>
          <w:szCs w:val="21"/>
          <w:highlight w:val="none"/>
          <w:u w:val="single"/>
          <w:lang w:eastAsia="zh-CN"/>
        </w:rPr>
        <w:t>。</w:t>
      </w:r>
      <w:r>
        <w:rPr>
          <w:rFonts w:hint="eastAsia" w:ascii="宋体" w:hAnsi="宋体"/>
          <w:color w:val="auto"/>
          <w:szCs w:val="21"/>
          <w:highlight w:val="none"/>
          <w:u w:val="single"/>
        </w:rPr>
        <w:t>有两个及以上招标人的，请填写所有招标人</w:t>
      </w:r>
      <w:r>
        <w:rPr>
          <w:rFonts w:hint="eastAsia" w:ascii="宋体" w:hAnsi="宋体"/>
          <w:color w:val="auto"/>
          <w:szCs w:val="21"/>
          <w:highlight w:val="none"/>
          <w:u w:val="single"/>
          <w:lang w:eastAsia="zh-CN"/>
        </w:rPr>
        <w:t>名称</w:t>
      </w:r>
      <w:r>
        <w:rPr>
          <w:rFonts w:hint="eastAsia" w:ascii="宋体" w:hAnsi="宋体"/>
          <w:szCs w:val="21"/>
          <w:u w:val="single"/>
        </w:rPr>
        <w:t>）</w:t>
      </w:r>
      <w:r>
        <w:rPr>
          <w:rFonts w:hint="eastAsia" w:ascii="宋体" w:hAnsi="宋体"/>
          <w:szCs w:val="21"/>
        </w:rPr>
        <w:t>：</w:t>
      </w:r>
    </w:p>
    <w:p>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pPr>
        <w:snapToGrid w:val="0"/>
        <w:spacing w:line="380" w:lineRule="exact"/>
        <w:ind w:firstLine="420" w:firstLineChars="200"/>
        <w:rPr>
          <w:rFonts w:ascii="宋体" w:hAnsi="宋体"/>
          <w:szCs w:val="21"/>
        </w:rPr>
      </w:pPr>
      <w:r>
        <w:rPr>
          <w:rFonts w:hint="eastAsia" w:ascii="宋体" w:hAnsi="宋体"/>
          <w:szCs w:val="21"/>
        </w:rPr>
        <w:t>1、投标截止日投标资格情况不存在下列情形之一：</w:t>
      </w:r>
    </w:p>
    <w:p>
      <w:pPr>
        <w:snapToGrid w:val="0"/>
        <w:spacing w:line="380" w:lineRule="exact"/>
        <w:ind w:firstLine="420" w:firstLineChars="200"/>
        <w:jc w:val="left"/>
        <w:rPr>
          <w:rFonts w:ascii="宋体" w:hAnsi="宋体"/>
          <w:szCs w:val="21"/>
        </w:rPr>
      </w:pPr>
      <w:r>
        <w:rPr>
          <w:rFonts w:hint="eastAsia" w:ascii="宋体" w:hAnsi="宋体"/>
          <w:szCs w:val="21"/>
        </w:rPr>
        <w:t>（1）被人民法院列入失信被执行人名单且在被执行期内；</w:t>
      </w:r>
    </w:p>
    <w:p>
      <w:pPr>
        <w:snapToGrid w:val="0"/>
        <w:spacing w:line="380" w:lineRule="exact"/>
        <w:ind w:firstLine="420" w:firstLineChars="200"/>
        <w:rPr>
          <w:rFonts w:ascii="宋体" w:hAnsi="宋体"/>
          <w:szCs w:val="21"/>
        </w:rPr>
      </w:pPr>
      <w:r>
        <w:rPr>
          <w:rFonts w:hint="eastAsia" w:ascii="宋体" w:hAnsi="宋体"/>
          <w:szCs w:val="21"/>
        </w:rPr>
        <w:t>（2）被列入《重庆市工程建设领域招标投标信用管理暂行办法》规定的重点关注名单且记分达到12分且在记分有效期内；</w:t>
      </w:r>
    </w:p>
    <w:p>
      <w:pPr>
        <w:snapToGrid w:val="0"/>
        <w:spacing w:line="380" w:lineRule="exact"/>
        <w:ind w:firstLine="420" w:firstLineChars="200"/>
        <w:rPr>
          <w:rFonts w:ascii="宋体" w:hAnsi="宋体"/>
          <w:szCs w:val="21"/>
        </w:rPr>
      </w:pPr>
      <w:r>
        <w:rPr>
          <w:rFonts w:hint="eastAsia" w:ascii="宋体" w:hAnsi="宋体"/>
          <w:szCs w:val="21"/>
        </w:rPr>
        <w:t>（3）被列入《重庆市工程建设领域招标投标信用管理暂行办法》规定的黑名单且在记分有效期内；</w:t>
      </w:r>
    </w:p>
    <w:p>
      <w:pPr>
        <w:snapToGrid w:val="0"/>
        <w:spacing w:line="380" w:lineRule="exact"/>
        <w:ind w:firstLine="420" w:firstLineChars="200"/>
        <w:rPr>
          <w:rFonts w:hint="default" w:ascii="宋体" w:hAnsi="宋体" w:eastAsia="宋体"/>
          <w:szCs w:val="21"/>
          <w:lang w:val="en-US" w:eastAsia="zh-CN"/>
        </w:rPr>
      </w:pPr>
      <w:r>
        <w:rPr>
          <w:rFonts w:hint="eastAsia" w:ascii="宋体" w:hAnsi="宋体"/>
          <w:szCs w:val="21"/>
        </w:rPr>
        <w:t>（4）被国家、重庆市（含市或任意区县）有关行政部门处以暂停投标资格行政处罚</w:t>
      </w:r>
      <w:r>
        <w:rPr>
          <w:rFonts w:hint="eastAsia" w:ascii="宋体" w:hAnsi="宋体" w:eastAsia="宋体" w:cs="Times New Roman"/>
          <w:color w:val="auto"/>
          <w:sz w:val="21"/>
          <w:szCs w:val="21"/>
          <w:highlight w:val="none"/>
          <w:lang w:val="en-US" w:eastAsia="zh-CN"/>
        </w:rPr>
        <w:t>或暂停在渝承揽新业务，且在暂停期限内</w:t>
      </w:r>
      <w:r>
        <w:rPr>
          <w:rFonts w:hint="eastAsia" w:ascii="宋体" w:hAnsi="宋体"/>
          <w:szCs w:val="21"/>
          <w:lang w:val="en-US" w:eastAsia="zh-CN"/>
        </w:rPr>
        <w:t>。</w:t>
      </w:r>
    </w:p>
    <w:p>
      <w:pPr>
        <w:snapToGrid w:val="0"/>
        <w:spacing w:line="380" w:lineRule="exact"/>
        <w:ind w:firstLine="420" w:firstLineChars="200"/>
        <w:rPr>
          <w:rFonts w:ascii="宋体" w:hAnsi="宋体"/>
          <w:szCs w:val="21"/>
        </w:rPr>
      </w:pPr>
      <w:r>
        <w:rPr>
          <w:rFonts w:hint="eastAsia" w:ascii="宋体" w:hAnsi="宋体"/>
          <w:szCs w:val="21"/>
        </w:rPr>
        <w:t>2、我公司拟派的项目经理按注册建造师的相关规定到岗履职和未被禁止参与投标。</w:t>
      </w:r>
    </w:p>
    <w:p>
      <w:pPr>
        <w:snapToGrid w:val="0"/>
        <w:spacing w:line="380" w:lineRule="exact"/>
        <w:ind w:firstLine="420" w:firstLineChars="200"/>
        <w:rPr>
          <w:rFonts w:ascii="宋体" w:hAnsi="宋体"/>
          <w:szCs w:val="21"/>
        </w:rPr>
      </w:pPr>
      <w:r>
        <w:rPr>
          <w:rFonts w:hint="eastAsia" w:ascii="宋体" w:hAnsi="宋体"/>
          <w:szCs w:val="21"/>
        </w:rPr>
        <w:t>2.1拟派的项目经理中标后在本项目任职，签订合同时拟派的项目经理必须与投标文件中的项目经理一致，并满足办理施工许可手续的相关要求。不能按承诺到岗</w:t>
      </w:r>
      <w:r>
        <w:rPr>
          <w:rFonts w:hint="eastAsia" w:ascii="宋体" w:hAnsi="宋体"/>
          <w:szCs w:val="21"/>
          <w:lang w:val="en-US" w:eastAsia="zh-CN"/>
        </w:rPr>
        <w:t>履职</w:t>
      </w:r>
      <w:r>
        <w:rPr>
          <w:rFonts w:hint="eastAsia" w:ascii="宋体" w:hAnsi="宋体"/>
          <w:szCs w:val="21"/>
        </w:rPr>
        <w:t>的，</w:t>
      </w:r>
      <w:r>
        <w:rPr>
          <w:rFonts w:hint="eastAsia" w:ascii="宋体" w:hAnsi="宋体"/>
          <w:szCs w:val="21"/>
          <w:lang w:val="en-US" w:eastAsia="zh-CN"/>
        </w:rPr>
        <w:t>贵单位</w:t>
      </w:r>
      <w:r>
        <w:rPr>
          <w:rFonts w:hint="eastAsia" w:ascii="宋体" w:hAnsi="宋体"/>
          <w:szCs w:val="21"/>
        </w:rPr>
        <w:t>按合同相关条款</w:t>
      </w:r>
      <w:r>
        <w:rPr>
          <w:rFonts w:hint="eastAsia" w:ascii="宋体" w:hAnsi="宋体"/>
          <w:szCs w:val="21"/>
          <w:lang w:val="en-US" w:eastAsia="zh-CN"/>
        </w:rPr>
        <w:t>要求我公司承担责任</w:t>
      </w:r>
      <w:r>
        <w:rPr>
          <w:rFonts w:hint="eastAsia" w:ascii="宋体" w:hAnsi="宋体"/>
          <w:szCs w:val="21"/>
        </w:rPr>
        <w:t>并上报行政主管部门，给贵单位造成损失的，我公司依法承担赔偿责任</w:t>
      </w:r>
      <w:r>
        <w:rPr>
          <w:rFonts w:hint="eastAsia" w:ascii="宋体" w:hAnsi="宋体"/>
          <w:szCs w:val="21"/>
          <w:lang w:val="en-US" w:eastAsia="zh-CN"/>
        </w:rPr>
        <w:t>或违约责任</w:t>
      </w:r>
      <w:r>
        <w:rPr>
          <w:rFonts w:hint="eastAsia" w:ascii="宋体" w:hAnsi="宋体"/>
          <w:szCs w:val="21"/>
        </w:rPr>
        <w:t>。拟派的项目经理中标后不得随意更换。</w:t>
      </w:r>
    </w:p>
    <w:p>
      <w:pPr>
        <w:snapToGrid w:val="0"/>
        <w:spacing w:line="380" w:lineRule="exact"/>
        <w:ind w:firstLine="420" w:firstLineChars="200"/>
        <w:rPr>
          <w:rFonts w:ascii="宋体" w:hAnsi="宋体"/>
          <w:szCs w:val="21"/>
        </w:rPr>
      </w:pPr>
      <w:r>
        <w:rPr>
          <w:rFonts w:hint="eastAsia" w:ascii="宋体" w:hAnsi="宋体"/>
          <w:szCs w:val="21"/>
        </w:rPr>
        <w:t>2.2拟派的项目经理未被</w:t>
      </w:r>
      <w:r>
        <w:rPr>
          <w:rFonts w:hint="eastAsia" w:ascii="宋体" w:hAnsi="宋体"/>
          <w:szCs w:val="21"/>
          <w:lang w:val="en-US" w:eastAsia="zh-CN"/>
        </w:rPr>
        <w:t>有关</w:t>
      </w:r>
      <w:r>
        <w:rPr>
          <w:rFonts w:hint="eastAsia" w:ascii="宋体" w:hAnsi="宋体"/>
          <w:szCs w:val="21"/>
        </w:rPr>
        <w:t>部门暂停</w:t>
      </w:r>
      <w:r>
        <w:rPr>
          <w:rFonts w:hint="eastAsia" w:ascii="宋体" w:hAnsi="宋体"/>
          <w:szCs w:val="21"/>
          <w:lang w:val="en-US" w:eastAsia="zh-CN"/>
        </w:rPr>
        <w:t>其</w:t>
      </w:r>
      <w:r>
        <w:rPr>
          <w:rFonts w:hint="eastAsia" w:ascii="宋体" w:hAnsi="宋体"/>
          <w:szCs w:val="21"/>
        </w:rPr>
        <w:t>在渝承揽</w:t>
      </w:r>
      <w:r>
        <w:rPr>
          <w:rFonts w:hint="eastAsia" w:ascii="宋体" w:hAnsi="宋体"/>
          <w:szCs w:val="21"/>
          <w:lang w:val="en-US" w:eastAsia="zh-CN"/>
        </w:rPr>
        <w:t>的</w:t>
      </w:r>
      <w:r>
        <w:rPr>
          <w:rFonts w:hint="eastAsia" w:ascii="宋体" w:hAnsi="宋体"/>
          <w:szCs w:val="21"/>
        </w:rPr>
        <w:t>新业务</w:t>
      </w:r>
      <w:r>
        <w:rPr>
          <w:rFonts w:hint="eastAsia" w:ascii="宋体" w:hAnsi="宋体"/>
          <w:szCs w:val="21"/>
          <w:lang w:val="en-US" w:eastAsia="zh-CN"/>
        </w:rPr>
        <w:t>中任职</w:t>
      </w:r>
      <w:r>
        <w:rPr>
          <w:rFonts w:hint="eastAsia" w:ascii="宋体" w:hAnsi="宋体"/>
          <w:szCs w:val="21"/>
        </w:rPr>
        <w:t>，若</w:t>
      </w:r>
      <w:r>
        <w:rPr>
          <w:rFonts w:hint="eastAsia" w:ascii="宋体" w:hAnsi="宋体"/>
          <w:szCs w:val="21"/>
          <w:lang w:val="en-US" w:eastAsia="zh-CN"/>
        </w:rPr>
        <w:t>其</w:t>
      </w:r>
      <w:r>
        <w:rPr>
          <w:rFonts w:hint="eastAsia" w:ascii="宋体" w:hAnsi="宋体"/>
          <w:szCs w:val="21"/>
        </w:rPr>
        <w:t>被暂停</w:t>
      </w:r>
      <w:r>
        <w:rPr>
          <w:rFonts w:hint="eastAsia" w:ascii="宋体" w:hAnsi="宋体"/>
          <w:szCs w:val="21"/>
          <w:lang w:val="en-US" w:eastAsia="zh-CN"/>
        </w:rPr>
        <w:t>在渝承揽的新业务中任职但仍参加投标，将被否决投标</w:t>
      </w:r>
      <w:r>
        <w:rPr>
          <w:rFonts w:hint="eastAsia" w:ascii="宋体" w:hAnsi="宋体"/>
          <w:szCs w:val="21"/>
        </w:rPr>
        <w:t>；已取得中标候选人资格或中标资格的，贵单位有权取消我公司中标候选人资格或中标资格；给贵单位造成损失的，我公司依法承担赔偿责任</w:t>
      </w:r>
      <w:r>
        <w:rPr>
          <w:rFonts w:hint="eastAsia" w:ascii="宋体" w:hAnsi="宋体"/>
          <w:szCs w:val="21"/>
          <w:lang w:val="en-US" w:eastAsia="zh-CN"/>
        </w:rPr>
        <w:t>或违约责任</w:t>
      </w:r>
      <w:r>
        <w:rPr>
          <w:rFonts w:hint="eastAsia" w:ascii="宋体" w:hAnsi="宋体"/>
          <w:szCs w:val="21"/>
        </w:rPr>
        <w:t>。</w:t>
      </w:r>
    </w:p>
    <w:p>
      <w:pPr>
        <w:snapToGrid w:val="0"/>
        <w:spacing w:line="380" w:lineRule="exact"/>
        <w:ind w:firstLine="420" w:firstLineChars="200"/>
        <w:rPr>
          <w:rFonts w:ascii="宋体" w:hAnsi="宋体"/>
          <w:szCs w:val="21"/>
        </w:rPr>
      </w:pPr>
      <w:r>
        <w:rPr>
          <w:rFonts w:hint="eastAsia" w:ascii="宋体" w:hAnsi="宋体"/>
          <w:szCs w:val="21"/>
        </w:rPr>
        <w:t>2.3为保证我公司拟派的项目经理到本项目到岗履职，我公司还承诺：</w:t>
      </w:r>
    </w:p>
    <w:p>
      <w:pPr>
        <w:snapToGrid w:val="0"/>
        <w:spacing w:line="380" w:lineRule="exact"/>
        <w:ind w:firstLine="420" w:firstLineChars="200"/>
        <w:rPr>
          <w:rFonts w:ascii="宋体" w:hAnsi="宋体"/>
          <w:szCs w:val="21"/>
        </w:rPr>
      </w:pPr>
      <w:r>
        <w:rPr>
          <w:rFonts w:hint="eastAsia" w:ascii="宋体" w:hAnsi="宋体"/>
          <w:szCs w:val="21"/>
        </w:rPr>
        <w:t>若我公司拟派本项目的项目经理有在其他项目任职的情形的（或有在其他项目中标或拟中标的情形的），应在收到中标通知书后</w:t>
      </w:r>
      <w:r>
        <w:rPr>
          <w:rFonts w:hint="eastAsia" w:ascii="宋体" w:hAnsi="宋体"/>
          <w:szCs w:val="21"/>
          <w:u w:val="single"/>
        </w:rPr>
        <w:t xml:space="preserve"> 14 </w:t>
      </w:r>
      <w:r>
        <w:rPr>
          <w:rFonts w:hint="eastAsia" w:ascii="宋体" w:hAnsi="宋体"/>
          <w:szCs w:val="21"/>
        </w:rPr>
        <w:t>日</w:t>
      </w:r>
      <w:r>
        <w:rPr>
          <w:rFonts w:hint="eastAsia" w:ascii="宋体" w:hAnsi="宋体"/>
          <w:i/>
          <w:iCs/>
          <w:szCs w:val="21"/>
          <w:lang w:val="en-US" w:eastAsia="zh-CN"/>
        </w:rPr>
        <w:t>[提示：</w:t>
      </w:r>
      <w:r>
        <w:rPr>
          <w:rFonts w:hint="eastAsia" w:ascii="宋体" w:hAnsi="宋体"/>
          <w:i/>
          <w:iCs/>
          <w:szCs w:val="21"/>
        </w:rPr>
        <w:t>7～30日</w:t>
      </w:r>
      <w:r>
        <w:rPr>
          <w:rFonts w:hint="eastAsia" w:ascii="宋体" w:hAnsi="宋体"/>
          <w:i/>
          <w:iCs/>
          <w:szCs w:val="21"/>
          <w:lang w:val="en-US" w:eastAsia="zh-CN"/>
        </w:rPr>
        <w:t>]</w:t>
      </w:r>
      <w:r>
        <w:rPr>
          <w:rFonts w:hint="eastAsia" w:ascii="宋体" w:hAnsi="宋体"/>
          <w:szCs w:val="21"/>
        </w:rPr>
        <w:t>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snapToGrid w:val="0"/>
        <w:spacing w:line="380" w:lineRule="exact"/>
        <w:ind w:firstLine="420" w:firstLineChars="200"/>
        <w:rPr>
          <w:rFonts w:ascii="宋体" w:hAnsi="宋体"/>
          <w:szCs w:val="21"/>
        </w:rPr>
      </w:pPr>
      <w:r>
        <w:rPr>
          <w:rFonts w:hint="eastAsia" w:ascii="宋体" w:hAnsi="宋体"/>
          <w:szCs w:val="21"/>
        </w:rPr>
        <w:t>若我公司拟派项目经理放弃在其他项目任职的将提供：①经业主或建设单位同意任职变更的文件；②负责项目监管的行业行政主管部门出具同意任职变更的证明材料。</w:t>
      </w:r>
    </w:p>
    <w:p>
      <w:pPr>
        <w:snapToGrid w:val="0"/>
        <w:spacing w:line="380" w:lineRule="exact"/>
        <w:ind w:firstLine="420" w:firstLineChars="200"/>
        <w:rPr>
          <w:rFonts w:ascii="宋体" w:hAnsi="宋体"/>
          <w:szCs w:val="21"/>
        </w:rPr>
      </w:pPr>
      <w:r>
        <w:rPr>
          <w:rFonts w:hint="eastAsia" w:ascii="宋体" w:hAnsi="宋体"/>
          <w:szCs w:val="21"/>
        </w:rPr>
        <w:t>若我公司拟派项目经理放弃在其他项目中标或拟中标的将提供：①经中标或拟中标的其他项目建设单位同意的放弃中标函。</w:t>
      </w:r>
    </w:p>
    <w:p>
      <w:pPr>
        <w:snapToGrid w:val="0"/>
        <w:spacing w:line="380" w:lineRule="exact"/>
        <w:ind w:firstLine="420" w:firstLineChars="200"/>
        <w:rPr>
          <w:rFonts w:ascii="宋体" w:hAnsi="宋体"/>
          <w:szCs w:val="21"/>
        </w:rPr>
      </w:pPr>
      <w:r>
        <w:rPr>
          <w:rFonts w:hint="eastAsia" w:ascii="宋体" w:hAnsi="宋体"/>
          <w:szCs w:val="21"/>
        </w:rPr>
        <w:t>3、我公司若中标，在签订合同之前，将按照建设行政主管部门的要求组建施工项目部，配置项目管理班子，出具任命文件。任命文件应当明确施工项目部的职责、岗位设置、人员配备，并书面通知</w:t>
      </w:r>
      <w:r>
        <w:rPr>
          <w:rFonts w:hint="eastAsia" w:ascii="宋体" w:hAnsi="宋体"/>
          <w:szCs w:val="21"/>
          <w:lang w:eastAsia="zh-CN"/>
        </w:rPr>
        <w:t>贵单位</w:t>
      </w:r>
      <w:r>
        <w:rPr>
          <w:rFonts w:hint="eastAsia" w:ascii="宋体" w:hAnsi="宋体"/>
          <w:szCs w:val="21"/>
        </w:rPr>
        <w:t>。相关岗位管理人员应持有建设行政主管部门要求的岗位证书，并提供我公司为其缴纳的养老保险证明材料。中标后不能满足该要求的，</w:t>
      </w:r>
      <w:r>
        <w:rPr>
          <w:rFonts w:hint="eastAsia" w:ascii="宋体" w:hAnsi="宋体"/>
          <w:szCs w:val="21"/>
          <w:lang w:val="en-US" w:eastAsia="zh-CN"/>
        </w:rPr>
        <w:t>贵单位可</w:t>
      </w:r>
      <w:r>
        <w:rPr>
          <w:rFonts w:hint="eastAsia" w:ascii="宋体" w:hAnsi="宋体"/>
          <w:szCs w:val="21"/>
        </w:rPr>
        <w:t>取消我公司中标资格</w:t>
      </w:r>
      <w:r>
        <w:rPr>
          <w:rFonts w:hint="eastAsia" w:asciiTheme="minorEastAsia" w:hAnsiTheme="minorEastAsia" w:eastAsiaTheme="minorEastAsia" w:cstheme="minorEastAsia"/>
          <w:color w:val="auto"/>
          <w:szCs w:val="21"/>
          <w:highlight w:val="none"/>
        </w:rPr>
        <w:t>；签订合同后不满足该要求的，</w:t>
      </w:r>
      <w:r>
        <w:rPr>
          <w:rFonts w:hint="eastAsia" w:asciiTheme="minorEastAsia" w:hAnsiTheme="minorEastAsia" w:eastAsiaTheme="minorEastAsia" w:cstheme="minorEastAsia"/>
          <w:color w:val="auto"/>
          <w:szCs w:val="21"/>
          <w:highlight w:val="none"/>
          <w:lang w:val="en-US" w:eastAsia="zh-CN"/>
        </w:rPr>
        <w:t>贵单位</w:t>
      </w:r>
      <w:r>
        <w:rPr>
          <w:rFonts w:hint="eastAsia" w:asciiTheme="minorEastAsia" w:hAnsiTheme="minorEastAsia" w:eastAsiaTheme="minorEastAsia" w:cstheme="minorEastAsia"/>
          <w:color w:val="auto"/>
          <w:szCs w:val="21"/>
          <w:highlight w:val="none"/>
        </w:rPr>
        <w:t>按合同相关条款</w:t>
      </w:r>
      <w:r>
        <w:rPr>
          <w:rFonts w:hint="eastAsia" w:asciiTheme="minorEastAsia" w:hAnsiTheme="minorEastAsia" w:eastAsiaTheme="minorEastAsia" w:cstheme="minorEastAsia"/>
          <w:color w:val="auto"/>
          <w:szCs w:val="21"/>
          <w:highlight w:val="none"/>
          <w:lang w:val="en-US" w:eastAsia="zh-CN"/>
        </w:rPr>
        <w:t>要求我公司承担责任</w:t>
      </w:r>
      <w:r>
        <w:rPr>
          <w:rFonts w:hint="eastAsia" w:asciiTheme="minorEastAsia" w:hAnsiTheme="minorEastAsia" w:eastAsiaTheme="minorEastAsia" w:cstheme="minorEastAsia"/>
          <w:color w:val="auto"/>
          <w:szCs w:val="21"/>
          <w:highlight w:val="none"/>
        </w:rPr>
        <w:t>并上报行政主管部门；</w:t>
      </w:r>
      <w:r>
        <w:rPr>
          <w:rFonts w:hint="eastAsia" w:ascii="宋体" w:hAnsi="宋体"/>
          <w:szCs w:val="21"/>
        </w:rPr>
        <w:t>给</w:t>
      </w:r>
      <w:r>
        <w:rPr>
          <w:rFonts w:hint="eastAsia" w:ascii="宋体" w:hAnsi="宋体"/>
          <w:szCs w:val="21"/>
          <w:lang w:eastAsia="zh-CN"/>
        </w:rPr>
        <w:t>贵单位</w:t>
      </w:r>
      <w:r>
        <w:rPr>
          <w:rFonts w:hint="eastAsia" w:ascii="宋体" w:hAnsi="宋体"/>
          <w:szCs w:val="21"/>
        </w:rPr>
        <w:t>造成损失的，我公司依法承担赔偿责任</w:t>
      </w:r>
      <w:r>
        <w:rPr>
          <w:rFonts w:hint="eastAsia" w:ascii="宋体" w:hAnsi="宋体"/>
          <w:szCs w:val="21"/>
          <w:lang w:val="en-US" w:eastAsia="zh-CN"/>
        </w:rPr>
        <w:t>或违约责任</w:t>
      </w:r>
      <w:r>
        <w:rPr>
          <w:rFonts w:hint="eastAsia" w:ascii="宋体" w:hAnsi="宋体"/>
          <w:szCs w:val="21"/>
        </w:rPr>
        <w:t>。</w:t>
      </w:r>
    </w:p>
    <w:p>
      <w:pPr>
        <w:snapToGrid w:val="0"/>
        <w:spacing w:line="380" w:lineRule="exact"/>
        <w:ind w:firstLine="420" w:firstLineChars="200"/>
        <w:rPr>
          <w:rFonts w:ascii="宋体" w:hAnsi="宋体"/>
          <w:szCs w:val="21"/>
        </w:rPr>
      </w:pPr>
      <w:r>
        <w:rPr>
          <w:rFonts w:hint="eastAsia" w:ascii="宋体" w:hAnsi="宋体"/>
          <w:szCs w:val="21"/>
        </w:rPr>
        <w:t>4、</w:t>
      </w:r>
      <w:r>
        <w:rPr>
          <w:rFonts w:hint="eastAsia" w:ascii="宋体" w:hAnsi="宋体"/>
          <w:szCs w:val="21"/>
          <w:lang w:val="en-US" w:eastAsia="zh-CN"/>
        </w:rPr>
        <w:t>本投标文件</w:t>
      </w:r>
      <w:r>
        <w:rPr>
          <w:rFonts w:hint="eastAsia" w:ascii="宋体" w:hAnsi="宋体"/>
          <w:szCs w:val="21"/>
        </w:rPr>
        <w:t>中</w:t>
      </w:r>
      <w:r>
        <w:rPr>
          <w:rFonts w:hint="eastAsia" w:ascii="宋体" w:hAnsi="宋体"/>
          <w:szCs w:val="21"/>
          <w:lang w:val="en-US" w:eastAsia="zh-CN"/>
        </w:rPr>
        <w:t>的所有内容</w:t>
      </w:r>
      <w:r>
        <w:rPr>
          <w:rFonts w:hint="eastAsia" w:ascii="宋体" w:hAnsi="宋体"/>
          <w:szCs w:val="21"/>
        </w:rPr>
        <w:t>真实有效，不存在弄虚作假情形。</w:t>
      </w:r>
      <w:r>
        <w:rPr>
          <w:rFonts w:hint="eastAsia" w:ascii="宋体" w:hAnsi="宋体"/>
          <w:szCs w:val="21"/>
          <w:u w:val="none"/>
          <w:lang w:eastAsia="zh-CN"/>
        </w:rPr>
        <w:t>贵单位</w:t>
      </w:r>
      <w:r>
        <w:rPr>
          <w:rFonts w:hint="eastAsia" w:ascii="宋体" w:hAnsi="宋体"/>
          <w:szCs w:val="21"/>
          <w:u w:val="none"/>
        </w:rPr>
        <w:t>有权对我</w:t>
      </w:r>
      <w:r>
        <w:rPr>
          <w:rFonts w:hint="eastAsia" w:ascii="宋体" w:hAnsi="宋体"/>
          <w:szCs w:val="21"/>
          <w:u w:val="none"/>
          <w:lang w:eastAsia="zh-CN"/>
        </w:rPr>
        <w:t>公</w:t>
      </w:r>
      <w:r>
        <w:rPr>
          <w:rFonts w:hint="eastAsia" w:ascii="宋体" w:hAnsi="宋体"/>
          <w:szCs w:val="21"/>
          <w:u w:val="none"/>
        </w:rPr>
        <w:t>司提供的资料进行核实，若发现弄虚作假，</w:t>
      </w:r>
      <w:r>
        <w:rPr>
          <w:rFonts w:hint="eastAsia" w:ascii="宋体" w:hAnsi="宋体"/>
          <w:szCs w:val="21"/>
          <w:u w:val="none"/>
          <w:lang w:eastAsia="zh-CN"/>
        </w:rPr>
        <w:t>按相关规定</w:t>
      </w:r>
      <w:r>
        <w:rPr>
          <w:rFonts w:hint="eastAsia" w:ascii="宋体" w:hAnsi="宋体"/>
          <w:szCs w:val="21"/>
          <w:u w:val="none"/>
        </w:rPr>
        <w:t>取消</w:t>
      </w:r>
      <w:r>
        <w:rPr>
          <w:rFonts w:hint="eastAsia" w:ascii="宋体" w:hAnsi="宋体"/>
          <w:szCs w:val="21"/>
          <w:u w:val="none"/>
          <w:lang w:eastAsia="zh-CN"/>
        </w:rPr>
        <w:t>我公司</w:t>
      </w:r>
      <w:r>
        <w:rPr>
          <w:rFonts w:hint="eastAsia" w:ascii="宋体" w:hAnsi="宋体"/>
          <w:szCs w:val="21"/>
          <w:u w:val="none"/>
        </w:rPr>
        <w:t>中标资格，并按相关法律法规报招标投标监督部门，投标保证金以现金形式交纳的不予退还，以保函形式交纳的由保函开立人支付保函担保的与投标保证金等额的款项，我</w:t>
      </w:r>
      <w:r>
        <w:rPr>
          <w:rFonts w:hint="eastAsia" w:ascii="宋体" w:hAnsi="宋体"/>
          <w:szCs w:val="21"/>
          <w:u w:val="none"/>
          <w:lang w:eastAsia="zh-CN"/>
        </w:rPr>
        <w:t>公</w:t>
      </w:r>
      <w:r>
        <w:rPr>
          <w:rFonts w:hint="eastAsia" w:ascii="宋体" w:hAnsi="宋体"/>
          <w:szCs w:val="21"/>
          <w:u w:val="none"/>
        </w:rPr>
        <w:t>司自愿承担因此造成的相关责任并赔偿相应损失</w:t>
      </w:r>
      <w:r>
        <w:rPr>
          <w:rFonts w:hint="eastAsia" w:ascii="宋体" w:hAnsi="宋体"/>
          <w:szCs w:val="21"/>
        </w:rPr>
        <w:t>。</w:t>
      </w:r>
    </w:p>
    <w:p>
      <w:pPr>
        <w:snapToGrid w:val="0"/>
        <w:spacing w:line="380" w:lineRule="exact"/>
        <w:ind w:firstLine="420" w:firstLineChars="200"/>
        <w:rPr>
          <w:rFonts w:ascii="宋体" w:hAnsi="宋体"/>
          <w:szCs w:val="21"/>
        </w:rPr>
      </w:pPr>
      <w:r>
        <w:rPr>
          <w:rFonts w:hint="eastAsia" w:ascii="宋体" w:hAnsi="宋体"/>
          <w:szCs w:val="21"/>
        </w:rPr>
        <w:t>5、我公司不存在第二章 投标人须知第 1.4.3 项规定的任何一种情形。</w:t>
      </w:r>
    </w:p>
    <w:p>
      <w:pPr>
        <w:snapToGrid w:val="0"/>
        <w:spacing w:line="380" w:lineRule="exact"/>
        <w:ind w:firstLine="420" w:firstLineChars="200"/>
        <w:rPr>
          <w:rFonts w:ascii="宋体" w:hAnsi="宋体"/>
          <w:szCs w:val="21"/>
        </w:rPr>
      </w:pPr>
      <w:r>
        <w:rPr>
          <w:rFonts w:hint="eastAsia" w:ascii="宋体" w:hAnsi="宋体"/>
          <w:szCs w:val="21"/>
        </w:rPr>
        <w:t>6、我公司的投标文件符合第二章 投标人须知第 1.3.1 项的规定。</w:t>
      </w:r>
    </w:p>
    <w:p>
      <w:pPr>
        <w:snapToGrid w:val="0"/>
        <w:spacing w:line="380" w:lineRule="exact"/>
        <w:ind w:firstLine="420" w:firstLineChars="200"/>
        <w:rPr>
          <w:rFonts w:ascii="宋体" w:hAnsi="宋体"/>
          <w:szCs w:val="21"/>
        </w:rPr>
      </w:pPr>
      <w:r>
        <w:rPr>
          <w:rFonts w:hint="eastAsia" w:ascii="宋体" w:hAnsi="宋体"/>
          <w:szCs w:val="21"/>
        </w:rPr>
        <w:t>7、我公司的投标文件符合第四章 合同条款及格式规定，投标文件中没有</w:t>
      </w:r>
      <w:r>
        <w:rPr>
          <w:rFonts w:hint="eastAsia" w:ascii="宋体" w:hAnsi="宋体"/>
          <w:szCs w:val="21"/>
          <w:lang w:eastAsia="zh-CN"/>
        </w:rPr>
        <w:t>贵单位</w:t>
      </w:r>
      <w:r>
        <w:rPr>
          <w:rFonts w:hint="eastAsia" w:ascii="宋体" w:hAnsi="宋体"/>
          <w:szCs w:val="21"/>
        </w:rPr>
        <w:t>不能接受的条件。</w:t>
      </w:r>
    </w:p>
    <w:p>
      <w:pPr>
        <w:snapToGrid w:val="0"/>
        <w:spacing w:line="380" w:lineRule="exact"/>
        <w:ind w:firstLine="420" w:firstLineChars="200"/>
        <w:rPr>
          <w:rFonts w:hint="eastAsia" w:ascii="宋体" w:hAnsi="宋体"/>
          <w:szCs w:val="21"/>
        </w:rPr>
      </w:pPr>
      <w:r>
        <w:rPr>
          <w:rFonts w:hint="eastAsia" w:ascii="宋体" w:hAnsi="宋体"/>
          <w:szCs w:val="21"/>
        </w:rPr>
        <w:t>8、我公司的投标文件符合第七章 技术标准和要求（如有）。</w:t>
      </w:r>
    </w:p>
    <w:p>
      <w:pPr>
        <w:snapToGrid w:val="0"/>
        <w:spacing w:line="380" w:lineRule="exact"/>
        <w:ind w:firstLine="420" w:firstLineChars="200"/>
        <w:rPr>
          <w:rFonts w:ascii="宋体" w:hAnsi="宋体"/>
          <w:szCs w:val="21"/>
        </w:rPr>
      </w:pPr>
    </w:p>
    <w:p>
      <w:pPr>
        <w:tabs>
          <w:tab w:val="left" w:pos="4200"/>
          <w:tab w:val="left" w:pos="4620"/>
        </w:tabs>
        <w:autoSpaceDE w:val="0"/>
        <w:autoSpaceDN w:val="0"/>
        <w:adjustRightInd w:val="0"/>
        <w:snapToGrid w:val="0"/>
        <w:spacing w:line="380" w:lineRule="exact"/>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380" w:lineRule="exact"/>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snapToGrid w:val="0"/>
        <w:spacing w:line="380" w:lineRule="exact"/>
        <w:ind w:firstLine="420" w:firstLineChars="200"/>
        <w:jc w:val="right"/>
        <w:rPr>
          <w:rFonts w:ascii="宋体" w:hAnsi="宋体"/>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
      <w:r>
        <w:br w:type="page"/>
      </w:r>
    </w:p>
    <w:p>
      <w:pPr>
        <w:pStyle w:val="5"/>
        <w:spacing w:before="0" w:line="360" w:lineRule="auto"/>
        <w:jc w:val="center"/>
        <w:rPr>
          <w:rFonts w:ascii="宋体" w:hAnsi="宋体"/>
        </w:rPr>
      </w:pPr>
      <w:bookmarkStart w:id="2498" w:name="_Toc1611"/>
      <w:bookmarkStart w:id="2499" w:name="_Toc23584"/>
      <w:r>
        <w:rPr>
          <w:rFonts w:hint="eastAsia" w:ascii="宋体" w:hAnsi="宋体"/>
          <w:b w:val="0"/>
        </w:rPr>
        <w:t>（</w:t>
      </w:r>
      <w:r>
        <w:rPr>
          <w:rFonts w:hint="eastAsia" w:ascii="宋体" w:hAnsi="宋体"/>
          <w:b w:val="0"/>
          <w:lang w:val="en-US" w:eastAsia="zh-CN"/>
        </w:rPr>
        <w:t>四</w:t>
      </w:r>
      <w:r>
        <w:rPr>
          <w:rFonts w:hint="eastAsia" w:ascii="宋体" w:hAnsi="宋体"/>
          <w:b w:val="0"/>
        </w:rPr>
        <w:t>）其他资料</w:t>
      </w:r>
      <w:bookmarkEnd w:id="2498"/>
      <w:bookmarkEnd w:id="2499"/>
    </w:p>
    <w:bookmarkEnd w:id="798"/>
    <w:bookmarkEnd w:id="799"/>
    <w:bookmarkEnd w:id="800"/>
    <w:p>
      <w:pPr>
        <w:spacing w:line="360" w:lineRule="auto"/>
        <w:ind w:firstLine="420" w:firstLineChars="200"/>
        <w:rPr>
          <w:rFonts w:ascii="宋体" w:hAnsi="宋体"/>
          <w:szCs w:val="21"/>
        </w:rPr>
      </w:pPr>
      <w:r>
        <w:rPr>
          <w:rFonts w:hint="eastAsia" w:ascii="宋体" w:hAnsi="宋体"/>
          <w:szCs w:val="21"/>
        </w:rPr>
        <w:t>1. 投标保证金</w:t>
      </w:r>
    </w:p>
    <w:p>
      <w:pPr>
        <w:spacing w:line="360" w:lineRule="auto"/>
        <w:ind w:firstLine="420" w:firstLineChars="200"/>
        <w:rPr>
          <w:rFonts w:hint="eastAsia" w:ascii="宋体" w:hAnsi="宋体"/>
          <w:i w:val="0"/>
          <w:iCs/>
          <w:szCs w:val="21"/>
        </w:rPr>
      </w:pPr>
      <w:r>
        <w:rPr>
          <w:rFonts w:hint="eastAsia" w:ascii="宋体" w:hAnsi="宋体"/>
          <w:i w:val="0"/>
          <w:iCs/>
          <w:szCs w:val="21"/>
          <w:lang w:eastAsia="zh-CN"/>
        </w:rPr>
        <w:t>（</w:t>
      </w:r>
      <w:r>
        <w:rPr>
          <w:rFonts w:hint="eastAsia" w:ascii="宋体" w:hAnsi="宋体"/>
          <w:i w:val="0"/>
          <w:iCs/>
          <w:szCs w:val="21"/>
          <w:lang w:val="en-US" w:eastAsia="zh-CN"/>
        </w:rPr>
        <w:t>注</w:t>
      </w:r>
      <w:r>
        <w:rPr>
          <w:rFonts w:hint="eastAsia" w:ascii="宋体" w:hAnsi="宋体"/>
          <w:i w:val="0"/>
          <w:iCs/>
          <w:szCs w:val="21"/>
        </w:rPr>
        <w:t>：以转账支票或电汇形式交纳投标保证金的提供以下资料</w:t>
      </w:r>
      <w:r>
        <w:rPr>
          <w:rFonts w:hint="eastAsia" w:ascii="宋体" w:hAnsi="宋体"/>
          <w:i w:val="0"/>
          <w:iCs/>
          <w:szCs w:val="21"/>
          <w:lang w:eastAsia="zh-CN"/>
        </w:rPr>
        <w:t>）</w:t>
      </w:r>
    </w:p>
    <w:p>
      <w:pPr>
        <w:spacing w:line="360" w:lineRule="auto"/>
        <w:ind w:firstLine="420" w:firstLineChars="200"/>
        <w:rPr>
          <w:rFonts w:ascii="宋体" w:hAnsi="宋体"/>
          <w:szCs w:val="21"/>
        </w:rPr>
      </w:pPr>
      <w:r>
        <w:rPr>
          <w:rFonts w:hint="eastAsia" w:ascii="宋体" w:hAnsi="宋体"/>
          <w:szCs w:val="21"/>
        </w:rPr>
        <w:t>（1）企业基本账户开户证明文件。</w:t>
      </w:r>
    </w:p>
    <w:p>
      <w:pPr>
        <w:rPr>
          <w:rFonts w:ascii="宋体" w:hAnsi="宋体"/>
          <w:i/>
          <w:szCs w:val="21"/>
        </w:rPr>
      </w:pPr>
      <w:r>
        <w:rPr>
          <w:rFonts w:hint="eastAsia" w:ascii="宋体" w:hAnsi="宋体"/>
          <w:i/>
          <w:szCs w:val="21"/>
        </w:rPr>
        <w:br w:type="page"/>
      </w:r>
    </w:p>
    <w:p>
      <w:pPr>
        <w:spacing w:line="360" w:lineRule="auto"/>
        <w:ind w:firstLine="420" w:firstLineChars="200"/>
        <w:rPr>
          <w:rFonts w:hint="eastAsia" w:ascii="宋体" w:hAnsi="宋体" w:eastAsia="宋体"/>
          <w:i w:val="0"/>
          <w:iCs/>
          <w:szCs w:val="21"/>
          <w:lang w:eastAsia="zh-CN"/>
        </w:rPr>
      </w:pPr>
      <w:r>
        <w:rPr>
          <w:rFonts w:hint="eastAsia" w:ascii="宋体" w:hAnsi="宋体"/>
          <w:i w:val="0"/>
          <w:iCs/>
          <w:szCs w:val="21"/>
          <w:lang w:eastAsia="zh-CN"/>
        </w:rPr>
        <w:t>（</w:t>
      </w:r>
      <w:r>
        <w:rPr>
          <w:rFonts w:hint="eastAsia" w:ascii="宋体" w:hAnsi="宋体"/>
          <w:i w:val="0"/>
          <w:iCs/>
          <w:szCs w:val="21"/>
          <w:lang w:val="en-US" w:eastAsia="zh-CN"/>
        </w:rPr>
        <w:t>注</w:t>
      </w:r>
      <w:r>
        <w:rPr>
          <w:rFonts w:hint="eastAsia" w:ascii="宋体" w:hAnsi="宋体"/>
          <w:i w:val="0"/>
          <w:iCs/>
          <w:szCs w:val="21"/>
        </w:rPr>
        <w:t>：以纸质投标保函形式交纳投标保证金的提供以下资料</w:t>
      </w:r>
      <w:r>
        <w:rPr>
          <w:rFonts w:hint="eastAsia" w:ascii="宋体" w:hAnsi="宋体"/>
          <w:i w:val="0"/>
          <w:iCs/>
          <w:szCs w:val="21"/>
          <w:lang w:eastAsia="zh-CN"/>
        </w:rPr>
        <w:t>）</w:t>
      </w:r>
    </w:p>
    <w:p>
      <w:pPr>
        <w:spacing w:line="360" w:lineRule="auto"/>
        <w:ind w:firstLine="420" w:firstLineChars="200"/>
        <w:rPr>
          <w:rFonts w:ascii="宋体" w:hAnsi="宋体"/>
          <w:szCs w:val="21"/>
        </w:rPr>
      </w:pPr>
      <w:r>
        <w:rPr>
          <w:rFonts w:hint="eastAsia" w:ascii="宋体" w:hAnsi="宋体"/>
          <w:szCs w:val="21"/>
        </w:rPr>
        <w:t>（1）纸质</w:t>
      </w:r>
      <w:r>
        <w:rPr>
          <w:rFonts w:hint="eastAsia" w:ascii="宋体" w:hAnsi="宋体"/>
          <w:szCs w:val="21"/>
          <w:lang w:val="en-US" w:eastAsia="zh-CN"/>
        </w:rPr>
        <w:t>投标</w:t>
      </w:r>
      <w:r>
        <w:rPr>
          <w:rFonts w:hint="eastAsia" w:ascii="宋体" w:hAnsi="宋体"/>
          <w:szCs w:val="21"/>
        </w:rPr>
        <w:t>保函</w:t>
      </w:r>
      <w:r>
        <w:rPr>
          <w:rFonts w:hint="eastAsia" w:ascii="宋体" w:hAnsi="宋体"/>
          <w:szCs w:val="21"/>
          <w:lang w:eastAsia="zh-CN"/>
        </w:rPr>
        <w:t>（</w:t>
      </w:r>
      <w:r>
        <w:rPr>
          <w:rFonts w:hint="eastAsia" w:ascii="宋体" w:hAnsi="宋体"/>
          <w:szCs w:val="21"/>
          <w:lang w:val="en-US" w:eastAsia="zh-CN"/>
        </w:rPr>
        <w:t>如有</w:t>
      </w:r>
      <w:r>
        <w:rPr>
          <w:rFonts w:hint="eastAsia" w:ascii="宋体" w:hAnsi="宋体"/>
          <w:szCs w:val="21"/>
          <w:lang w:eastAsia="zh-CN"/>
        </w:rPr>
        <w:t>）</w:t>
      </w:r>
    </w:p>
    <w:p>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投标保函示范文本</w:t>
      </w:r>
    </w:p>
    <w:p>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申请人：</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地  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受益人：</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地  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开立人：</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single"/>
        </w:rPr>
      </w:pPr>
      <w:r>
        <w:rPr>
          <w:rFonts w:hint="eastAsia" w:asciiTheme="minorEastAsia" w:hAnsiTheme="minorEastAsia" w:eastAsiaTheme="minorEastAsia" w:cstheme="minorEastAsia"/>
          <w:color w:val="auto"/>
          <w:szCs w:val="21"/>
          <w:u w:val="none"/>
        </w:rPr>
        <w:t>地  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（受益人名称）</w:t>
      </w:r>
      <w:r>
        <w:rPr>
          <w:rFonts w:hint="eastAsia" w:asciiTheme="minorEastAsia" w:hAnsiTheme="minorEastAsia" w:eastAsiaTheme="minorEastAsia" w:cstheme="minorEastAsia"/>
          <w:color w:val="auto"/>
          <w:kern w:val="2"/>
          <w:sz w:val="21"/>
          <w:szCs w:val="21"/>
          <w:lang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Theme="minorEastAsia" w:hAnsiTheme="minorEastAsia" w:eastAsiaTheme="minorEastAsia" w:cstheme="minorEastAsia"/>
          <w:color w:val="auto"/>
          <w:spacing w:val="-6"/>
          <w:kern w:val="0"/>
          <w:sz w:val="21"/>
          <w:szCs w:val="21"/>
          <w:lang w:val="en-US" w:eastAsia="zh-CN" w:bidi="ar-SA"/>
        </w:rPr>
      </w:pPr>
      <w:r>
        <w:rPr>
          <w:rFonts w:hint="eastAsia" w:asciiTheme="minorEastAsia" w:hAnsiTheme="minorEastAsia" w:eastAsiaTheme="minorEastAsia" w:cstheme="minorEastAsia"/>
          <w:color w:val="auto"/>
          <w:spacing w:val="-6"/>
          <w:kern w:val="0"/>
          <w:sz w:val="21"/>
          <w:szCs w:val="21"/>
          <w:lang w:val="en-US" w:eastAsia="zh-CN" w:bidi="ar-SA"/>
        </w:rPr>
        <w:t>我方（即“开立人”）已获得通知，本保函申请人（即“投标人”）已响应贵方于</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年</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月</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日</w:t>
      </w:r>
      <w:r>
        <w:rPr>
          <w:rFonts w:hint="eastAsia" w:asciiTheme="minorEastAsia" w:hAnsiTheme="minorEastAsia" w:eastAsiaTheme="minorEastAsia" w:cstheme="minorEastAsia"/>
          <w:color w:val="auto"/>
          <w:spacing w:val="-6"/>
          <w:kern w:val="0"/>
          <w:sz w:val="21"/>
          <w:szCs w:val="21"/>
          <w:lang w:val="en-US" w:eastAsia="zh-CN" w:bidi="ar-SA"/>
        </w:rPr>
        <w:t>就</w:t>
      </w:r>
      <w:r>
        <w:rPr>
          <w:rFonts w:hint="eastAsia" w:asciiTheme="minorEastAsia" w:hAnsiTheme="minorEastAsia" w:eastAsiaTheme="minorEastAsia" w:cstheme="minorEastAsia"/>
          <w:color w:val="auto"/>
          <w:spacing w:val="-6"/>
          <w:kern w:val="0"/>
          <w:sz w:val="21"/>
          <w:szCs w:val="21"/>
          <w:u w:val="single"/>
          <w:lang w:val="en-US" w:eastAsia="zh-CN" w:bidi="ar-SA"/>
        </w:rPr>
        <w:t xml:space="preserve">                   </w:t>
      </w:r>
      <w:r>
        <w:rPr>
          <w:rFonts w:hint="eastAsia" w:asciiTheme="minorEastAsia" w:hAnsiTheme="minorEastAsia" w:eastAsiaTheme="minorEastAsia" w:cstheme="minorEastAsia"/>
          <w:color w:val="auto"/>
          <w:spacing w:val="-6"/>
          <w:kern w:val="0"/>
          <w:sz w:val="21"/>
          <w:szCs w:val="21"/>
          <w:lang w:val="en-US" w:eastAsia="zh-CN" w:bidi="ar-SA"/>
        </w:rPr>
        <w:t>（以下简称“本工程”）发出的招标文件以及后续发布的答疑补遗文件，并拟向招标人（即“受益人”）提交投标文件（即“基础交易”）。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color w:val="auto"/>
          <w:kern w:val="0"/>
          <w:sz w:val="21"/>
          <w:szCs w:val="21"/>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Theme="minorEastAsia" w:hAnsiTheme="minorEastAsia" w:eastAsiaTheme="minorEastAsia" w:cstheme="minorEastAsia"/>
          <w:color w:val="auto"/>
          <w:kern w:val="0"/>
          <w:sz w:val="21"/>
          <w:szCs w:val="21"/>
          <w:u w:val="single"/>
          <w:lang w:val="en-US" w:eastAsia="zh-CN" w:bidi="ar-SA"/>
        </w:rPr>
        <w:t xml:space="preserve">    </w:t>
      </w:r>
      <w:r>
        <w:rPr>
          <w:rFonts w:hint="eastAsia" w:asciiTheme="minorEastAsia" w:hAnsiTheme="minorEastAsia" w:eastAsiaTheme="minorEastAsia" w:cstheme="minorEastAsia"/>
          <w:color w:val="auto"/>
          <w:kern w:val="0"/>
          <w:sz w:val="21"/>
          <w:szCs w:val="21"/>
          <w:lang w:val="en-US" w:eastAsia="zh-CN" w:bidi="ar-SA"/>
        </w:rPr>
        <w:t>元（¥</w:t>
      </w:r>
      <w:r>
        <w:rPr>
          <w:rFonts w:hint="eastAsia" w:asciiTheme="minorEastAsia" w:hAnsiTheme="minorEastAsia" w:eastAsiaTheme="minorEastAsia" w:cstheme="minorEastAsia"/>
          <w:color w:val="auto"/>
          <w:kern w:val="0"/>
          <w:sz w:val="21"/>
          <w:szCs w:val="21"/>
          <w:u w:val="single"/>
          <w:lang w:val="en-US" w:eastAsia="zh-CN" w:bidi="ar-SA"/>
        </w:rPr>
        <w:t xml:space="preserve">        </w:t>
      </w:r>
      <w:r>
        <w:rPr>
          <w:rFonts w:hint="eastAsia" w:asciiTheme="minorEastAsia" w:hAnsiTheme="minorEastAsia" w:eastAsiaTheme="minorEastAsia" w:cstheme="minorEastAsia"/>
          <w:color w:val="auto"/>
          <w:kern w:val="0"/>
          <w:sz w:val="21"/>
          <w:szCs w:val="21"/>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（3）投标人在与贵方签订合同前，未在规定的时间内提交符合招标文件要求的履约担保；</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三、本保函为不可撤销、不可转让的见索即付保函。本保函有效期自开立之日起至投标有效期届满之日后的</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日</w:t>
      </w:r>
      <w:r>
        <w:rPr>
          <w:rFonts w:hint="eastAsia" w:asciiTheme="minorEastAsia" w:hAnsiTheme="minorEastAsia" w:eastAsiaTheme="minorEastAsia" w:cstheme="minorEastAsia"/>
          <w:color w:val="auto"/>
          <w:kern w:val="2"/>
          <w:sz w:val="21"/>
          <w:szCs w:val="21"/>
          <w:lang w:eastAsia="zh-CN"/>
        </w:rPr>
        <w:t>止（提示：建议</w:t>
      </w:r>
      <w:r>
        <w:rPr>
          <w:rFonts w:hint="eastAsia" w:asciiTheme="minorEastAsia" w:hAnsiTheme="minorEastAsia" w:eastAsiaTheme="minorEastAsia" w:cstheme="minorEastAsia"/>
          <w:color w:val="auto"/>
          <w:kern w:val="2"/>
          <w:sz w:val="21"/>
          <w:szCs w:val="21"/>
          <w:lang w:val="en-US" w:eastAsia="zh-CN"/>
        </w:rPr>
        <w:t>30日</w:t>
      </w:r>
      <w:r>
        <w:rPr>
          <w:rFonts w:hint="eastAsia" w:asciiTheme="minorEastAsia" w:hAnsiTheme="minorEastAsia" w:eastAsiaTheme="minorEastAsia" w:cstheme="minorEastAsia"/>
          <w:color w:val="auto"/>
          <w:kern w:val="2"/>
          <w:sz w:val="21"/>
          <w:szCs w:val="21"/>
          <w:lang w:eastAsia="zh-CN"/>
        </w:rPr>
        <w:t>）</w:t>
      </w:r>
      <w:r>
        <w:rPr>
          <w:rFonts w:hint="eastAsia" w:asciiTheme="minorEastAsia" w:hAnsiTheme="minorEastAsia" w:eastAsiaTheme="minorEastAsia" w:cstheme="minorEastAsia"/>
          <w:color w:val="auto"/>
          <w:kern w:val="2"/>
          <w:sz w:val="21"/>
          <w:szCs w:val="21"/>
        </w:rPr>
        <w:t>。投标有效期延长的，本保函有效期相应顺延，最迟不超过</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年</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月</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日</w:t>
      </w:r>
      <w:r>
        <w:rPr>
          <w:rFonts w:hint="eastAsia" w:asciiTheme="minorEastAsia" w:hAnsiTheme="minorEastAsia" w:eastAsiaTheme="minorEastAsia" w:cstheme="minorEastAsia"/>
          <w:color w:val="auto"/>
          <w:kern w:val="2"/>
          <w:sz w:val="21"/>
          <w:szCs w:val="21"/>
          <w:lang w:eastAsia="zh-CN"/>
        </w:rPr>
        <w:t>（提示：建议按保函有效期不超过</w:t>
      </w:r>
      <w:r>
        <w:rPr>
          <w:rFonts w:hint="eastAsia" w:asciiTheme="minorEastAsia" w:hAnsiTheme="minorEastAsia" w:eastAsiaTheme="minorEastAsia" w:cstheme="minorEastAsia"/>
          <w:color w:val="auto"/>
          <w:kern w:val="2"/>
          <w:sz w:val="21"/>
          <w:szCs w:val="21"/>
          <w:lang w:val="en-US" w:eastAsia="zh-CN"/>
        </w:rPr>
        <w:t>270日考虑</w:t>
      </w:r>
      <w:r>
        <w:rPr>
          <w:rFonts w:hint="eastAsia" w:asciiTheme="minorEastAsia" w:hAnsiTheme="minorEastAsia" w:eastAsiaTheme="minorEastAsia" w:cstheme="minorEastAsia"/>
          <w:color w:val="auto"/>
          <w:kern w:val="2"/>
          <w:sz w:val="21"/>
          <w:szCs w:val="21"/>
          <w:lang w:eastAsia="zh-CN"/>
        </w:rPr>
        <w:t>）</w:t>
      </w:r>
      <w:r>
        <w:rPr>
          <w:rFonts w:hint="eastAsia" w:asciiTheme="minorEastAsia" w:hAnsiTheme="minorEastAsia" w:eastAsiaTheme="minorEastAsia" w:cstheme="minorEastAsia"/>
          <w:color w:val="auto"/>
          <w:kern w:val="2"/>
          <w:sz w:val="21"/>
          <w:szCs w:val="21"/>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eastAsia="zh-CN"/>
        </w:rPr>
        <w:t>四、</w:t>
      </w:r>
      <w:r>
        <w:rPr>
          <w:rFonts w:hint="eastAsia" w:asciiTheme="minorEastAsia" w:hAnsiTheme="minorEastAsia" w:eastAsiaTheme="minorEastAsia" w:cstheme="minorEastAsia"/>
          <w:color w:val="auto"/>
          <w:kern w:val="2"/>
          <w:sz w:val="21"/>
          <w:szCs w:val="21"/>
        </w:rPr>
        <w:t>我方承诺，在收到受益人发来的书面</w:t>
      </w:r>
      <w:r>
        <w:rPr>
          <w:rFonts w:hint="eastAsia" w:asciiTheme="minorEastAsia" w:hAnsiTheme="minorEastAsia" w:eastAsiaTheme="minorEastAsia" w:cstheme="minorEastAsia"/>
          <w:color w:val="auto"/>
          <w:kern w:val="2"/>
          <w:sz w:val="21"/>
          <w:szCs w:val="21"/>
          <w:lang w:eastAsia="zh-CN"/>
        </w:rPr>
        <w:t>索赔</w:t>
      </w:r>
      <w:r>
        <w:rPr>
          <w:rFonts w:hint="eastAsia" w:asciiTheme="minorEastAsia" w:hAnsiTheme="minorEastAsia" w:eastAsiaTheme="minorEastAsia" w:cstheme="minorEastAsia"/>
          <w:color w:val="auto"/>
          <w:kern w:val="2"/>
          <w:sz w:val="21"/>
          <w:szCs w:val="21"/>
        </w:rPr>
        <w:t>通知后的</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none"/>
          <w:lang w:eastAsia="zh-CN"/>
        </w:rPr>
        <w:t>个工作</w:t>
      </w:r>
      <w:r>
        <w:rPr>
          <w:rFonts w:hint="eastAsia" w:asciiTheme="minorEastAsia" w:hAnsiTheme="minorEastAsia" w:eastAsiaTheme="minorEastAsia" w:cstheme="minorEastAsia"/>
          <w:color w:val="auto"/>
          <w:kern w:val="2"/>
          <w:sz w:val="21"/>
          <w:szCs w:val="21"/>
        </w:rPr>
        <w:t>日</w:t>
      </w:r>
      <w:r>
        <w:rPr>
          <w:rFonts w:hint="eastAsia" w:asciiTheme="minorEastAsia" w:hAnsiTheme="minorEastAsia" w:eastAsiaTheme="minorEastAsia" w:cstheme="minorEastAsia"/>
          <w:color w:val="auto"/>
          <w:kern w:val="2"/>
          <w:sz w:val="21"/>
          <w:szCs w:val="21"/>
          <w:lang w:eastAsia="zh-CN"/>
        </w:rPr>
        <w:t>（提示：建议</w:t>
      </w:r>
      <w:r>
        <w:rPr>
          <w:rFonts w:hint="eastAsia" w:asciiTheme="minorEastAsia" w:hAnsiTheme="minorEastAsia" w:eastAsiaTheme="minorEastAsia" w:cstheme="minorEastAsia"/>
          <w:color w:val="auto"/>
          <w:kern w:val="2"/>
          <w:sz w:val="21"/>
          <w:szCs w:val="21"/>
          <w:lang w:val="en-US" w:eastAsia="zh-CN"/>
        </w:rPr>
        <w:t>10—15个工作日</w:t>
      </w:r>
      <w:r>
        <w:rPr>
          <w:rFonts w:hint="eastAsia" w:asciiTheme="minorEastAsia" w:hAnsiTheme="minorEastAsia" w:eastAsiaTheme="minorEastAsia" w:cstheme="minorEastAsia"/>
          <w:color w:val="auto"/>
          <w:kern w:val="2"/>
          <w:sz w:val="21"/>
          <w:szCs w:val="21"/>
          <w:lang w:eastAsia="zh-CN"/>
        </w:rPr>
        <w:t>）</w:t>
      </w:r>
      <w:r>
        <w:rPr>
          <w:rFonts w:hint="eastAsia" w:asciiTheme="minorEastAsia" w:hAnsiTheme="minorEastAsia" w:eastAsiaTheme="minorEastAsia" w:cstheme="minorEastAsia"/>
          <w:color w:val="auto"/>
          <w:kern w:val="2"/>
          <w:sz w:val="21"/>
          <w:szCs w:val="21"/>
        </w:rPr>
        <w:t>内无条件支付，前述书面</w:t>
      </w:r>
      <w:r>
        <w:rPr>
          <w:rFonts w:hint="eastAsia" w:asciiTheme="minorEastAsia" w:hAnsiTheme="minorEastAsia" w:eastAsiaTheme="minorEastAsia" w:cstheme="minorEastAsia"/>
          <w:color w:val="auto"/>
          <w:kern w:val="2"/>
          <w:sz w:val="21"/>
          <w:szCs w:val="21"/>
          <w:lang w:eastAsia="zh-CN"/>
        </w:rPr>
        <w:t>索赔</w:t>
      </w:r>
      <w:r>
        <w:rPr>
          <w:rFonts w:hint="eastAsia" w:asciiTheme="minorEastAsia" w:hAnsiTheme="minorEastAsia" w:eastAsiaTheme="minorEastAsia" w:cstheme="minorEastAsia"/>
          <w:color w:val="auto"/>
          <w:kern w:val="2"/>
          <w:sz w:val="21"/>
          <w:szCs w:val="21"/>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（1）</w:t>
      </w:r>
      <w:r>
        <w:rPr>
          <w:rFonts w:hint="eastAsia" w:asciiTheme="minorEastAsia" w:hAnsiTheme="minorEastAsia" w:eastAsiaTheme="minorEastAsia" w:cstheme="minorEastAsia"/>
          <w:color w:val="auto"/>
          <w:kern w:val="2"/>
          <w:sz w:val="21"/>
          <w:szCs w:val="21"/>
          <w:lang w:eastAsia="zh-CN"/>
        </w:rPr>
        <w:t>索赔</w:t>
      </w:r>
      <w:r>
        <w:rPr>
          <w:rFonts w:hint="eastAsia" w:asciiTheme="minorEastAsia" w:hAnsiTheme="minorEastAsia" w:eastAsiaTheme="minorEastAsia" w:cstheme="minorEastAsia"/>
          <w:color w:val="auto"/>
          <w:kern w:val="2"/>
          <w:sz w:val="21"/>
          <w:szCs w:val="21"/>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spacing w:val="0"/>
          <w:kern w:val="2"/>
          <w:sz w:val="21"/>
          <w:szCs w:val="21"/>
          <w:lang w:eastAsia="zh-CN"/>
        </w:rPr>
        <w:t>（</w:t>
      </w:r>
      <w:r>
        <w:rPr>
          <w:rFonts w:hint="eastAsia" w:asciiTheme="minorEastAsia" w:hAnsiTheme="minorEastAsia" w:eastAsiaTheme="minorEastAsia" w:cstheme="minorEastAsia"/>
          <w:color w:val="auto"/>
          <w:spacing w:val="0"/>
          <w:kern w:val="2"/>
          <w:sz w:val="21"/>
          <w:szCs w:val="21"/>
          <w:lang w:val="en-US" w:eastAsia="zh-CN"/>
        </w:rPr>
        <w:t>5</w:t>
      </w:r>
      <w:r>
        <w:rPr>
          <w:rFonts w:hint="eastAsia" w:asciiTheme="minorEastAsia" w:hAnsiTheme="minorEastAsia" w:eastAsiaTheme="minorEastAsia" w:cstheme="minorEastAsia"/>
          <w:color w:val="auto"/>
          <w:spacing w:val="0"/>
          <w:kern w:val="2"/>
          <w:sz w:val="21"/>
          <w:szCs w:val="21"/>
          <w:lang w:eastAsia="zh-CN"/>
        </w:rPr>
        <w:t>）索赔</w:t>
      </w:r>
      <w:r>
        <w:rPr>
          <w:rFonts w:hint="eastAsia" w:asciiTheme="minorEastAsia" w:hAnsiTheme="minorEastAsia" w:eastAsiaTheme="minorEastAsia" w:cstheme="minorEastAsia"/>
          <w:color w:val="auto"/>
          <w:spacing w:val="0"/>
          <w:kern w:val="2"/>
          <w:sz w:val="21"/>
          <w:szCs w:val="21"/>
        </w:rPr>
        <w:t>通知应在本保函有效期内到达的地址是：</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受益人发出的书面</w:t>
      </w:r>
      <w:r>
        <w:rPr>
          <w:rFonts w:hint="eastAsia" w:asciiTheme="minorEastAsia" w:hAnsiTheme="minorEastAsia" w:eastAsiaTheme="minorEastAsia" w:cstheme="minorEastAsia"/>
          <w:color w:val="auto"/>
          <w:kern w:val="2"/>
          <w:sz w:val="21"/>
          <w:szCs w:val="21"/>
          <w:lang w:eastAsia="zh-CN"/>
        </w:rPr>
        <w:t>索赔</w:t>
      </w:r>
      <w:r>
        <w:rPr>
          <w:rFonts w:hint="eastAsia" w:asciiTheme="minorEastAsia" w:hAnsiTheme="minorEastAsia" w:eastAsiaTheme="minorEastAsia" w:cstheme="minorEastAsia"/>
          <w:color w:val="auto"/>
          <w:kern w:val="2"/>
          <w:sz w:val="21"/>
          <w:szCs w:val="21"/>
        </w:rPr>
        <w:t>通知应由其为鉴明受益人法定代表人或授权代理人签</w:t>
      </w:r>
      <w:r>
        <w:rPr>
          <w:rFonts w:hint="eastAsia" w:asciiTheme="minorEastAsia" w:hAnsiTheme="minorEastAsia" w:eastAsiaTheme="minorEastAsia" w:cstheme="minorEastAsia"/>
          <w:color w:val="auto"/>
          <w:kern w:val="2"/>
          <w:sz w:val="21"/>
          <w:szCs w:val="21"/>
          <w:lang w:eastAsia="zh-CN"/>
        </w:rPr>
        <w:t>名</w:t>
      </w:r>
      <w:r>
        <w:rPr>
          <w:rFonts w:hint="eastAsia" w:asciiTheme="minorEastAsia" w:hAnsiTheme="minorEastAsia" w:eastAsiaTheme="minorEastAsia" w:cstheme="minorEastAsia"/>
          <w:color w:val="auto"/>
          <w:kern w:val="2"/>
          <w:sz w:val="21"/>
          <w:szCs w:val="21"/>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五、本保函项下的权利不得转让，不得设定担保。</w:t>
      </w:r>
      <w:r>
        <w:rPr>
          <w:rFonts w:hint="eastAsia" w:asciiTheme="minorEastAsia" w:hAnsiTheme="minorEastAsia" w:eastAsiaTheme="minorEastAsia" w:cstheme="minorEastAsia"/>
          <w:color w:val="auto"/>
          <w:kern w:val="2"/>
          <w:sz w:val="21"/>
          <w:szCs w:val="21"/>
          <w:lang w:eastAsia="zh-CN"/>
        </w:rPr>
        <w:t>贵方</w:t>
      </w:r>
      <w:r>
        <w:rPr>
          <w:rFonts w:hint="eastAsia" w:asciiTheme="minorEastAsia" w:hAnsiTheme="minorEastAsia" w:eastAsiaTheme="minorEastAsia" w:cstheme="minorEastAsia"/>
          <w:color w:val="auto"/>
          <w:kern w:val="2"/>
          <w:sz w:val="21"/>
          <w:szCs w:val="21"/>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七、受益人应在本保函到期后的</w:t>
      </w:r>
      <w:r>
        <w:rPr>
          <w:rFonts w:hint="eastAsia" w:asciiTheme="minorEastAsia" w:hAnsiTheme="minorEastAsia" w:eastAsiaTheme="minorEastAsia" w:cstheme="minorEastAsia"/>
          <w:color w:val="auto"/>
          <w:kern w:val="2"/>
          <w:sz w:val="21"/>
          <w:szCs w:val="21"/>
          <w:lang w:val="en-US" w:eastAsia="zh-CN"/>
        </w:rPr>
        <w:t>七</w:t>
      </w:r>
      <w:r>
        <w:rPr>
          <w:rFonts w:hint="eastAsia" w:asciiTheme="minorEastAsia" w:hAnsiTheme="minorEastAsia" w:eastAsiaTheme="minorEastAsia" w:cstheme="minorEastAsia"/>
          <w:color w:val="auto"/>
          <w:kern w:val="2"/>
          <w:sz w:val="21"/>
          <w:szCs w:val="21"/>
          <w:lang w:eastAsia="zh-CN"/>
        </w:rPr>
        <w:t>个工作</w:t>
      </w:r>
      <w:r>
        <w:rPr>
          <w:rFonts w:hint="eastAsia" w:asciiTheme="minorEastAsia" w:hAnsiTheme="minorEastAsia" w:eastAsiaTheme="minorEastAsia" w:cstheme="minorEastAsia"/>
          <w:color w:val="auto"/>
          <w:kern w:val="2"/>
          <w:sz w:val="21"/>
          <w:szCs w:val="21"/>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lang w:eastAsia="zh-CN"/>
        </w:rPr>
      </w:pPr>
      <w:r>
        <w:rPr>
          <w:rFonts w:hint="eastAsia" w:asciiTheme="minorEastAsia" w:hAnsiTheme="minorEastAsia" w:eastAsiaTheme="minorEastAsia" w:cstheme="minorEastAsia"/>
          <w:color w:val="auto"/>
          <w:kern w:val="2"/>
          <w:sz w:val="21"/>
          <w:szCs w:val="21"/>
        </w:rPr>
        <w:t>八、</w:t>
      </w:r>
      <w:r>
        <w:rPr>
          <w:rFonts w:hint="eastAsia" w:asciiTheme="minorEastAsia" w:hAnsiTheme="minorEastAsia" w:eastAsiaTheme="minorEastAsia" w:cstheme="minorEastAsia"/>
          <w:color w:val="auto"/>
          <w:kern w:val="2"/>
          <w:sz w:val="21"/>
          <w:szCs w:val="21"/>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eastAsia="zh-CN"/>
        </w:rPr>
        <w:t>九、</w:t>
      </w:r>
      <w:r>
        <w:rPr>
          <w:rFonts w:hint="eastAsia" w:asciiTheme="minorEastAsia" w:hAnsiTheme="minorEastAsia" w:eastAsiaTheme="minorEastAsia" w:cstheme="minorEastAsia"/>
          <w:color w:val="auto"/>
          <w:kern w:val="2"/>
          <w:sz w:val="21"/>
          <w:szCs w:val="21"/>
        </w:rPr>
        <w:t>本保函适用的法律为中华人民共和国法律，争议裁判管辖地为中华人民共和国</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eastAsia="zh-CN"/>
        </w:rPr>
        <w:t>十</w:t>
      </w:r>
      <w:r>
        <w:rPr>
          <w:rFonts w:hint="eastAsia" w:asciiTheme="minorEastAsia" w:hAnsiTheme="minorEastAsia" w:eastAsiaTheme="minorEastAsia" w:cstheme="minorEastAsia"/>
          <w:color w:val="auto"/>
          <w:kern w:val="2"/>
          <w:sz w:val="21"/>
          <w:szCs w:val="21"/>
        </w:rPr>
        <w:t>、本保函自我方法定代表人或授权代表</w:t>
      </w:r>
      <w:r>
        <w:rPr>
          <w:rFonts w:hint="eastAsia" w:asciiTheme="minorEastAsia" w:hAnsiTheme="minorEastAsia" w:eastAsiaTheme="minorEastAsia" w:cstheme="minorEastAsia"/>
          <w:color w:val="auto"/>
          <w:kern w:val="2"/>
          <w:sz w:val="21"/>
          <w:szCs w:val="21"/>
          <w:lang w:eastAsia="zh-CN"/>
        </w:rPr>
        <w:t>签名</w:t>
      </w:r>
      <w:r>
        <w:rPr>
          <w:rFonts w:hint="eastAsia" w:asciiTheme="minorEastAsia" w:hAnsiTheme="minorEastAsia" w:eastAsiaTheme="minorEastAsia" w:cstheme="minorEastAsia"/>
          <w:color w:val="auto"/>
          <w:kern w:val="2"/>
          <w:sz w:val="21"/>
          <w:szCs w:val="21"/>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u w:val="none"/>
        </w:rPr>
      </w:pPr>
      <w:r>
        <w:rPr>
          <w:rFonts w:hint="eastAsia" w:asciiTheme="minorEastAsia" w:hAnsiTheme="minorEastAsia" w:eastAsiaTheme="minorEastAsia" w:cstheme="minorEastAsia"/>
          <w:color w:val="auto"/>
          <w:kern w:val="2"/>
          <w:sz w:val="21"/>
          <w:szCs w:val="21"/>
          <w:lang w:eastAsia="zh-CN"/>
        </w:rPr>
        <w:t>十一、本保函在重庆市辖区范围内的核验地点：</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none"/>
          <w:lang w:eastAsia="zh-CN"/>
        </w:rPr>
        <w:t>；核验方式：</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i/>
          <w:iCs/>
          <w:color w:val="auto"/>
          <w:kern w:val="2"/>
          <w:sz w:val="21"/>
          <w:szCs w:val="21"/>
          <w:u w:val="single"/>
        </w:rPr>
        <w:t>[提示：招标人可以根据项目实际情况，填写本保函在重庆本地的核验方式，如现场核验等]</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 xml:space="preserve">开 立 人：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法定代表人（或授权</w:t>
      </w:r>
      <w:r>
        <w:rPr>
          <w:rFonts w:hint="eastAsia" w:asciiTheme="minorEastAsia" w:hAnsiTheme="minorEastAsia" w:eastAsiaTheme="minorEastAsia" w:cstheme="minorEastAsia"/>
          <w:color w:val="auto"/>
          <w:kern w:val="2"/>
          <w:sz w:val="21"/>
          <w:szCs w:val="21"/>
          <w:lang w:eastAsia="zh-CN"/>
        </w:rPr>
        <w:t>代表</w:t>
      </w:r>
      <w:r>
        <w:rPr>
          <w:rFonts w:hint="eastAsia" w:asciiTheme="minorEastAsia" w:hAnsiTheme="minorEastAsia" w:eastAsiaTheme="minorEastAsia" w:cstheme="minorEastAsia"/>
          <w:color w:val="auto"/>
          <w:kern w:val="2"/>
          <w:sz w:val="21"/>
          <w:szCs w:val="21"/>
        </w:rPr>
        <w:t>）：</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w:t>
      </w:r>
      <w:r>
        <w:rPr>
          <w:rFonts w:hint="eastAsia" w:asciiTheme="minorEastAsia" w:hAnsiTheme="minorEastAsia" w:eastAsiaTheme="minorEastAsia" w:cstheme="minorEastAsia"/>
          <w:color w:val="auto"/>
          <w:kern w:val="2"/>
          <w:sz w:val="21"/>
          <w:szCs w:val="21"/>
          <w:lang w:eastAsia="zh-CN"/>
        </w:rPr>
        <w:t>签名</w:t>
      </w:r>
      <w:r>
        <w:rPr>
          <w:rFonts w:hint="eastAsia" w:asciiTheme="minorEastAsia" w:hAnsiTheme="minorEastAsia" w:eastAsiaTheme="minorEastAsia" w:cstheme="minorEastAsia"/>
          <w:color w:val="auto"/>
          <w:kern w:val="2"/>
          <w:sz w:val="21"/>
          <w:szCs w:val="21"/>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地    址：</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邮政编码：</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电    话：</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传    真：</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spacing w:line="240" w:lineRule="auto"/>
        <w:ind w:firstLine="420" w:firstLineChars="200"/>
        <w:rPr>
          <w:rFonts w:hint="eastAsia" w:ascii="宋体" w:hAnsi="宋体"/>
          <w:szCs w:val="21"/>
        </w:rPr>
      </w:pPr>
      <w:r>
        <w:rPr>
          <w:rFonts w:hint="eastAsia" w:asciiTheme="minorEastAsia" w:hAnsiTheme="minorEastAsia" w:eastAsiaTheme="minorEastAsia" w:cstheme="minorEastAsia"/>
          <w:color w:val="auto"/>
          <w:kern w:val="2"/>
          <w:sz w:val="21"/>
          <w:szCs w:val="21"/>
        </w:rPr>
        <w:t xml:space="preserve">开立时间：    年 </w:t>
      </w:r>
      <w:r>
        <w:rPr>
          <w:rFonts w:hint="eastAsia" w:asciiTheme="minorEastAsia" w:hAnsiTheme="minorEastAsia" w:eastAsiaTheme="minorEastAsia" w:cstheme="minorEastAsia"/>
          <w:color w:val="auto"/>
          <w:kern w:val="2"/>
          <w:sz w:val="21"/>
          <w:szCs w:val="21"/>
          <w:lang w:val="en-US" w:eastAsia="zh-CN"/>
        </w:rPr>
        <w:t xml:space="preserve"> </w:t>
      </w:r>
      <w:r>
        <w:rPr>
          <w:rFonts w:hint="eastAsia" w:asciiTheme="minorEastAsia" w:hAnsiTheme="minorEastAsia" w:eastAsiaTheme="minorEastAsia" w:cstheme="minorEastAsia"/>
          <w:color w:val="auto"/>
          <w:kern w:val="2"/>
          <w:sz w:val="21"/>
          <w:szCs w:val="21"/>
        </w:rPr>
        <w:t xml:space="preserve">  月 </w:t>
      </w:r>
      <w:r>
        <w:rPr>
          <w:rFonts w:hint="eastAsia" w:asciiTheme="minorEastAsia" w:hAnsiTheme="minorEastAsia" w:eastAsiaTheme="minorEastAsia" w:cstheme="minorEastAsia"/>
          <w:color w:val="auto"/>
          <w:kern w:val="2"/>
          <w:sz w:val="21"/>
          <w:szCs w:val="21"/>
          <w:lang w:val="en-US" w:eastAsia="zh-CN"/>
        </w:rPr>
        <w:t xml:space="preserve">  </w:t>
      </w:r>
      <w:r>
        <w:rPr>
          <w:rFonts w:hint="eastAsia" w:asciiTheme="minorEastAsia" w:hAnsiTheme="minorEastAsia" w:eastAsiaTheme="minorEastAsia" w:cstheme="minorEastAsia"/>
          <w:color w:val="auto"/>
          <w:kern w:val="2"/>
          <w:sz w:val="21"/>
          <w:szCs w:val="21"/>
        </w:rPr>
        <w:t xml:space="preserve"> </w:t>
      </w:r>
      <w:r>
        <w:rPr>
          <w:rFonts w:hint="eastAsia" w:asciiTheme="minorEastAsia" w:hAnsiTheme="minorEastAsia" w:eastAsiaTheme="minorEastAsia" w:cstheme="minorEastAsia"/>
          <w:color w:val="auto"/>
          <w:kern w:val="2"/>
          <w:sz w:val="21"/>
          <w:szCs w:val="21"/>
          <w:lang w:eastAsia="zh-CN"/>
        </w:rPr>
        <w:t>日</w:t>
      </w:r>
      <w:r>
        <w:rPr>
          <w:rFonts w:hint="eastAsia" w:ascii="宋体" w:hAnsi="宋体"/>
          <w:szCs w:val="21"/>
        </w:rPr>
        <w:br w:type="page"/>
      </w:r>
    </w:p>
    <w:p>
      <w:pPr>
        <w:spacing w:line="240" w:lineRule="auto"/>
        <w:ind w:firstLine="0" w:firstLineChars="0"/>
        <w:rPr>
          <w:rFonts w:ascii="宋体" w:hAnsi="宋体"/>
          <w:szCs w:val="21"/>
        </w:rPr>
      </w:pPr>
      <w:r>
        <w:rPr>
          <w:rFonts w:hint="eastAsia" w:ascii="宋体" w:hAnsi="宋体"/>
          <w:szCs w:val="21"/>
        </w:rPr>
        <w:t xml:space="preserve">2. </w:t>
      </w:r>
      <w:r>
        <w:rPr>
          <w:rFonts w:hint="eastAsia" w:ascii="宋体" w:hAnsi="宋体"/>
          <w:szCs w:val="21"/>
          <w:lang w:eastAsia="zh-CN"/>
        </w:rPr>
        <w:t>中小企业</w:t>
      </w:r>
      <w:r>
        <w:rPr>
          <w:rFonts w:hint="eastAsia" w:ascii="宋体" w:hAnsi="宋体"/>
          <w:szCs w:val="21"/>
        </w:rPr>
        <w:t>声明函</w:t>
      </w:r>
    </w:p>
    <w:p>
      <w:pPr>
        <w:pStyle w:val="4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hint="eastAsia" w:eastAsia="宋体"/>
          <w:color w:val="auto"/>
          <w:sz w:val="28"/>
          <w:szCs w:val="28"/>
          <w:lang w:eastAsia="zh-CN"/>
        </w:rPr>
      </w:pPr>
      <w:r>
        <w:rPr>
          <w:rFonts w:hint="eastAsia" w:cs="宋体"/>
          <w:color w:val="auto"/>
          <w:sz w:val="24"/>
          <w:szCs w:val="24"/>
          <w:lang w:eastAsia="zh-CN"/>
        </w:rPr>
        <w:t>中小企业声明函（</w:t>
      </w:r>
      <w:r>
        <w:rPr>
          <w:rFonts w:hint="eastAsia" w:cs="宋体"/>
          <w:color w:val="auto"/>
          <w:sz w:val="24"/>
          <w:szCs w:val="24"/>
          <w:lang w:val="en-US" w:eastAsia="zh-CN"/>
        </w:rPr>
        <w:t>工程类</w:t>
      </w:r>
      <w:r>
        <w:rPr>
          <w:rFonts w:hint="eastAsia" w:cs="宋体"/>
          <w:color w:val="auto"/>
          <w:sz w:val="24"/>
          <w:szCs w:val="24"/>
          <w:lang w:eastAsia="zh-CN"/>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本公司（联合体）郑重声明，根据《政府采购促进中小企业发展管理办法》（财库〔2020〕46号）的规定，本公司</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联合体</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参加</w:t>
      </w:r>
      <w:r>
        <w:rPr>
          <w:rFonts w:hint="eastAsia" w:asciiTheme="minorEastAsia" w:hAnsiTheme="minorEastAsia" w:eastAsiaTheme="minorEastAsia" w:cstheme="minorEastAsia"/>
          <w:i/>
          <w:sz w:val="21"/>
          <w:szCs w:val="21"/>
          <w:u w:val="single"/>
        </w:rPr>
        <w:t>（单位名称）</w:t>
      </w:r>
      <w:r>
        <w:rPr>
          <w:rFonts w:hint="eastAsia" w:asciiTheme="minorEastAsia" w:hAnsiTheme="minorEastAsia" w:eastAsiaTheme="minorEastAsia" w:cstheme="minorEastAsia"/>
          <w:sz w:val="21"/>
          <w:szCs w:val="21"/>
        </w:rPr>
        <w:t>的</w:t>
      </w:r>
      <w:r>
        <w:rPr>
          <w:rFonts w:hint="eastAsia" w:asciiTheme="minorEastAsia" w:hAnsiTheme="minorEastAsia" w:eastAsiaTheme="minorEastAsia" w:cstheme="minorEastAsia"/>
          <w:i/>
          <w:sz w:val="21"/>
          <w:szCs w:val="21"/>
          <w:u w:val="single"/>
        </w:rPr>
        <w:t>（项目名称）</w:t>
      </w:r>
      <w:r>
        <w:rPr>
          <w:rFonts w:hint="eastAsia" w:asciiTheme="minorEastAsia" w:hAnsiTheme="minorEastAsia" w:eastAsiaTheme="minorEastAsia" w:cstheme="minorEastAsia"/>
          <w:sz w:val="21"/>
          <w:szCs w:val="21"/>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i/>
          <w:sz w:val="21"/>
          <w:szCs w:val="21"/>
          <w:u w:val="single"/>
        </w:rPr>
        <w:t>（标的名称）</w:t>
      </w:r>
      <w:r>
        <w:rPr>
          <w:rFonts w:hint="eastAsia" w:asciiTheme="minorEastAsia" w:hAnsiTheme="minorEastAsia" w:eastAsiaTheme="minorEastAsia" w:cstheme="minorEastAsia"/>
          <w:sz w:val="21"/>
          <w:szCs w:val="21"/>
        </w:rPr>
        <w:t>，属于</w:t>
      </w:r>
      <w:r>
        <w:rPr>
          <w:rFonts w:hint="eastAsia" w:asciiTheme="minorEastAsia" w:hAnsiTheme="minorEastAsia" w:eastAsiaTheme="minorEastAsia" w:cstheme="minorEastAsia"/>
          <w:i/>
          <w:sz w:val="21"/>
          <w:szCs w:val="21"/>
          <w:u w:val="single"/>
        </w:rPr>
        <w:t>（招标文件中明确的所属行业）</w:t>
      </w:r>
      <w:r>
        <w:rPr>
          <w:rFonts w:hint="eastAsia" w:asciiTheme="minorEastAsia" w:hAnsiTheme="minorEastAsia" w:eastAsiaTheme="minorEastAsia" w:cstheme="minorEastAsia"/>
          <w:sz w:val="21"/>
          <w:szCs w:val="21"/>
        </w:rPr>
        <w:t>；承建</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承接</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企业为</w:t>
      </w:r>
      <w:r>
        <w:rPr>
          <w:rFonts w:hint="eastAsia" w:asciiTheme="minorEastAsia" w:hAnsiTheme="minorEastAsia" w:eastAsiaTheme="minorEastAsia" w:cstheme="minorEastAsia"/>
          <w:i/>
          <w:sz w:val="21"/>
          <w:szCs w:val="21"/>
          <w:u w:val="single"/>
        </w:rPr>
        <w:t>（企业名称）</w:t>
      </w:r>
      <w:r>
        <w:rPr>
          <w:rFonts w:hint="eastAsia" w:asciiTheme="minorEastAsia" w:hAnsiTheme="minorEastAsia" w:eastAsiaTheme="minorEastAsia" w:cstheme="minorEastAsia"/>
          <w:sz w:val="21"/>
          <w:szCs w:val="21"/>
        </w:rPr>
        <w:t>，从业人员</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人，营业收入为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万元，资产总额为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万元，属于</w:t>
      </w:r>
      <w:r>
        <w:rPr>
          <w:rFonts w:hint="eastAsia" w:asciiTheme="minorEastAsia" w:hAnsiTheme="minorEastAsia" w:eastAsiaTheme="minorEastAsia" w:cstheme="minorEastAsia"/>
          <w:i/>
          <w:sz w:val="21"/>
          <w:szCs w:val="21"/>
          <w:u w:val="single"/>
        </w:rPr>
        <w:t>（中型企业、小型企业、微型企业）</w:t>
      </w: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i/>
          <w:sz w:val="21"/>
          <w:szCs w:val="21"/>
          <w:u w:val="single"/>
        </w:rPr>
        <w:t>（标的名称）</w:t>
      </w:r>
      <w:r>
        <w:rPr>
          <w:rFonts w:hint="eastAsia" w:asciiTheme="minorEastAsia" w:hAnsiTheme="minorEastAsia" w:eastAsiaTheme="minorEastAsia" w:cstheme="minorEastAsia"/>
          <w:sz w:val="21"/>
          <w:szCs w:val="21"/>
        </w:rPr>
        <w:t>，属于</w:t>
      </w:r>
      <w:r>
        <w:rPr>
          <w:rFonts w:hint="eastAsia" w:asciiTheme="minorEastAsia" w:hAnsiTheme="minorEastAsia" w:eastAsiaTheme="minorEastAsia" w:cstheme="minorEastAsia"/>
          <w:i/>
          <w:sz w:val="21"/>
          <w:szCs w:val="21"/>
          <w:u w:val="single"/>
        </w:rPr>
        <w:t>（招标文件中明确的所属行业）</w:t>
      </w:r>
      <w:r>
        <w:rPr>
          <w:rFonts w:hint="eastAsia" w:asciiTheme="minorEastAsia" w:hAnsiTheme="minorEastAsia" w:eastAsiaTheme="minorEastAsia" w:cstheme="minorEastAsia"/>
          <w:sz w:val="21"/>
          <w:szCs w:val="21"/>
        </w:rPr>
        <w:t>；承建</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承接</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企业为</w:t>
      </w:r>
      <w:r>
        <w:rPr>
          <w:rFonts w:hint="eastAsia" w:asciiTheme="minorEastAsia" w:hAnsiTheme="minorEastAsia" w:eastAsiaTheme="minorEastAsia" w:cstheme="minorEastAsia"/>
          <w:i/>
          <w:sz w:val="21"/>
          <w:szCs w:val="21"/>
          <w:u w:val="single"/>
        </w:rPr>
        <w:t>（企业名称）</w:t>
      </w:r>
      <w:r>
        <w:rPr>
          <w:rFonts w:hint="eastAsia" w:asciiTheme="minorEastAsia" w:hAnsiTheme="minorEastAsia" w:eastAsiaTheme="minorEastAsia" w:cstheme="minorEastAsia"/>
          <w:sz w:val="21"/>
          <w:szCs w:val="21"/>
        </w:rPr>
        <w:t>，从业人员</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人，营业收入为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万元，资产总额为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万元，属于</w:t>
      </w:r>
      <w:r>
        <w:rPr>
          <w:rFonts w:hint="eastAsia" w:asciiTheme="minorEastAsia" w:hAnsiTheme="minorEastAsia" w:eastAsiaTheme="minorEastAsia" w:cstheme="minorEastAsia"/>
          <w:i/>
          <w:sz w:val="21"/>
          <w:szCs w:val="21"/>
          <w:u w:val="single"/>
        </w:rPr>
        <w:t>（中型企业、小型企业、微型企业）</w:t>
      </w: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355" w:firstLineChars="2550"/>
        <w:textAlignment w:val="auto"/>
        <w:rPr>
          <w:rFonts w:hint="default"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企业名称（盖章）：</w:t>
      </w:r>
      <w:r>
        <w:rPr>
          <w:rFonts w:hint="eastAsia" w:asciiTheme="minorEastAsia" w:hAnsiTheme="minorEastAsia" w:eastAsiaTheme="minorEastAsia" w:cstheme="minorEastAsia"/>
          <w:sz w:val="21"/>
          <w:szCs w:val="21"/>
          <w:u w:val="single"/>
          <w:lang w:eastAsia="zh-CN"/>
        </w:rPr>
        <w:t xml:space="preserve"> </w:t>
      </w:r>
      <w:r>
        <w:rPr>
          <w:rFonts w:hint="eastAsia" w:asciiTheme="minorEastAsia" w:hAnsiTheme="minorEastAsia" w:eastAsiaTheme="minorEastAsia" w:cstheme="minorEastAsia"/>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5355" w:firstLineChars="2550"/>
        <w:textAlignment w:val="auto"/>
        <w:rPr>
          <w:rFonts w:hint="default"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日期：</w:t>
      </w:r>
      <w:r>
        <w:rPr>
          <w:rFonts w:hint="eastAsia" w:asciiTheme="minorEastAsia" w:hAnsiTheme="minorEastAsia" w:eastAsiaTheme="minorEastAsia" w:cstheme="minorEastAsia"/>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2.中小企业应当按照《中小企业划型标准规定》（工信部联企业〔2011〕300号），如实填写并提交《</w:t>
      </w:r>
      <w:r>
        <w:rPr>
          <w:rFonts w:hint="eastAsia" w:asciiTheme="minorEastAsia" w:hAnsiTheme="minorEastAsia" w:eastAsiaTheme="minorEastAsia" w:cstheme="minorEastAsia"/>
          <w:b w:val="0"/>
          <w:bCs w:val="0"/>
          <w:kern w:val="0"/>
          <w:sz w:val="21"/>
          <w:szCs w:val="21"/>
          <w:lang w:eastAsia="zh-CN"/>
        </w:rPr>
        <w:t>中小企业声明函</w:t>
      </w:r>
      <w:r>
        <w:rPr>
          <w:rFonts w:hint="eastAsia" w:asciiTheme="minorEastAsia" w:hAnsiTheme="minorEastAsia" w:eastAsiaTheme="minorEastAsia" w:cstheme="minorEastAsia"/>
          <w:b w:val="0"/>
          <w:bCs w:val="0"/>
          <w:kern w:val="0"/>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4.本声明函“企业名称（盖章）”处为</w:t>
      </w:r>
      <w:r>
        <w:rPr>
          <w:rFonts w:hint="eastAsia" w:asciiTheme="minorEastAsia" w:hAnsiTheme="minorEastAsia" w:eastAsiaTheme="minorEastAsia" w:cstheme="minorEastAsia"/>
          <w:b w:val="0"/>
          <w:bCs w:val="0"/>
          <w:kern w:val="0"/>
          <w:sz w:val="21"/>
          <w:szCs w:val="21"/>
          <w:lang w:val="en-US" w:eastAsia="zh-CN"/>
        </w:rPr>
        <w:t>中小企业</w:t>
      </w:r>
      <w:r>
        <w:rPr>
          <w:rFonts w:hint="eastAsia" w:asciiTheme="minorEastAsia" w:hAnsiTheme="minorEastAsia" w:eastAsiaTheme="minorEastAsia" w:cstheme="minorEastAsia"/>
          <w:b w:val="0"/>
          <w:bCs w:val="0"/>
          <w:kern w:val="0"/>
          <w:sz w:val="21"/>
          <w:szCs w:val="21"/>
        </w:rPr>
        <w:t>盖章。</w:t>
      </w:r>
    </w:p>
    <w:p>
      <w:pPr>
        <w:rPr>
          <w:rFonts w:ascii="宋体" w:hAnsi="宋体"/>
          <w:szCs w:val="21"/>
        </w:rPr>
      </w:pPr>
      <w:r>
        <w:rPr>
          <w:rFonts w:ascii="宋体" w:hAnsi="宋体"/>
          <w:szCs w:val="21"/>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widowControl w:val="0"/>
        <w:tabs>
          <w:tab w:val="left" w:pos="6300"/>
        </w:tabs>
        <w:snapToGrid w:val="0"/>
        <w:spacing w:line="360" w:lineRule="auto"/>
        <w:ind w:firstLine="420" w:firstLineChars="20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tabs>
          <w:tab w:val="left" w:pos="6300"/>
        </w:tabs>
        <w:snapToGrid w:val="0"/>
        <w:spacing w:line="360" w:lineRule="auto"/>
        <w:ind w:firstLine="420" w:firstLineChars="200"/>
        <w:jc w:val="left"/>
        <w:rPr>
          <w:rFonts w:hint="eastAsia" w:ascii="宋体" w:hAnsi="宋体"/>
          <w:szCs w:val="21"/>
          <w:lang w:val="en-US" w:eastAsia="zh-CN"/>
        </w:rPr>
      </w:pPr>
      <w:r>
        <w:rPr>
          <w:rFonts w:hint="eastAsia" w:asciiTheme="minorEastAsia" w:hAnsiTheme="minorEastAsia" w:eastAsiaTheme="minorEastAsia" w:cstheme="minorEastAsia"/>
          <w:kern w:val="0"/>
          <w:sz w:val="21"/>
          <w:szCs w:val="21"/>
        </w:rPr>
        <w:t>（十六）其他未列明行业。从业人员300人以下的为中小微型企业。其中，从业人员100人及以上的为中型企业；从业人员10人及以上的为小型企业；从业人员10人以下的为微型企业。</w:t>
      </w:r>
      <w:r>
        <w:rPr>
          <w:rFonts w:hint="eastAsia" w:ascii="宋体" w:hAnsi="宋体"/>
          <w:szCs w:val="21"/>
          <w:lang w:val="en-US" w:eastAsia="zh-CN"/>
        </w:rPr>
        <w:br w:type="page"/>
      </w:r>
    </w:p>
    <w:p>
      <w:pPr>
        <w:spacing w:line="360" w:lineRule="auto"/>
        <w:ind w:firstLine="420" w:firstLineChars="200"/>
        <w:rPr>
          <w:rFonts w:hint="eastAsia" w:ascii="宋体" w:hAnsi="宋体"/>
          <w:szCs w:val="21"/>
          <w:highlight w:val="none"/>
          <w:lang w:val="en-US" w:eastAsia="zh-CN"/>
        </w:rPr>
      </w:pPr>
      <w:r>
        <w:rPr>
          <w:rFonts w:hint="eastAsia" w:ascii="宋体" w:hAnsi="宋体"/>
          <w:szCs w:val="21"/>
          <w:highlight w:val="none"/>
          <w:lang w:val="en-US" w:eastAsia="zh-CN"/>
        </w:rPr>
        <w:t>3.</w:t>
      </w:r>
      <w:r>
        <w:rPr>
          <w:rFonts w:hint="eastAsia"/>
          <w:highlight w:val="none"/>
        </w:rPr>
        <w:t>中小企业承担合同份额</w:t>
      </w:r>
      <w:r>
        <w:rPr>
          <w:rFonts w:hint="eastAsia"/>
          <w:highlight w:val="none"/>
          <w:lang w:val="en-US" w:eastAsia="zh-CN"/>
        </w:rPr>
        <w:t>承诺函</w:t>
      </w:r>
    </w:p>
    <w:p>
      <w:pPr>
        <w:pStyle w:val="2"/>
        <w:spacing w:line="360" w:lineRule="auto"/>
        <w:jc w:val="center"/>
        <w:rPr>
          <w:rFonts w:hint="eastAsia" w:eastAsia="宋体"/>
          <w:highlight w:val="none"/>
          <w:lang w:val="en-US" w:eastAsia="zh-CN"/>
        </w:rPr>
      </w:pPr>
      <w:r>
        <w:rPr>
          <w:rFonts w:hint="eastAsia"/>
          <w:highlight w:val="none"/>
        </w:rPr>
        <w:t>中小企业承担合同份额</w:t>
      </w:r>
      <w:r>
        <w:rPr>
          <w:rFonts w:hint="eastAsia"/>
          <w:highlight w:val="none"/>
          <w:lang w:val="en-US" w:eastAsia="zh-CN"/>
        </w:rPr>
        <w:t>承诺函</w:t>
      </w:r>
    </w:p>
    <w:p>
      <w:pPr>
        <w:pStyle w:val="2"/>
        <w:spacing w:line="360" w:lineRule="auto"/>
        <w:jc w:val="center"/>
        <w:rPr>
          <w:rFonts w:hint="eastAsia" w:eastAsia="宋体"/>
          <w:highlight w:val="none"/>
          <w:lang w:val="en-US" w:eastAsia="zh-CN"/>
        </w:rPr>
      </w:pPr>
      <w:r>
        <w:rPr>
          <w:rFonts w:hint="eastAsia"/>
          <w:highlight w:val="none"/>
          <w:lang w:val="en-US" w:eastAsia="zh-CN"/>
        </w:rPr>
        <w:t>（</w:t>
      </w:r>
      <w:r>
        <w:rPr>
          <w:rFonts w:hint="eastAsia" w:ascii="宋体" w:hAnsi="宋体"/>
          <w:snapToGrid w:val="0"/>
          <w:kern w:val="0"/>
          <w:szCs w:val="21"/>
          <w:highlight w:val="none"/>
        </w:rPr>
        <w:t>以联合体形式面向中小企业</w:t>
      </w:r>
      <w:r>
        <w:rPr>
          <w:rFonts w:hint="eastAsia"/>
          <w:highlight w:val="none"/>
          <w:lang w:val="en-US" w:eastAsia="zh-CN"/>
        </w:rPr>
        <w:t>时采用</w:t>
      </w:r>
      <w:r>
        <w:rPr>
          <w:rFonts w:hint="eastAsia"/>
          <w:highlight w:val="none"/>
          <w:lang w:eastAsia="zh-CN"/>
        </w:rPr>
        <w:t>）</w:t>
      </w:r>
    </w:p>
    <w:p>
      <w:pPr>
        <w:autoSpaceDE w:val="0"/>
        <w:autoSpaceDN w:val="0"/>
        <w:adjustRightInd w:val="0"/>
        <w:snapToGrid w:val="0"/>
        <w:spacing w:line="360" w:lineRule="auto"/>
        <w:rPr>
          <w:rFonts w:ascii="宋体" w:hAnsi="宋体" w:cs="宋体"/>
          <w:snapToGrid w:val="0"/>
          <w:kern w:val="0"/>
          <w:szCs w:val="21"/>
          <w:highlight w:val="none"/>
        </w:rPr>
      </w:pPr>
      <w:r>
        <w:rPr>
          <w:rFonts w:hint="eastAsia" w:ascii="宋体" w:hAnsi="宋体" w:cs="宋体"/>
          <w:snapToGrid w:val="0"/>
          <w:kern w:val="0"/>
          <w:szCs w:val="21"/>
          <w:highlight w:val="none"/>
          <w:u w:val="single"/>
        </w:rPr>
        <w:t xml:space="preserve">        （招标人名称）</w:t>
      </w:r>
      <w:r>
        <w:rPr>
          <w:rFonts w:hint="eastAsia" w:ascii="宋体" w:hAnsi="宋体" w:cs="宋体"/>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我公司</w:t>
      </w:r>
      <w:r>
        <w:rPr>
          <w:rFonts w:hint="eastAsia" w:ascii="宋体" w:hAnsi="宋体" w:cs="宋体"/>
          <w:snapToGrid w:val="0"/>
          <w:kern w:val="0"/>
          <w:szCs w:val="21"/>
          <w:highlight w:val="none"/>
          <w:u w:val="single"/>
        </w:rPr>
        <w:t xml:space="preserve">        （所有成员单位名称）</w:t>
      </w:r>
      <w:r>
        <w:rPr>
          <w:rFonts w:hint="eastAsia" w:ascii="宋体" w:hAnsi="宋体" w:cs="宋体"/>
          <w:snapToGrid w:val="0"/>
          <w:kern w:val="0"/>
          <w:szCs w:val="21"/>
          <w:highlight w:val="none"/>
          <w:u w:val="none"/>
        </w:rPr>
        <w:t>自愿组成联合体</w:t>
      </w:r>
      <w:r>
        <w:rPr>
          <w:rFonts w:hint="eastAsia" w:ascii="宋体" w:hAnsi="宋体" w:cs="宋体"/>
          <w:snapToGrid w:val="0"/>
          <w:kern w:val="0"/>
          <w:szCs w:val="21"/>
          <w:highlight w:val="none"/>
        </w:rPr>
        <w:t>，</w:t>
      </w:r>
      <w:r>
        <w:rPr>
          <w:rFonts w:hint="eastAsia" w:ascii="宋体" w:hAnsi="宋体" w:cs="宋体"/>
          <w:snapToGrid w:val="0"/>
          <w:kern w:val="0"/>
          <w:szCs w:val="21"/>
          <w:highlight w:val="none"/>
          <w:lang w:val="en-US" w:eastAsia="zh-CN"/>
        </w:rPr>
        <w:t>承诺</w:t>
      </w:r>
      <w:r>
        <w:rPr>
          <w:rFonts w:hint="eastAsia" w:ascii="宋体" w:hAnsi="宋体" w:cs="宋体"/>
          <w:snapToGrid w:val="0"/>
          <w:kern w:val="0"/>
          <w:szCs w:val="21"/>
          <w:highlight w:val="none"/>
        </w:rPr>
        <w:t>将合同份额的</w:t>
      </w:r>
      <w:r>
        <w:rPr>
          <w:rFonts w:hint="eastAsia" w:ascii="宋体" w:hAnsi="宋体" w:cs="宋体"/>
          <w:snapToGrid w:val="0"/>
          <w:kern w:val="0"/>
          <w:szCs w:val="21"/>
          <w:highlight w:val="none"/>
          <w:u w:val="single"/>
          <w:lang w:val="en-US" w:eastAsia="zh-CN"/>
        </w:rPr>
        <w:t xml:space="preserve">    </w:t>
      </w:r>
      <w:r>
        <w:rPr>
          <w:rFonts w:hint="eastAsia" w:ascii="宋体" w:hAnsi="宋体" w:cs="宋体"/>
          <w:snapToGrid w:val="0"/>
          <w:kern w:val="0"/>
          <w:szCs w:val="21"/>
          <w:highlight w:val="none"/>
          <w:lang w:val="en-US" w:eastAsia="zh-CN"/>
        </w:rPr>
        <w:t>%</w:t>
      </w:r>
      <w:r>
        <w:rPr>
          <w:rFonts w:hint="eastAsia" w:ascii="宋体" w:hAnsi="宋体" w:cs="宋体"/>
          <w:snapToGrid w:val="0"/>
          <w:kern w:val="0"/>
          <w:szCs w:val="21"/>
          <w:highlight w:val="none"/>
        </w:rPr>
        <w:t>以</w:t>
      </w:r>
      <w:r>
        <w:rPr>
          <w:rFonts w:hint="eastAsia" w:ascii="宋体" w:hAnsi="宋体" w:cs="宋体"/>
          <w:snapToGrid w:val="0"/>
          <w:kern w:val="0"/>
          <w:szCs w:val="21"/>
          <w:highlight w:val="none"/>
          <w:lang w:val="en-US" w:eastAsia="zh-CN"/>
        </w:rPr>
        <w:t>上由联合体中的中小企业实施</w:t>
      </w:r>
      <w:r>
        <w:rPr>
          <w:rFonts w:hint="eastAsia" w:ascii="宋体" w:hAnsi="宋体" w:cs="宋体"/>
          <w:snapToGrid w:val="0"/>
          <w:kern w:val="0"/>
          <w:szCs w:val="21"/>
          <w:highlight w:val="none"/>
        </w:rPr>
        <w:t>。</w:t>
      </w:r>
      <w:r>
        <w:rPr>
          <w:rFonts w:hint="eastAsia" w:ascii="宋体" w:hAnsi="宋体" w:cs="宋体"/>
          <w:i/>
          <w:iCs/>
          <w:snapToGrid w:val="0"/>
          <w:kern w:val="0"/>
          <w:szCs w:val="21"/>
          <w:highlight w:val="none"/>
        </w:rPr>
        <w:t>[提示：2025年、2026年执行不低于40%的比例，之后年度执行不低于30%的比例</w:t>
      </w:r>
      <w:r>
        <w:rPr>
          <w:rFonts w:hint="eastAsia" w:ascii="宋体" w:hAnsi="宋体" w:cs="宋体"/>
          <w:i/>
          <w:iCs/>
          <w:snapToGrid w:val="0"/>
          <w:kern w:val="0"/>
          <w:szCs w:val="21"/>
          <w:highlight w:val="none"/>
          <w:lang w:eastAsia="zh-CN"/>
        </w:rPr>
        <w:t>。</w:t>
      </w:r>
      <w:r>
        <w:rPr>
          <w:rFonts w:hint="eastAsia" w:ascii="宋体" w:hAnsi="宋体" w:cs="宋体"/>
          <w:i/>
          <w:iCs/>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p>
    <w:p>
      <w:pPr>
        <w:autoSpaceDE w:val="0"/>
        <w:autoSpaceDN w:val="0"/>
        <w:adjustRightInd w:val="0"/>
        <w:snapToGrid w:val="0"/>
        <w:spacing w:line="360" w:lineRule="auto"/>
        <w:ind w:firstLine="420" w:firstLineChars="200"/>
        <w:rPr>
          <w:rFonts w:ascii="宋体" w:hAnsi="宋体" w:cs="宋体"/>
          <w:snapToGrid w:val="0"/>
          <w:kern w:val="0"/>
          <w:szCs w:val="21"/>
          <w:highlight w:val="none"/>
        </w:rPr>
      </w:pPr>
      <w:r>
        <w:rPr>
          <w:rFonts w:hint="eastAsia" w:ascii="宋体" w:hAnsi="宋体" w:cs="宋体"/>
          <w:snapToGrid w:val="0"/>
          <w:kern w:val="0"/>
          <w:szCs w:val="21"/>
          <w:highlight w:val="none"/>
        </w:rPr>
        <w:t>特此承诺。</w:t>
      </w: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投  标  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ascii="宋体" w:hAnsi="宋体"/>
          <w:spacing w:val="-1"/>
          <w:kern w:val="0"/>
          <w:szCs w:val="21"/>
          <w:highlight w:val="none"/>
        </w:rPr>
        <w:t>盖单位法人章</w:t>
      </w:r>
      <w:r>
        <w:rPr>
          <w:rFonts w:ascii="宋体" w:hAnsi="宋体"/>
          <w:kern w:val="0"/>
          <w:szCs w:val="21"/>
          <w:highlight w:val="none"/>
        </w:rPr>
        <w:t>）</w:t>
      </w:r>
    </w:p>
    <w:p>
      <w:pPr>
        <w:tabs>
          <w:tab w:val="left" w:pos="630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法定代表人：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或盖章）</w:t>
      </w: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kern w:val="0"/>
          <w:szCs w:val="21"/>
          <w:highlight w:val="none"/>
        </w:rPr>
      </w:pPr>
    </w:p>
    <w:p>
      <w:pPr>
        <w:spacing w:line="360" w:lineRule="auto"/>
        <w:ind w:firstLine="420" w:firstLineChars="200"/>
        <w:jc w:val="right"/>
        <w:rPr>
          <w:rFonts w:ascii="宋体" w:hAnsi="宋体"/>
          <w:kern w:val="0"/>
          <w:szCs w:val="21"/>
          <w:highlight w:val="none"/>
        </w:rPr>
      </w:pP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p>
    <w:p>
      <w:pPr>
        <w:spacing w:line="240" w:lineRule="auto"/>
        <w:ind w:firstLine="0" w:firstLineChars="0"/>
        <w:rPr>
          <w:rFonts w:hint="eastAsia" w:ascii="宋体" w:hAnsi="宋体"/>
          <w:szCs w:val="21"/>
          <w:lang w:val="en-US" w:eastAsia="zh-CN"/>
        </w:rPr>
      </w:pPr>
      <w:r>
        <w:rPr>
          <w:rFonts w:hint="eastAsia" w:ascii="宋体" w:hAnsi="宋体"/>
          <w:szCs w:val="21"/>
          <w:lang w:val="en-US" w:eastAsia="zh-CN"/>
        </w:rPr>
        <w:br w:type="page"/>
      </w:r>
    </w:p>
    <w:p>
      <w:pPr>
        <w:spacing w:line="360" w:lineRule="auto"/>
        <w:ind w:firstLine="420" w:firstLineChars="200"/>
        <w:rPr>
          <w:rFonts w:hint="eastAsia" w:ascii="宋体" w:hAnsi="宋体"/>
          <w:szCs w:val="21"/>
          <w:highlight w:val="none"/>
          <w:lang w:val="en-US" w:eastAsia="zh-CN"/>
        </w:rPr>
      </w:pPr>
      <w:r>
        <w:rPr>
          <w:rFonts w:hint="eastAsia" w:ascii="宋体" w:hAnsi="宋体"/>
          <w:szCs w:val="21"/>
          <w:highlight w:val="none"/>
          <w:lang w:val="en-US" w:eastAsia="zh-CN"/>
        </w:rPr>
        <w:t>4.分包承诺函</w:t>
      </w:r>
    </w:p>
    <w:p>
      <w:pPr>
        <w:pStyle w:val="2"/>
        <w:spacing w:line="360" w:lineRule="auto"/>
        <w:jc w:val="center"/>
        <w:rPr>
          <w:rFonts w:hint="eastAsia"/>
          <w:highlight w:val="none"/>
          <w:lang w:val="en-US" w:eastAsia="zh-CN"/>
        </w:rPr>
      </w:pPr>
      <w:r>
        <w:rPr>
          <w:rFonts w:hint="eastAsia"/>
          <w:highlight w:val="none"/>
          <w:lang w:val="en-US" w:eastAsia="zh-CN"/>
        </w:rPr>
        <w:t>分包承诺函</w:t>
      </w:r>
    </w:p>
    <w:p>
      <w:pPr>
        <w:pStyle w:val="2"/>
        <w:spacing w:line="360" w:lineRule="auto"/>
        <w:jc w:val="center"/>
        <w:rPr>
          <w:rFonts w:hint="eastAsia" w:eastAsia="宋体"/>
          <w:highlight w:val="none"/>
          <w:lang w:val="en-US" w:eastAsia="zh-CN"/>
        </w:rPr>
      </w:pPr>
      <w:r>
        <w:rPr>
          <w:rFonts w:hint="eastAsia"/>
          <w:highlight w:val="none"/>
          <w:lang w:val="en-US" w:eastAsia="zh-CN"/>
        </w:rPr>
        <w:t>（</w:t>
      </w:r>
      <w:r>
        <w:rPr>
          <w:rFonts w:hint="eastAsia" w:ascii="宋体" w:hAnsi="宋体"/>
          <w:snapToGrid w:val="0"/>
          <w:kern w:val="0"/>
          <w:szCs w:val="21"/>
          <w:highlight w:val="none"/>
        </w:rPr>
        <w:t>以合同分包形式面向中小企业</w:t>
      </w:r>
      <w:r>
        <w:rPr>
          <w:rFonts w:hint="eastAsia"/>
          <w:highlight w:val="none"/>
          <w:lang w:val="en-US" w:eastAsia="zh-CN"/>
        </w:rPr>
        <w:t>时采用</w:t>
      </w:r>
      <w:r>
        <w:rPr>
          <w:rFonts w:hint="eastAsia"/>
          <w:highlight w:val="none"/>
          <w:lang w:eastAsia="zh-CN"/>
        </w:rPr>
        <w:t>）</w:t>
      </w:r>
    </w:p>
    <w:p>
      <w:pPr>
        <w:autoSpaceDE w:val="0"/>
        <w:autoSpaceDN w:val="0"/>
        <w:adjustRightInd w:val="0"/>
        <w:snapToGrid w:val="0"/>
        <w:spacing w:line="360" w:lineRule="auto"/>
        <w:rPr>
          <w:rFonts w:ascii="宋体" w:hAnsi="宋体" w:cs="宋体"/>
          <w:snapToGrid w:val="0"/>
          <w:kern w:val="0"/>
          <w:szCs w:val="21"/>
          <w:highlight w:val="none"/>
        </w:rPr>
      </w:pPr>
      <w:r>
        <w:rPr>
          <w:rFonts w:hint="eastAsia" w:ascii="宋体" w:hAnsi="宋体" w:cs="宋体"/>
          <w:snapToGrid w:val="0"/>
          <w:kern w:val="0"/>
          <w:szCs w:val="21"/>
          <w:highlight w:val="none"/>
          <w:u w:val="single"/>
        </w:rPr>
        <w:t xml:space="preserve">        （招标人名称）</w:t>
      </w:r>
      <w:r>
        <w:rPr>
          <w:rFonts w:hint="eastAsia" w:ascii="宋体" w:hAnsi="宋体" w:cs="宋体"/>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我公司</w:t>
      </w:r>
      <w:r>
        <w:rPr>
          <w:rFonts w:hint="eastAsia" w:ascii="宋体" w:hAnsi="宋体" w:cs="宋体"/>
          <w:snapToGrid w:val="0"/>
          <w:kern w:val="0"/>
          <w:szCs w:val="21"/>
          <w:highlight w:val="none"/>
          <w:u w:val="single"/>
        </w:rPr>
        <w:t xml:space="preserve">        （投标人名称）</w:t>
      </w:r>
      <w:r>
        <w:rPr>
          <w:rFonts w:hint="eastAsia" w:ascii="宋体" w:hAnsi="宋体" w:cs="宋体"/>
          <w:snapToGrid w:val="0"/>
          <w:kern w:val="0"/>
          <w:szCs w:val="21"/>
          <w:highlight w:val="none"/>
        </w:rPr>
        <w:t>若中标，</w:t>
      </w:r>
      <w:r>
        <w:rPr>
          <w:rFonts w:hint="eastAsia" w:ascii="宋体" w:hAnsi="宋体" w:cs="宋体"/>
          <w:snapToGrid w:val="0"/>
          <w:kern w:val="0"/>
          <w:szCs w:val="21"/>
          <w:highlight w:val="none"/>
          <w:lang w:val="en-US" w:eastAsia="zh-CN"/>
        </w:rPr>
        <w:t>承诺</w:t>
      </w:r>
      <w:r>
        <w:rPr>
          <w:rFonts w:hint="eastAsia" w:ascii="宋体" w:hAnsi="宋体" w:cs="宋体"/>
          <w:snapToGrid w:val="0"/>
          <w:kern w:val="0"/>
          <w:szCs w:val="21"/>
          <w:highlight w:val="none"/>
        </w:rPr>
        <w:t>将合同份额的</w:t>
      </w:r>
      <w:r>
        <w:rPr>
          <w:rFonts w:hint="eastAsia" w:ascii="宋体" w:hAnsi="宋体" w:cs="宋体"/>
          <w:snapToGrid w:val="0"/>
          <w:kern w:val="0"/>
          <w:szCs w:val="21"/>
          <w:highlight w:val="none"/>
          <w:u w:val="single"/>
          <w:lang w:val="en-US" w:eastAsia="zh-CN"/>
        </w:rPr>
        <w:t xml:space="preserve">    </w:t>
      </w:r>
      <w:r>
        <w:rPr>
          <w:rFonts w:hint="eastAsia" w:ascii="宋体" w:hAnsi="宋体" w:cs="宋体"/>
          <w:snapToGrid w:val="0"/>
          <w:kern w:val="0"/>
          <w:szCs w:val="21"/>
          <w:highlight w:val="none"/>
          <w:lang w:val="en-US" w:eastAsia="zh-CN"/>
        </w:rPr>
        <w:t>%</w:t>
      </w:r>
      <w:r>
        <w:rPr>
          <w:rFonts w:hint="eastAsia" w:ascii="宋体" w:hAnsi="宋体" w:cs="宋体"/>
          <w:snapToGrid w:val="0"/>
          <w:kern w:val="0"/>
          <w:szCs w:val="21"/>
          <w:highlight w:val="none"/>
        </w:rPr>
        <w:t>以上分包给中小企业。</w:t>
      </w:r>
      <w:r>
        <w:rPr>
          <w:rFonts w:hint="eastAsia" w:ascii="宋体" w:hAnsi="宋体" w:cs="宋体"/>
          <w:i/>
          <w:iCs/>
          <w:snapToGrid w:val="0"/>
          <w:kern w:val="0"/>
          <w:szCs w:val="21"/>
          <w:highlight w:val="none"/>
        </w:rPr>
        <w:t>[提示：2025年、2026年执行不低于40%的比例，之后年度执行不低于30%的比例</w:t>
      </w:r>
      <w:r>
        <w:rPr>
          <w:rFonts w:hint="eastAsia" w:ascii="宋体" w:hAnsi="宋体" w:cs="宋体"/>
          <w:i/>
          <w:iCs/>
          <w:snapToGrid w:val="0"/>
          <w:kern w:val="0"/>
          <w:szCs w:val="21"/>
          <w:highlight w:val="none"/>
          <w:lang w:eastAsia="zh-CN"/>
        </w:rPr>
        <w:t>。</w:t>
      </w:r>
      <w:r>
        <w:rPr>
          <w:rFonts w:hint="eastAsia" w:ascii="宋体" w:hAnsi="宋体" w:cs="宋体"/>
          <w:i/>
          <w:iCs/>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p>
    <w:p>
      <w:pPr>
        <w:autoSpaceDE w:val="0"/>
        <w:autoSpaceDN w:val="0"/>
        <w:adjustRightInd w:val="0"/>
        <w:snapToGrid w:val="0"/>
        <w:spacing w:line="360" w:lineRule="auto"/>
        <w:ind w:firstLine="420" w:firstLineChars="200"/>
        <w:rPr>
          <w:rFonts w:ascii="宋体" w:hAnsi="宋体" w:cs="宋体"/>
          <w:snapToGrid w:val="0"/>
          <w:kern w:val="0"/>
          <w:szCs w:val="21"/>
          <w:highlight w:val="none"/>
        </w:rPr>
      </w:pPr>
      <w:r>
        <w:rPr>
          <w:rFonts w:hint="eastAsia" w:ascii="宋体" w:hAnsi="宋体" w:cs="宋体"/>
          <w:snapToGrid w:val="0"/>
          <w:kern w:val="0"/>
          <w:szCs w:val="21"/>
          <w:highlight w:val="none"/>
        </w:rPr>
        <w:t>特此承诺。</w:t>
      </w: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投  标  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ascii="宋体" w:hAnsi="宋体"/>
          <w:spacing w:val="-1"/>
          <w:kern w:val="0"/>
          <w:szCs w:val="21"/>
          <w:highlight w:val="none"/>
        </w:rPr>
        <w:t>盖单位法人章</w:t>
      </w:r>
      <w:r>
        <w:rPr>
          <w:rFonts w:ascii="宋体" w:hAnsi="宋体"/>
          <w:kern w:val="0"/>
          <w:szCs w:val="21"/>
          <w:highlight w:val="none"/>
        </w:rPr>
        <w:t>）</w:t>
      </w:r>
    </w:p>
    <w:p>
      <w:pPr>
        <w:tabs>
          <w:tab w:val="left" w:pos="630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法定代表人：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或盖章）</w:t>
      </w: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kern w:val="0"/>
          <w:szCs w:val="21"/>
          <w:highlight w:val="none"/>
        </w:rPr>
      </w:pPr>
    </w:p>
    <w:p>
      <w:pPr>
        <w:tabs>
          <w:tab w:val="left" w:pos="6300"/>
        </w:tabs>
        <w:autoSpaceDE w:val="0"/>
        <w:autoSpaceDN w:val="0"/>
        <w:adjustRightInd w:val="0"/>
        <w:snapToGrid w:val="0"/>
        <w:spacing w:line="360" w:lineRule="auto"/>
        <w:ind w:firstLine="420" w:firstLineChars="200"/>
        <w:jc w:val="right"/>
        <w:rPr>
          <w:rFonts w:hint="eastAsia" w:ascii="宋体" w:hAnsi="宋体"/>
          <w:kern w:val="0"/>
          <w:szCs w:val="21"/>
          <w:highlight w:val="none"/>
        </w:rPr>
      </w:pPr>
      <w:r>
        <w:rPr>
          <w:rFonts w:hint="eastAsia" w:ascii="宋体" w:hAnsi="宋体"/>
          <w:kern w:val="0"/>
          <w:szCs w:val="21"/>
          <w:highlight w:val="none"/>
          <w:u w:val="single"/>
        </w:rPr>
        <w:t xml:space="preserve">    </w:t>
      </w:r>
      <w:r>
        <w:rPr>
          <w:rFonts w:hint="eastAsia" w:ascii="宋体" w:hAnsi="宋体"/>
          <w:kern w:val="0"/>
          <w:szCs w:val="21"/>
          <w:highlight w:val="none"/>
        </w:rPr>
        <w:t>年</w:t>
      </w:r>
      <w:r>
        <w:rPr>
          <w:rFonts w:hint="eastAsia" w:ascii="宋体" w:hAnsi="宋体"/>
          <w:kern w:val="0"/>
          <w:szCs w:val="21"/>
          <w:highlight w:val="none"/>
          <w:u w:val="single"/>
        </w:rPr>
        <w:t xml:space="preserve">    </w:t>
      </w:r>
      <w:r>
        <w:rPr>
          <w:rFonts w:hint="eastAsia" w:ascii="宋体" w:hAnsi="宋体"/>
          <w:kern w:val="0"/>
          <w:szCs w:val="21"/>
          <w:highlight w:val="none"/>
        </w:rPr>
        <w:t>月</w:t>
      </w:r>
      <w:r>
        <w:rPr>
          <w:rFonts w:hint="eastAsia" w:ascii="宋体" w:hAnsi="宋体"/>
          <w:kern w:val="0"/>
          <w:szCs w:val="21"/>
          <w:highlight w:val="none"/>
          <w:u w:val="single"/>
        </w:rPr>
        <w:t xml:space="preserve">    </w:t>
      </w:r>
      <w:r>
        <w:rPr>
          <w:rFonts w:hint="eastAsia" w:ascii="宋体" w:hAnsi="宋体"/>
          <w:kern w:val="0"/>
          <w:szCs w:val="21"/>
          <w:highlight w:val="none"/>
        </w:rPr>
        <w:t>日</w:t>
      </w:r>
    </w:p>
    <w:p>
      <w:pPr>
        <w:rPr>
          <w:rFonts w:hint="eastAsia" w:ascii="宋体" w:hAnsi="宋体"/>
          <w:b w:val="0"/>
        </w:rPr>
      </w:pPr>
      <w:r>
        <w:rPr>
          <w:rFonts w:hint="eastAsia" w:ascii="宋体" w:hAnsi="宋体"/>
          <w:b w:val="0"/>
        </w:rPr>
        <w:br w:type="page"/>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b w:val="0"/>
          <w:lang w:val="en-US" w:eastAsia="zh-CN"/>
        </w:rPr>
      </w:pPr>
      <w:r>
        <w:rPr>
          <w:rFonts w:hint="eastAsia" w:ascii="宋体" w:hAnsi="宋体"/>
          <w:b w:val="0"/>
          <w:lang w:val="en-US" w:eastAsia="zh-CN"/>
        </w:rPr>
        <w:t>5.按照招标文件第二章投标人须知前附表第1.4.1项、第3.4款要求提供的资料。</w:t>
      </w:r>
    </w:p>
    <w:p>
      <w:pPr>
        <w:rPr>
          <w:rFonts w:ascii="宋体" w:hAnsi="宋体"/>
          <w:szCs w:val="21"/>
        </w:rPr>
      </w:pPr>
      <w:r>
        <w:rPr>
          <w:rFonts w:ascii="宋体" w:hAnsi="宋体"/>
          <w:szCs w:val="21"/>
        </w:rPr>
        <w:t>……</w:t>
      </w:r>
    </w:p>
    <w:p>
      <w:pPr>
        <w:ind w:firstLine="420" w:firstLineChars="200"/>
      </w:pPr>
    </w:p>
    <w:sectPr>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altName w:val="宋体"/>
    <w:panose1 w:val="02010609030101010101"/>
    <w:charset w:val="86"/>
    <w:family w:val="auto"/>
    <w:pitch w:val="default"/>
    <w:sig w:usb0="00000000" w:usb1="00000000" w:usb2="00000000" w:usb3="00000000" w:csb0="00040000" w:csb1="00000000"/>
  </w:font>
  <w:font w:name="方正书宋简体">
    <w:altName w:val="方正书宋_GBK"/>
    <w:panose1 w:val="00000000000000000000"/>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script"/>
    <w:pitch w:val="default"/>
    <w:sig w:usb0="A00002BF" w:usb1="184F6CFA" w:usb2="00000012"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仿宋">
    <w:altName w:val="宋体"/>
    <w:panose1 w:val="02010609060101010101"/>
    <w:charset w:val="86"/>
    <w:family w:val="modern"/>
    <w:pitch w:val="default"/>
    <w:sig w:usb0="00000000" w:usb1="00000000" w:usb2="00000016" w:usb3="00000000" w:csb0="00040001" w:csb1="00000000"/>
  </w:font>
  <w:font w:name="方正仿宋简体">
    <w:altName w:val="方正仿宋_GBK"/>
    <w:panose1 w:val="00000000000000000000"/>
    <w:charset w:val="86"/>
    <w:family w:val="auto"/>
    <w:pitch w:val="default"/>
    <w:sig w:usb0="00000000" w:usb1="00000000" w:usb2="00000010" w:usb3="00000000" w:csb0="00040000" w:csb1="00000000"/>
  </w:font>
  <w:font w:name="华文细黑">
    <w:altName w:val="汉仪中等线简"/>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MingLiU">
    <w:altName w:val="宋体"/>
    <w:panose1 w:val="02020509000000000000"/>
    <w:charset w:val="88"/>
    <w:family w:val="modern"/>
    <w:pitch w:val="default"/>
    <w:sig w:usb0="00000000" w:usb1="00000000" w:usb2="00000016" w:usb3="00000000" w:csb0="00100001" w:csb1="00000000"/>
  </w:font>
  <w:font w:name="Microsoft Sans Serif">
    <w:altName w:val="DejaVu Sans"/>
    <w:panose1 w:val="020B0604020202020204"/>
    <w:charset w:val="00"/>
    <w:family w:val="swiss"/>
    <w:pitch w:val="default"/>
    <w:sig w:usb0="00000000" w:usb1="00000000" w:usb2="00000008" w:usb3="00000000" w:csb0="200101FF" w:csb1="2028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end"/>
    </w:r>
  </w:p>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1</w:t>
    </w:r>
    <w:r>
      <w:fldChar w:fldCharType="end"/>
    </w:r>
    <w:r>
      <w:t xml:space="preserve"> -</w:t>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- 2 -</w:t>
    </w:r>
    <w:r>
      <w:fldChar w:fldCharType="end"/>
    </w:r>
  </w:p>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- 3 -</w:t>
    </w:r>
    <w:r>
      <w:fldChar w:fldCharType="end"/>
    </w:r>
  </w:p>
  <w:p>
    <w:pPr>
      <w:pStyle w:val="2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63</w:t>
    </w:r>
    <w:r>
      <w:fldChar w:fldCharType="end"/>
    </w: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fgw">
    <w15:presenceInfo w15:providerId="None" w15:userId="fg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false"/>
  <w:bordersDoNotSurroundFooter w:val="false"/>
  <w:revisionView w:markup="0"/>
  <w:trackRevisions w:val="tru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345"/>
    <w:rsid w:val="00001A09"/>
    <w:rsid w:val="00001B1E"/>
    <w:rsid w:val="000027C8"/>
    <w:rsid w:val="0000285A"/>
    <w:rsid w:val="00002D86"/>
    <w:rsid w:val="00003A3F"/>
    <w:rsid w:val="00005443"/>
    <w:rsid w:val="00005E79"/>
    <w:rsid w:val="000067A3"/>
    <w:rsid w:val="00014531"/>
    <w:rsid w:val="00014DF1"/>
    <w:rsid w:val="00015333"/>
    <w:rsid w:val="00015C9C"/>
    <w:rsid w:val="0001647D"/>
    <w:rsid w:val="0001650A"/>
    <w:rsid w:val="000165A8"/>
    <w:rsid w:val="0001665A"/>
    <w:rsid w:val="00017F2D"/>
    <w:rsid w:val="00020EB1"/>
    <w:rsid w:val="00021228"/>
    <w:rsid w:val="000215EB"/>
    <w:rsid w:val="00022747"/>
    <w:rsid w:val="00022F4C"/>
    <w:rsid w:val="00023AD6"/>
    <w:rsid w:val="00023B7F"/>
    <w:rsid w:val="00024492"/>
    <w:rsid w:val="00025644"/>
    <w:rsid w:val="00025750"/>
    <w:rsid w:val="0002592F"/>
    <w:rsid w:val="00025DD0"/>
    <w:rsid w:val="0002735F"/>
    <w:rsid w:val="000301A4"/>
    <w:rsid w:val="000316FE"/>
    <w:rsid w:val="00031F42"/>
    <w:rsid w:val="00032255"/>
    <w:rsid w:val="0003256A"/>
    <w:rsid w:val="00032B15"/>
    <w:rsid w:val="00033076"/>
    <w:rsid w:val="00033847"/>
    <w:rsid w:val="000347EB"/>
    <w:rsid w:val="00034B81"/>
    <w:rsid w:val="00035320"/>
    <w:rsid w:val="0003558C"/>
    <w:rsid w:val="000355D8"/>
    <w:rsid w:val="00035E2F"/>
    <w:rsid w:val="000365B0"/>
    <w:rsid w:val="0003673D"/>
    <w:rsid w:val="00037549"/>
    <w:rsid w:val="00037672"/>
    <w:rsid w:val="000407E9"/>
    <w:rsid w:val="000415C5"/>
    <w:rsid w:val="000418B4"/>
    <w:rsid w:val="000426A8"/>
    <w:rsid w:val="000426EA"/>
    <w:rsid w:val="000434B1"/>
    <w:rsid w:val="000437CD"/>
    <w:rsid w:val="00044029"/>
    <w:rsid w:val="00046EAC"/>
    <w:rsid w:val="000477EA"/>
    <w:rsid w:val="00050329"/>
    <w:rsid w:val="00050A2B"/>
    <w:rsid w:val="00050F21"/>
    <w:rsid w:val="00053B37"/>
    <w:rsid w:val="00053DC4"/>
    <w:rsid w:val="00054784"/>
    <w:rsid w:val="00054C30"/>
    <w:rsid w:val="00054D78"/>
    <w:rsid w:val="00054F64"/>
    <w:rsid w:val="0005572F"/>
    <w:rsid w:val="00057103"/>
    <w:rsid w:val="000578DC"/>
    <w:rsid w:val="00057D13"/>
    <w:rsid w:val="00061927"/>
    <w:rsid w:val="00061B42"/>
    <w:rsid w:val="0006245E"/>
    <w:rsid w:val="00062D58"/>
    <w:rsid w:val="00063C01"/>
    <w:rsid w:val="000640B5"/>
    <w:rsid w:val="000654D9"/>
    <w:rsid w:val="00065C93"/>
    <w:rsid w:val="00065F0A"/>
    <w:rsid w:val="000677BF"/>
    <w:rsid w:val="00067885"/>
    <w:rsid w:val="00067E50"/>
    <w:rsid w:val="0007009B"/>
    <w:rsid w:val="000703E1"/>
    <w:rsid w:val="00070444"/>
    <w:rsid w:val="0007082A"/>
    <w:rsid w:val="00070DB4"/>
    <w:rsid w:val="00072AEF"/>
    <w:rsid w:val="00072C40"/>
    <w:rsid w:val="0007377C"/>
    <w:rsid w:val="00073E89"/>
    <w:rsid w:val="00074445"/>
    <w:rsid w:val="00074926"/>
    <w:rsid w:val="000753AE"/>
    <w:rsid w:val="0007662F"/>
    <w:rsid w:val="00077788"/>
    <w:rsid w:val="000777DB"/>
    <w:rsid w:val="00080479"/>
    <w:rsid w:val="00080C91"/>
    <w:rsid w:val="00081E58"/>
    <w:rsid w:val="00084056"/>
    <w:rsid w:val="00084085"/>
    <w:rsid w:val="000843AE"/>
    <w:rsid w:val="00084AD3"/>
    <w:rsid w:val="00085720"/>
    <w:rsid w:val="00085DDD"/>
    <w:rsid w:val="00086F23"/>
    <w:rsid w:val="000874F6"/>
    <w:rsid w:val="00090828"/>
    <w:rsid w:val="0009083C"/>
    <w:rsid w:val="00090A07"/>
    <w:rsid w:val="00090FA6"/>
    <w:rsid w:val="00090FD7"/>
    <w:rsid w:val="000925AC"/>
    <w:rsid w:val="000927A3"/>
    <w:rsid w:val="00092F8F"/>
    <w:rsid w:val="0009358F"/>
    <w:rsid w:val="00094007"/>
    <w:rsid w:val="00095189"/>
    <w:rsid w:val="0009559A"/>
    <w:rsid w:val="00095DEF"/>
    <w:rsid w:val="000967E2"/>
    <w:rsid w:val="00096C42"/>
    <w:rsid w:val="00097C86"/>
    <w:rsid w:val="000A0398"/>
    <w:rsid w:val="000A0D3C"/>
    <w:rsid w:val="000A2AF4"/>
    <w:rsid w:val="000A2CA5"/>
    <w:rsid w:val="000A3817"/>
    <w:rsid w:val="000A41FD"/>
    <w:rsid w:val="000A4A55"/>
    <w:rsid w:val="000A569B"/>
    <w:rsid w:val="000A7403"/>
    <w:rsid w:val="000A7D07"/>
    <w:rsid w:val="000B0A2E"/>
    <w:rsid w:val="000B0F51"/>
    <w:rsid w:val="000B1596"/>
    <w:rsid w:val="000B1B81"/>
    <w:rsid w:val="000B1DE8"/>
    <w:rsid w:val="000B283B"/>
    <w:rsid w:val="000B3303"/>
    <w:rsid w:val="000B3431"/>
    <w:rsid w:val="000B489F"/>
    <w:rsid w:val="000B4C5B"/>
    <w:rsid w:val="000B5039"/>
    <w:rsid w:val="000B55BE"/>
    <w:rsid w:val="000B5C3A"/>
    <w:rsid w:val="000B5E88"/>
    <w:rsid w:val="000B6027"/>
    <w:rsid w:val="000B6648"/>
    <w:rsid w:val="000B786B"/>
    <w:rsid w:val="000C079C"/>
    <w:rsid w:val="000C0EE5"/>
    <w:rsid w:val="000C13A1"/>
    <w:rsid w:val="000C260D"/>
    <w:rsid w:val="000C30AC"/>
    <w:rsid w:val="000C4579"/>
    <w:rsid w:val="000C463E"/>
    <w:rsid w:val="000C4E06"/>
    <w:rsid w:val="000C5056"/>
    <w:rsid w:val="000C52AB"/>
    <w:rsid w:val="000C5AA2"/>
    <w:rsid w:val="000C5C93"/>
    <w:rsid w:val="000C5D12"/>
    <w:rsid w:val="000C6F15"/>
    <w:rsid w:val="000C6F2A"/>
    <w:rsid w:val="000D1F8D"/>
    <w:rsid w:val="000D21F1"/>
    <w:rsid w:val="000D252E"/>
    <w:rsid w:val="000D2ED1"/>
    <w:rsid w:val="000D3548"/>
    <w:rsid w:val="000D3551"/>
    <w:rsid w:val="000D35B5"/>
    <w:rsid w:val="000D42D0"/>
    <w:rsid w:val="000D5211"/>
    <w:rsid w:val="000D5B51"/>
    <w:rsid w:val="000D65FC"/>
    <w:rsid w:val="000D6B45"/>
    <w:rsid w:val="000D6FB3"/>
    <w:rsid w:val="000D7254"/>
    <w:rsid w:val="000D753D"/>
    <w:rsid w:val="000D76E1"/>
    <w:rsid w:val="000D7823"/>
    <w:rsid w:val="000E0DB3"/>
    <w:rsid w:val="000E10A5"/>
    <w:rsid w:val="000E1407"/>
    <w:rsid w:val="000E1A63"/>
    <w:rsid w:val="000E33CF"/>
    <w:rsid w:val="000E4C3D"/>
    <w:rsid w:val="000E6849"/>
    <w:rsid w:val="000E72B9"/>
    <w:rsid w:val="000F05AB"/>
    <w:rsid w:val="000F091D"/>
    <w:rsid w:val="000F1B68"/>
    <w:rsid w:val="000F2179"/>
    <w:rsid w:val="000F278B"/>
    <w:rsid w:val="000F2955"/>
    <w:rsid w:val="000F2C67"/>
    <w:rsid w:val="000F40C0"/>
    <w:rsid w:val="000F45C8"/>
    <w:rsid w:val="000F4BBE"/>
    <w:rsid w:val="000F50C6"/>
    <w:rsid w:val="000F51EA"/>
    <w:rsid w:val="000F5AD4"/>
    <w:rsid w:val="000F7BB7"/>
    <w:rsid w:val="000F7CF5"/>
    <w:rsid w:val="00100471"/>
    <w:rsid w:val="001019D6"/>
    <w:rsid w:val="00101E5F"/>
    <w:rsid w:val="001025D9"/>
    <w:rsid w:val="00102EBB"/>
    <w:rsid w:val="00104353"/>
    <w:rsid w:val="00105F22"/>
    <w:rsid w:val="001062D4"/>
    <w:rsid w:val="00106436"/>
    <w:rsid w:val="001066B1"/>
    <w:rsid w:val="00107DA6"/>
    <w:rsid w:val="001108D6"/>
    <w:rsid w:val="001109ED"/>
    <w:rsid w:val="00111268"/>
    <w:rsid w:val="00111C02"/>
    <w:rsid w:val="00111FF3"/>
    <w:rsid w:val="001128C3"/>
    <w:rsid w:val="00112A83"/>
    <w:rsid w:val="00113E49"/>
    <w:rsid w:val="00113E95"/>
    <w:rsid w:val="00114A01"/>
    <w:rsid w:val="00114CF3"/>
    <w:rsid w:val="00115CA3"/>
    <w:rsid w:val="00116F55"/>
    <w:rsid w:val="00116F93"/>
    <w:rsid w:val="00117445"/>
    <w:rsid w:val="00117B2C"/>
    <w:rsid w:val="0012046B"/>
    <w:rsid w:val="001209B5"/>
    <w:rsid w:val="00120E02"/>
    <w:rsid w:val="001214C7"/>
    <w:rsid w:val="00121F6B"/>
    <w:rsid w:val="00122362"/>
    <w:rsid w:val="0012259E"/>
    <w:rsid w:val="001228C8"/>
    <w:rsid w:val="00122C0D"/>
    <w:rsid w:val="00122D4D"/>
    <w:rsid w:val="0012481C"/>
    <w:rsid w:val="001269FF"/>
    <w:rsid w:val="001303A1"/>
    <w:rsid w:val="001303B7"/>
    <w:rsid w:val="00131D1B"/>
    <w:rsid w:val="00132B99"/>
    <w:rsid w:val="00132BF1"/>
    <w:rsid w:val="001330BB"/>
    <w:rsid w:val="001339C6"/>
    <w:rsid w:val="00134327"/>
    <w:rsid w:val="001347A9"/>
    <w:rsid w:val="00135872"/>
    <w:rsid w:val="00136173"/>
    <w:rsid w:val="00136D1E"/>
    <w:rsid w:val="001377F8"/>
    <w:rsid w:val="00137F99"/>
    <w:rsid w:val="0014084B"/>
    <w:rsid w:val="001440F2"/>
    <w:rsid w:val="00145318"/>
    <w:rsid w:val="001455A1"/>
    <w:rsid w:val="00145AE6"/>
    <w:rsid w:val="00145F46"/>
    <w:rsid w:val="001460D9"/>
    <w:rsid w:val="001466BF"/>
    <w:rsid w:val="00146976"/>
    <w:rsid w:val="00146C44"/>
    <w:rsid w:val="001477E7"/>
    <w:rsid w:val="00147FD9"/>
    <w:rsid w:val="00150025"/>
    <w:rsid w:val="00150964"/>
    <w:rsid w:val="00150A27"/>
    <w:rsid w:val="00150F2A"/>
    <w:rsid w:val="00152078"/>
    <w:rsid w:val="00154963"/>
    <w:rsid w:val="0015596B"/>
    <w:rsid w:val="00155D1F"/>
    <w:rsid w:val="001561B1"/>
    <w:rsid w:val="00157A5C"/>
    <w:rsid w:val="001600A3"/>
    <w:rsid w:val="0016132F"/>
    <w:rsid w:val="0016174D"/>
    <w:rsid w:val="00162B36"/>
    <w:rsid w:val="0016317C"/>
    <w:rsid w:val="00164DCB"/>
    <w:rsid w:val="00165642"/>
    <w:rsid w:val="00165B64"/>
    <w:rsid w:val="00165D82"/>
    <w:rsid w:val="00166C40"/>
    <w:rsid w:val="00166F24"/>
    <w:rsid w:val="00167BBE"/>
    <w:rsid w:val="00171489"/>
    <w:rsid w:val="001721A5"/>
    <w:rsid w:val="0017293A"/>
    <w:rsid w:val="00172A27"/>
    <w:rsid w:val="00172DEA"/>
    <w:rsid w:val="00172F37"/>
    <w:rsid w:val="00174134"/>
    <w:rsid w:val="001745A8"/>
    <w:rsid w:val="00175461"/>
    <w:rsid w:val="00176A64"/>
    <w:rsid w:val="00176B11"/>
    <w:rsid w:val="00176C6C"/>
    <w:rsid w:val="00177E29"/>
    <w:rsid w:val="00177F0D"/>
    <w:rsid w:val="00177F8E"/>
    <w:rsid w:val="001806AD"/>
    <w:rsid w:val="00181796"/>
    <w:rsid w:val="001818BD"/>
    <w:rsid w:val="0018204B"/>
    <w:rsid w:val="00182F9F"/>
    <w:rsid w:val="00184528"/>
    <w:rsid w:val="00184AF6"/>
    <w:rsid w:val="001862DC"/>
    <w:rsid w:val="00186401"/>
    <w:rsid w:val="00186442"/>
    <w:rsid w:val="001866A1"/>
    <w:rsid w:val="001923EA"/>
    <w:rsid w:val="00192735"/>
    <w:rsid w:val="00192FBA"/>
    <w:rsid w:val="00193696"/>
    <w:rsid w:val="00193EC6"/>
    <w:rsid w:val="0019411E"/>
    <w:rsid w:val="001947FB"/>
    <w:rsid w:val="00195720"/>
    <w:rsid w:val="001958B9"/>
    <w:rsid w:val="00196CDD"/>
    <w:rsid w:val="001975C9"/>
    <w:rsid w:val="001A065E"/>
    <w:rsid w:val="001A189F"/>
    <w:rsid w:val="001A293D"/>
    <w:rsid w:val="001A2A77"/>
    <w:rsid w:val="001A3908"/>
    <w:rsid w:val="001A3A5A"/>
    <w:rsid w:val="001A4457"/>
    <w:rsid w:val="001A5133"/>
    <w:rsid w:val="001A5EA1"/>
    <w:rsid w:val="001A6DCB"/>
    <w:rsid w:val="001A773A"/>
    <w:rsid w:val="001A77C4"/>
    <w:rsid w:val="001A7BE0"/>
    <w:rsid w:val="001B15C6"/>
    <w:rsid w:val="001B17D1"/>
    <w:rsid w:val="001B229E"/>
    <w:rsid w:val="001B2B2F"/>
    <w:rsid w:val="001B2DEF"/>
    <w:rsid w:val="001B412E"/>
    <w:rsid w:val="001B4136"/>
    <w:rsid w:val="001B45EF"/>
    <w:rsid w:val="001B48E0"/>
    <w:rsid w:val="001B4D7D"/>
    <w:rsid w:val="001B5125"/>
    <w:rsid w:val="001B5B97"/>
    <w:rsid w:val="001B6AA4"/>
    <w:rsid w:val="001C023F"/>
    <w:rsid w:val="001C02D5"/>
    <w:rsid w:val="001C0500"/>
    <w:rsid w:val="001C059B"/>
    <w:rsid w:val="001C0B84"/>
    <w:rsid w:val="001C1192"/>
    <w:rsid w:val="001C1570"/>
    <w:rsid w:val="001C1E56"/>
    <w:rsid w:val="001C28B3"/>
    <w:rsid w:val="001C2CF6"/>
    <w:rsid w:val="001C4064"/>
    <w:rsid w:val="001C49F4"/>
    <w:rsid w:val="001C71D7"/>
    <w:rsid w:val="001D0F66"/>
    <w:rsid w:val="001D125F"/>
    <w:rsid w:val="001D16DA"/>
    <w:rsid w:val="001D17FB"/>
    <w:rsid w:val="001D2271"/>
    <w:rsid w:val="001D23D8"/>
    <w:rsid w:val="001D251C"/>
    <w:rsid w:val="001D3B3D"/>
    <w:rsid w:val="001D42FF"/>
    <w:rsid w:val="001D4381"/>
    <w:rsid w:val="001D47CF"/>
    <w:rsid w:val="001D4A3E"/>
    <w:rsid w:val="001D4B38"/>
    <w:rsid w:val="001D6225"/>
    <w:rsid w:val="001D6439"/>
    <w:rsid w:val="001D6D8C"/>
    <w:rsid w:val="001D7E9C"/>
    <w:rsid w:val="001E054D"/>
    <w:rsid w:val="001E0FAD"/>
    <w:rsid w:val="001E1308"/>
    <w:rsid w:val="001E1520"/>
    <w:rsid w:val="001E19DD"/>
    <w:rsid w:val="001E19F9"/>
    <w:rsid w:val="001E2C16"/>
    <w:rsid w:val="001E394D"/>
    <w:rsid w:val="001E39AA"/>
    <w:rsid w:val="001E3AAF"/>
    <w:rsid w:val="001E3D84"/>
    <w:rsid w:val="001E4F0E"/>
    <w:rsid w:val="001E594C"/>
    <w:rsid w:val="001E6BFA"/>
    <w:rsid w:val="001E6F59"/>
    <w:rsid w:val="001F07E9"/>
    <w:rsid w:val="001F0D0C"/>
    <w:rsid w:val="001F11F5"/>
    <w:rsid w:val="001F12EE"/>
    <w:rsid w:val="001F24B9"/>
    <w:rsid w:val="001F31AC"/>
    <w:rsid w:val="001F3815"/>
    <w:rsid w:val="001F3DB0"/>
    <w:rsid w:val="001F3E77"/>
    <w:rsid w:val="001F57A7"/>
    <w:rsid w:val="001F5A67"/>
    <w:rsid w:val="001F6B1B"/>
    <w:rsid w:val="001F7FF6"/>
    <w:rsid w:val="00200EBF"/>
    <w:rsid w:val="00204651"/>
    <w:rsid w:val="00204D75"/>
    <w:rsid w:val="002050D7"/>
    <w:rsid w:val="002051B0"/>
    <w:rsid w:val="00205225"/>
    <w:rsid w:val="00205413"/>
    <w:rsid w:val="00205AEF"/>
    <w:rsid w:val="00205D72"/>
    <w:rsid w:val="0020686F"/>
    <w:rsid w:val="002076AA"/>
    <w:rsid w:val="0021027A"/>
    <w:rsid w:val="00212A14"/>
    <w:rsid w:val="00214D7A"/>
    <w:rsid w:val="00214D88"/>
    <w:rsid w:val="00215286"/>
    <w:rsid w:val="00215906"/>
    <w:rsid w:val="002159C6"/>
    <w:rsid w:val="00215A2A"/>
    <w:rsid w:val="00215CE0"/>
    <w:rsid w:val="00215DA1"/>
    <w:rsid w:val="00216156"/>
    <w:rsid w:val="0021687E"/>
    <w:rsid w:val="002168E9"/>
    <w:rsid w:val="0021733C"/>
    <w:rsid w:val="002207FA"/>
    <w:rsid w:val="00221627"/>
    <w:rsid w:val="00221E51"/>
    <w:rsid w:val="00221F8E"/>
    <w:rsid w:val="00221FE1"/>
    <w:rsid w:val="002220C5"/>
    <w:rsid w:val="00222689"/>
    <w:rsid w:val="00223852"/>
    <w:rsid w:val="00223ADA"/>
    <w:rsid w:val="002245B9"/>
    <w:rsid w:val="00224A21"/>
    <w:rsid w:val="00225099"/>
    <w:rsid w:val="002250CA"/>
    <w:rsid w:val="0022607A"/>
    <w:rsid w:val="00226152"/>
    <w:rsid w:val="00226456"/>
    <w:rsid w:val="002264D0"/>
    <w:rsid w:val="002270BE"/>
    <w:rsid w:val="00232211"/>
    <w:rsid w:val="002329B7"/>
    <w:rsid w:val="00232AD2"/>
    <w:rsid w:val="002330FC"/>
    <w:rsid w:val="002343A7"/>
    <w:rsid w:val="0023462F"/>
    <w:rsid w:val="00234BF0"/>
    <w:rsid w:val="00235CE8"/>
    <w:rsid w:val="002369E6"/>
    <w:rsid w:val="00237DCC"/>
    <w:rsid w:val="00237DD3"/>
    <w:rsid w:val="00237F17"/>
    <w:rsid w:val="0024052C"/>
    <w:rsid w:val="002410BB"/>
    <w:rsid w:val="0024122A"/>
    <w:rsid w:val="00241889"/>
    <w:rsid w:val="00243253"/>
    <w:rsid w:val="002432CD"/>
    <w:rsid w:val="002476F0"/>
    <w:rsid w:val="00247DA6"/>
    <w:rsid w:val="00251F81"/>
    <w:rsid w:val="0025253B"/>
    <w:rsid w:val="002526AC"/>
    <w:rsid w:val="00252997"/>
    <w:rsid w:val="002534E3"/>
    <w:rsid w:val="00253DE9"/>
    <w:rsid w:val="00254512"/>
    <w:rsid w:val="00254725"/>
    <w:rsid w:val="002555DD"/>
    <w:rsid w:val="002555E1"/>
    <w:rsid w:val="00255C94"/>
    <w:rsid w:val="00255F5A"/>
    <w:rsid w:val="00257031"/>
    <w:rsid w:val="00257CB4"/>
    <w:rsid w:val="002603C8"/>
    <w:rsid w:val="0026138C"/>
    <w:rsid w:val="00262012"/>
    <w:rsid w:val="00263DE8"/>
    <w:rsid w:val="0026466E"/>
    <w:rsid w:val="00264D7B"/>
    <w:rsid w:val="00264EBF"/>
    <w:rsid w:val="00265DD9"/>
    <w:rsid w:val="002667EA"/>
    <w:rsid w:val="00266C56"/>
    <w:rsid w:val="00267A99"/>
    <w:rsid w:val="002702C1"/>
    <w:rsid w:val="0027264B"/>
    <w:rsid w:val="002736CE"/>
    <w:rsid w:val="002742E2"/>
    <w:rsid w:val="00274CFD"/>
    <w:rsid w:val="00274ED6"/>
    <w:rsid w:val="002752C6"/>
    <w:rsid w:val="002755EF"/>
    <w:rsid w:val="0027586B"/>
    <w:rsid w:val="00276BC6"/>
    <w:rsid w:val="00276C59"/>
    <w:rsid w:val="0027792D"/>
    <w:rsid w:val="00281357"/>
    <w:rsid w:val="00282A25"/>
    <w:rsid w:val="00282F72"/>
    <w:rsid w:val="002830A8"/>
    <w:rsid w:val="00283515"/>
    <w:rsid w:val="00283721"/>
    <w:rsid w:val="00283BAD"/>
    <w:rsid w:val="0028466A"/>
    <w:rsid w:val="002846E8"/>
    <w:rsid w:val="002849BD"/>
    <w:rsid w:val="00284F98"/>
    <w:rsid w:val="0028561D"/>
    <w:rsid w:val="00285FF7"/>
    <w:rsid w:val="002860F1"/>
    <w:rsid w:val="002907E7"/>
    <w:rsid w:val="00291148"/>
    <w:rsid w:val="00292278"/>
    <w:rsid w:val="00295263"/>
    <w:rsid w:val="0029555F"/>
    <w:rsid w:val="00295590"/>
    <w:rsid w:val="0029631A"/>
    <w:rsid w:val="00297BEE"/>
    <w:rsid w:val="002A05DC"/>
    <w:rsid w:val="002A0F20"/>
    <w:rsid w:val="002A104F"/>
    <w:rsid w:val="002A13A2"/>
    <w:rsid w:val="002A3274"/>
    <w:rsid w:val="002A32D9"/>
    <w:rsid w:val="002A3CF1"/>
    <w:rsid w:val="002A59B9"/>
    <w:rsid w:val="002A5E8D"/>
    <w:rsid w:val="002A68CD"/>
    <w:rsid w:val="002B13CB"/>
    <w:rsid w:val="002B14EA"/>
    <w:rsid w:val="002B1854"/>
    <w:rsid w:val="002B1A51"/>
    <w:rsid w:val="002B2AE1"/>
    <w:rsid w:val="002B3159"/>
    <w:rsid w:val="002B3A8F"/>
    <w:rsid w:val="002B3E1F"/>
    <w:rsid w:val="002B4646"/>
    <w:rsid w:val="002B5324"/>
    <w:rsid w:val="002B5C76"/>
    <w:rsid w:val="002B5C91"/>
    <w:rsid w:val="002B5F4B"/>
    <w:rsid w:val="002B6603"/>
    <w:rsid w:val="002B6F5F"/>
    <w:rsid w:val="002C0828"/>
    <w:rsid w:val="002C124B"/>
    <w:rsid w:val="002C1A0B"/>
    <w:rsid w:val="002C33AF"/>
    <w:rsid w:val="002C370D"/>
    <w:rsid w:val="002C3B75"/>
    <w:rsid w:val="002C450A"/>
    <w:rsid w:val="002C47E9"/>
    <w:rsid w:val="002C4E26"/>
    <w:rsid w:val="002C4E6C"/>
    <w:rsid w:val="002C5092"/>
    <w:rsid w:val="002C54BF"/>
    <w:rsid w:val="002C5519"/>
    <w:rsid w:val="002C59CD"/>
    <w:rsid w:val="002C67E5"/>
    <w:rsid w:val="002C6D0D"/>
    <w:rsid w:val="002C6F5D"/>
    <w:rsid w:val="002D0639"/>
    <w:rsid w:val="002D08F4"/>
    <w:rsid w:val="002D097F"/>
    <w:rsid w:val="002D0D0C"/>
    <w:rsid w:val="002D1258"/>
    <w:rsid w:val="002D13E8"/>
    <w:rsid w:val="002D2807"/>
    <w:rsid w:val="002D2D97"/>
    <w:rsid w:val="002D3BDF"/>
    <w:rsid w:val="002D426C"/>
    <w:rsid w:val="002D4721"/>
    <w:rsid w:val="002D472F"/>
    <w:rsid w:val="002D4803"/>
    <w:rsid w:val="002D6CDA"/>
    <w:rsid w:val="002D6EFD"/>
    <w:rsid w:val="002E0D86"/>
    <w:rsid w:val="002E16AE"/>
    <w:rsid w:val="002E1795"/>
    <w:rsid w:val="002E1871"/>
    <w:rsid w:val="002E1A25"/>
    <w:rsid w:val="002E1C38"/>
    <w:rsid w:val="002E3521"/>
    <w:rsid w:val="002E37F4"/>
    <w:rsid w:val="002E43A5"/>
    <w:rsid w:val="002E5665"/>
    <w:rsid w:val="002E7318"/>
    <w:rsid w:val="002E7617"/>
    <w:rsid w:val="002E7C56"/>
    <w:rsid w:val="002E7D8E"/>
    <w:rsid w:val="002F0408"/>
    <w:rsid w:val="002F06FF"/>
    <w:rsid w:val="002F210E"/>
    <w:rsid w:val="002F27B6"/>
    <w:rsid w:val="002F2B50"/>
    <w:rsid w:val="002F3CDE"/>
    <w:rsid w:val="002F405F"/>
    <w:rsid w:val="002F491B"/>
    <w:rsid w:val="002F4953"/>
    <w:rsid w:val="002F4ACB"/>
    <w:rsid w:val="002F7430"/>
    <w:rsid w:val="002F777B"/>
    <w:rsid w:val="00300191"/>
    <w:rsid w:val="00300414"/>
    <w:rsid w:val="00300578"/>
    <w:rsid w:val="00300AAF"/>
    <w:rsid w:val="00300F8D"/>
    <w:rsid w:val="00304FC4"/>
    <w:rsid w:val="003059F4"/>
    <w:rsid w:val="0030689E"/>
    <w:rsid w:val="003068D7"/>
    <w:rsid w:val="003071B2"/>
    <w:rsid w:val="00307599"/>
    <w:rsid w:val="003075B8"/>
    <w:rsid w:val="00310399"/>
    <w:rsid w:val="00310D8D"/>
    <w:rsid w:val="0031445A"/>
    <w:rsid w:val="003149F6"/>
    <w:rsid w:val="00315977"/>
    <w:rsid w:val="00316368"/>
    <w:rsid w:val="003174B4"/>
    <w:rsid w:val="0032047A"/>
    <w:rsid w:val="00320939"/>
    <w:rsid w:val="00320F9D"/>
    <w:rsid w:val="00321B76"/>
    <w:rsid w:val="00321BBE"/>
    <w:rsid w:val="00323813"/>
    <w:rsid w:val="00325077"/>
    <w:rsid w:val="0032515F"/>
    <w:rsid w:val="003253BE"/>
    <w:rsid w:val="00325C89"/>
    <w:rsid w:val="0032679D"/>
    <w:rsid w:val="00326D1D"/>
    <w:rsid w:val="00327D78"/>
    <w:rsid w:val="00327D80"/>
    <w:rsid w:val="00327DF9"/>
    <w:rsid w:val="00327E48"/>
    <w:rsid w:val="003302F7"/>
    <w:rsid w:val="00332437"/>
    <w:rsid w:val="00332A1C"/>
    <w:rsid w:val="00332A90"/>
    <w:rsid w:val="00332AB7"/>
    <w:rsid w:val="00332B68"/>
    <w:rsid w:val="00333E90"/>
    <w:rsid w:val="00334C69"/>
    <w:rsid w:val="00334E81"/>
    <w:rsid w:val="00335E6A"/>
    <w:rsid w:val="00337322"/>
    <w:rsid w:val="00340CDE"/>
    <w:rsid w:val="0034133E"/>
    <w:rsid w:val="003415A1"/>
    <w:rsid w:val="00342048"/>
    <w:rsid w:val="00342994"/>
    <w:rsid w:val="00342F54"/>
    <w:rsid w:val="00343735"/>
    <w:rsid w:val="00343F87"/>
    <w:rsid w:val="00345DCC"/>
    <w:rsid w:val="00346101"/>
    <w:rsid w:val="00346CAB"/>
    <w:rsid w:val="00347C24"/>
    <w:rsid w:val="00347EB1"/>
    <w:rsid w:val="003508F6"/>
    <w:rsid w:val="00351DDB"/>
    <w:rsid w:val="00351FF3"/>
    <w:rsid w:val="00352B90"/>
    <w:rsid w:val="00353231"/>
    <w:rsid w:val="00353F39"/>
    <w:rsid w:val="00354D6E"/>
    <w:rsid w:val="0035514C"/>
    <w:rsid w:val="00356084"/>
    <w:rsid w:val="003568C0"/>
    <w:rsid w:val="00356E07"/>
    <w:rsid w:val="0036056A"/>
    <w:rsid w:val="003639E8"/>
    <w:rsid w:val="003642D2"/>
    <w:rsid w:val="0036450C"/>
    <w:rsid w:val="00364574"/>
    <w:rsid w:val="0036468B"/>
    <w:rsid w:val="0036546D"/>
    <w:rsid w:val="003664C3"/>
    <w:rsid w:val="003675A1"/>
    <w:rsid w:val="0036773D"/>
    <w:rsid w:val="00367FEB"/>
    <w:rsid w:val="003711C1"/>
    <w:rsid w:val="00371BC3"/>
    <w:rsid w:val="00371CBE"/>
    <w:rsid w:val="00372C24"/>
    <w:rsid w:val="00372C38"/>
    <w:rsid w:val="00372C9E"/>
    <w:rsid w:val="0037332F"/>
    <w:rsid w:val="00373AD4"/>
    <w:rsid w:val="0037428F"/>
    <w:rsid w:val="00374539"/>
    <w:rsid w:val="003747BD"/>
    <w:rsid w:val="00374DD5"/>
    <w:rsid w:val="0037591D"/>
    <w:rsid w:val="00376E05"/>
    <w:rsid w:val="0037720A"/>
    <w:rsid w:val="003774FC"/>
    <w:rsid w:val="00377F5B"/>
    <w:rsid w:val="0038006D"/>
    <w:rsid w:val="00381EB9"/>
    <w:rsid w:val="0038206D"/>
    <w:rsid w:val="00383A81"/>
    <w:rsid w:val="00383D6A"/>
    <w:rsid w:val="00384693"/>
    <w:rsid w:val="00385DC1"/>
    <w:rsid w:val="00385F02"/>
    <w:rsid w:val="0038641A"/>
    <w:rsid w:val="00386DED"/>
    <w:rsid w:val="0038719C"/>
    <w:rsid w:val="00390E97"/>
    <w:rsid w:val="003924AE"/>
    <w:rsid w:val="00392E76"/>
    <w:rsid w:val="00393BF6"/>
    <w:rsid w:val="00393F1C"/>
    <w:rsid w:val="00393F6E"/>
    <w:rsid w:val="00394276"/>
    <w:rsid w:val="00394BA4"/>
    <w:rsid w:val="0039597A"/>
    <w:rsid w:val="0039697D"/>
    <w:rsid w:val="00396DAE"/>
    <w:rsid w:val="0039750E"/>
    <w:rsid w:val="00397618"/>
    <w:rsid w:val="00397731"/>
    <w:rsid w:val="00397EA7"/>
    <w:rsid w:val="003A1350"/>
    <w:rsid w:val="003A17CE"/>
    <w:rsid w:val="003A1920"/>
    <w:rsid w:val="003A1A61"/>
    <w:rsid w:val="003A2C3E"/>
    <w:rsid w:val="003A2D49"/>
    <w:rsid w:val="003A3487"/>
    <w:rsid w:val="003A5228"/>
    <w:rsid w:val="003A583A"/>
    <w:rsid w:val="003A591A"/>
    <w:rsid w:val="003A5F2B"/>
    <w:rsid w:val="003A722D"/>
    <w:rsid w:val="003B01FB"/>
    <w:rsid w:val="003B0557"/>
    <w:rsid w:val="003B0E02"/>
    <w:rsid w:val="003B0FDA"/>
    <w:rsid w:val="003B1656"/>
    <w:rsid w:val="003B231B"/>
    <w:rsid w:val="003B3157"/>
    <w:rsid w:val="003B3FC0"/>
    <w:rsid w:val="003B4786"/>
    <w:rsid w:val="003B56E2"/>
    <w:rsid w:val="003B5926"/>
    <w:rsid w:val="003B602A"/>
    <w:rsid w:val="003B71D0"/>
    <w:rsid w:val="003B7450"/>
    <w:rsid w:val="003C2C74"/>
    <w:rsid w:val="003C3055"/>
    <w:rsid w:val="003C3EAC"/>
    <w:rsid w:val="003C4015"/>
    <w:rsid w:val="003C45E6"/>
    <w:rsid w:val="003C4A67"/>
    <w:rsid w:val="003C568C"/>
    <w:rsid w:val="003C56E9"/>
    <w:rsid w:val="003C63A8"/>
    <w:rsid w:val="003C6725"/>
    <w:rsid w:val="003C6F78"/>
    <w:rsid w:val="003C703E"/>
    <w:rsid w:val="003C7107"/>
    <w:rsid w:val="003D0D2D"/>
    <w:rsid w:val="003D16A1"/>
    <w:rsid w:val="003D16F1"/>
    <w:rsid w:val="003D1778"/>
    <w:rsid w:val="003D1B5E"/>
    <w:rsid w:val="003D28A5"/>
    <w:rsid w:val="003D30C9"/>
    <w:rsid w:val="003D472B"/>
    <w:rsid w:val="003D4F91"/>
    <w:rsid w:val="003D5092"/>
    <w:rsid w:val="003D6240"/>
    <w:rsid w:val="003D7A99"/>
    <w:rsid w:val="003D7D65"/>
    <w:rsid w:val="003E007A"/>
    <w:rsid w:val="003E09C9"/>
    <w:rsid w:val="003E0CFA"/>
    <w:rsid w:val="003E0D77"/>
    <w:rsid w:val="003E0DA2"/>
    <w:rsid w:val="003E11B1"/>
    <w:rsid w:val="003E11D8"/>
    <w:rsid w:val="003E1873"/>
    <w:rsid w:val="003E25CD"/>
    <w:rsid w:val="003E25DA"/>
    <w:rsid w:val="003E2BDE"/>
    <w:rsid w:val="003E2F13"/>
    <w:rsid w:val="003E3005"/>
    <w:rsid w:val="003E3092"/>
    <w:rsid w:val="003E386C"/>
    <w:rsid w:val="003E44BC"/>
    <w:rsid w:val="003E509B"/>
    <w:rsid w:val="003E60A8"/>
    <w:rsid w:val="003E6141"/>
    <w:rsid w:val="003E620D"/>
    <w:rsid w:val="003E6F86"/>
    <w:rsid w:val="003F111F"/>
    <w:rsid w:val="003F1441"/>
    <w:rsid w:val="003F1A7F"/>
    <w:rsid w:val="003F330F"/>
    <w:rsid w:val="003F36C9"/>
    <w:rsid w:val="003F43BB"/>
    <w:rsid w:val="003F441E"/>
    <w:rsid w:val="003F4A7C"/>
    <w:rsid w:val="003F5144"/>
    <w:rsid w:val="003F584D"/>
    <w:rsid w:val="003F5DC0"/>
    <w:rsid w:val="003F73B2"/>
    <w:rsid w:val="00400538"/>
    <w:rsid w:val="0040067C"/>
    <w:rsid w:val="004012CF"/>
    <w:rsid w:val="0040177F"/>
    <w:rsid w:val="00401801"/>
    <w:rsid w:val="00402034"/>
    <w:rsid w:val="00402AC1"/>
    <w:rsid w:val="00402FB4"/>
    <w:rsid w:val="004032FE"/>
    <w:rsid w:val="00403576"/>
    <w:rsid w:val="00403A5F"/>
    <w:rsid w:val="00404A4F"/>
    <w:rsid w:val="00405414"/>
    <w:rsid w:val="004058F1"/>
    <w:rsid w:val="00405B47"/>
    <w:rsid w:val="00406172"/>
    <w:rsid w:val="004061C3"/>
    <w:rsid w:val="0040716B"/>
    <w:rsid w:val="00407301"/>
    <w:rsid w:val="00407985"/>
    <w:rsid w:val="00410BE9"/>
    <w:rsid w:val="004117D4"/>
    <w:rsid w:val="00411C6C"/>
    <w:rsid w:val="004133BA"/>
    <w:rsid w:val="00413638"/>
    <w:rsid w:val="00413B4D"/>
    <w:rsid w:val="00413ED4"/>
    <w:rsid w:val="00414B0A"/>
    <w:rsid w:val="00414B6F"/>
    <w:rsid w:val="00414DD6"/>
    <w:rsid w:val="004159EE"/>
    <w:rsid w:val="0041663C"/>
    <w:rsid w:val="00417D6B"/>
    <w:rsid w:val="00422EB1"/>
    <w:rsid w:val="00422F2E"/>
    <w:rsid w:val="0042336B"/>
    <w:rsid w:val="004237E6"/>
    <w:rsid w:val="00424573"/>
    <w:rsid w:val="00425258"/>
    <w:rsid w:val="0042547A"/>
    <w:rsid w:val="0042551A"/>
    <w:rsid w:val="00425FAD"/>
    <w:rsid w:val="00426C16"/>
    <w:rsid w:val="00426CCD"/>
    <w:rsid w:val="00426F2C"/>
    <w:rsid w:val="00426F58"/>
    <w:rsid w:val="0042720C"/>
    <w:rsid w:val="004307C5"/>
    <w:rsid w:val="00430AD8"/>
    <w:rsid w:val="00430E04"/>
    <w:rsid w:val="00433728"/>
    <w:rsid w:val="004338FB"/>
    <w:rsid w:val="00433CB6"/>
    <w:rsid w:val="00434569"/>
    <w:rsid w:val="00434775"/>
    <w:rsid w:val="00436264"/>
    <w:rsid w:val="0043688D"/>
    <w:rsid w:val="0044016F"/>
    <w:rsid w:val="004403BC"/>
    <w:rsid w:val="00440C8E"/>
    <w:rsid w:val="004411B0"/>
    <w:rsid w:val="0044183D"/>
    <w:rsid w:val="00441862"/>
    <w:rsid w:val="004422F3"/>
    <w:rsid w:val="004424D6"/>
    <w:rsid w:val="004426D5"/>
    <w:rsid w:val="00442B64"/>
    <w:rsid w:val="004437A8"/>
    <w:rsid w:val="00443AA8"/>
    <w:rsid w:val="00444AFB"/>
    <w:rsid w:val="00444F38"/>
    <w:rsid w:val="00445781"/>
    <w:rsid w:val="004468EF"/>
    <w:rsid w:val="00446F78"/>
    <w:rsid w:val="00450535"/>
    <w:rsid w:val="00450551"/>
    <w:rsid w:val="00450E73"/>
    <w:rsid w:val="00451333"/>
    <w:rsid w:val="00451AD8"/>
    <w:rsid w:val="00452BA8"/>
    <w:rsid w:val="00452C04"/>
    <w:rsid w:val="00452C3B"/>
    <w:rsid w:val="00453AEE"/>
    <w:rsid w:val="0045516B"/>
    <w:rsid w:val="00455783"/>
    <w:rsid w:val="00455C4E"/>
    <w:rsid w:val="00456C7D"/>
    <w:rsid w:val="00457C26"/>
    <w:rsid w:val="004607DA"/>
    <w:rsid w:val="00460A63"/>
    <w:rsid w:val="004611AB"/>
    <w:rsid w:val="00461886"/>
    <w:rsid w:val="004628A4"/>
    <w:rsid w:val="00462A0F"/>
    <w:rsid w:val="004645C9"/>
    <w:rsid w:val="00464BDB"/>
    <w:rsid w:val="00464FEE"/>
    <w:rsid w:val="004657E9"/>
    <w:rsid w:val="00465B8F"/>
    <w:rsid w:val="00465BC5"/>
    <w:rsid w:val="00467813"/>
    <w:rsid w:val="004704EB"/>
    <w:rsid w:val="00470B02"/>
    <w:rsid w:val="00470D29"/>
    <w:rsid w:val="004738CC"/>
    <w:rsid w:val="00473922"/>
    <w:rsid w:val="00473BE0"/>
    <w:rsid w:val="004742F2"/>
    <w:rsid w:val="004749A9"/>
    <w:rsid w:val="00474B56"/>
    <w:rsid w:val="00474B70"/>
    <w:rsid w:val="004750DD"/>
    <w:rsid w:val="0047645E"/>
    <w:rsid w:val="004779E1"/>
    <w:rsid w:val="00477CA6"/>
    <w:rsid w:val="00477F89"/>
    <w:rsid w:val="0048030D"/>
    <w:rsid w:val="004806FB"/>
    <w:rsid w:val="004807F6"/>
    <w:rsid w:val="00480C5C"/>
    <w:rsid w:val="00480F9B"/>
    <w:rsid w:val="004815B3"/>
    <w:rsid w:val="004815E1"/>
    <w:rsid w:val="004824CC"/>
    <w:rsid w:val="00482F64"/>
    <w:rsid w:val="00482FF5"/>
    <w:rsid w:val="0048533A"/>
    <w:rsid w:val="004861E3"/>
    <w:rsid w:val="004864EC"/>
    <w:rsid w:val="00486E1F"/>
    <w:rsid w:val="00487255"/>
    <w:rsid w:val="004877A9"/>
    <w:rsid w:val="00491E53"/>
    <w:rsid w:val="0049221E"/>
    <w:rsid w:val="0049286D"/>
    <w:rsid w:val="00492C5B"/>
    <w:rsid w:val="0049312E"/>
    <w:rsid w:val="004933BA"/>
    <w:rsid w:val="00493CD1"/>
    <w:rsid w:val="00494084"/>
    <w:rsid w:val="004944CE"/>
    <w:rsid w:val="00494BCE"/>
    <w:rsid w:val="0049512D"/>
    <w:rsid w:val="0049547D"/>
    <w:rsid w:val="004956F3"/>
    <w:rsid w:val="00496A42"/>
    <w:rsid w:val="00497B07"/>
    <w:rsid w:val="00497F32"/>
    <w:rsid w:val="004A0046"/>
    <w:rsid w:val="004A14A9"/>
    <w:rsid w:val="004A195A"/>
    <w:rsid w:val="004A2078"/>
    <w:rsid w:val="004A2959"/>
    <w:rsid w:val="004A3BE1"/>
    <w:rsid w:val="004A45C0"/>
    <w:rsid w:val="004A46D2"/>
    <w:rsid w:val="004A4B79"/>
    <w:rsid w:val="004A5051"/>
    <w:rsid w:val="004A7153"/>
    <w:rsid w:val="004A7948"/>
    <w:rsid w:val="004A7ADA"/>
    <w:rsid w:val="004B04F6"/>
    <w:rsid w:val="004B0657"/>
    <w:rsid w:val="004B134A"/>
    <w:rsid w:val="004B147C"/>
    <w:rsid w:val="004B256E"/>
    <w:rsid w:val="004B2D58"/>
    <w:rsid w:val="004B53F7"/>
    <w:rsid w:val="004B709E"/>
    <w:rsid w:val="004C0B6B"/>
    <w:rsid w:val="004C0FA9"/>
    <w:rsid w:val="004C1884"/>
    <w:rsid w:val="004C1AFC"/>
    <w:rsid w:val="004C3A86"/>
    <w:rsid w:val="004C52F8"/>
    <w:rsid w:val="004C552D"/>
    <w:rsid w:val="004C5E6B"/>
    <w:rsid w:val="004C6663"/>
    <w:rsid w:val="004C70BF"/>
    <w:rsid w:val="004D011B"/>
    <w:rsid w:val="004D0B12"/>
    <w:rsid w:val="004D0F84"/>
    <w:rsid w:val="004D1CA0"/>
    <w:rsid w:val="004D23CC"/>
    <w:rsid w:val="004D2C26"/>
    <w:rsid w:val="004D3D5B"/>
    <w:rsid w:val="004D51D6"/>
    <w:rsid w:val="004D62A4"/>
    <w:rsid w:val="004D646A"/>
    <w:rsid w:val="004D6CB7"/>
    <w:rsid w:val="004D7170"/>
    <w:rsid w:val="004D786D"/>
    <w:rsid w:val="004D79D7"/>
    <w:rsid w:val="004E104C"/>
    <w:rsid w:val="004E20A4"/>
    <w:rsid w:val="004E25EB"/>
    <w:rsid w:val="004E2FF4"/>
    <w:rsid w:val="004E37B5"/>
    <w:rsid w:val="004E3C1F"/>
    <w:rsid w:val="004E42F1"/>
    <w:rsid w:val="004E4817"/>
    <w:rsid w:val="004E5189"/>
    <w:rsid w:val="004E5C08"/>
    <w:rsid w:val="004E61F6"/>
    <w:rsid w:val="004E6478"/>
    <w:rsid w:val="004E670B"/>
    <w:rsid w:val="004E6B0B"/>
    <w:rsid w:val="004E755F"/>
    <w:rsid w:val="004E79D0"/>
    <w:rsid w:val="004F18EA"/>
    <w:rsid w:val="004F210D"/>
    <w:rsid w:val="004F22A2"/>
    <w:rsid w:val="004F2678"/>
    <w:rsid w:val="004F2D46"/>
    <w:rsid w:val="004F2DD9"/>
    <w:rsid w:val="004F4D07"/>
    <w:rsid w:val="004F58BD"/>
    <w:rsid w:val="004F6936"/>
    <w:rsid w:val="004F6BD5"/>
    <w:rsid w:val="004F74C3"/>
    <w:rsid w:val="004F7829"/>
    <w:rsid w:val="004F7B94"/>
    <w:rsid w:val="00500041"/>
    <w:rsid w:val="00500514"/>
    <w:rsid w:val="005005B7"/>
    <w:rsid w:val="0050073E"/>
    <w:rsid w:val="0050188D"/>
    <w:rsid w:val="0050241E"/>
    <w:rsid w:val="0050246E"/>
    <w:rsid w:val="005024B2"/>
    <w:rsid w:val="005041DF"/>
    <w:rsid w:val="00504207"/>
    <w:rsid w:val="005049DE"/>
    <w:rsid w:val="00504DDF"/>
    <w:rsid w:val="0050543E"/>
    <w:rsid w:val="00505AFF"/>
    <w:rsid w:val="00505C40"/>
    <w:rsid w:val="00506BCC"/>
    <w:rsid w:val="00506D93"/>
    <w:rsid w:val="0050725D"/>
    <w:rsid w:val="00507D2E"/>
    <w:rsid w:val="005105D0"/>
    <w:rsid w:val="00510C3C"/>
    <w:rsid w:val="00510F3D"/>
    <w:rsid w:val="0051174F"/>
    <w:rsid w:val="00511B7C"/>
    <w:rsid w:val="005121F6"/>
    <w:rsid w:val="005124E1"/>
    <w:rsid w:val="005126A3"/>
    <w:rsid w:val="00512791"/>
    <w:rsid w:val="00512A0B"/>
    <w:rsid w:val="00513FA7"/>
    <w:rsid w:val="00513FCB"/>
    <w:rsid w:val="005145EB"/>
    <w:rsid w:val="005149CC"/>
    <w:rsid w:val="00514D8B"/>
    <w:rsid w:val="00515025"/>
    <w:rsid w:val="00515A9C"/>
    <w:rsid w:val="00516A7C"/>
    <w:rsid w:val="00516B9F"/>
    <w:rsid w:val="00517675"/>
    <w:rsid w:val="0052022B"/>
    <w:rsid w:val="005202FC"/>
    <w:rsid w:val="0052138F"/>
    <w:rsid w:val="0052139B"/>
    <w:rsid w:val="00522BC7"/>
    <w:rsid w:val="00523E65"/>
    <w:rsid w:val="00523F75"/>
    <w:rsid w:val="00524397"/>
    <w:rsid w:val="00524716"/>
    <w:rsid w:val="0052524B"/>
    <w:rsid w:val="00525557"/>
    <w:rsid w:val="00525833"/>
    <w:rsid w:val="00526131"/>
    <w:rsid w:val="00526E2B"/>
    <w:rsid w:val="00527756"/>
    <w:rsid w:val="00527C26"/>
    <w:rsid w:val="0053229A"/>
    <w:rsid w:val="0053293B"/>
    <w:rsid w:val="005333D5"/>
    <w:rsid w:val="00533882"/>
    <w:rsid w:val="00533A0E"/>
    <w:rsid w:val="005341E3"/>
    <w:rsid w:val="0053428F"/>
    <w:rsid w:val="005348C6"/>
    <w:rsid w:val="00536682"/>
    <w:rsid w:val="005369A9"/>
    <w:rsid w:val="005374EA"/>
    <w:rsid w:val="00537BE1"/>
    <w:rsid w:val="005405A8"/>
    <w:rsid w:val="00540675"/>
    <w:rsid w:val="005413F9"/>
    <w:rsid w:val="005417DF"/>
    <w:rsid w:val="00541A86"/>
    <w:rsid w:val="0054235C"/>
    <w:rsid w:val="0054329C"/>
    <w:rsid w:val="00543AC4"/>
    <w:rsid w:val="00545811"/>
    <w:rsid w:val="00545BF2"/>
    <w:rsid w:val="0054791B"/>
    <w:rsid w:val="00550520"/>
    <w:rsid w:val="00551A81"/>
    <w:rsid w:val="0055250D"/>
    <w:rsid w:val="00552BFC"/>
    <w:rsid w:val="00554298"/>
    <w:rsid w:val="00555BE1"/>
    <w:rsid w:val="0055676A"/>
    <w:rsid w:val="005567C4"/>
    <w:rsid w:val="00557913"/>
    <w:rsid w:val="00560AC2"/>
    <w:rsid w:val="00560BB3"/>
    <w:rsid w:val="00561FA5"/>
    <w:rsid w:val="00562C60"/>
    <w:rsid w:val="00563644"/>
    <w:rsid w:val="00563773"/>
    <w:rsid w:val="00563AEA"/>
    <w:rsid w:val="00564141"/>
    <w:rsid w:val="005644A8"/>
    <w:rsid w:val="00564947"/>
    <w:rsid w:val="00564E1B"/>
    <w:rsid w:val="00564F4F"/>
    <w:rsid w:val="005652C8"/>
    <w:rsid w:val="0056698E"/>
    <w:rsid w:val="005676F1"/>
    <w:rsid w:val="00567723"/>
    <w:rsid w:val="00571233"/>
    <w:rsid w:val="0057130A"/>
    <w:rsid w:val="00571907"/>
    <w:rsid w:val="0057274D"/>
    <w:rsid w:val="00572924"/>
    <w:rsid w:val="00573BDF"/>
    <w:rsid w:val="00573CC6"/>
    <w:rsid w:val="00573E1E"/>
    <w:rsid w:val="005744A4"/>
    <w:rsid w:val="0057597C"/>
    <w:rsid w:val="0057633C"/>
    <w:rsid w:val="005766A1"/>
    <w:rsid w:val="0057676F"/>
    <w:rsid w:val="005769A2"/>
    <w:rsid w:val="00576C7A"/>
    <w:rsid w:val="005815B7"/>
    <w:rsid w:val="00581682"/>
    <w:rsid w:val="00581B14"/>
    <w:rsid w:val="00582382"/>
    <w:rsid w:val="00582527"/>
    <w:rsid w:val="00582D77"/>
    <w:rsid w:val="00582DFB"/>
    <w:rsid w:val="00583203"/>
    <w:rsid w:val="0058364F"/>
    <w:rsid w:val="005842AD"/>
    <w:rsid w:val="005849EA"/>
    <w:rsid w:val="00585B55"/>
    <w:rsid w:val="00586CF4"/>
    <w:rsid w:val="005877E5"/>
    <w:rsid w:val="0058790A"/>
    <w:rsid w:val="00590842"/>
    <w:rsid w:val="00590CDB"/>
    <w:rsid w:val="00591928"/>
    <w:rsid w:val="00591A75"/>
    <w:rsid w:val="00591D65"/>
    <w:rsid w:val="00592A43"/>
    <w:rsid w:val="00592E82"/>
    <w:rsid w:val="00593DC3"/>
    <w:rsid w:val="00593E6C"/>
    <w:rsid w:val="0059433A"/>
    <w:rsid w:val="00594ADE"/>
    <w:rsid w:val="00594ECA"/>
    <w:rsid w:val="00595505"/>
    <w:rsid w:val="005964EC"/>
    <w:rsid w:val="00596AB7"/>
    <w:rsid w:val="00596D1F"/>
    <w:rsid w:val="00597CA5"/>
    <w:rsid w:val="005A1261"/>
    <w:rsid w:val="005A1DB5"/>
    <w:rsid w:val="005A4C07"/>
    <w:rsid w:val="005A5DA5"/>
    <w:rsid w:val="005A5F3A"/>
    <w:rsid w:val="005A7422"/>
    <w:rsid w:val="005A76AD"/>
    <w:rsid w:val="005A79D6"/>
    <w:rsid w:val="005A7A28"/>
    <w:rsid w:val="005B1893"/>
    <w:rsid w:val="005B1C4C"/>
    <w:rsid w:val="005B1ECD"/>
    <w:rsid w:val="005B1FEB"/>
    <w:rsid w:val="005B32A0"/>
    <w:rsid w:val="005B3807"/>
    <w:rsid w:val="005B43D5"/>
    <w:rsid w:val="005B4F87"/>
    <w:rsid w:val="005B542D"/>
    <w:rsid w:val="005B5D9A"/>
    <w:rsid w:val="005B677B"/>
    <w:rsid w:val="005B7D9A"/>
    <w:rsid w:val="005C1A57"/>
    <w:rsid w:val="005C1C8B"/>
    <w:rsid w:val="005C2504"/>
    <w:rsid w:val="005C41C5"/>
    <w:rsid w:val="005C5B5C"/>
    <w:rsid w:val="005D1036"/>
    <w:rsid w:val="005D1A4D"/>
    <w:rsid w:val="005D213D"/>
    <w:rsid w:val="005D22BA"/>
    <w:rsid w:val="005D2E9B"/>
    <w:rsid w:val="005D35F9"/>
    <w:rsid w:val="005D4D8B"/>
    <w:rsid w:val="005D5BBA"/>
    <w:rsid w:val="005D629A"/>
    <w:rsid w:val="005D7183"/>
    <w:rsid w:val="005E0730"/>
    <w:rsid w:val="005E0759"/>
    <w:rsid w:val="005E0A8E"/>
    <w:rsid w:val="005E124F"/>
    <w:rsid w:val="005E16C5"/>
    <w:rsid w:val="005E1D48"/>
    <w:rsid w:val="005E1FF0"/>
    <w:rsid w:val="005E26FB"/>
    <w:rsid w:val="005E2B27"/>
    <w:rsid w:val="005E2F31"/>
    <w:rsid w:val="005E4400"/>
    <w:rsid w:val="005E46B3"/>
    <w:rsid w:val="005E5BDB"/>
    <w:rsid w:val="005E681E"/>
    <w:rsid w:val="005E776F"/>
    <w:rsid w:val="005F023F"/>
    <w:rsid w:val="005F089F"/>
    <w:rsid w:val="005F0A40"/>
    <w:rsid w:val="005F0A77"/>
    <w:rsid w:val="005F0C3A"/>
    <w:rsid w:val="005F133C"/>
    <w:rsid w:val="005F1E3B"/>
    <w:rsid w:val="005F2C7A"/>
    <w:rsid w:val="005F30C1"/>
    <w:rsid w:val="005F3260"/>
    <w:rsid w:val="005F4B8E"/>
    <w:rsid w:val="005F5DE4"/>
    <w:rsid w:val="006002F0"/>
    <w:rsid w:val="0060077C"/>
    <w:rsid w:val="00600CD2"/>
    <w:rsid w:val="00600F4E"/>
    <w:rsid w:val="00601949"/>
    <w:rsid w:val="00602468"/>
    <w:rsid w:val="006028D2"/>
    <w:rsid w:val="006042C2"/>
    <w:rsid w:val="00605D03"/>
    <w:rsid w:val="00605DDB"/>
    <w:rsid w:val="006061FB"/>
    <w:rsid w:val="00606EC0"/>
    <w:rsid w:val="00607AE9"/>
    <w:rsid w:val="00607B18"/>
    <w:rsid w:val="00610ED1"/>
    <w:rsid w:val="006112E4"/>
    <w:rsid w:val="006132AB"/>
    <w:rsid w:val="00613EE3"/>
    <w:rsid w:val="00613FE1"/>
    <w:rsid w:val="006140DF"/>
    <w:rsid w:val="00614799"/>
    <w:rsid w:val="00615DDA"/>
    <w:rsid w:val="006167A3"/>
    <w:rsid w:val="00616DC1"/>
    <w:rsid w:val="00616DC5"/>
    <w:rsid w:val="006176A7"/>
    <w:rsid w:val="00621192"/>
    <w:rsid w:val="0062208C"/>
    <w:rsid w:val="0062287B"/>
    <w:rsid w:val="00623C2F"/>
    <w:rsid w:val="006242A7"/>
    <w:rsid w:val="0062464B"/>
    <w:rsid w:val="00624C04"/>
    <w:rsid w:val="00625243"/>
    <w:rsid w:val="00626A94"/>
    <w:rsid w:val="0062773D"/>
    <w:rsid w:val="0062794E"/>
    <w:rsid w:val="00627EF5"/>
    <w:rsid w:val="006303C8"/>
    <w:rsid w:val="0063110A"/>
    <w:rsid w:val="006313F2"/>
    <w:rsid w:val="006317AC"/>
    <w:rsid w:val="0063297F"/>
    <w:rsid w:val="0063688A"/>
    <w:rsid w:val="00637C91"/>
    <w:rsid w:val="00640A23"/>
    <w:rsid w:val="00641343"/>
    <w:rsid w:val="0064225F"/>
    <w:rsid w:val="00642829"/>
    <w:rsid w:val="00643351"/>
    <w:rsid w:val="0064392A"/>
    <w:rsid w:val="00643B9A"/>
    <w:rsid w:val="006443D9"/>
    <w:rsid w:val="00645167"/>
    <w:rsid w:val="0064565A"/>
    <w:rsid w:val="0064598C"/>
    <w:rsid w:val="00645DD1"/>
    <w:rsid w:val="006467D5"/>
    <w:rsid w:val="00646A04"/>
    <w:rsid w:val="00646E99"/>
    <w:rsid w:val="0064702D"/>
    <w:rsid w:val="006474D1"/>
    <w:rsid w:val="0065141B"/>
    <w:rsid w:val="00651C3D"/>
    <w:rsid w:val="00651CC5"/>
    <w:rsid w:val="00651DFD"/>
    <w:rsid w:val="00652286"/>
    <w:rsid w:val="006527CC"/>
    <w:rsid w:val="00652B48"/>
    <w:rsid w:val="00653B6F"/>
    <w:rsid w:val="006549EA"/>
    <w:rsid w:val="00654A45"/>
    <w:rsid w:val="00654D9A"/>
    <w:rsid w:val="0065537B"/>
    <w:rsid w:val="006555FB"/>
    <w:rsid w:val="0065672C"/>
    <w:rsid w:val="0065683F"/>
    <w:rsid w:val="00656D03"/>
    <w:rsid w:val="0066042B"/>
    <w:rsid w:val="00660879"/>
    <w:rsid w:val="00661519"/>
    <w:rsid w:val="0066358C"/>
    <w:rsid w:val="006650EA"/>
    <w:rsid w:val="0066562C"/>
    <w:rsid w:val="00666821"/>
    <w:rsid w:val="00670350"/>
    <w:rsid w:val="00670441"/>
    <w:rsid w:val="006718E5"/>
    <w:rsid w:val="00671A10"/>
    <w:rsid w:val="00672CE5"/>
    <w:rsid w:val="00673818"/>
    <w:rsid w:val="00674103"/>
    <w:rsid w:val="00674F36"/>
    <w:rsid w:val="00674FDB"/>
    <w:rsid w:val="006753A4"/>
    <w:rsid w:val="00675DD9"/>
    <w:rsid w:val="006760D5"/>
    <w:rsid w:val="0067643C"/>
    <w:rsid w:val="00676C1D"/>
    <w:rsid w:val="00677D27"/>
    <w:rsid w:val="006800ED"/>
    <w:rsid w:val="0068077A"/>
    <w:rsid w:val="006809F0"/>
    <w:rsid w:val="006811ED"/>
    <w:rsid w:val="00682E75"/>
    <w:rsid w:val="006839A4"/>
    <w:rsid w:val="00683D0B"/>
    <w:rsid w:val="00683F5A"/>
    <w:rsid w:val="00685501"/>
    <w:rsid w:val="0068641B"/>
    <w:rsid w:val="006869E5"/>
    <w:rsid w:val="0068752F"/>
    <w:rsid w:val="00691169"/>
    <w:rsid w:val="00691E55"/>
    <w:rsid w:val="006926BE"/>
    <w:rsid w:val="006940C2"/>
    <w:rsid w:val="00694876"/>
    <w:rsid w:val="00694A8B"/>
    <w:rsid w:val="00695AB4"/>
    <w:rsid w:val="00696FBE"/>
    <w:rsid w:val="00697459"/>
    <w:rsid w:val="006A00F4"/>
    <w:rsid w:val="006A06AA"/>
    <w:rsid w:val="006A096B"/>
    <w:rsid w:val="006A0E29"/>
    <w:rsid w:val="006A17EA"/>
    <w:rsid w:val="006A1A5D"/>
    <w:rsid w:val="006A2A92"/>
    <w:rsid w:val="006A3519"/>
    <w:rsid w:val="006A3DB7"/>
    <w:rsid w:val="006A47CB"/>
    <w:rsid w:val="006A4B16"/>
    <w:rsid w:val="006A6079"/>
    <w:rsid w:val="006A635E"/>
    <w:rsid w:val="006A731A"/>
    <w:rsid w:val="006A7A44"/>
    <w:rsid w:val="006B01AE"/>
    <w:rsid w:val="006B03ED"/>
    <w:rsid w:val="006B0C7E"/>
    <w:rsid w:val="006B107F"/>
    <w:rsid w:val="006B1EE4"/>
    <w:rsid w:val="006B21C1"/>
    <w:rsid w:val="006B228B"/>
    <w:rsid w:val="006B33D4"/>
    <w:rsid w:val="006B348A"/>
    <w:rsid w:val="006B3D38"/>
    <w:rsid w:val="006B4003"/>
    <w:rsid w:val="006B4F96"/>
    <w:rsid w:val="006B5455"/>
    <w:rsid w:val="006B5BD6"/>
    <w:rsid w:val="006B5EB2"/>
    <w:rsid w:val="006B6FB8"/>
    <w:rsid w:val="006C19F2"/>
    <w:rsid w:val="006C358C"/>
    <w:rsid w:val="006C67A1"/>
    <w:rsid w:val="006C6A2A"/>
    <w:rsid w:val="006C7369"/>
    <w:rsid w:val="006C7791"/>
    <w:rsid w:val="006D09F4"/>
    <w:rsid w:val="006D0F43"/>
    <w:rsid w:val="006D1589"/>
    <w:rsid w:val="006D1920"/>
    <w:rsid w:val="006D1D2D"/>
    <w:rsid w:val="006D1E11"/>
    <w:rsid w:val="006D28F9"/>
    <w:rsid w:val="006D397D"/>
    <w:rsid w:val="006D4276"/>
    <w:rsid w:val="006D56C0"/>
    <w:rsid w:val="006D5950"/>
    <w:rsid w:val="006D59D2"/>
    <w:rsid w:val="006D5B0B"/>
    <w:rsid w:val="006D60CB"/>
    <w:rsid w:val="006D63F3"/>
    <w:rsid w:val="006D65DB"/>
    <w:rsid w:val="006D660E"/>
    <w:rsid w:val="006D6652"/>
    <w:rsid w:val="006D69E1"/>
    <w:rsid w:val="006E11DD"/>
    <w:rsid w:val="006E247D"/>
    <w:rsid w:val="006E3AB9"/>
    <w:rsid w:val="006E4199"/>
    <w:rsid w:val="006E437C"/>
    <w:rsid w:val="006E471D"/>
    <w:rsid w:val="006E4760"/>
    <w:rsid w:val="006E4B23"/>
    <w:rsid w:val="006E5E47"/>
    <w:rsid w:val="006E6CD5"/>
    <w:rsid w:val="006E736B"/>
    <w:rsid w:val="006E7915"/>
    <w:rsid w:val="006F1775"/>
    <w:rsid w:val="006F21DF"/>
    <w:rsid w:val="006F22B4"/>
    <w:rsid w:val="006F37F6"/>
    <w:rsid w:val="006F453E"/>
    <w:rsid w:val="006F5759"/>
    <w:rsid w:val="006F5A07"/>
    <w:rsid w:val="006F5B3E"/>
    <w:rsid w:val="006F6BA4"/>
    <w:rsid w:val="006F7FC3"/>
    <w:rsid w:val="0070125B"/>
    <w:rsid w:val="0070154F"/>
    <w:rsid w:val="007017D0"/>
    <w:rsid w:val="00701BA5"/>
    <w:rsid w:val="00704820"/>
    <w:rsid w:val="00705B58"/>
    <w:rsid w:val="00705FD1"/>
    <w:rsid w:val="0071018D"/>
    <w:rsid w:val="00710221"/>
    <w:rsid w:val="007115CF"/>
    <w:rsid w:val="00711643"/>
    <w:rsid w:val="00713B15"/>
    <w:rsid w:val="00713B1F"/>
    <w:rsid w:val="007141D0"/>
    <w:rsid w:val="0071475A"/>
    <w:rsid w:val="007148D1"/>
    <w:rsid w:val="00714A05"/>
    <w:rsid w:val="00715E70"/>
    <w:rsid w:val="0071655A"/>
    <w:rsid w:val="0071695D"/>
    <w:rsid w:val="00716CC1"/>
    <w:rsid w:val="00720F38"/>
    <w:rsid w:val="00721ECB"/>
    <w:rsid w:val="007229DE"/>
    <w:rsid w:val="00722B44"/>
    <w:rsid w:val="00722C6D"/>
    <w:rsid w:val="00722D39"/>
    <w:rsid w:val="00723857"/>
    <w:rsid w:val="00723AA7"/>
    <w:rsid w:val="00724BD6"/>
    <w:rsid w:val="007251B2"/>
    <w:rsid w:val="0072575D"/>
    <w:rsid w:val="007273C5"/>
    <w:rsid w:val="00727695"/>
    <w:rsid w:val="00727D4F"/>
    <w:rsid w:val="00730C6C"/>
    <w:rsid w:val="007323BE"/>
    <w:rsid w:val="0073255F"/>
    <w:rsid w:val="0073274E"/>
    <w:rsid w:val="007335DB"/>
    <w:rsid w:val="0073384E"/>
    <w:rsid w:val="0073499B"/>
    <w:rsid w:val="007355ED"/>
    <w:rsid w:val="007365F0"/>
    <w:rsid w:val="00736977"/>
    <w:rsid w:val="00737307"/>
    <w:rsid w:val="00737C7A"/>
    <w:rsid w:val="00740015"/>
    <w:rsid w:val="0074049E"/>
    <w:rsid w:val="00740B05"/>
    <w:rsid w:val="00741AF0"/>
    <w:rsid w:val="00742860"/>
    <w:rsid w:val="0074408D"/>
    <w:rsid w:val="007447A5"/>
    <w:rsid w:val="007455C8"/>
    <w:rsid w:val="00745C76"/>
    <w:rsid w:val="00745DEE"/>
    <w:rsid w:val="0074667D"/>
    <w:rsid w:val="0074697F"/>
    <w:rsid w:val="007469D3"/>
    <w:rsid w:val="00747DC1"/>
    <w:rsid w:val="00747E7D"/>
    <w:rsid w:val="007507CF"/>
    <w:rsid w:val="00751DDE"/>
    <w:rsid w:val="007523B9"/>
    <w:rsid w:val="00752749"/>
    <w:rsid w:val="00752A3C"/>
    <w:rsid w:val="00753B60"/>
    <w:rsid w:val="007542C5"/>
    <w:rsid w:val="0075437C"/>
    <w:rsid w:val="00754686"/>
    <w:rsid w:val="007546CD"/>
    <w:rsid w:val="00754F5E"/>
    <w:rsid w:val="007550FE"/>
    <w:rsid w:val="00755721"/>
    <w:rsid w:val="00755CE8"/>
    <w:rsid w:val="00756C7E"/>
    <w:rsid w:val="00757755"/>
    <w:rsid w:val="007604FB"/>
    <w:rsid w:val="007615EF"/>
    <w:rsid w:val="00761B67"/>
    <w:rsid w:val="00763440"/>
    <w:rsid w:val="0076352C"/>
    <w:rsid w:val="00763A24"/>
    <w:rsid w:val="00763A72"/>
    <w:rsid w:val="00764005"/>
    <w:rsid w:val="00764085"/>
    <w:rsid w:val="0076426C"/>
    <w:rsid w:val="00767B35"/>
    <w:rsid w:val="00767DCD"/>
    <w:rsid w:val="007709C0"/>
    <w:rsid w:val="00770D17"/>
    <w:rsid w:val="00771293"/>
    <w:rsid w:val="00771628"/>
    <w:rsid w:val="00771A5F"/>
    <w:rsid w:val="00771BA2"/>
    <w:rsid w:val="00771DA3"/>
    <w:rsid w:val="00771EA2"/>
    <w:rsid w:val="00772D14"/>
    <w:rsid w:val="0077354E"/>
    <w:rsid w:val="00773F60"/>
    <w:rsid w:val="007741CD"/>
    <w:rsid w:val="0077429A"/>
    <w:rsid w:val="0077524C"/>
    <w:rsid w:val="00776715"/>
    <w:rsid w:val="007769F4"/>
    <w:rsid w:val="0077768C"/>
    <w:rsid w:val="0078006D"/>
    <w:rsid w:val="0078014D"/>
    <w:rsid w:val="00780869"/>
    <w:rsid w:val="00780CCE"/>
    <w:rsid w:val="00781B0F"/>
    <w:rsid w:val="00781EF3"/>
    <w:rsid w:val="00781F85"/>
    <w:rsid w:val="007838FC"/>
    <w:rsid w:val="00784124"/>
    <w:rsid w:val="00784656"/>
    <w:rsid w:val="00785BF3"/>
    <w:rsid w:val="0078684A"/>
    <w:rsid w:val="007900FE"/>
    <w:rsid w:val="00792302"/>
    <w:rsid w:val="007927E7"/>
    <w:rsid w:val="00792AA5"/>
    <w:rsid w:val="0079367B"/>
    <w:rsid w:val="00793EF6"/>
    <w:rsid w:val="00794924"/>
    <w:rsid w:val="00794CA6"/>
    <w:rsid w:val="00794E88"/>
    <w:rsid w:val="00795DD9"/>
    <w:rsid w:val="007971B7"/>
    <w:rsid w:val="007976FB"/>
    <w:rsid w:val="007A0946"/>
    <w:rsid w:val="007A127B"/>
    <w:rsid w:val="007A1D72"/>
    <w:rsid w:val="007A26FC"/>
    <w:rsid w:val="007A27C0"/>
    <w:rsid w:val="007A4182"/>
    <w:rsid w:val="007A41E1"/>
    <w:rsid w:val="007A5158"/>
    <w:rsid w:val="007A5201"/>
    <w:rsid w:val="007A5774"/>
    <w:rsid w:val="007A6735"/>
    <w:rsid w:val="007A68F1"/>
    <w:rsid w:val="007A7185"/>
    <w:rsid w:val="007A7788"/>
    <w:rsid w:val="007A7C4D"/>
    <w:rsid w:val="007B0214"/>
    <w:rsid w:val="007B130C"/>
    <w:rsid w:val="007B1B5B"/>
    <w:rsid w:val="007B1BAB"/>
    <w:rsid w:val="007B1CD2"/>
    <w:rsid w:val="007B2DB4"/>
    <w:rsid w:val="007B2F45"/>
    <w:rsid w:val="007B361F"/>
    <w:rsid w:val="007B4EDE"/>
    <w:rsid w:val="007B70C3"/>
    <w:rsid w:val="007B75D5"/>
    <w:rsid w:val="007B773F"/>
    <w:rsid w:val="007B7D6F"/>
    <w:rsid w:val="007C0323"/>
    <w:rsid w:val="007C0459"/>
    <w:rsid w:val="007C04BC"/>
    <w:rsid w:val="007C285A"/>
    <w:rsid w:val="007C3562"/>
    <w:rsid w:val="007C359F"/>
    <w:rsid w:val="007C3F2A"/>
    <w:rsid w:val="007C3F4B"/>
    <w:rsid w:val="007C4164"/>
    <w:rsid w:val="007C4426"/>
    <w:rsid w:val="007C4F86"/>
    <w:rsid w:val="007C52EA"/>
    <w:rsid w:val="007C5BDF"/>
    <w:rsid w:val="007C6F61"/>
    <w:rsid w:val="007C798B"/>
    <w:rsid w:val="007D05E5"/>
    <w:rsid w:val="007D0FAC"/>
    <w:rsid w:val="007D1168"/>
    <w:rsid w:val="007D1CD7"/>
    <w:rsid w:val="007D1DF1"/>
    <w:rsid w:val="007D1FEE"/>
    <w:rsid w:val="007D20DA"/>
    <w:rsid w:val="007D2FD3"/>
    <w:rsid w:val="007D3E26"/>
    <w:rsid w:val="007D4408"/>
    <w:rsid w:val="007D4C7D"/>
    <w:rsid w:val="007D642C"/>
    <w:rsid w:val="007D7C6D"/>
    <w:rsid w:val="007E05AE"/>
    <w:rsid w:val="007E0641"/>
    <w:rsid w:val="007E06CE"/>
    <w:rsid w:val="007E07F2"/>
    <w:rsid w:val="007E167D"/>
    <w:rsid w:val="007E1889"/>
    <w:rsid w:val="007E1E2C"/>
    <w:rsid w:val="007E39CD"/>
    <w:rsid w:val="007E4F78"/>
    <w:rsid w:val="007E543C"/>
    <w:rsid w:val="007E5C7A"/>
    <w:rsid w:val="007E5E39"/>
    <w:rsid w:val="007E5E79"/>
    <w:rsid w:val="007E5F69"/>
    <w:rsid w:val="007E62E4"/>
    <w:rsid w:val="007E6EA8"/>
    <w:rsid w:val="007F0040"/>
    <w:rsid w:val="007F03F4"/>
    <w:rsid w:val="007F0C1B"/>
    <w:rsid w:val="007F2B15"/>
    <w:rsid w:val="007F2E3D"/>
    <w:rsid w:val="007F40B6"/>
    <w:rsid w:val="007F452E"/>
    <w:rsid w:val="007F4693"/>
    <w:rsid w:val="007F4D6C"/>
    <w:rsid w:val="007F4DE0"/>
    <w:rsid w:val="007F5766"/>
    <w:rsid w:val="007F5E0C"/>
    <w:rsid w:val="007F6734"/>
    <w:rsid w:val="007F67A4"/>
    <w:rsid w:val="007F6A71"/>
    <w:rsid w:val="007F7A1B"/>
    <w:rsid w:val="007F7F4F"/>
    <w:rsid w:val="008002AC"/>
    <w:rsid w:val="00801475"/>
    <w:rsid w:val="00802911"/>
    <w:rsid w:val="00802A8E"/>
    <w:rsid w:val="00804EE8"/>
    <w:rsid w:val="008051E8"/>
    <w:rsid w:val="00805A06"/>
    <w:rsid w:val="00805FEB"/>
    <w:rsid w:val="00806091"/>
    <w:rsid w:val="008063C5"/>
    <w:rsid w:val="00806654"/>
    <w:rsid w:val="008066D8"/>
    <w:rsid w:val="00806F52"/>
    <w:rsid w:val="008073AD"/>
    <w:rsid w:val="00807A31"/>
    <w:rsid w:val="00807F1F"/>
    <w:rsid w:val="0081099F"/>
    <w:rsid w:val="008115E4"/>
    <w:rsid w:val="008118B2"/>
    <w:rsid w:val="00812040"/>
    <w:rsid w:val="008124E6"/>
    <w:rsid w:val="00812E21"/>
    <w:rsid w:val="00813374"/>
    <w:rsid w:val="008136A3"/>
    <w:rsid w:val="008140D1"/>
    <w:rsid w:val="00814A2E"/>
    <w:rsid w:val="00814AD7"/>
    <w:rsid w:val="00814B26"/>
    <w:rsid w:val="00815897"/>
    <w:rsid w:val="00815F0A"/>
    <w:rsid w:val="00816752"/>
    <w:rsid w:val="00817191"/>
    <w:rsid w:val="00817CC9"/>
    <w:rsid w:val="00817D58"/>
    <w:rsid w:val="008201A2"/>
    <w:rsid w:val="008204D1"/>
    <w:rsid w:val="0082072D"/>
    <w:rsid w:val="0082081D"/>
    <w:rsid w:val="00820F5A"/>
    <w:rsid w:val="008217AF"/>
    <w:rsid w:val="008228F2"/>
    <w:rsid w:val="00822D67"/>
    <w:rsid w:val="00824092"/>
    <w:rsid w:val="00824CA2"/>
    <w:rsid w:val="008254D6"/>
    <w:rsid w:val="00826C9F"/>
    <w:rsid w:val="008275BB"/>
    <w:rsid w:val="00827796"/>
    <w:rsid w:val="00827CA0"/>
    <w:rsid w:val="00827EE3"/>
    <w:rsid w:val="00830143"/>
    <w:rsid w:val="00830720"/>
    <w:rsid w:val="00830881"/>
    <w:rsid w:val="0083108D"/>
    <w:rsid w:val="008311E8"/>
    <w:rsid w:val="008314F9"/>
    <w:rsid w:val="0083198D"/>
    <w:rsid w:val="00833CAA"/>
    <w:rsid w:val="0083432A"/>
    <w:rsid w:val="00835326"/>
    <w:rsid w:val="008353C5"/>
    <w:rsid w:val="008367B9"/>
    <w:rsid w:val="00836AC6"/>
    <w:rsid w:val="00836E15"/>
    <w:rsid w:val="00842F85"/>
    <w:rsid w:val="008431C6"/>
    <w:rsid w:val="008433BB"/>
    <w:rsid w:val="0084589D"/>
    <w:rsid w:val="00845BB4"/>
    <w:rsid w:val="008462EA"/>
    <w:rsid w:val="00846FD1"/>
    <w:rsid w:val="00847C0F"/>
    <w:rsid w:val="00847F2D"/>
    <w:rsid w:val="008508B0"/>
    <w:rsid w:val="00850CDE"/>
    <w:rsid w:val="008512D0"/>
    <w:rsid w:val="00851DA3"/>
    <w:rsid w:val="00851EC3"/>
    <w:rsid w:val="00851EFD"/>
    <w:rsid w:val="00852749"/>
    <w:rsid w:val="00854127"/>
    <w:rsid w:val="008541BD"/>
    <w:rsid w:val="008545CF"/>
    <w:rsid w:val="00854CE0"/>
    <w:rsid w:val="00855467"/>
    <w:rsid w:val="008558F4"/>
    <w:rsid w:val="00855C82"/>
    <w:rsid w:val="008569D1"/>
    <w:rsid w:val="00857C40"/>
    <w:rsid w:val="00857D66"/>
    <w:rsid w:val="008604B3"/>
    <w:rsid w:val="0086065E"/>
    <w:rsid w:val="00860D44"/>
    <w:rsid w:val="00861777"/>
    <w:rsid w:val="008618BC"/>
    <w:rsid w:val="008625CF"/>
    <w:rsid w:val="008631A9"/>
    <w:rsid w:val="00863B1E"/>
    <w:rsid w:val="008644AA"/>
    <w:rsid w:val="00870412"/>
    <w:rsid w:val="00870EBE"/>
    <w:rsid w:val="00871286"/>
    <w:rsid w:val="0087150C"/>
    <w:rsid w:val="008726C1"/>
    <w:rsid w:val="0087317F"/>
    <w:rsid w:val="00873244"/>
    <w:rsid w:val="00873488"/>
    <w:rsid w:val="00873586"/>
    <w:rsid w:val="00873B3D"/>
    <w:rsid w:val="008746CF"/>
    <w:rsid w:val="008747AD"/>
    <w:rsid w:val="00874831"/>
    <w:rsid w:val="00874861"/>
    <w:rsid w:val="00874E4B"/>
    <w:rsid w:val="00876C60"/>
    <w:rsid w:val="008771F7"/>
    <w:rsid w:val="00877736"/>
    <w:rsid w:val="00880506"/>
    <w:rsid w:val="0088114A"/>
    <w:rsid w:val="00881758"/>
    <w:rsid w:val="0088237B"/>
    <w:rsid w:val="00882739"/>
    <w:rsid w:val="00882863"/>
    <w:rsid w:val="00882DFA"/>
    <w:rsid w:val="0088455D"/>
    <w:rsid w:val="008854F6"/>
    <w:rsid w:val="0088566E"/>
    <w:rsid w:val="00887615"/>
    <w:rsid w:val="00890576"/>
    <w:rsid w:val="00890A11"/>
    <w:rsid w:val="008917C1"/>
    <w:rsid w:val="008919D8"/>
    <w:rsid w:val="00891C32"/>
    <w:rsid w:val="00891D81"/>
    <w:rsid w:val="00892F7A"/>
    <w:rsid w:val="0089332E"/>
    <w:rsid w:val="00893463"/>
    <w:rsid w:val="00893902"/>
    <w:rsid w:val="0089431F"/>
    <w:rsid w:val="00894DCB"/>
    <w:rsid w:val="00894FBE"/>
    <w:rsid w:val="00895B32"/>
    <w:rsid w:val="00896169"/>
    <w:rsid w:val="00896671"/>
    <w:rsid w:val="00897794"/>
    <w:rsid w:val="008A01F2"/>
    <w:rsid w:val="008A040A"/>
    <w:rsid w:val="008A059F"/>
    <w:rsid w:val="008A08FF"/>
    <w:rsid w:val="008A0B95"/>
    <w:rsid w:val="008A1712"/>
    <w:rsid w:val="008A1CF2"/>
    <w:rsid w:val="008A2622"/>
    <w:rsid w:val="008A2CAD"/>
    <w:rsid w:val="008A3788"/>
    <w:rsid w:val="008A4912"/>
    <w:rsid w:val="008A5076"/>
    <w:rsid w:val="008A5662"/>
    <w:rsid w:val="008A599D"/>
    <w:rsid w:val="008A5FF2"/>
    <w:rsid w:val="008A6976"/>
    <w:rsid w:val="008A6CBE"/>
    <w:rsid w:val="008A7EE8"/>
    <w:rsid w:val="008B0DE7"/>
    <w:rsid w:val="008B1D38"/>
    <w:rsid w:val="008B280C"/>
    <w:rsid w:val="008B304A"/>
    <w:rsid w:val="008B32A3"/>
    <w:rsid w:val="008B3F1E"/>
    <w:rsid w:val="008B3FF9"/>
    <w:rsid w:val="008B4641"/>
    <w:rsid w:val="008B5D25"/>
    <w:rsid w:val="008B6294"/>
    <w:rsid w:val="008B66EC"/>
    <w:rsid w:val="008B6D7A"/>
    <w:rsid w:val="008C0197"/>
    <w:rsid w:val="008C07D0"/>
    <w:rsid w:val="008C0B7B"/>
    <w:rsid w:val="008C0BCA"/>
    <w:rsid w:val="008C1FAE"/>
    <w:rsid w:val="008C2336"/>
    <w:rsid w:val="008C26A4"/>
    <w:rsid w:val="008C29B2"/>
    <w:rsid w:val="008C34A9"/>
    <w:rsid w:val="008C466B"/>
    <w:rsid w:val="008C5F6D"/>
    <w:rsid w:val="008C6044"/>
    <w:rsid w:val="008C69AD"/>
    <w:rsid w:val="008C69BC"/>
    <w:rsid w:val="008C741E"/>
    <w:rsid w:val="008D081C"/>
    <w:rsid w:val="008D08A4"/>
    <w:rsid w:val="008D0F5E"/>
    <w:rsid w:val="008D17DD"/>
    <w:rsid w:val="008D1D11"/>
    <w:rsid w:val="008D5278"/>
    <w:rsid w:val="008D556A"/>
    <w:rsid w:val="008D5696"/>
    <w:rsid w:val="008D619E"/>
    <w:rsid w:val="008D6BAE"/>
    <w:rsid w:val="008E0D8F"/>
    <w:rsid w:val="008E128C"/>
    <w:rsid w:val="008E1C9B"/>
    <w:rsid w:val="008E3B40"/>
    <w:rsid w:val="008E55CE"/>
    <w:rsid w:val="008E582E"/>
    <w:rsid w:val="008E5B5E"/>
    <w:rsid w:val="008E5CC0"/>
    <w:rsid w:val="008E601C"/>
    <w:rsid w:val="008E626D"/>
    <w:rsid w:val="008E7CA7"/>
    <w:rsid w:val="008F156B"/>
    <w:rsid w:val="008F191F"/>
    <w:rsid w:val="008F2F0A"/>
    <w:rsid w:val="008F55C0"/>
    <w:rsid w:val="008F5751"/>
    <w:rsid w:val="008F5B0A"/>
    <w:rsid w:val="008F5EA9"/>
    <w:rsid w:val="008F7C2F"/>
    <w:rsid w:val="00900130"/>
    <w:rsid w:val="00901034"/>
    <w:rsid w:val="00901911"/>
    <w:rsid w:val="009024D7"/>
    <w:rsid w:val="00902520"/>
    <w:rsid w:val="0090254C"/>
    <w:rsid w:val="00902D20"/>
    <w:rsid w:val="0090353E"/>
    <w:rsid w:val="0090392D"/>
    <w:rsid w:val="00904D25"/>
    <w:rsid w:val="00904E04"/>
    <w:rsid w:val="00906450"/>
    <w:rsid w:val="009067E6"/>
    <w:rsid w:val="0090683B"/>
    <w:rsid w:val="009076C9"/>
    <w:rsid w:val="00907B80"/>
    <w:rsid w:val="00910CA5"/>
    <w:rsid w:val="00911600"/>
    <w:rsid w:val="00912854"/>
    <w:rsid w:val="0091461A"/>
    <w:rsid w:val="00915CE8"/>
    <w:rsid w:val="00916EA1"/>
    <w:rsid w:val="00916F91"/>
    <w:rsid w:val="00917CA5"/>
    <w:rsid w:val="00920A83"/>
    <w:rsid w:val="009211E9"/>
    <w:rsid w:val="00922085"/>
    <w:rsid w:val="0092319C"/>
    <w:rsid w:val="00923573"/>
    <w:rsid w:val="00923DBC"/>
    <w:rsid w:val="00924D5F"/>
    <w:rsid w:val="00925380"/>
    <w:rsid w:val="0092582C"/>
    <w:rsid w:val="00925B41"/>
    <w:rsid w:val="00925F6E"/>
    <w:rsid w:val="00926535"/>
    <w:rsid w:val="00926FCA"/>
    <w:rsid w:val="00927160"/>
    <w:rsid w:val="00927A54"/>
    <w:rsid w:val="00930568"/>
    <w:rsid w:val="0093094E"/>
    <w:rsid w:val="00931BB4"/>
    <w:rsid w:val="00932284"/>
    <w:rsid w:val="00933AF5"/>
    <w:rsid w:val="009340F4"/>
    <w:rsid w:val="00934291"/>
    <w:rsid w:val="00935AF5"/>
    <w:rsid w:val="00935B3A"/>
    <w:rsid w:val="00935EDE"/>
    <w:rsid w:val="00940C05"/>
    <w:rsid w:val="00943C7C"/>
    <w:rsid w:val="00944CB1"/>
    <w:rsid w:val="00944D93"/>
    <w:rsid w:val="00945B2A"/>
    <w:rsid w:val="00945B4F"/>
    <w:rsid w:val="00945CD7"/>
    <w:rsid w:val="00947CCD"/>
    <w:rsid w:val="00951737"/>
    <w:rsid w:val="009518B9"/>
    <w:rsid w:val="00952047"/>
    <w:rsid w:val="0095238C"/>
    <w:rsid w:val="00953021"/>
    <w:rsid w:val="009539D5"/>
    <w:rsid w:val="00954802"/>
    <w:rsid w:val="00954D23"/>
    <w:rsid w:val="00954E10"/>
    <w:rsid w:val="00955131"/>
    <w:rsid w:val="0095513A"/>
    <w:rsid w:val="00955DC9"/>
    <w:rsid w:val="00956987"/>
    <w:rsid w:val="00956C0F"/>
    <w:rsid w:val="00957CE3"/>
    <w:rsid w:val="009615C0"/>
    <w:rsid w:val="009619FB"/>
    <w:rsid w:val="00961F6F"/>
    <w:rsid w:val="00963200"/>
    <w:rsid w:val="009634A8"/>
    <w:rsid w:val="00963865"/>
    <w:rsid w:val="009647DE"/>
    <w:rsid w:val="00965BE5"/>
    <w:rsid w:val="00965D6D"/>
    <w:rsid w:val="0096721E"/>
    <w:rsid w:val="00967499"/>
    <w:rsid w:val="009678C6"/>
    <w:rsid w:val="009678CB"/>
    <w:rsid w:val="00967A83"/>
    <w:rsid w:val="009700F7"/>
    <w:rsid w:val="00970D15"/>
    <w:rsid w:val="009717E4"/>
    <w:rsid w:val="00971861"/>
    <w:rsid w:val="00972C4F"/>
    <w:rsid w:val="00972FF8"/>
    <w:rsid w:val="00973B22"/>
    <w:rsid w:val="00974B5C"/>
    <w:rsid w:val="009763A2"/>
    <w:rsid w:val="009768B0"/>
    <w:rsid w:val="00980C1A"/>
    <w:rsid w:val="0098119B"/>
    <w:rsid w:val="0098352A"/>
    <w:rsid w:val="00983D97"/>
    <w:rsid w:val="0098535F"/>
    <w:rsid w:val="00985785"/>
    <w:rsid w:val="0098653C"/>
    <w:rsid w:val="009865D9"/>
    <w:rsid w:val="00986D20"/>
    <w:rsid w:val="00986D76"/>
    <w:rsid w:val="00987FCC"/>
    <w:rsid w:val="0099002E"/>
    <w:rsid w:val="00990FCB"/>
    <w:rsid w:val="00992ADB"/>
    <w:rsid w:val="009937FC"/>
    <w:rsid w:val="00995784"/>
    <w:rsid w:val="009957F2"/>
    <w:rsid w:val="0099634D"/>
    <w:rsid w:val="00997714"/>
    <w:rsid w:val="009A0F2E"/>
    <w:rsid w:val="009A23D1"/>
    <w:rsid w:val="009A2623"/>
    <w:rsid w:val="009A26B4"/>
    <w:rsid w:val="009A2CA5"/>
    <w:rsid w:val="009A36C9"/>
    <w:rsid w:val="009A3F4F"/>
    <w:rsid w:val="009A41E9"/>
    <w:rsid w:val="009A4CB1"/>
    <w:rsid w:val="009A5014"/>
    <w:rsid w:val="009A58D9"/>
    <w:rsid w:val="009A66B4"/>
    <w:rsid w:val="009A6F18"/>
    <w:rsid w:val="009B0EBD"/>
    <w:rsid w:val="009B1893"/>
    <w:rsid w:val="009B24A4"/>
    <w:rsid w:val="009B2621"/>
    <w:rsid w:val="009B34E3"/>
    <w:rsid w:val="009B38A3"/>
    <w:rsid w:val="009B44FE"/>
    <w:rsid w:val="009B50F1"/>
    <w:rsid w:val="009B5107"/>
    <w:rsid w:val="009B6D2B"/>
    <w:rsid w:val="009C0007"/>
    <w:rsid w:val="009C0924"/>
    <w:rsid w:val="009C2A4C"/>
    <w:rsid w:val="009C2CB0"/>
    <w:rsid w:val="009C3B75"/>
    <w:rsid w:val="009C3E28"/>
    <w:rsid w:val="009C4064"/>
    <w:rsid w:val="009C434F"/>
    <w:rsid w:val="009C43F3"/>
    <w:rsid w:val="009C4AC7"/>
    <w:rsid w:val="009C4CE2"/>
    <w:rsid w:val="009C4FC4"/>
    <w:rsid w:val="009C6373"/>
    <w:rsid w:val="009C7251"/>
    <w:rsid w:val="009C7D4B"/>
    <w:rsid w:val="009D037F"/>
    <w:rsid w:val="009D076A"/>
    <w:rsid w:val="009D108B"/>
    <w:rsid w:val="009D194F"/>
    <w:rsid w:val="009D1F58"/>
    <w:rsid w:val="009D24BE"/>
    <w:rsid w:val="009D2930"/>
    <w:rsid w:val="009D2AE5"/>
    <w:rsid w:val="009D2CF3"/>
    <w:rsid w:val="009D37F9"/>
    <w:rsid w:val="009D3921"/>
    <w:rsid w:val="009D3AE8"/>
    <w:rsid w:val="009D3CBC"/>
    <w:rsid w:val="009D47EF"/>
    <w:rsid w:val="009D4AD8"/>
    <w:rsid w:val="009D4B56"/>
    <w:rsid w:val="009D4C64"/>
    <w:rsid w:val="009D5C59"/>
    <w:rsid w:val="009D6C33"/>
    <w:rsid w:val="009D7108"/>
    <w:rsid w:val="009D7273"/>
    <w:rsid w:val="009D773E"/>
    <w:rsid w:val="009D7C39"/>
    <w:rsid w:val="009E0981"/>
    <w:rsid w:val="009E0D44"/>
    <w:rsid w:val="009E114C"/>
    <w:rsid w:val="009E230A"/>
    <w:rsid w:val="009E30CC"/>
    <w:rsid w:val="009E3C16"/>
    <w:rsid w:val="009E4D7C"/>
    <w:rsid w:val="009E4DD0"/>
    <w:rsid w:val="009E5F04"/>
    <w:rsid w:val="009E7B97"/>
    <w:rsid w:val="009F00F6"/>
    <w:rsid w:val="009F09F3"/>
    <w:rsid w:val="009F0E84"/>
    <w:rsid w:val="009F130C"/>
    <w:rsid w:val="009F2D54"/>
    <w:rsid w:val="009F2F92"/>
    <w:rsid w:val="009F3395"/>
    <w:rsid w:val="009F4163"/>
    <w:rsid w:val="009F50DD"/>
    <w:rsid w:val="009F6DDF"/>
    <w:rsid w:val="009F70B8"/>
    <w:rsid w:val="00A009B3"/>
    <w:rsid w:val="00A00C92"/>
    <w:rsid w:val="00A02691"/>
    <w:rsid w:val="00A03272"/>
    <w:rsid w:val="00A06AAB"/>
    <w:rsid w:val="00A0758E"/>
    <w:rsid w:val="00A0783C"/>
    <w:rsid w:val="00A078F5"/>
    <w:rsid w:val="00A07E1C"/>
    <w:rsid w:val="00A11238"/>
    <w:rsid w:val="00A11F67"/>
    <w:rsid w:val="00A11FCC"/>
    <w:rsid w:val="00A12825"/>
    <w:rsid w:val="00A12B21"/>
    <w:rsid w:val="00A12E36"/>
    <w:rsid w:val="00A13146"/>
    <w:rsid w:val="00A132BF"/>
    <w:rsid w:val="00A1481C"/>
    <w:rsid w:val="00A14FA1"/>
    <w:rsid w:val="00A15384"/>
    <w:rsid w:val="00A157A3"/>
    <w:rsid w:val="00A16207"/>
    <w:rsid w:val="00A163EA"/>
    <w:rsid w:val="00A1667D"/>
    <w:rsid w:val="00A16E2A"/>
    <w:rsid w:val="00A16F5C"/>
    <w:rsid w:val="00A174BA"/>
    <w:rsid w:val="00A174EE"/>
    <w:rsid w:val="00A17AD1"/>
    <w:rsid w:val="00A17E5E"/>
    <w:rsid w:val="00A200BF"/>
    <w:rsid w:val="00A202E6"/>
    <w:rsid w:val="00A2039D"/>
    <w:rsid w:val="00A20D9D"/>
    <w:rsid w:val="00A20EE7"/>
    <w:rsid w:val="00A2144C"/>
    <w:rsid w:val="00A21F65"/>
    <w:rsid w:val="00A2227D"/>
    <w:rsid w:val="00A2279E"/>
    <w:rsid w:val="00A23769"/>
    <w:rsid w:val="00A24EAE"/>
    <w:rsid w:val="00A25699"/>
    <w:rsid w:val="00A25723"/>
    <w:rsid w:val="00A25A39"/>
    <w:rsid w:val="00A25A8C"/>
    <w:rsid w:val="00A27BCB"/>
    <w:rsid w:val="00A304D0"/>
    <w:rsid w:val="00A30D97"/>
    <w:rsid w:val="00A30ED2"/>
    <w:rsid w:val="00A333A6"/>
    <w:rsid w:val="00A33719"/>
    <w:rsid w:val="00A345A7"/>
    <w:rsid w:val="00A34D0F"/>
    <w:rsid w:val="00A35B59"/>
    <w:rsid w:val="00A368B3"/>
    <w:rsid w:val="00A371EB"/>
    <w:rsid w:val="00A37219"/>
    <w:rsid w:val="00A37D42"/>
    <w:rsid w:val="00A40544"/>
    <w:rsid w:val="00A4170D"/>
    <w:rsid w:val="00A41E6F"/>
    <w:rsid w:val="00A425C1"/>
    <w:rsid w:val="00A431C0"/>
    <w:rsid w:val="00A43902"/>
    <w:rsid w:val="00A4422F"/>
    <w:rsid w:val="00A4426D"/>
    <w:rsid w:val="00A44B7E"/>
    <w:rsid w:val="00A44FDF"/>
    <w:rsid w:val="00A450A8"/>
    <w:rsid w:val="00A479D5"/>
    <w:rsid w:val="00A51227"/>
    <w:rsid w:val="00A517BD"/>
    <w:rsid w:val="00A52410"/>
    <w:rsid w:val="00A5330A"/>
    <w:rsid w:val="00A533C0"/>
    <w:rsid w:val="00A53BE0"/>
    <w:rsid w:val="00A55075"/>
    <w:rsid w:val="00A55120"/>
    <w:rsid w:val="00A55398"/>
    <w:rsid w:val="00A553A4"/>
    <w:rsid w:val="00A56520"/>
    <w:rsid w:val="00A567CB"/>
    <w:rsid w:val="00A6117A"/>
    <w:rsid w:val="00A6177D"/>
    <w:rsid w:val="00A61C04"/>
    <w:rsid w:val="00A6310C"/>
    <w:rsid w:val="00A63A13"/>
    <w:rsid w:val="00A643F8"/>
    <w:rsid w:val="00A65DD1"/>
    <w:rsid w:val="00A663EC"/>
    <w:rsid w:val="00A66E0B"/>
    <w:rsid w:val="00A6760C"/>
    <w:rsid w:val="00A70557"/>
    <w:rsid w:val="00A70C31"/>
    <w:rsid w:val="00A7104B"/>
    <w:rsid w:val="00A712CE"/>
    <w:rsid w:val="00A71DB5"/>
    <w:rsid w:val="00A729A6"/>
    <w:rsid w:val="00A7346F"/>
    <w:rsid w:val="00A74A86"/>
    <w:rsid w:val="00A74C39"/>
    <w:rsid w:val="00A75C0F"/>
    <w:rsid w:val="00A760F3"/>
    <w:rsid w:val="00A7624A"/>
    <w:rsid w:val="00A776C2"/>
    <w:rsid w:val="00A776D1"/>
    <w:rsid w:val="00A77E09"/>
    <w:rsid w:val="00A816AF"/>
    <w:rsid w:val="00A81720"/>
    <w:rsid w:val="00A818E4"/>
    <w:rsid w:val="00A82B19"/>
    <w:rsid w:val="00A83C04"/>
    <w:rsid w:val="00A83ED1"/>
    <w:rsid w:val="00A84DE6"/>
    <w:rsid w:val="00A85C63"/>
    <w:rsid w:val="00A87111"/>
    <w:rsid w:val="00A87CA6"/>
    <w:rsid w:val="00A9066E"/>
    <w:rsid w:val="00A90D15"/>
    <w:rsid w:val="00A90F3D"/>
    <w:rsid w:val="00A920A7"/>
    <w:rsid w:val="00A92878"/>
    <w:rsid w:val="00A929A2"/>
    <w:rsid w:val="00A92FE9"/>
    <w:rsid w:val="00A93DF7"/>
    <w:rsid w:val="00A94383"/>
    <w:rsid w:val="00A9448C"/>
    <w:rsid w:val="00A94545"/>
    <w:rsid w:val="00A95A20"/>
    <w:rsid w:val="00A96F32"/>
    <w:rsid w:val="00A9721B"/>
    <w:rsid w:val="00AA0635"/>
    <w:rsid w:val="00AA068C"/>
    <w:rsid w:val="00AA1412"/>
    <w:rsid w:val="00AA162D"/>
    <w:rsid w:val="00AA21C4"/>
    <w:rsid w:val="00AA2A40"/>
    <w:rsid w:val="00AA36ED"/>
    <w:rsid w:val="00AA37B5"/>
    <w:rsid w:val="00AA4737"/>
    <w:rsid w:val="00AA4899"/>
    <w:rsid w:val="00AA48B5"/>
    <w:rsid w:val="00AA5262"/>
    <w:rsid w:val="00AA5AB7"/>
    <w:rsid w:val="00AA5BE3"/>
    <w:rsid w:val="00AA77EF"/>
    <w:rsid w:val="00AB019A"/>
    <w:rsid w:val="00AB22B2"/>
    <w:rsid w:val="00AB2877"/>
    <w:rsid w:val="00AB2F06"/>
    <w:rsid w:val="00AB315D"/>
    <w:rsid w:val="00AB3E95"/>
    <w:rsid w:val="00AB54CB"/>
    <w:rsid w:val="00AB661C"/>
    <w:rsid w:val="00AB689D"/>
    <w:rsid w:val="00AB7491"/>
    <w:rsid w:val="00AB7519"/>
    <w:rsid w:val="00AB79CA"/>
    <w:rsid w:val="00AB7A7D"/>
    <w:rsid w:val="00AC0487"/>
    <w:rsid w:val="00AC1797"/>
    <w:rsid w:val="00AC1E7A"/>
    <w:rsid w:val="00AC2E6C"/>
    <w:rsid w:val="00AC4151"/>
    <w:rsid w:val="00AC5372"/>
    <w:rsid w:val="00AC656E"/>
    <w:rsid w:val="00AC6B32"/>
    <w:rsid w:val="00AC6CEC"/>
    <w:rsid w:val="00AC6EAD"/>
    <w:rsid w:val="00AC7C73"/>
    <w:rsid w:val="00AD0375"/>
    <w:rsid w:val="00AD26BD"/>
    <w:rsid w:val="00AD3A05"/>
    <w:rsid w:val="00AD3AEF"/>
    <w:rsid w:val="00AD3E0E"/>
    <w:rsid w:val="00AD50F5"/>
    <w:rsid w:val="00AD554D"/>
    <w:rsid w:val="00AD59DD"/>
    <w:rsid w:val="00AD6676"/>
    <w:rsid w:val="00AD67B3"/>
    <w:rsid w:val="00AD68C8"/>
    <w:rsid w:val="00AD6C4D"/>
    <w:rsid w:val="00AE0021"/>
    <w:rsid w:val="00AE0E2E"/>
    <w:rsid w:val="00AE1841"/>
    <w:rsid w:val="00AE2231"/>
    <w:rsid w:val="00AE2348"/>
    <w:rsid w:val="00AE24DA"/>
    <w:rsid w:val="00AE25A2"/>
    <w:rsid w:val="00AE283B"/>
    <w:rsid w:val="00AE3E0B"/>
    <w:rsid w:val="00AE4C8C"/>
    <w:rsid w:val="00AE5231"/>
    <w:rsid w:val="00AE588D"/>
    <w:rsid w:val="00AE5D50"/>
    <w:rsid w:val="00AE624F"/>
    <w:rsid w:val="00AE63E4"/>
    <w:rsid w:val="00AE7A44"/>
    <w:rsid w:val="00AE7B48"/>
    <w:rsid w:val="00AF007F"/>
    <w:rsid w:val="00AF1536"/>
    <w:rsid w:val="00AF1A4C"/>
    <w:rsid w:val="00AF2B90"/>
    <w:rsid w:val="00AF4A9F"/>
    <w:rsid w:val="00AF4BC0"/>
    <w:rsid w:val="00AF4CF2"/>
    <w:rsid w:val="00AF4F99"/>
    <w:rsid w:val="00AF501B"/>
    <w:rsid w:val="00AF56ED"/>
    <w:rsid w:val="00AF62F4"/>
    <w:rsid w:val="00AF6473"/>
    <w:rsid w:val="00AF7CBB"/>
    <w:rsid w:val="00AF7F4D"/>
    <w:rsid w:val="00B00065"/>
    <w:rsid w:val="00B01DF9"/>
    <w:rsid w:val="00B01EDB"/>
    <w:rsid w:val="00B028FA"/>
    <w:rsid w:val="00B03C25"/>
    <w:rsid w:val="00B04490"/>
    <w:rsid w:val="00B0491A"/>
    <w:rsid w:val="00B05ECB"/>
    <w:rsid w:val="00B067AF"/>
    <w:rsid w:val="00B10129"/>
    <w:rsid w:val="00B1026B"/>
    <w:rsid w:val="00B10F2A"/>
    <w:rsid w:val="00B11B90"/>
    <w:rsid w:val="00B11D89"/>
    <w:rsid w:val="00B121C0"/>
    <w:rsid w:val="00B1252E"/>
    <w:rsid w:val="00B12FBB"/>
    <w:rsid w:val="00B13044"/>
    <w:rsid w:val="00B14455"/>
    <w:rsid w:val="00B14699"/>
    <w:rsid w:val="00B14D9F"/>
    <w:rsid w:val="00B14DB1"/>
    <w:rsid w:val="00B156B7"/>
    <w:rsid w:val="00B1585A"/>
    <w:rsid w:val="00B15F1B"/>
    <w:rsid w:val="00B16181"/>
    <w:rsid w:val="00B16D73"/>
    <w:rsid w:val="00B17BE7"/>
    <w:rsid w:val="00B204F6"/>
    <w:rsid w:val="00B21A74"/>
    <w:rsid w:val="00B21F71"/>
    <w:rsid w:val="00B22797"/>
    <w:rsid w:val="00B22D45"/>
    <w:rsid w:val="00B232E1"/>
    <w:rsid w:val="00B238C9"/>
    <w:rsid w:val="00B248C2"/>
    <w:rsid w:val="00B27178"/>
    <w:rsid w:val="00B2717C"/>
    <w:rsid w:val="00B27414"/>
    <w:rsid w:val="00B3092D"/>
    <w:rsid w:val="00B30A4B"/>
    <w:rsid w:val="00B30B15"/>
    <w:rsid w:val="00B31853"/>
    <w:rsid w:val="00B3191E"/>
    <w:rsid w:val="00B31E1E"/>
    <w:rsid w:val="00B32204"/>
    <w:rsid w:val="00B330B8"/>
    <w:rsid w:val="00B333E1"/>
    <w:rsid w:val="00B33DB2"/>
    <w:rsid w:val="00B33F8E"/>
    <w:rsid w:val="00B3407F"/>
    <w:rsid w:val="00B345D2"/>
    <w:rsid w:val="00B35148"/>
    <w:rsid w:val="00B3569F"/>
    <w:rsid w:val="00B364AD"/>
    <w:rsid w:val="00B36740"/>
    <w:rsid w:val="00B3716B"/>
    <w:rsid w:val="00B37DE4"/>
    <w:rsid w:val="00B40765"/>
    <w:rsid w:val="00B40FE7"/>
    <w:rsid w:val="00B41E4B"/>
    <w:rsid w:val="00B4365F"/>
    <w:rsid w:val="00B44A73"/>
    <w:rsid w:val="00B46EFE"/>
    <w:rsid w:val="00B473B8"/>
    <w:rsid w:val="00B5187F"/>
    <w:rsid w:val="00B52206"/>
    <w:rsid w:val="00B53D03"/>
    <w:rsid w:val="00B55359"/>
    <w:rsid w:val="00B557E1"/>
    <w:rsid w:val="00B558D1"/>
    <w:rsid w:val="00B56207"/>
    <w:rsid w:val="00B56D7A"/>
    <w:rsid w:val="00B61369"/>
    <w:rsid w:val="00B64716"/>
    <w:rsid w:val="00B649ED"/>
    <w:rsid w:val="00B64E56"/>
    <w:rsid w:val="00B64FA6"/>
    <w:rsid w:val="00B66C2B"/>
    <w:rsid w:val="00B70A6C"/>
    <w:rsid w:val="00B712BB"/>
    <w:rsid w:val="00B7175B"/>
    <w:rsid w:val="00B718C5"/>
    <w:rsid w:val="00B71ECC"/>
    <w:rsid w:val="00B72CBC"/>
    <w:rsid w:val="00B730D5"/>
    <w:rsid w:val="00B73D09"/>
    <w:rsid w:val="00B7416C"/>
    <w:rsid w:val="00B74604"/>
    <w:rsid w:val="00B757BB"/>
    <w:rsid w:val="00B75904"/>
    <w:rsid w:val="00B760E3"/>
    <w:rsid w:val="00B76FFC"/>
    <w:rsid w:val="00B7782C"/>
    <w:rsid w:val="00B80280"/>
    <w:rsid w:val="00B80B44"/>
    <w:rsid w:val="00B81F41"/>
    <w:rsid w:val="00B81FED"/>
    <w:rsid w:val="00B82263"/>
    <w:rsid w:val="00B829A2"/>
    <w:rsid w:val="00B82BD0"/>
    <w:rsid w:val="00B82C93"/>
    <w:rsid w:val="00B82F8E"/>
    <w:rsid w:val="00B84396"/>
    <w:rsid w:val="00B845A2"/>
    <w:rsid w:val="00B84611"/>
    <w:rsid w:val="00B84E0E"/>
    <w:rsid w:val="00B84FB9"/>
    <w:rsid w:val="00B85493"/>
    <w:rsid w:val="00B85D6B"/>
    <w:rsid w:val="00B8726C"/>
    <w:rsid w:val="00B87793"/>
    <w:rsid w:val="00B879AD"/>
    <w:rsid w:val="00B91324"/>
    <w:rsid w:val="00B915B7"/>
    <w:rsid w:val="00B91C34"/>
    <w:rsid w:val="00B9224A"/>
    <w:rsid w:val="00B9228D"/>
    <w:rsid w:val="00B9249D"/>
    <w:rsid w:val="00B928A6"/>
    <w:rsid w:val="00B92B28"/>
    <w:rsid w:val="00B9378D"/>
    <w:rsid w:val="00B937CE"/>
    <w:rsid w:val="00B94C5B"/>
    <w:rsid w:val="00B94C69"/>
    <w:rsid w:val="00B966D0"/>
    <w:rsid w:val="00B97E0C"/>
    <w:rsid w:val="00BA03D4"/>
    <w:rsid w:val="00BA0EF1"/>
    <w:rsid w:val="00BA29C7"/>
    <w:rsid w:val="00BA2CE6"/>
    <w:rsid w:val="00BA3BF9"/>
    <w:rsid w:val="00BA3F9C"/>
    <w:rsid w:val="00BA5C2F"/>
    <w:rsid w:val="00BA6488"/>
    <w:rsid w:val="00BA6830"/>
    <w:rsid w:val="00BA6CA3"/>
    <w:rsid w:val="00BA6E26"/>
    <w:rsid w:val="00BA74AB"/>
    <w:rsid w:val="00BA789B"/>
    <w:rsid w:val="00BA7F0D"/>
    <w:rsid w:val="00BB0786"/>
    <w:rsid w:val="00BB0EB1"/>
    <w:rsid w:val="00BB101A"/>
    <w:rsid w:val="00BB2296"/>
    <w:rsid w:val="00BB3443"/>
    <w:rsid w:val="00BB43C3"/>
    <w:rsid w:val="00BB45B4"/>
    <w:rsid w:val="00BB53C1"/>
    <w:rsid w:val="00BB639A"/>
    <w:rsid w:val="00BB6CDC"/>
    <w:rsid w:val="00BB713F"/>
    <w:rsid w:val="00BC03DE"/>
    <w:rsid w:val="00BC2790"/>
    <w:rsid w:val="00BC3892"/>
    <w:rsid w:val="00BC4BD9"/>
    <w:rsid w:val="00BC4E9C"/>
    <w:rsid w:val="00BC58C9"/>
    <w:rsid w:val="00BC5BCB"/>
    <w:rsid w:val="00BC5F7D"/>
    <w:rsid w:val="00BC746F"/>
    <w:rsid w:val="00BD0221"/>
    <w:rsid w:val="00BD0B37"/>
    <w:rsid w:val="00BD0E48"/>
    <w:rsid w:val="00BD1225"/>
    <w:rsid w:val="00BD1CD8"/>
    <w:rsid w:val="00BD2F8E"/>
    <w:rsid w:val="00BD30D5"/>
    <w:rsid w:val="00BD3281"/>
    <w:rsid w:val="00BD538C"/>
    <w:rsid w:val="00BD59D4"/>
    <w:rsid w:val="00BD6083"/>
    <w:rsid w:val="00BD608A"/>
    <w:rsid w:val="00BD60D9"/>
    <w:rsid w:val="00BD68E0"/>
    <w:rsid w:val="00BD79ED"/>
    <w:rsid w:val="00BE04D0"/>
    <w:rsid w:val="00BE0DE5"/>
    <w:rsid w:val="00BE0F85"/>
    <w:rsid w:val="00BE16CE"/>
    <w:rsid w:val="00BE1D2C"/>
    <w:rsid w:val="00BE1F84"/>
    <w:rsid w:val="00BE270B"/>
    <w:rsid w:val="00BE4A5B"/>
    <w:rsid w:val="00BE5B39"/>
    <w:rsid w:val="00BE6456"/>
    <w:rsid w:val="00BE6784"/>
    <w:rsid w:val="00BE7CF6"/>
    <w:rsid w:val="00BF26D7"/>
    <w:rsid w:val="00BF3228"/>
    <w:rsid w:val="00BF3260"/>
    <w:rsid w:val="00BF3B1C"/>
    <w:rsid w:val="00BF4BDF"/>
    <w:rsid w:val="00BF7B0F"/>
    <w:rsid w:val="00C00816"/>
    <w:rsid w:val="00C014BE"/>
    <w:rsid w:val="00C014D1"/>
    <w:rsid w:val="00C01702"/>
    <w:rsid w:val="00C0174D"/>
    <w:rsid w:val="00C0190A"/>
    <w:rsid w:val="00C01ABD"/>
    <w:rsid w:val="00C021A4"/>
    <w:rsid w:val="00C0335F"/>
    <w:rsid w:val="00C03999"/>
    <w:rsid w:val="00C04E1F"/>
    <w:rsid w:val="00C05505"/>
    <w:rsid w:val="00C05E35"/>
    <w:rsid w:val="00C06A89"/>
    <w:rsid w:val="00C06CFB"/>
    <w:rsid w:val="00C07044"/>
    <w:rsid w:val="00C112EE"/>
    <w:rsid w:val="00C11313"/>
    <w:rsid w:val="00C11FA6"/>
    <w:rsid w:val="00C121EC"/>
    <w:rsid w:val="00C126AC"/>
    <w:rsid w:val="00C129A2"/>
    <w:rsid w:val="00C12D8D"/>
    <w:rsid w:val="00C14070"/>
    <w:rsid w:val="00C147DD"/>
    <w:rsid w:val="00C149B9"/>
    <w:rsid w:val="00C1548D"/>
    <w:rsid w:val="00C166FB"/>
    <w:rsid w:val="00C167EF"/>
    <w:rsid w:val="00C16869"/>
    <w:rsid w:val="00C16F23"/>
    <w:rsid w:val="00C17337"/>
    <w:rsid w:val="00C20444"/>
    <w:rsid w:val="00C20EBB"/>
    <w:rsid w:val="00C21065"/>
    <w:rsid w:val="00C21185"/>
    <w:rsid w:val="00C21EBC"/>
    <w:rsid w:val="00C2206E"/>
    <w:rsid w:val="00C22477"/>
    <w:rsid w:val="00C22C1A"/>
    <w:rsid w:val="00C22C27"/>
    <w:rsid w:val="00C234D3"/>
    <w:rsid w:val="00C23C53"/>
    <w:rsid w:val="00C24157"/>
    <w:rsid w:val="00C241C7"/>
    <w:rsid w:val="00C2526D"/>
    <w:rsid w:val="00C25332"/>
    <w:rsid w:val="00C2543D"/>
    <w:rsid w:val="00C26316"/>
    <w:rsid w:val="00C266D1"/>
    <w:rsid w:val="00C26F54"/>
    <w:rsid w:val="00C31B96"/>
    <w:rsid w:val="00C32BB7"/>
    <w:rsid w:val="00C33E4C"/>
    <w:rsid w:val="00C3487F"/>
    <w:rsid w:val="00C34FAA"/>
    <w:rsid w:val="00C35245"/>
    <w:rsid w:val="00C35655"/>
    <w:rsid w:val="00C357DB"/>
    <w:rsid w:val="00C37A26"/>
    <w:rsid w:val="00C41C76"/>
    <w:rsid w:val="00C41D75"/>
    <w:rsid w:val="00C4221D"/>
    <w:rsid w:val="00C426EF"/>
    <w:rsid w:val="00C427EA"/>
    <w:rsid w:val="00C4297A"/>
    <w:rsid w:val="00C432D2"/>
    <w:rsid w:val="00C43980"/>
    <w:rsid w:val="00C43A62"/>
    <w:rsid w:val="00C44A54"/>
    <w:rsid w:val="00C44B2A"/>
    <w:rsid w:val="00C44EDC"/>
    <w:rsid w:val="00C4526C"/>
    <w:rsid w:val="00C46FB0"/>
    <w:rsid w:val="00C47DE7"/>
    <w:rsid w:val="00C5095B"/>
    <w:rsid w:val="00C50AF2"/>
    <w:rsid w:val="00C51006"/>
    <w:rsid w:val="00C51B9A"/>
    <w:rsid w:val="00C520E6"/>
    <w:rsid w:val="00C521ED"/>
    <w:rsid w:val="00C522F3"/>
    <w:rsid w:val="00C536ED"/>
    <w:rsid w:val="00C539DD"/>
    <w:rsid w:val="00C541F9"/>
    <w:rsid w:val="00C543EE"/>
    <w:rsid w:val="00C543F3"/>
    <w:rsid w:val="00C55D19"/>
    <w:rsid w:val="00C5608D"/>
    <w:rsid w:val="00C56429"/>
    <w:rsid w:val="00C5693C"/>
    <w:rsid w:val="00C5783C"/>
    <w:rsid w:val="00C602AF"/>
    <w:rsid w:val="00C63703"/>
    <w:rsid w:val="00C647A6"/>
    <w:rsid w:val="00C64C37"/>
    <w:rsid w:val="00C655BE"/>
    <w:rsid w:val="00C65D0E"/>
    <w:rsid w:val="00C66156"/>
    <w:rsid w:val="00C666CD"/>
    <w:rsid w:val="00C67684"/>
    <w:rsid w:val="00C679A1"/>
    <w:rsid w:val="00C67F18"/>
    <w:rsid w:val="00C7080B"/>
    <w:rsid w:val="00C70F8D"/>
    <w:rsid w:val="00C72031"/>
    <w:rsid w:val="00C725A3"/>
    <w:rsid w:val="00C7270D"/>
    <w:rsid w:val="00C72C20"/>
    <w:rsid w:val="00C730F9"/>
    <w:rsid w:val="00C74557"/>
    <w:rsid w:val="00C75B0A"/>
    <w:rsid w:val="00C75D10"/>
    <w:rsid w:val="00C76834"/>
    <w:rsid w:val="00C76FEB"/>
    <w:rsid w:val="00C8000E"/>
    <w:rsid w:val="00C8093C"/>
    <w:rsid w:val="00C80A8B"/>
    <w:rsid w:val="00C8118D"/>
    <w:rsid w:val="00C82108"/>
    <w:rsid w:val="00C8314F"/>
    <w:rsid w:val="00C8376F"/>
    <w:rsid w:val="00C83C87"/>
    <w:rsid w:val="00C8449B"/>
    <w:rsid w:val="00C8642F"/>
    <w:rsid w:val="00C86596"/>
    <w:rsid w:val="00C876E4"/>
    <w:rsid w:val="00C87CDF"/>
    <w:rsid w:val="00C90B07"/>
    <w:rsid w:val="00C9124D"/>
    <w:rsid w:val="00C9228D"/>
    <w:rsid w:val="00C92A40"/>
    <w:rsid w:val="00C92A53"/>
    <w:rsid w:val="00C92B48"/>
    <w:rsid w:val="00C960EB"/>
    <w:rsid w:val="00C964D5"/>
    <w:rsid w:val="00CA213B"/>
    <w:rsid w:val="00CA2D27"/>
    <w:rsid w:val="00CA42C9"/>
    <w:rsid w:val="00CA4458"/>
    <w:rsid w:val="00CA4800"/>
    <w:rsid w:val="00CA48E7"/>
    <w:rsid w:val="00CA4EF5"/>
    <w:rsid w:val="00CA51B9"/>
    <w:rsid w:val="00CA5B37"/>
    <w:rsid w:val="00CA5B85"/>
    <w:rsid w:val="00CB0BC4"/>
    <w:rsid w:val="00CB1407"/>
    <w:rsid w:val="00CB2195"/>
    <w:rsid w:val="00CB2EAC"/>
    <w:rsid w:val="00CB3118"/>
    <w:rsid w:val="00CB3617"/>
    <w:rsid w:val="00CB3A12"/>
    <w:rsid w:val="00CB44DA"/>
    <w:rsid w:val="00CB495D"/>
    <w:rsid w:val="00CB5035"/>
    <w:rsid w:val="00CB512B"/>
    <w:rsid w:val="00CB52B2"/>
    <w:rsid w:val="00CB5359"/>
    <w:rsid w:val="00CB55F0"/>
    <w:rsid w:val="00CB68D8"/>
    <w:rsid w:val="00CB7DD3"/>
    <w:rsid w:val="00CC0967"/>
    <w:rsid w:val="00CC0ACB"/>
    <w:rsid w:val="00CC0CDD"/>
    <w:rsid w:val="00CC1FF4"/>
    <w:rsid w:val="00CC2777"/>
    <w:rsid w:val="00CC30B6"/>
    <w:rsid w:val="00CC4280"/>
    <w:rsid w:val="00CC552B"/>
    <w:rsid w:val="00CC642C"/>
    <w:rsid w:val="00CC65DB"/>
    <w:rsid w:val="00CC6931"/>
    <w:rsid w:val="00CC6AD5"/>
    <w:rsid w:val="00CC71B4"/>
    <w:rsid w:val="00CD00A5"/>
    <w:rsid w:val="00CD00EF"/>
    <w:rsid w:val="00CD1331"/>
    <w:rsid w:val="00CD16A3"/>
    <w:rsid w:val="00CD2D67"/>
    <w:rsid w:val="00CD31D8"/>
    <w:rsid w:val="00CD3DBB"/>
    <w:rsid w:val="00CD455C"/>
    <w:rsid w:val="00CD4E3E"/>
    <w:rsid w:val="00CD5373"/>
    <w:rsid w:val="00CD57CE"/>
    <w:rsid w:val="00CD5C53"/>
    <w:rsid w:val="00CD6005"/>
    <w:rsid w:val="00CD603B"/>
    <w:rsid w:val="00CD6131"/>
    <w:rsid w:val="00CD65CC"/>
    <w:rsid w:val="00CD686F"/>
    <w:rsid w:val="00CD6B27"/>
    <w:rsid w:val="00CD6B44"/>
    <w:rsid w:val="00CD6C7A"/>
    <w:rsid w:val="00CD728A"/>
    <w:rsid w:val="00CD75FB"/>
    <w:rsid w:val="00CE02DE"/>
    <w:rsid w:val="00CE1295"/>
    <w:rsid w:val="00CE1838"/>
    <w:rsid w:val="00CE1A55"/>
    <w:rsid w:val="00CE33C6"/>
    <w:rsid w:val="00CE3862"/>
    <w:rsid w:val="00CE393F"/>
    <w:rsid w:val="00CE41E1"/>
    <w:rsid w:val="00CE47CA"/>
    <w:rsid w:val="00CE5294"/>
    <w:rsid w:val="00CE5E7A"/>
    <w:rsid w:val="00CE6071"/>
    <w:rsid w:val="00CE7253"/>
    <w:rsid w:val="00CE7D13"/>
    <w:rsid w:val="00CF0B5D"/>
    <w:rsid w:val="00CF2621"/>
    <w:rsid w:val="00CF2EA3"/>
    <w:rsid w:val="00CF2ED6"/>
    <w:rsid w:val="00CF31D7"/>
    <w:rsid w:val="00CF3926"/>
    <w:rsid w:val="00CF3DF7"/>
    <w:rsid w:val="00CF5476"/>
    <w:rsid w:val="00CF5A08"/>
    <w:rsid w:val="00CF5FCD"/>
    <w:rsid w:val="00CF6C04"/>
    <w:rsid w:val="00CF7883"/>
    <w:rsid w:val="00CF7F9F"/>
    <w:rsid w:val="00D0085C"/>
    <w:rsid w:val="00D00BA8"/>
    <w:rsid w:val="00D00DCF"/>
    <w:rsid w:val="00D0139A"/>
    <w:rsid w:val="00D01AB1"/>
    <w:rsid w:val="00D02201"/>
    <w:rsid w:val="00D02643"/>
    <w:rsid w:val="00D03E5E"/>
    <w:rsid w:val="00D04DA6"/>
    <w:rsid w:val="00D05B8C"/>
    <w:rsid w:val="00D06725"/>
    <w:rsid w:val="00D071F2"/>
    <w:rsid w:val="00D073F9"/>
    <w:rsid w:val="00D10337"/>
    <w:rsid w:val="00D10859"/>
    <w:rsid w:val="00D10EC5"/>
    <w:rsid w:val="00D11784"/>
    <w:rsid w:val="00D1221F"/>
    <w:rsid w:val="00D126B1"/>
    <w:rsid w:val="00D13B4B"/>
    <w:rsid w:val="00D160D4"/>
    <w:rsid w:val="00D161D3"/>
    <w:rsid w:val="00D1654C"/>
    <w:rsid w:val="00D1657E"/>
    <w:rsid w:val="00D16E24"/>
    <w:rsid w:val="00D2013B"/>
    <w:rsid w:val="00D207F5"/>
    <w:rsid w:val="00D20DE3"/>
    <w:rsid w:val="00D21072"/>
    <w:rsid w:val="00D21526"/>
    <w:rsid w:val="00D2153B"/>
    <w:rsid w:val="00D21691"/>
    <w:rsid w:val="00D2187E"/>
    <w:rsid w:val="00D21F51"/>
    <w:rsid w:val="00D226A5"/>
    <w:rsid w:val="00D22BCC"/>
    <w:rsid w:val="00D25868"/>
    <w:rsid w:val="00D25AD0"/>
    <w:rsid w:val="00D25B75"/>
    <w:rsid w:val="00D25EBB"/>
    <w:rsid w:val="00D26B05"/>
    <w:rsid w:val="00D26BE3"/>
    <w:rsid w:val="00D26FC1"/>
    <w:rsid w:val="00D27A2D"/>
    <w:rsid w:val="00D31956"/>
    <w:rsid w:val="00D31B91"/>
    <w:rsid w:val="00D32B06"/>
    <w:rsid w:val="00D32D41"/>
    <w:rsid w:val="00D335DA"/>
    <w:rsid w:val="00D33766"/>
    <w:rsid w:val="00D33996"/>
    <w:rsid w:val="00D34711"/>
    <w:rsid w:val="00D34779"/>
    <w:rsid w:val="00D35050"/>
    <w:rsid w:val="00D352DB"/>
    <w:rsid w:val="00D3534A"/>
    <w:rsid w:val="00D35B32"/>
    <w:rsid w:val="00D36556"/>
    <w:rsid w:val="00D36B7F"/>
    <w:rsid w:val="00D36C82"/>
    <w:rsid w:val="00D372E1"/>
    <w:rsid w:val="00D40100"/>
    <w:rsid w:val="00D40C39"/>
    <w:rsid w:val="00D41F92"/>
    <w:rsid w:val="00D429F0"/>
    <w:rsid w:val="00D42C8C"/>
    <w:rsid w:val="00D45057"/>
    <w:rsid w:val="00D45EFC"/>
    <w:rsid w:val="00D4654F"/>
    <w:rsid w:val="00D467EF"/>
    <w:rsid w:val="00D51B97"/>
    <w:rsid w:val="00D523B3"/>
    <w:rsid w:val="00D52DA8"/>
    <w:rsid w:val="00D54942"/>
    <w:rsid w:val="00D54F7E"/>
    <w:rsid w:val="00D55E24"/>
    <w:rsid w:val="00D56336"/>
    <w:rsid w:val="00D56FAE"/>
    <w:rsid w:val="00D5718E"/>
    <w:rsid w:val="00D5771F"/>
    <w:rsid w:val="00D577B2"/>
    <w:rsid w:val="00D604ED"/>
    <w:rsid w:val="00D60F10"/>
    <w:rsid w:val="00D62BF4"/>
    <w:rsid w:val="00D634FD"/>
    <w:rsid w:val="00D64314"/>
    <w:rsid w:val="00D64567"/>
    <w:rsid w:val="00D646D8"/>
    <w:rsid w:val="00D659FA"/>
    <w:rsid w:val="00D65D3B"/>
    <w:rsid w:val="00D665F6"/>
    <w:rsid w:val="00D67EBE"/>
    <w:rsid w:val="00D7039D"/>
    <w:rsid w:val="00D704B0"/>
    <w:rsid w:val="00D7100F"/>
    <w:rsid w:val="00D7161A"/>
    <w:rsid w:val="00D72EF0"/>
    <w:rsid w:val="00D73215"/>
    <w:rsid w:val="00D744BC"/>
    <w:rsid w:val="00D74D73"/>
    <w:rsid w:val="00D75C55"/>
    <w:rsid w:val="00D76B29"/>
    <w:rsid w:val="00D76D98"/>
    <w:rsid w:val="00D77AFA"/>
    <w:rsid w:val="00D77FB1"/>
    <w:rsid w:val="00D8046D"/>
    <w:rsid w:val="00D80A35"/>
    <w:rsid w:val="00D81ADE"/>
    <w:rsid w:val="00D81D7C"/>
    <w:rsid w:val="00D821D2"/>
    <w:rsid w:val="00D83CCD"/>
    <w:rsid w:val="00D83D28"/>
    <w:rsid w:val="00D83E8F"/>
    <w:rsid w:val="00D83FF1"/>
    <w:rsid w:val="00D84F9E"/>
    <w:rsid w:val="00D870A5"/>
    <w:rsid w:val="00D87136"/>
    <w:rsid w:val="00D907F5"/>
    <w:rsid w:val="00D917FD"/>
    <w:rsid w:val="00D9264F"/>
    <w:rsid w:val="00D92F8A"/>
    <w:rsid w:val="00D93379"/>
    <w:rsid w:val="00D969D1"/>
    <w:rsid w:val="00DA0302"/>
    <w:rsid w:val="00DA0369"/>
    <w:rsid w:val="00DA0496"/>
    <w:rsid w:val="00DA07DE"/>
    <w:rsid w:val="00DA0BED"/>
    <w:rsid w:val="00DA1E08"/>
    <w:rsid w:val="00DA2047"/>
    <w:rsid w:val="00DA26AA"/>
    <w:rsid w:val="00DA326C"/>
    <w:rsid w:val="00DA36FD"/>
    <w:rsid w:val="00DA3EC7"/>
    <w:rsid w:val="00DA5430"/>
    <w:rsid w:val="00DA5854"/>
    <w:rsid w:val="00DA62D6"/>
    <w:rsid w:val="00DA64AB"/>
    <w:rsid w:val="00DA675A"/>
    <w:rsid w:val="00DA6C90"/>
    <w:rsid w:val="00DA73A2"/>
    <w:rsid w:val="00DB0865"/>
    <w:rsid w:val="00DB119D"/>
    <w:rsid w:val="00DB1B65"/>
    <w:rsid w:val="00DB1CDB"/>
    <w:rsid w:val="00DB2DF4"/>
    <w:rsid w:val="00DB4D7C"/>
    <w:rsid w:val="00DB5213"/>
    <w:rsid w:val="00DB5749"/>
    <w:rsid w:val="00DB5BB9"/>
    <w:rsid w:val="00DB6038"/>
    <w:rsid w:val="00DB60AF"/>
    <w:rsid w:val="00DB64AD"/>
    <w:rsid w:val="00DB6BD9"/>
    <w:rsid w:val="00DB6C95"/>
    <w:rsid w:val="00DB6C9F"/>
    <w:rsid w:val="00DB7AD6"/>
    <w:rsid w:val="00DB7B8B"/>
    <w:rsid w:val="00DC157B"/>
    <w:rsid w:val="00DC287C"/>
    <w:rsid w:val="00DC2B68"/>
    <w:rsid w:val="00DC34D4"/>
    <w:rsid w:val="00DC3674"/>
    <w:rsid w:val="00DC5581"/>
    <w:rsid w:val="00DC674C"/>
    <w:rsid w:val="00DC7452"/>
    <w:rsid w:val="00DD05FF"/>
    <w:rsid w:val="00DD06EF"/>
    <w:rsid w:val="00DD0B9D"/>
    <w:rsid w:val="00DD0D00"/>
    <w:rsid w:val="00DD0DCA"/>
    <w:rsid w:val="00DD2CAD"/>
    <w:rsid w:val="00DD2CE7"/>
    <w:rsid w:val="00DD3370"/>
    <w:rsid w:val="00DD376D"/>
    <w:rsid w:val="00DD4286"/>
    <w:rsid w:val="00DD4383"/>
    <w:rsid w:val="00DD43B9"/>
    <w:rsid w:val="00DD4F6F"/>
    <w:rsid w:val="00DD7853"/>
    <w:rsid w:val="00DE1399"/>
    <w:rsid w:val="00DE1CDF"/>
    <w:rsid w:val="00DE1EBB"/>
    <w:rsid w:val="00DE2F78"/>
    <w:rsid w:val="00DE2FA9"/>
    <w:rsid w:val="00DE35EE"/>
    <w:rsid w:val="00DE39C4"/>
    <w:rsid w:val="00DE3C25"/>
    <w:rsid w:val="00DE3CF2"/>
    <w:rsid w:val="00DE419F"/>
    <w:rsid w:val="00DE44F7"/>
    <w:rsid w:val="00DE462E"/>
    <w:rsid w:val="00DE5652"/>
    <w:rsid w:val="00DE66F2"/>
    <w:rsid w:val="00DF0D48"/>
    <w:rsid w:val="00DF1FD2"/>
    <w:rsid w:val="00DF2C55"/>
    <w:rsid w:val="00DF3D68"/>
    <w:rsid w:val="00DF4C1E"/>
    <w:rsid w:val="00DF5151"/>
    <w:rsid w:val="00DF5373"/>
    <w:rsid w:val="00DF5BE1"/>
    <w:rsid w:val="00DF64FF"/>
    <w:rsid w:val="00E00F29"/>
    <w:rsid w:val="00E01129"/>
    <w:rsid w:val="00E01201"/>
    <w:rsid w:val="00E01C52"/>
    <w:rsid w:val="00E024A7"/>
    <w:rsid w:val="00E02E63"/>
    <w:rsid w:val="00E05F28"/>
    <w:rsid w:val="00E06D35"/>
    <w:rsid w:val="00E07F5E"/>
    <w:rsid w:val="00E1018C"/>
    <w:rsid w:val="00E118CC"/>
    <w:rsid w:val="00E12149"/>
    <w:rsid w:val="00E132AD"/>
    <w:rsid w:val="00E13809"/>
    <w:rsid w:val="00E1431C"/>
    <w:rsid w:val="00E14521"/>
    <w:rsid w:val="00E14850"/>
    <w:rsid w:val="00E171E9"/>
    <w:rsid w:val="00E171F6"/>
    <w:rsid w:val="00E20BCE"/>
    <w:rsid w:val="00E20F38"/>
    <w:rsid w:val="00E2104A"/>
    <w:rsid w:val="00E22CE6"/>
    <w:rsid w:val="00E233DE"/>
    <w:rsid w:val="00E2443B"/>
    <w:rsid w:val="00E2487A"/>
    <w:rsid w:val="00E25255"/>
    <w:rsid w:val="00E252B2"/>
    <w:rsid w:val="00E25481"/>
    <w:rsid w:val="00E25483"/>
    <w:rsid w:val="00E256F5"/>
    <w:rsid w:val="00E259B8"/>
    <w:rsid w:val="00E261EE"/>
    <w:rsid w:val="00E27141"/>
    <w:rsid w:val="00E27F67"/>
    <w:rsid w:val="00E316DD"/>
    <w:rsid w:val="00E318EE"/>
    <w:rsid w:val="00E3316D"/>
    <w:rsid w:val="00E36A5F"/>
    <w:rsid w:val="00E404D3"/>
    <w:rsid w:val="00E410BA"/>
    <w:rsid w:val="00E4118B"/>
    <w:rsid w:val="00E41762"/>
    <w:rsid w:val="00E41A8B"/>
    <w:rsid w:val="00E42601"/>
    <w:rsid w:val="00E45359"/>
    <w:rsid w:val="00E45626"/>
    <w:rsid w:val="00E45EEA"/>
    <w:rsid w:val="00E4631A"/>
    <w:rsid w:val="00E46AEE"/>
    <w:rsid w:val="00E46C04"/>
    <w:rsid w:val="00E4769F"/>
    <w:rsid w:val="00E47A93"/>
    <w:rsid w:val="00E50C5D"/>
    <w:rsid w:val="00E50EBA"/>
    <w:rsid w:val="00E51114"/>
    <w:rsid w:val="00E512ED"/>
    <w:rsid w:val="00E51558"/>
    <w:rsid w:val="00E51595"/>
    <w:rsid w:val="00E534C8"/>
    <w:rsid w:val="00E541A0"/>
    <w:rsid w:val="00E56602"/>
    <w:rsid w:val="00E56D48"/>
    <w:rsid w:val="00E5799C"/>
    <w:rsid w:val="00E60F41"/>
    <w:rsid w:val="00E61F35"/>
    <w:rsid w:val="00E61FB6"/>
    <w:rsid w:val="00E62B88"/>
    <w:rsid w:val="00E6329E"/>
    <w:rsid w:val="00E63861"/>
    <w:rsid w:val="00E63881"/>
    <w:rsid w:val="00E6464E"/>
    <w:rsid w:val="00E6512C"/>
    <w:rsid w:val="00E663B5"/>
    <w:rsid w:val="00E66EE1"/>
    <w:rsid w:val="00E675A2"/>
    <w:rsid w:val="00E67E41"/>
    <w:rsid w:val="00E70007"/>
    <w:rsid w:val="00E70552"/>
    <w:rsid w:val="00E70838"/>
    <w:rsid w:val="00E7161A"/>
    <w:rsid w:val="00E71681"/>
    <w:rsid w:val="00E71AE5"/>
    <w:rsid w:val="00E72586"/>
    <w:rsid w:val="00E72682"/>
    <w:rsid w:val="00E734C9"/>
    <w:rsid w:val="00E73D82"/>
    <w:rsid w:val="00E73FD9"/>
    <w:rsid w:val="00E801B6"/>
    <w:rsid w:val="00E80CF8"/>
    <w:rsid w:val="00E816C9"/>
    <w:rsid w:val="00E817DA"/>
    <w:rsid w:val="00E81D4B"/>
    <w:rsid w:val="00E83271"/>
    <w:rsid w:val="00E83AEE"/>
    <w:rsid w:val="00E84406"/>
    <w:rsid w:val="00E8473D"/>
    <w:rsid w:val="00E8484E"/>
    <w:rsid w:val="00E849E3"/>
    <w:rsid w:val="00E84A78"/>
    <w:rsid w:val="00E86053"/>
    <w:rsid w:val="00E86097"/>
    <w:rsid w:val="00E86566"/>
    <w:rsid w:val="00E867CC"/>
    <w:rsid w:val="00E86987"/>
    <w:rsid w:val="00E86E65"/>
    <w:rsid w:val="00E87129"/>
    <w:rsid w:val="00E87130"/>
    <w:rsid w:val="00E91EBC"/>
    <w:rsid w:val="00E92D94"/>
    <w:rsid w:val="00E9398B"/>
    <w:rsid w:val="00E93AA4"/>
    <w:rsid w:val="00E942B7"/>
    <w:rsid w:val="00E94F81"/>
    <w:rsid w:val="00E952F3"/>
    <w:rsid w:val="00E95A72"/>
    <w:rsid w:val="00E95A93"/>
    <w:rsid w:val="00E965B8"/>
    <w:rsid w:val="00E96746"/>
    <w:rsid w:val="00E9698C"/>
    <w:rsid w:val="00E975FC"/>
    <w:rsid w:val="00EA02C5"/>
    <w:rsid w:val="00EA06C2"/>
    <w:rsid w:val="00EA0800"/>
    <w:rsid w:val="00EA0B57"/>
    <w:rsid w:val="00EA1072"/>
    <w:rsid w:val="00EA2AE8"/>
    <w:rsid w:val="00EA415F"/>
    <w:rsid w:val="00EA46E3"/>
    <w:rsid w:val="00EA4999"/>
    <w:rsid w:val="00EA513C"/>
    <w:rsid w:val="00EA576B"/>
    <w:rsid w:val="00EA5D05"/>
    <w:rsid w:val="00EA7670"/>
    <w:rsid w:val="00EB083C"/>
    <w:rsid w:val="00EB20D2"/>
    <w:rsid w:val="00EB2305"/>
    <w:rsid w:val="00EB3DE4"/>
    <w:rsid w:val="00EB4580"/>
    <w:rsid w:val="00EB4DDB"/>
    <w:rsid w:val="00EB6C2E"/>
    <w:rsid w:val="00EB79C7"/>
    <w:rsid w:val="00EB7E92"/>
    <w:rsid w:val="00EC09D7"/>
    <w:rsid w:val="00EC0A46"/>
    <w:rsid w:val="00EC1EEF"/>
    <w:rsid w:val="00EC220B"/>
    <w:rsid w:val="00EC27C1"/>
    <w:rsid w:val="00EC287D"/>
    <w:rsid w:val="00EC36C5"/>
    <w:rsid w:val="00EC3BF9"/>
    <w:rsid w:val="00EC433E"/>
    <w:rsid w:val="00EC4755"/>
    <w:rsid w:val="00EC5363"/>
    <w:rsid w:val="00EC5D20"/>
    <w:rsid w:val="00EC5DFE"/>
    <w:rsid w:val="00EC63A1"/>
    <w:rsid w:val="00EC66C4"/>
    <w:rsid w:val="00EC72AE"/>
    <w:rsid w:val="00EC7BA5"/>
    <w:rsid w:val="00EC7EB4"/>
    <w:rsid w:val="00ED0C88"/>
    <w:rsid w:val="00ED11CC"/>
    <w:rsid w:val="00ED1414"/>
    <w:rsid w:val="00ED19AB"/>
    <w:rsid w:val="00ED1EB8"/>
    <w:rsid w:val="00ED2D76"/>
    <w:rsid w:val="00ED3919"/>
    <w:rsid w:val="00ED438A"/>
    <w:rsid w:val="00ED43AC"/>
    <w:rsid w:val="00ED4DFA"/>
    <w:rsid w:val="00ED54F5"/>
    <w:rsid w:val="00ED5C9D"/>
    <w:rsid w:val="00ED78C1"/>
    <w:rsid w:val="00ED7A70"/>
    <w:rsid w:val="00ED7DA5"/>
    <w:rsid w:val="00EE0A05"/>
    <w:rsid w:val="00EE0E28"/>
    <w:rsid w:val="00EE145D"/>
    <w:rsid w:val="00EE5BEF"/>
    <w:rsid w:val="00EE646B"/>
    <w:rsid w:val="00EE6962"/>
    <w:rsid w:val="00EE6D18"/>
    <w:rsid w:val="00EE7234"/>
    <w:rsid w:val="00EE78F6"/>
    <w:rsid w:val="00EE7A29"/>
    <w:rsid w:val="00EF0D9F"/>
    <w:rsid w:val="00EF1ECC"/>
    <w:rsid w:val="00EF2B3F"/>
    <w:rsid w:val="00EF30BD"/>
    <w:rsid w:val="00EF3E73"/>
    <w:rsid w:val="00EF4F08"/>
    <w:rsid w:val="00EF5801"/>
    <w:rsid w:val="00EF63A9"/>
    <w:rsid w:val="00EF657C"/>
    <w:rsid w:val="00EF6DB2"/>
    <w:rsid w:val="00EF6F37"/>
    <w:rsid w:val="00F003BF"/>
    <w:rsid w:val="00F02DBA"/>
    <w:rsid w:val="00F0315C"/>
    <w:rsid w:val="00F0389C"/>
    <w:rsid w:val="00F04313"/>
    <w:rsid w:val="00F06086"/>
    <w:rsid w:val="00F0726F"/>
    <w:rsid w:val="00F07B12"/>
    <w:rsid w:val="00F07D69"/>
    <w:rsid w:val="00F1034D"/>
    <w:rsid w:val="00F1079F"/>
    <w:rsid w:val="00F117ED"/>
    <w:rsid w:val="00F11876"/>
    <w:rsid w:val="00F1193D"/>
    <w:rsid w:val="00F12A31"/>
    <w:rsid w:val="00F132B1"/>
    <w:rsid w:val="00F148C3"/>
    <w:rsid w:val="00F15A83"/>
    <w:rsid w:val="00F15D66"/>
    <w:rsid w:val="00F15DEB"/>
    <w:rsid w:val="00F21D22"/>
    <w:rsid w:val="00F223DB"/>
    <w:rsid w:val="00F229E1"/>
    <w:rsid w:val="00F23AB2"/>
    <w:rsid w:val="00F24BC9"/>
    <w:rsid w:val="00F25A5C"/>
    <w:rsid w:val="00F27375"/>
    <w:rsid w:val="00F27CDB"/>
    <w:rsid w:val="00F30B77"/>
    <w:rsid w:val="00F31036"/>
    <w:rsid w:val="00F311E3"/>
    <w:rsid w:val="00F33F9D"/>
    <w:rsid w:val="00F34B11"/>
    <w:rsid w:val="00F35399"/>
    <w:rsid w:val="00F37298"/>
    <w:rsid w:val="00F373EB"/>
    <w:rsid w:val="00F37861"/>
    <w:rsid w:val="00F37BD3"/>
    <w:rsid w:val="00F4040B"/>
    <w:rsid w:val="00F420A1"/>
    <w:rsid w:val="00F4354F"/>
    <w:rsid w:val="00F43732"/>
    <w:rsid w:val="00F4397B"/>
    <w:rsid w:val="00F439B0"/>
    <w:rsid w:val="00F43E2A"/>
    <w:rsid w:val="00F45152"/>
    <w:rsid w:val="00F45668"/>
    <w:rsid w:val="00F45BAE"/>
    <w:rsid w:val="00F460E0"/>
    <w:rsid w:val="00F46E79"/>
    <w:rsid w:val="00F47254"/>
    <w:rsid w:val="00F47378"/>
    <w:rsid w:val="00F47678"/>
    <w:rsid w:val="00F50CDA"/>
    <w:rsid w:val="00F50D4E"/>
    <w:rsid w:val="00F50E87"/>
    <w:rsid w:val="00F52610"/>
    <w:rsid w:val="00F52876"/>
    <w:rsid w:val="00F52B6A"/>
    <w:rsid w:val="00F52CA0"/>
    <w:rsid w:val="00F52FA7"/>
    <w:rsid w:val="00F5316C"/>
    <w:rsid w:val="00F53389"/>
    <w:rsid w:val="00F542C1"/>
    <w:rsid w:val="00F5457A"/>
    <w:rsid w:val="00F547D0"/>
    <w:rsid w:val="00F557D6"/>
    <w:rsid w:val="00F558AF"/>
    <w:rsid w:val="00F558F7"/>
    <w:rsid w:val="00F559D8"/>
    <w:rsid w:val="00F55A60"/>
    <w:rsid w:val="00F56354"/>
    <w:rsid w:val="00F57267"/>
    <w:rsid w:val="00F57E43"/>
    <w:rsid w:val="00F610F8"/>
    <w:rsid w:val="00F61966"/>
    <w:rsid w:val="00F621E0"/>
    <w:rsid w:val="00F623EA"/>
    <w:rsid w:val="00F628A5"/>
    <w:rsid w:val="00F62992"/>
    <w:rsid w:val="00F63194"/>
    <w:rsid w:val="00F636F2"/>
    <w:rsid w:val="00F6382A"/>
    <w:rsid w:val="00F6395E"/>
    <w:rsid w:val="00F640AA"/>
    <w:rsid w:val="00F64BD2"/>
    <w:rsid w:val="00F64DCE"/>
    <w:rsid w:val="00F6516C"/>
    <w:rsid w:val="00F654ED"/>
    <w:rsid w:val="00F65F9E"/>
    <w:rsid w:val="00F6618C"/>
    <w:rsid w:val="00F66653"/>
    <w:rsid w:val="00F6725A"/>
    <w:rsid w:val="00F67A29"/>
    <w:rsid w:val="00F67DA6"/>
    <w:rsid w:val="00F702EB"/>
    <w:rsid w:val="00F70380"/>
    <w:rsid w:val="00F708ED"/>
    <w:rsid w:val="00F710D6"/>
    <w:rsid w:val="00F717E1"/>
    <w:rsid w:val="00F71D7D"/>
    <w:rsid w:val="00F72BDF"/>
    <w:rsid w:val="00F72EB3"/>
    <w:rsid w:val="00F73321"/>
    <w:rsid w:val="00F735A7"/>
    <w:rsid w:val="00F74441"/>
    <w:rsid w:val="00F745D9"/>
    <w:rsid w:val="00F75D17"/>
    <w:rsid w:val="00F76BB3"/>
    <w:rsid w:val="00F76D4E"/>
    <w:rsid w:val="00F772DA"/>
    <w:rsid w:val="00F7781E"/>
    <w:rsid w:val="00F81708"/>
    <w:rsid w:val="00F81F1D"/>
    <w:rsid w:val="00F82D68"/>
    <w:rsid w:val="00F8304F"/>
    <w:rsid w:val="00F847B5"/>
    <w:rsid w:val="00F85DFD"/>
    <w:rsid w:val="00F868BC"/>
    <w:rsid w:val="00F871F5"/>
    <w:rsid w:val="00F875DE"/>
    <w:rsid w:val="00F879B1"/>
    <w:rsid w:val="00F90D95"/>
    <w:rsid w:val="00F90F9D"/>
    <w:rsid w:val="00F91054"/>
    <w:rsid w:val="00F92653"/>
    <w:rsid w:val="00F92C69"/>
    <w:rsid w:val="00F9332E"/>
    <w:rsid w:val="00F94962"/>
    <w:rsid w:val="00F9521E"/>
    <w:rsid w:val="00F95E15"/>
    <w:rsid w:val="00F961DD"/>
    <w:rsid w:val="00F97015"/>
    <w:rsid w:val="00F9746E"/>
    <w:rsid w:val="00F974A9"/>
    <w:rsid w:val="00FA03B6"/>
    <w:rsid w:val="00FA1144"/>
    <w:rsid w:val="00FA1629"/>
    <w:rsid w:val="00FA226B"/>
    <w:rsid w:val="00FA2DC5"/>
    <w:rsid w:val="00FA33D9"/>
    <w:rsid w:val="00FA3486"/>
    <w:rsid w:val="00FA36DB"/>
    <w:rsid w:val="00FA429A"/>
    <w:rsid w:val="00FA4D82"/>
    <w:rsid w:val="00FA528E"/>
    <w:rsid w:val="00FA52E7"/>
    <w:rsid w:val="00FA5DD2"/>
    <w:rsid w:val="00FA63FC"/>
    <w:rsid w:val="00FA70D4"/>
    <w:rsid w:val="00FB092A"/>
    <w:rsid w:val="00FB0BC2"/>
    <w:rsid w:val="00FB2F90"/>
    <w:rsid w:val="00FB308E"/>
    <w:rsid w:val="00FB32D4"/>
    <w:rsid w:val="00FB3461"/>
    <w:rsid w:val="00FB48FD"/>
    <w:rsid w:val="00FB5CA3"/>
    <w:rsid w:val="00FC006A"/>
    <w:rsid w:val="00FC12B5"/>
    <w:rsid w:val="00FC1882"/>
    <w:rsid w:val="00FC1AD6"/>
    <w:rsid w:val="00FC1C2D"/>
    <w:rsid w:val="00FC27E6"/>
    <w:rsid w:val="00FC2803"/>
    <w:rsid w:val="00FC2B2D"/>
    <w:rsid w:val="00FC2CDB"/>
    <w:rsid w:val="00FC3263"/>
    <w:rsid w:val="00FC3633"/>
    <w:rsid w:val="00FC3A48"/>
    <w:rsid w:val="00FC49C1"/>
    <w:rsid w:val="00FC5058"/>
    <w:rsid w:val="00FC54B8"/>
    <w:rsid w:val="00FC735E"/>
    <w:rsid w:val="00FC7F42"/>
    <w:rsid w:val="00FD0883"/>
    <w:rsid w:val="00FD0CEF"/>
    <w:rsid w:val="00FD1263"/>
    <w:rsid w:val="00FD1EA4"/>
    <w:rsid w:val="00FD273B"/>
    <w:rsid w:val="00FD2B18"/>
    <w:rsid w:val="00FD34B2"/>
    <w:rsid w:val="00FD350C"/>
    <w:rsid w:val="00FD4A4B"/>
    <w:rsid w:val="00FD4B1F"/>
    <w:rsid w:val="00FD4ED0"/>
    <w:rsid w:val="00FD5D94"/>
    <w:rsid w:val="00FD65DE"/>
    <w:rsid w:val="00FD6DF2"/>
    <w:rsid w:val="00FE0D70"/>
    <w:rsid w:val="00FE1A06"/>
    <w:rsid w:val="00FE2E8D"/>
    <w:rsid w:val="00FE3738"/>
    <w:rsid w:val="00FE3ACE"/>
    <w:rsid w:val="00FE3DF9"/>
    <w:rsid w:val="00FE4F1F"/>
    <w:rsid w:val="00FE513E"/>
    <w:rsid w:val="00FE531F"/>
    <w:rsid w:val="00FE5F67"/>
    <w:rsid w:val="00FE65F9"/>
    <w:rsid w:val="00FE7764"/>
    <w:rsid w:val="00FF047B"/>
    <w:rsid w:val="00FF0F14"/>
    <w:rsid w:val="00FF177B"/>
    <w:rsid w:val="00FF249C"/>
    <w:rsid w:val="00FF2551"/>
    <w:rsid w:val="00FF2EA1"/>
    <w:rsid w:val="00FF35F6"/>
    <w:rsid w:val="00FF5C39"/>
    <w:rsid w:val="00FF5D67"/>
    <w:rsid w:val="00FF6321"/>
    <w:rsid w:val="00FF7622"/>
    <w:rsid w:val="0118668B"/>
    <w:rsid w:val="0135774A"/>
    <w:rsid w:val="013E2FDB"/>
    <w:rsid w:val="0162388A"/>
    <w:rsid w:val="0164104B"/>
    <w:rsid w:val="01962396"/>
    <w:rsid w:val="01986A8A"/>
    <w:rsid w:val="01E22EEF"/>
    <w:rsid w:val="02094019"/>
    <w:rsid w:val="02180C4F"/>
    <w:rsid w:val="02323EE3"/>
    <w:rsid w:val="024876E8"/>
    <w:rsid w:val="024E4BFB"/>
    <w:rsid w:val="025A3D10"/>
    <w:rsid w:val="02E0504F"/>
    <w:rsid w:val="02E97045"/>
    <w:rsid w:val="02FB6E41"/>
    <w:rsid w:val="032C1F09"/>
    <w:rsid w:val="035A3286"/>
    <w:rsid w:val="039C14CE"/>
    <w:rsid w:val="03E53FC5"/>
    <w:rsid w:val="03FB06D5"/>
    <w:rsid w:val="047707C7"/>
    <w:rsid w:val="047A1299"/>
    <w:rsid w:val="048B07CE"/>
    <w:rsid w:val="04B33CE6"/>
    <w:rsid w:val="04D12E16"/>
    <w:rsid w:val="04DE0149"/>
    <w:rsid w:val="04FD01C0"/>
    <w:rsid w:val="05095B77"/>
    <w:rsid w:val="051F4028"/>
    <w:rsid w:val="055E0BF4"/>
    <w:rsid w:val="05612529"/>
    <w:rsid w:val="05A620A8"/>
    <w:rsid w:val="05C23407"/>
    <w:rsid w:val="05CB7AED"/>
    <w:rsid w:val="05ED5ADF"/>
    <w:rsid w:val="063D39AF"/>
    <w:rsid w:val="06AB3EFB"/>
    <w:rsid w:val="06AB62C8"/>
    <w:rsid w:val="06C73992"/>
    <w:rsid w:val="073A04FC"/>
    <w:rsid w:val="0744562C"/>
    <w:rsid w:val="0772543B"/>
    <w:rsid w:val="077305E3"/>
    <w:rsid w:val="07794DA8"/>
    <w:rsid w:val="07872C09"/>
    <w:rsid w:val="079F4F94"/>
    <w:rsid w:val="07C55136"/>
    <w:rsid w:val="07CD0531"/>
    <w:rsid w:val="07CD6A87"/>
    <w:rsid w:val="07D1037A"/>
    <w:rsid w:val="07E000D7"/>
    <w:rsid w:val="07E4144E"/>
    <w:rsid w:val="089C3DAF"/>
    <w:rsid w:val="08BF50D9"/>
    <w:rsid w:val="08D11764"/>
    <w:rsid w:val="08F46B39"/>
    <w:rsid w:val="08FA0F77"/>
    <w:rsid w:val="096E10A3"/>
    <w:rsid w:val="09922992"/>
    <w:rsid w:val="0A530C57"/>
    <w:rsid w:val="0AEA5174"/>
    <w:rsid w:val="0B242CDB"/>
    <w:rsid w:val="0B2B217D"/>
    <w:rsid w:val="0B2D534F"/>
    <w:rsid w:val="0B7E6BC4"/>
    <w:rsid w:val="0B8A6050"/>
    <w:rsid w:val="0B9A3222"/>
    <w:rsid w:val="0BBF6BB4"/>
    <w:rsid w:val="0BF12592"/>
    <w:rsid w:val="0BFD6E37"/>
    <w:rsid w:val="0C345EBE"/>
    <w:rsid w:val="0C531FF7"/>
    <w:rsid w:val="0C556F6C"/>
    <w:rsid w:val="0C7809C1"/>
    <w:rsid w:val="0CA2715E"/>
    <w:rsid w:val="0CD122CF"/>
    <w:rsid w:val="0D7D2F98"/>
    <w:rsid w:val="0D9F562E"/>
    <w:rsid w:val="0DC47AD7"/>
    <w:rsid w:val="0E0B3EC4"/>
    <w:rsid w:val="0EA800E3"/>
    <w:rsid w:val="0EBB6CD6"/>
    <w:rsid w:val="0ED111EF"/>
    <w:rsid w:val="0F1A3C82"/>
    <w:rsid w:val="0F3321D7"/>
    <w:rsid w:val="0F4A0140"/>
    <w:rsid w:val="0F9A617E"/>
    <w:rsid w:val="0FFF3EA0"/>
    <w:rsid w:val="108D44F3"/>
    <w:rsid w:val="10B60429"/>
    <w:rsid w:val="10D4508F"/>
    <w:rsid w:val="10DA16C3"/>
    <w:rsid w:val="10FF5858"/>
    <w:rsid w:val="113A1037"/>
    <w:rsid w:val="113D5343"/>
    <w:rsid w:val="11402131"/>
    <w:rsid w:val="11802E11"/>
    <w:rsid w:val="11E627C6"/>
    <w:rsid w:val="11F77F16"/>
    <w:rsid w:val="11FC7DD0"/>
    <w:rsid w:val="12144A4C"/>
    <w:rsid w:val="121E59E9"/>
    <w:rsid w:val="12274323"/>
    <w:rsid w:val="12792853"/>
    <w:rsid w:val="128E38FC"/>
    <w:rsid w:val="12977C5B"/>
    <w:rsid w:val="13170947"/>
    <w:rsid w:val="131979D7"/>
    <w:rsid w:val="133B281E"/>
    <w:rsid w:val="13753309"/>
    <w:rsid w:val="13B73ECA"/>
    <w:rsid w:val="13C3253D"/>
    <w:rsid w:val="13F638FD"/>
    <w:rsid w:val="14827852"/>
    <w:rsid w:val="14C77127"/>
    <w:rsid w:val="14C96AB4"/>
    <w:rsid w:val="1502207E"/>
    <w:rsid w:val="1517452C"/>
    <w:rsid w:val="153D308F"/>
    <w:rsid w:val="156C4FA6"/>
    <w:rsid w:val="15703588"/>
    <w:rsid w:val="158647F4"/>
    <w:rsid w:val="15D96070"/>
    <w:rsid w:val="15F202E1"/>
    <w:rsid w:val="160216D0"/>
    <w:rsid w:val="1641787C"/>
    <w:rsid w:val="1649653A"/>
    <w:rsid w:val="16860739"/>
    <w:rsid w:val="16AB203A"/>
    <w:rsid w:val="16E96F15"/>
    <w:rsid w:val="1705389A"/>
    <w:rsid w:val="173931F9"/>
    <w:rsid w:val="174940E7"/>
    <w:rsid w:val="17656506"/>
    <w:rsid w:val="178D354C"/>
    <w:rsid w:val="17A66650"/>
    <w:rsid w:val="17E41028"/>
    <w:rsid w:val="17EA48C1"/>
    <w:rsid w:val="183E69BC"/>
    <w:rsid w:val="18701E4F"/>
    <w:rsid w:val="187B3DDE"/>
    <w:rsid w:val="1881346C"/>
    <w:rsid w:val="188F2709"/>
    <w:rsid w:val="18A0023E"/>
    <w:rsid w:val="18A349BF"/>
    <w:rsid w:val="18AC6158"/>
    <w:rsid w:val="18BE701B"/>
    <w:rsid w:val="18DE5562"/>
    <w:rsid w:val="19885908"/>
    <w:rsid w:val="19935E0F"/>
    <w:rsid w:val="19942E31"/>
    <w:rsid w:val="19D67B1E"/>
    <w:rsid w:val="1AC55489"/>
    <w:rsid w:val="1B016E5B"/>
    <w:rsid w:val="1B256357"/>
    <w:rsid w:val="1B4725E1"/>
    <w:rsid w:val="1B5E62E3"/>
    <w:rsid w:val="1B744924"/>
    <w:rsid w:val="1B876503"/>
    <w:rsid w:val="1B8A18C6"/>
    <w:rsid w:val="1BA54A8B"/>
    <w:rsid w:val="1C025315"/>
    <w:rsid w:val="1C560620"/>
    <w:rsid w:val="1C620459"/>
    <w:rsid w:val="1C7366B7"/>
    <w:rsid w:val="1C9B1BC8"/>
    <w:rsid w:val="1CBC0110"/>
    <w:rsid w:val="1D130F0E"/>
    <w:rsid w:val="1D194B3E"/>
    <w:rsid w:val="1D2B3DD1"/>
    <w:rsid w:val="1D7E4261"/>
    <w:rsid w:val="1DBA42CB"/>
    <w:rsid w:val="1DC00253"/>
    <w:rsid w:val="1E8E78CB"/>
    <w:rsid w:val="1EBD2DF7"/>
    <w:rsid w:val="1EF73F6B"/>
    <w:rsid w:val="1F1C0E6C"/>
    <w:rsid w:val="1F4D283F"/>
    <w:rsid w:val="1F520EA6"/>
    <w:rsid w:val="1F68071B"/>
    <w:rsid w:val="1F895A0A"/>
    <w:rsid w:val="203C5CAF"/>
    <w:rsid w:val="209B7CBB"/>
    <w:rsid w:val="209E5422"/>
    <w:rsid w:val="21163F6A"/>
    <w:rsid w:val="213D1A28"/>
    <w:rsid w:val="214F6293"/>
    <w:rsid w:val="21917BAD"/>
    <w:rsid w:val="21D05464"/>
    <w:rsid w:val="21F76D20"/>
    <w:rsid w:val="22385B62"/>
    <w:rsid w:val="229C7278"/>
    <w:rsid w:val="232B3A85"/>
    <w:rsid w:val="23BB3852"/>
    <w:rsid w:val="23E62F23"/>
    <w:rsid w:val="23E67023"/>
    <w:rsid w:val="242F6B78"/>
    <w:rsid w:val="24463E25"/>
    <w:rsid w:val="245C6B98"/>
    <w:rsid w:val="248E3519"/>
    <w:rsid w:val="24C27484"/>
    <w:rsid w:val="24CB252C"/>
    <w:rsid w:val="24D455A6"/>
    <w:rsid w:val="250C2861"/>
    <w:rsid w:val="25D9208B"/>
    <w:rsid w:val="25F00525"/>
    <w:rsid w:val="260236E8"/>
    <w:rsid w:val="26151691"/>
    <w:rsid w:val="261F0915"/>
    <w:rsid w:val="262C612C"/>
    <w:rsid w:val="2636365C"/>
    <w:rsid w:val="26D24959"/>
    <w:rsid w:val="27084092"/>
    <w:rsid w:val="27126946"/>
    <w:rsid w:val="2713017F"/>
    <w:rsid w:val="271734C0"/>
    <w:rsid w:val="272125D8"/>
    <w:rsid w:val="272B2C33"/>
    <w:rsid w:val="27505101"/>
    <w:rsid w:val="27820BC2"/>
    <w:rsid w:val="278E1A78"/>
    <w:rsid w:val="27B30233"/>
    <w:rsid w:val="27F048EA"/>
    <w:rsid w:val="282A104F"/>
    <w:rsid w:val="2830506B"/>
    <w:rsid w:val="283C7518"/>
    <w:rsid w:val="28CE1560"/>
    <w:rsid w:val="291A6927"/>
    <w:rsid w:val="29AC3D11"/>
    <w:rsid w:val="29BC3A9C"/>
    <w:rsid w:val="29C320D0"/>
    <w:rsid w:val="29C857B8"/>
    <w:rsid w:val="2A0132C5"/>
    <w:rsid w:val="2A092AB2"/>
    <w:rsid w:val="2A4E0376"/>
    <w:rsid w:val="2A674247"/>
    <w:rsid w:val="2A68533D"/>
    <w:rsid w:val="2A7E2845"/>
    <w:rsid w:val="2A98201C"/>
    <w:rsid w:val="2A991300"/>
    <w:rsid w:val="2AE64A3A"/>
    <w:rsid w:val="2AFC22F2"/>
    <w:rsid w:val="2B0E666A"/>
    <w:rsid w:val="2B614843"/>
    <w:rsid w:val="2B686CF9"/>
    <w:rsid w:val="2B6949ED"/>
    <w:rsid w:val="2B957A74"/>
    <w:rsid w:val="2BB330B5"/>
    <w:rsid w:val="2BCD6D60"/>
    <w:rsid w:val="2BD8047D"/>
    <w:rsid w:val="2C1C5785"/>
    <w:rsid w:val="2C37731C"/>
    <w:rsid w:val="2C4C3FEA"/>
    <w:rsid w:val="2C502C7D"/>
    <w:rsid w:val="2C580CE5"/>
    <w:rsid w:val="2C6A0080"/>
    <w:rsid w:val="2C982A9C"/>
    <w:rsid w:val="2CEC10E5"/>
    <w:rsid w:val="2CF162E8"/>
    <w:rsid w:val="2D0A64C3"/>
    <w:rsid w:val="2D87411D"/>
    <w:rsid w:val="2D9D1A03"/>
    <w:rsid w:val="2DF94778"/>
    <w:rsid w:val="2E0B420B"/>
    <w:rsid w:val="2E250BA1"/>
    <w:rsid w:val="2E2547BF"/>
    <w:rsid w:val="2E627409"/>
    <w:rsid w:val="2F1E5674"/>
    <w:rsid w:val="2F37683A"/>
    <w:rsid w:val="30564B97"/>
    <w:rsid w:val="31406058"/>
    <w:rsid w:val="31440443"/>
    <w:rsid w:val="31572FB9"/>
    <w:rsid w:val="31C01D69"/>
    <w:rsid w:val="31EE26C8"/>
    <w:rsid w:val="31F819E3"/>
    <w:rsid w:val="31FB698F"/>
    <w:rsid w:val="323A3E3E"/>
    <w:rsid w:val="3245483B"/>
    <w:rsid w:val="32C7765E"/>
    <w:rsid w:val="32CA2532"/>
    <w:rsid w:val="32D11F71"/>
    <w:rsid w:val="32D9029E"/>
    <w:rsid w:val="32E51725"/>
    <w:rsid w:val="336379DF"/>
    <w:rsid w:val="337067E5"/>
    <w:rsid w:val="33EB3CEE"/>
    <w:rsid w:val="347046D6"/>
    <w:rsid w:val="34AB4DE7"/>
    <w:rsid w:val="34AF20D2"/>
    <w:rsid w:val="34B0337D"/>
    <w:rsid w:val="34B373AA"/>
    <w:rsid w:val="34C9605D"/>
    <w:rsid w:val="34E76882"/>
    <w:rsid w:val="350F5F0C"/>
    <w:rsid w:val="35431F27"/>
    <w:rsid w:val="35F14D80"/>
    <w:rsid w:val="35FD4B22"/>
    <w:rsid w:val="3607373D"/>
    <w:rsid w:val="3627678C"/>
    <w:rsid w:val="36746E1E"/>
    <w:rsid w:val="36896C72"/>
    <w:rsid w:val="36F529A6"/>
    <w:rsid w:val="373C6ED6"/>
    <w:rsid w:val="376161AC"/>
    <w:rsid w:val="37940A79"/>
    <w:rsid w:val="37AE2B10"/>
    <w:rsid w:val="37F073E0"/>
    <w:rsid w:val="38431C78"/>
    <w:rsid w:val="387E353F"/>
    <w:rsid w:val="38AA1B9C"/>
    <w:rsid w:val="38F72B94"/>
    <w:rsid w:val="39517ED7"/>
    <w:rsid w:val="39534FCF"/>
    <w:rsid w:val="396D39E9"/>
    <w:rsid w:val="398B28D1"/>
    <w:rsid w:val="39D76AC2"/>
    <w:rsid w:val="3A3E4ECA"/>
    <w:rsid w:val="3A513525"/>
    <w:rsid w:val="3A6F3491"/>
    <w:rsid w:val="3A985175"/>
    <w:rsid w:val="3AB73588"/>
    <w:rsid w:val="3ABF338F"/>
    <w:rsid w:val="3AC96918"/>
    <w:rsid w:val="3ACD09A4"/>
    <w:rsid w:val="3AE414BC"/>
    <w:rsid w:val="3AF42E20"/>
    <w:rsid w:val="3B11419E"/>
    <w:rsid w:val="3B222B91"/>
    <w:rsid w:val="3B8E0C0C"/>
    <w:rsid w:val="3BD40429"/>
    <w:rsid w:val="3C825553"/>
    <w:rsid w:val="3CBE27F6"/>
    <w:rsid w:val="3CDF2357"/>
    <w:rsid w:val="3D3A4C69"/>
    <w:rsid w:val="3D5D2570"/>
    <w:rsid w:val="3DC02AD4"/>
    <w:rsid w:val="3E4F523F"/>
    <w:rsid w:val="3E7168F7"/>
    <w:rsid w:val="3EC22F0B"/>
    <w:rsid w:val="3EEB31F8"/>
    <w:rsid w:val="3EEE3672"/>
    <w:rsid w:val="3EFC0D98"/>
    <w:rsid w:val="3EFFD248"/>
    <w:rsid w:val="3F004D6D"/>
    <w:rsid w:val="3F2175D6"/>
    <w:rsid w:val="3F644550"/>
    <w:rsid w:val="3FEE1B04"/>
    <w:rsid w:val="3FF141FF"/>
    <w:rsid w:val="400F6050"/>
    <w:rsid w:val="40132A87"/>
    <w:rsid w:val="401B42B1"/>
    <w:rsid w:val="401D42A1"/>
    <w:rsid w:val="403861BE"/>
    <w:rsid w:val="40565757"/>
    <w:rsid w:val="40DD7C7A"/>
    <w:rsid w:val="415621B6"/>
    <w:rsid w:val="41650F9C"/>
    <w:rsid w:val="4196532A"/>
    <w:rsid w:val="42004864"/>
    <w:rsid w:val="424A5077"/>
    <w:rsid w:val="426C0506"/>
    <w:rsid w:val="42C81D3A"/>
    <w:rsid w:val="42C821DA"/>
    <w:rsid w:val="43232629"/>
    <w:rsid w:val="43657ED3"/>
    <w:rsid w:val="43863141"/>
    <w:rsid w:val="43B73360"/>
    <w:rsid w:val="43D369D4"/>
    <w:rsid w:val="445115D2"/>
    <w:rsid w:val="447173A4"/>
    <w:rsid w:val="44B624A9"/>
    <w:rsid w:val="44FF0C3E"/>
    <w:rsid w:val="45156D9D"/>
    <w:rsid w:val="456E2077"/>
    <w:rsid w:val="45837DB9"/>
    <w:rsid w:val="458B3F14"/>
    <w:rsid w:val="45B705F7"/>
    <w:rsid w:val="45CA2A05"/>
    <w:rsid w:val="45D17A1D"/>
    <w:rsid w:val="46064ACA"/>
    <w:rsid w:val="46087E88"/>
    <w:rsid w:val="46346DD6"/>
    <w:rsid w:val="46372397"/>
    <w:rsid w:val="46536F4D"/>
    <w:rsid w:val="4693464D"/>
    <w:rsid w:val="473B0685"/>
    <w:rsid w:val="47411156"/>
    <w:rsid w:val="476D45C2"/>
    <w:rsid w:val="47733101"/>
    <w:rsid w:val="477D30ED"/>
    <w:rsid w:val="478F1D61"/>
    <w:rsid w:val="47AF75A2"/>
    <w:rsid w:val="47B343B5"/>
    <w:rsid w:val="480C5B3E"/>
    <w:rsid w:val="484C656D"/>
    <w:rsid w:val="48DC2D29"/>
    <w:rsid w:val="49133A09"/>
    <w:rsid w:val="492F1990"/>
    <w:rsid w:val="49376FD1"/>
    <w:rsid w:val="497273C6"/>
    <w:rsid w:val="4A343C99"/>
    <w:rsid w:val="4A621E0C"/>
    <w:rsid w:val="4A642589"/>
    <w:rsid w:val="4A7B13BA"/>
    <w:rsid w:val="4A8E221A"/>
    <w:rsid w:val="4A921834"/>
    <w:rsid w:val="4ACA5CAA"/>
    <w:rsid w:val="4B7A2325"/>
    <w:rsid w:val="4BD03F9A"/>
    <w:rsid w:val="4BD741C5"/>
    <w:rsid w:val="4BF8613E"/>
    <w:rsid w:val="4C051C9C"/>
    <w:rsid w:val="4C0650FC"/>
    <w:rsid w:val="4C2F48E8"/>
    <w:rsid w:val="4C337D97"/>
    <w:rsid w:val="4C886759"/>
    <w:rsid w:val="4D0B6B9A"/>
    <w:rsid w:val="4D465B41"/>
    <w:rsid w:val="4DB92B07"/>
    <w:rsid w:val="4E3465C6"/>
    <w:rsid w:val="4EA973E8"/>
    <w:rsid w:val="4EAC070E"/>
    <w:rsid w:val="4EFF0E96"/>
    <w:rsid w:val="4F0A765C"/>
    <w:rsid w:val="4F6503C0"/>
    <w:rsid w:val="4F837F80"/>
    <w:rsid w:val="4FE56D34"/>
    <w:rsid w:val="50092009"/>
    <w:rsid w:val="500C03AD"/>
    <w:rsid w:val="501B3F38"/>
    <w:rsid w:val="508F2BFA"/>
    <w:rsid w:val="509C4042"/>
    <w:rsid w:val="50AE5B33"/>
    <w:rsid w:val="50C529B2"/>
    <w:rsid w:val="50CF35DA"/>
    <w:rsid w:val="51185ECD"/>
    <w:rsid w:val="51193A29"/>
    <w:rsid w:val="511E40BF"/>
    <w:rsid w:val="514D16F8"/>
    <w:rsid w:val="51AE5717"/>
    <w:rsid w:val="51BC2454"/>
    <w:rsid w:val="52124463"/>
    <w:rsid w:val="5224261C"/>
    <w:rsid w:val="52627DAB"/>
    <w:rsid w:val="53287732"/>
    <w:rsid w:val="532B1F55"/>
    <w:rsid w:val="532C0CC6"/>
    <w:rsid w:val="5338000B"/>
    <w:rsid w:val="53460169"/>
    <w:rsid w:val="536F6135"/>
    <w:rsid w:val="537A6DDA"/>
    <w:rsid w:val="538602A2"/>
    <w:rsid w:val="53AF4785"/>
    <w:rsid w:val="53D64992"/>
    <w:rsid w:val="53D9491C"/>
    <w:rsid w:val="540E33C8"/>
    <w:rsid w:val="542D463E"/>
    <w:rsid w:val="545D2B0A"/>
    <w:rsid w:val="547406A5"/>
    <w:rsid w:val="549C5E13"/>
    <w:rsid w:val="54A4710A"/>
    <w:rsid w:val="54CA0AEC"/>
    <w:rsid w:val="55512FE3"/>
    <w:rsid w:val="55660B92"/>
    <w:rsid w:val="55AB5E2E"/>
    <w:rsid w:val="56272C6B"/>
    <w:rsid w:val="56366C36"/>
    <w:rsid w:val="566E7757"/>
    <w:rsid w:val="56B2378D"/>
    <w:rsid w:val="570E1B7D"/>
    <w:rsid w:val="573C6112"/>
    <w:rsid w:val="574949AA"/>
    <w:rsid w:val="575759DA"/>
    <w:rsid w:val="57BE1EF8"/>
    <w:rsid w:val="580501AF"/>
    <w:rsid w:val="582B4AF2"/>
    <w:rsid w:val="58581DF1"/>
    <w:rsid w:val="587D13BE"/>
    <w:rsid w:val="588961CE"/>
    <w:rsid w:val="589658F5"/>
    <w:rsid w:val="591612EA"/>
    <w:rsid w:val="594F2A8B"/>
    <w:rsid w:val="59692C51"/>
    <w:rsid w:val="59DD2FE2"/>
    <w:rsid w:val="5A0534C4"/>
    <w:rsid w:val="5A0F6842"/>
    <w:rsid w:val="5A29795E"/>
    <w:rsid w:val="5A2A4633"/>
    <w:rsid w:val="5A7D1893"/>
    <w:rsid w:val="5AB43F89"/>
    <w:rsid w:val="5AD9194A"/>
    <w:rsid w:val="5AF65560"/>
    <w:rsid w:val="5B4E5095"/>
    <w:rsid w:val="5BAD398F"/>
    <w:rsid w:val="5BAE468B"/>
    <w:rsid w:val="5BB503B7"/>
    <w:rsid w:val="5BBB7978"/>
    <w:rsid w:val="5BC273C6"/>
    <w:rsid w:val="5C2A0094"/>
    <w:rsid w:val="5C99094F"/>
    <w:rsid w:val="5CD478FD"/>
    <w:rsid w:val="5D431218"/>
    <w:rsid w:val="5D4361AE"/>
    <w:rsid w:val="5D4A08C1"/>
    <w:rsid w:val="5DB8520C"/>
    <w:rsid w:val="5DCA63D9"/>
    <w:rsid w:val="5DF9782C"/>
    <w:rsid w:val="5E1D0CD6"/>
    <w:rsid w:val="5E520791"/>
    <w:rsid w:val="5E535EE5"/>
    <w:rsid w:val="5E7B2122"/>
    <w:rsid w:val="5E955889"/>
    <w:rsid w:val="5EC6593C"/>
    <w:rsid w:val="5F1B0131"/>
    <w:rsid w:val="5F6829C1"/>
    <w:rsid w:val="5F7663AF"/>
    <w:rsid w:val="5FAA1071"/>
    <w:rsid w:val="5FBD1614"/>
    <w:rsid w:val="5FC54B0F"/>
    <w:rsid w:val="5FF655F4"/>
    <w:rsid w:val="601F1DC2"/>
    <w:rsid w:val="603551EA"/>
    <w:rsid w:val="60626EEF"/>
    <w:rsid w:val="60A022FB"/>
    <w:rsid w:val="6105188D"/>
    <w:rsid w:val="61190549"/>
    <w:rsid w:val="61190CBA"/>
    <w:rsid w:val="612558FD"/>
    <w:rsid w:val="61533A4A"/>
    <w:rsid w:val="6181669C"/>
    <w:rsid w:val="619009B0"/>
    <w:rsid w:val="61DF2C4E"/>
    <w:rsid w:val="62164ED9"/>
    <w:rsid w:val="621F4EBE"/>
    <w:rsid w:val="62251304"/>
    <w:rsid w:val="62401A03"/>
    <w:rsid w:val="625D353D"/>
    <w:rsid w:val="62617F52"/>
    <w:rsid w:val="627A3638"/>
    <w:rsid w:val="62B36814"/>
    <w:rsid w:val="62D529B7"/>
    <w:rsid w:val="630B67BC"/>
    <w:rsid w:val="632F0616"/>
    <w:rsid w:val="63767625"/>
    <w:rsid w:val="63A57962"/>
    <w:rsid w:val="63D50725"/>
    <w:rsid w:val="63DA5716"/>
    <w:rsid w:val="63E35EC0"/>
    <w:rsid w:val="63E45C9B"/>
    <w:rsid w:val="63FD5C20"/>
    <w:rsid w:val="63FF0358"/>
    <w:rsid w:val="645D0A4F"/>
    <w:rsid w:val="645D1B6C"/>
    <w:rsid w:val="64833B62"/>
    <w:rsid w:val="64AA535B"/>
    <w:rsid w:val="64BA6126"/>
    <w:rsid w:val="650E3DCC"/>
    <w:rsid w:val="652E734E"/>
    <w:rsid w:val="654939E3"/>
    <w:rsid w:val="65502038"/>
    <w:rsid w:val="65632BDF"/>
    <w:rsid w:val="6572002E"/>
    <w:rsid w:val="65A82464"/>
    <w:rsid w:val="65CC201A"/>
    <w:rsid w:val="65D01B96"/>
    <w:rsid w:val="66232D52"/>
    <w:rsid w:val="66EF02BB"/>
    <w:rsid w:val="66FF254C"/>
    <w:rsid w:val="670648FC"/>
    <w:rsid w:val="6792042E"/>
    <w:rsid w:val="67D3680C"/>
    <w:rsid w:val="67EB6046"/>
    <w:rsid w:val="682C6F01"/>
    <w:rsid w:val="684F7B59"/>
    <w:rsid w:val="68814B19"/>
    <w:rsid w:val="688D4417"/>
    <w:rsid w:val="68A77392"/>
    <w:rsid w:val="68CF1D29"/>
    <w:rsid w:val="68F54D97"/>
    <w:rsid w:val="69210084"/>
    <w:rsid w:val="69243D5D"/>
    <w:rsid w:val="69332F86"/>
    <w:rsid w:val="693A4111"/>
    <w:rsid w:val="69490586"/>
    <w:rsid w:val="6966572A"/>
    <w:rsid w:val="6A37523A"/>
    <w:rsid w:val="6A6A6FEF"/>
    <w:rsid w:val="6AAD2347"/>
    <w:rsid w:val="6AFD6A1C"/>
    <w:rsid w:val="6B5F47B0"/>
    <w:rsid w:val="6B664DD3"/>
    <w:rsid w:val="6B7617F3"/>
    <w:rsid w:val="6BB20337"/>
    <w:rsid w:val="6BD965E4"/>
    <w:rsid w:val="6C093EDE"/>
    <w:rsid w:val="6C1B7974"/>
    <w:rsid w:val="6C2610FD"/>
    <w:rsid w:val="6C7653A8"/>
    <w:rsid w:val="6CE24969"/>
    <w:rsid w:val="6CF50CA9"/>
    <w:rsid w:val="6D3214C6"/>
    <w:rsid w:val="6D4E6FA3"/>
    <w:rsid w:val="6D532409"/>
    <w:rsid w:val="6DA06F00"/>
    <w:rsid w:val="6DFC00C1"/>
    <w:rsid w:val="6E2E04FD"/>
    <w:rsid w:val="6E825190"/>
    <w:rsid w:val="6EA02F2B"/>
    <w:rsid w:val="6EB428FB"/>
    <w:rsid w:val="6EFC09F4"/>
    <w:rsid w:val="6F074403"/>
    <w:rsid w:val="6F5613C4"/>
    <w:rsid w:val="6FA678F9"/>
    <w:rsid w:val="6FB4571F"/>
    <w:rsid w:val="6FEA51C5"/>
    <w:rsid w:val="6FF758AD"/>
    <w:rsid w:val="71217BD2"/>
    <w:rsid w:val="714E66D6"/>
    <w:rsid w:val="715F4A78"/>
    <w:rsid w:val="719C1094"/>
    <w:rsid w:val="719F468A"/>
    <w:rsid w:val="72795112"/>
    <w:rsid w:val="72950CCE"/>
    <w:rsid w:val="72B77BD7"/>
    <w:rsid w:val="72DB02EA"/>
    <w:rsid w:val="72DF0017"/>
    <w:rsid w:val="7365256C"/>
    <w:rsid w:val="736C3840"/>
    <w:rsid w:val="73D9426C"/>
    <w:rsid w:val="73E2490F"/>
    <w:rsid w:val="73FC71AB"/>
    <w:rsid w:val="74504AB6"/>
    <w:rsid w:val="74FE30DA"/>
    <w:rsid w:val="757035C8"/>
    <w:rsid w:val="75795CFA"/>
    <w:rsid w:val="759620BF"/>
    <w:rsid w:val="759D68D9"/>
    <w:rsid w:val="75CB444F"/>
    <w:rsid w:val="761B6471"/>
    <w:rsid w:val="76E874F8"/>
    <w:rsid w:val="76EA57D5"/>
    <w:rsid w:val="774062D4"/>
    <w:rsid w:val="77842CAC"/>
    <w:rsid w:val="77863BCF"/>
    <w:rsid w:val="77A071CF"/>
    <w:rsid w:val="77C45DFF"/>
    <w:rsid w:val="782177E9"/>
    <w:rsid w:val="78965467"/>
    <w:rsid w:val="78D422C7"/>
    <w:rsid w:val="78F95872"/>
    <w:rsid w:val="79072C58"/>
    <w:rsid w:val="790F6EB8"/>
    <w:rsid w:val="79325942"/>
    <w:rsid w:val="79D73173"/>
    <w:rsid w:val="79FD56A4"/>
    <w:rsid w:val="7A9D0F2F"/>
    <w:rsid w:val="7AB46E49"/>
    <w:rsid w:val="7AE4454E"/>
    <w:rsid w:val="7B2C7117"/>
    <w:rsid w:val="7B3F716E"/>
    <w:rsid w:val="7B4D0B73"/>
    <w:rsid w:val="7BBF4F67"/>
    <w:rsid w:val="7C1754AC"/>
    <w:rsid w:val="7C5C3B46"/>
    <w:rsid w:val="7CA837B2"/>
    <w:rsid w:val="7D2C717C"/>
    <w:rsid w:val="7D351A13"/>
    <w:rsid w:val="7D406A16"/>
    <w:rsid w:val="7D4574AA"/>
    <w:rsid w:val="7DA341CC"/>
    <w:rsid w:val="7DED533C"/>
    <w:rsid w:val="7E116F41"/>
    <w:rsid w:val="7E1D5F4C"/>
    <w:rsid w:val="7E602535"/>
    <w:rsid w:val="7EA31112"/>
    <w:rsid w:val="7EDB3D59"/>
    <w:rsid w:val="7EE115FC"/>
    <w:rsid w:val="7F534513"/>
    <w:rsid w:val="7F8C4A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0"/>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299"/>
    <w:qFormat/>
    <w:uiPriority w:val="0"/>
    <w:pPr>
      <w:keepNext/>
      <w:keepLines/>
      <w:spacing w:before="260" w:after="260" w:line="416" w:lineRule="auto"/>
      <w:outlineLvl w:val="2"/>
    </w:pPr>
    <w:rPr>
      <w:b/>
      <w:bCs/>
      <w:sz w:val="32"/>
      <w:szCs w:val="32"/>
    </w:rPr>
  </w:style>
  <w:style w:type="paragraph" w:styleId="6">
    <w:name w:val="heading 4"/>
    <w:basedOn w:val="1"/>
    <w:next w:val="1"/>
    <w:link w:val="158"/>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72"/>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228"/>
    <w:qFormat/>
    <w:uiPriority w:val="0"/>
    <w:pPr>
      <w:keepNext/>
      <w:keepLines/>
      <w:ind w:firstLine="200" w:firstLineChars="200"/>
      <w:outlineLvl w:val="5"/>
    </w:pPr>
    <w:rPr>
      <w:rFonts w:hAnsi="Arial"/>
    </w:rPr>
  </w:style>
  <w:style w:type="paragraph" w:styleId="10">
    <w:name w:val="heading 7"/>
    <w:basedOn w:val="1"/>
    <w:next w:val="1"/>
    <w:link w:val="283"/>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42"/>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241"/>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7">
    <w:name w:val="Default Paragraph Font"/>
    <w:unhideWhenUsed/>
    <w:qFormat/>
    <w:uiPriority w:val="1"/>
  </w:style>
  <w:style w:type="table" w:default="1" w:styleId="45">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225"/>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162"/>
    <w:qFormat/>
    <w:uiPriority w:val="0"/>
    <w:pPr>
      <w:shd w:val="clear" w:color="auto" w:fill="000080"/>
    </w:pPr>
  </w:style>
  <w:style w:type="paragraph" w:styleId="16">
    <w:name w:val="annotation text"/>
    <w:basedOn w:val="1"/>
    <w:link w:val="305"/>
    <w:qFormat/>
    <w:uiPriority w:val="99"/>
    <w:pPr>
      <w:jc w:val="left"/>
    </w:pPr>
  </w:style>
  <w:style w:type="paragraph" w:styleId="17">
    <w:name w:val="Body Text 3"/>
    <w:basedOn w:val="1"/>
    <w:link w:val="257"/>
    <w:qFormat/>
    <w:uiPriority w:val="0"/>
    <w:pPr>
      <w:spacing w:after="120"/>
    </w:pPr>
    <w:rPr>
      <w:sz w:val="16"/>
      <w:szCs w:val="16"/>
    </w:rPr>
  </w:style>
  <w:style w:type="paragraph" w:styleId="18">
    <w:name w:val="Body Text Indent"/>
    <w:basedOn w:val="1"/>
    <w:link w:val="240"/>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02"/>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66"/>
    <w:qFormat/>
    <w:uiPriority w:val="0"/>
    <w:pPr>
      <w:ind w:left="100" w:leftChars="2500"/>
    </w:pPr>
  </w:style>
  <w:style w:type="paragraph" w:styleId="26">
    <w:name w:val="Body Text Indent 2"/>
    <w:basedOn w:val="1"/>
    <w:link w:val="237"/>
    <w:qFormat/>
    <w:uiPriority w:val="0"/>
    <w:pPr>
      <w:widowControl/>
      <w:spacing w:line="480" w:lineRule="auto"/>
      <w:ind w:firstLine="560"/>
      <w:jc w:val="left"/>
    </w:pPr>
    <w:rPr>
      <w:kern w:val="0"/>
      <w:sz w:val="28"/>
    </w:rPr>
  </w:style>
  <w:style w:type="paragraph" w:styleId="27">
    <w:name w:val="endnote text"/>
    <w:basedOn w:val="1"/>
    <w:link w:val="210"/>
    <w:qFormat/>
    <w:uiPriority w:val="0"/>
    <w:pPr>
      <w:widowControl/>
      <w:snapToGrid w:val="0"/>
      <w:jc w:val="left"/>
    </w:pPr>
    <w:rPr>
      <w:rFonts w:ascii="Arial" w:hAnsi="Arial" w:cs="Arial"/>
      <w:kern w:val="0"/>
      <w:sz w:val="20"/>
      <w:lang w:eastAsia="en-US"/>
    </w:rPr>
  </w:style>
  <w:style w:type="paragraph" w:styleId="28">
    <w:name w:val="Balloon Text"/>
    <w:basedOn w:val="1"/>
    <w:link w:val="205"/>
    <w:qFormat/>
    <w:uiPriority w:val="0"/>
    <w:rPr>
      <w:sz w:val="18"/>
      <w:szCs w:val="18"/>
    </w:rPr>
  </w:style>
  <w:style w:type="paragraph" w:styleId="29">
    <w:name w:val="footer"/>
    <w:basedOn w:val="1"/>
    <w:link w:val="197"/>
    <w:qFormat/>
    <w:uiPriority w:val="0"/>
    <w:pPr>
      <w:tabs>
        <w:tab w:val="center" w:pos="4153"/>
        <w:tab w:val="right" w:pos="8306"/>
      </w:tabs>
      <w:snapToGrid w:val="0"/>
      <w:jc w:val="left"/>
    </w:pPr>
    <w:rPr>
      <w:sz w:val="18"/>
      <w:szCs w:val="18"/>
    </w:rPr>
  </w:style>
  <w:style w:type="paragraph" w:styleId="30">
    <w:name w:val="header"/>
    <w:basedOn w:val="1"/>
    <w:link w:val="291"/>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7"/>
    <w:qFormat/>
    <w:uiPriority w:val="0"/>
    <w:pPr>
      <w:widowControl/>
      <w:jc w:val="center"/>
    </w:pPr>
    <w:rPr>
      <w:kern w:val="0"/>
      <w:sz w:val="20"/>
      <w:u w:val="single"/>
      <w:lang w:eastAsia="en-US"/>
    </w:rPr>
  </w:style>
  <w:style w:type="paragraph" w:styleId="34">
    <w:name w:val="footnote text"/>
    <w:basedOn w:val="1"/>
    <w:link w:val="285"/>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44"/>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31"/>
    <w:qFormat/>
    <w:uiPriority w:val="0"/>
    <w:rPr>
      <w:i/>
      <w:iCs/>
      <w:sz w:val="26"/>
    </w:rPr>
  </w:style>
  <w:style w:type="paragraph" w:styleId="40">
    <w:name w:val="HTML Preformatted"/>
    <w:basedOn w:val="1"/>
    <w:link w:val="161"/>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36"/>
    <w:qFormat/>
    <w:uiPriority w:val="0"/>
    <w:pPr>
      <w:widowControl/>
      <w:jc w:val="center"/>
    </w:pPr>
    <w:rPr>
      <w:kern w:val="0"/>
      <w:sz w:val="20"/>
      <w:u w:val="single"/>
      <w:lang w:eastAsia="en-US"/>
    </w:rPr>
  </w:style>
  <w:style w:type="paragraph" w:styleId="44">
    <w:name w:val="annotation subject"/>
    <w:basedOn w:val="16"/>
    <w:next w:val="16"/>
    <w:link w:val="280"/>
    <w:qFormat/>
    <w:uiPriority w:val="0"/>
    <w:rPr>
      <w:b/>
      <w:bCs/>
    </w:rPr>
  </w:style>
  <w:style w:type="table" w:styleId="46">
    <w:name w:val="Table Grid"/>
    <w:basedOn w:val="45"/>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8">
    <w:name w:val="Strong"/>
    <w:qFormat/>
    <w:uiPriority w:val="0"/>
    <w:rPr>
      <w:b/>
      <w:bCs/>
    </w:rPr>
  </w:style>
  <w:style w:type="character" w:styleId="49">
    <w:name w:val="endnote reference"/>
    <w:qFormat/>
    <w:uiPriority w:val="0"/>
    <w:rPr>
      <w:vertAlign w:val="superscript"/>
    </w:rPr>
  </w:style>
  <w:style w:type="character" w:styleId="50">
    <w:name w:val="page number"/>
    <w:basedOn w:val="47"/>
    <w:qFormat/>
    <w:uiPriority w:val="0"/>
  </w:style>
  <w:style w:type="character" w:styleId="51">
    <w:name w:val="FollowedHyperlink"/>
    <w:qFormat/>
    <w:uiPriority w:val="0"/>
    <w:rPr>
      <w:color w:val="800080"/>
      <w:u w:val="single"/>
    </w:rPr>
  </w:style>
  <w:style w:type="character" w:styleId="52">
    <w:name w:val="Emphasis"/>
    <w:qFormat/>
    <w:uiPriority w:val="0"/>
    <w:rPr>
      <w:i/>
      <w:iCs/>
    </w:rPr>
  </w:style>
  <w:style w:type="character" w:styleId="53">
    <w:name w:val="Hyperlink"/>
    <w:qFormat/>
    <w:uiPriority w:val="99"/>
    <w:rPr>
      <w:color w:val="0000FF"/>
      <w:u w:val="single"/>
    </w:rPr>
  </w:style>
  <w:style w:type="character" w:styleId="54">
    <w:name w:val="annotation reference"/>
    <w:qFormat/>
    <w:uiPriority w:val="0"/>
    <w:rPr>
      <w:sz w:val="21"/>
      <w:szCs w:val="21"/>
    </w:rPr>
  </w:style>
  <w:style w:type="character" w:styleId="55">
    <w:name w:val="footnote reference"/>
    <w:qFormat/>
    <w:uiPriority w:val="0"/>
    <w:rPr>
      <w:vertAlign w:val="superscript"/>
    </w:rPr>
  </w:style>
  <w:style w:type="paragraph" w:customStyle="1" w:styleId="56">
    <w:name w:val="List Paragraph"/>
    <w:basedOn w:val="1"/>
    <w:qFormat/>
    <w:uiPriority w:val="99"/>
    <w:pPr>
      <w:ind w:firstLine="420" w:firstLineChars="200"/>
    </w:pPr>
    <w:rPr>
      <w:sz w:val="28"/>
      <w:szCs w:val="28"/>
    </w:rPr>
  </w:style>
  <w:style w:type="paragraph" w:customStyle="1" w:styleId="57">
    <w:name w:val="_Style 56"/>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8">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59">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0">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61">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62">
    <w:name w:val="1 Char"/>
    <w:basedOn w:val="1"/>
    <w:qFormat/>
    <w:uiPriority w:val="0"/>
    <w:pPr>
      <w:widowControl/>
      <w:spacing w:after="160" w:line="240" w:lineRule="exact"/>
      <w:jc w:val="left"/>
    </w:pPr>
    <w:rPr>
      <w:rFonts w:ascii="Calibri" w:hAnsi="Calibri"/>
      <w:szCs w:val="20"/>
    </w:rPr>
  </w:style>
  <w:style w:type="paragraph" w:customStyle="1" w:styleId="63">
    <w:name w:val="列表段落1"/>
    <w:basedOn w:val="1"/>
    <w:qFormat/>
    <w:uiPriority w:val="34"/>
    <w:pPr>
      <w:ind w:firstLine="420" w:firstLineChars="200"/>
    </w:pPr>
    <w:rPr>
      <w:rFonts w:ascii="Calibri" w:hAnsi="Calibri"/>
    </w:rPr>
  </w:style>
  <w:style w:type="paragraph" w:customStyle="1" w:styleId="64">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5">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66">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67">
    <w:name w:val="TOC 标题2"/>
    <w:basedOn w:val="3"/>
    <w:next w:val="1"/>
    <w:unhideWhenUsed/>
    <w:qFormat/>
    <w:uiPriority w:val="0"/>
    <w:pPr>
      <w:outlineLvl w:val="9"/>
    </w:pPr>
    <w:rPr>
      <w:rFonts w:ascii="Calibri" w:hAnsi="Calibri"/>
    </w:rPr>
  </w:style>
  <w:style w:type="paragraph" w:customStyle="1" w:styleId="68">
    <w:name w:val="样式1"/>
    <w:basedOn w:val="1"/>
    <w:next w:val="6"/>
    <w:qFormat/>
    <w:uiPriority w:val="0"/>
    <w:pPr>
      <w:spacing w:line="360" w:lineRule="auto"/>
      <w:ind w:firstLine="420" w:firstLineChars="200"/>
    </w:pPr>
    <w:rPr>
      <w:rFonts w:ascii="宋体" w:hAnsi="宋体"/>
      <w:szCs w:val="21"/>
    </w:rPr>
  </w:style>
  <w:style w:type="paragraph" w:customStyle="1" w:styleId="69">
    <w:name w:val="列出段落1"/>
    <w:basedOn w:val="1"/>
    <w:qFormat/>
    <w:uiPriority w:val="0"/>
    <w:pPr>
      <w:ind w:firstLine="420" w:firstLineChars="200"/>
    </w:pPr>
    <w:rPr>
      <w:sz w:val="28"/>
      <w:szCs w:val="28"/>
    </w:rPr>
  </w:style>
  <w:style w:type="paragraph" w:customStyle="1" w:styleId="70">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1">
    <w:name w:val="pa-27"/>
    <w:basedOn w:val="1"/>
    <w:qFormat/>
    <w:uiPriority w:val="0"/>
    <w:pPr>
      <w:widowControl/>
      <w:spacing w:line="360" w:lineRule="atLeast"/>
      <w:ind w:firstLine="420"/>
    </w:pPr>
    <w:rPr>
      <w:rFonts w:ascii="宋体" w:hAnsi="宋体" w:cs="宋体"/>
      <w:kern w:val="0"/>
      <w:sz w:val="24"/>
    </w:rPr>
  </w:style>
  <w:style w:type="paragraph" w:customStyle="1" w:styleId="72">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73">
    <w:name w:val="_Style 72"/>
    <w:qFormat/>
    <w:uiPriority w:val="0"/>
    <w:rPr>
      <w:rFonts w:ascii="Times New Roman" w:hAnsi="Times New Roman" w:eastAsia="宋体" w:cs="Times New Roman"/>
      <w:kern w:val="2"/>
      <w:sz w:val="21"/>
      <w:szCs w:val="24"/>
      <w:lang w:val="en-US" w:eastAsia="zh-CN" w:bidi="ar-SA"/>
    </w:rPr>
  </w:style>
  <w:style w:type="paragraph" w:customStyle="1" w:styleId="74">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75">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76">
    <w:name w:val="Char Char Char Char"/>
    <w:basedOn w:val="15"/>
    <w:qFormat/>
    <w:uiPriority w:val="0"/>
    <w:pPr>
      <w:spacing w:line="360" w:lineRule="auto"/>
      <w:ind w:firstLine="200" w:firstLineChars="200"/>
    </w:pPr>
    <w:rPr>
      <w:rFonts w:ascii="Tahoma" w:hAnsi="Tahoma"/>
      <w:sz w:val="24"/>
    </w:rPr>
  </w:style>
  <w:style w:type="paragraph" w:customStyle="1" w:styleId="77">
    <w:name w:val="表格内容"/>
    <w:basedOn w:val="1"/>
    <w:qFormat/>
    <w:uiPriority w:val="0"/>
    <w:pPr>
      <w:suppressLineNumbers/>
      <w:suppressAutoHyphens/>
    </w:pPr>
  </w:style>
  <w:style w:type="paragraph" w:customStyle="1" w:styleId="78">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79">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80">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81">
    <w:name w:val="Intense Quote"/>
    <w:basedOn w:val="1"/>
    <w:next w:val="1"/>
    <w:link w:val="275"/>
    <w:qFormat/>
    <w:uiPriority w:val="0"/>
    <w:pPr>
      <w:pBdr>
        <w:bottom w:val="single" w:color="4F81BD" w:sz="4" w:space="4"/>
      </w:pBdr>
      <w:spacing w:before="200" w:after="280"/>
      <w:ind w:left="936" w:right="936"/>
    </w:pPr>
    <w:rPr>
      <w:b/>
      <w:bCs/>
      <w:i/>
      <w:iCs/>
      <w:color w:val="4F81BD"/>
      <w:szCs w:val="22"/>
    </w:rPr>
  </w:style>
  <w:style w:type="paragraph" w:customStyle="1" w:styleId="82">
    <w:name w:val="表体"/>
    <w:basedOn w:val="1"/>
    <w:next w:val="1"/>
    <w:qFormat/>
    <w:uiPriority w:val="0"/>
    <w:pPr>
      <w:spacing w:line="0" w:lineRule="atLeast"/>
    </w:pPr>
    <w:rPr>
      <w:rFonts w:ascii="Calibri" w:hAnsi="Calibri"/>
      <w:b/>
      <w:snapToGrid w:val="0"/>
      <w:szCs w:val="20"/>
    </w:rPr>
  </w:style>
  <w:style w:type="paragraph" w:customStyle="1" w:styleId="83">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4">
    <w:name w:val="pa-34"/>
    <w:basedOn w:val="1"/>
    <w:qFormat/>
    <w:uiPriority w:val="0"/>
    <w:pPr>
      <w:widowControl/>
      <w:spacing w:line="360" w:lineRule="atLeast"/>
      <w:ind w:firstLine="420"/>
      <w:jc w:val="left"/>
    </w:pPr>
    <w:rPr>
      <w:rFonts w:ascii="宋体" w:hAnsi="宋体" w:cs="宋体"/>
      <w:kern w:val="0"/>
      <w:sz w:val="24"/>
    </w:rPr>
  </w:style>
  <w:style w:type="paragraph" w:customStyle="1" w:styleId="85">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86">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87">
    <w:name w:val="p16"/>
    <w:basedOn w:val="1"/>
    <w:qFormat/>
    <w:uiPriority w:val="0"/>
    <w:pPr>
      <w:widowControl/>
    </w:pPr>
    <w:rPr>
      <w:rFonts w:ascii="Calibri" w:hAnsi="Calibri" w:cs="宋体"/>
      <w:kern w:val="0"/>
      <w:szCs w:val="21"/>
    </w:rPr>
  </w:style>
  <w:style w:type="paragraph" w:customStyle="1" w:styleId="88">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89">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9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1">
    <w:name w:val="标题4"/>
    <w:basedOn w:val="4"/>
    <w:next w:val="20"/>
    <w:link w:val="286"/>
    <w:qFormat/>
    <w:uiPriority w:val="0"/>
    <w:pPr>
      <w:spacing w:line="413" w:lineRule="auto"/>
    </w:pPr>
    <w:rPr>
      <w:rFonts w:ascii="Arial" w:hAnsi="Arial"/>
      <w:kern w:val="0"/>
      <w:sz w:val="24"/>
    </w:rPr>
  </w:style>
  <w:style w:type="paragraph" w:customStyle="1" w:styleId="92">
    <w:name w:val="Char Char"/>
    <w:basedOn w:val="1"/>
    <w:qFormat/>
    <w:uiPriority w:val="0"/>
    <w:pPr>
      <w:widowControl/>
      <w:jc w:val="left"/>
    </w:pPr>
    <w:rPr>
      <w:rFonts w:ascii="Verdana" w:hAnsi="Verdana" w:eastAsia="Times New Roman"/>
      <w:kern w:val="0"/>
      <w:sz w:val="16"/>
      <w:szCs w:val="20"/>
      <w:lang w:eastAsia="en-US"/>
    </w:rPr>
  </w:style>
  <w:style w:type="paragraph" w:customStyle="1" w:styleId="93">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95">
    <w:name w:val="WW-表格内容"/>
    <w:basedOn w:val="1"/>
    <w:qFormat/>
    <w:uiPriority w:val="0"/>
    <w:pPr>
      <w:suppressLineNumbers/>
      <w:suppressAutoHyphens/>
    </w:pPr>
  </w:style>
  <w:style w:type="paragraph" w:customStyle="1" w:styleId="96">
    <w:name w:val="Char"/>
    <w:basedOn w:val="1"/>
    <w:qFormat/>
    <w:uiPriority w:val="0"/>
  </w:style>
  <w:style w:type="paragraph" w:customStyle="1" w:styleId="97">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98">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99">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00">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01">
    <w:name w:val="Char9 Char Char Char Char Char Char"/>
    <w:basedOn w:val="15"/>
    <w:qFormat/>
    <w:uiPriority w:val="0"/>
    <w:pPr>
      <w:spacing w:line="360" w:lineRule="auto"/>
      <w:ind w:firstLine="200" w:firstLineChars="200"/>
    </w:pPr>
    <w:rPr>
      <w:rFonts w:ascii="Tahoma" w:hAnsi="Tahoma"/>
      <w:sz w:val="24"/>
    </w:rPr>
  </w:style>
  <w:style w:type="paragraph" w:customStyle="1" w:styleId="102">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03">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04">
    <w:name w:val="p15"/>
    <w:basedOn w:val="1"/>
    <w:qFormat/>
    <w:uiPriority w:val="0"/>
    <w:pPr>
      <w:widowControl/>
      <w:spacing w:after="120"/>
    </w:pPr>
    <w:rPr>
      <w:kern w:val="0"/>
      <w:szCs w:val="21"/>
    </w:rPr>
  </w:style>
  <w:style w:type="paragraph" w:customStyle="1" w:styleId="105">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06">
    <w:name w:val="正  文"/>
    <w:basedOn w:val="1"/>
    <w:qFormat/>
    <w:uiPriority w:val="0"/>
    <w:pPr>
      <w:spacing w:line="360" w:lineRule="auto"/>
      <w:ind w:firstLine="200" w:firstLineChars="200"/>
    </w:pPr>
    <w:rPr>
      <w:rFonts w:ascii="宋体" w:hAnsi="Calibri"/>
      <w:sz w:val="24"/>
    </w:rPr>
  </w:style>
  <w:style w:type="paragraph" w:customStyle="1" w:styleId="107">
    <w:name w:val="列出段落11"/>
    <w:basedOn w:val="1"/>
    <w:qFormat/>
    <w:uiPriority w:val="0"/>
    <w:pPr>
      <w:ind w:firstLine="420" w:firstLineChars="200"/>
    </w:pPr>
    <w:rPr>
      <w:sz w:val="28"/>
      <w:szCs w:val="28"/>
    </w:rPr>
  </w:style>
  <w:style w:type="paragraph" w:customStyle="1" w:styleId="10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09">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0">
    <w:name w:val="_Style 96"/>
    <w:semiHidden/>
    <w:qFormat/>
    <w:uiPriority w:val="99"/>
    <w:rPr>
      <w:rFonts w:ascii="Calibri" w:hAnsi="Calibri" w:eastAsia="宋体" w:cs="Times New Roman"/>
      <w:kern w:val="2"/>
      <w:sz w:val="21"/>
      <w:szCs w:val="24"/>
      <w:lang w:val="en-US" w:eastAsia="zh-CN" w:bidi="ar-SA"/>
    </w:rPr>
  </w:style>
  <w:style w:type="paragraph" w:customStyle="1" w:styleId="111">
    <w:name w:val="表格文字"/>
    <w:basedOn w:val="1"/>
    <w:qFormat/>
    <w:uiPriority w:val="0"/>
    <w:pPr>
      <w:adjustRightInd w:val="0"/>
      <w:spacing w:line="420" w:lineRule="atLeast"/>
      <w:jc w:val="left"/>
      <w:textAlignment w:val="baseline"/>
    </w:pPr>
    <w:rPr>
      <w:kern w:val="0"/>
      <w:szCs w:val="20"/>
    </w:rPr>
  </w:style>
  <w:style w:type="paragraph" w:customStyle="1" w:styleId="112">
    <w:name w:val="表格"/>
    <w:basedOn w:val="1"/>
    <w:qFormat/>
    <w:uiPriority w:val="0"/>
    <w:pPr>
      <w:jc w:val="center"/>
      <w:textAlignment w:val="center"/>
    </w:pPr>
    <w:rPr>
      <w:rFonts w:ascii="华文细黑" w:hAnsi="华文细黑"/>
      <w:kern w:val="0"/>
      <w:szCs w:val="20"/>
    </w:rPr>
  </w:style>
  <w:style w:type="paragraph" w:customStyle="1" w:styleId="113">
    <w:name w:val="Char1"/>
    <w:basedOn w:val="1"/>
    <w:qFormat/>
    <w:uiPriority w:val="0"/>
  </w:style>
  <w:style w:type="paragraph" w:customStyle="1" w:styleId="114">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15">
    <w:name w:val="引用2"/>
    <w:basedOn w:val="1"/>
    <w:next w:val="1"/>
    <w:link w:val="238"/>
    <w:qFormat/>
    <w:uiPriority w:val="0"/>
    <w:rPr>
      <w:i/>
      <w:iCs/>
      <w:color w:val="000000"/>
    </w:rPr>
  </w:style>
  <w:style w:type="paragraph" w:customStyle="1" w:styleId="116">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17">
    <w:name w:val="Quote"/>
    <w:basedOn w:val="1"/>
    <w:next w:val="1"/>
    <w:link w:val="188"/>
    <w:qFormat/>
    <w:uiPriority w:val="0"/>
    <w:rPr>
      <w:i/>
      <w:iCs/>
      <w:color w:val="000000"/>
      <w:szCs w:val="22"/>
    </w:rPr>
  </w:style>
  <w:style w:type="paragraph" w:customStyle="1" w:styleId="118">
    <w:name w:val="修订1"/>
    <w:qFormat/>
    <w:uiPriority w:val="0"/>
    <w:rPr>
      <w:rFonts w:ascii="Times New Roman" w:hAnsi="Times New Roman" w:eastAsia="宋体" w:cs="Times New Roman"/>
      <w:kern w:val="2"/>
      <w:sz w:val="21"/>
      <w:szCs w:val="24"/>
      <w:lang w:val="en-US" w:eastAsia="zh-CN" w:bidi="ar-SA"/>
    </w:rPr>
  </w:style>
  <w:style w:type="paragraph" w:customStyle="1" w:styleId="119">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20">
    <w:name w:val="Char2"/>
    <w:basedOn w:val="1"/>
    <w:qFormat/>
    <w:uiPriority w:val="0"/>
    <w:rPr>
      <w:rFonts w:ascii="Calibri" w:hAnsi="Calibri"/>
    </w:rPr>
  </w:style>
  <w:style w:type="paragraph" w:customStyle="1" w:styleId="121">
    <w:name w:val="标题5"/>
    <w:basedOn w:val="5"/>
    <w:link w:val="284"/>
    <w:qFormat/>
    <w:uiPriority w:val="0"/>
    <w:pPr>
      <w:spacing w:line="413" w:lineRule="auto"/>
    </w:pPr>
    <w:rPr>
      <w:rFonts w:ascii="Arial" w:hAnsi="Arial"/>
      <w:kern w:val="0"/>
      <w:sz w:val="24"/>
    </w:rPr>
  </w:style>
  <w:style w:type="paragraph" w:customStyle="1" w:styleId="12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3">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4">
    <w:name w:val="表格标题"/>
    <w:basedOn w:val="77"/>
    <w:qFormat/>
    <w:uiPriority w:val="0"/>
  </w:style>
  <w:style w:type="paragraph" w:customStyle="1" w:styleId="125">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26">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27">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8">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9">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0">
    <w:name w:val="WW-表格标题"/>
    <w:basedOn w:val="95"/>
    <w:qFormat/>
    <w:uiPriority w:val="0"/>
  </w:style>
  <w:style w:type="paragraph" w:customStyle="1" w:styleId="131">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32">
    <w:name w:val="明显引用1"/>
    <w:basedOn w:val="1"/>
    <w:next w:val="1"/>
    <w:link w:val="248"/>
    <w:qFormat/>
    <w:uiPriority w:val="30"/>
    <w:pPr>
      <w:pBdr>
        <w:bottom w:val="single" w:color="4F81BD" w:sz="4" w:space="4"/>
      </w:pBdr>
      <w:spacing w:before="200" w:after="280"/>
      <w:ind w:left="936" w:right="936"/>
    </w:pPr>
    <w:rPr>
      <w:b/>
      <w:bCs/>
      <w:i/>
      <w:iCs/>
      <w:color w:val="4F81BD"/>
      <w:szCs w:val="20"/>
    </w:rPr>
  </w:style>
  <w:style w:type="paragraph" w:customStyle="1" w:styleId="133">
    <w:name w:val="标准样式1"/>
    <w:basedOn w:val="1"/>
    <w:qFormat/>
    <w:uiPriority w:val="0"/>
    <w:pPr>
      <w:spacing w:line="600" w:lineRule="exact"/>
      <w:ind w:firstLine="567"/>
    </w:pPr>
    <w:rPr>
      <w:rFonts w:ascii="Calibri" w:hAnsi="Calibri"/>
      <w:sz w:val="28"/>
    </w:rPr>
  </w:style>
  <w:style w:type="paragraph" w:customStyle="1" w:styleId="134">
    <w:name w:val="Char3"/>
    <w:basedOn w:val="1"/>
    <w:qFormat/>
    <w:uiPriority w:val="0"/>
  </w:style>
  <w:style w:type="paragraph" w:customStyle="1" w:styleId="135">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36">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7">
    <w:name w:val="引用1"/>
    <w:basedOn w:val="1"/>
    <w:next w:val="1"/>
    <w:link w:val="262"/>
    <w:qFormat/>
    <w:uiPriority w:val="29"/>
    <w:rPr>
      <w:i/>
      <w:iCs/>
      <w:color w:val="000000"/>
      <w:szCs w:val="20"/>
    </w:rPr>
  </w:style>
  <w:style w:type="paragraph" w:customStyle="1" w:styleId="138">
    <w:name w:val="_Style 87"/>
    <w:basedOn w:val="1"/>
    <w:qFormat/>
    <w:uiPriority w:val="99"/>
    <w:pPr>
      <w:ind w:firstLine="420" w:firstLineChars="200"/>
    </w:pPr>
    <w:rPr>
      <w:rFonts w:ascii="Calibri" w:hAnsi="Calibri"/>
      <w:sz w:val="28"/>
      <w:szCs w:val="28"/>
    </w:rPr>
  </w:style>
  <w:style w:type="paragraph" w:customStyle="1" w:styleId="139">
    <w:name w:val="自定样式1"/>
    <w:basedOn w:val="1"/>
    <w:qFormat/>
    <w:uiPriority w:val="0"/>
    <w:pPr>
      <w:suppressAutoHyphens/>
      <w:jc w:val="center"/>
    </w:pPr>
    <w:rPr>
      <w:rFonts w:ascii="宋体" w:hAnsi="宋体"/>
      <w:color w:val="000000"/>
      <w:sz w:val="18"/>
    </w:rPr>
  </w:style>
  <w:style w:type="paragraph" w:customStyle="1" w:styleId="140">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41">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42">
    <w:name w:val="未处理的提及1"/>
    <w:unhideWhenUsed/>
    <w:qFormat/>
    <w:uiPriority w:val="99"/>
    <w:rPr>
      <w:color w:val="808080"/>
      <w:shd w:val="clear" w:color="auto" w:fill="E6E6E6"/>
    </w:rPr>
  </w:style>
  <w:style w:type="character" w:customStyle="1" w:styleId="143">
    <w:name w:val="正文文本 3 Char"/>
    <w:qFormat/>
    <w:uiPriority w:val="0"/>
    <w:rPr>
      <w:kern w:val="2"/>
      <w:sz w:val="16"/>
      <w:szCs w:val="16"/>
    </w:rPr>
  </w:style>
  <w:style w:type="character" w:customStyle="1" w:styleId="144">
    <w:name w:val="正文文本缩进 Char2"/>
    <w:semiHidden/>
    <w:qFormat/>
    <w:uiPriority w:val="99"/>
    <w:rPr>
      <w:rFonts w:ascii="Calibri" w:hAnsi="Calibri" w:eastAsia="宋体" w:cs="Times New Roman"/>
      <w:szCs w:val="24"/>
    </w:rPr>
  </w:style>
  <w:style w:type="character" w:customStyle="1" w:styleId="145">
    <w:name w:val="标题 3 Char"/>
    <w:qFormat/>
    <w:uiPriority w:val="0"/>
    <w:rPr>
      <w:rFonts w:ascii="仿宋_GB2312" w:hAnsi="Calibri" w:eastAsia="仿宋_GB2312" w:cs="Times New Roman"/>
      <w:b/>
      <w:kern w:val="0"/>
      <w:sz w:val="24"/>
      <w:szCs w:val="28"/>
    </w:rPr>
  </w:style>
  <w:style w:type="character" w:customStyle="1" w:styleId="146">
    <w:name w:val="批注框文本 Char2"/>
    <w:qFormat/>
    <w:uiPriority w:val="99"/>
    <w:rPr>
      <w:kern w:val="2"/>
      <w:sz w:val="18"/>
      <w:szCs w:val="18"/>
    </w:rPr>
  </w:style>
  <w:style w:type="character" w:customStyle="1" w:styleId="147">
    <w:name w:val="textcontents"/>
    <w:qFormat/>
    <w:uiPriority w:val="0"/>
    <w:rPr>
      <w:rFonts w:cs="Times New Roman"/>
    </w:rPr>
  </w:style>
  <w:style w:type="character" w:customStyle="1" w:styleId="148">
    <w:name w:val="ht1"/>
    <w:qFormat/>
    <w:uiPriority w:val="0"/>
    <w:rPr>
      <w:rFonts w:ascii="黑体" w:eastAsia="黑体"/>
      <w:b/>
      <w:bCs/>
    </w:rPr>
  </w:style>
  <w:style w:type="character" w:customStyle="1" w:styleId="149">
    <w:name w:val="标题 Char"/>
    <w:qFormat/>
    <w:uiPriority w:val="0"/>
    <w:rPr>
      <w:rFonts w:ascii="Cambria" w:hAnsi="Cambria" w:eastAsia="宋体" w:cs="Times New Roman"/>
      <w:b/>
      <w:bCs/>
      <w:kern w:val="2"/>
      <w:sz w:val="32"/>
      <w:szCs w:val="32"/>
    </w:rPr>
  </w:style>
  <w:style w:type="character" w:customStyle="1" w:styleId="150">
    <w:name w:val="14t1"/>
    <w:qFormat/>
    <w:uiPriority w:val="0"/>
    <w:rPr>
      <w:rFonts w:hint="eastAsia" w:ascii="宋体" w:hAnsi="宋体" w:eastAsia="宋体"/>
      <w:sz w:val="11"/>
      <w:szCs w:val="11"/>
    </w:rPr>
  </w:style>
  <w:style w:type="character" w:customStyle="1" w:styleId="151">
    <w:name w:val="Char Char36"/>
    <w:qFormat/>
    <w:uiPriority w:val="0"/>
    <w:rPr>
      <w:rFonts w:ascii="仿宋_GB2312" w:eastAsia="仿宋_GB2312" w:cs="MingLiU"/>
      <w:b/>
      <w:sz w:val="24"/>
      <w:szCs w:val="28"/>
    </w:rPr>
  </w:style>
  <w:style w:type="character" w:customStyle="1" w:styleId="152">
    <w:name w:val="文档结构图 Char"/>
    <w:qFormat/>
    <w:uiPriority w:val="0"/>
    <w:rPr>
      <w:rFonts w:ascii="宋体"/>
      <w:kern w:val="2"/>
      <w:sz w:val="18"/>
      <w:szCs w:val="18"/>
    </w:rPr>
  </w:style>
  <w:style w:type="character" w:customStyle="1" w:styleId="153">
    <w:name w:val="普通文字 Char Char2"/>
    <w:qFormat/>
    <w:uiPriority w:val="0"/>
    <w:rPr>
      <w:rFonts w:ascii="宋体" w:hAnsi="Courier New"/>
      <w:kern w:val="2"/>
      <w:sz w:val="28"/>
      <w:szCs w:val="28"/>
    </w:rPr>
  </w:style>
  <w:style w:type="character" w:customStyle="1" w:styleId="154">
    <w:name w:val="HTML 预设格式 Char"/>
    <w:qFormat/>
    <w:uiPriority w:val="0"/>
    <w:rPr>
      <w:rFonts w:ascii="宋体" w:hAnsi="宋体" w:eastAsia="宋体" w:cs="宋体"/>
      <w:color w:val="000000"/>
      <w:sz w:val="24"/>
      <w:szCs w:val="24"/>
    </w:rPr>
  </w:style>
  <w:style w:type="character" w:customStyle="1" w:styleId="155">
    <w:name w:val="纯文本 Char"/>
    <w:qFormat/>
    <w:uiPriority w:val="0"/>
    <w:rPr>
      <w:rFonts w:ascii="宋体" w:hAnsi="Courier New"/>
      <w:sz w:val="28"/>
      <w:szCs w:val="28"/>
    </w:rPr>
  </w:style>
  <w:style w:type="character" w:customStyle="1" w:styleId="156">
    <w:name w:val="批注框文本 Char"/>
    <w:qFormat/>
    <w:uiPriority w:val="0"/>
    <w:rPr>
      <w:sz w:val="18"/>
      <w:szCs w:val="18"/>
    </w:rPr>
  </w:style>
  <w:style w:type="character" w:customStyle="1" w:styleId="157">
    <w:name w:val="页脚 Char"/>
    <w:qFormat/>
    <w:uiPriority w:val="0"/>
    <w:rPr>
      <w:sz w:val="18"/>
      <w:szCs w:val="18"/>
    </w:rPr>
  </w:style>
  <w:style w:type="character" w:customStyle="1" w:styleId="158">
    <w:name w:val="标题 4 字符"/>
    <w:link w:val="6"/>
    <w:qFormat/>
    <w:uiPriority w:val="0"/>
    <w:rPr>
      <w:rFonts w:ascii="宋体" w:hAnsi="宋体" w:eastAsia="宋体" w:cs="宋体"/>
      <w:b/>
      <w:bCs/>
      <w:sz w:val="24"/>
      <w:szCs w:val="24"/>
      <w:lang w:val="en-US" w:eastAsia="zh-CN" w:bidi="ar-SA"/>
    </w:rPr>
  </w:style>
  <w:style w:type="character" w:customStyle="1" w:styleId="159">
    <w:name w:val="正文文本缩进 3 Char"/>
    <w:qFormat/>
    <w:uiPriority w:val="0"/>
    <w:rPr>
      <w:kern w:val="2"/>
      <w:sz w:val="16"/>
      <w:szCs w:val="16"/>
    </w:rPr>
  </w:style>
  <w:style w:type="character" w:customStyle="1" w:styleId="160">
    <w:name w:val="标题 8 Char"/>
    <w:qFormat/>
    <w:uiPriority w:val="0"/>
    <w:rPr>
      <w:rFonts w:ascii="Arial" w:hAnsi="Arial" w:eastAsia="黑体" w:cs="Times New Roman"/>
      <w:sz w:val="24"/>
      <w:szCs w:val="24"/>
    </w:rPr>
  </w:style>
  <w:style w:type="character" w:customStyle="1" w:styleId="161">
    <w:name w:val="HTML 预设格式 字符"/>
    <w:link w:val="40"/>
    <w:qFormat/>
    <w:uiPriority w:val="0"/>
    <w:rPr>
      <w:rFonts w:ascii="宋体" w:hAnsi="宋体" w:eastAsia="宋体" w:cs="宋体"/>
      <w:color w:val="000000"/>
      <w:sz w:val="24"/>
      <w:szCs w:val="24"/>
      <w:lang w:val="en-US" w:eastAsia="zh-CN" w:bidi="ar-SA"/>
    </w:rPr>
  </w:style>
  <w:style w:type="character" w:customStyle="1" w:styleId="162">
    <w:name w:val="文档结构图 字符"/>
    <w:link w:val="15"/>
    <w:qFormat/>
    <w:uiPriority w:val="0"/>
    <w:rPr>
      <w:rFonts w:eastAsia="宋体"/>
      <w:kern w:val="2"/>
      <w:sz w:val="21"/>
      <w:szCs w:val="24"/>
      <w:lang w:val="en-US" w:eastAsia="zh-CN" w:bidi="ar-SA"/>
    </w:rPr>
  </w:style>
  <w:style w:type="character" w:customStyle="1" w:styleId="163">
    <w:name w:val="正文文本缩进 2 Char1"/>
    <w:qFormat/>
    <w:uiPriority w:val="0"/>
    <w:rPr>
      <w:sz w:val="28"/>
      <w:szCs w:val="24"/>
    </w:rPr>
  </w:style>
  <w:style w:type="character" w:customStyle="1" w:styleId="164">
    <w:name w:val="标题 5 Char1"/>
    <w:qFormat/>
    <w:uiPriority w:val="0"/>
    <w:rPr>
      <w:rFonts w:ascii="宋体" w:hAnsi="宋体" w:eastAsia="宋体" w:cs="宋体"/>
      <w:b/>
      <w:bCs/>
      <w:sz w:val="20"/>
      <w:szCs w:val="20"/>
    </w:rPr>
  </w:style>
  <w:style w:type="character" w:customStyle="1" w:styleId="165">
    <w:name w:val="批注文字 Char"/>
    <w:qFormat/>
    <w:uiPriority w:val="0"/>
    <w:rPr>
      <w:rFonts w:ascii="Times New Roman" w:hAnsi="Times New Roman" w:eastAsia="宋体" w:cs="Times New Roman"/>
      <w:kern w:val="2"/>
      <w:sz w:val="21"/>
      <w:szCs w:val="24"/>
    </w:rPr>
  </w:style>
  <w:style w:type="character" w:customStyle="1" w:styleId="166">
    <w:name w:val="日期 字符"/>
    <w:link w:val="25"/>
    <w:qFormat/>
    <w:uiPriority w:val="0"/>
    <w:rPr>
      <w:rFonts w:eastAsia="宋体"/>
      <w:kern w:val="2"/>
      <w:sz w:val="21"/>
      <w:szCs w:val="24"/>
      <w:lang w:val="en-US" w:eastAsia="zh-CN" w:bidi="ar-SA"/>
    </w:rPr>
  </w:style>
  <w:style w:type="character" w:customStyle="1" w:styleId="167">
    <w:name w:val="style121"/>
    <w:qFormat/>
    <w:uiPriority w:val="0"/>
    <w:rPr>
      <w:rFonts w:hint="eastAsia" w:ascii="宋体" w:hAnsi="宋体" w:eastAsia="宋体"/>
      <w:sz w:val="18"/>
      <w:szCs w:val="18"/>
    </w:rPr>
  </w:style>
  <w:style w:type="character" w:customStyle="1" w:styleId="168">
    <w:name w:val="Section Char"/>
    <w:qFormat/>
    <w:uiPriority w:val="0"/>
    <w:rPr>
      <w:rFonts w:ascii="仿宋_GB2312" w:eastAsia="仿宋_GB2312" w:cs="MingLiU"/>
      <w:b/>
      <w:sz w:val="24"/>
      <w:szCs w:val="28"/>
      <w:lang w:val="en-US" w:eastAsia="zh-CN" w:bidi="ar-SA"/>
    </w:rPr>
  </w:style>
  <w:style w:type="character" w:customStyle="1" w:styleId="169">
    <w:name w:val="正文文本 3 Char1"/>
    <w:qFormat/>
    <w:uiPriority w:val="0"/>
    <w:rPr>
      <w:kern w:val="2"/>
      <w:sz w:val="16"/>
      <w:szCs w:val="16"/>
    </w:rPr>
  </w:style>
  <w:style w:type="character" w:customStyle="1" w:styleId="170">
    <w:name w:val="文档结构图 Char1"/>
    <w:qFormat/>
    <w:uiPriority w:val="0"/>
    <w:rPr>
      <w:rFonts w:ascii="宋体"/>
      <w:kern w:val="2"/>
      <w:sz w:val="18"/>
      <w:szCs w:val="18"/>
    </w:rPr>
  </w:style>
  <w:style w:type="character" w:customStyle="1" w:styleId="171">
    <w:name w:val="_Style 170"/>
    <w:qFormat/>
    <w:uiPriority w:val="0"/>
    <w:rPr>
      <w:i/>
      <w:iCs/>
      <w:color w:val="808080"/>
    </w:rPr>
  </w:style>
  <w:style w:type="character" w:customStyle="1" w:styleId="172">
    <w:name w:val="_Style 171"/>
    <w:qFormat/>
    <w:uiPriority w:val="0"/>
    <w:rPr>
      <w:b/>
      <w:bCs/>
      <w:smallCaps/>
      <w:color w:val="C0504D"/>
      <w:spacing w:val="5"/>
      <w:u w:val="single"/>
    </w:rPr>
  </w:style>
  <w:style w:type="character" w:customStyle="1" w:styleId="173">
    <w:name w:val="标题 9 Char"/>
    <w:qFormat/>
    <w:uiPriority w:val="0"/>
    <w:rPr>
      <w:rFonts w:ascii="Arial" w:hAnsi="Arial" w:eastAsia="黑体" w:cs="Times New Roman"/>
      <w:szCs w:val="21"/>
    </w:rPr>
  </w:style>
  <w:style w:type="character" w:customStyle="1" w:styleId="174">
    <w:name w:val="页眉 Char1"/>
    <w:semiHidden/>
    <w:qFormat/>
    <w:uiPriority w:val="99"/>
    <w:rPr>
      <w:kern w:val="2"/>
      <w:sz w:val="18"/>
      <w:szCs w:val="18"/>
    </w:rPr>
  </w:style>
  <w:style w:type="character" w:customStyle="1" w:styleId="175">
    <w:name w:val="_Style 174"/>
    <w:qFormat/>
    <w:uiPriority w:val="0"/>
    <w:rPr>
      <w:b/>
      <w:bCs/>
      <w:i/>
      <w:iCs/>
      <w:color w:val="4F81BD"/>
    </w:rPr>
  </w:style>
  <w:style w:type="character" w:customStyle="1" w:styleId="176">
    <w:name w:val="Char Char35"/>
    <w:qFormat/>
    <w:uiPriority w:val="0"/>
    <w:rPr>
      <w:rFonts w:ascii="仿宋_GB2312" w:eastAsia="仿宋_GB2312" w:cs="MingLiU"/>
      <w:b/>
      <w:sz w:val="24"/>
      <w:szCs w:val="28"/>
    </w:rPr>
  </w:style>
  <w:style w:type="character" w:customStyle="1" w:styleId="177">
    <w:name w:val="日期 Char2"/>
    <w:qFormat/>
    <w:uiPriority w:val="99"/>
    <w:rPr>
      <w:kern w:val="2"/>
      <w:sz w:val="21"/>
      <w:szCs w:val="24"/>
    </w:rPr>
  </w:style>
  <w:style w:type="character" w:customStyle="1" w:styleId="178">
    <w:name w:val="Char Char22"/>
    <w:qFormat/>
    <w:uiPriority w:val="0"/>
    <w:rPr>
      <w:b/>
      <w:bCs/>
      <w:kern w:val="2"/>
      <w:sz w:val="32"/>
      <w:szCs w:val="32"/>
    </w:rPr>
  </w:style>
  <w:style w:type="character" w:customStyle="1" w:styleId="179">
    <w:name w:val="正文文本缩进 2 Char2"/>
    <w:semiHidden/>
    <w:qFormat/>
    <w:uiPriority w:val="99"/>
    <w:rPr>
      <w:rFonts w:ascii="Calibri" w:hAnsi="Calibri" w:eastAsia="宋体" w:cs="Times New Roman"/>
      <w:szCs w:val="24"/>
    </w:rPr>
  </w:style>
  <w:style w:type="character" w:customStyle="1" w:styleId="180">
    <w:name w:val="明显强调1"/>
    <w:qFormat/>
    <w:uiPriority w:val="0"/>
    <w:rPr>
      <w:b/>
      <w:bCs/>
      <w:i/>
      <w:iCs/>
      <w:color w:val="4F81BD"/>
    </w:rPr>
  </w:style>
  <w:style w:type="character" w:customStyle="1" w:styleId="181">
    <w:name w:val="Char Char14"/>
    <w:qFormat/>
    <w:uiPriority w:val="0"/>
    <w:rPr>
      <w:kern w:val="2"/>
      <w:sz w:val="18"/>
      <w:szCs w:val="18"/>
    </w:rPr>
  </w:style>
  <w:style w:type="character" w:customStyle="1" w:styleId="182">
    <w:name w:val="s3"/>
    <w:qFormat/>
    <w:uiPriority w:val="0"/>
  </w:style>
  <w:style w:type="character" w:customStyle="1" w:styleId="183">
    <w:name w:val="标题 1 Char"/>
    <w:qFormat/>
    <w:uiPriority w:val="0"/>
    <w:rPr>
      <w:rFonts w:ascii="Times New Roman" w:hAnsi="Times New Roman" w:eastAsia="宋体" w:cs="Times New Roman"/>
      <w:b/>
      <w:bCs/>
      <w:kern w:val="44"/>
      <w:sz w:val="44"/>
      <w:szCs w:val="44"/>
    </w:rPr>
  </w:style>
  <w:style w:type="character" w:customStyle="1" w:styleId="184">
    <w:name w:val="日期 Char3"/>
    <w:semiHidden/>
    <w:qFormat/>
    <w:uiPriority w:val="99"/>
    <w:rPr>
      <w:rFonts w:ascii="Calibri" w:hAnsi="Calibri" w:eastAsia="宋体" w:cs="Times New Roman"/>
      <w:szCs w:val="24"/>
    </w:rPr>
  </w:style>
  <w:style w:type="character" w:customStyle="1" w:styleId="185">
    <w:name w:val="标题 1 字符"/>
    <w:link w:val="3"/>
    <w:qFormat/>
    <w:uiPriority w:val="0"/>
    <w:rPr>
      <w:rFonts w:eastAsia="宋体"/>
      <w:b/>
      <w:bCs/>
      <w:kern w:val="44"/>
      <w:sz w:val="44"/>
      <w:szCs w:val="44"/>
      <w:lang w:val="en-US" w:eastAsia="zh-CN" w:bidi="ar-SA"/>
    </w:rPr>
  </w:style>
  <w:style w:type="character" w:customStyle="1" w:styleId="186">
    <w:name w:val="title11"/>
    <w:qFormat/>
    <w:uiPriority w:val="0"/>
    <w:rPr>
      <w:b/>
      <w:bCs/>
      <w:color w:val="FFFFFF"/>
      <w:sz w:val="11"/>
      <w:szCs w:val="11"/>
    </w:rPr>
  </w:style>
  <w:style w:type="character" w:customStyle="1" w:styleId="187">
    <w:name w:val="明显引用 Char2"/>
    <w:qFormat/>
    <w:uiPriority w:val="99"/>
    <w:rPr>
      <w:b/>
      <w:bCs/>
      <w:i/>
      <w:iCs/>
      <w:color w:val="4F81BD"/>
      <w:kern w:val="2"/>
      <w:sz w:val="21"/>
      <w:szCs w:val="24"/>
    </w:rPr>
  </w:style>
  <w:style w:type="character" w:customStyle="1" w:styleId="188">
    <w:name w:val="引用 字符"/>
    <w:link w:val="117"/>
    <w:qFormat/>
    <w:uiPriority w:val="0"/>
    <w:rPr>
      <w:i/>
      <w:iCs/>
      <w:color w:val="000000"/>
      <w:kern w:val="2"/>
      <w:sz w:val="21"/>
      <w:szCs w:val="22"/>
      <w:lang w:bidi="ar-SA"/>
    </w:rPr>
  </w:style>
  <w:style w:type="character" w:customStyle="1" w:styleId="189">
    <w:name w:val="批注框文本 Char3"/>
    <w:semiHidden/>
    <w:qFormat/>
    <w:uiPriority w:val="99"/>
    <w:rPr>
      <w:rFonts w:ascii="Calibri" w:hAnsi="Calibri" w:eastAsia="宋体" w:cs="Times New Roman"/>
      <w:sz w:val="18"/>
      <w:szCs w:val="18"/>
    </w:rPr>
  </w:style>
  <w:style w:type="character" w:customStyle="1" w:styleId="190">
    <w:name w:val="标题 2 字符"/>
    <w:link w:val="4"/>
    <w:qFormat/>
    <w:uiPriority w:val="0"/>
    <w:rPr>
      <w:rFonts w:ascii="Cambria" w:hAnsi="Cambria" w:eastAsia="宋体"/>
      <w:b/>
      <w:bCs/>
      <w:kern w:val="2"/>
      <w:sz w:val="32"/>
      <w:szCs w:val="32"/>
      <w:lang w:val="en-US" w:eastAsia="zh-CN" w:bidi="ar-SA"/>
    </w:rPr>
  </w:style>
  <w:style w:type="character" w:customStyle="1" w:styleId="191">
    <w:name w:val="Char Char33"/>
    <w:qFormat/>
    <w:uiPriority w:val="0"/>
    <w:rPr>
      <w:rFonts w:ascii="仿宋_GB2312" w:eastAsia="仿宋_GB2312" w:cs="MingLiU"/>
      <w:b/>
      <w:sz w:val="24"/>
      <w:szCs w:val="28"/>
    </w:rPr>
  </w:style>
  <w:style w:type="character" w:customStyle="1" w:styleId="192">
    <w:name w:val="标题 2 Char"/>
    <w:qFormat/>
    <w:uiPriority w:val="0"/>
    <w:rPr>
      <w:rFonts w:ascii="仿宋_GB2312" w:hAnsi="Calibri" w:eastAsia="仿宋_GB2312" w:cs="Times New Roman"/>
      <w:b/>
      <w:spacing w:val="1"/>
      <w:w w:val="99"/>
      <w:kern w:val="0"/>
      <w:sz w:val="28"/>
      <w:szCs w:val="32"/>
    </w:rPr>
  </w:style>
  <w:style w:type="character" w:customStyle="1" w:styleId="193">
    <w:name w:val="l1"/>
    <w:basedOn w:val="47"/>
    <w:qFormat/>
    <w:uiPriority w:val="0"/>
  </w:style>
  <w:style w:type="character" w:customStyle="1" w:styleId="194">
    <w:name w:val="手改 Char Char"/>
    <w:qFormat/>
    <w:uiPriority w:val="0"/>
    <w:rPr>
      <w:kern w:val="2"/>
      <w:sz w:val="21"/>
      <w:szCs w:val="24"/>
    </w:rPr>
  </w:style>
  <w:style w:type="character" w:customStyle="1" w:styleId="195">
    <w:name w:val="style21"/>
    <w:qFormat/>
    <w:uiPriority w:val="0"/>
    <w:rPr>
      <w:b/>
      <w:bCs/>
      <w:sz w:val="28"/>
      <w:szCs w:val="28"/>
    </w:rPr>
  </w:style>
  <w:style w:type="character" w:customStyle="1" w:styleId="196">
    <w:name w:val="Char Char24"/>
    <w:qFormat/>
    <w:uiPriority w:val="0"/>
    <w:rPr>
      <w:b/>
      <w:bCs/>
      <w:kern w:val="44"/>
      <w:sz w:val="44"/>
      <w:szCs w:val="44"/>
    </w:rPr>
  </w:style>
  <w:style w:type="character" w:customStyle="1" w:styleId="197">
    <w:name w:val="页脚 字符"/>
    <w:link w:val="29"/>
    <w:qFormat/>
    <w:uiPriority w:val="0"/>
    <w:rPr>
      <w:rFonts w:eastAsia="宋体"/>
      <w:kern w:val="2"/>
      <w:sz w:val="18"/>
      <w:szCs w:val="18"/>
      <w:lang w:val="en-US" w:eastAsia="zh-CN" w:bidi="ar-SA"/>
    </w:rPr>
  </w:style>
  <w:style w:type="character" w:customStyle="1" w:styleId="198">
    <w:name w:val="_Style 197"/>
    <w:qFormat/>
    <w:uiPriority w:val="0"/>
    <w:rPr>
      <w:b/>
      <w:bCs/>
      <w:smallCaps/>
      <w:spacing w:val="5"/>
    </w:rPr>
  </w:style>
  <w:style w:type="character" w:customStyle="1" w:styleId="199">
    <w:name w:val="纯文本 Char1"/>
    <w:qFormat/>
    <w:uiPriority w:val="0"/>
    <w:rPr>
      <w:rFonts w:ascii="宋体" w:hAnsi="Courier New" w:cs="Courier New"/>
      <w:kern w:val="2"/>
      <w:sz w:val="21"/>
      <w:szCs w:val="21"/>
    </w:rPr>
  </w:style>
  <w:style w:type="character" w:customStyle="1" w:styleId="200">
    <w:name w:val="尾注文本 Char"/>
    <w:qFormat/>
    <w:uiPriority w:val="0"/>
    <w:rPr>
      <w:kern w:val="2"/>
      <w:sz w:val="21"/>
      <w:szCs w:val="24"/>
    </w:rPr>
  </w:style>
  <w:style w:type="character" w:customStyle="1" w:styleId="201">
    <w:name w:val="日期 Char1"/>
    <w:qFormat/>
    <w:uiPriority w:val="0"/>
    <w:rPr>
      <w:kern w:val="2"/>
      <w:sz w:val="21"/>
      <w:szCs w:val="22"/>
    </w:rPr>
  </w:style>
  <w:style w:type="character" w:customStyle="1" w:styleId="202">
    <w:name w:val="纯文本 字符"/>
    <w:link w:val="23"/>
    <w:qFormat/>
    <w:uiPriority w:val="0"/>
    <w:rPr>
      <w:rFonts w:ascii="宋体" w:hAnsi="Courier New" w:eastAsia="宋体" w:cs="Courier New"/>
      <w:kern w:val="2"/>
      <w:sz w:val="21"/>
      <w:szCs w:val="21"/>
      <w:lang w:val="en-US" w:eastAsia="zh-CN" w:bidi="ar-SA"/>
    </w:rPr>
  </w:style>
  <w:style w:type="character" w:customStyle="1" w:styleId="203">
    <w:name w:val="正文文本 Char1"/>
    <w:qFormat/>
    <w:uiPriority w:val="0"/>
    <w:rPr>
      <w:kern w:val="2"/>
      <w:sz w:val="21"/>
      <w:szCs w:val="22"/>
    </w:rPr>
  </w:style>
  <w:style w:type="character" w:customStyle="1" w:styleId="204">
    <w:name w:val="标题 9 Char1"/>
    <w:qFormat/>
    <w:uiPriority w:val="0"/>
    <w:rPr>
      <w:rFonts w:ascii="Times New Roman" w:hAnsi="Times New Roman" w:eastAsia="仿宋_GB2312" w:cs="Times New Roman"/>
      <w:sz w:val="30"/>
      <w:szCs w:val="20"/>
    </w:rPr>
  </w:style>
  <w:style w:type="character" w:customStyle="1" w:styleId="205">
    <w:name w:val="批注框文本 字符"/>
    <w:link w:val="28"/>
    <w:qFormat/>
    <w:uiPriority w:val="0"/>
    <w:rPr>
      <w:rFonts w:eastAsia="宋体"/>
      <w:kern w:val="2"/>
      <w:sz w:val="18"/>
      <w:szCs w:val="18"/>
      <w:lang w:val="en-US" w:eastAsia="zh-CN" w:bidi="ar-SA"/>
    </w:rPr>
  </w:style>
  <w:style w:type="character" w:customStyle="1" w:styleId="206">
    <w:name w:val="脚注文本 Char1"/>
    <w:qFormat/>
    <w:uiPriority w:val="0"/>
    <w:rPr>
      <w:rFonts w:ascii="Arial" w:hAnsi="Arial" w:cs="Arial"/>
      <w:sz w:val="18"/>
      <w:szCs w:val="18"/>
      <w:lang w:eastAsia="en-US"/>
    </w:rPr>
  </w:style>
  <w:style w:type="character" w:customStyle="1" w:styleId="207">
    <w:name w:val="正文文本缩进 Char"/>
    <w:qFormat/>
    <w:uiPriority w:val="0"/>
    <w:rPr>
      <w:rFonts w:ascii="黑体" w:hAnsi="宋体" w:eastAsia="黑体"/>
      <w:color w:val="000000"/>
      <w:sz w:val="28"/>
      <w:szCs w:val="32"/>
    </w:rPr>
  </w:style>
  <w:style w:type="character" w:customStyle="1" w:styleId="208">
    <w:name w:val="HTML 预设格式 Char1"/>
    <w:qFormat/>
    <w:uiPriority w:val="0"/>
    <w:rPr>
      <w:rFonts w:ascii="宋体" w:hAnsi="宋体" w:cs="宋体"/>
      <w:color w:val="000000"/>
      <w:sz w:val="24"/>
      <w:szCs w:val="24"/>
    </w:rPr>
  </w:style>
  <w:style w:type="character" w:customStyle="1" w:styleId="209">
    <w:name w:val="引用 Char3"/>
    <w:qFormat/>
    <w:uiPriority w:val="29"/>
    <w:rPr>
      <w:rFonts w:ascii="Calibri" w:hAnsi="Calibri" w:eastAsia="宋体" w:cs="Times New Roman"/>
      <w:i/>
      <w:iCs/>
      <w:color w:val="000000"/>
      <w:szCs w:val="24"/>
    </w:rPr>
  </w:style>
  <w:style w:type="character" w:customStyle="1" w:styleId="210">
    <w:name w:val="尾注文本 字符"/>
    <w:link w:val="27"/>
    <w:qFormat/>
    <w:uiPriority w:val="0"/>
    <w:rPr>
      <w:rFonts w:ascii="Arial" w:hAnsi="Arial" w:eastAsia="宋体" w:cs="Arial"/>
      <w:szCs w:val="24"/>
      <w:lang w:val="en-US" w:eastAsia="en-US" w:bidi="ar-SA"/>
    </w:rPr>
  </w:style>
  <w:style w:type="character" w:customStyle="1" w:styleId="211">
    <w:name w:val="标题 7 Char1"/>
    <w:qFormat/>
    <w:uiPriority w:val="0"/>
    <w:rPr>
      <w:rFonts w:ascii="Times New Roman" w:hAnsi="Times New Roman" w:eastAsia="仿宋_GB2312" w:cs="Times New Roman"/>
      <w:sz w:val="30"/>
      <w:szCs w:val="20"/>
    </w:rPr>
  </w:style>
  <w:style w:type="character" w:customStyle="1" w:styleId="212">
    <w:name w:val="普通文字 Char Char1"/>
    <w:qFormat/>
    <w:uiPriority w:val="0"/>
    <w:rPr>
      <w:rFonts w:ascii="宋体" w:hAnsi="Courier New"/>
      <w:kern w:val="2"/>
      <w:sz w:val="28"/>
      <w:szCs w:val="28"/>
    </w:rPr>
  </w:style>
  <w:style w:type="character" w:customStyle="1" w:styleId="213">
    <w:name w:val="明显参考1"/>
    <w:qFormat/>
    <w:uiPriority w:val="0"/>
    <w:rPr>
      <w:b/>
      <w:bCs/>
      <w:smallCaps/>
      <w:color w:val="C0504D"/>
      <w:spacing w:val="5"/>
      <w:u w:val="single"/>
    </w:rPr>
  </w:style>
  <w:style w:type="character" w:customStyle="1" w:styleId="214">
    <w:name w:val="正文文本缩进 Char1"/>
    <w:qFormat/>
    <w:uiPriority w:val="0"/>
    <w:rPr>
      <w:kern w:val="2"/>
      <w:sz w:val="21"/>
      <w:szCs w:val="24"/>
    </w:rPr>
  </w:style>
  <w:style w:type="character" w:customStyle="1" w:styleId="215">
    <w:name w:val="页眉 Char"/>
    <w:qFormat/>
    <w:uiPriority w:val="0"/>
    <w:rPr>
      <w:sz w:val="18"/>
      <w:szCs w:val="18"/>
    </w:rPr>
  </w:style>
  <w:style w:type="character" w:customStyle="1" w:styleId="216">
    <w:name w:val="style31"/>
    <w:qFormat/>
    <w:uiPriority w:val="0"/>
    <w:rPr>
      <w:sz w:val="10"/>
      <w:szCs w:val="10"/>
    </w:rPr>
  </w:style>
  <w:style w:type="character" w:customStyle="1" w:styleId="217">
    <w:name w:val="日期 Char"/>
    <w:qFormat/>
    <w:uiPriority w:val="0"/>
    <w:rPr>
      <w:rFonts w:eastAsia="宋体"/>
      <w:szCs w:val="24"/>
    </w:rPr>
  </w:style>
  <w:style w:type="character" w:customStyle="1" w:styleId="218">
    <w:name w:val="标题 1 Char1"/>
    <w:qFormat/>
    <w:uiPriority w:val="0"/>
    <w:rPr>
      <w:rFonts w:ascii="Times New Roman" w:hAnsi="Times New Roman" w:eastAsia="宋体" w:cs="Times New Roman"/>
      <w:b/>
      <w:bCs/>
      <w:kern w:val="44"/>
      <w:sz w:val="44"/>
      <w:szCs w:val="44"/>
    </w:rPr>
  </w:style>
  <w:style w:type="character" w:customStyle="1" w:styleId="219">
    <w:name w:val="main_tdbg_7601"/>
    <w:qFormat/>
    <w:uiPriority w:val="0"/>
    <w:rPr>
      <w:sz w:val="14"/>
      <w:szCs w:val="14"/>
    </w:rPr>
  </w:style>
  <w:style w:type="character" w:customStyle="1" w:styleId="220">
    <w:name w:val="尾注文本 Char1"/>
    <w:qFormat/>
    <w:uiPriority w:val="0"/>
    <w:rPr>
      <w:rFonts w:ascii="Arial" w:hAnsi="Arial" w:cs="Arial"/>
      <w:szCs w:val="24"/>
      <w:lang w:eastAsia="en-US"/>
    </w:rPr>
  </w:style>
  <w:style w:type="character" w:customStyle="1" w:styleId="221">
    <w:name w:val="副标题 Char2"/>
    <w:qFormat/>
    <w:uiPriority w:val="11"/>
    <w:rPr>
      <w:rFonts w:ascii="Cambria" w:hAnsi="Cambria" w:eastAsia="宋体" w:cs="Times New Roman"/>
      <w:b/>
      <w:bCs/>
      <w:kern w:val="28"/>
      <w:sz w:val="32"/>
      <w:szCs w:val="32"/>
    </w:rPr>
  </w:style>
  <w:style w:type="character" w:customStyle="1" w:styleId="222">
    <w:name w:val="正文文本缩进 3 Char2"/>
    <w:semiHidden/>
    <w:qFormat/>
    <w:uiPriority w:val="99"/>
    <w:rPr>
      <w:rFonts w:ascii="Calibri" w:hAnsi="Calibri" w:eastAsia="宋体" w:cs="Times New Roman"/>
      <w:sz w:val="16"/>
      <w:szCs w:val="16"/>
    </w:rPr>
  </w:style>
  <w:style w:type="character" w:customStyle="1" w:styleId="223">
    <w:name w:val="Char Char34"/>
    <w:qFormat/>
    <w:uiPriority w:val="0"/>
    <w:rPr>
      <w:rFonts w:ascii="仿宋_GB2312" w:eastAsia="仿宋_GB2312" w:cs="MingLiU"/>
      <w:b/>
      <w:spacing w:val="1"/>
      <w:w w:val="99"/>
      <w:sz w:val="28"/>
      <w:szCs w:val="32"/>
    </w:rPr>
  </w:style>
  <w:style w:type="character" w:customStyle="1" w:styleId="224">
    <w:name w:val="docpro"/>
    <w:basedOn w:val="47"/>
    <w:qFormat/>
    <w:uiPriority w:val="0"/>
  </w:style>
  <w:style w:type="character" w:customStyle="1" w:styleId="225">
    <w:name w:val="正文文本 字符"/>
    <w:link w:val="2"/>
    <w:qFormat/>
    <w:uiPriority w:val="0"/>
    <w:rPr>
      <w:rFonts w:eastAsia="宋体"/>
      <w:kern w:val="2"/>
      <w:sz w:val="21"/>
      <w:szCs w:val="24"/>
      <w:lang w:val="en-US" w:eastAsia="zh-CN" w:bidi="ar-SA"/>
    </w:rPr>
  </w:style>
  <w:style w:type="character" w:customStyle="1" w:styleId="226">
    <w:name w:val="ITTHEADER1 Char"/>
    <w:qFormat/>
    <w:uiPriority w:val="0"/>
    <w:rPr>
      <w:rFonts w:eastAsia="黑体"/>
      <w:kern w:val="2"/>
      <w:sz w:val="44"/>
      <w:szCs w:val="44"/>
      <w:lang w:val="en-US" w:eastAsia="zh-CN" w:bidi="ar-SA"/>
    </w:rPr>
  </w:style>
  <w:style w:type="character" w:customStyle="1" w:styleId="227">
    <w:name w:val="副标题 Char"/>
    <w:qFormat/>
    <w:uiPriority w:val="0"/>
    <w:rPr>
      <w:rFonts w:ascii="Cambria" w:hAnsi="Cambria" w:eastAsia="宋体" w:cs="Times New Roman"/>
      <w:b/>
      <w:bCs/>
      <w:kern w:val="28"/>
      <w:sz w:val="32"/>
      <w:szCs w:val="32"/>
    </w:rPr>
  </w:style>
  <w:style w:type="character" w:customStyle="1" w:styleId="228">
    <w:name w:val="标题 6 字符"/>
    <w:link w:val="8"/>
    <w:qFormat/>
    <w:uiPriority w:val="0"/>
    <w:rPr>
      <w:rFonts w:hAnsi="Arial" w:eastAsia="仿宋_GB2312"/>
      <w:sz w:val="30"/>
      <w:lang w:val="en-US" w:eastAsia="zh-CN" w:bidi="ar-SA"/>
    </w:rPr>
  </w:style>
  <w:style w:type="character" w:customStyle="1" w:styleId="229">
    <w:name w:val="标题 Char2"/>
    <w:qFormat/>
    <w:uiPriority w:val="10"/>
    <w:rPr>
      <w:rFonts w:ascii="Cambria" w:hAnsi="Cambria" w:eastAsia="宋体" w:cs="Times New Roman"/>
      <w:b/>
      <w:bCs/>
      <w:sz w:val="32"/>
      <w:szCs w:val="32"/>
    </w:rPr>
  </w:style>
  <w:style w:type="character" w:customStyle="1" w:styleId="230">
    <w:name w:val="正文文本 Char2"/>
    <w:qFormat/>
    <w:uiPriority w:val="99"/>
    <w:rPr>
      <w:kern w:val="2"/>
      <w:sz w:val="21"/>
      <w:szCs w:val="24"/>
    </w:rPr>
  </w:style>
  <w:style w:type="character" w:customStyle="1" w:styleId="231">
    <w:name w:val="正文文本 2 字符"/>
    <w:link w:val="39"/>
    <w:qFormat/>
    <w:uiPriority w:val="0"/>
    <w:rPr>
      <w:i/>
      <w:iCs/>
      <w:kern w:val="2"/>
      <w:sz w:val="26"/>
      <w:szCs w:val="24"/>
    </w:rPr>
  </w:style>
  <w:style w:type="character" w:customStyle="1" w:styleId="232">
    <w:name w:val="0d1471"/>
    <w:qFormat/>
    <w:uiPriority w:val="0"/>
    <w:rPr>
      <w:color w:val="000000"/>
      <w:sz w:val="11"/>
      <w:szCs w:val="11"/>
      <w:u w:val="none"/>
    </w:rPr>
  </w:style>
  <w:style w:type="character" w:customStyle="1" w:styleId="233">
    <w:name w:val="批注主题 Char"/>
    <w:qFormat/>
    <w:uiPriority w:val="0"/>
    <w:rPr>
      <w:rFonts w:ascii="宋体" w:hAnsi="宋体" w:eastAsia="宋体"/>
      <w:kern w:val="2"/>
      <w:sz w:val="24"/>
      <w:szCs w:val="28"/>
      <w:lang w:val="en-US" w:eastAsia="zh-CN" w:bidi="ar-SA"/>
    </w:rPr>
  </w:style>
  <w:style w:type="character" w:customStyle="1" w:styleId="234">
    <w:name w:val="正文文本 2 Char1"/>
    <w:semiHidden/>
    <w:qFormat/>
    <w:uiPriority w:val="99"/>
    <w:rPr>
      <w:rFonts w:ascii="Calibri" w:hAnsi="Calibri" w:eastAsia="宋体" w:cs="Times New Roman"/>
      <w:szCs w:val="24"/>
    </w:rPr>
  </w:style>
  <w:style w:type="character" w:customStyle="1" w:styleId="235">
    <w:name w:val="批注框文本 Char1"/>
    <w:qFormat/>
    <w:uiPriority w:val="0"/>
    <w:rPr>
      <w:kern w:val="2"/>
      <w:sz w:val="18"/>
      <w:szCs w:val="18"/>
    </w:rPr>
  </w:style>
  <w:style w:type="character" w:customStyle="1" w:styleId="236">
    <w:name w:val="标题 字符"/>
    <w:link w:val="43"/>
    <w:qFormat/>
    <w:uiPriority w:val="0"/>
    <w:rPr>
      <w:rFonts w:eastAsia="宋体"/>
      <w:szCs w:val="24"/>
      <w:u w:val="single"/>
      <w:lang w:val="en-US" w:eastAsia="en-US" w:bidi="ar-SA"/>
    </w:rPr>
  </w:style>
  <w:style w:type="character" w:customStyle="1" w:styleId="237">
    <w:name w:val="正文文本缩进 2 字符"/>
    <w:link w:val="26"/>
    <w:qFormat/>
    <w:uiPriority w:val="0"/>
    <w:rPr>
      <w:rFonts w:eastAsia="宋体"/>
      <w:sz w:val="28"/>
      <w:szCs w:val="24"/>
      <w:lang w:val="en-US" w:eastAsia="zh-CN" w:bidi="ar-SA"/>
    </w:rPr>
  </w:style>
  <w:style w:type="character" w:customStyle="1" w:styleId="238">
    <w:name w:val="引用 Char"/>
    <w:link w:val="115"/>
    <w:qFormat/>
    <w:uiPriority w:val="0"/>
    <w:rPr>
      <w:rFonts w:ascii="Times New Roman" w:hAnsi="Times New Roman" w:eastAsia="宋体" w:cs="Times New Roman"/>
      <w:i/>
      <w:iCs/>
      <w:color w:val="000000"/>
      <w:kern w:val="2"/>
      <w:sz w:val="21"/>
      <w:szCs w:val="24"/>
    </w:rPr>
  </w:style>
  <w:style w:type="character" w:customStyle="1" w:styleId="239">
    <w:name w:val="font161"/>
    <w:qFormat/>
    <w:uiPriority w:val="0"/>
    <w:rPr>
      <w:b/>
      <w:bCs/>
      <w:sz w:val="32"/>
      <w:szCs w:val="32"/>
    </w:rPr>
  </w:style>
  <w:style w:type="character" w:customStyle="1" w:styleId="240">
    <w:name w:val="正文文本缩进 字符"/>
    <w:link w:val="18"/>
    <w:qFormat/>
    <w:uiPriority w:val="0"/>
    <w:rPr>
      <w:rFonts w:eastAsia="宋体"/>
      <w:kern w:val="2"/>
      <w:sz w:val="21"/>
      <w:szCs w:val="24"/>
      <w:lang w:val="en-US" w:eastAsia="zh-CN" w:bidi="ar-SA"/>
    </w:rPr>
  </w:style>
  <w:style w:type="character" w:customStyle="1" w:styleId="241">
    <w:name w:val="标题 9 字符"/>
    <w:link w:val="12"/>
    <w:qFormat/>
    <w:uiPriority w:val="0"/>
    <w:rPr>
      <w:rFonts w:eastAsia="仿宋_GB2312"/>
      <w:sz w:val="30"/>
      <w:lang w:val="en-US" w:eastAsia="zh-CN" w:bidi="ar-SA"/>
    </w:rPr>
  </w:style>
  <w:style w:type="character" w:customStyle="1" w:styleId="242">
    <w:name w:val="标题 8 字符"/>
    <w:link w:val="11"/>
    <w:qFormat/>
    <w:uiPriority w:val="0"/>
    <w:rPr>
      <w:rFonts w:hAnsi="Arial" w:eastAsia="仿宋_GB2312"/>
      <w:sz w:val="30"/>
      <w:lang w:val="en-US" w:eastAsia="zh-CN" w:bidi="ar-SA"/>
    </w:rPr>
  </w:style>
  <w:style w:type="character" w:customStyle="1" w:styleId="243">
    <w:name w:val="Char Char32"/>
    <w:qFormat/>
    <w:uiPriority w:val="0"/>
    <w:rPr>
      <w:rFonts w:ascii="仿宋_GB2312" w:eastAsia="仿宋_GB2312" w:cs="MingLiU"/>
      <w:b/>
      <w:spacing w:val="1"/>
      <w:w w:val="99"/>
      <w:sz w:val="28"/>
      <w:szCs w:val="32"/>
    </w:rPr>
  </w:style>
  <w:style w:type="character" w:customStyle="1" w:styleId="244">
    <w:name w:val="正文文本缩进 3 字符"/>
    <w:link w:val="36"/>
    <w:qFormat/>
    <w:uiPriority w:val="0"/>
    <w:rPr>
      <w:rFonts w:ascii="宋体" w:hAnsi="宋体" w:eastAsia="宋体"/>
      <w:kern w:val="2"/>
      <w:sz w:val="28"/>
      <w:szCs w:val="28"/>
      <w:lang w:val="en-US" w:eastAsia="zh-CN" w:bidi="ar-SA"/>
    </w:rPr>
  </w:style>
  <w:style w:type="character" w:customStyle="1" w:styleId="245">
    <w:name w:val="标题 2 Char1"/>
    <w:qFormat/>
    <w:uiPriority w:val="0"/>
    <w:rPr>
      <w:rFonts w:ascii="Cambria" w:hAnsi="Cambria" w:eastAsia="宋体" w:cs="Times New Roman"/>
      <w:b/>
      <w:bCs/>
      <w:kern w:val="2"/>
      <w:sz w:val="32"/>
      <w:szCs w:val="32"/>
    </w:rPr>
  </w:style>
  <w:style w:type="character" w:customStyle="1" w:styleId="246">
    <w:name w:val="ss16"/>
    <w:qFormat/>
    <w:uiPriority w:val="0"/>
    <w:rPr>
      <w:rFonts w:hint="eastAsia" w:ascii="宋体" w:hAnsi="宋体" w:eastAsia="宋体"/>
      <w:color w:val="000000"/>
      <w:sz w:val="9"/>
      <w:szCs w:val="9"/>
    </w:rPr>
  </w:style>
  <w:style w:type="character" w:customStyle="1" w:styleId="247">
    <w:name w:val="批注主题 Char3"/>
    <w:semiHidden/>
    <w:qFormat/>
    <w:uiPriority w:val="99"/>
    <w:rPr>
      <w:rFonts w:ascii="Calibri" w:hAnsi="Calibri" w:eastAsia="宋体" w:cs="Times New Roman"/>
      <w:b/>
      <w:bCs/>
      <w:szCs w:val="24"/>
    </w:rPr>
  </w:style>
  <w:style w:type="character" w:customStyle="1" w:styleId="248">
    <w:name w:val="明显引用 Char1"/>
    <w:link w:val="132"/>
    <w:qFormat/>
    <w:uiPriority w:val="30"/>
    <w:rPr>
      <w:b/>
      <w:bCs/>
      <w:i/>
      <w:iCs/>
      <w:color w:val="4F81BD"/>
      <w:kern w:val="2"/>
      <w:sz w:val="21"/>
    </w:rPr>
  </w:style>
  <w:style w:type="character" w:customStyle="1" w:styleId="249">
    <w:name w:val="HTML 预设格式 Char2"/>
    <w:semiHidden/>
    <w:qFormat/>
    <w:uiPriority w:val="99"/>
    <w:rPr>
      <w:rFonts w:ascii="Courier New" w:hAnsi="Courier New" w:eastAsia="宋体" w:cs="Courier New"/>
      <w:sz w:val="20"/>
      <w:szCs w:val="20"/>
    </w:rPr>
  </w:style>
  <w:style w:type="character" w:customStyle="1" w:styleId="250">
    <w:name w:val="Char Char17"/>
    <w:qFormat/>
    <w:uiPriority w:val="0"/>
    <w:rPr>
      <w:kern w:val="2"/>
      <w:sz w:val="26"/>
      <w:szCs w:val="24"/>
    </w:rPr>
  </w:style>
  <w:style w:type="character" w:customStyle="1" w:styleId="251">
    <w:name w:val="标题 3 Char1"/>
    <w:qFormat/>
    <w:uiPriority w:val="0"/>
    <w:rPr>
      <w:rFonts w:ascii="Times New Roman" w:hAnsi="Times New Roman" w:eastAsia="宋体" w:cs="Times New Roman"/>
      <w:b/>
      <w:bCs/>
      <w:kern w:val="2"/>
      <w:sz w:val="32"/>
      <w:szCs w:val="32"/>
    </w:rPr>
  </w:style>
  <w:style w:type="character" w:customStyle="1" w:styleId="252">
    <w:name w:val="标题 5 Char"/>
    <w:qFormat/>
    <w:uiPriority w:val="0"/>
    <w:rPr>
      <w:rFonts w:ascii="Calibri" w:hAnsi="Calibri" w:eastAsia="宋体" w:cs="Times New Roman"/>
      <w:b/>
      <w:bCs/>
      <w:sz w:val="28"/>
      <w:szCs w:val="28"/>
    </w:rPr>
  </w:style>
  <w:style w:type="character" w:customStyle="1" w:styleId="253">
    <w:name w:val="页脚 Char1"/>
    <w:semiHidden/>
    <w:qFormat/>
    <w:uiPriority w:val="99"/>
    <w:rPr>
      <w:kern w:val="2"/>
      <w:sz w:val="18"/>
      <w:szCs w:val="18"/>
    </w:rPr>
  </w:style>
  <w:style w:type="character" w:customStyle="1" w:styleId="254">
    <w:name w:val="unnamed1"/>
    <w:basedOn w:val="47"/>
    <w:qFormat/>
    <w:uiPriority w:val="0"/>
  </w:style>
  <w:style w:type="character" w:customStyle="1" w:styleId="255">
    <w:name w:val="Char Char9"/>
    <w:qFormat/>
    <w:locked/>
    <w:uiPriority w:val="0"/>
    <w:rPr>
      <w:rFonts w:ascii="仿宋_GB2312" w:eastAsia="仿宋_GB2312" w:cs="MingLiU"/>
      <w:b/>
      <w:sz w:val="24"/>
      <w:szCs w:val="28"/>
      <w:lang w:val="en-US" w:eastAsia="zh-CN" w:bidi="ar-SA"/>
    </w:rPr>
  </w:style>
  <w:style w:type="character" w:customStyle="1" w:styleId="256">
    <w:name w:val="批注主题 Char1"/>
    <w:qFormat/>
    <w:uiPriority w:val="0"/>
    <w:rPr>
      <w:b/>
      <w:bCs/>
      <w:kern w:val="2"/>
      <w:sz w:val="21"/>
      <w:szCs w:val="22"/>
    </w:rPr>
  </w:style>
  <w:style w:type="character" w:customStyle="1" w:styleId="257">
    <w:name w:val="正文文本 3 字符"/>
    <w:link w:val="17"/>
    <w:qFormat/>
    <w:uiPriority w:val="0"/>
    <w:rPr>
      <w:rFonts w:eastAsia="宋体"/>
      <w:kern w:val="2"/>
      <w:sz w:val="16"/>
      <w:szCs w:val="16"/>
      <w:lang w:val="en-US" w:eastAsia="zh-CN" w:bidi="ar-SA"/>
    </w:rPr>
  </w:style>
  <w:style w:type="character" w:customStyle="1" w:styleId="258">
    <w:name w:val="纯文本 Char2"/>
    <w:semiHidden/>
    <w:qFormat/>
    <w:uiPriority w:val="99"/>
    <w:rPr>
      <w:rFonts w:ascii="宋体" w:hAnsi="Courier New" w:eastAsia="宋体" w:cs="Courier New"/>
      <w:szCs w:val="21"/>
    </w:rPr>
  </w:style>
  <w:style w:type="character" w:customStyle="1" w:styleId="259">
    <w:name w:val="intel3"/>
    <w:basedOn w:val="47"/>
    <w:qFormat/>
    <w:uiPriority w:val="0"/>
  </w:style>
  <w:style w:type="character" w:customStyle="1" w:styleId="260">
    <w:name w:val="subhead1"/>
    <w:qFormat/>
    <w:uiPriority w:val="0"/>
    <w:rPr>
      <w:rFonts w:hint="default" w:ascii="Tahoma" w:hAnsi="Tahoma" w:cs="Tahoma"/>
      <w:color w:val="000000"/>
      <w:sz w:val="18"/>
      <w:szCs w:val="18"/>
      <w:u w:val="none"/>
      <w:shd w:val="clear" w:color="auto" w:fill="FFFFFF"/>
    </w:rPr>
  </w:style>
  <w:style w:type="character" w:customStyle="1" w:styleId="261">
    <w:name w:val="脚注文本 Char"/>
    <w:qFormat/>
    <w:uiPriority w:val="0"/>
    <w:rPr>
      <w:rFonts w:ascii="Arial" w:hAnsi="Arial" w:eastAsia="宋体" w:cs="Arial"/>
      <w:sz w:val="18"/>
      <w:szCs w:val="18"/>
      <w:lang w:eastAsia="en-US"/>
    </w:rPr>
  </w:style>
  <w:style w:type="character" w:customStyle="1" w:styleId="262">
    <w:name w:val="引用 Char1"/>
    <w:link w:val="137"/>
    <w:qFormat/>
    <w:uiPriority w:val="29"/>
    <w:rPr>
      <w:i/>
      <w:iCs/>
      <w:color w:val="000000"/>
      <w:kern w:val="2"/>
      <w:sz w:val="21"/>
    </w:rPr>
  </w:style>
  <w:style w:type="character" w:customStyle="1" w:styleId="263">
    <w:name w:val="正文文本缩进 2 Char"/>
    <w:qFormat/>
    <w:uiPriority w:val="0"/>
    <w:rPr>
      <w:kern w:val="2"/>
      <w:sz w:val="21"/>
      <w:szCs w:val="24"/>
    </w:rPr>
  </w:style>
  <w:style w:type="character" w:customStyle="1" w:styleId="264">
    <w:name w:val="脚注文本 Char2"/>
    <w:semiHidden/>
    <w:qFormat/>
    <w:uiPriority w:val="99"/>
    <w:rPr>
      <w:rFonts w:ascii="Calibri" w:hAnsi="Calibri" w:eastAsia="宋体" w:cs="Times New Roman"/>
      <w:sz w:val="18"/>
      <w:szCs w:val="18"/>
    </w:rPr>
  </w:style>
  <w:style w:type="character" w:customStyle="1" w:styleId="265">
    <w:name w:val="ca-141"/>
    <w:qFormat/>
    <w:uiPriority w:val="0"/>
    <w:rPr>
      <w:rFonts w:hint="eastAsia" w:ascii="仿宋_GB2312" w:eastAsia="仿宋_GB2312"/>
      <w:sz w:val="21"/>
      <w:szCs w:val="21"/>
    </w:rPr>
  </w:style>
  <w:style w:type="character" w:customStyle="1" w:styleId="266">
    <w:name w:val="标题 Char1"/>
    <w:qFormat/>
    <w:uiPriority w:val="10"/>
    <w:rPr>
      <w:szCs w:val="24"/>
      <w:u w:val="single"/>
      <w:lang w:eastAsia="en-US"/>
    </w:rPr>
  </w:style>
  <w:style w:type="character" w:customStyle="1" w:styleId="267">
    <w:name w:val="style161"/>
    <w:qFormat/>
    <w:uiPriority w:val="0"/>
    <w:rPr>
      <w:b/>
      <w:bCs/>
      <w:color w:val="333333"/>
    </w:rPr>
  </w:style>
  <w:style w:type="character" w:customStyle="1" w:styleId="268">
    <w:name w:val="Char Char11"/>
    <w:qFormat/>
    <w:locked/>
    <w:uiPriority w:val="0"/>
    <w:rPr>
      <w:rFonts w:eastAsia="黑体"/>
      <w:kern w:val="2"/>
      <w:sz w:val="44"/>
      <w:szCs w:val="44"/>
      <w:lang w:val="en-US" w:eastAsia="zh-CN" w:bidi="ar-SA"/>
    </w:rPr>
  </w:style>
  <w:style w:type="character" w:customStyle="1" w:styleId="269">
    <w:name w:val="标题 7 Char"/>
    <w:qFormat/>
    <w:uiPriority w:val="0"/>
    <w:rPr>
      <w:rFonts w:ascii="Calibri" w:hAnsi="Calibri" w:eastAsia="宋体" w:cs="Times New Roman"/>
      <w:b/>
      <w:bCs/>
      <w:sz w:val="24"/>
      <w:szCs w:val="24"/>
    </w:rPr>
  </w:style>
  <w:style w:type="character" w:customStyle="1" w:styleId="270">
    <w:name w:val="批注文字 Char1"/>
    <w:qFormat/>
    <w:uiPriority w:val="99"/>
    <w:rPr>
      <w:rFonts w:ascii="Times New Roman" w:hAnsi="Times New Roman" w:eastAsia="宋体" w:cs="Times New Roman"/>
      <w:szCs w:val="24"/>
    </w:rPr>
  </w:style>
  <w:style w:type="character" w:customStyle="1" w:styleId="271">
    <w:name w:val="明显引用 Char"/>
    <w:qFormat/>
    <w:uiPriority w:val="0"/>
    <w:rPr>
      <w:rFonts w:ascii="Times New Roman" w:hAnsi="Times New Roman" w:eastAsia="宋体" w:cs="Times New Roman"/>
      <w:b/>
      <w:bCs/>
      <w:i/>
      <w:iCs/>
      <w:color w:val="4F81BD"/>
      <w:kern w:val="2"/>
      <w:sz w:val="21"/>
      <w:szCs w:val="24"/>
    </w:rPr>
  </w:style>
  <w:style w:type="character" w:customStyle="1" w:styleId="272">
    <w:name w:val="标题 5 字符"/>
    <w:link w:val="7"/>
    <w:qFormat/>
    <w:uiPriority w:val="0"/>
    <w:rPr>
      <w:rFonts w:ascii="宋体" w:hAnsi="宋体" w:eastAsia="宋体" w:cs="宋体"/>
      <w:b/>
      <w:bCs/>
      <w:lang w:val="en-US" w:eastAsia="zh-CN" w:bidi="ar-SA"/>
    </w:rPr>
  </w:style>
  <w:style w:type="character" w:customStyle="1" w:styleId="273">
    <w:name w:val="正文文本缩进 3 Char1"/>
    <w:qFormat/>
    <w:uiPriority w:val="0"/>
    <w:rPr>
      <w:rFonts w:ascii="宋体" w:hAnsi="宋体"/>
      <w:kern w:val="2"/>
      <w:sz w:val="28"/>
      <w:szCs w:val="28"/>
    </w:rPr>
  </w:style>
  <w:style w:type="character" w:customStyle="1" w:styleId="274">
    <w:name w:val="正文文本 Char"/>
    <w:qFormat/>
    <w:uiPriority w:val="0"/>
    <w:rPr>
      <w:sz w:val="26"/>
      <w:szCs w:val="24"/>
    </w:rPr>
  </w:style>
  <w:style w:type="character" w:customStyle="1" w:styleId="275">
    <w:name w:val="明显引用 字符"/>
    <w:link w:val="81"/>
    <w:qFormat/>
    <w:uiPriority w:val="0"/>
    <w:rPr>
      <w:b/>
      <w:bCs/>
      <w:i/>
      <w:iCs/>
      <w:color w:val="4F81BD"/>
      <w:kern w:val="2"/>
      <w:sz w:val="21"/>
      <w:szCs w:val="22"/>
      <w:lang w:bidi="ar-SA"/>
    </w:rPr>
  </w:style>
  <w:style w:type="character" w:customStyle="1" w:styleId="276">
    <w:name w:val="Char Char12"/>
    <w:qFormat/>
    <w:uiPriority w:val="0"/>
    <w:rPr>
      <w:rFonts w:eastAsia="黑体"/>
      <w:kern w:val="2"/>
      <w:sz w:val="44"/>
      <w:szCs w:val="44"/>
      <w:lang w:val="en-US" w:eastAsia="zh-CN" w:bidi="ar-SA"/>
    </w:rPr>
  </w:style>
  <w:style w:type="character" w:customStyle="1" w:styleId="277">
    <w:name w:val="标题 4 Char"/>
    <w:qFormat/>
    <w:uiPriority w:val="0"/>
    <w:rPr>
      <w:rFonts w:ascii="仿宋_GB2312" w:hAnsi="Calibri" w:eastAsia="仿宋_GB2312" w:cs="Times New Roman"/>
      <w:b/>
      <w:kern w:val="0"/>
      <w:sz w:val="24"/>
      <w:szCs w:val="28"/>
    </w:rPr>
  </w:style>
  <w:style w:type="character" w:customStyle="1" w:styleId="278">
    <w:name w:val="明显引用 Char3"/>
    <w:qFormat/>
    <w:uiPriority w:val="30"/>
    <w:rPr>
      <w:rFonts w:ascii="Calibri" w:hAnsi="Calibri" w:eastAsia="宋体" w:cs="Times New Roman"/>
      <w:b/>
      <w:bCs/>
      <w:i/>
      <w:iCs/>
      <w:color w:val="4F81BD"/>
      <w:szCs w:val="24"/>
    </w:rPr>
  </w:style>
  <w:style w:type="character" w:customStyle="1" w:styleId="279">
    <w:name w:val="引用 Char2"/>
    <w:qFormat/>
    <w:uiPriority w:val="99"/>
    <w:rPr>
      <w:i/>
      <w:iCs/>
      <w:color w:val="000000"/>
      <w:kern w:val="2"/>
      <w:sz w:val="21"/>
      <w:szCs w:val="24"/>
    </w:rPr>
  </w:style>
  <w:style w:type="character" w:customStyle="1" w:styleId="280">
    <w:name w:val="批注主题 字符"/>
    <w:link w:val="44"/>
    <w:qFormat/>
    <w:uiPriority w:val="0"/>
    <w:rPr>
      <w:rFonts w:eastAsia="宋体"/>
      <w:b/>
      <w:bCs/>
      <w:kern w:val="2"/>
      <w:sz w:val="21"/>
      <w:szCs w:val="24"/>
      <w:lang w:val="en-US" w:eastAsia="zh-CN" w:bidi="ar-SA"/>
    </w:rPr>
  </w:style>
  <w:style w:type="character" w:customStyle="1" w:styleId="281">
    <w:name w:val="不明显强调1"/>
    <w:qFormat/>
    <w:uiPriority w:val="0"/>
    <w:rPr>
      <w:i/>
      <w:iCs/>
      <w:color w:val="808080"/>
    </w:rPr>
  </w:style>
  <w:style w:type="character" w:customStyle="1" w:styleId="282">
    <w:name w:val="color_red1"/>
    <w:qFormat/>
    <w:uiPriority w:val="0"/>
    <w:rPr>
      <w:color w:val="FA0004"/>
    </w:rPr>
  </w:style>
  <w:style w:type="character" w:customStyle="1" w:styleId="283">
    <w:name w:val="标题 7 字符"/>
    <w:link w:val="10"/>
    <w:qFormat/>
    <w:uiPriority w:val="0"/>
    <w:rPr>
      <w:rFonts w:eastAsia="仿宋_GB2312"/>
      <w:sz w:val="30"/>
      <w:lang w:val="en-US" w:eastAsia="zh-CN" w:bidi="ar-SA"/>
    </w:rPr>
  </w:style>
  <w:style w:type="character" w:customStyle="1" w:styleId="284">
    <w:name w:val="标题5 Char Char"/>
    <w:link w:val="121"/>
    <w:qFormat/>
    <w:uiPriority w:val="0"/>
    <w:rPr>
      <w:rFonts w:ascii="Arial" w:hAnsi="Arial"/>
      <w:b/>
      <w:bCs/>
      <w:sz w:val="24"/>
      <w:szCs w:val="32"/>
      <w:lang w:bidi="ar-SA"/>
    </w:rPr>
  </w:style>
  <w:style w:type="character" w:customStyle="1" w:styleId="285">
    <w:name w:val="脚注文本 字符"/>
    <w:link w:val="34"/>
    <w:qFormat/>
    <w:uiPriority w:val="0"/>
    <w:rPr>
      <w:rFonts w:ascii="Arial" w:hAnsi="Arial" w:eastAsia="宋体" w:cs="Arial"/>
      <w:sz w:val="18"/>
      <w:szCs w:val="18"/>
      <w:lang w:val="en-US" w:eastAsia="en-US" w:bidi="ar-SA"/>
    </w:rPr>
  </w:style>
  <w:style w:type="character" w:customStyle="1" w:styleId="286">
    <w:name w:val="标题4 Char Char"/>
    <w:link w:val="91"/>
    <w:qFormat/>
    <w:uiPriority w:val="0"/>
    <w:rPr>
      <w:rFonts w:ascii="Arial" w:hAnsi="Arial"/>
      <w:b/>
      <w:bCs/>
      <w:sz w:val="24"/>
      <w:szCs w:val="32"/>
      <w:lang w:bidi="ar-SA"/>
    </w:rPr>
  </w:style>
  <w:style w:type="character" w:customStyle="1" w:styleId="287">
    <w:name w:val="Char Char13"/>
    <w:qFormat/>
    <w:uiPriority w:val="0"/>
    <w:rPr>
      <w:kern w:val="2"/>
      <w:sz w:val="18"/>
      <w:szCs w:val="18"/>
    </w:rPr>
  </w:style>
  <w:style w:type="character" w:customStyle="1" w:styleId="288">
    <w:name w:val="文档结构图 Char2"/>
    <w:qFormat/>
    <w:uiPriority w:val="99"/>
    <w:rPr>
      <w:kern w:val="2"/>
      <w:sz w:val="21"/>
      <w:szCs w:val="24"/>
      <w:shd w:val="clear" w:color="auto" w:fill="000080"/>
    </w:rPr>
  </w:style>
  <w:style w:type="character" w:customStyle="1" w:styleId="289">
    <w:name w:val="批注文字 Char2"/>
    <w:qFormat/>
    <w:uiPriority w:val="0"/>
    <w:rPr>
      <w:rFonts w:ascii="Calibri" w:hAnsi="Calibri" w:eastAsia="宋体" w:cs="Times New Roman"/>
      <w:szCs w:val="24"/>
    </w:rPr>
  </w:style>
  <w:style w:type="character" w:customStyle="1" w:styleId="290">
    <w:name w:val="标题 8 Char1"/>
    <w:qFormat/>
    <w:uiPriority w:val="0"/>
    <w:rPr>
      <w:rFonts w:ascii="Times New Roman" w:hAnsi="Arial" w:eastAsia="仿宋_GB2312" w:cs="Times New Roman"/>
      <w:sz w:val="30"/>
      <w:szCs w:val="20"/>
    </w:rPr>
  </w:style>
  <w:style w:type="character" w:customStyle="1" w:styleId="291">
    <w:name w:val="页眉 字符"/>
    <w:link w:val="30"/>
    <w:qFormat/>
    <w:uiPriority w:val="0"/>
    <w:rPr>
      <w:rFonts w:eastAsia="宋体"/>
      <w:kern w:val="2"/>
      <w:sz w:val="18"/>
      <w:szCs w:val="18"/>
      <w:lang w:val="en-US" w:eastAsia="zh-CN" w:bidi="ar-SA"/>
    </w:rPr>
  </w:style>
  <w:style w:type="character" w:customStyle="1" w:styleId="292">
    <w:name w:val="Char Char21"/>
    <w:qFormat/>
    <w:uiPriority w:val="0"/>
    <w:rPr>
      <w:rFonts w:ascii="宋体" w:hAnsi="宋体" w:cs="宋体"/>
      <w:b/>
      <w:bCs/>
      <w:sz w:val="24"/>
      <w:szCs w:val="24"/>
    </w:rPr>
  </w:style>
  <w:style w:type="character" w:customStyle="1" w:styleId="293">
    <w:name w:val="标题 6 Char1"/>
    <w:qFormat/>
    <w:uiPriority w:val="0"/>
    <w:rPr>
      <w:rFonts w:ascii="Times New Roman" w:hAnsi="Arial" w:eastAsia="仿宋_GB2312" w:cs="Times New Roman"/>
      <w:sz w:val="30"/>
      <w:szCs w:val="20"/>
    </w:rPr>
  </w:style>
  <w:style w:type="character" w:customStyle="1" w:styleId="294">
    <w:name w:val="_Style 293"/>
    <w:qFormat/>
    <w:uiPriority w:val="0"/>
    <w:rPr>
      <w:smallCaps/>
      <w:color w:val="C0504D"/>
      <w:u w:val="single"/>
    </w:rPr>
  </w:style>
  <w:style w:type="character" w:customStyle="1" w:styleId="295">
    <w:name w:val="副标题 Char1"/>
    <w:qFormat/>
    <w:uiPriority w:val="0"/>
    <w:rPr>
      <w:szCs w:val="24"/>
      <w:u w:val="single"/>
      <w:lang w:eastAsia="en-US"/>
    </w:rPr>
  </w:style>
  <w:style w:type="character" w:customStyle="1" w:styleId="296">
    <w:name w:val="正文文本 Char3"/>
    <w:semiHidden/>
    <w:qFormat/>
    <w:uiPriority w:val="99"/>
    <w:rPr>
      <w:rFonts w:ascii="Calibri" w:hAnsi="Calibri" w:eastAsia="宋体" w:cs="Times New Roman"/>
      <w:szCs w:val="24"/>
    </w:rPr>
  </w:style>
  <w:style w:type="character" w:customStyle="1" w:styleId="297">
    <w:name w:val="标题 4 Char1"/>
    <w:qFormat/>
    <w:uiPriority w:val="0"/>
    <w:rPr>
      <w:rFonts w:ascii="宋体" w:hAnsi="宋体" w:eastAsia="宋体" w:cs="宋体"/>
      <w:b/>
      <w:bCs/>
      <w:sz w:val="24"/>
      <w:szCs w:val="24"/>
    </w:rPr>
  </w:style>
  <w:style w:type="character" w:customStyle="1" w:styleId="298">
    <w:name w:val="文档结构图 Char3"/>
    <w:semiHidden/>
    <w:qFormat/>
    <w:uiPriority w:val="99"/>
    <w:rPr>
      <w:rFonts w:ascii="宋体" w:hAnsi="Calibri" w:eastAsia="宋体" w:cs="Times New Roman"/>
      <w:sz w:val="18"/>
      <w:szCs w:val="18"/>
    </w:rPr>
  </w:style>
  <w:style w:type="character" w:customStyle="1" w:styleId="299">
    <w:name w:val="标题 3 字符"/>
    <w:link w:val="5"/>
    <w:qFormat/>
    <w:uiPriority w:val="0"/>
    <w:rPr>
      <w:rFonts w:eastAsia="宋体"/>
      <w:b/>
      <w:bCs/>
      <w:kern w:val="2"/>
      <w:sz w:val="32"/>
      <w:szCs w:val="32"/>
      <w:lang w:val="en-US" w:eastAsia="zh-CN" w:bidi="ar-SA"/>
    </w:rPr>
  </w:style>
  <w:style w:type="character" w:customStyle="1" w:styleId="300">
    <w:name w:val="正文文本 3 Char2"/>
    <w:semiHidden/>
    <w:qFormat/>
    <w:uiPriority w:val="99"/>
    <w:rPr>
      <w:rFonts w:ascii="Calibri" w:hAnsi="Calibri" w:eastAsia="宋体" w:cs="Times New Roman"/>
      <w:sz w:val="16"/>
      <w:szCs w:val="16"/>
    </w:rPr>
  </w:style>
  <w:style w:type="character" w:customStyle="1" w:styleId="301">
    <w:name w:val="Char Char23"/>
    <w:qFormat/>
    <w:uiPriority w:val="0"/>
    <w:rPr>
      <w:rFonts w:ascii="Cambria" w:hAnsi="Cambria" w:eastAsia="宋体" w:cs="Times New Roman"/>
      <w:b/>
      <w:bCs/>
      <w:kern w:val="2"/>
      <w:sz w:val="32"/>
      <w:szCs w:val="32"/>
    </w:rPr>
  </w:style>
  <w:style w:type="character" w:customStyle="1" w:styleId="302">
    <w:name w:val="尾注文本 Char2"/>
    <w:semiHidden/>
    <w:qFormat/>
    <w:uiPriority w:val="99"/>
    <w:rPr>
      <w:rFonts w:ascii="Calibri" w:hAnsi="Calibri" w:eastAsia="宋体" w:cs="Times New Roman"/>
      <w:szCs w:val="24"/>
    </w:rPr>
  </w:style>
  <w:style w:type="character" w:customStyle="1" w:styleId="303">
    <w:name w:val="书籍标题1"/>
    <w:qFormat/>
    <w:uiPriority w:val="0"/>
    <w:rPr>
      <w:b/>
      <w:bCs/>
      <w:smallCaps/>
      <w:spacing w:val="5"/>
    </w:rPr>
  </w:style>
  <w:style w:type="character" w:customStyle="1" w:styleId="304">
    <w:name w:val="ITTHEADER2 Char"/>
    <w:qFormat/>
    <w:uiPriority w:val="0"/>
    <w:rPr>
      <w:rFonts w:ascii="仿宋_GB2312" w:eastAsia="仿宋_GB2312" w:cs="MingLiU"/>
      <w:b/>
      <w:spacing w:val="1"/>
      <w:w w:val="99"/>
      <w:sz w:val="28"/>
      <w:szCs w:val="32"/>
      <w:lang w:val="en-US" w:eastAsia="zh-CN" w:bidi="ar-SA"/>
    </w:rPr>
  </w:style>
  <w:style w:type="character" w:customStyle="1" w:styleId="305">
    <w:name w:val="批注文字 字符"/>
    <w:link w:val="16"/>
    <w:qFormat/>
    <w:uiPriority w:val="99"/>
    <w:rPr>
      <w:rFonts w:eastAsia="宋体"/>
      <w:kern w:val="2"/>
      <w:sz w:val="21"/>
      <w:szCs w:val="24"/>
      <w:lang w:val="en-US" w:eastAsia="zh-CN" w:bidi="ar-SA"/>
    </w:rPr>
  </w:style>
  <w:style w:type="character" w:customStyle="1" w:styleId="306">
    <w:name w:val="批注文字 Char Char"/>
    <w:qFormat/>
    <w:uiPriority w:val="0"/>
    <w:rPr>
      <w:rFonts w:ascii="宋体" w:hAnsi="Times New Roman" w:eastAsia="宋体" w:cs="Times New Roman"/>
      <w:sz w:val="28"/>
      <w:szCs w:val="20"/>
    </w:rPr>
  </w:style>
  <w:style w:type="character" w:customStyle="1" w:styleId="307">
    <w:name w:val="副标题 字符"/>
    <w:link w:val="33"/>
    <w:qFormat/>
    <w:uiPriority w:val="0"/>
    <w:rPr>
      <w:rFonts w:eastAsia="宋体"/>
      <w:szCs w:val="24"/>
      <w:u w:val="single"/>
      <w:lang w:val="en-US" w:eastAsia="en-US" w:bidi="ar-SA"/>
    </w:rPr>
  </w:style>
  <w:style w:type="character" w:customStyle="1" w:styleId="308">
    <w:name w:val="批注主题 Char2"/>
    <w:qFormat/>
    <w:uiPriority w:val="99"/>
    <w:rPr>
      <w:b/>
      <w:bCs/>
      <w:kern w:val="2"/>
      <w:sz w:val="21"/>
      <w:szCs w:val="24"/>
    </w:rPr>
  </w:style>
  <w:style w:type="character" w:customStyle="1" w:styleId="309">
    <w:name w:val="normaltext1"/>
    <w:qFormat/>
    <w:uiPriority w:val="0"/>
    <w:rPr>
      <w:rFonts w:hint="default" w:ascii="ˎ̥" w:hAnsi="ˎ̥"/>
      <w:sz w:val="9"/>
      <w:szCs w:val="9"/>
    </w:rPr>
  </w:style>
  <w:style w:type="character" w:customStyle="1" w:styleId="310">
    <w:name w:val="不明显参考1"/>
    <w:qFormat/>
    <w:uiPriority w:val="0"/>
    <w:rPr>
      <w:smallCaps/>
      <w:color w:val="C0504D"/>
      <w:u w:val="single"/>
    </w:rPr>
  </w:style>
  <w:style w:type="character" w:customStyle="1" w:styleId="311">
    <w:name w:val="标题 6 Char"/>
    <w:qFormat/>
    <w:uiPriority w:val="0"/>
    <w:rPr>
      <w:rFonts w:ascii="Arial" w:hAnsi="Arial" w:eastAsia="黑体" w:cs="Times New Roman"/>
      <w:b/>
      <w:bCs/>
      <w:sz w:val="24"/>
      <w:szCs w:val="24"/>
    </w:rPr>
  </w:style>
  <w:style w:type="paragraph" w:customStyle="1" w:styleId="312">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313">
    <w:name w:val="_Style 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5" Type="http://schemas.microsoft.com/office/2011/relationships/people" Target="people.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5.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4.wmf"/><Relationship Id="rId18" Type="http://schemas.openxmlformats.org/officeDocument/2006/relationships/oleObject" Target="embeddings/oleObject4.bin"/><Relationship Id="rId17" Type="http://schemas.openxmlformats.org/officeDocument/2006/relationships/image" Target="media/image3.wmf"/><Relationship Id="rId16" Type="http://schemas.openxmlformats.org/officeDocument/2006/relationships/oleObject" Target="embeddings/oleObject3.bin"/><Relationship Id="rId15" Type="http://schemas.openxmlformats.org/officeDocument/2006/relationships/image" Target="media/image2.wmf"/><Relationship Id="rId14" Type="http://schemas.openxmlformats.org/officeDocument/2006/relationships/oleObject" Target="embeddings/oleObject2.bin"/><Relationship Id="rId13" Type="http://schemas.openxmlformats.org/officeDocument/2006/relationships/image" Target="media/image1.wmf"/><Relationship Id="rId12" Type="http://schemas.openxmlformats.org/officeDocument/2006/relationships/oleObject" Target="embeddings/oleObject1.bin"/><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255</Pages>
  <Words>158231</Words>
  <Characters>165173</Characters>
  <Lines>1372</Lines>
  <Paragraphs>386</Paragraphs>
  <TotalTime>0</TotalTime>
  <ScaleCrop>false</ScaleCrop>
  <LinksUpToDate>false</LinksUpToDate>
  <CharactersWithSpaces>179080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2021-12-17T18:44:00Z</dcterms:created>
  <dc:creator>USER</dc:creator>
  <cp:lastModifiedBy>fgw</cp:lastModifiedBy>
  <cp:lastPrinted>2019-02-01T16:39:00Z</cp:lastPrinted>
  <dcterms:modified xsi:type="dcterms:W3CDTF">2025-09-05T09:43:37Z</dcterms:modified>
  <dc:title>第一卷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DA778C3356134A8D902D22AF993FC9FB</vt:lpwstr>
  </property>
</Properties>
</file>