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7" w:type="pct"/>
        <w:tblLayout w:type="fixed"/>
        <w:tblLook w:val="04A0"/>
      </w:tblPr>
      <w:tblGrid>
        <w:gridCol w:w="97"/>
        <w:gridCol w:w="385"/>
        <w:gridCol w:w="153"/>
        <w:gridCol w:w="11"/>
        <w:gridCol w:w="28"/>
        <w:gridCol w:w="445"/>
        <w:gridCol w:w="156"/>
        <w:gridCol w:w="74"/>
        <w:gridCol w:w="263"/>
        <w:gridCol w:w="178"/>
        <w:gridCol w:w="110"/>
        <w:gridCol w:w="5012"/>
        <w:gridCol w:w="164"/>
        <w:gridCol w:w="139"/>
        <w:gridCol w:w="963"/>
        <w:gridCol w:w="11"/>
        <w:gridCol w:w="306"/>
        <w:gridCol w:w="283"/>
        <w:gridCol w:w="119"/>
        <w:gridCol w:w="306"/>
        <w:gridCol w:w="533"/>
        <w:gridCol w:w="153"/>
        <w:gridCol w:w="20"/>
        <w:gridCol w:w="286"/>
        <w:gridCol w:w="105"/>
        <w:gridCol w:w="312"/>
        <w:gridCol w:w="275"/>
        <w:gridCol w:w="116"/>
        <w:gridCol w:w="190"/>
        <w:gridCol w:w="261"/>
        <w:gridCol w:w="6"/>
        <w:gridCol w:w="300"/>
        <w:gridCol w:w="142"/>
        <w:gridCol w:w="263"/>
        <w:gridCol w:w="161"/>
        <w:gridCol w:w="6"/>
        <w:gridCol w:w="280"/>
        <w:gridCol w:w="125"/>
        <w:gridCol w:w="17"/>
        <w:gridCol w:w="150"/>
        <w:gridCol w:w="275"/>
        <w:gridCol w:w="8"/>
        <w:gridCol w:w="122"/>
        <w:gridCol w:w="170"/>
        <w:gridCol w:w="142"/>
        <w:gridCol w:w="147"/>
        <w:gridCol w:w="292"/>
        <w:gridCol w:w="99"/>
        <w:gridCol w:w="6"/>
      </w:tblGrid>
      <w:tr w:rsidR="005A77BB" w:rsidRPr="00623D6F" w:rsidTr="00E4450B">
        <w:trPr>
          <w:gridAfter w:val="2"/>
          <w:wAfter w:w="37" w:type="pct"/>
          <w:trHeight w:val="615"/>
        </w:trPr>
        <w:tc>
          <w:tcPr>
            <w:tcW w:w="4963" w:type="pct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7BB" w:rsidRPr="00D41140" w:rsidRDefault="00D41140" w:rsidP="00D41140">
            <w:pPr>
              <w:widowControl/>
              <w:spacing w:line="578" w:lineRule="exact"/>
              <w:ind w:firstLineChars="200" w:firstLine="640"/>
              <w:jc w:val="left"/>
              <w:rPr>
                <w:rFonts w:ascii="方正黑体_GBK" w:eastAsia="方正黑体_GBK" w:hAnsi="宋体" w:cs="宋体" w:hint="eastAsia"/>
                <w:color w:val="000000"/>
                <w:kern w:val="0"/>
                <w:sz w:val="32"/>
                <w:szCs w:val="32"/>
              </w:rPr>
            </w:pPr>
            <w:r w:rsidRPr="00D41140">
              <w:rPr>
                <w:rFonts w:ascii="方正黑体_GBK" w:eastAsia="方正黑体_GBK" w:hAnsi="宋体" w:cs="宋体" w:hint="eastAsia"/>
                <w:color w:val="000000"/>
                <w:kern w:val="0"/>
                <w:sz w:val="32"/>
                <w:szCs w:val="32"/>
              </w:rPr>
              <w:t>八、</w:t>
            </w:r>
            <w:r w:rsidR="00E4450B" w:rsidRPr="00D41140">
              <w:rPr>
                <w:rFonts w:ascii="方正黑体_GBK" w:eastAsia="方正黑体_GBK" w:hAnsi="宋体" w:cs="宋体" w:hint="eastAsia"/>
                <w:color w:val="000000"/>
                <w:kern w:val="0"/>
                <w:sz w:val="32"/>
                <w:szCs w:val="32"/>
              </w:rPr>
              <w:t>云阳县</w:t>
            </w:r>
            <w:r w:rsidR="005A77BB" w:rsidRPr="00D41140">
              <w:rPr>
                <w:rFonts w:ascii="方正黑体_GBK" w:eastAsia="方正黑体_GBK" w:hAnsi="宋体" w:cs="宋体" w:hint="eastAsia"/>
                <w:color w:val="000000"/>
                <w:kern w:val="0"/>
                <w:sz w:val="32"/>
                <w:szCs w:val="32"/>
              </w:rPr>
              <w:t>财政预决算领域政务公开标准目录</w:t>
            </w:r>
          </w:p>
        </w:tc>
      </w:tr>
      <w:tr w:rsidR="00E4450B" w:rsidRPr="00623D6F" w:rsidTr="00E4450B">
        <w:trPr>
          <w:gridAfter w:val="2"/>
          <w:wAfter w:w="37" w:type="pct"/>
          <w:trHeight w:val="796"/>
        </w:trPr>
        <w:tc>
          <w:tcPr>
            <w:tcW w:w="1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BB" w:rsidRPr="00623D6F" w:rsidRDefault="005A77BB" w:rsidP="00623D6F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BB" w:rsidRPr="00623D6F" w:rsidRDefault="005A77BB" w:rsidP="00623D6F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31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BB" w:rsidRPr="00623D6F" w:rsidRDefault="005A77BB" w:rsidP="00623D6F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公开内容（要素）及要求</w:t>
            </w:r>
          </w:p>
        </w:tc>
        <w:tc>
          <w:tcPr>
            <w:tcW w:w="55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BB" w:rsidRPr="00623D6F" w:rsidRDefault="005A77BB" w:rsidP="00623D6F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9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BB" w:rsidRPr="00623D6F" w:rsidRDefault="005A77BB" w:rsidP="00623D6F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2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BB" w:rsidRPr="00623D6F" w:rsidRDefault="005A77BB" w:rsidP="00623D6F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31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BB" w:rsidRPr="00623D6F" w:rsidRDefault="005A77BB" w:rsidP="00623D6F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3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BB" w:rsidRPr="00623D6F" w:rsidRDefault="005A77BB" w:rsidP="00623D6F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3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BB" w:rsidRPr="00623D6F" w:rsidRDefault="005A77BB" w:rsidP="00623D6F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D6F" w:rsidRDefault="005A77BB" w:rsidP="00623D6F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</w:t>
            </w:r>
          </w:p>
          <w:p w:rsidR="005A77BB" w:rsidRPr="00623D6F" w:rsidRDefault="005A77BB" w:rsidP="00623D6F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层级</w:t>
            </w:r>
          </w:p>
        </w:tc>
      </w:tr>
      <w:tr w:rsidR="00E4450B" w:rsidRPr="00623D6F" w:rsidTr="00E4450B">
        <w:trPr>
          <w:gridAfter w:val="2"/>
          <w:wAfter w:w="37" w:type="pct"/>
          <w:trHeight w:val="753"/>
        </w:trPr>
        <w:tc>
          <w:tcPr>
            <w:tcW w:w="1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一级</w:t>
            </w: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事项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</w:t>
            </w: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事项</w:t>
            </w:r>
          </w:p>
        </w:tc>
        <w:tc>
          <w:tcPr>
            <w:tcW w:w="231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D6F" w:rsidRPr="00623D6F" w:rsidRDefault="00623D6F" w:rsidP="00623D6F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特定</w:t>
            </w: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群体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D6F" w:rsidRPr="00623D6F" w:rsidRDefault="00623D6F" w:rsidP="00623D6F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1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D6F" w:rsidRPr="00623D6F" w:rsidRDefault="00623D6F" w:rsidP="00623D6F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D6F" w:rsidRPr="00623D6F" w:rsidRDefault="00623D6F" w:rsidP="00623D6F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县级</w:t>
            </w:r>
          </w:p>
        </w:tc>
      </w:tr>
      <w:tr w:rsidR="00E4450B" w:rsidRPr="00623D6F" w:rsidTr="00E4450B">
        <w:trPr>
          <w:gridAfter w:val="2"/>
          <w:wAfter w:w="37" w:type="pct"/>
          <w:trHeight w:val="708"/>
        </w:trPr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财政预</w:t>
            </w: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决算</w:t>
            </w:r>
          </w:p>
        </w:tc>
        <w:tc>
          <w:tcPr>
            <w:tcW w:w="17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政府预算</w:t>
            </w:r>
          </w:p>
        </w:tc>
        <w:tc>
          <w:tcPr>
            <w:tcW w:w="23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一般公共预算：①一般公共预算收支预算表。②一般公共预算本级支出表。③一般公共预算本级基本支出表。④一般公共预算税收返还和转移支付表。</w:t>
            </w:r>
          </w:p>
        </w:tc>
        <w:tc>
          <w:tcPr>
            <w:tcW w:w="550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中华人民共和国预算法》、《重庆市预算审查监督条例》、《重庆市预决算信息公开管理办法》、《地方预决算公开操作规程》（财预〔2016〕143号）、《财政部关于印发&lt;地方政府债务信息公开办法（试行）&gt;的通知》（财预〔2018〕209号）</w:t>
            </w: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等法律法规和文件规定</w:t>
            </w:r>
          </w:p>
        </w:tc>
        <w:tc>
          <w:tcPr>
            <w:tcW w:w="199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24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财政局</w:t>
            </w: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、乡镇（街道）</w:t>
            </w:r>
          </w:p>
        </w:tc>
        <w:tc>
          <w:tcPr>
            <w:tcW w:w="317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政府网站、财政部门网站公开平台或政府公报</w:t>
            </w:r>
          </w:p>
        </w:tc>
        <w:tc>
          <w:tcPr>
            <w:tcW w:w="15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6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E4450B" w:rsidRPr="00623D6F" w:rsidTr="00E4450B">
        <w:trPr>
          <w:gridAfter w:val="2"/>
          <w:wAfter w:w="37" w:type="pct"/>
          <w:trHeight w:val="433"/>
        </w:trPr>
        <w:tc>
          <w:tcPr>
            <w:tcW w:w="1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政府性基金预算：①政府性基金预算收支预算表。②政府性基金本级支出表。③政府性基金转移支付表。</w:t>
            </w:r>
          </w:p>
        </w:tc>
        <w:tc>
          <w:tcPr>
            <w:tcW w:w="550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450B" w:rsidRPr="00623D6F" w:rsidTr="00E4450B">
        <w:trPr>
          <w:gridAfter w:val="2"/>
          <w:wAfter w:w="37" w:type="pct"/>
          <w:trHeight w:val="424"/>
        </w:trPr>
        <w:tc>
          <w:tcPr>
            <w:tcW w:w="1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国有资本经营预算：①国有资本经营预算收支预算表。</w:t>
            </w:r>
          </w:p>
        </w:tc>
        <w:tc>
          <w:tcPr>
            <w:tcW w:w="550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450B" w:rsidRPr="00623D6F" w:rsidTr="00E4450B">
        <w:trPr>
          <w:gridAfter w:val="2"/>
          <w:wAfter w:w="37" w:type="pct"/>
          <w:trHeight w:val="402"/>
        </w:trPr>
        <w:tc>
          <w:tcPr>
            <w:tcW w:w="1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社会保险基金预算：①社会保险基金收支预算表。</w:t>
            </w:r>
          </w:p>
        </w:tc>
        <w:tc>
          <w:tcPr>
            <w:tcW w:w="550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450B" w:rsidRPr="00623D6F" w:rsidTr="00E4450B">
        <w:trPr>
          <w:gridAfter w:val="2"/>
          <w:wAfter w:w="37" w:type="pct"/>
          <w:trHeight w:val="1862"/>
        </w:trPr>
        <w:tc>
          <w:tcPr>
            <w:tcW w:w="1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债务信息（以2020年为例）</w:t>
            </w: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随同预算公开：①云阳县2019年地方政府债务限额及余额情况表。②云阳县2019年和2020年地方政府一般债务余额情况表。③云阳县2019年和2020年地方政府专项债务余额情况表。④云阳县地方政府债券发行及还本付息情况表。⑤云阳县2020年地方政府债务限额提前下达情况表。⑥云阳县2020年年初新增地方政府债券资金安排表。</w:t>
            </w: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随同调整预算公开：①云阳县2020年地方政府债务限额调整情况表。②云阳县2020年限额调整地方政府债券资金安排表。</w:t>
            </w:r>
          </w:p>
        </w:tc>
        <w:tc>
          <w:tcPr>
            <w:tcW w:w="550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450B" w:rsidRPr="00623D6F" w:rsidTr="00E4450B">
        <w:trPr>
          <w:gridAfter w:val="2"/>
          <w:wAfter w:w="37" w:type="pct"/>
          <w:trHeight w:val="817"/>
        </w:trPr>
        <w:tc>
          <w:tcPr>
            <w:tcW w:w="1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各级一般公共预算、政府性基金预算、国有资本经营预算和社会保险基金预算报表中涉及本级支出的，应当公开到功能分类项级科目。本级一般公共预算基本支出应当公开到经济性质</w:t>
            </w:r>
            <w:proofErr w:type="gramStart"/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分类款级</w:t>
            </w:r>
            <w:proofErr w:type="gramEnd"/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科目，一般性转移支付公开应当细化到地区，专项转移支付应当分地区、分项目公开。</w:t>
            </w:r>
          </w:p>
        </w:tc>
        <w:tc>
          <w:tcPr>
            <w:tcW w:w="550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450B" w:rsidRPr="00623D6F" w:rsidTr="00E4450B">
        <w:trPr>
          <w:gridAfter w:val="2"/>
          <w:wAfter w:w="37" w:type="pct"/>
          <w:trHeight w:val="418"/>
        </w:trPr>
        <w:tc>
          <w:tcPr>
            <w:tcW w:w="1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对财政转移支付安排、举借政府债务等重要事项进行解释、说明。对机关运行经费、政府采购、财政专户资金等情况进行解释、说明。</w:t>
            </w:r>
          </w:p>
        </w:tc>
        <w:tc>
          <w:tcPr>
            <w:tcW w:w="550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450B" w:rsidRPr="00623D6F" w:rsidTr="00E4450B">
        <w:trPr>
          <w:gridAfter w:val="2"/>
          <w:wAfter w:w="37" w:type="pct"/>
          <w:trHeight w:val="702"/>
        </w:trPr>
        <w:tc>
          <w:tcPr>
            <w:tcW w:w="1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级汇总的一般公共预算“三公”经费，包括预算总额，以及“因公出国（境）费”“公务用车购置及运行费”（区分“公务用车购置费”“公务用车运行费”两项）、“公务接待费”分项数额，并对增减变化情况进行说明。</w:t>
            </w:r>
          </w:p>
        </w:tc>
        <w:tc>
          <w:tcPr>
            <w:tcW w:w="550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450B" w:rsidRPr="00623D6F" w:rsidTr="00E4450B">
        <w:trPr>
          <w:gridAfter w:val="2"/>
          <w:wAfter w:w="37" w:type="pct"/>
          <w:trHeight w:val="60"/>
        </w:trPr>
        <w:tc>
          <w:tcPr>
            <w:tcW w:w="1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550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450B" w:rsidRPr="00623D6F" w:rsidTr="00E4450B">
        <w:trPr>
          <w:gridBefore w:val="1"/>
          <w:wBefore w:w="34" w:type="pct"/>
          <w:trHeight w:val="829"/>
        </w:trPr>
        <w:tc>
          <w:tcPr>
            <w:tcW w:w="20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865" w:rsidRPr="00623D6F" w:rsidRDefault="00BC7865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3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865" w:rsidRPr="00623D6F" w:rsidRDefault="00BC7865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91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65" w:rsidRPr="00623D6F" w:rsidRDefault="00BC7865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公开内容（要素）及要求</w:t>
            </w:r>
          </w:p>
        </w:tc>
        <w:tc>
          <w:tcPr>
            <w:tcW w:w="55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865" w:rsidRPr="00623D6F" w:rsidRDefault="00BC7865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39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865" w:rsidRPr="00623D6F" w:rsidRDefault="00BC7865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2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865" w:rsidRPr="00623D6F" w:rsidRDefault="00BC7865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29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865" w:rsidRPr="00623D6F" w:rsidRDefault="00BC7865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4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865" w:rsidRPr="00623D6F" w:rsidRDefault="00BC7865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40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865" w:rsidRPr="00623D6F" w:rsidRDefault="00BC7865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65" w:rsidRPr="00623D6F" w:rsidRDefault="00BC7865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 w:rsidR="00E4450B" w:rsidRPr="00623D6F" w:rsidTr="00E4450B">
        <w:trPr>
          <w:gridBefore w:val="1"/>
          <w:wBefore w:w="34" w:type="pct"/>
          <w:trHeight w:val="829"/>
        </w:trPr>
        <w:tc>
          <w:tcPr>
            <w:tcW w:w="20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一级</w:t>
            </w: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事项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</w:t>
            </w: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事项</w:t>
            </w:r>
          </w:p>
        </w:tc>
        <w:tc>
          <w:tcPr>
            <w:tcW w:w="191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2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特定</w:t>
            </w: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群体</w:t>
            </w:r>
          </w:p>
        </w:tc>
        <w:tc>
          <w:tcPr>
            <w:tcW w:w="2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2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县级</w:t>
            </w:r>
          </w:p>
        </w:tc>
      </w:tr>
      <w:tr w:rsidR="00E4450B" w:rsidRPr="00623D6F" w:rsidTr="00E4450B">
        <w:trPr>
          <w:gridBefore w:val="1"/>
          <w:wBefore w:w="34" w:type="pct"/>
          <w:trHeight w:val="756"/>
        </w:trPr>
        <w:tc>
          <w:tcPr>
            <w:tcW w:w="20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财政预</w:t>
            </w: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决算</w:t>
            </w:r>
          </w:p>
        </w:tc>
        <w:tc>
          <w:tcPr>
            <w:tcW w:w="15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政府</w:t>
            </w: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决算</w:t>
            </w:r>
          </w:p>
        </w:tc>
        <w:tc>
          <w:tcPr>
            <w:tcW w:w="19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一般公共预算：①一般公共预算收支预算表。②一般公共预算本级支出表。③一般公共预算本级基本支出表。④一般公共预算税收返还和转移支付表。</w:t>
            </w:r>
          </w:p>
        </w:tc>
        <w:tc>
          <w:tcPr>
            <w:tcW w:w="552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中华人民共和国预算法》、《重庆市预算审查监督条例》、《重庆市预决算信息公开管理办法》、《地方预决算公开操作规程》（财预〔2016〕143号）、《财政部关于印发&lt;地方政府债务信息公开办法（试行）&gt;的通知》（财预〔2018〕209号）等法律法规和文件规定</w:t>
            </w:r>
          </w:p>
        </w:tc>
        <w:tc>
          <w:tcPr>
            <w:tcW w:w="399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24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县财政局</w:t>
            </w: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，乡镇（街道）</w:t>
            </w:r>
          </w:p>
        </w:tc>
        <w:tc>
          <w:tcPr>
            <w:tcW w:w="299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政府网站、财政部门网站公开平台或政府公报</w:t>
            </w:r>
          </w:p>
        </w:tc>
        <w:tc>
          <w:tcPr>
            <w:tcW w:w="15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5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3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0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E4450B" w:rsidRPr="00623D6F" w:rsidTr="00E4450B">
        <w:trPr>
          <w:gridBefore w:val="1"/>
          <w:wBefore w:w="34" w:type="pct"/>
          <w:trHeight w:val="568"/>
        </w:trPr>
        <w:tc>
          <w:tcPr>
            <w:tcW w:w="20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政府性基金预算：①政府性基金预算收支预算表。②政府性基金本级支出表。③政府性基金转移支付表。</w:t>
            </w:r>
          </w:p>
        </w:tc>
        <w:tc>
          <w:tcPr>
            <w:tcW w:w="5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9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450B" w:rsidRPr="00623D6F" w:rsidTr="00E4450B">
        <w:trPr>
          <w:gridBefore w:val="1"/>
          <w:wBefore w:w="34" w:type="pct"/>
          <w:trHeight w:val="690"/>
        </w:trPr>
        <w:tc>
          <w:tcPr>
            <w:tcW w:w="20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国有资本经营预算：①国有资本经营预算收支预算表。②国有资本经营预算本级支出表。③对下安排转移支付的应当公开国有资本经营预算转移支付表。</w:t>
            </w:r>
          </w:p>
        </w:tc>
        <w:tc>
          <w:tcPr>
            <w:tcW w:w="5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9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450B" w:rsidRPr="00623D6F" w:rsidTr="00E4450B">
        <w:trPr>
          <w:gridBefore w:val="1"/>
          <w:wBefore w:w="34" w:type="pct"/>
          <w:trHeight w:val="480"/>
        </w:trPr>
        <w:tc>
          <w:tcPr>
            <w:tcW w:w="20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社会保险基金预算：①社会保险基金收支预算表。</w:t>
            </w:r>
          </w:p>
        </w:tc>
        <w:tc>
          <w:tcPr>
            <w:tcW w:w="5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9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450B" w:rsidRPr="00623D6F" w:rsidTr="00E4450B">
        <w:trPr>
          <w:gridBefore w:val="1"/>
          <w:wBefore w:w="34" w:type="pct"/>
          <w:trHeight w:val="919"/>
        </w:trPr>
        <w:tc>
          <w:tcPr>
            <w:tcW w:w="20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债务信息（以2020年为例）：①云阳县2019年地方政府债务限额及余额决算情况表。②云阳县2019年地方政府债券使用情况表。③云阳县2019年地方政府债务相关情况表。</w:t>
            </w:r>
          </w:p>
        </w:tc>
        <w:tc>
          <w:tcPr>
            <w:tcW w:w="5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9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450B" w:rsidRPr="00623D6F" w:rsidTr="00E4450B">
        <w:trPr>
          <w:gridBefore w:val="1"/>
          <w:wBefore w:w="34" w:type="pct"/>
          <w:trHeight w:val="1131"/>
        </w:trPr>
        <w:tc>
          <w:tcPr>
            <w:tcW w:w="20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各级一般公共预算、政府性基金预算、国有资本经营预算和社会保险基金预算报表中涉及本级支出的，应当公开到功能分类项级科目。本级一般公共预算基本支出应当公开到经济性质</w:t>
            </w:r>
            <w:proofErr w:type="gramStart"/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分类款级</w:t>
            </w:r>
            <w:proofErr w:type="gramEnd"/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科目，专项转移支付应当分地区、分项目公开。</w:t>
            </w:r>
          </w:p>
        </w:tc>
        <w:tc>
          <w:tcPr>
            <w:tcW w:w="5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9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450B" w:rsidRPr="00623D6F" w:rsidTr="00E4450B">
        <w:trPr>
          <w:gridBefore w:val="1"/>
          <w:wBefore w:w="34" w:type="pct"/>
          <w:trHeight w:val="552"/>
        </w:trPr>
        <w:tc>
          <w:tcPr>
            <w:tcW w:w="20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对财政转移支付安排、举借政府债务、预算绩效工作开展情况等重要事项进行解释、说明。</w:t>
            </w:r>
          </w:p>
        </w:tc>
        <w:tc>
          <w:tcPr>
            <w:tcW w:w="5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9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450B" w:rsidRPr="00623D6F" w:rsidTr="00E4450B">
        <w:trPr>
          <w:gridBefore w:val="1"/>
          <w:wBefore w:w="34" w:type="pct"/>
          <w:trHeight w:val="986"/>
        </w:trPr>
        <w:tc>
          <w:tcPr>
            <w:tcW w:w="20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级汇总的一般公共预算“三公”经费，包括预算总额，以及“因公出国（境）费”“公务用车购置及运行费”（区分“公务用车购置费”“公务用车运行费”两项）“公务接待费”分项数额，并对增减变化情况（与预算对比）进行说明。</w:t>
            </w:r>
          </w:p>
        </w:tc>
        <w:tc>
          <w:tcPr>
            <w:tcW w:w="5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9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450B" w:rsidRPr="00623D6F" w:rsidTr="00E4450B">
        <w:trPr>
          <w:gridBefore w:val="1"/>
          <w:wBefore w:w="34" w:type="pct"/>
          <w:trHeight w:val="240"/>
        </w:trPr>
        <w:tc>
          <w:tcPr>
            <w:tcW w:w="20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5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9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6F" w:rsidRPr="00623D6F" w:rsidRDefault="00623D6F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450B" w:rsidRPr="00623D6F" w:rsidTr="00E4450B">
        <w:trPr>
          <w:trHeight w:val="829"/>
        </w:trPr>
        <w:tc>
          <w:tcPr>
            <w:tcW w:w="22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865" w:rsidRPr="00623D6F" w:rsidRDefault="00BC7865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4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865" w:rsidRPr="00623D6F" w:rsidRDefault="00BC7865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8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65" w:rsidRPr="00623D6F" w:rsidRDefault="00BC7865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公开内容（要素）及要求</w:t>
            </w:r>
          </w:p>
        </w:tc>
        <w:tc>
          <w:tcPr>
            <w:tcW w:w="50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865" w:rsidRPr="00623D6F" w:rsidRDefault="00BC7865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2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865" w:rsidRPr="00623D6F" w:rsidRDefault="00BC7865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35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865" w:rsidRPr="00623D6F" w:rsidRDefault="00BC7865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35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865" w:rsidRPr="00623D6F" w:rsidRDefault="00BC7865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4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865" w:rsidRPr="00623D6F" w:rsidRDefault="00BC7865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40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865" w:rsidRPr="00623D6F" w:rsidRDefault="00BC7865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2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865" w:rsidRPr="00623D6F" w:rsidRDefault="00BC7865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 w:rsidR="00E4450B" w:rsidRPr="00623D6F" w:rsidTr="00E4450B">
        <w:trPr>
          <w:trHeight w:val="715"/>
        </w:trPr>
        <w:tc>
          <w:tcPr>
            <w:tcW w:w="22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一级</w:t>
            </w: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事项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</w:t>
            </w: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事项</w:t>
            </w:r>
          </w:p>
        </w:tc>
        <w:tc>
          <w:tcPr>
            <w:tcW w:w="18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2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特定</w:t>
            </w: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群体</w:t>
            </w:r>
          </w:p>
        </w:tc>
        <w:tc>
          <w:tcPr>
            <w:tcW w:w="20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2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2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县级</w:t>
            </w:r>
          </w:p>
        </w:tc>
      </w:tr>
      <w:tr w:rsidR="00E4450B" w:rsidRPr="00623D6F" w:rsidTr="00E4450B">
        <w:trPr>
          <w:trHeight w:val="904"/>
        </w:trPr>
        <w:tc>
          <w:tcPr>
            <w:tcW w:w="22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财政预</w:t>
            </w: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决算</w:t>
            </w:r>
          </w:p>
        </w:tc>
        <w:tc>
          <w:tcPr>
            <w:tcW w:w="22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部门</w:t>
            </w: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预算</w:t>
            </w:r>
          </w:p>
        </w:tc>
        <w:tc>
          <w:tcPr>
            <w:tcW w:w="1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50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《中华人民共和国预算法》、《重庆市预算审查监督条例》、《重庆市预决算信息公开管理办法》、《地方预决算公开操作规程》（财预〔2016〕143号）等法律法规和文件规定</w:t>
            </w:r>
          </w:p>
        </w:tc>
        <w:tc>
          <w:tcPr>
            <w:tcW w:w="25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本级政府财政部门批复后20日内</w:t>
            </w:r>
          </w:p>
        </w:tc>
        <w:tc>
          <w:tcPr>
            <w:tcW w:w="35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县级预算部门</w:t>
            </w:r>
          </w:p>
        </w:tc>
        <w:tc>
          <w:tcPr>
            <w:tcW w:w="352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部门网站、 政府网站或政府公报</w:t>
            </w:r>
          </w:p>
        </w:tc>
        <w:tc>
          <w:tcPr>
            <w:tcW w:w="20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0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0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E4450B" w:rsidRPr="00623D6F" w:rsidTr="00E4450B">
        <w:trPr>
          <w:trHeight w:val="1037"/>
        </w:trPr>
        <w:tc>
          <w:tcPr>
            <w:tcW w:w="22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50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450B" w:rsidRPr="00623D6F" w:rsidTr="00E4450B">
        <w:trPr>
          <w:trHeight w:val="827"/>
        </w:trPr>
        <w:tc>
          <w:tcPr>
            <w:tcW w:w="22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一般公共预算支出情况</w:t>
            </w:r>
            <w:proofErr w:type="gramStart"/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表公开</w:t>
            </w:r>
            <w:proofErr w:type="gramEnd"/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到功能分类项级科目。一般公共预算基本支出</w:t>
            </w:r>
            <w:proofErr w:type="gramStart"/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表公开</w:t>
            </w:r>
            <w:proofErr w:type="gramEnd"/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到经济</w:t>
            </w:r>
            <w:proofErr w:type="gramStart"/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分类款级</w:t>
            </w:r>
            <w:proofErr w:type="gramEnd"/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科目。</w:t>
            </w:r>
          </w:p>
        </w:tc>
        <w:tc>
          <w:tcPr>
            <w:tcW w:w="50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450B" w:rsidRPr="00623D6F" w:rsidTr="00E4450B">
        <w:trPr>
          <w:trHeight w:val="1281"/>
        </w:trPr>
        <w:tc>
          <w:tcPr>
            <w:tcW w:w="22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50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450B" w:rsidRPr="00623D6F" w:rsidTr="00E4450B">
        <w:trPr>
          <w:trHeight w:val="1462"/>
        </w:trPr>
        <w:tc>
          <w:tcPr>
            <w:tcW w:w="22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专项预算的绩效目标等情况。</w:t>
            </w:r>
          </w:p>
        </w:tc>
        <w:tc>
          <w:tcPr>
            <w:tcW w:w="50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450B" w:rsidRPr="00623D6F" w:rsidTr="00E4450B">
        <w:trPr>
          <w:trHeight w:val="702"/>
        </w:trPr>
        <w:tc>
          <w:tcPr>
            <w:tcW w:w="22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县级专项资金按一个项目一张县级专项资金绩效目标</w:t>
            </w:r>
            <w:proofErr w:type="gramStart"/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表要求</w:t>
            </w:r>
            <w:proofErr w:type="gramEnd"/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填报。</w:t>
            </w:r>
          </w:p>
        </w:tc>
        <w:tc>
          <w:tcPr>
            <w:tcW w:w="50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450B" w:rsidRPr="00623D6F" w:rsidTr="00E4450B">
        <w:trPr>
          <w:trHeight w:val="135"/>
        </w:trPr>
        <w:tc>
          <w:tcPr>
            <w:tcW w:w="22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50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450B" w:rsidRPr="00623D6F" w:rsidTr="00E4450B">
        <w:trPr>
          <w:gridAfter w:val="1"/>
          <w:wAfter w:w="2" w:type="pct"/>
          <w:trHeight w:val="829"/>
        </w:trPr>
        <w:tc>
          <w:tcPr>
            <w:tcW w:w="2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865" w:rsidRPr="00623D6F" w:rsidRDefault="00BC7865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44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865" w:rsidRPr="00623D6F" w:rsidRDefault="00BC7865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65" w:rsidRPr="00623D6F" w:rsidRDefault="00BC7865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公开内容（要素）及要求</w:t>
            </w:r>
          </w:p>
        </w:tc>
        <w:tc>
          <w:tcPr>
            <w:tcW w:w="45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865" w:rsidRPr="00623D6F" w:rsidRDefault="00BC7865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2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865" w:rsidRPr="00623D6F" w:rsidRDefault="00BC7865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865" w:rsidRPr="00623D6F" w:rsidRDefault="00BC7865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35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865" w:rsidRPr="00623D6F" w:rsidRDefault="00BC7865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4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865" w:rsidRPr="00623D6F" w:rsidRDefault="00BC7865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40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865" w:rsidRPr="00623D6F" w:rsidRDefault="00BC7865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3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865" w:rsidRPr="00623D6F" w:rsidRDefault="00BC7865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 w:rsidR="00E4450B" w:rsidRPr="00623D6F" w:rsidTr="00E4450B">
        <w:trPr>
          <w:gridAfter w:val="1"/>
          <w:wAfter w:w="2" w:type="pct"/>
          <w:trHeight w:val="829"/>
        </w:trPr>
        <w:tc>
          <w:tcPr>
            <w:tcW w:w="2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一级</w:t>
            </w: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事项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</w:t>
            </w: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事项</w:t>
            </w:r>
          </w:p>
        </w:tc>
        <w:tc>
          <w:tcPr>
            <w:tcW w:w="1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2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特定</w:t>
            </w: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群体</w:t>
            </w:r>
          </w:p>
        </w:tc>
        <w:tc>
          <w:tcPr>
            <w:tcW w:w="2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20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3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县级</w:t>
            </w:r>
          </w:p>
        </w:tc>
      </w:tr>
      <w:tr w:rsidR="00E4450B" w:rsidRPr="00623D6F" w:rsidTr="00E4450B">
        <w:trPr>
          <w:gridAfter w:val="1"/>
          <w:wAfter w:w="2" w:type="pct"/>
          <w:trHeight w:val="726"/>
        </w:trPr>
        <w:tc>
          <w:tcPr>
            <w:tcW w:w="22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6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财政预</w:t>
            </w: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决算</w:t>
            </w:r>
          </w:p>
        </w:tc>
        <w:tc>
          <w:tcPr>
            <w:tcW w:w="22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部门</w:t>
            </w: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决算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收支总体情况表：①收入支出决算总表。②收入决算表。③支出决算表。</w:t>
            </w:r>
          </w:p>
        </w:tc>
        <w:tc>
          <w:tcPr>
            <w:tcW w:w="45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《中华人民共和国预算法》、《重庆市预算审查监督条例》、《重庆市预决算信息公开管理办法》、《地方预决算公开操作规程》（财预〔2016〕143号）等法律法规和文件规定</w:t>
            </w:r>
          </w:p>
        </w:tc>
        <w:tc>
          <w:tcPr>
            <w:tcW w:w="25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本级政府财政部门批复后20日内</w:t>
            </w:r>
          </w:p>
        </w:tc>
        <w:tc>
          <w:tcPr>
            <w:tcW w:w="35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县级预算部门</w:t>
            </w:r>
          </w:p>
        </w:tc>
        <w:tc>
          <w:tcPr>
            <w:tcW w:w="352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部门网站、 政府网站、政府公报</w:t>
            </w:r>
          </w:p>
        </w:tc>
        <w:tc>
          <w:tcPr>
            <w:tcW w:w="20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5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2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02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0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E4450B" w:rsidRPr="00623D6F" w:rsidTr="00E4450B">
        <w:trPr>
          <w:gridAfter w:val="1"/>
          <w:wAfter w:w="2" w:type="pct"/>
          <w:trHeight w:val="1261"/>
        </w:trPr>
        <w:tc>
          <w:tcPr>
            <w:tcW w:w="2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财政拨款收支情况表：①财政拨款收入支出决算总表。②一般公共预算财政拨款收入支出决算表。③一般公共预算财政拨款基本支出决算表。④政府性基金预算财政拨款收入支出决算表。⑤机构运行信息表。</w:t>
            </w:r>
          </w:p>
        </w:tc>
        <w:tc>
          <w:tcPr>
            <w:tcW w:w="4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450B" w:rsidRPr="00623D6F" w:rsidTr="00E4450B">
        <w:trPr>
          <w:gridAfter w:val="1"/>
          <w:wAfter w:w="2" w:type="pct"/>
          <w:trHeight w:val="699"/>
        </w:trPr>
        <w:tc>
          <w:tcPr>
            <w:tcW w:w="2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一般公共预算支出情况</w:t>
            </w:r>
            <w:proofErr w:type="gramStart"/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表公开</w:t>
            </w:r>
            <w:proofErr w:type="gramEnd"/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到功能分类项级科目。一般公共预算基本支出</w:t>
            </w:r>
            <w:proofErr w:type="gramStart"/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表公开</w:t>
            </w:r>
            <w:proofErr w:type="gramEnd"/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到经济</w:t>
            </w:r>
            <w:proofErr w:type="gramStart"/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分类款级</w:t>
            </w:r>
            <w:proofErr w:type="gramEnd"/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科目。</w:t>
            </w:r>
          </w:p>
        </w:tc>
        <w:tc>
          <w:tcPr>
            <w:tcW w:w="4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450B" w:rsidRPr="00623D6F" w:rsidTr="00E4450B">
        <w:trPr>
          <w:gridAfter w:val="1"/>
          <w:wAfter w:w="2" w:type="pct"/>
          <w:trHeight w:val="1260"/>
        </w:trPr>
        <w:tc>
          <w:tcPr>
            <w:tcW w:w="2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构运行信息表中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4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450B" w:rsidRPr="00623D6F" w:rsidTr="00E4450B">
        <w:trPr>
          <w:gridAfter w:val="1"/>
          <w:wAfter w:w="2" w:type="pct"/>
          <w:trHeight w:val="1704"/>
        </w:trPr>
        <w:tc>
          <w:tcPr>
            <w:tcW w:w="2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4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450B" w:rsidRPr="00623D6F" w:rsidTr="00E4450B">
        <w:trPr>
          <w:gridAfter w:val="1"/>
          <w:wAfter w:w="2" w:type="pct"/>
          <w:trHeight w:val="552"/>
        </w:trPr>
        <w:tc>
          <w:tcPr>
            <w:tcW w:w="2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4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50B" w:rsidRPr="00623D6F" w:rsidRDefault="00E4450B" w:rsidP="00623D6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BC7865" w:rsidRPr="00623D6F" w:rsidRDefault="00BC7865" w:rsidP="00623D6F">
      <w:pPr>
        <w:spacing w:line="220" w:lineRule="exact"/>
        <w:rPr>
          <w:rFonts w:ascii="宋体" w:eastAsia="宋体" w:hAnsi="宋体"/>
          <w:sz w:val="18"/>
          <w:szCs w:val="18"/>
        </w:rPr>
      </w:pPr>
    </w:p>
    <w:sectPr w:rsidR="00BC7865" w:rsidRPr="00623D6F" w:rsidSect="00BC78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8EC" w:rsidRDefault="001868EC" w:rsidP="00261EF9">
      <w:r>
        <w:separator/>
      </w:r>
    </w:p>
  </w:endnote>
  <w:endnote w:type="continuationSeparator" w:id="1">
    <w:p w:rsidR="001868EC" w:rsidRDefault="001868EC" w:rsidP="00261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8EC" w:rsidRDefault="001868EC" w:rsidP="00261EF9">
      <w:r>
        <w:separator/>
      </w:r>
    </w:p>
  </w:footnote>
  <w:footnote w:type="continuationSeparator" w:id="1">
    <w:p w:rsidR="001868EC" w:rsidRDefault="001868EC" w:rsidP="00261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EF9"/>
    <w:rsid w:val="000066AC"/>
    <w:rsid w:val="00052C90"/>
    <w:rsid w:val="000B0C99"/>
    <w:rsid w:val="000C23B5"/>
    <w:rsid w:val="000F0413"/>
    <w:rsid w:val="00132B6F"/>
    <w:rsid w:val="00163400"/>
    <w:rsid w:val="00176FFA"/>
    <w:rsid w:val="001868EC"/>
    <w:rsid w:val="001E64DC"/>
    <w:rsid w:val="00261EF9"/>
    <w:rsid w:val="00272C6D"/>
    <w:rsid w:val="002F27B5"/>
    <w:rsid w:val="002F33D6"/>
    <w:rsid w:val="00342F64"/>
    <w:rsid w:val="003527FA"/>
    <w:rsid w:val="003D726C"/>
    <w:rsid w:val="004A1C3B"/>
    <w:rsid w:val="004C087C"/>
    <w:rsid w:val="004E15EA"/>
    <w:rsid w:val="00527570"/>
    <w:rsid w:val="00535315"/>
    <w:rsid w:val="005469AA"/>
    <w:rsid w:val="005607BC"/>
    <w:rsid w:val="00571955"/>
    <w:rsid w:val="005A77BB"/>
    <w:rsid w:val="00623D6F"/>
    <w:rsid w:val="006530BA"/>
    <w:rsid w:val="0076232F"/>
    <w:rsid w:val="007B56FB"/>
    <w:rsid w:val="007D5AD3"/>
    <w:rsid w:val="008119D7"/>
    <w:rsid w:val="0087692F"/>
    <w:rsid w:val="008C069D"/>
    <w:rsid w:val="009246BA"/>
    <w:rsid w:val="009B4C94"/>
    <w:rsid w:val="00A1731A"/>
    <w:rsid w:val="00A23C6F"/>
    <w:rsid w:val="00A642B3"/>
    <w:rsid w:val="00B82FB5"/>
    <w:rsid w:val="00BC7865"/>
    <w:rsid w:val="00C91D7A"/>
    <w:rsid w:val="00CA38FB"/>
    <w:rsid w:val="00CC02AF"/>
    <w:rsid w:val="00D00E63"/>
    <w:rsid w:val="00D06495"/>
    <w:rsid w:val="00D41140"/>
    <w:rsid w:val="00DB71B4"/>
    <w:rsid w:val="00DC7CD9"/>
    <w:rsid w:val="00DE6327"/>
    <w:rsid w:val="00DF2CCF"/>
    <w:rsid w:val="00E4450B"/>
    <w:rsid w:val="00F50889"/>
    <w:rsid w:val="00F50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1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1E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1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1E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541</Words>
  <Characters>3090</Characters>
  <Application>Microsoft Office Word</Application>
  <DocSecurity>0</DocSecurity>
  <Lines>25</Lines>
  <Paragraphs>7</Paragraphs>
  <ScaleCrop>false</ScaleCrop>
  <Company>daohangxitong.com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陶虹</dc:creator>
  <cp:lastModifiedBy>PC</cp:lastModifiedBy>
  <cp:revision>3</cp:revision>
  <dcterms:created xsi:type="dcterms:W3CDTF">2020-10-19T06:45:00Z</dcterms:created>
  <dcterms:modified xsi:type="dcterms:W3CDTF">2020-10-19T07:28:00Z</dcterms:modified>
</cp:coreProperties>
</file>