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 w:cs="HiddenHorzOCR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，</w:t>
      </w:r>
      <w:r>
        <w:rPr>
          <w:rFonts w:hint="eastAsia" w:ascii="方正仿宋_GBK" w:eastAsia="方正仿宋_GBK" w:cs="HiddenHorzOCR"/>
          <w:kern w:val="0"/>
          <w:sz w:val="32"/>
          <w:szCs w:val="32"/>
          <w:lang w:eastAsia="zh-CN"/>
        </w:rPr>
        <w:t>县市场监管局认真贯彻落实《中华人民共和国政府信息公开条例》和县政府政务公开工作要求，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紧紧围绕全</w:t>
      </w:r>
      <w:r>
        <w:rPr>
          <w:rFonts w:hint="eastAsia" w:ascii="方正仿宋_GBK" w:eastAsia="方正仿宋_GBK" w:cs="HiddenHorzOCR"/>
          <w:kern w:val="0"/>
          <w:sz w:val="32"/>
          <w:szCs w:val="32"/>
          <w:lang w:eastAsia="zh-CN"/>
        </w:rPr>
        <w:t>县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中心工作，服务经济社会大局，</w:t>
      </w:r>
      <w:r>
        <w:rPr>
          <w:rFonts w:hint="eastAsia" w:ascii="方正仿宋_GBK" w:eastAsia="方正仿宋_GBK" w:cs="HiddenHorzOCR"/>
          <w:kern w:val="0"/>
          <w:sz w:val="32"/>
          <w:szCs w:val="32"/>
          <w:lang w:eastAsia="zh-CN"/>
        </w:rPr>
        <w:t>常态、长效抓好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政府信息公开工作，进一步健全工作机制，规范政务公开形式和内容，营造透明高效的</w:t>
      </w:r>
      <w:r>
        <w:rPr>
          <w:rFonts w:hint="eastAsia" w:ascii="方正仿宋_GBK" w:eastAsia="方正仿宋_GBK" w:cs="HiddenHorzOCR"/>
          <w:kern w:val="0"/>
          <w:sz w:val="32"/>
          <w:szCs w:val="32"/>
          <w:lang w:eastAsia="zh-CN"/>
        </w:rPr>
        <w:t>市场监管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政务环境</w:t>
      </w:r>
      <w:r>
        <w:rPr>
          <w:rFonts w:hint="eastAsia" w:ascii="方正仿宋_GBK" w:eastAsia="方正仿宋_GBK" w:cs="HiddenHorzOCR"/>
          <w:kern w:val="0"/>
          <w:sz w:val="32"/>
          <w:szCs w:val="32"/>
          <w:lang w:eastAsia="zh-CN"/>
        </w:rPr>
        <w:t>，有力有效保障公众知情权、参与权、监督权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。现将我局2024年度政府信息公开工作年度报告如下，其中本报告中所列数据统计期限从2024年1月1日起到12月31日止。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方正黑体_GBK" w:eastAsia="方正黑体_GBK" w:cs="HiddenHorzOCR"/>
          <w:kern w:val="0"/>
          <w:sz w:val="32"/>
          <w:szCs w:val="32"/>
        </w:rPr>
      </w:pPr>
      <w:r>
        <w:rPr>
          <w:rFonts w:hint="eastAsia" w:ascii="方正黑体_GBK" w:eastAsia="方正黑体_GBK" w:cs="HiddenHorzOCR"/>
          <w:kern w:val="0"/>
          <w:sz w:val="32"/>
          <w:szCs w:val="32"/>
        </w:rPr>
        <w:t>一、</w:t>
      </w:r>
      <w:r>
        <w:rPr>
          <w:rFonts w:hint="eastAsia" w:ascii="方正黑体_GBK" w:eastAsia="方正黑体_GBK" w:cs="HiddenHorzOCR"/>
          <w:kern w:val="0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 w:cs="HiddenHorzOCR"/>
          <w:kern w:val="0"/>
          <w:sz w:val="32"/>
          <w:szCs w:val="32"/>
        </w:rPr>
      </w:pPr>
      <w:r>
        <w:rPr>
          <w:rFonts w:hint="eastAsia" w:ascii="方正楷体_GBK" w:eastAsia="方正楷体_GBK" w:cs="HiddenHorzOCR"/>
          <w:kern w:val="0"/>
          <w:sz w:val="32"/>
          <w:szCs w:val="32"/>
        </w:rPr>
        <w:t>（一）主动公开。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年，我局遵循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“公开为常态，不公开为例外”的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原则，在县政府门户网站公开各类政府信息48条；在部门子网站公开各类政府信息123条</w:t>
      </w:r>
      <w:r>
        <w:rPr>
          <w:rFonts w:hint="eastAsia" w:ascii="方正仿宋_GBK" w:eastAsia="方正仿宋_GBK" w:cs="HiddenHorzOCR"/>
          <w:kern w:val="0"/>
          <w:sz w:val="32"/>
          <w:szCs w:val="32"/>
        </w:rPr>
        <w:t>；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</w:rPr>
        <w:t>依托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  <w:lang w:eastAsia="zh-CN"/>
        </w:rPr>
        <w:t>国家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</w:rPr>
        <w:t>企业信用信息公示系统（重庆）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  <w:lang w:eastAsia="zh-CN"/>
        </w:rPr>
        <w:t>、信用中国等渠道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</w:rPr>
        <w:t>依法公开市场主体登记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  <w:lang w:eastAsia="zh-CN"/>
        </w:rPr>
        <w:t>与许可</w:t>
      </w:r>
      <w:r>
        <w:rPr>
          <w:rFonts w:hint="eastAsia" w:ascii="方正仿宋_GBK" w:eastAsia="方正仿宋_GBK" w:cs="HiddenHorzOCR"/>
          <w:color w:val="auto"/>
          <w:kern w:val="0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7580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条、行政处罚信息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581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“双随机一公开”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检查结果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_GBK" w:eastAsia="方正仿宋_GBK" w:cs="HiddenHorzOC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依申</w:t>
      </w:r>
      <w:r>
        <w:rPr>
          <w:rFonts w:hint="eastAsia" w:ascii="方正楷体_GBK" w:eastAsia="方正楷体_GBK" w:cs="HiddenHorzOCR"/>
          <w:kern w:val="0"/>
          <w:sz w:val="32"/>
          <w:szCs w:val="32"/>
        </w:rPr>
        <w:t>请公开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。更新并及时发布《云阳县市场监督管理局信息公开指南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年版）》，公开依申请公开渠道、注意事项等内容，切实保障公众知情权和监督权。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受理回复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政府信息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楷体_GBK" w:eastAsia="方正楷体_GBK" w:cs="HiddenHorzOCR"/>
          <w:kern w:val="0"/>
          <w:sz w:val="32"/>
          <w:szCs w:val="32"/>
        </w:rPr>
        <w:t>（三）政府信息管理。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加强信息审核把关，办公室设立专人专岗负责政务信息公开内容上报、更新、维护、组织协调等，形成日常事项经分管领导审批，重大事项报分管领导审核、主要领导审批的规范化流程，为持续加强政务公开提供了强有力的领导力量和组织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eastAsia="方正楷体_GBK" w:cs="HiddenHorzOCR"/>
          <w:kern w:val="0"/>
          <w:sz w:val="32"/>
          <w:szCs w:val="32"/>
        </w:rPr>
        <w:t>（四）</w:t>
      </w:r>
      <w:r>
        <w:rPr>
          <w:rFonts w:hint="eastAsia" w:ascii="方正楷体_GBK" w:eastAsia="方正楷体_GBK" w:cs="HiddenHorzOCR"/>
          <w:kern w:val="0"/>
          <w:sz w:val="32"/>
          <w:szCs w:val="32"/>
          <w:lang w:eastAsia="zh-CN"/>
        </w:rPr>
        <w:t>政府信息公开</w:t>
      </w:r>
      <w:r>
        <w:rPr>
          <w:rFonts w:hint="eastAsia" w:ascii="方正楷体_GBK" w:eastAsia="方正楷体_GBK" w:cs="HiddenHorzOCR"/>
          <w:kern w:val="0"/>
          <w:sz w:val="32"/>
          <w:szCs w:val="32"/>
        </w:rPr>
        <w:t>平台建设。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立足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市场监管职能职责，按照政府信息公开有关要求，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动态调整完善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县政府门户网站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及部门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子网站各类栏目，提高信息公开针对性、浏览信息便捷性。严格落实政府信息公开专栏公开公示要求，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HiddenHorzOCR"/>
          <w:kern w:val="0"/>
          <w:sz w:val="32"/>
          <w:szCs w:val="32"/>
        </w:rPr>
        <w:t>（五）监督保障。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以“责”为先，强化安排部署。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成立以局长为组长、办公室分管领导为副组长、机关各科室负责人为成员的政务公开工作领导小组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并根据人员变动实时调整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，打造职责分明、分工合理、各负其责、齐抓共管的工作局面，确保2024年度公开各项工作任务的标准化、程序化、制度化。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以“民”为本，提升服务实效。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我局始终坚持以人民为中心的发展思想，把群众需求作为政务公开工作的出发点和落脚点。2024年，及时在子网站公开本单位基本情况、职能配置、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预算决算、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领导信息、政策解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读以及食品药品监管领域基层政务公开等内容，切实提高工作透明度和公信力。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以“质”为主，突出重点工作。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政务公开事项进行认真梳理，编制政务公开内容的详细目录，积极推进政策法规、规划计划、决策部署落实情况、财政资金、政策解读等模块信息的及时更新。对主动公开、依申请公开、政务公开平台建设等做好详细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方正黑体_GBK" w:eastAsia="方正黑体_GBK" w:cs="HiddenHorzOCR"/>
          <w:kern w:val="0"/>
          <w:sz w:val="32"/>
          <w:szCs w:val="32"/>
        </w:rPr>
      </w:pPr>
      <w:r>
        <w:rPr>
          <w:rFonts w:hint="eastAsia" w:ascii="方正黑体_GBK" w:eastAsia="方正黑体_GBK" w:cs="HiddenHorzOCR"/>
          <w:kern w:val="0"/>
          <w:sz w:val="32"/>
          <w:szCs w:val="32"/>
        </w:rPr>
        <w:t>二、主动公开政府信息情况</w:t>
      </w:r>
    </w:p>
    <w:tbl>
      <w:tblPr>
        <w:tblStyle w:val="5"/>
        <w:tblW w:w="889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本年制发件数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480" w:rightChars="0" w:firstLine="640" w:firstLineChars="200"/>
        <w:jc w:val="left"/>
        <w:textAlignment w:val="auto"/>
        <w:outlineLvl w:val="9"/>
        <w:rPr>
          <w:rFonts w:hint="eastAsia" w:ascii="方正黑体_GBK" w:eastAsia="方正黑体_GBK" w:cs="HiddenHorzOCR"/>
          <w:kern w:val="0"/>
          <w:sz w:val="32"/>
          <w:szCs w:val="32"/>
        </w:rPr>
      </w:pPr>
      <w:r>
        <w:rPr>
          <w:rFonts w:hint="eastAsia" w:ascii="方正黑体_GBK" w:eastAsia="方正黑体_GBK" w:cs="HiddenHorzOCR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9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261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30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0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eastAsia="方正黑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restart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auto"/>
                <w:sz w:val="20"/>
              </w:rPr>
            </w:pPr>
            <w:r>
              <w:rPr>
                <w:rFonts w:hint="eastAsia" w:ascii="Times New Roman" w:hAnsi="Times New Roman" w:eastAsia="方正书宋_GBK" w:cs="方正书宋_GBK"/>
                <w:color w:val="auto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auto"/>
                <w:sz w:val="20"/>
              </w:rPr>
            </w:pPr>
            <w:r>
              <w:rPr>
                <w:rFonts w:hint="eastAsia" w:ascii="Times New Roman" w:hAnsi="Times New Roman" w:eastAsia="方正书宋_GBK" w:cs="方正书宋_GBK"/>
                <w:color w:val="auto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auto"/>
                <w:sz w:val="20"/>
              </w:rPr>
            </w:pPr>
            <w:r>
              <w:rPr>
                <w:rFonts w:hint="eastAsia" w:ascii="Times New Roman" w:hAnsi="Times New Roman" w:eastAsia="方正书宋_GBK" w:cs="方正书宋_GBK"/>
                <w:color w:val="auto"/>
                <w:sz w:val="20"/>
              </w:rPr>
              <w:t>3.其他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textAlignment w:val="auto"/>
              <w:rPr>
                <w:rFonts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方正书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480" w:rightChars="0" w:firstLine="640" w:firstLineChars="200"/>
        <w:jc w:val="left"/>
        <w:textAlignment w:val="auto"/>
        <w:outlineLvl w:val="9"/>
        <w:rPr>
          <w:rFonts w:hint="eastAsia" w:ascii="方正黑体_GBK" w:eastAsia="方正黑体_GBK" w:cs="HiddenHorzOCR"/>
          <w:kern w:val="0"/>
          <w:sz w:val="32"/>
          <w:szCs w:val="32"/>
        </w:rPr>
      </w:pPr>
      <w:r>
        <w:rPr>
          <w:rFonts w:hint="eastAsia" w:ascii="方正黑体_GBK" w:eastAsia="方正黑体_GBK" w:cs="HiddenHorzOCR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12"/>
        <w:gridCol w:w="613"/>
        <w:gridCol w:w="613"/>
        <w:gridCol w:w="661"/>
        <w:gridCol w:w="566"/>
        <w:gridCol w:w="615"/>
        <w:gridCol w:w="615"/>
        <w:gridCol w:w="615"/>
        <w:gridCol w:w="615"/>
        <w:gridCol w:w="615"/>
        <w:gridCol w:w="615"/>
        <w:gridCol w:w="615"/>
        <w:gridCol w:w="616"/>
        <w:gridCol w:w="4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行政复议</w:t>
            </w:r>
          </w:p>
        </w:tc>
        <w:tc>
          <w:tcPr>
            <w:tcW w:w="59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结果维持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结果纠正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其他结果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总计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未经复议直接起诉</w:t>
            </w:r>
          </w:p>
        </w:tc>
        <w:tc>
          <w:tcPr>
            <w:tcW w:w="2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exac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  <w:lang w:eastAsia="zh-CN"/>
              </w:rPr>
              <w:t>维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0"/>
              </w:rPr>
              <w:t>其他结果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0"/>
              </w:rPr>
              <w:t>尚未审结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年，我局政府信息公开工作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的问题主要体现在：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信息公开的时效性有待进一步提高，部分需要主动公开的事项信息发布不及时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部分群众对政务公开工作的知晓率和参与度还不够高，结合地区实际、自身特点的信息公开较少，与审计业务工作融合较少；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部分信息内容专业性强，缺少解读文件或解读内容过于笼统，解读形式过于单一等问题，不便于公众理解。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2025年，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县市场监管局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将继续以群众需求为导向，进一步深化政务公开工作，落实政府信息公开载体，规范信息制作、发布流程，进一步拓展信息公开的深度和广度，持续以政务公开促审计业务，融合打造阳光审计。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一是加大重视程度，增强政务公开水平。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把“回头看”作为政务公开自查自纠的常态化手段，查找当前不足、深挖风险隐患、堵塞管理漏洞；把“低头看”作为政务公开规范运行的合理化途径，定期召开专题会议，把握当下工作重点，严格审核发布内容，规范信息发布程序；把“向前看”作为政务公开大力开展的精细化抓手，全面推进政务公开，坚持“以公开为常态、不公开为例外”的原则，讲求实效，突出重点，确保公开的信息更加贴近群众、服务群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二是强化制度建设，完善政务公开机制。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健全信息审核机制，保障重点环节责任落实，确保政务公开工作有章可循、有据可查、从严把关，严格按照主动公开和依申请公开的规定要求，加大对公开内容的督促检查，做到发布的信息准确、可靠、不涉密。健全监督考核机制，将政务公开工作纳入到年度绩效考核范畴，加强日常监督和检查，确保政务公开工作落到实处、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三是优化队伍建设，培养政务公开人才。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强对政务公开专岗人员政治理论和业务知识的指导培训，通过线上线下多种载体，全面了解、深入借鉴并积极运用政务服务、政务公开、政府网站及政务新媒体等政策理论和经验做法，持续提升专业理论素养和履职尽责能力，为我局政务公开工作进一步开展打下坚实基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5E4C"/>
    <w:rsid w:val="02A069A9"/>
    <w:rsid w:val="04830280"/>
    <w:rsid w:val="06072AFC"/>
    <w:rsid w:val="06D002F3"/>
    <w:rsid w:val="070D77A7"/>
    <w:rsid w:val="094E7165"/>
    <w:rsid w:val="0CDA382C"/>
    <w:rsid w:val="0F69320D"/>
    <w:rsid w:val="0FD710B9"/>
    <w:rsid w:val="10215AE8"/>
    <w:rsid w:val="1315794D"/>
    <w:rsid w:val="15197A65"/>
    <w:rsid w:val="161B30EA"/>
    <w:rsid w:val="17573E6C"/>
    <w:rsid w:val="1B7147C2"/>
    <w:rsid w:val="1DC8348F"/>
    <w:rsid w:val="1EC255BD"/>
    <w:rsid w:val="245C567C"/>
    <w:rsid w:val="259050F8"/>
    <w:rsid w:val="2616400F"/>
    <w:rsid w:val="269F7488"/>
    <w:rsid w:val="26AE12AF"/>
    <w:rsid w:val="287C329B"/>
    <w:rsid w:val="2A904A5B"/>
    <w:rsid w:val="2B7A7263"/>
    <w:rsid w:val="2BDF15A2"/>
    <w:rsid w:val="2DFE1FC4"/>
    <w:rsid w:val="2E745D91"/>
    <w:rsid w:val="2E8543C5"/>
    <w:rsid w:val="30166612"/>
    <w:rsid w:val="313C1F9B"/>
    <w:rsid w:val="32FA5A51"/>
    <w:rsid w:val="32FE3294"/>
    <w:rsid w:val="336768A1"/>
    <w:rsid w:val="336C6982"/>
    <w:rsid w:val="351F0231"/>
    <w:rsid w:val="35990EE1"/>
    <w:rsid w:val="36203386"/>
    <w:rsid w:val="380127B4"/>
    <w:rsid w:val="398165BD"/>
    <w:rsid w:val="3BE62D15"/>
    <w:rsid w:val="3C8B10BD"/>
    <w:rsid w:val="3C8F39B0"/>
    <w:rsid w:val="3D046B11"/>
    <w:rsid w:val="3E184F30"/>
    <w:rsid w:val="403F0C51"/>
    <w:rsid w:val="417D65A4"/>
    <w:rsid w:val="42157C32"/>
    <w:rsid w:val="426C62A9"/>
    <w:rsid w:val="427142F1"/>
    <w:rsid w:val="42915C45"/>
    <w:rsid w:val="433F3C0D"/>
    <w:rsid w:val="44356A06"/>
    <w:rsid w:val="44932918"/>
    <w:rsid w:val="46630424"/>
    <w:rsid w:val="47120E79"/>
    <w:rsid w:val="47904D13"/>
    <w:rsid w:val="47EB428B"/>
    <w:rsid w:val="4B420188"/>
    <w:rsid w:val="4BEA7F2B"/>
    <w:rsid w:val="4EEF7642"/>
    <w:rsid w:val="503114F7"/>
    <w:rsid w:val="51F90FA4"/>
    <w:rsid w:val="53976918"/>
    <w:rsid w:val="560848FF"/>
    <w:rsid w:val="59603F6C"/>
    <w:rsid w:val="5A0F5F89"/>
    <w:rsid w:val="5BC82D11"/>
    <w:rsid w:val="5E2525D9"/>
    <w:rsid w:val="5F3A7611"/>
    <w:rsid w:val="628D456F"/>
    <w:rsid w:val="62BC58D2"/>
    <w:rsid w:val="62DA4969"/>
    <w:rsid w:val="63941E6D"/>
    <w:rsid w:val="656A25DA"/>
    <w:rsid w:val="66345BD6"/>
    <w:rsid w:val="68424862"/>
    <w:rsid w:val="6AA45D6B"/>
    <w:rsid w:val="6B0E120B"/>
    <w:rsid w:val="6B841526"/>
    <w:rsid w:val="6C396C8D"/>
    <w:rsid w:val="6F3133A4"/>
    <w:rsid w:val="70351024"/>
    <w:rsid w:val="710C3CDF"/>
    <w:rsid w:val="73807825"/>
    <w:rsid w:val="73BF1C91"/>
    <w:rsid w:val="74BF1EEF"/>
    <w:rsid w:val="75D34BF3"/>
    <w:rsid w:val="77EB58A0"/>
    <w:rsid w:val="78606488"/>
    <w:rsid w:val="79083DB0"/>
    <w:rsid w:val="7B05094B"/>
    <w:rsid w:val="7D786200"/>
    <w:rsid w:val="7D8B2CF1"/>
    <w:rsid w:val="7E1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笔杆儿"/>
    <w:qFormat/>
    <w:uiPriority w:val="0"/>
    <w:pPr>
      <w:spacing w:line="400" w:lineRule="atLeast"/>
      <w:ind w:firstLine="200" w:firstLineChars="200"/>
      <w:jc w:val="both"/>
    </w:pPr>
    <w:rPr>
      <w:rFonts w:eastAsia="宋体" w:asciiTheme="majorHAnsi" w:hAnsiTheme="majorHAnsi" w:cstheme="majorBidi"/>
      <w:bCs/>
      <w:kern w:val="2"/>
      <w:sz w:val="24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2024-01-17T07:45:00Z</cp:lastPrinted>
  <dcterms:modified xsi:type="dcterms:W3CDTF">2025-01-23T08:12:27Z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