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ABB780">
      <w:pPr>
        <w:widowControl/>
        <w:spacing w:line="720" w:lineRule="exac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南溪镇2021年财政预算执行情况和</w:t>
      </w:r>
    </w:p>
    <w:p w14:paraId="0BC9CC87">
      <w:pPr>
        <w:widowControl/>
        <w:spacing w:line="720" w:lineRule="exac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2022年财政预算草案的报告</w:t>
      </w:r>
      <w:bookmarkStart w:id="0" w:name="_GoBack"/>
      <w:bookmarkEnd w:id="0"/>
    </w:p>
    <w:p w14:paraId="76AEC6E9">
      <w:pPr>
        <w:widowControl/>
        <w:spacing w:line="58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14:paraId="41FFDE92">
      <w:pPr>
        <w:widowControl/>
        <w:spacing w:line="578" w:lineRule="exact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各位代表：</w:t>
      </w:r>
    </w:p>
    <w:p w14:paraId="0E2719E5">
      <w:pPr>
        <w:overflowPunct w:val="0"/>
        <w:spacing w:line="578" w:lineRule="exact"/>
        <w:ind w:firstLine="625" w:firstLineChars="199"/>
        <w:rPr>
          <w:rFonts w:ascii="Times New Roman" w:hAnsi="Times New Roman"/>
          <w:szCs w:val="32"/>
        </w:rPr>
      </w:pPr>
      <w:r>
        <w:rPr>
          <w:rFonts w:ascii="Times New Roman" w:hAnsi="Times New Roman"/>
          <w:kern w:val="0"/>
          <w:szCs w:val="32"/>
        </w:rPr>
        <w:t>受南溪镇人民政府委托，现将南溪镇2021年财政预算执行情况和2022年财政预算草案报告如下，请予审议。</w:t>
      </w:r>
    </w:p>
    <w:p w14:paraId="19672E2C">
      <w:pPr>
        <w:spacing w:line="578" w:lineRule="exact"/>
        <w:ind w:firstLine="628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一、2021年财政预算执行情况</w:t>
      </w:r>
    </w:p>
    <w:p w14:paraId="308CE469">
      <w:pPr>
        <w:spacing w:line="578" w:lineRule="exact"/>
        <w:ind w:firstLine="628" w:firstLineChars="200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（一）2021年一般预算收支执行情况</w:t>
      </w:r>
    </w:p>
    <w:p w14:paraId="15CB0598">
      <w:pPr>
        <w:numPr>
          <w:ilvl w:val="0"/>
          <w:numId w:val="1"/>
        </w:numPr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2021年一般预算收入执行情况</w:t>
      </w:r>
    </w:p>
    <w:p w14:paraId="5DFDC56B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镇完成一般公共预算本级收入1029.93万元，其中：税收收入完成599.96万元；非税收入完成429.97万元。税收收入占一般公共预算本级收入比重为58%，较2020年降低了31个百分点，充分体现了国家减税政策的落实，收入税种进一步多元化，收入质量进一步提升。</w:t>
      </w:r>
    </w:p>
    <w:p w14:paraId="39E50DAA">
      <w:pPr>
        <w:pStyle w:val="2"/>
        <w:spacing w:line="578" w:lineRule="exact"/>
        <w:ind w:left="0" w:leftChars="0" w:right="314" w:firstLine="628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2021年，一般公共预算本级收入完成1029.93万元，加上一般公共预算上级补助收入9116.63万元，2021年我镇一般公共预算收入总计10146.56万元，同比减少11.51%。</w:t>
      </w:r>
    </w:p>
    <w:p w14:paraId="4914B39E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 一般公共预算支出执行情况</w:t>
      </w:r>
    </w:p>
    <w:p w14:paraId="35C9ED5A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2021年,我镇一般公共预算本级支出10144.13万元，专项上解支出2.43万元，2021年我镇一般公共预算支出总计10146.56万元，同比减少11.51%。</w:t>
      </w:r>
    </w:p>
    <w:p w14:paraId="654EAB73">
      <w:pPr>
        <w:overflowPunct w:val="0"/>
        <w:spacing w:line="578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 一般公共预算收支平衡情况</w:t>
      </w:r>
    </w:p>
    <w:p w14:paraId="18226F51">
      <w:pPr>
        <w:overflowPunct w:val="0"/>
        <w:spacing w:line="578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2021年，我镇一般公共预算收入总计10146.56万元；一般公共预算支出总计10146.56万元。收入总计减去支出总计，当年一般公共预算收支平衡。</w:t>
      </w:r>
    </w:p>
    <w:p w14:paraId="7EAC4577">
      <w:pPr>
        <w:overflowPunct w:val="0"/>
        <w:spacing w:line="578" w:lineRule="exact"/>
        <w:ind w:firstLine="640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（二）政府性基金预算执行情况</w:t>
      </w:r>
    </w:p>
    <w:p w14:paraId="131C1FC6">
      <w:pPr>
        <w:overflowPunct w:val="0"/>
        <w:spacing w:line="578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 政府性基金预算收入执行情况</w:t>
      </w:r>
    </w:p>
    <w:p w14:paraId="13E482B3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2021年我镇政府性基金预算本级收入完成92.44万元，加上上级补助收入4849.28万元,，我镇政府性基金预算收入总计4941.72万元。</w:t>
      </w:r>
    </w:p>
    <w:p w14:paraId="1B36CCAC">
      <w:pPr>
        <w:overflowPunct w:val="0"/>
        <w:spacing w:line="578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 政府性基金预算支出执行情况</w:t>
      </w:r>
    </w:p>
    <w:p w14:paraId="1AE33DCA">
      <w:pPr>
        <w:overflowPunct w:val="0"/>
        <w:spacing w:line="578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2021年我镇政府性基金预算本级支出4939.45万元，政府性基金上解支出2.27万元，我镇政府性基金预算支出总计4941.72万元。</w:t>
      </w:r>
    </w:p>
    <w:p w14:paraId="158C65E8">
      <w:pPr>
        <w:numPr>
          <w:ilvl w:val="0"/>
          <w:numId w:val="2"/>
        </w:numPr>
        <w:overflowPunct w:val="0"/>
        <w:spacing w:line="578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政府性基金收支平衡情况</w:t>
      </w:r>
    </w:p>
    <w:p w14:paraId="1FE2545E">
      <w:pPr>
        <w:overflowPunct w:val="0"/>
        <w:spacing w:line="578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2021年，政府性基金预算收入总计4941.72万元，政府性基金预算支出总计4941.72万元。收入总计减去支出总计，当年政府性基金预算收支平衡。</w:t>
      </w:r>
    </w:p>
    <w:p w14:paraId="72628FEB">
      <w:pPr>
        <w:widowControl/>
        <w:spacing w:line="578" w:lineRule="exact"/>
        <w:ind w:firstLine="628" w:firstLineChars="200"/>
        <w:jc w:val="left"/>
        <w:rPr>
          <w:rFonts w:ascii="Times New Roman" w:hAnsi="Times New Roman" w:eastAsia="方正黑体_GBK"/>
          <w:kern w:val="0"/>
          <w:szCs w:val="32"/>
        </w:rPr>
      </w:pPr>
      <w:r>
        <w:rPr>
          <w:rFonts w:ascii="Times New Roman" w:hAnsi="Times New Roman" w:eastAsia="方正黑体_GBK"/>
          <w:kern w:val="0"/>
          <w:szCs w:val="32"/>
        </w:rPr>
        <w:t>二、2021年财政工作回顾</w:t>
      </w:r>
    </w:p>
    <w:p w14:paraId="19F621A4">
      <w:pPr>
        <w:spacing w:line="578" w:lineRule="exact"/>
        <w:ind w:firstLine="628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2021年，我镇财政工作在镇党委、政府的高度重视和正确领导下，在镇人大主席团监督支持下，坚持深学笃用习近平新时代中国特色社会主义思想，认真贯彻落实党的十九大精神，牢固树立“四个意识”，增强“四个自信”，切实做到“两个维护”，围绕“稳增长、调结构、促改革、惠民生、防风险”工作重点，服务经济建设，认真组织收入，优化支出结构，加强财政监督，坚持依法科学理财、强化预算管理。经全体同事共同努力，各有关部门通力协作，全面完成了各项目标任务，实现财政收</w:t>
      </w:r>
      <w:r>
        <w:rPr>
          <w:rFonts w:ascii="Times New Roman" w:hAnsi="Times New Roman"/>
          <w:szCs w:val="32"/>
        </w:rPr>
        <w:t>支15088.28万元（其中：实现本级收入</w:t>
      </w:r>
      <w:r>
        <w:rPr>
          <w:rFonts w:ascii="Times New Roman" w:hAnsi="Times New Roman"/>
          <w:kern w:val="0"/>
          <w:szCs w:val="32"/>
        </w:rPr>
        <w:t>1122.37</w:t>
      </w:r>
      <w:r>
        <w:rPr>
          <w:rFonts w:ascii="Times New Roman" w:hAnsi="Times New Roman"/>
          <w:szCs w:val="32"/>
        </w:rPr>
        <w:t>万元）。</w:t>
      </w:r>
      <w:r>
        <w:rPr>
          <w:rFonts w:ascii="Times New Roman" w:hAnsi="Times New Roman"/>
          <w:kern w:val="0"/>
          <w:szCs w:val="32"/>
        </w:rPr>
        <w:t>在确保政府正常运转、维护社会稳定、支持地方经济发展中起到了积极作用。</w:t>
      </w:r>
      <w:r>
        <w:rPr>
          <w:rFonts w:ascii="Times New Roman" w:hAnsi="Times New Roman"/>
          <w:szCs w:val="32"/>
        </w:rPr>
        <w:t>预算执行中主要做了以下工作：</w:t>
      </w:r>
    </w:p>
    <w:p w14:paraId="5879BED7">
      <w:pPr>
        <w:widowControl/>
        <w:spacing w:line="578" w:lineRule="exact"/>
        <w:ind w:firstLine="628" w:firstLineChars="200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（一）积极响应县委决策，尽职尽责依法组织收入</w:t>
      </w:r>
    </w:p>
    <w:p w14:paraId="1A9AEE41">
      <w:pPr>
        <w:widowControl/>
        <w:spacing w:line="578" w:lineRule="exact"/>
        <w:ind w:firstLine="628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2021年，镇党委、政府高度重视财政收入工作，定期召开财税联席会议，研究征管办法和措施，并积极配合税务部门对全镇的沙石场、建材、加油站等行业的税收检查，经常与执收部门一块分析研究收入分布情况，并在支付各种款项时严格控制发票，对外地建筑企业在南溪从事建筑工程严格执行税务登记，严把收入源泉关，做到了应收尽收，并按时足额缴纳入库。2021年实现本级收入1122.37万元。其中税收收入</w:t>
      </w:r>
      <w:r>
        <w:rPr>
          <w:rFonts w:ascii="Times New Roman" w:hAnsi="Times New Roman"/>
          <w:szCs w:val="32"/>
        </w:rPr>
        <w:t>599.96</w:t>
      </w:r>
      <w:r>
        <w:rPr>
          <w:rFonts w:ascii="Times New Roman" w:hAnsi="Times New Roman"/>
          <w:kern w:val="0"/>
          <w:szCs w:val="32"/>
        </w:rPr>
        <w:t>万元，非税收入</w:t>
      </w:r>
      <w:r>
        <w:rPr>
          <w:rFonts w:ascii="Times New Roman" w:hAnsi="Times New Roman"/>
          <w:szCs w:val="32"/>
        </w:rPr>
        <w:t>429.97</w:t>
      </w:r>
      <w:r>
        <w:rPr>
          <w:rFonts w:ascii="Times New Roman" w:hAnsi="Times New Roman"/>
          <w:kern w:val="0"/>
          <w:szCs w:val="32"/>
        </w:rPr>
        <w:t>万元，</w:t>
      </w:r>
      <w:r>
        <w:rPr>
          <w:rFonts w:ascii="Times New Roman" w:hAnsi="Times New Roman"/>
          <w:szCs w:val="32"/>
        </w:rPr>
        <w:t>政府性基金预算本级收入92.44万元</w:t>
      </w:r>
      <w:r>
        <w:rPr>
          <w:rFonts w:ascii="Times New Roman" w:hAnsi="Times New Roman"/>
          <w:kern w:val="0"/>
          <w:szCs w:val="32"/>
        </w:rPr>
        <w:t>。</w:t>
      </w:r>
    </w:p>
    <w:p w14:paraId="578EF111">
      <w:pPr>
        <w:widowControl/>
        <w:spacing w:line="578" w:lineRule="exact"/>
        <w:ind w:firstLine="628" w:firstLineChars="200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（二）加强财务管理，严格控制财政支出</w:t>
      </w:r>
    </w:p>
    <w:p w14:paraId="51361F42">
      <w:pPr>
        <w:widowControl/>
        <w:spacing w:line="578" w:lineRule="exact"/>
        <w:ind w:firstLine="628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坚持实行适度从紧、量入为出原则，加强对财政支出的有效管理，严格控制三公经费、差旅费、办公费等非生产性支出，坚信节支也是增收的理念，把有限的财力重点投入到社会稳定、扶贫、乡村振兴、民生等项目，重点投资全镇基础设施改善，人居环境整治、农业产业等项目，体现了财政对社会事业发展的支撑力度，让全镇人民不断增强获得感、幸福感、安全感。</w:t>
      </w:r>
    </w:p>
    <w:p w14:paraId="7DACD772">
      <w:pPr>
        <w:widowControl/>
        <w:spacing w:line="578" w:lineRule="exact"/>
        <w:ind w:firstLine="628" w:firstLineChars="200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（三）增强服务功能，落实惠民政策</w:t>
      </w:r>
    </w:p>
    <w:p w14:paraId="1A0A4C79">
      <w:pPr>
        <w:widowControl/>
        <w:spacing w:line="578" w:lineRule="exact"/>
        <w:ind w:firstLine="628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一是认真贯彻落实中央各项惠民政策，积极做好耕地地力保护补贴工作，通过“一卡通”发放农户耕地保护补贴和实际种粮一次性补贴资金 808万元。二是以脱贫攻坚为契机，加大农村基础设施投入，一年来，共投入通畅路、机耕道、高标准农田、卫生厕所、村容村貌改造、农业产业等项目资金6000余万元，改善了农村基础设施面貌，解决了村民出行、生产、生活方面的难题。</w:t>
      </w:r>
    </w:p>
    <w:p w14:paraId="6652EB85">
      <w:pPr>
        <w:widowControl/>
        <w:spacing w:line="578" w:lineRule="exact"/>
        <w:ind w:firstLine="628" w:firstLineChars="200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（四）强化村级财务管理，规范村级财务收支行为</w:t>
      </w:r>
    </w:p>
    <w:p w14:paraId="624A196A">
      <w:pPr>
        <w:widowControl/>
        <w:spacing w:line="578" w:lineRule="exact"/>
        <w:ind w:firstLine="628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加强村级财务管理，增强了村级财务收支透明度，客观真实反映村级财务收支状况，提升村级理财水平。通过财政监督，进一步完善了村级财务管理制度，规范了全镇各村财务收支行为，防患了村干部履职风险。</w:t>
      </w:r>
    </w:p>
    <w:p w14:paraId="4669B560">
      <w:pPr>
        <w:widowControl/>
        <w:spacing w:line="578" w:lineRule="exact"/>
        <w:ind w:firstLine="628" w:firstLineChars="200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（五）发挥内审职能，促进财务规范管理</w:t>
      </w:r>
    </w:p>
    <w:p w14:paraId="63C587F2">
      <w:pPr>
        <w:widowControl/>
        <w:spacing w:line="578" w:lineRule="exact"/>
        <w:ind w:firstLine="628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充分认识内部审计工作的重要性，进一步督促各单位和村（社区）管好用好财政资金，提高专项资金的使用效率。强化民主议事程序，规范村集体资金的使用。聘请三方机构对全镇34个村（社区）干部任期和离任进行了经济责任审计，规范了村干部履职行为。加强村级债务、集体资源、资金、资产的有效管理，充分发挥了内部审计的职能作用。</w:t>
      </w:r>
    </w:p>
    <w:p w14:paraId="7A661F1F">
      <w:pPr>
        <w:widowControl/>
        <w:spacing w:line="578" w:lineRule="exact"/>
        <w:ind w:firstLine="628" w:firstLineChars="200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（六）加强廉政教育，抓好队伍建设</w:t>
      </w:r>
    </w:p>
    <w:p w14:paraId="7D6C0DC7">
      <w:pPr>
        <w:widowControl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kern w:val="0"/>
          <w:szCs w:val="32"/>
        </w:rPr>
        <w:t xml:space="preserve">认真贯彻执行党的十九大精神，认真开展学习教育活动，以深化财政改革为动力，以制度创新为保障，以制权、管钱、用人为主线，以源头治腐为重点，深入开展财政系统自身的反腐倡廉培训、学习，主动接受镇人大、镇纪委和社会各界的民主监督。    </w:t>
      </w:r>
    </w:p>
    <w:p w14:paraId="6B88F05A">
      <w:pPr>
        <w:spacing w:line="578" w:lineRule="exact"/>
        <w:ind w:firstLine="628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三、2022年财政预算草案</w:t>
      </w:r>
    </w:p>
    <w:p w14:paraId="71F0E742">
      <w:pPr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镇2022年预算编制，按照镇党委、政府的工作思路和上级财政工作要求，结合我镇经济发展状况，以及各项事业发展的需要，结合县乡“分灶”吃饭财政体制政策，本着量入为出、以收定支，保证重点，统筹兼顾、略有节余的原则。</w:t>
      </w:r>
    </w:p>
    <w:p w14:paraId="534B0A6A">
      <w:pPr>
        <w:overflowPunct w:val="0"/>
        <w:spacing w:line="578" w:lineRule="exact"/>
        <w:ind w:firstLine="628" w:firstLineChars="200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（一）一般公共预算收支预算草案</w:t>
      </w:r>
    </w:p>
    <w:p w14:paraId="4D2B392E">
      <w:pPr>
        <w:overflowPunct w:val="0"/>
        <w:spacing w:line="578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 一般公共预算收入情况。2022年我镇一般公共预算本级收入预计737.52万元，其中税收收入621.84万元，非税收入115.68万元。加上上级补助收入5178.93万元，我镇一般公共预算收入总计5916.45万元。</w:t>
      </w:r>
    </w:p>
    <w:p w14:paraId="51FA9632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 一般公共预算支出情况。我镇一般公共预算本级支出预计5916.45万元。一般公共预算支出安排重点：</w:t>
      </w:r>
    </w:p>
    <w:p w14:paraId="64A2F5BD">
      <w:pPr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——一般公共预算服务支出1575.65万元，主要用于保障政府、村镇管理、行政执法大队人员经费以及政府基本运转。</w:t>
      </w:r>
    </w:p>
    <w:p w14:paraId="037CDBB8">
      <w:pPr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——国防支出8万元，主要用于春秋季征兵入伍。</w:t>
      </w:r>
    </w:p>
    <w:p w14:paraId="345D5785">
      <w:pPr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——教育支出10万元，主要用于教师节慰问，对学校的奖补。</w:t>
      </w:r>
    </w:p>
    <w:p w14:paraId="3748563F">
      <w:pPr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——文化旅游体育与传媒支出63.51万元，主要用于保障文化站的基本运转。</w:t>
      </w:r>
    </w:p>
    <w:p w14:paraId="081CE510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——社会保障和就业支出2480.53万元。主要用于城乡居民最低生活保障；社保所、退役军人服务站的基本运转；落实优抚对象补助；落实城乡困难群众救助政策；推动残疾人事业发展等。</w:t>
      </w:r>
    </w:p>
    <w:p w14:paraId="5EA7E0E4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——节能环保支出30万元。主要用于农村人居环境整治。</w:t>
      </w:r>
    </w:p>
    <w:p w14:paraId="30B547DF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——卫生健康支出141.72万元。主要用于保障行政事业单位医疗；优抚对象药费救助；计划生育家庭奖扶及结扎后遗症患者救助等。</w:t>
      </w:r>
    </w:p>
    <w:p w14:paraId="5B036E1C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——城乡社区支出250万元。主要用于场镇及社区环境卫生整治，加快推进小城镇建设等。</w:t>
      </w:r>
    </w:p>
    <w:p w14:paraId="5395FD95">
      <w:pPr>
        <w:overflowPunct w:val="0"/>
        <w:spacing w:line="578" w:lineRule="exact"/>
        <w:ind w:left="628" w:left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——农林水支出1113.49万元。主要用于保障农业服务中心</w:t>
      </w:r>
    </w:p>
    <w:p w14:paraId="1410D950">
      <w:pPr>
        <w:overflowPunct w:val="0"/>
        <w:spacing w:line="578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及各村级运转。</w:t>
      </w:r>
    </w:p>
    <w:p w14:paraId="62D9AD2C">
      <w:pPr>
        <w:pStyle w:val="2"/>
        <w:spacing w:line="578" w:lineRule="exact"/>
        <w:ind w:left="314" w:right="314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——交通运输支出20万元。主要用于本行政区域内乡道及建制村、撤并村公路的养护管理工作，及时清除坍塌方，清理边沟、涵洞，修复水毁等，确保路面无坑凼，边沟、涵洞排水顺畅，构筑物安全。</w:t>
      </w:r>
    </w:p>
    <w:p w14:paraId="50D316FA">
      <w:pPr>
        <w:overflowPunct w:val="0"/>
        <w:spacing w:line="578" w:lineRule="exact"/>
        <w:ind w:left="628" w:left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——住房保障方面支出105.55万元。主要用于保障在职人员住房公积金。</w:t>
      </w:r>
    </w:p>
    <w:p w14:paraId="7AF99EED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——灾害防治及应急管理支出40万元。主要用于消防队基本运转支出。</w:t>
      </w:r>
    </w:p>
    <w:p w14:paraId="0F20D3F4">
      <w:pPr>
        <w:pStyle w:val="2"/>
        <w:spacing w:line="578" w:lineRule="exact"/>
        <w:ind w:left="314" w:right="314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——预备费78万元。</w:t>
      </w:r>
    </w:p>
    <w:p w14:paraId="3FD7DAD7">
      <w:pPr>
        <w:overflowPunct w:val="0"/>
        <w:spacing w:line="578" w:lineRule="exact"/>
        <w:ind w:firstLine="628" w:firstLineChars="200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（二）政府性基金预算收支预算草案</w:t>
      </w:r>
    </w:p>
    <w:p w14:paraId="46C86A62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2021年我镇政府性基金预算本级收入预计80万元，。</w:t>
      </w:r>
    </w:p>
    <w:p w14:paraId="7BCEFC0C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政府性基金支出安排重点：</w:t>
      </w:r>
    </w:p>
    <w:p w14:paraId="4CEF4E8E">
      <w:pPr>
        <w:overflowPunct w:val="0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——污水处理费收入安排的支出80万元，主要用于场镇社区环境卫生及基础设施建设，污水管网管护等。</w:t>
      </w:r>
    </w:p>
    <w:p w14:paraId="327F2944">
      <w:pPr>
        <w:pStyle w:val="5"/>
        <w:shd w:val="clear" w:color="auto" w:fill="FFFFFF"/>
        <w:spacing w:before="0" w:beforeAutospacing="0" w:after="0" w:afterAutospacing="0" w:line="578" w:lineRule="exact"/>
        <w:ind w:firstLine="942" w:firstLineChars="300"/>
        <w:rPr>
          <w:rFonts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四、2022年财政工作思路及重点</w:t>
      </w:r>
    </w:p>
    <w:p w14:paraId="08A74DA1">
      <w:pPr>
        <w:numPr>
          <w:ilvl w:val="0"/>
          <w:numId w:val="3"/>
        </w:numPr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hint="eastAsia" w:ascii="方正楷体_GBK" w:hAnsi="Times New Roman" w:eastAsia="方正楷体_GBK"/>
          <w:szCs w:val="32"/>
        </w:rPr>
        <w:t>强化收入征管，做大财政收入“蛋糕”。</w:t>
      </w:r>
      <w:r>
        <w:rPr>
          <w:rFonts w:ascii="Times New Roman" w:hAnsi="Times New Roman"/>
          <w:szCs w:val="32"/>
        </w:rPr>
        <w:t>一是做好协税护税工作，与税务部门紧密配合，协助征管，加大税收征管力度，竭尽全力做到应收尽收。二是加强与村建、国土、农业、交安等部门通力协作，加大</w:t>
      </w:r>
      <w:r>
        <w:rPr>
          <w:rFonts w:ascii="Times New Roman" w:hAnsi="Times New Roman"/>
          <w:color w:val="000000"/>
          <w:kern w:val="0"/>
          <w:szCs w:val="32"/>
        </w:rPr>
        <w:t>城市建设配套费、国有资产处置收益、国土、渔业、交通等罚没收入的征管力度，硬化收入征管举措，努力挖掘财政增收潜力。三是与水利部门协作，保证场镇垃圾、污水处理费做到应收尽收，确保收入全额入库。四是对中小企业集聚区加大财政投入，尽早完成招商企业入驻南溪，积极培植税源。</w:t>
      </w:r>
      <w:r>
        <w:rPr>
          <w:rFonts w:ascii="Times New Roman" w:hAnsi="Times New Roman"/>
          <w:szCs w:val="32"/>
        </w:rPr>
        <w:t>通过增添措施，挖掘增收潜力，促进财政收入持续稳定增长，确保2022年度财政收入任务圆满完成。</w:t>
      </w:r>
    </w:p>
    <w:p w14:paraId="5133645E">
      <w:pPr>
        <w:widowControl/>
        <w:spacing w:line="578" w:lineRule="exact"/>
        <w:ind w:firstLine="435"/>
        <w:jc w:val="left"/>
        <w:rPr>
          <w:rFonts w:ascii="方正楷体_GBK" w:hAnsi="Times New Roman" w:eastAsia="方正楷体_GBK"/>
          <w:szCs w:val="32"/>
        </w:rPr>
      </w:pPr>
      <w:r>
        <w:rPr>
          <w:rFonts w:ascii="方正楷体_GBK" w:hAnsi="Times New Roman" w:eastAsia="方正楷体_GBK"/>
          <w:szCs w:val="32"/>
        </w:rPr>
        <w:t xml:space="preserve"> （二）积极利用政策，增强镇域经济活力</w:t>
      </w:r>
    </w:p>
    <w:p w14:paraId="69BF1CFF">
      <w:pPr>
        <w:widowControl/>
        <w:spacing w:line="578" w:lineRule="exact"/>
        <w:ind w:firstLine="628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color w:val="000000"/>
          <w:kern w:val="0"/>
          <w:szCs w:val="32"/>
        </w:rPr>
        <w:t>深入学习和领会中央、市、县三级财政工作会议精神，把握国家政策导向和资金投放重点，围绕国家重点支持的三农工作、民生改善、环境保护、供给侧改革、千亿工业等方面工作，结合南溪镇实际，精心编制、申报、储备一批重点项目。抓好基础性建设项目的申报，加大发展性项目的申报力度，特别是有辐射性带动作用的项目。充分利用市级中心镇的区位优势，积极向上争取更多的政策性资金，支持镇重点工程项目建设，增强镇域经济活力。强化与相关职能部门的协调配合，全面实施一批民生工程，配合做好壮大村集体经济项目落实。抓好各项基础资料的上报工作，确保各项信息资料准确，使各项惠民政策落到实处。</w:t>
      </w:r>
    </w:p>
    <w:p w14:paraId="2C59B129">
      <w:pPr>
        <w:widowControl/>
        <w:spacing w:line="578" w:lineRule="exact"/>
        <w:ind w:firstLine="628" w:firstLineChars="200"/>
        <w:jc w:val="left"/>
        <w:rPr>
          <w:rFonts w:hint="eastAsia" w:ascii="方正楷体_GBK" w:hAnsi="Times New Roman" w:eastAsia="方正楷体_GBK"/>
          <w:szCs w:val="32"/>
        </w:rPr>
      </w:pPr>
      <w:r>
        <w:rPr>
          <w:rFonts w:ascii="方正楷体_GBK" w:hAnsi="Times New Roman" w:eastAsia="方正楷体_GBK"/>
          <w:szCs w:val="32"/>
        </w:rPr>
        <w:t>（三）进一步加强项目管理，提高资金使用绩效。</w:t>
      </w:r>
    </w:p>
    <w:p w14:paraId="17848E77">
      <w:pPr>
        <w:widowControl/>
        <w:spacing w:line="578" w:lineRule="exact"/>
        <w:ind w:firstLine="628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一是注重项目可研性，要充分考虑项目实施投入使用后所发挥的经济效益和社会效益。坚持用钱必生效，多建设效益好的项目。二是注重项目全过程监管。从项目申报、下达资金计划、分配、实施、验收、资金拨付等各个环节，严格按照县、镇工程管理及资金使用管理办法进行操作与实施，规范程序流程，确保资金使用安全。三是加强会计基础核算工作。</w:t>
      </w:r>
    </w:p>
    <w:p w14:paraId="2516626A">
      <w:pPr>
        <w:widowControl/>
        <w:spacing w:line="578" w:lineRule="exact"/>
        <w:ind w:firstLine="628" w:firstLineChars="200"/>
        <w:jc w:val="left"/>
        <w:rPr>
          <w:rFonts w:ascii="Times New Roman" w:hAnsi="Times New Roman"/>
          <w:szCs w:val="32"/>
        </w:rPr>
      </w:pPr>
      <w:r>
        <w:rPr>
          <w:rFonts w:ascii="方正楷体_GBK" w:hAnsi="Times New Roman" w:eastAsia="方正楷体_GBK"/>
          <w:szCs w:val="32"/>
        </w:rPr>
        <w:t>（四）强化村财镇管工作，提高村财管理水平。</w:t>
      </w:r>
      <w:r>
        <w:rPr>
          <w:rFonts w:ascii="Times New Roman" w:hAnsi="Times New Roman"/>
          <w:szCs w:val="32"/>
        </w:rPr>
        <w:t>实行村财镇管后，</w:t>
      </w:r>
      <w:r>
        <w:rPr>
          <w:rFonts w:hint="eastAsia" w:ascii="Times New Roman" w:hAnsi="Times New Roman"/>
          <w:szCs w:val="32"/>
          <w:lang w:eastAsia="zh-CN"/>
        </w:rPr>
        <w:t>账务处理</w:t>
      </w:r>
      <w:r>
        <w:rPr>
          <w:rFonts w:ascii="Times New Roman" w:hAnsi="Times New Roman"/>
          <w:szCs w:val="32"/>
        </w:rPr>
        <w:t>、发票合法合规性、审批流程、资金拨付、档案管理、公示公开等有了明显提升。但存在村干部对村财镇管意识不强，极少数还停留白条入帐，手续简单化上面，核算不准确不及时，业务水平不高等问题。2022年，我镇将按照村财规范化管理要求，经济责任审计提出的建议，从财经纪律、制度完善、规范发票、会计核算、规范审批流程、档案管理等方面着手，进一步提高村财镇管的管理水平。</w:t>
      </w:r>
    </w:p>
    <w:p w14:paraId="2FA8CE1B">
      <w:pPr>
        <w:pStyle w:val="2"/>
        <w:spacing w:line="578" w:lineRule="exact"/>
        <w:ind w:left="0" w:leftChars="0" w:right="314" w:firstLine="628" w:firstLineChars="200"/>
        <w:rPr>
          <w:rFonts w:ascii="Times New Roman" w:hAnsi="Times New Roman"/>
          <w:szCs w:val="32"/>
        </w:rPr>
      </w:pPr>
      <w:r>
        <w:rPr>
          <w:rFonts w:ascii="方正楷体_GBK" w:hAnsi="Times New Roman" w:eastAsia="方正楷体_GBK"/>
          <w:szCs w:val="32"/>
        </w:rPr>
        <w:t>（五）加强制度建设，努力降低行政成本。</w:t>
      </w:r>
      <w:r>
        <w:rPr>
          <w:rFonts w:ascii="Times New Roman" w:hAnsi="Times New Roman"/>
          <w:szCs w:val="32"/>
        </w:rPr>
        <w:t>随着时间推移，我镇一系列机关管理制度要及时修改补充完善，注重操作性和实用性。特别是《南溪镇财政财务管理制度》、《内控制度》等，要细化费用细项，采购费、车修油料费、办公费、差旅费、伙食费、“三公”经费等必须严格控制，必须树立过紧日子思想，从严控制非生产性支出。建立健全内控体系，实行国库电子化支付后，设置岗位要严谨，必须是不相容工作岗位，达到相互制约，规范各业务流程，严格执行内控制度的各项规定，堵塞财务管理漏洞，确保资金运行安全。</w:t>
      </w:r>
    </w:p>
    <w:p w14:paraId="621AD098">
      <w:pPr>
        <w:shd w:val="clear" w:color="auto" w:fill="FFFFFF"/>
        <w:spacing w:line="578" w:lineRule="exact"/>
        <w:ind w:firstLine="628" w:firstLineChars="200"/>
        <w:rPr>
          <w:rFonts w:ascii="Times New Roman" w:hAnsi="Times New Roman"/>
          <w:szCs w:val="32"/>
        </w:rPr>
      </w:pPr>
      <w:r>
        <w:rPr>
          <w:rFonts w:ascii="方正楷体_GBK" w:hAnsi="Times New Roman" w:eastAsia="方正楷体_GBK"/>
          <w:szCs w:val="32"/>
        </w:rPr>
        <w:t>（六）加强学习，提升财政管理水平。</w:t>
      </w:r>
      <w:r>
        <w:rPr>
          <w:rFonts w:ascii="Times New Roman" w:hAnsi="Times New Roman"/>
          <w:szCs w:val="32"/>
        </w:rPr>
        <w:t>学习是永恒的主题。随着财政改革不断深入，国库集中支付电子化、部门预算、绩效目标管理等要求质量高，我们财政工作者必须加强学习，</w:t>
      </w:r>
      <w:r>
        <w:rPr>
          <w:rFonts w:hint="eastAsia" w:ascii="Times New Roman" w:hAnsi="Times New Roman"/>
          <w:szCs w:val="32"/>
        </w:rPr>
        <w:t>掌握政策</w:t>
      </w:r>
      <w:r>
        <w:rPr>
          <w:rFonts w:ascii="Times New Roman" w:hAnsi="Times New Roman"/>
          <w:szCs w:val="32"/>
        </w:rPr>
        <w:t>，熟悉业务，扎实练好基本功，不断提升精细化、科学化管理财政水平，才能更好地做好各项财政工作。</w:t>
      </w:r>
    </w:p>
    <w:p w14:paraId="418D423A">
      <w:pPr>
        <w:widowControl/>
        <w:spacing w:line="578" w:lineRule="exact"/>
        <w:ind w:firstLine="628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各位代表，2022年南溪镇财政工作在镇党委、政府的坚强领导下，在镇人大和社会各界的监督支持下，面对艰巨的财政工作任务，我们将勇于挑战,变压力为动力，开拓进取，真抓实干，勤奋工作，圆满完成2022年财政工作目标任务。</w:t>
      </w:r>
    </w:p>
    <w:p w14:paraId="508FE39B">
      <w:pPr>
        <w:spacing w:line="578" w:lineRule="exact"/>
        <w:ind w:firstLine="628" w:firstLineChars="200"/>
        <w:rPr>
          <w:rFonts w:ascii="Times New Roman" w:hAnsi="Times New Roman"/>
          <w:szCs w:val="32"/>
        </w:rPr>
      </w:pPr>
    </w:p>
    <w:p w14:paraId="381B12C7">
      <w:pPr>
        <w:widowControl/>
        <w:spacing w:line="578" w:lineRule="exact"/>
        <w:ind w:firstLine="628" w:firstLineChars="200"/>
        <w:jc w:val="left"/>
        <w:rPr>
          <w:rFonts w:ascii="Times New Roman" w:hAnsi="Times New Roman"/>
          <w:szCs w:val="32"/>
        </w:rPr>
      </w:pPr>
    </w:p>
    <w:p w14:paraId="5F0F6962">
      <w:pPr>
        <w:tabs>
          <w:tab w:val="left" w:pos="5399"/>
        </w:tabs>
        <w:spacing w:line="578" w:lineRule="exact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云阳县南溪镇人民政府</w:t>
      </w:r>
    </w:p>
    <w:p w14:paraId="686DC990">
      <w:pPr>
        <w:pStyle w:val="2"/>
        <w:spacing w:line="578" w:lineRule="exact"/>
        <w:ind w:left="314" w:right="314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2022年5月11日</w:t>
      </w:r>
    </w:p>
    <w:p w14:paraId="624B9D3E">
      <w:pPr>
        <w:rPr>
          <w:rFonts w:ascii="Times New Roman" w:hAnsi="Times New Roman"/>
        </w:rPr>
      </w:pPr>
    </w:p>
    <w:p w14:paraId="5D2B5E72">
      <w:pPr>
        <w:rPr>
          <w:rFonts w:ascii="Times New Roman" w:hAnsi="Times New Roman"/>
        </w:rPr>
      </w:pPr>
    </w:p>
    <w:p w14:paraId="1648575D">
      <w:pPr>
        <w:tabs>
          <w:tab w:val="left" w:pos="6359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>
      <w:footerReference r:id="rId3" w:type="default"/>
      <w:footerReference r:id="rId4" w:type="even"/>
      <w:pgSz w:w="11849" w:h="16838"/>
      <w:pgMar w:top="2098" w:right="1531" w:bottom="1984" w:left="1531" w:header="851" w:footer="1474" w:gutter="0"/>
      <w:cols w:space="720" w:num="1"/>
      <w:docGrid w:type="linesAndChar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7BA58">
    <w:pPr>
      <w:pStyle w:val="3"/>
      <w:ind w:right="320" w:rightChars="100"/>
      <w:jc w:val="right"/>
      <w:rPr>
        <w:rFonts w:ascii="方正仿宋_GBK" w:hAnsi="方正仿宋_GBK" w:cs="方正仿宋_GBK"/>
        <w:sz w:val="28"/>
        <w:szCs w:val="28"/>
      </w:rPr>
    </w:pPr>
    <w:r>
      <w:rPr>
        <w:sz w:val="28"/>
      </w:rPr>
      <w:pict>
        <v:shape id="文本框9" o:spid="_x0000_s3073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CC61CD8">
                <w:pPr>
                  <w:snapToGrid w:val="0"/>
                  <w:ind w:right="320" w:rightChars="10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fldChar w:fldCharType="separate"/>
                </w:r>
                <w:r>
                  <w:t>9</w:t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BD3E9">
    <w:pPr>
      <w:pStyle w:val="3"/>
    </w:pPr>
    <w:r>
      <w:pict>
        <v:shape id="_x0000_s3074" o:spid="_x0000_s3074" o:spt="202" type="#_x0000_t202" style="position:absolute;left:0pt;margin-left:-0.3pt;margin-top:-15pt;height:20.85pt;width:48.9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2FFD21A">
                <w:pPr>
                  <w:snapToGrid w:val="0"/>
                  <w:ind w:left="320" w:leftChars="100"/>
                  <w:jc w:val="left"/>
                  <w:rPr>
                    <w:sz w:val="18"/>
                  </w:rPr>
                </w:pP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88991"/>
    <w:multiLevelType w:val="singleLevel"/>
    <w:tmpl w:val="12D889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AB1EEB"/>
    <w:multiLevelType w:val="singleLevel"/>
    <w:tmpl w:val="63AB1EEB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74ED5A08"/>
    <w:multiLevelType w:val="singleLevel"/>
    <w:tmpl w:val="74ED5A0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289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OGM0OWFiM2U4MDc5Y2UxMGU3ODI2MDJjZGQ5NTkifQ=="/>
  </w:docVars>
  <w:rsids>
    <w:rsidRoot w:val="00172A27"/>
    <w:rsid w:val="00011AED"/>
    <w:rsid w:val="00021382"/>
    <w:rsid w:val="00040218"/>
    <w:rsid w:val="000758A7"/>
    <w:rsid w:val="0008575C"/>
    <w:rsid w:val="000A3531"/>
    <w:rsid w:val="000B0574"/>
    <w:rsid w:val="000B410E"/>
    <w:rsid w:val="000B7B76"/>
    <w:rsid w:val="000C4CC8"/>
    <w:rsid w:val="000D2BCD"/>
    <w:rsid w:val="000F293E"/>
    <w:rsid w:val="0010678E"/>
    <w:rsid w:val="00112F69"/>
    <w:rsid w:val="00136A8D"/>
    <w:rsid w:val="0014537D"/>
    <w:rsid w:val="00172A27"/>
    <w:rsid w:val="001779B9"/>
    <w:rsid w:val="001A315B"/>
    <w:rsid w:val="001B383D"/>
    <w:rsid w:val="001C0088"/>
    <w:rsid w:val="001F318C"/>
    <w:rsid w:val="0025299B"/>
    <w:rsid w:val="002962B7"/>
    <w:rsid w:val="002B7C7D"/>
    <w:rsid w:val="002D3F99"/>
    <w:rsid w:val="0030237A"/>
    <w:rsid w:val="0034282B"/>
    <w:rsid w:val="00345215"/>
    <w:rsid w:val="00372F7F"/>
    <w:rsid w:val="003A6217"/>
    <w:rsid w:val="003B21C5"/>
    <w:rsid w:val="003D574D"/>
    <w:rsid w:val="003F7BBC"/>
    <w:rsid w:val="004068B2"/>
    <w:rsid w:val="00446E1A"/>
    <w:rsid w:val="0045375E"/>
    <w:rsid w:val="00465FF0"/>
    <w:rsid w:val="004730B0"/>
    <w:rsid w:val="00482B67"/>
    <w:rsid w:val="00482D32"/>
    <w:rsid w:val="004A21F8"/>
    <w:rsid w:val="004E6617"/>
    <w:rsid w:val="004F2E83"/>
    <w:rsid w:val="00506FCA"/>
    <w:rsid w:val="00534087"/>
    <w:rsid w:val="00552B9F"/>
    <w:rsid w:val="00554FEA"/>
    <w:rsid w:val="005578C7"/>
    <w:rsid w:val="005672A4"/>
    <w:rsid w:val="005B0D6D"/>
    <w:rsid w:val="005C67C5"/>
    <w:rsid w:val="005D5C23"/>
    <w:rsid w:val="005D6FFE"/>
    <w:rsid w:val="005F3854"/>
    <w:rsid w:val="00632C7F"/>
    <w:rsid w:val="00645B56"/>
    <w:rsid w:val="006820C3"/>
    <w:rsid w:val="00684A23"/>
    <w:rsid w:val="006B087C"/>
    <w:rsid w:val="006D315E"/>
    <w:rsid w:val="006E2716"/>
    <w:rsid w:val="007107DA"/>
    <w:rsid w:val="00770662"/>
    <w:rsid w:val="007A75E8"/>
    <w:rsid w:val="007C50C7"/>
    <w:rsid w:val="007C5D60"/>
    <w:rsid w:val="007E0AF2"/>
    <w:rsid w:val="007E6B4C"/>
    <w:rsid w:val="00815326"/>
    <w:rsid w:val="00826A57"/>
    <w:rsid w:val="008431EB"/>
    <w:rsid w:val="00845FE3"/>
    <w:rsid w:val="00851A33"/>
    <w:rsid w:val="0086329A"/>
    <w:rsid w:val="00874015"/>
    <w:rsid w:val="008761AB"/>
    <w:rsid w:val="008B2B60"/>
    <w:rsid w:val="008C131F"/>
    <w:rsid w:val="008E3D94"/>
    <w:rsid w:val="00923E37"/>
    <w:rsid w:val="00940253"/>
    <w:rsid w:val="00942EC2"/>
    <w:rsid w:val="0094371C"/>
    <w:rsid w:val="00983454"/>
    <w:rsid w:val="00984371"/>
    <w:rsid w:val="009A21BB"/>
    <w:rsid w:val="009B222A"/>
    <w:rsid w:val="009E24FF"/>
    <w:rsid w:val="009E4D8B"/>
    <w:rsid w:val="009E5445"/>
    <w:rsid w:val="00A014CA"/>
    <w:rsid w:val="00A12749"/>
    <w:rsid w:val="00A13D0F"/>
    <w:rsid w:val="00A21DDF"/>
    <w:rsid w:val="00A35B8C"/>
    <w:rsid w:val="00A53B30"/>
    <w:rsid w:val="00A639D3"/>
    <w:rsid w:val="00A65FB6"/>
    <w:rsid w:val="00A719C4"/>
    <w:rsid w:val="00A85A04"/>
    <w:rsid w:val="00A91FB6"/>
    <w:rsid w:val="00AB6E23"/>
    <w:rsid w:val="00AC261B"/>
    <w:rsid w:val="00AD2944"/>
    <w:rsid w:val="00AE5CB7"/>
    <w:rsid w:val="00AF029B"/>
    <w:rsid w:val="00AF4AA6"/>
    <w:rsid w:val="00B01441"/>
    <w:rsid w:val="00B121A5"/>
    <w:rsid w:val="00B13AD4"/>
    <w:rsid w:val="00B14C00"/>
    <w:rsid w:val="00B1754B"/>
    <w:rsid w:val="00B475D9"/>
    <w:rsid w:val="00B538DA"/>
    <w:rsid w:val="00B736DA"/>
    <w:rsid w:val="00B8655F"/>
    <w:rsid w:val="00B9471D"/>
    <w:rsid w:val="00B96CE6"/>
    <w:rsid w:val="00BC3F58"/>
    <w:rsid w:val="00BC5FBE"/>
    <w:rsid w:val="00BC7D35"/>
    <w:rsid w:val="00C1710E"/>
    <w:rsid w:val="00C21BAE"/>
    <w:rsid w:val="00C328DD"/>
    <w:rsid w:val="00C50177"/>
    <w:rsid w:val="00C50C6F"/>
    <w:rsid w:val="00C61EDF"/>
    <w:rsid w:val="00C94999"/>
    <w:rsid w:val="00CB5F1F"/>
    <w:rsid w:val="00CB7D38"/>
    <w:rsid w:val="00CB7F08"/>
    <w:rsid w:val="00CD27C4"/>
    <w:rsid w:val="00CD2D6E"/>
    <w:rsid w:val="00CF4436"/>
    <w:rsid w:val="00D02AC9"/>
    <w:rsid w:val="00D06F31"/>
    <w:rsid w:val="00D11E9E"/>
    <w:rsid w:val="00D65F62"/>
    <w:rsid w:val="00D7125C"/>
    <w:rsid w:val="00D82072"/>
    <w:rsid w:val="00D85C16"/>
    <w:rsid w:val="00D87605"/>
    <w:rsid w:val="00D9173A"/>
    <w:rsid w:val="00DA09D2"/>
    <w:rsid w:val="00DA4A8A"/>
    <w:rsid w:val="00DD5219"/>
    <w:rsid w:val="00E017FF"/>
    <w:rsid w:val="00E35F2F"/>
    <w:rsid w:val="00E5098F"/>
    <w:rsid w:val="00E53E9C"/>
    <w:rsid w:val="00E5640D"/>
    <w:rsid w:val="00E565B1"/>
    <w:rsid w:val="00E711E9"/>
    <w:rsid w:val="00E86370"/>
    <w:rsid w:val="00EB3938"/>
    <w:rsid w:val="00ED2488"/>
    <w:rsid w:val="00EF3823"/>
    <w:rsid w:val="00F07CDD"/>
    <w:rsid w:val="00F10EF1"/>
    <w:rsid w:val="00F137E2"/>
    <w:rsid w:val="00F31E40"/>
    <w:rsid w:val="00F40784"/>
    <w:rsid w:val="00F41168"/>
    <w:rsid w:val="00F42B3E"/>
    <w:rsid w:val="00F627E2"/>
    <w:rsid w:val="00F73134"/>
    <w:rsid w:val="00FB1DD9"/>
    <w:rsid w:val="00FB4F13"/>
    <w:rsid w:val="00FD452E"/>
    <w:rsid w:val="0CC53C5B"/>
    <w:rsid w:val="0DE93488"/>
    <w:rsid w:val="11B53654"/>
    <w:rsid w:val="12B518E5"/>
    <w:rsid w:val="139929F0"/>
    <w:rsid w:val="1A1A66A6"/>
    <w:rsid w:val="267F3CD6"/>
    <w:rsid w:val="26C279DE"/>
    <w:rsid w:val="2CFA4107"/>
    <w:rsid w:val="2D2D386C"/>
    <w:rsid w:val="3204101E"/>
    <w:rsid w:val="3C7337A7"/>
    <w:rsid w:val="3DFA2FCD"/>
    <w:rsid w:val="3EEE6642"/>
    <w:rsid w:val="40114F46"/>
    <w:rsid w:val="436549A4"/>
    <w:rsid w:val="47853D97"/>
    <w:rsid w:val="486471D7"/>
    <w:rsid w:val="49B5289E"/>
    <w:rsid w:val="4E0B25D1"/>
    <w:rsid w:val="4E4777B7"/>
    <w:rsid w:val="51BD69F3"/>
    <w:rsid w:val="521F35C7"/>
    <w:rsid w:val="560146AE"/>
    <w:rsid w:val="576434E8"/>
    <w:rsid w:val="5A892A61"/>
    <w:rsid w:val="5BCF242D"/>
    <w:rsid w:val="5C955955"/>
    <w:rsid w:val="5D6679E8"/>
    <w:rsid w:val="669C3983"/>
    <w:rsid w:val="67896C2D"/>
    <w:rsid w:val="684F35FC"/>
    <w:rsid w:val="6A552387"/>
    <w:rsid w:val="6AF46D59"/>
    <w:rsid w:val="6DBE76D9"/>
    <w:rsid w:val="74BA6E4D"/>
    <w:rsid w:val="76F66FE6"/>
    <w:rsid w:val="79B351F7"/>
    <w:rsid w:val="7C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00" w:leftChars="100" w:right="100" w:rightChars="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td21"/>
    <w:basedOn w:val="7"/>
    <w:qFormat/>
    <w:uiPriority w:val="0"/>
    <w:rPr>
      <w:sz w:val="21"/>
      <w:szCs w:val="21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2">
    <w:name w:val="No Spacing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16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9</Pages>
  <Words>4209</Words>
  <Characters>4555</Characters>
  <Lines>33</Lines>
  <Paragraphs>9</Paragraphs>
  <TotalTime>9</TotalTime>
  <ScaleCrop>false</ScaleCrop>
  <LinksUpToDate>false</LinksUpToDate>
  <CharactersWithSpaces>4628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2021-12-15T12:01:00Z</dcterms:created>
  <dc:creator>FMZ</dc:creator>
  <cp:lastModifiedBy>HONOR</cp:lastModifiedBy>
  <cp:lastPrinted>2021-03-11T06:25:00Z</cp:lastPrinted>
  <dcterms:modified xsi:type="dcterms:W3CDTF">2024-08-23T01:07:23Z</dcterms:modified>
  <dc:title>凤鸣府发〔2019〕1号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DFFD850E9A824B80B5EB727E70C0ADAA</vt:lpwstr>
  </property>
</Properties>
</file>