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val="0"/>
        <w:autoSpaceDN/>
        <w:bidi w:val="0"/>
        <w:adjustRightInd/>
        <w:snapToGrid/>
        <w:spacing w:afterAutospacing="0" w:line="720" w:lineRule="exact"/>
        <w:jc w:val="center"/>
        <w:textAlignment w:val="auto"/>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rPr>
        <w:t>云阳县渠马镇劳动就业和社会保障服务所</w:t>
      </w:r>
    </w:p>
    <w:p>
      <w:pPr>
        <w:keepNext w:val="0"/>
        <w:keepLines w:val="0"/>
        <w:pageBreakBefore w:val="0"/>
        <w:widowControl w:val="0"/>
        <w:suppressLineNumbers w:val="0"/>
        <w:kinsoku/>
        <w:wordWrap/>
        <w:overflowPunct/>
        <w:topLinePunct w:val="0"/>
        <w:autoSpaceDE w:val="0"/>
        <w:autoSpaceDN/>
        <w:bidi w:val="0"/>
        <w:adjustRightInd/>
        <w:snapToGrid/>
        <w:spacing w:afterAutospacing="0" w:line="720" w:lineRule="exac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2022</w:t>
      </w:r>
      <w:r>
        <w:rPr>
          <w:rFonts w:hint="eastAsia" w:ascii="方正小标宋_GBK" w:hAnsi="方正小标宋_GBK" w:eastAsia="方正小标宋_GBK" w:cs="方正小标宋_GBK"/>
          <w:kern w:val="2"/>
          <w:sz w:val="44"/>
          <w:szCs w:val="44"/>
        </w:rPr>
        <w:t>年度部门决算情况说明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Times New Roman" w:eastAsia="方正黑体_GBK" w:cs="Times New Roman"/>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一、部门基本情况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（一）职能职责</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人力资源和社会保障、就业与再就业、社保、医保、领导交办事项等。</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（二）单位构成</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云阳县渠马镇劳动就业和社会保障服务所设有编制数</w:t>
      </w:r>
      <w:r>
        <w:rPr>
          <w:rFonts w:hint="default" w:ascii="Times New Roman" w:hAnsi="Times New Roman" w:eastAsia="方正仿宋_GBK" w:cs="Times New Roman"/>
          <w:color w:val="000000"/>
          <w:kern w:val="2"/>
          <w:sz w:val="32"/>
          <w:szCs w:val="32"/>
        </w:rPr>
        <w:t>3</w:t>
      </w:r>
      <w:r>
        <w:rPr>
          <w:rFonts w:hint="eastAsia" w:ascii="方正仿宋_GBK" w:hAnsi="方正仿宋_GBK" w:eastAsia="方正仿宋_GBK" w:cs="方正仿宋_GBK"/>
          <w:color w:val="000000"/>
          <w:kern w:val="2"/>
          <w:sz w:val="32"/>
          <w:szCs w:val="32"/>
        </w:rPr>
        <w:t>个。</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二、部门决算情况说明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（一）收入支出决算总体情况说明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总体情况。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年度收入总计</w:t>
      </w:r>
      <w:r>
        <w:rPr>
          <w:rFonts w:hint="default" w:ascii="Times New Roman" w:hAnsi="Times New Roman" w:eastAsia="方正仿宋_GBK" w:cs="Times New Roman"/>
          <w:color w:val="000000"/>
          <w:kern w:val="2"/>
          <w:sz w:val="32"/>
          <w:szCs w:val="32"/>
        </w:rPr>
        <w:t>52.51</w:t>
      </w:r>
      <w:r>
        <w:rPr>
          <w:rFonts w:hint="eastAsia" w:ascii="方正仿宋_GBK" w:hAnsi="方正仿宋_GBK" w:eastAsia="方正仿宋_GBK" w:cs="方正仿宋_GBK"/>
          <w:color w:val="000000"/>
          <w:kern w:val="2"/>
          <w:sz w:val="32"/>
          <w:szCs w:val="32"/>
        </w:rPr>
        <w:t>万元，支出总计</w:t>
      </w:r>
      <w:r>
        <w:rPr>
          <w:rFonts w:hint="default" w:ascii="Times New Roman" w:hAnsi="Times New Roman" w:eastAsia="方正仿宋_GBK" w:cs="Times New Roman"/>
          <w:color w:val="000000"/>
          <w:kern w:val="2"/>
          <w:sz w:val="32"/>
          <w:szCs w:val="32"/>
        </w:rPr>
        <w:t>52.51</w:t>
      </w:r>
      <w:r>
        <w:rPr>
          <w:rFonts w:hint="eastAsia" w:ascii="方正仿宋_GBK" w:hAnsi="方正仿宋_GBK" w:eastAsia="方正仿宋_GBK" w:cs="方正仿宋_GBK"/>
          <w:color w:val="000000"/>
          <w:kern w:val="2"/>
          <w:sz w:val="32"/>
          <w:szCs w:val="32"/>
        </w:rPr>
        <w:t>万元。收支较上年决算数增加</w:t>
      </w:r>
      <w:r>
        <w:rPr>
          <w:rFonts w:hint="default" w:ascii="Times New Roman" w:hAnsi="Times New Roman" w:eastAsia="方正仿宋_GBK" w:cs="Times New Roman"/>
          <w:color w:val="000000"/>
          <w:kern w:val="2"/>
          <w:sz w:val="32"/>
          <w:szCs w:val="32"/>
        </w:rPr>
        <w:t>52.51</w:t>
      </w:r>
      <w:r>
        <w:rPr>
          <w:rFonts w:hint="eastAsia" w:ascii="方正仿宋_GBK" w:hAnsi="方正仿宋_GBK" w:eastAsia="方正仿宋_GBK" w:cs="方正仿宋_GBK"/>
          <w:color w:val="000000"/>
          <w:kern w:val="2"/>
          <w:sz w:val="32"/>
          <w:szCs w:val="32"/>
        </w:rPr>
        <w:t>万元</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年度收入合计</w:t>
      </w:r>
      <w:r>
        <w:rPr>
          <w:rFonts w:hint="default" w:ascii="Times New Roman" w:hAnsi="Times New Roman" w:eastAsia="方正仿宋_GBK" w:cs="Times New Roman"/>
          <w:color w:val="000000"/>
          <w:kern w:val="2"/>
          <w:sz w:val="32"/>
          <w:szCs w:val="32"/>
        </w:rPr>
        <w:t>52.48</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52.48</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，主要原因是上年本单位未单独列决算。其中：财政拨款收入</w:t>
      </w:r>
      <w:r>
        <w:rPr>
          <w:rFonts w:hint="default" w:ascii="Times New Roman" w:hAnsi="Times New Roman" w:eastAsia="方正仿宋_GBK" w:cs="Times New Roman"/>
          <w:color w:val="000000"/>
          <w:kern w:val="2"/>
          <w:sz w:val="32"/>
          <w:szCs w:val="32"/>
        </w:rPr>
        <w:t>52.48</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；年初结转和结余</w:t>
      </w:r>
      <w:r>
        <w:rPr>
          <w:rFonts w:hint="default" w:ascii="Times New Roman" w:hAnsi="Times New Roman" w:eastAsia="方正仿宋_GBK" w:cs="Times New Roman"/>
          <w:color w:val="000000"/>
          <w:kern w:val="2"/>
          <w:sz w:val="32"/>
          <w:szCs w:val="32"/>
        </w:rPr>
        <w:t>0.04</w:t>
      </w:r>
      <w:r>
        <w:rPr>
          <w:rFonts w:hint="eastAsia" w:ascii="方正仿宋_GBK" w:hAnsi="方正仿宋_GBK" w:eastAsia="方正仿宋_GBK" w:cs="方正仿宋_GBK"/>
          <w:color w:val="000000"/>
          <w:kern w:val="2"/>
          <w:sz w:val="32"/>
          <w:szCs w:val="32"/>
        </w:rPr>
        <w:t>万元。</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年度支出合计</w:t>
      </w:r>
      <w:r>
        <w:rPr>
          <w:rFonts w:hint="default" w:ascii="Times New Roman" w:hAnsi="Times New Roman" w:eastAsia="方正仿宋_GBK" w:cs="Times New Roman"/>
          <w:color w:val="000000"/>
          <w:kern w:val="2"/>
          <w:sz w:val="32"/>
          <w:szCs w:val="32"/>
        </w:rPr>
        <w:t>52.51</w:t>
      </w:r>
      <w:r>
        <w:rPr>
          <w:rFonts w:hint="eastAsia" w:ascii="方正仿宋_GBK" w:hAnsi="方正仿宋_GBK" w:eastAsia="方正仿宋_GBK" w:cs="方正仿宋_GBK"/>
          <w:color w:val="000000"/>
          <w:kern w:val="2"/>
          <w:sz w:val="32"/>
          <w:szCs w:val="32"/>
        </w:rPr>
        <w:t>万元，较上年决算增加</w:t>
      </w:r>
      <w:r>
        <w:rPr>
          <w:rFonts w:hint="default" w:ascii="Times New Roman" w:hAnsi="Times New Roman" w:eastAsia="方正仿宋_GBK" w:cs="Times New Roman"/>
          <w:color w:val="000000"/>
          <w:kern w:val="2"/>
          <w:sz w:val="32"/>
          <w:szCs w:val="32"/>
        </w:rPr>
        <w:t>52.51</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，主要原因是上年本单位未单独列决算。其中：基本支出</w:t>
      </w:r>
      <w:r>
        <w:rPr>
          <w:rFonts w:hint="default" w:ascii="Times New Roman" w:hAnsi="Times New Roman" w:eastAsia="方正仿宋_GBK" w:cs="Times New Roman"/>
          <w:color w:val="000000"/>
          <w:kern w:val="2"/>
          <w:sz w:val="32"/>
          <w:szCs w:val="32"/>
        </w:rPr>
        <w:t>52.51</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年度年末无结转和结余。</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（二）财政拨款收入支出决算总体情况说明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年度财政拨款收、支总计</w:t>
      </w:r>
      <w:r>
        <w:rPr>
          <w:rFonts w:hint="default" w:ascii="Times New Roman" w:hAnsi="Times New Roman" w:eastAsia="方正仿宋_GBK" w:cs="Times New Roman"/>
          <w:color w:val="000000"/>
          <w:kern w:val="2"/>
          <w:sz w:val="32"/>
          <w:szCs w:val="32"/>
        </w:rPr>
        <w:t>52.51</w:t>
      </w:r>
      <w:r>
        <w:rPr>
          <w:rFonts w:hint="eastAsia" w:ascii="方正仿宋_GBK" w:hAnsi="方正仿宋_GBK" w:eastAsia="方正仿宋_GBK" w:cs="方正仿宋_GBK"/>
          <w:color w:val="000000"/>
          <w:kern w:val="2"/>
          <w:sz w:val="32"/>
          <w:szCs w:val="32"/>
        </w:rPr>
        <w:t>万元。与</w:t>
      </w:r>
      <w:r>
        <w:rPr>
          <w:rFonts w:hint="default" w:ascii="Times New Roman" w:hAnsi="Times New Roman" w:eastAsia="方正仿宋_GBK" w:cs="Times New Roman"/>
          <w:color w:val="000000"/>
          <w:kern w:val="2"/>
          <w:sz w:val="32"/>
          <w:szCs w:val="32"/>
        </w:rPr>
        <w:t>2021</w:t>
      </w:r>
      <w:r>
        <w:rPr>
          <w:rFonts w:hint="eastAsia" w:ascii="方正仿宋_GBK" w:hAnsi="方正仿宋_GBK" w:eastAsia="方正仿宋_GBK" w:cs="方正仿宋_GBK"/>
          <w:color w:val="000000"/>
          <w:kern w:val="2"/>
          <w:sz w:val="32"/>
          <w:szCs w:val="32"/>
        </w:rPr>
        <w:t>年相比，财政拨款收、支总计各增加</w:t>
      </w:r>
      <w:r>
        <w:rPr>
          <w:rFonts w:hint="default" w:ascii="Times New Roman" w:hAnsi="Times New Roman" w:eastAsia="方正仿宋_GBK" w:cs="Times New Roman"/>
          <w:color w:val="000000"/>
          <w:kern w:val="2"/>
          <w:sz w:val="32"/>
          <w:szCs w:val="32"/>
        </w:rPr>
        <w:t>52.51</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（三）一般公共预算财政拨款收入支出决算情况说明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年度一般公共预算财政拨款收入</w:t>
      </w:r>
      <w:r>
        <w:rPr>
          <w:rFonts w:hint="default" w:ascii="Times New Roman" w:hAnsi="Times New Roman" w:eastAsia="方正仿宋_GBK" w:cs="Times New Roman"/>
          <w:color w:val="000000"/>
          <w:kern w:val="2"/>
          <w:sz w:val="32"/>
          <w:szCs w:val="32"/>
        </w:rPr>
        <w:t>52.48</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52.48</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。主要原因是上年本单位未单独列决算。较年初预算数增加</w:t>
      </w:r>
      <w:r>
        <w:rPr>
          <w:rFonts w:hint="default" w:ascii="Times New Roman" w:hAnsi="Times New Roman" w:eastAsia="方正仿宋_GBK" w:cs="Times New Roman"/>
          <w:color w:val="000000"/>
          <w:kern w:val="2"/>
          <w:sz w:val="32"/>
          <w:szCs w:val="32"/>
        </w:rPr>
        <w:t>7.18</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15.8%</w:t>
      </w:r>
      <w:r>
        <w:rPr>
          <w:rFonts w:hint="eastAsia" w:ascii="方正仿宋_GBK" w:hAnsi="方正仿宋_GBK" w:eastAsia="方正仿宋_GBK" w:cs="方正仿宋_GBK"/>
          <w:color w:val="000000"/>
          <w:kern w:val="2"/>
          <w:sz w:val="32"/>
          <w:szCs w:val="32"/>
        </w:rPr>
        <w:t>。主要原因是人员新增，工资福利增加。此外，年初财政拨款结转和结余</w:t>
      </w:r>
      <w:r>
        <w:rPr>
          <w:rFonts w:hint="default" w:ascii="Times New Roman" w:hAnsi="Times New Roman" w:eastAsia="方正仿宋_GBK" w:cs="Times New Roman"/>
          <w:color w:val="000000"/>
          <w:kern w:val="2"/>
          <w:sz w:val="32"/>
          <w:szCs w:val="32"/>
        </w:rPr>
        <w:t>0.04</w:t>
      </w:r>
      <w:r>
        <w:rPr>
          <w:rFonts w:hint="eastAsia" w:ascii="方正仿宋_GBK" w:hAnsi="方正仿宋_GBK" w:eastAsia="方正仿宋_GBK" w:cs="方正仿宋_GBK"/>
          <w:color w:val="000000"/>
          <w:kern w:val="2"/>
          <w:sz w:val="32"/>
          <w:szCs w:val="32"/>
        </w:rPr>
        <w:t>万元。</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年度一般公共预算财政拨款支出</w:t>
      </w:r>
      <w:r>
        <w:rPr>
          <w:rFonts w:hint="default" w:ascii="Times New Roman" w:hAnsi="Times New Roman" w:eastAsia="方正仿宋_GBK" w:cs="Times New Roman"/>
          <w:color w:val="000000"/>
          <w:kern w:val="2"/>
          <w:sz w:val="32"/>
          <w:szCs w:val="32"/>
        </w:rPr>
        <w:t>52.51</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52.51</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。主要原因是上年本单位未单独列决算。较年初预算数增加</w:t>
      </w:r>
      <w:r>
        <w:rPr>
          <w:rFonts w:hint="default" w:ascii="Times New Roman" w:hAnsi="Times New Roman" w:eastAsia="方正仿宋_GBK" w:cs="Times New Roman"/>
          <w:color w:val="000000"/>
          <w:kern w:val="2"/>
          <w:sz w:val="32"/>
          <w:szCs w:val="32"/>
        </w:rPr>
        <w:t>7.17</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15.8%</w:t>
      </w:r>
      <w:r>
        <w:rPr>
          <w:rFonts w:hint="eastAsia" w:ascii="方正仿宋_GBK" w:hAnsi="方正仿宋_GBK" w:eastAsia="方正仿宋_GBK" w:cs="方正仿宋_GBK"/>
          <w:color w:val="000000"/>
          <w:kern w:val="2"/>
          <w:sz w:val="32"/>
          <w:szCs w:val="32"/>
        </w:rPr>
        <w:t>。主要原因是人员新增，工资福利支出增加。</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结转结余情况。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年度年末一般公共预算财政拨款无结转和结余。</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比较情况。</w:t>
      </w:r>
      <w:r>
        <w:rPr>
          <w:rFonts w:hint="eastAsia" w:ascii="方正仿宋_GBK" w:hAnsi="方正仿宋_GBK" w:eastAsia="方正仿宋_GBK" w:cs="方正仿宋_GBK"/>
          <w:color w:val="000000"/>
          <w:kern w:val="2"/>
          <w:sz w:val="32"/>
          <w:szCs w:val="32"/>
        </w:rPr>
        <w:t>本部门</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年度一般公共预算财政拨款支出主要用于以下几个方面：（</w:t>
      </w:r>
      <w:r>
        <w:rPr>
          <w:rFonts w:hint="default" w:ascii="Times New Roman" w:hAnsi="Times New Roman" w:eastAsia="方正仿宋_GBK" w:cs="Times New Roman"/>
          <w:color w:val="000000"/>
          <w:kern w:val="2"/>
          <w:sz w:val="32"/>
          <w:szCs w:val="32"/>
        </w:rPr>
        <w:t>1</w:t>
      </w:r>
      <w:r>
        <w:rPr>
          <w:rFonts w:hint="eastAsia" w:ascii="方正仿宋_GBK" w:hAnsi="方正仿宋_GBK" w:eastAsia="方正仿宋_GBK" w:cs="方正仿宋_GBK"/>
          <w:color w:val="000000"/>
          <w:kern w:val="2"/>
          <w:sz w:val="32"/>
          <w:szCs w:val="32"/>
        </w:rPr>
        <w:t>）社会保障与就业支出</w:t>
      </w:r>
      <w:r>
        <w:rPr>
          <w:rFonts w:hint="default" w:ascii="Times New Roman" w:hAnsi="Times New Roman" w:eastAsia="方正仿宋_GBK" w:cs="Times New Roman"/>
          <w:color w:val="000000"/>
          <w:kern w:val="2"/>
          <w:sz w:val="32"/>
          <w:szCs w:val="32"/>
        </w:rPr>
        <w:t>47.52</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90.5%</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6.90</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17%</w:t>
      </w:r>
      <w:r>
        <w:rPr>
          <w:rFonts w:hint="eastAsia" w:ascii="方正仿宋_GBK" w:hAnsi="方正仿宋_GBK" w:eastAsia="方正仿宋_GBK" w:cs="方正仿宋_GBK"/>
          <w:color w:val="000000"/>
          <w:kern w:val="2"/>
          <w:sz w:val="32"/>
          <w:szCs w:val="32"/>
        </w:rPr>
        <w:t>，主要原因是人员新增，工资福利支出增加。（</w:t>
      </w: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）卫生健康支出</w:t>
      </w:r>
      <w:r>
        <w:rPr>
          <w:rFonts w:hint="default" w:ascii="Times New Roman" w:hAnsi="Times New Roman" w:eastAsia="方正仿宋_GBK" w:cs="Times New Roman"/>
          <w:color w:val="000000"/>
          <w:kern w:val="2"/>
          <w:sz w:val="32"/>
          <w:szCs w:val="32"/>
        </w:rPr>
        <w:t>2.53</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4.8%</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0.13</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5.4%</w:t>
      </w:r>
      <w:r>
        <w:rPr>
          <w:rFonts w:hint="eastAsia" w:ascii="方正仿宋_GBK" w:hAnsi="方正仿宋_GBK" w:eastAsia="方正仿宋_GBK" w:cs="方正仿宋_GBK"/>
          <w:color w:val="000000"/>
          <w:kern w:val="2"/>
          <w:sz w:val="32"/>
          <w:szCs w:val="32"/>
        </w:rPr>
        <w:t>，主要原因是疫情防控支出增加。（</w:t>
      </w:r>
      <w:r>
        <w:rPr>
          <w:rFonts w:hint="default" w:ascii="Times New Roman" w:hAnsi="Times New Roman" w:eastAsia="方正仿宋_GBK" w:cs="Times New Roman"/>
          <w:color w:val="000000"/>
          <w:kern w:val="2"/>
          <w:sz w:val="32"/>
          <w:szCs w:val="32"/>
        </w:rPr>
        <w:t>3</w:t>
      </w:r>
      <w:r>
        <w:rPr>
          <w:rFonts w:hint="eastAsia" w:ascii="方正仿宋_GBK" w:hAnsi="方正仿宋_GBK" w:eastAsia="方正仿宋_GBK" w:cs="方正仿宋_GBK"/>
          <w:color w:val="000000"/>
          <w:kern w:val="2"/>
          <w:sz w:val="32"/>
          <w:szCs w:val="32"/>
        </w:rPr>
        <w:t>）住房保障支出</w:t>
      </w:r>
      <w:r>
        <w:rPr>
          <w:rFonts w:hint="default" w:ascii="Times New Roman" w:hAnsi="Times New Roman" w:eastAsia="方正仿宋_GBK" w:cs="Times New Roman"/>
          <w:color w:val="000000"/>
          <w:kern w:val="2"/>
          <w:sz w:val="32"/>
          <w:szCs w:val="32"/>
        </w:rPr>
        <w:t>2.46</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4.7%</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0.15</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6.5%</w:t>
      </w:r>
      <w:r>
        <w:rPr>
          <w:rFonts w:hint="eastAsia" w:ascii="方正仿宋_GBK" w:hAnsi="方正仿宋_GBK" w:eastAsia="方正仿宋_GBK" w:cs="方正仿宋_GBK"/>
          <w:color w:val="000000"/>
          <w:kern w:val="2"/>
          <w:sz w:val="32"/>
          <w:szCs w:val="32"/>
        </w:rPr>
        <w:t>，主要原因是住房公积金基数调整。</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（四）一般公共预算财政拨款基本支出决算情况说明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年度一般公共预算财政拨款基本支出</w:t>
      </w:r>
      <w:r>
        <w:rPr>
          <w:rFonts w:hint="default" w:ascii="Times New Roman" w:hAnsi="Times New Roman" w:eastAsia="方正仿宋_GBK" w:cs="Times New Roman"/>
          <w:color w:val="000000"/>
          <w:kern w:val="2"/>
          <w:sz w:val="32"/>
          <w:szCs w:val="32"/>
        </w:rPr>
        <w:t>52.51</w:t>
      </w:r>
      <w:r>
        <w:rPr>
          <w:rFonts w:hint="eastAsia" w:ascii="方正仿宋_GBK" w:hAnsi="方正仿宋_GBK" w:eastAsia="方正仿宋_GBK" w:cs="方正仿宋_GBK"/>
          <w:color w:val="000000"/>
          <w:kern w:val="2"/>
          <w:sz w:val="32"/>
          <w:szCs w:val="32"/>
        </w:rPr>
        <w:t>万元。其中：人员经费</w:t>
      </w:r>
      <w:r>
        <w:rPr>
          <w:rFonts w:hint="default" w:ascii="Times New Roman" w:hAnsi="Times New Roman" w:eastAsia="方正仿宋_GBK" w:cs="Times New Roman"/>
          <w:color w:val="000000"/>
          <w:kern w:val="2"/>
          <w:sz w:val="32"/>
          <w:szCs w:val="32"/>
        </w:rPr>
        <w:t>52.34</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52.34</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，主要原因是上年本单位未单独列决算。人员经费用途主要包括基本工资、津贴补贴、绩效工资、社会保障缴费、住房公积金等。公用经费</w:t>
      </w:r>
      <w:r>
        <w:rPr>
          <w:rFonts w:hint="default" w:ascii="Times New Roman" w:hAnsi="Times New Roman" w:eastAsia="方正仿宋_GBK" w:cs="Times New Roman"/>
          <w:color w:val="000000"/>
          <w:kern w:val="2"/>
          <w:sz w:val="32"/>
          <w:szCs w:val="32"/>
        </w:rPr>
        <w:t>0.18</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0.18</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，主要原因是上年本单位未单独列决算。公用经费用途主要包括办公费、印刷费、差旅费、物业管理费、会议费、培训费、公务接待费、公务用车运行费、维修（护）费、劳务费等。</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（五）政府性基金预算收支决算情况说明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年度无政府性基金预算财政拨款收支。</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（六）国有资本经营预算财政拨款支出决算情况说明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年度无国有资本经营预算财政拨款支出。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三、“三公”经费情况说明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（一）“三公”经费支出总体情况说明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三公</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经费支出。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（二）“三公”经费分项支出情况</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年度未发生因公出国（境）费用支出。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年度未发生公务车购置支出。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年度未发生公务车运行维护支出。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年度未发生公务接待支出。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三公</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经费实物量情况</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方正仿宋_GBK" w:hAnsi="方正仿宋_GBK" w:eastAsia="方正仿宋_GBK" w:cs="方正仿宋_GBK"/>
          <w:color w:val="000000"/>
          <w:kern w:val="2"/>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年本单位因公出国（境）共计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个团组，</w:t>
      </w:r>
      <w:r>
        <w:rPr>
          <w:rFonts w:hint="default" w:ascii="Times New Roman" w:hAnsi="Times New Roman" w:eastAsia="方正仿宋_GBK" w:cs="Times New Roman"/>
          <w:kern w:val="0"/>
          <w:sz w:val="32"/>
          <w:szCs w:val="32"/>
        </w:rPr>
        <w:t>0</w:t>
      </w:r>
      <w:bookmarkStart w:id="0" w:name="_GoBack"/>
      <w:bookmarkEnd w:id="0"/>
      <w:r>
        <w:rPr>
          <w:rFonts w:hint="eastAsia" w:ascii="方正仿宋_GBK" w:hAnsi="方正仿宋_GBK" w:eastAsia="方正仿宋_GBK" w:cs="方正仿宋_GBK"/>
          <w:kern w:val="0"/>
          <w:sz w:val="32"/>
          <w:szCs w:val="32"/>
        </w:rPr>
        <w:t>人；公务用车购置</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辆，公务车保有量为</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辆；国内公务接待</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批次</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人，其中：国内外事接待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人；国（境）外公务接待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年本部门人均接待费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元，车均购置费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万元，车均维护费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万元。</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四、其他需要说明的事项</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（一）财政拨款会议费和培训费情况说明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年度未发生会议费及培训费支出。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（二）机关运行经费支出情况说明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年度未发生运行经费支出。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（三）国有资产占用情况说明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本单位无国有资产。</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（四）政府采购支出说明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年度本单位未发生政府采购事项，无相关经费支出。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五、预算绩效管理情况说明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年度本单位无预算绩效管理项目。</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六、专业名词解释</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（四）其他收入：</w:t>
      </w:r>
      <w:r>
        <w:rPr>
          <w:rFonts w:hint="eastAsia" w:ascii="方正仿宋_GBK" w:hAnsi="方正仿宋_GBK" w:eastAsia="方正仿宋_GBK" w:cs="方正仿宋_GBK"/>
          <w:kern w:val="0"/>
          <w:sz w:val="32"/>
          <w:szCs w:val="32"/>
        </w:rPr>
        <w:t>指单位取得的除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（五）使用非财政拨款结余：</w:t>
      </w:r>
      <w:r>
        <w:rPr>
          <w:rFonts w:hint="eastAsia" w:ascii="方正仿宋_GBK" w:hAnsi="方正仿宋_GBK" w:eastAsia="方正仿宋_GBK" w:cs="方正仿宋_GBK"/>
          <w:kern w:val="0"/>
          <w:sz w:val="32"/>
          <w:szCs w:val="32"/>
        </w:rPr>
        <w:t>指单位在当年的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其他收入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等不足以安排当年支出的情况下，使用以前年度积累的非财政拨款结余弥补本年度收支缺口的资金。</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；公用经费指政府收支分类经济科目中除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外的其他支出。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（十二）“三公”经费：</w:t>
      </w:r>
      <w:r>
        <w:rPr>
          <w:rFonts w:hint="eastAsia" w:ascii="方正仿宋_GBK" w:hAnsi="方正仿宋_GBK" w:eastAsia="方正仿宋_GBK" w:cs="方正仿宋_GBK"/>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七、决算公开联系方式及信息反馈渠道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本单位决算公开信息反馈和联系方式：</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联系人：杨晶</w:t>
      </w:r>
      <w:r>
        <w:rPr>
          <w:rFonts w:hint="default" w:ascii="Times New Roman" w:hAnsi="Times New Roman" w:eastAsia="方正仿宋_GBK" w:cs="Times New Roman"/>
          <w:kern w:val="0"/>
          <w:sz w:val="32"/>
          <w:szCs w:val="32"/>
        </w:rPr>
        <w:t xml:space="preserve">  </w:t>
      </w:r>
      <w:r>
        <w:rPr>
          <w:rFonts w:hint="eastAsia" w:ascii="方正仿宋_GBK" w:hAnsi="方正仿宋_GBK" w:eastAsia="方正仿宋_GBK" w:cs="方正仿宋_GBK"/>
          <w:kern w:val="0"/>
          <w:sz w:val="32"/>
          <w:szCs w:val="32"/>
        </w:rPr>
        <w:t>办公电话：</w:t>
      </w:r>
      <w:r>
        <w:rPr>
          <w:rFonts w:hint="default" w:ascii="Times New Roman" w:hAnsi="Times New Roman" w:eastAsia="方正仿宋_GBK" w:cs="Times New Roman"/>
          <w:kern w:val="0"/>
          <w:sz w:val="32"/>
          <w:szCs w:val="32"/>
        </w:rPr>
        <w:t>023-55633558</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sectPr>
      <w:pgSz w:w="11915" w:h="16851"/>
      <w:pgMar w:top="2098" w:right="1531" w:bottom="1984" w:left="1531" w:header="851" w:footer="1474"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OGVhZjY5ODcxNTU2OGIxZTg3MDNlYWQ5MGJhOGEifQ=="/>
  </w:docVars>
  <w:rsids>
    <w:rsidRoot w:val="00000000"/>
    <w:rsid w:val="569C54C6"/>
    <w:rsid w:val="676329FF"/>
    <w:rsid w:val="789B3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0"/>
    <w:basedOn w:val="11"/>
    <w:qFormat/>
    <w:uiPriority w:val="0"/>
    <w:rPr>
      <w:rFonts w:hint="default" w:ascii="Times New Roman" w:hAnsi="Times New Roman" w:cs="Times New Roman"/>
    </w:r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4">
    <w:name w:val="15"/>
    <w:basedOn w:val="11"/>
    <w:qFormat/>
    <w:uiPriority w:val="0"/>
    <w:rPr>
      <w:rFonts w:hint="default" w:ascii="Times New Roman" w:hAnsi="Times New Roman" w:cs="Times New Roman"/>
      <w:b/>
      <w:bCs/>
    </w:rPr>
  </w:style>
  <w:style w:type="character" w:customStyle="1" w:styleId="15">
    <w:name w:val="16"/>
    <w:basedOn w:val="11"/>
    <w:qFormat/>
    <w:uiPriority w:val="0"/>
    <w:rPr>
      <w:rFonts w:hint="default" w:ascii="Times New Roman" w:hAnsi="Times New Roman" w:cs="Times New Roman"/>
    </w:rPr>
  </w:style>
  <w:style w:type="character" w:customStyle="1" w:styleId="16">
    <w:name w:val="19"/>
    <w:basedOn w:val="11"/>
    <w:qFormat/>
    <w:uiPriority w:val="0"/>
    <w:rPr>
      <w:rFonts w:hint="default" w:ascii="Times New Roman" w:hAnsi="Times New Roman" w:cs="Times New Roman"/>
    </w:rPr>
  </w:style>
  <w:style w:type="character" w:customStyle="1" w:styleId="17">
    <w:name w:val="17"/>
    <w:basedOn w:val="11"/>
    <w:qFormat/>
    <w:uiPriority w:val="0"/>
    <w:rPr>
      <w:rFonts w:hint="default" w:ascii="Times New Roman" w:hAnsi="Times New Roman" w:cs="Times New Roman"/>
    </w:rPr>
  </w:style>
  <w:style w:type="character" w:customStyle="1" w:styleId="18">
    <w:name w:val="18"/>
    <w:basedOn w:val="11"/>
    <w:qFormat/>
    <w:uiPriority w:val="0"/>
    <w:rPr>
      <w:rFonts w:hint="default" w:ascii="Times New Roman" w:hAnsi="Times New Roman" w:cs="Times New Roman"/>
    </w:rPr>
  </w:style>
  <w:style w:type="paragraph" w:customStyle="1" w:styleId="19">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0">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2023-10-24T02:38:00Z</dcterms:created>
  <dc:creator>Administrator.PC-20190704LKPV</dc:creator>
  <cp:lastModifiedBy>任以春</cp:lastModifiedBy>
  <dcterms:modified xsi:type="dcterms:W3CDTF">2023-11-01T08:59:08Z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7FE408B15C094723BCED7604C42E9F5D_13</vt:lpwstr>
  </property>
</Properties>
</file>