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华文中宋" w:eastAsia="方正仿宋简体"/>
          <w:b/>
          <w:color w:val="auto"/>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ascii="sans-serif" w:hAnsi="sans-serif" w:eastAsia="sans-serif" w:cs="sans-serif"/>
          <w:i w:val="0"/>
          <w:caps w:val="0"/>
          <w:color w:val="auto"/>
          <w:spacing w:val="0"/>
          <w:sz w:val="27"/>
          <w:szCs w:val="27"/>
        </w:rPr>
      </w:pPr>
      <w:r>
        <w:rPr>
          <w:rFonts w:ascii="方正小标宋_GBK" w:hAnsi="方正小标宋_GBK" w:eastAsia="方正小标宋_GBK" w:cs="方正小标宋_GBK"/>
          <w:i w:val="0"/>
          <w:caps w:val="0"/>
          <w:color w:val="auto"/>
          <w:spacing w:val="0"/>
          <w:sz w:val="43"/>
          <w:szCs w:val="43"/>
        </w:rPr>
        <w:t>云阳县黄石镇农业服务中心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default" w:ascii="sans-serif" w:hAnsi="sans-serif" w:eastAsia="sans-serif" w:cs="sans-serif"/>
          <w:i w:val="0"/>
          <w:caps w:val="0"/>
          <w:color w:val="auto"/>
          <w:spacing w:val="0"/>
          <w:sz w:val="27"/>
          <w:szCs w:val="27"/>
        </w:rPr>
      </w:pPr>
      <w:r>
        <w:rPr>
          <w:rFonts w:hint="default" w:ascii="Times New Roman" w:hAnsi="Times New Roman" w:eastAsia="sans-serif" w:cs="Times New Roman"/>
          <w:i w:val="0"/>
          <w:caps w:val="0"/>
          <w:color w:val="auto"/>
          <w:spacing w:val="0"/>
          <w:sz w:val="43"/>
          <w:szCs w:val="43"/>
        </w:rPr>
        <w:t>2022</w:t>
      </w:r>
      <w:r>
        <w:rPr>
          <w:rFonts w:hint="default" w:ascii="Times New Roman" w:hAnsi="Times New Roman" w:eastAsia="方正小标宋_GBK" w:cs="Times New Roman"/>
          <w:i w:val="0"/>
          <w:caps w:val="0"/>
          <w:color w:val="auto"/>
          <w:spacing w:val="0"/>
          <w:sz w:val="43"/>
          <w:szCs w:val="43"/>
        </w:rPr>
        <w:t>年度</w:t>
      </w:r>
      <w:r>
        <w:rPr>
          <w:rFonts w:hint="eastAsia" w:ascii="方正小标宋_GBK" w:hAnsi="方正小标宋_GBK" w:eastAsia="方正小标宋_GBK" w:cs="方正小标宋_GBK"/>
          <w:i w:val="0"/>
          <w:caps w:val="0"/>
          <w:color w:val="auto"/>
          <w:spacing w:val="0"/>
          <w:sz w:val="43"/>
          <w:szCs w:val="43"/>
        </w:rPr>
        <w:t>县级部门决算公开说明</w:t>
      </w:r>
    </w:p>
    <w:p>
      <w:pPr>
        <w:pStyle w:val="4"/>
        <w:keepNext w:val="0"/>
        <w:keepLines w:val="0"/>
        <w:widowControl/>
        <w:suppressLineNumbers w:val="0"/>
        <w:spacing w:before="0" w:beforeAutospacing="0" w:after="0" w:afterAutospacing="0" w:line="600" w:lineRule="atLeast"/>
        <w:ind w:left="0" w:right="0" w:firstLine="885"/>
        <w:rPr>
          <w:rFonts w:hint="default" w:ascii="sans-serif" w:hAnsi="sans-serif" w:eastAsia="sans-serif" w:cs="sans-serif"/>
          <w:i w:val="0"/>
          <w:caps w:val="0"/>
          <w:color w:val="auto"/>
          <w:spacing w:val="0"/>
          <w:sz w:val="27"/>
          <w:szCs w:val="27"/>
        </w:rPr>
      </w:pPr>
      <w:r>
        <w:rPr>
          <w:rStyle w:val="7"/>
          <w:rFonts w:ascii="方正仿宋简体" w:hAnsi="方正仿宋简体" w:eastAsia="方正仿宋简体" w:cs="方正仿宋简体"/>
          <w:i w:val="0"/>
          <w:caps w:val="0"/>
          <w:color w:val="auto"/>
          <w:spacing w:val="0"/>
          <w:sz w:val="43"/>
          <w:szCs w:val="43"/>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rPr>
        <w:t> 一、单位基本情况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（一）职能职责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1.负责涉农法规的宣传、贯彻、执行，编制农业技术推广计划，负责本辖区内各项农业新技术的推广应用工作及对本辖区内粮食、蔬菜、水果等作物病、虫、草、鼠害的预测、预报，并积极组织防治；负责本辖区内农业新技术的引进及新品种的引种实验、示范、推广、培训和宣传工作，加强田间技术指导，做好产前、产中、产后服务；搞好主要农作物的栽培技术指导及各项增产技术措施的安排、督促落实；搞好中低产田改造、配方施肥、提高地力；收集传递农业生产、科技、市场信息，指导农户选好生产项目，合理运用农业新技术；加强农技服务能力，积极为农业产业结构调整出谋划策，为本镇农业发展提供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2.负责对农村土地承包、农村集体资产、农民负担进行监督、审计和管理；调解农村土地承包合同纠纷及土地承包经营权流转指导；指导农业社会化服务体系建设和农业产业化经营及农业合作经济组织建设；负责农村经济统计工作，全面系统、及时地搜集、整理、提供本镇的农村经济统计数字，开展统计分析，指导各村调查点的工作，按时上报各种报表，并做到准确及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3.负责宣传贯彻执行《森林法》和林业工作的方针、政策、法律、法规，协助政府制定全镇林业发展规划和年度计划，保护和管理辖区林业资源；认真组织实施“生态建设”、“天保工程”和“退耕还林”三大工程，加强对林业资源和野生动物的保护，依照有关规定及林业主管部门的要求检查监督本镇的林业采伐、运输和销售；严禁乱捕滥伐，调处林地纠纷，协助有关部门查处毁林案件；认真做好本辖区内林木病虫、鼠害调查防治和护林防火、林政管理、林权、林地纠纷及边界纠纷调解工作；负责指导农村集体、个人发展林业生产；负责本镇绿化造林任务的规划设计并落实管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4.按照党和国家的方针、政策、水法及法规，在上级业务主管部门的指导下，负责管好、用好由本镇所管的水利工程设施，做好除险加固、安全检查和安全评定工作；制定与实施本镇水利、水保及水产规划和年度计划；负责本镇水利管理机构的建设及工程管理和保护范围的划界确权工作；执行上级有关防汛工作指令，组织防汛抢险劳力、物资器材，指挥本镇防汛、抗灾工作；负责本镇境内的水土保持监督预防及水土流失的治理工作；负责本镇的农田水利基本建设规划、勘测设计、组织施工、技术指导、质量管理工作；负责做好统计报表、检查观测记录等基础工作，建立小型水库工程技术档案；负责组织指导养殖户做好鱼苗、鱼种的生产和鱼药、鱼饲料及渔业水域的管理，协助渔政执法，以及组织实施全镇范围内水生野生动物的保护和管理，做好境内水生物的防疫和检疫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5.宣传贯彻国家有关农业机械化推广的方针、政策、法律、法规，搞好农业机械安全监理工作，做好农机新技术指导、新机具的推广和农机信息服务工作；组织各类农业机械的技术检测、机具维修、开展农机社会化服务，为农业生产、农民生活和农村建设做好农村运输、农机堤灌、收割、农产品加工与农田基本水利设施建设等各项社会化服务指导协调工作；负责本镇农业机械的建档及统计上报工作，组织农业机械进行抢险救灾；抓好辖区内交通安全工作，提高人民安全意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（二）机构设置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黄石镇农业服务中心，为黄石镇人民政府管理的事业单位，无机构设置。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（三）单位构成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本单位是</w:t>
      </w:r>
      <w:r>
        <w:rPr>
          <w:rFonts w:hint="eastAsia" w:eastAsia="方正仿宋_GBK" w:cs="Times New Roman"/>
          <w:i w:val="0"/>
          <w:caps w:val="0"/>
          <w:color w:val="auto"/>
          <w:spacing w:val="0"/>
          <w:sz w:val="32"/>
          <w:szCs w:val="32"/>
          <w:lang w:eastAsia="zh-CN"/>
        </w:rPr>
        <w:t>黄石镇人民政府</w:t>
      </w:r>
      <w:bookmarkStart w:id="0" w:name="_GoBack"/>
      <w:bookmarkEnd w:id="0"/>
      <w:r>
        <w:rPr>
          <w:rFonts w:hint="default" w:ascii="Times New Roman" w:hAnsi="Times New Roman" w:eastAsia="方正仿宋_GBK" w:cs="Times New Roman"/>
          <w:i w:val="0"/>
          <w:caps w:val="0"/>
          <w:color w:val="auto"/>
          <w:spacing w:val="0"/>
          <w:sz w:val="32"/>
          <w:szCs w:val="32"/>
        </w:rPr>
        <w:t>的下属事业单位，无单位构成。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rPr>
        <w:t>二、部门决算情况说明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eastAsia" w:ascii="方正楷体_GBK" w:hAnsi="方正楷体_GBK" w:eastAsia="方正楷体_GBK" w:cs="方正楷体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（一）收入支出决算总体情况说明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b/>
          <w:bCs/>
          <w:i w:val="0"/>
          <w:caps w:val="0"/>
          <w:color w:val="auto"/>
          <w:spacing w:val="0"/>
          <w:sz w:val="32"/>
          <w:szCs w:val="32"/>
        </w:rPr>
        <w:t>1.总体情况。</w:t>
      </w:r>
      <w:r>
        <w:rPr>
          <w:rFonts w:hint="default" w:ascii="Times New Roman" w:hAnsi="Times New Roman" w:eastAsia="方正仿宋_GBK" w:cs="Times New Roman"/>
          <w:i w:val="0"/>
          <w:caps w:val="0"/>
          <w:color w:val="auto"/>
          <w:spacing w:val="0"/>
          <w:sz w:val="32"/>
          <w:szCs w:val="32"/>
        </w:rPr>
        <w:t>2022年度收入总计162.17万元，支出总计162.17万元。收支较上年决算数增加162.17万元,增长100%，主要原因是按照2022年决算列报口径，新增云阳县黄石镇农业服务中心为决算单位，上年决算数为0.00万元。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b/>
          <w:bCs/>
          <w:i w:val="0"/>
          <w:caps w:val="0"/>
          <w:color w:val="auto"/>
          <w:spacing w:val="0"/>
          <w:sz w:val="32"/>
          <w:szCs w:val="32"/>
        </w:rPr>
        <w:t>2.收入情况。</w:t>
      </w:r>
      <w:r>
        <w:rPr>
          <w:rFonts w:hint="default" w:ascii="Times New Roman" w:hAnsi="Times New Roman" w:eastAsia="方正仿宋_GBK" w:cs="Times New Roman"/>
          <w:i w:val="0"/>
          <w:caps w:val="0"/>
          <w:color w:val="auto"/>
          <w:spacing w:val="0"/>
          <w:sz w:val="32"/>
          <w:szCs w:val="32"/>
        </w:rPr>
        <w:t>2022年度收入合计162.17万元，较上年决算数增加162.17万元，增长100%，主要原因是2022年新增为决算单位，上年决算数为0.00万元。其中财政拨款收入162.17万元，占100%，无年初结转和结余。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b/>
          <w:bCs/>
          <w:i w:val="0"/>
          <w:caps w:val="0"/>
          <w:color w:val="auto"/>
          <w:spacing w:val="0"/>
          <w:sz w:val="32"/>
          <w:szCs w:val="32"/>
        </w:rPr>
        <w:t>3.支出情况。</w:t>
      </w:r>
      <w:r>
        <w:rPr>
          <w:rFonts w:hint="default" w:ascii="Times New Roman" w:hAnsi="Times New Roman" w:eastAsia="方正仿宋_GBK" w:cs="Times New Roman"/>
          <w:i w:val="0"/>
          <w:caps w:val="0"/>
          <w:color w:val="auto"/>
          <w:spacing w:val="0"/>
          <w:sz w:val="32"/>
          <w:szCs w:val="32"/>
        </w:rPr>
        <w:t>2022年度支出合计162.17万元，较上年决算增加162.17万元，增长100%，主要原因是2022年新增为决算单位，上年决算数为0.00万元。其中基本支出162.17万元，占100%，无项目支出。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b/>
          <w:bCs/>
          <w:i w:val="0"/>
          <w:caps w:val="0"/>
          <w:color w:val="auto"/>
          <w:spacing w:val="0"/>
          <w:sz w:val="32"/>
          <w:szCs w:val="32"/>
        </w:rPr>
        <w:t>4. 结转结余情况。</w:t>
      </w:r>
      <w:r>
        <w:rPr>
          <w:rFonts w:hint="default" w:ascii="Times New Roman" w:hAnsi="Times New Roman" w:eastAsia="方正仿宋_GBK" w:cs="Times New Roman"/>
          <w:i w:val="0"/>
          <w:caps w:val="0"/>
          <w:color w:val="auto"/>
          <w:spacing w:val="0"/>
          <w:sz w:val="32"/>
          <w:szCs w:val="32"/>
        </w:rPr>
        <w:t>2022年度年末结转和结余0.00万元。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楷体_GBK" w:hAnsi="方正楷体_GBK" w:eastAsia="方正楷体_GBK" w:cs="方正楷体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（二）财政拨款收入支出决算总体情况说明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2022年度财政拨款收、支总计162.17万元。与2021年相比，财政拨款收、支总计各增加162.17万元，增长100%。主要原因是2022年新增为决算单位，上年收支决算数均为0.00万元。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（三）一般公共预算财政拨款收入支出决算情况说明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rPr>
        <w:t>1</w:t>
      </w:r>
      <w:r>
        <w:rPr>
          <w:rFonts w:hint="default" w:ascii="Times New Roman" w:hAnsi="Times New Roman" w:eastAsia="方正仿宋_GBK" w:cs="Times New Roman"/>
          <w:b/>
          <w:bCs/>
          <w:i w:val="0"/>
          <w:caps w:val="0"/>
          <w:color w:val="auto"/>
          <w:spacing w:val="0"/>
          <w:sz w:val="32"/>
          <w:szCs w:val="32"/>
        </w:rPr>
        <w:t>.收入情况。</w:t>
      </w:r>
      <w:r>
        <w:rPr>
          <w:rFonts w:hint="default" w:ascii="Times New Roman" w:hAnsi="Times New Roman" w:eastAsia="方正仿宋_GBK" w:cs="Times New Roman"/>
          <w:i w:val="0"/>
          <w:caps w:val="0"/>
          <w:color w:val="auto"/>
          <w:spacing w:val="0"/>
          <w:sz w:val="32"/>
          <w:szCs w:val="32"/>
        </w:rPr>
        <w:t>2022年度一般公共预算财政拨款收入162.17万元，较上年决算数增加162.17万元。主要原因是2022年新增为决算单位，上年决算数为0.00万元。较年初预算数增加12.94万元，增长8.7%，主要原因是年中追加了人员经费预算。此外，年初财政拨款结转和结余0.00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b/>
          <w:bCs/>
          <w:i w:val="0"/>
          <w:caps w:val="0"/>
          <w:color w:val="auto"/>
          <w:spacing w:val="0"/>
          <w:sz w:val="32"/>
          <w:szCs w:val="32"/>
        </w:rPr>
        <w:t>2.支出情况。</w:t>
      </w:r>
      <w:r>
        <w:rPr>
          <w:rFonts w:hint="default" w:ascii="Times New Roman" w:hAnsi="Times New Roman" w:eastAsia="方正仿宋_GBK" w:cs="Times New Roman"/>
          <w:i w:val="0"/>
          <w:caps w:val="0"/>
          <w:color w:val="auto"/>
          <w:spacing w:val="0"/>
          <w:sz w:val="32"/>
          <w:szCs w:val="32"/>
        </w:rPr>
        <w:t>2022年度一般公共预算财政拨款支出162.17万元，上年决算支出数为0.00万元。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b/>
          <w:bCs/>
          <w:i w:val="0"/>
          <w:caps w:val="0"/>
          <w:color w:val="auto"/>
          <w:spacing w:val="0"/>
          <w:sz w:val="32"/>
          <w:szCs w:val="32"/>
        </w:rPr>
        <w:t>3.结转结余情况。</w:t>
      </w:r>
      <w:r>
        <w:rPr>
          <w:rFonts w:hint="default" w:ascii="Times New Roman" w:hAnsi="Times New Roman" w:eastAsia="方正仿宋_GBK" w:cs="Times New Roman"/>
          <w:i w:val="0"/>
          <w:caps w:val="0"/>
          <w:color w:val="auto"/>
          <w:spacing w:val="0"/>
          <w:sz w:val="32"/>
          <w:szCs w:val="32"/>
        </w:rPr>
        <w:t>2022年度年末一般公共预算财政拨款结转和结余0.00万元。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b/>
          <w:bCs/>
          <w:i w:val="0"/>
          <w:caps w:val="0"/>
          <w:color w:val="auto"/>
          <w:spacing w:val="0"/>
          <w:sz w:val="32"/>
          <w:szCs w:val="32"/>
        </w:rPr>
        <w:t>4.比较情况。</w:t>
      </w:r>
      <w:r>
        <w:rPr>
          <w:rFonts w:hint="default" w:ascii="Times New Roman" w:hAnsi="Times New Roman" w:eastAsia="方正仿宋_GBK" w:cs="Times New Roman"/>
          <w:i w:val="0"/>
          <w:caps w:val="0"/>
          <w:color w:val="auto"/>
          <w:spacing w:val="0"/>
          <w:sz w:val="32"/>
          <w:szCs w:val="32"/>
        </w:rPr>
        <w:t>本部门2022年度一般公共预算财政拨款支出主要用于以下几个方面：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（1）社会保障与就业支出30.74万元，占19%，较年初预算数增加16.27万元，增长112.4%，主要原因是年底增人调资养老、职业年金增加。</w:t>
      </w:r>
      <w:r>
        <w:rPr>
          <w:rFonts w:hint="default" w:ascii="Times New Roman" w:hAnsi="Times New Roman" w:eastAsia="方正仿宋_GBK" w:cs="Times New Roman"/>
          <w:i w:val="0"/>
          <w:caps w:val="0"/>
          <w:color w:val="auto"/>
          <w:spacing w:val="0"/>
          <w:sz w:val="32"/>
          <w:szCs w:val="32"/>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（2）卫生健康支出8.84万元，占5.5%，较年初预算数增加0.46万元，增长5.5%，主要原因是年底增人调资医疗增加。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（3）住房保障支出7.63万元，占4.7%，较年初预算数增加0.54万元，增长7.6%，主要原因是年底增人调资住房公积金增加。</w:t>
      </w:r>
      <w:r>
        <w:rPr>
          <w:rFonts w:hint="default" w:ascii="Times New Roman" w:hAnsi="Times New Roman" w:eastAsia="方正仿宋_GBK" w:cs="Times New Roman"/>
          <w:i w:val="0"/>
          <w:caps w:val="0"/>
          <w:color w:val="auto"/>
          <w:spacing w:val="0"/>
          <w:sz w:val="32"/>
          <w:szCs w:val="32"/>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（4）农林水支出114.97万元，占70.9%，较年初预算数减少4.33万元，下降3.6%，主要原因是决算时三支一扶纳入了一部分到社会保障就业进行决算。</w:t>
      </w:r>
      <w:r>
        <w:rPr>
          <w:rFonts w:hint="default" w:ascii="Times New Roman" w:hAnsi="Times New Roman" w:eastAsia="方正仿宋_GBK" w:cs="Times New Roman"/>
          <w:i w:val="0"/>
          <w:caps w:val="0"/>
          <w:color w:val="auto"/>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eastAsia" w:ascii="方正楷体_GBK" w:hAnsi="方正楷体_GBK" w:eastAsia="方正楷体_GBK" w:cs="方正楷体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（四）一般公共预算财政拨款基本支出决算情况说明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2022年度一般公共预算财政拨款基本支出162.17万元。其中人员经费159.13万元，用途主要包括工资性福利支出、商品和服务支出和对个人和家庭的补助。公用经费2.65万元，用途主要包括工会经费和福利费。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（五）政府性基金预算收支决算情况说明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本单位2022年度无政府性基金预算财政拨款收支。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（六）国有资本经营预算财政拨款支出决算情况说明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本单位2022年度无国有资本经营预算财政拨款支出。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rPr>
        <w:t>三、“三公”经费情况说明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（一）“三公”经费支出总体情况说明。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Times New Roman" w:hAnsi="Times New Roman" w:eastAsia="sans-serif" w:cs="Times New Roman"/>
          <w:i w:val="0"/>
          <w:caps w:val="0"/>
          <w:color w:val="auto"/>
          <w:spacing w:val="0"/>
          <w:sz w:val="32"/>
          <w:szCs w:val="32"/>
          <w:lang w:eastAsia="zh-CN"/>
        </w:rPr>
      </w:pPr>
      <w:r>
        <w:rPr>
          <w:rFonts w:hint="default" w:ascii="Times New Roman" w:hAnsi="Times New Roman" w:eastAsia="宋体" w:cs="Times New Roman"/>
          <w:i w:val="0"/>
          <w:caps w:val="0"/>
          <w:color w:val="auto"/>
          <w:spacing w:val="0"/>
          <w:sz w:val="32"/>
          <w:szCs w:val="32"/>
          <w:shd w:val="clear" w:fill="FFFFFF"/>
        </w:rPr>
        <w:t>2022</w:t>
      </w:r>
      <w:r>
        <w:rPr>
          <w:rFonts w:hint="default" w:ascii="Times New Roman" w:hAnsi="Times New Roman" w:eastAsia="sans-serif" w:cs="Times New Roman"/>
          <w:i w:val="0"/>
          <w:caps w:val="0"/>
          <w:color w:val="auto"/>
          <w:spacing w:val="0"/>
          <w:sz w:val="32"/>
          <w:szCs w:val="32"/>
          <w:shd w:val="clear" w:fill="FFFFFF"/>
        </w:rPr>
        <w:t>年度</w:t>
      </w:r>
      <w:r>
        <w:rPr>
          <w:rFonts w:hint="default" w:ascii="Times New Roman" w:hAnsi="Times New Roman" w:eastAsia="宋体"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三公</w:t>
      </w:r>
      <w:r>
        <w:rPr>
          <w:rFonts w:hint="default" w:ascii="Times New Roman" w:hAnsi="Times New Roman" w:eastAsia="宋体"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经费支出共计</w:t>
      </w:r>
      <w:r>
        <w:rPr>
          <w:rFonts w:hint="default" w:ascii="Times New Roman" w:hAnsi="Times New Roman" w:eastAsia="宋体" w:cs="Times New Roman"/>
          <w:i w:val="0"/>
          <w:caps w:val="0"/>
          <w:color w:val="auto"/>
          <w:spacing w:val="0"/>
          <w:sz w:val="32"/>
          <w:szCs w:val="32"/>
          <w:shd w:val="clear" w:fill="FFFFFF"/>
        </w:rPr>
        <w:t>0.00</w:t>
      </w:r>
      <w:r>
        <w:rPr>
          <w:rFonts w:hint="default" w:ascii="Times New Roman" w:hAnsi="Times New Roman" w:eastAsia="sans-serif" w:cs="Times New Roman"/>
          <w:i w:val="0"/>
          <w:caps w:val="0"/>
          <w:color w:val="auto"/>
          <w:spacing w:val="0"/>
          <w:sz w:val="32"/>
          <w:szCs w:val="32"/>
          <w:shd w:val="clear" w:fill="FFFFFF"/>
        </w:rPr>
        <w:t>万元，较年初预算数增加</w:t>
      </w:r>
      <w:r>
        <w:rPr>
          <w:rFonts w:hint="default" w:ascii="Times New Roman" w:hAnsi="Times New Roman" w:eastAsia="宋体" w:cs="Times New Roman"/>
          <w:i w:val="0"/>
          <w:caps w:val="0"/>
          <w:color w:val="auto"/>
          <w:spacing w:val="0"/>
          <w:sz w:val="32"/>
          <w:szCs w:val="32"/>
          <w:shd w:val="clear" w:fill="FFFFFF"/>
        </w:rPr>
        <w:t>0.00</w:t>
      </w:r>
      <w:r>
        <w:rPr>
          <w:rFonts w:hint="default" w:ascii="Times New Roman" w:hAnsi="Times New Roman" w:eastAsia="sans-serif" w:cs="Times New Roman"/>
          <w:i w:val="0"/>
          <w:caps w:val="0"/>
          <w:color w:val="auto"/>
          <w:spacing w:val="0"/>
          <w:sz w:val="32"/>
          <w:szCs w:val="32"/>
          <w:shd w:val="clear" w:fill="FFFFFF"/>
        </w:rPr>
        <w:t>万元，增长</w:t>
      </w:r>
      <w:r>
        <w:rPr>
          <w:rFonts w:hint="default" w:ascii="Times New Roman" w:hAnsi="Times New Roman" w:eastAsia="宋体" w:cs="Times New Roman"/>
          <w:i w:val="0"/>
          <w:caps w:val="0"/>
          <w:color w:val="auto"/>
          <w:spacing w:val="0"/>
          <w:sz w:val="32"/>
          <w:szCs w:val="32"/>
          <w:shd w:val="clear" w:fill="FFFFFF"/>
        </w:rPr>
        <w:t>100%</w:t>
      </w:r>
      <w:r>
        <w:rPr>
          <w:rFonts w:hint="default" w:ascii="Times New Roman" w:hAnsi="Times New Roman" w:eastAsia="sans-serif" w:cs="Times New Roman"/>
          <w:i w:val="0"/>
          <w:caps w:val="0"/>
          <w:color w:val="auto"/>
          <w:spacing w:val="0"/>
          <w:sz w:val="32"/>
          <w:szCs w:val="32"/>
          <w:shd w:val="clear" w:fill="FFFFFF"/>
        </w:rPr>
        <w:t>，主要原因是我单位未发生三公经费</w:t>
      </w:r>
      <w:r>
        <w:rPr>
          <w:rFonts w:hint="eastAsia" w:eastAsia="sans-serif" w:cs="Times New Roman"/>
          <w:i w:val="0"/>
          <w:caps w:val="0"/>
          <w:color w:val="auto"/>
          <w:spacing w:val="0"/>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（二）“三公”经费分项支出情况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2022年度本部门因公出国（境）费用0.00万元，费用支出较年初预算数增加0.00万元，增长0%，主要原因是我单位未发生三公经费，较上年支出数增加0.00万元，增长0%，主要原因是我单位未发生三公经费</w:t>
      </w:r>
      <w:r>
        <w:rPr>
          <w:rFonts w:hint="default" w:ascii="Times New Roman" w:hAnsi="Times New Roman" w:eastAsia="方正仿宋_GBK" w:cs="Times New Roman"/>
          <w:i w:val="0"/>
          <w:caps w:val="0"/>
          <w:color w:val="auto"/>
          <w:spacing w:val="0"/>
          <w:sz w:val="32"/>
          <w:szCs w:val="32"/>
          <w:shd w:val="clear" w:fill="FFFFFF"/>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公务车购置费0.00万元，费用支出较年初预算数增加0.00万元，增长0%，主要原因是我单位未发生三公经费，较上年支出数增加0.00万元，增长0%，主要原因是我单位未发生三公经费</w:t>
      </w:r>
      <w:r>
        <w:rPr>
          <w:rFonts w:hint="default" w:ascii="Times New Roman" w:hAnsi="Times New Roman" w:eastAsia="方正仿宋_GBK" w:cs="Times New Roman"/>
          <w:i w:val="0"/>
          <w:caps w:val="0"/>
          <w:color w:val="auto"/>
          <w:spacing w:val="0"/>
          <w:sz w:val="32"/>
          <w:szCs w:val="32"/>
          <w:shd w:val="clear" w:fill="FFFFFF"/>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24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  公务车运行维护费0.00万元，费用支出较年初预算数增加0.00万元，增长0%，主要原因是我单位未发生三公经费，较上年支出数增加0.00万元，增长0%，主要原因是我单位未发生三公经费。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default" w:ascii="Times New Roman" w:hAnsi="Times New Roman" w:eastAsia="方正仿宋_GBK" w:cs="Times New Roman"/>
          <w:i w:val="0"/>
          <w:caps w:val="0"/>
          <w:color w:val="auto"/>
          <w:spacing w:val="0"/>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     公务接待费0.00万元，费用支出较年初预算数增加0.00万元，增长0%，主要原因是我单位未发生三公经费，较上年支出数增加0.00万元，增长0%，主要原因是我单位未发生三公经费，较上年支出数增加0.00万元，增长0%，主要原因是我单位未发生三公经费</w:t>
      </w:r>
      <w:r>
        <w:rPr>
          <w:rFonts w:hint="default" w:ascii="Times New Roman" w:hAnsi="Times New Roman" w:eastAsia="方正仿宋_GBK" w:cs="Times New Roman"/>
          <w:i w:val="0"/>
          <w:caps w:val="0"/>
          <w:color w:val="auto"/>
          <w:spacing w:val="0"/>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（三）“三公”经费实物量情况。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default" w:ascii="Times New Roman" w:hAnsi="Times New Roman" w:eastAsia="方正仿宋_GBK" w:cs="Times New Roman"/>
          <w:i w:val="0"/>
          <w:caps w:val="0"/>
          <w:color w:val="auto"/>
          <w:spacing w:val="0"/>
          <w:sz w:val="32"/>
          <w:szCs w:val="32"/>
          <w:lang w:val="en" w:eastAsia="zh-CN"/>
        </w:rPr>
      </w:pPr>
      <w:r>
        <w:rPr>
          <w:rFonts w:hint="default" w:ascii="Times New Roman" w:hAnsi="Times New Roman" w:eastAsia="宋体" w:cs="Times New Roman"/>
          <w:i w:val="0"/>
          <w:caps w:val="0"/>
          <w:color w:val="auto"/>
          <w:spacing w:val="0"/>
          <w:sz w:val="32"/>
          <w:szCs w:val="32"/>
          <w:shd w:val="clear" w:fill="FFFFFF"/>
        </w:rPr>
        <w:t xml:space="preserve">    </w:t>
      </w:r>
      <w:r>
        <w:rPr>
          <w:rFonts w:hint="default" w:ascii="Times New Roman" w:hAnsi="Times New Roman" w:eastAsia="方正仿宋_GBK" w:cs="Times New Roman"/>
          <w:i w:val="0"/>
          <w:caps w:val="0"/>
          <w:color w:val="auto"/>
          <w:spacing w:val="0"/>
          <w:sz w:val="32"/>
          <w:szCs w:val="32"/>
          <w:shd w:val="clear" w:fill="FFFFFF"/>
        </w:rPr>
        <w:t>  2022年度本部门因公出国（境）共计0个团组，0人；公务用车购置0辆，公务车保有量为0辆；国内公务接待0批次0人，其中：国内外事接待0批次，0人；国（境）外公务接待0批次，0人。2022年本部门人均接待费0.00元，车均购置费0.00万元，车均维护费0.00万，主要原因是我单位未发生三公经费</w:t>
      </w:r>
      <w:r>
        <w:rPr>
          <w:rFonts w:hint="default" w:ascii="Times New Roman" w:hAnsi="Times New Roman" w:eastAsia="方正仿宋_GBK" w:cs="Times New Roman"/>
          <w:i w:val="0"/>
          <w:caps w:val="0"/>
          <w:color w:val="auto"/>
          <w:spacing w:val="0"/>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firstLine="960" w:firstLineChars="30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rPr>
        <w:t>四、其他需要说明的事项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（一）财政拨款会议费和培训费情况说明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eastAsia" w:ascii="Times New Roman" w:hAnsi="Times New Roman" w:eastAsia="方正仿宋_GBK" w:cs="Times New Roman"/>
          <w:i w:val="0"/>
          <w:caps w:val="0"/>
          <w:color w:val="auto"/>
          <w:spacing w:val="0"/>
          <w:sz w:val="32"/>
          <w:szCs w:val="32"/>
          <w:lang w:eastAsia="zh-CN"/>
        </w:rPr>
      </w:pPr>
      <w:r>
        <w:rPr>
          <w:rFonts w:hint="default" w:ascii="Times New Roman" w:hAnsi="Times New Roman" w:eastAsia="sans-serif" w:cs="Times New Roman"/>
          <w:i w:val="0"/>
          <w:caps w:val="0"/>
          <w:color w:val="auto"/>
          <w:spacing w:val="0"/>
          <w:sz w:val="32"/>
          <w:szCs w:val="32"/>
          <w:shd w:val="clear" w:fill="FFFFFF"/>
        </w:rPr>
        <w:t>   </w:t>
      </w:r>
      <w:r>
        <w:rPr>
          <w:rFonts w:hint="eastAsia" w:eastAsia="sans-serif"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本年度会议费支出0.00万元，较上年决算数增加0.00万元，增长0%，本年度培训费支出0.43万元，较上年增长100%，主要原因是2022年新增为决算单位</w:t>
      </w:r>
      <w:r>
        <w:rPr>
          <w:rFonts w:hint="eastAsia" w:eastAsia="方正仿宋_GBK" w:cs="Times New Roman"/>
          <w:i w:val="0"/>
          <w:caps w:val="0"/>
          <w:color w:val="auto"/>
          <w:spacing w:val="0"/>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（二）机关运行经费支出情况说明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xml:space="preserve">  </w:t>
      </w:r>
      <w:r>
        <w:rPr>
          <w:rFonts w:hint="default" w:ascii="Times New Roman" w:hAnsi="Times New Roman" w:eastAsia="方正仿宋_GBK" w:cs="Times New Roman"/>
          <w:i w:val="0"/>
          <w:caps w:val="0"/>
          <w:color w:val="auto"/>
          <w:spacing w:val="0"/>
          <w:sz w:val="32"/>
          <w:szCs w:val="32"/>
          <w:shd w:val="clear" w:fill="FFFFFF"/>
        </w:rPr>
        <w:t> </w:t>
      </w:r>
      <w:r>
        <w:rPr>
          <w:rFonts w:hint="eastAsia"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 xml:space="preserve"> 2022年度本部门机关运行经费支出0.00万元按照部门决算列报口径，我单位不在机关运行经费统计范围之内。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（三）国有资产占用情况说明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应包含以下信息：截至2022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（四）政府采购支出情况说明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本单位2022年无政府采购预算。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rPr>
        <w:t>五、预算绩效管理情况说明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（一）预算绩效管理工作开展情况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根据预算绩效管理要求，我单位的上级单位云阳县黄石镇人民政府对部门整体绩效和109个项目开展了绩效自评，涉及资金3228.66万元。从自评情况来看，基本上达到年初设定目标。。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（二）绩效自评结果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Style w:val="7"/>
          <w:rFonts w:hint="default" w:ascii="Times New Roman" w:hAnsi="Times New Roman" w:eastAsia="方正仿宋_GBK" w:cs="Times New Roman"/>
          <w:i w:val="0"/>
          <w:caps w:val="0"/>
          <w:color w:val="auto"/>
          <w:spacing w:val="0"/>
          <w:sz w:val="32"/>
          <w:szCs w:val="32"/>
        </w:rPr>
        <w:t>1.绩效目标自评表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eastAsia" w:ascii="Times New Roman" w:hAnsi="Times New Roman" w:eastAsia="方正仿宋_GBK" w:cs="Times New Roman"/>
          <w:b w:val="0"/>
          <w:bCs/>
          <w:i w:val="0"/>
          <w:caps w:val="0"/>
          <w:color w:val="auto"/>
          <w:spacing w:val="0"/>
          <w:sz w:val="32"/>
          <w:szCs w:val="32"/>
          <w:lang w:eastAsia="zh-CN"/>
        </w:rPr>
      </w:pPr>
      <w:r>
        <w:rPr>
          <w:rStyle w:val="7"/>
          <w:rFonts w:hint="default" w:ascii="Times New Roman" w:hAnsi="Times New Roman" w:eastAsia="方正仿宋_GBK" w:cs="Times New Roman"/>
          <w:b w:val="0"/>
          <w:bCs/>
          <w:i w:val="0"/>
          <w:caps w:val="0"/>
          <w:color w:val="auto"/>
          <w:spacing w:val="0"/>
          <w:sz w:val="32"/>
          <w:szCs w:val="32"/>
        </w:rPr>
        <w:t>无</w:t>
      </w:r>
      <w:r>
        <w:rPr>
          <w:rStyle w:val="7"/>
          <w:rFonts w:hint="eastAsia" w:eastAsia="方正仿宋_GBK" w:cs="Times New Roman"/>
          <w:b w:val="0"/>
          <w:bCs/>
          <w:i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Style w:val="7"/>
          <w:rFonts w:hint="default" w:ascii="Times New Roman" w:hAnsi="Times New Roman" w:eastAsia="方正仿宋_GBK" w:cs="Times New Roman"/>
          <w:i w:val="0"/>
          <w:caps w:val="0"/>
          <w:color w:val="auto"/>
          <w:spacing w:val="0"/>
          <w:sz w:val="32"/>
          <w:szCs w:val="32"/>
        </w:rPr>
        <w:t>2.绩效自评报告或案例（如有）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Style w:val="7"/>
          <w:rFonts w:hint="default" w:ascii="Times New Roman" w:hAnsi="Times New Roman" w:eastAsia="方正仿宋_GBK" w:cs="Times New Roman"/>
          <w:i w:val="0"/>
          <w:caps w:val="0"/>
          <w:color w:val="auto"/>
          <w:spacing w:val="0"/>
          <w:sz w:val="32"/>
          <w:szCs w:val="32"/>
        </w:rPr>
        <w:t>3.关于绩效自评结果的说明。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（三）重点绩效评价结果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rPr>
        <w:t>六、专业名词解释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单位应根据实际情况对专业名词进行解释，不得遗漏。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（一）</w:t>
      </w:r>
      <w:r>
        <w:rPr>
          <w:rFonts w:hint="default" w:ascii="Times New Roman" w:hAnsi="Times New Roman" w:eastAsia="方正楷体_GBK" w:cs="Times New Roman"/>
          <w:i w:val="0"/>
          <w:caps w:val="0"/>
          <w:color w:val="auto"/>
          <w:spacing w:val="0"/>
          <w:sz w:val="32"/>
          <w:szCs w:val="32"/>
        </w:rPr>
        <w:t>财政拨款收入：</w:t>
      </w:r>
      <w:r>
        <w:rPr>
          <w:rFonts w:hint="default" w:ascii="Times New Roman" w:hAnsi="Times New Roman" w:eastAsia="方正仿宋_GBK" w:cs="Times New Roman"/>
          <w:i w:val="0"/>
          <w:caps w:val="0"/>
          <w:color w:val="auto"/>
          <w:spacing w:val="0"/>
          <w:sz w:val="32"/>
          <w:szCs w:val="32"/>
        </w:rPr>
        <w:t>指本年度从本级财政部门取得的财政拨款，包括一般公共预算财政拨款和政府性基金预算财政拨款。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（二）</w:t>
      </w:r>
      <w:r>
        <w:rPr>
          <w:rFonts w:hint="default" w:ascii="Times New Roman" w:hAnsi="Times New Roman" w:eastAsia="方正楷体_GBK" w:cs="Times New Roman"/>
          <w:i w:val="0"/>
          <w:caps w:val="0"/>
          <w:color w:val="auto"/>
          <w:spacing w:val="0"/>
          <w:sz w:val="32"/>
          <w:szCs w:val="32"/>
        </w:rPr>
        <w:t>事业收入</w:t>
      </w:r>
      <w:r>
        <w:rPr>
          <w:rFonts w:hint="default" w:ascii="Times New Roman" w:hAnsi="Times New Roman" w:eastAsia="方正仿宋_GBK" w:cs="Times New Roman"/>
          <w:i w:val="0"/>
          <w:caps w:val="0"/>
          <w:color w:val="auto"/>
          <w:spacing w:val="0"/>
          <w:sz w:val="32"/>
          <w:szCs w:val="32"/>
        </w:rPr>
        <w:t>：指事业单位开展专业业务活动及其辅助活动取得的现金流入；事业单位收到的财政专户实际核拨的教育收费等资金在此反映。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（三）</w:t>
      </w:r>
      <w:r>
        <w:rPr>
          <w:rFonts w:hint="default" w:ascii="Times New Roman" w:hAnsi="Times New Roman" w:eastAsia="方正楷体_GBK" w:cs="Times New Roman"/>
          <w:i w:val="0"/>
          <w:caps w:val="0"/>
          <w:color w:val="auto"/>
          <w:spacing w:val="0"/>
          <w:sz w:val="32"/>
          <w:szCs w:val="32"/>
        </w:rPr>
        <w:t>经营收入</w:t>
      </w:r>
      <w:r>
        <w:rPr>
          <w:rFonts w:hint="default" w:ascii="Times New Roman" w:hAnsi="Times New Roman" w:eastAsia="方正仿宋_GBK" w:cs="Times New Roman"/>
          <w:i w:val="0"/>
          <w:caps w:val="0"/>
          <w:color w:val="auto"/>
          <w:spacing w:val="0"/>
          <w:sz w:val="32"/>
          <w:szCs w:val="32"/>
        </w:rPr>
        <w:t>：指事业单位在专业业务活动及其辅助活动之外开展非独立核算经营活动取得的现金流入。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（四）</w:t>
      </w:r>
      <w:r>
        <w:rPr>
          <w:rFonts w:hint="default" w:ascii="Times New Roman" w:hAnsi="Times New Roman" w:eastAsia="方正楷体_GBK" w:cs="Times New Roman"/>
          <w:i w:val="0"/>
          <w:caps w:val="0"/>
          <w:color w:val="auto"/>
          <w:spacing w:val="0"/>
          <w:sz w:val="32"/>
          <w:szCs w:val="32"/>
        </w:rPr>
        <w:t>其他收入</w:t>
      </w:r>
      <w:r>
        <w:rPr>
          <w:rFonts w:hint="default" w:ascii="Times New Roman" w:hAnsi="Times New Roman" w:eastAsia="方正仿宋_GBK" w:cs="Times New Roman"/>
          <w:i w:val="0"/>
          <w:caps w:val="0"/>
          <w:color w:val="auto"/>
          <w:spacing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（五）</w:t>
      </w:r>
      <w:r>
        <w:rPr>
          <w:rFonts w:hint="default" w:ascii="Times New Roman" w:hAnsi="Times New Roman" w:eastAsia="方正楷体_GBK" w:cs="Times New Roman"/>
          <w:i w:val="0"/>
          <w:caps w:val="0"/>
          <w:color w:val="auto"/>
          <w:spacing w:val="0"/>
          <w:sz w:val="32"/>
          <w:szCs w:val="32"/>
        </w:rPr>
        <w:t>使用非财政拨款结余</w:t>
      </w:r>
      <w:r>
        <w:rPr>
          <w:rFonts w:hint="default" w:ascii="Times New Roman" w:hAnsi="Times New Roman" w:eastAsia="方正仿宋_GBK" w:cs="Times New Roman"/>
          <w:i w:val="0"/>
          <w:caps w:val="0"/>
          <w:color w:val="auto"/>
          <w:spacing w:val="0"/>
          <w:sz w:val="32"/>
          <w:szCs w:val="32"/>
        </w:rPr>
        <w:t>：指单位在当年的“财政拨款收入”、“事业收入”、“经营收入”、“其他收入”等不足以安排当年支出的情况下，使用以前年度积累的非财政拨款结余弥补本年度收支缺口的资金。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（六）</w:t>
      </w:r>
      <w:r>
        <w:rPr>
          <w:rFonts w:hint="default" w:ascii="Times New Roman" w:hAnsi="Times New Roman" w:eastAsia="方正楷体_GBK" w:cs="Times New Roman"/>
          <w:i w:val="0"/>
          <w:caps w:val="0"/>
          <w:color w:val="auto"/>
          <w:spacing w:val="0"/>
          <w:sz w:val="32"/>
          <w:szCs w:val="32"/>
        </w:rPr>
        <w:t>年初结转和结余</w:t>
      </w:r>
      <w:r>
        <w:rPr>
          <w:rFonts w:hint="default" w:ascii="Times New Roman" w:hAnsi="Times New Roman" w:eastAsia="方正仿宋_GBK" w:cs="Times New Roman"/>
          <w:i w:val="0"/>
          <w:caps w:val="0"/>
          <w:color w:val="auto"/>
          <w:spacing w:val="0"/>
          <w:sz w:val="32"/>
          <w:szCs w:val="32"/>
        </w:rPr>
        <w:t>：指单位上年结转本年使用的基本支出结转、项目支出结转和结余、经营结余。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（七）</w:t>
      </w:r>
      <w:r>
        <w:rPr>
          <w:rFonts w:hint="default" w:ascii="Times New Roman" w:hAnsi="Times New Roman" w:eastAsia="方正楷体_GBK" w:cs="Times New Roman"/>
          <w:i w:val="0"/>
          <w:caps w:val="0"/>
          <w:color w:val="auto"/>
          <w:spacing w:val="0"/>
          <w:sz w:val="32"/>
          <w:szCs w:val="32"/>
        </w:rPr>
        <w:t>结余分配</w:t>
      </w:r>
      <w:r>
        <w:rPr>
          <w:rFonts w:hint="default" w:ascii="Times New Roman" w:hAnsi="Times New Roman" w:eastAsia="方正仿宋_GBK" w:cs="Times New Roman"/>
          <w:i w:val="0"/>
          <w:caps w:val="0"/>
          <w:color w:val="auto"/>
          <w:spacing w:val="0"/>
          <w:sz w:val="32"/>
          <w:szCs w:val="32"/>
        </w:rPr>
        <w:t>：指单位按照国家有关规定，缴纳所得税、提取专用基金、转入非财政拨款结余等当年结余的分配情况。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（八）</w:t>
      </w:r>
      <w:r>
        <w:rPr>
          <w:rFonts w:hint="default" w:ascii="Times New Roman" w:hAnsi="Times New Roman" w:eastAsia="方正楷体_GBK" w:cs="Times New Roman"/>
          <w:i w:val="0"/>
          <w:caps w:val="0"/>
          <w:color w:val="auto"/>
          <w:spacing w:val="0"/>
          <w:sz w:val="32"/>
          <w:szCs w:val="32"/>
        </w:rPr>
        <w:t>年末结转和结余</w:t>
      </w:r>
      <w:r>
        <w:rPr>
          <w:rFonts w:hint="default" w:ascii="Times New Roman" w:hAnsi="Times New Roman" w:eastAsia="方正仿宋_GBK" w:cs="Times New Roman"/>
          <w:i w:val="0"/>
          <w:caps w:val="0"/>
          <w:color w:val="auto"/>
          <w:spacing w:val="0"/>
          <w:sz w:val="32"/>
          <w:szCs w:val="32"/>
        </w:rPr>
        <w:t>：指单位结转下年的基本支出结转、项目支出结转和结余、经营结余。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（九）</w:t>
      </w:r>
      <w:r>
        <w:rPr>
          <w:rFonts w:hint="default" w:ascii="Times New Roman" w:hAnsi="Times New Roman" w:eastAsia="方正楷体_GBK" w:cs="Times New Roman"/>
          <w:i w:val="0"/>
          <w:caps w:val="0"/>
          <w:color w:val="auto"/>
          <w:spacing w:val="0"/>
          <w:sz w:val="32"/>
          <w:szCs w:val="32"/>
        </w:rPr>
        <w:t>基本支出</w:t>
      </w:r>
      <w:r>
        <w:rPr>
          <w:rFonts w:hint="default" w:ascii="Times New Roman" w:hAnsi="Times New Roman" w:eastAsia="方正仿宋_GBK" w:cs="Times New Roman"/>
          <w:i w:val="0"/>
          <w:caps w:val="0"/>
          <w:color w:val="auto"/>
          <w:spacing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（十）</w:t>
      </w:r>
      <w:r>
        <w:rPr>
          <w:rFonts w:hint="default" w:ascii="Times New Roman" w:hAnsi="Times New Roman" w:eastAsia="方正楷体_GBK" w:cs="Times New Roman"/>
          <w:i w:val="0"/>
          <w:caps w:val="0"/>
          <w:color w:val="auto"/>
          <w:spacing w:val="0"/>
          <w:sz w:val="32"/>
          <w:szCs w:val="32"/>
        </w:rPr>
        <w:t>项目支出</w:t>
      </w:r>
      <w:r>
        <w:rPr>
          <w:rFonts w:hint="default" w:ascii="Times New Roman" w:hAnsi="Times New Roman" w:eastAsia="方正仿宋_GBK" w:cs="Times New Roman"/>
          <w:i w:val="0"/>
          <w:caps w:val="0"/>
          <w:color w:val="auto"/>
          <w:spacing w:val="0"/>
          <w:sz w:val="32"/>
          <w:szCs w:val="32"/>
        </w:rPr>
        <w:t>：指在基本支出之外为完成特定行政任务和事业发展目标所发生的支出。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（十一）</w:t>
      </w:r>
      <w:r>
        <w:rPr>
          <w:rFonts w:hint="default" w:ascii="Times New Roman" w:hAnsi="Times New Roman" w:eastAsia="方正楷体_GBK" w:cs="Times New Roman"/>
          <w:i w:val="0"/>
          <w:caps w:val="0"/>
          <w:color w:val="auto"/>
          <w:spacing w:val="0"/>
          <w:sz w:val="32"/>
          <w:szCs w:val="32"/>
        </w:rPr>
        <w:t>经营支出</w:t>
      </w:r>
      <w:r>
        <w:rPr>
          <w:rFonts w:hint="default" w:ascii="Times New Roman" w:hAnsi="Times New Roman" w:eastAsia="方正仿宋_GBK" w:cs="Times New Roman"/>
          <w:i w:val="0"/>
          <w:caps w:val="0"/>
          <w:color w:val="auto"/>
          <w:spacing w:val="0"/>
          <w:sz w:val="32"/>
          <w:szCs w:val="32"/>
        </w:rPr>
        <w:t>：指事业单位在专业业务活动及其辅助活动之外开展非独立核算经营活动发生的支出。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（十二）</w:t>
      </w:r>
      <w:r>
        <w:rPr>
          <w:rFonts w:hint="default" w:ascii="Times New Roman" w:hAnsi="Times New Roman" w:eastAsia="方正楷体_GBK" w:cs="Times New Roman"/>
          <w:i w:val="0"/>
          <w:caps w:val="0"/>
          <w:color w:val="auto"/>
          <w:spacing w:val="0"/>
          <w:sz w:val="32"/>
          <w:szCs w:val="32"/>
        </w:rPr>
        <w:t>“三公”经费：</w:t>
      </w:r>
      <w:r>
        <w:rPr>
          <w:rFonts w:hint="default" w:ascii="Times New Roman" w:hAnsi="Times New Roman" w:eastAsia="方正仿宋_GBK" w:cs="Times New Roman"/>
          <w:i w:val="0"/>
          <w:caps w:val="0"/>
          <w:color w:val="auto"/>
          <w:spacing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（十三）</w:t>
      </w:r>
      <w:r>
        <w:rPr>
          <w:rFonts w:hint="default" w:ascii="Times New Roman" w:hAnsi="Times New Roman" w:eastAsia="方正楷体_GBK" w:cs="Times New Roman"/>
          <w:i w:val="0"/>
          <w:caps w:val="0"/>
          <w:color w:val="auto"/>
          <w:spacing w:val="0"/>
          <w:sz w:val="32"/>
          <w:szCs w:val="32"/>
        </w:rPr>
        <w:t>机关运行经费</w:t>
      </w:r>
      <w:r>
        <w:rPr>
          <w:rFonts w:hint="default" w:ascii="Times New Roman" w:hAnsi="Times New Roman" w:eastAsia="方正仿宋_GBK" w:cs="Times New Roman"/>
          <w:i w:val="0"/>
          <w:caps w:val="0"/>
          <w:color w:val="auto"/>
          <w:spacing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（十四）</w:t>
      </w:r>
      <w:r>
        <w:rPr>
          <w:rFonts w:hint="default" w:ascii="Times New Roman" w:hAnsi="Times New Roman" w:eastAsia="方正楷体_GBK" w:cs="Times New Roman"/>
          <w:i w:val="0"/>
          <w:caps w:val="0"/>
          <w:color w:val="auto"/>
          <w:spacing w:val="0"/>
          <w:sz w:val="32"/>
          <w:szCs w:val="32"/>
        </w:rPr>
        <w:t>工资福利支出（支出经济分类科目类级）</w:t>
      </w:r>
      <w:r>
        <w:rPr>
          <w:rFonts w:hint="default" w:ascii="Times New Roman" w:hAnsi="Times New Roman" w:eastAsia="方正仿宋_GBK" w:cs="Times New Roman"/>
          <w:i w:val="0"/>
          <w:caps w:val="0"/>
          <w:color w:val="auto"/>
          <w:spacing w:val="0"/>
          <w:sz w:val="32"/>
          <w:szCs w:val="32"/>
        </w:rPr>
        <w:t>：反映单位开支的在职职工和编制外长期聘用人员的各类劳动报酬，以及为上述人员缴纳的各项社会保险费等。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（十五）</w:t>
      </w:r>
      <w:r>
        <w:rPr>
          <w:rFonts w:hint="default" w:ascii="Times New Roman" w:hAnsi="Times New Roman" w:eastAsia="方正楷体_GBK" w:cs="Times New Roman"/>
          <w:i w:val="0"/>
          <w:caps w:val="0"/>
          <w:color w:val="auto"/>
          <w:spacing w:val="0"/>
          <w:sz w:val="32"/>
          <w:szCs w:val="32"/>
        </w:rPr>
        <w:t>商品和服务支出（支出经济分类科目类级）</w:t>
      </w:r>
      <w:r>
        <w:rPr>
          <w:rFonts w:hint="default" w:ascii="Times New Roman" w:hAnsi="Times New Roman" w:eastAsia="方正仿宋_GBK" w:cs="Times New Roman"/>
          <w:i w:val="0"/>
          <w:caps w:val="0"/>
          <w:color w:val="auto"/>
          <w:spacing w:val="0"/>
          <w:sz w:val="32"/>
          <w:szCs w:val="32"/>
        </w:rPr>
        <w:t>：反映单位购买商品和服务的支出（不包括用于购置固定资产的支出、战略性和应急储备支出）。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（十六）</w:t>
      </w:r>
      <w:r>
        <w:rPr>
          <w:rFonts w:hint="default" w:ascii="Times New Roman" w:hAnsi="Times New Roman" w:eastAsia="方正楷体_GBK" w:cs="Times New Roman"/>
          <w:i w:val="0"/>
          <w:caps w:val="0"/>
          <w:color w:val="auto"/>
          <w:spacing w:val="0"/>
          <w:sz w:val="32"/>
          <w:szCs w:val="32"/>
        </w:rPr>
        <w:t>对个人和家庭的补助（支出经济分类科目类级）</w:t>
      </w:r>
      <w:r>
        <w:rPr>
          <w:rFonts w:hint="default" w:ascii="Times New Roman" w:hAnsi="Times New Roman" w:eastAsia="方正仿宋_GBK" w:cs="Times New Roman"/>
          <w:i w:val="0"/>
          <w:caps w:val="0"/>
          <w:color w:val="auto"/>
          <w:spacing w:val="0"/>
          <w:sz w:val="32"/>
          <w:szCs w:val="32"/>
        </w:rPr>
        <w:t>：反映用于对个人和家庭的补助支出。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（十七）</w:t>
      </w:r>
      <w:r>
        <w:rPr>
          <w:rFonts w:hint="default" w:ascii="Times New Roman" w:hAnsi="Times New Roman" w:eastAsia="方正楷体_GBK" w:cs="Times New Roman"/>
          <w:i w:val="0"/>
          <w:caps w:val="0"/>
          <w:color w:val="auto"/>
          <w:spacing w:val="0"/>
          <w:sz w:val="32"/>
          <w:szCs w:val="32"/>
        </w:rPr>
        <w:t>其他资本性支出（支出经济分类科目类级）</w:t>
      </w:r>
      <w:r>
        <w:rPr>
          <w:rFonts w:hint="default" w:ascii="Times New Roman" w:hAnsi="Times New Roman" w:eastAsia="方正仿宋_GBK" w:cs="Times New Roman"/>
          <w:i w:val="0"/>
          <w:caps w:val="0"/>
          <w:color w:val="auto"/>
          <w:spacing w:val="0"/>
          <w:sz w:val="32"/>
          <w:szCs w:val="32"/>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rPr>
        <w:t>七、决算公开联系方式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Style w:val="7"/>
          <w:rFonts w:hint="default" w:ascii="Times New Roman" w:hAnsi="Times New Roman" w:eastAsia="方正仿宋_GBK" w:cs="Times New Roman"/>
          <w:i w:val="0"/>
          <w:caps w:val="0"/>
          <w:color w:val="auto"/>
          <w:spacing w:val="0"/>
          <w:sz w:val="32"/>
          <w:szCs w:val="32"/>
        </w:rPr>
        <w:t>单位决算公开联系人：宋方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sans-serif" w:cs="Times New Roman"/>
          <w:i w:val="0"/>
          <w:caps w:val="0"/>
          <w:color w:val="auto"/>
          <w:spacing w:val="0"/>
          <w:sz w:val="32"/>
          <w:szCs w:val="32"/>
        </w:rPr>
      </w:pPr>
      <w:r>
        <w:rPr>
          <w:rStyle w:val="7"/>
          <w:rFonts w:hint="default" w:ascii="Times New Roman" w:hAnsi="Times New Roman" w:eastAsia="方正仿宋_GBK" w:cs="Times New Roman"/>
          <w:i w:val="0"/>
          <w:caps w:val="0"/>
          <w:color w:val="auto"/>
          <w:spacing w:val="0"/>
          <w:sz w:val="32"/>
          <w:szCs w:val="32"/>
        </w:rPr>
        <w:t>联系方式：023-5581011</w:t>
      </w:r>
    </w:p>
    <w:p>
      <w:pPr>
        <w:rPr>
          <w:color w:val="auto"/>
          <w:sz w:val="32"/>
          <w:szCs w:val="32"/>
        </w:rPr>
      </w:pPr>
    </w:p>
    <w:sectPr>
      <w:footerReference r:id="rId3" w:type="default"/>
      <w:footerReference r:id="rId4" w:type="even"/>
      <w:pgSz w:w="11906" w:h="16838"/>
      <w:pgMar w:top="1588" w:right="1474"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方正仿宋_GBK"/>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4 -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rPr>
      <w:t>-</w:t>
    </w:r>
    <w:r>
      <w:t xml:space="preserve"> 8 -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NkYWQ0NGZjYWJjZGEzOWI0M2VlOWFmZmNiMjgwZTMifQ=="/>
  </w:docVars>
  <w:rsids>
    <w:rsidRoot w:val="003B61BC"/>
    <w:rsid w:val="003B61BC"/>
    <w:rsid w:val="00BC2F98"/>
    <w:rsid w:val="08C66678"/>
    <w:rsid w:val="15F41FAE"/>
    <w:rsid w:val="170E5546"/>
    <w:rsid w:val="1A007B38"/>
    <w:rsid w:val="20B35A25"/>
    <w:rsid w:val="290F3DE5"/>
    <w:rsid w:val="326F6909"/>
    <w:rsid w:val="4B35214E"/>
    <w:rsid w:val="51A043AB"/>
    <w:rsid w:val="5907222A"/>
    <w:rsid w:val="63B446DD"/>
    <w:rsid w:val="6584382E"/>
    <w:rsid w:val="76553133"/>
    <w:rsid w:val="77B75373"/>
    <w:rsid w:val="7A137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5006</Words>
  <Characters>5398</Characters>
  <Lines>1</Lines>
  <Paragraphs>7</Paragraphs>
  <TotalTime>14</TotalTime>
  <ScaleCrop>false</ScaleCrop>
  <LinksUpToDate>false</LinksUpToDate>
  <CharactersWithSpaces>5409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2023-10-19T17:47:00Z</dcterms:created>
  <dc:creator>Lenovo</dc:creator>
  <cp:lastModifiedBy>鱼丸粗面</cp:lastModifiedBy>
  <cp:lastPrinted>2023-10-23T19:17:00Z</cp:lastPrinted>
  <dcterms:modified xsi:type="dcterms:W3CDTF">2024-11-04T01:13:53Z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76B5151E605A471F8443EBAA9D3DEA7B_12</vt:lpwstr>
  </property>
</Properties>
</file>