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重庆市云阳县应急管理局（本级）</w:t>
      </w:r>
      <w:r>
        <w:rPr>
          <w:rFonts w:hint="eastAsia" w:ascii="方正小标宋_GBK" w:hAnsi="方正小标宋_GBK" w:eastAsia="方正小标宋_GBK" w:cs="方正小标宋_GBK"/>
          <w:sz w:val="44"/>
          <w:szCs w:val="44"/>
          <w:shd w:val="clear" w:color="auto" w:fill="FFFFFF"/>
        </w:rPr>
        <w:t>2023年度决算公开说明</w:t>
      </w:r>
    </w:p>
    <w:p>
      <w:pPr>
        <w:pStyle w:val="6"/>
        <w:shd w:val="clear" w:color="auto" w:fill="FFFFFF"/>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shd w:val="clear" w:color="auto" w:fill="FFFFFF"/>
        <w:ind w:firstLine="420"/>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1.负责应急管理工作，指导全县各级各部门应对安全生产类、自然灾害类等突发事件和综合防灾减灾救灾工作。负责安全生产综合监督管理和工矿商贸行业安全生产监督管理工作。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2.拟定我县应急管理、安全生产等政策规定，组织编制全县应急体系建设、安全生产和综合防灾减灾规划，起草相关政策草案，组织执行相关行业安全生产规程和地方标准并监督实施。</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3.指导应急预案体系建设，建立完善事故灾难和自然灾害分级应对制度，组织编制本县总体应急预案和安全生产类、自然灾害类专项预案，综合协调应急预案衔接工作，组织开展预案演练，推动应急避难设施建设。</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4.牵头建立全县统一的应急管理信息系统，负责信息传输渠道的规划和布局，建立监测预警和灾情报告制度，健全自然灾害信息资源获取和共享机制，依法统一发布灾情。</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5.组织指导协调安全生产类、自然灾害类等突发事件应急救援，承担县应对较大及以上灾害指挥部工作，综合研判突发事件发展态势并提出应对建议，协助县委、县政府指定的负责同志组织较大及以上灾害应急处置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6.统一协调指挥全县各类应急专业队伍，建立应急协调联动机制，推进指挥平台对接；衔接县人武部、驻云武警部队等参与应急救援工作。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7.统筹应急救援力量建设，负责消防、森林和草原火灾扑救、抗洪抢险、地震和地质灾害救援、生产安全事故救援等专业应急救援力量建设，负责县委、县政府对县综合性应急救援队伍业务建设、队伍建设指导和管理的协调组织，指导乡镇（街道）及社会应急救援力量建设。</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8.组织协调消防工作，指导消防监督、火灾预防、火灾扑救等工作。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9.指导协调森林和草原火灾、水旱灾害、地震和地质灾害等防治工作，监督指导自然灾害综合监测预警工作，指导开展自然灾害综合风险评估工作。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10.组织协调灾害救助工作，组织指导灾情核查、损失评估、救灾捐赠工作，管理、分配中央、市级下拨及县级救灾款物并监督使用。贯彻执行自然灾害生活救助政策，指导灾区抓好灾后重建恢复生产工作。组织指导城乡社区防灾减灾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11.依法行使全县安全生产综合监督管理职权，指导协调、监督检查县政府有关部门和乡镇（街道）政府安全生产工作，组织开展安全生产巡查考核工作。承担县政府安全生产委员会日常工作。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12.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13.依法组织开展生产安全事故调查处理，监督事故查处和责任追究落实情况。组织开展自然灾害类突发事件的调查评估工作。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14.开展应急管理方面的对外交流与合作，组织参与安全生产类、自然灾害类等突发事件的跨区域救援工作。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15.制定水旱灾害涉及民生方面的，以及森林和草原火灾、地震和地质灾害的应急物资储备和应急救援装备规划并组织实施，负责提出县级</w:t>
      </w:r>
      <w:r>
        <w:rPr>
          <w:rFonts w:hint="eastAsia" w:ascii="Times New Roman" w:hAnsi="Times New Roman" w:eastAsia="方正仿宋_GBK"/>
          <w:b w:val="0"/>
          <w:bCs/>
          <w:sz w:val="32"/>
          <w:lang w:eastAsia="zh-CN"/>
        </w:rPr>
        <w:t>救灾物资</w:t>
      </w:r>
      <w:bookmarkStart w:id="0" w:name="_GoBack"/>
      <w:bookmarkEnd w:id="0"/>
      <w:r>
        <w:rPr>
          <w:rFonts w:hint="default" w:ascii="Times New Roman" w:hAnsi="Times New Roman" w:eastAsia="方正仿宋_GBK"/>
          <w:b w:val="0"/>
          <w:bCs/>
          <w:sz w:val="32"/>
        </w:rPr>
        <w:t>储备需求和应急救援装备规划并组织实施，负责提出县级救灾物资的储备需求和动用决策，组织编制县级救灾物资品种目录和标准，会同县级有关部门建立健全应急物资信息平台和调拨制度，在救灾时统一调度，负责县级救灾物资的采购、储运和管理，根据需要下达动用指令。</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16.负责应急管理、安全生产宣传教育和培训工作，组织指导应急管理、安全生产的科学技术研究、技术支撑、社会化服务、推广应用和信息化建设工作。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17.完成县委、县政府交办的其他任务。</w:t>
      </w:r>
    </w:p>
    <w:p>
      <w:pPr>
        <w:pStyle w:val="6"/>
        <w:shd w:val="clear" w:color="auto" w:fill="FFFFFF"/>
        <w:ind w:firstLine="420"/>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（二）机构设置</w:t>
      </w:r>
    </w:p>
    <w:p>
      <w:pPr>
        <w:pStyle w:val="6"/>
        <w:shd w:val="clear" w:color="auto" w:fill="FFFFFF"/>
        <w:ind w:firstLine="420"/>
        <w:rPr>
          <w:rFonts w:hint="default" w:ascii="Times New Roman" w:hAnsi="Times New Roman" w:eastAsia="楷体"/>
          <w:b w:val="0"/>
          <w:bCs/>
          <w:sz w:val="32"/>
          <w:szCs w:val="32"/>
        </w:rPr>
      </w:pPr>
      <w:r>
        <w:rPr>
          <w:rFonts w:hint="default" w:ascii="Times New Roman" w:hAnsi="Times New Roman" w:eastAsia="方正仿宋_GBK"/>
          <w:b w:val="0"/>
          <w:bCs/>
          <w:sz w:val="32"/>
        </w:rPr>
        <w:t>县应急管理局(本级)设12个内设机构：办公室、应急调度科（应急调度指挥中心）、人事财务规划科、风险监测与预案管理科、救灾和物资保障科、火灾救援管理科、防汛地灾救援科、危险化学品安全监督管理科、安全生产综合协调科、工矿商贸安全监督管理科、行政审批科（政策法规科）、宣传信息培训科。</w:t>
      </w:r>
    </w:p>
    <w:p>
      <w:pPr>
        <w:pStyle w:val="6"/>
        <w:shd w:val="clear" w:color="auto" w:fill="FFFFFF"/>
        <w:rPr>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6"/>
        <w:shd w:val="clear" w:color="auto" w:fill="FFFFFF"/>
        <w:ind w:firstLine="420"/>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（一）收入支出决算总体情况说明。</w:t>
      </w:r>
    </w:p>
    <w:p>
      <w:pPr>
        <w:pStyle w:val="6"/>
        <w:shd w:val="clear" w:color="auto" w:fill="FFFFFF"/>
        <w:ind w:firstLine="640" w:firstLineChars="200"/>
        <w:rPr>
          <w:rFonts w:hint="default" w:ascii="Times New Roman" w:hAnsi="Times New Roman" w:eastAsia="方正仿宋_GBK"/>
          <w:b w:val="0"/>
          <w:bCs/>
          <w:sz w:val="32"/>
          <w:szCs w:val="32"/>
          <w:shd w:val="clear" w:color="auto" w:fill="FFFFFF"/>
        </w:rPr>
      </w:pPr>
      <w:r>
        <w:rPr>
          <w:rStyle w:val="10"/>
          <w:rFonts w:hint="default" w:ascii="Times New Roman" w:hAnsi="Times New Roman" w:eastAsia="方正仿宋_GBK"/>
          <w:b w:val="0"/>
          <w:bCs/>
          <w:sz w:val="32"/>
          <w:szCs w:val="32"/>
          <w:shd w:val="clear" w:color="auto" w:fill="FFFFFF"/>
        </w:rPr>
        <w:t>1.总体情况。</w:t>
      </w:r>
      <w:r>
        <w:rPr>
          <w:rFonts w:hint="default" w:ascii="Times New Roman" w:hAnsi="Times New Roman" w:eastAsia="方正仿宋_GBK"/>
          <w:b w:val="0"/>
          <w:bCs/>
          <w:sz w:val="32"/>
          <w:szCs w:val="32"/>
          <w:shd w:val="clear" w:color="auto" w:fill="FFFFFF"/>
        </w:rPr>
        <w:t>2023年度收入总计1933.82万元，支出总计</w:t>
      </w:r>
      <w:r>
        <w:rPr>
          <w:rFonts w:hint="default" w:ascii="Times New Roman" w:hAnsi="Times New Roman" w:eastAsia="方正仿宋_GBK"/>
          <w:b w:val="0"/>
          <w:bCs/>
          <w:sz w:val="32"/>
          <w:szCs w:val="32"/>
        </w:rPr>
        <w:t>1933.82</w:t>
      </w:r>
      <w:r>
        <w:rPr>
          <w:rFonts w:hint="default" w:ascii="Times New Roman" w:hAnsi="Times New Roman" w:eastAsia="方正仿宋_GBK"/>
          <w:b w:val="0"/>
          <w:bCs/>
          <w:sz w:val="32"/>
          <w:szCs w:val="32"/>
          <w:shd w:val="clear" w:color="auto" w:fill="FFFFFF"/>
        </w:rPr>
        <w:t>万元。收支较上年决算数增加137.37万元，增长7.65%，主要原因是人员减少及公用经费压减导致基本支出较上年减少72.08万元，应急管理专项资金支出增加导致项目支出较上年增加209.45万元。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shd w:val="clear" w:color="auto" w:fill="FFFFFF"/>
        </w:rPr>
      </w:pPr>
      <w:r>
        <w:rPr>
          <w:rStyle w:val="10"/>
          <w:rFonts w:hint="default" w:ascii="Times New Roman" w:hAnsi="Times New Roman" w:eastAsia="方正仿宋_GBK"/>
          <w:b w:val="0"/>
          <w:bCs/>
          <w:sz w:val="32"/>
          <w:szCs w:val="32"/>
          <w:shd w:val="clear" w:color="auto" w:fill="FFFFFF"/>
        </w:rPr>
        <w:t>2.收入情况。</w:t>
      </w:r>
      <w:r>
        <w:rPr>
          <w:rFonts w:hint="default" w:ascii="Times New Roman" w:hAnsi="Times New Roman" w:eastAsia="方正仿宋_GBK"/>
          <w:b w:val="0"/>
          <w:bCs/>
          <w:sz w:val="32"/>
          <w:szCs w:val="32"/>
          <w:shd w:val="clear" w:color="auto" w:fill="FFFFFF"/>
        </w:rPr>
        <w:t>2023年度收入合计1933.82万元，较上年决算数增加137.37万元，增长7.65%，主要原因是人员减少及公用经费压减导致基本支出较上年减少72.08万元，应急管理专项资金支出增加导致项目支出较上年增加209.45万元。其中：财政拨款收入</w:t>
      </w:r>
      <w:r>
        <w:rPr>
          <w:rFonts w:hint="default" w:ascii="Times New Roman" w:hAnsi="Times New Roman" w:eastAsia="方正仿宋_GBK"/>
          <w:b w:val="0"/>
          <w:bCs/>
          <w:sz w:val="32"/>
          <w:szCs w:val="32"/>
        </w:rPr>
        <w:t>1933.82</w:t>
      </w:r>
      <w:r>
        <w:rPr>
          <w:rFonts w:hint="default" w:ascii="Times New Roman" w:hAnsi="Times New Roman" w:eastAsia="方正仿宋_GBK"/>
          <w:b w:val="0"/>
          <w:bCs/>
          <w:sz w:val="32"/>
          <w:szCs w:val="32"/>
          <w:shd w:val="clear" w:color="auto" w:fill="FFFFFF"/>
        </w:rPr>
        <w:t>万元，占</w:t>
      </w:r>
      <w:r>
        <w:rPr>
          <w:rFonts w:hint="default" w:ascii="Times New Roman" w:hAnsi="Times New Roman" w:eastAsia="方正仿宋_GBK"/>
          <w:b w:val="0"/>
          <w:bCs/>
          <w:sz w:val="32"/>
          <w:szCs w:val="32"/>
        </w:rPr>
        <w:t>100.0</w:t>
      </w:r>
      <w:r>
        <w:rPr>
          <w:rFonts w:hint="default" w:ascii="Times New Roman" w:hAnsi="Times New Roman" w:eastAsia="方正仿宋_GBK"/>
          <w:b w:val="0"/>
          <w:bCs/>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shd w:val="clear" w:color="auto" w:fill="FFFFFF"/>
        </w:rPr>
      </w:pPr>
      <w:r>
        <w:rPr>
          <w:rStyle w:val="10"/>
          <w:rFonts w:hint="default" w:ascii="Times New Roman" w:hAnsi="Times New Roman" w:eastAsia="方正仿宋_GBK"/>
          <w:b w:val="0"/>
          <w:bCs/>
          <w:sz w:val="32"/>
          <w:szCs w:val="32"/>
          <w:shd w:val="clear" w:color="auto" w:fill="FFFFFF"/>
        </w:rPr>
        <w:t>3.支出情况。</w:t>
      </w:r>
      <w:r>
        <w:rPr>
          <w:rFonts w:hint="default" w:ascii="Times New Roman" w:hAnsi="Times New Roman" w:eastAsia="方正仿宋_GBK"/>
          <w:b w:val="0"/>
          <w:bCs/>
          <w:sz w:val="32"/>
          <w:szCs w:val="32"/>
          <w:shd w:val="clear" w:color="auto" w:fill="FFFFFF"/>
        </w:rPr>
        <w:t>2023年度支出合计</w:t>
      </w:r>
      <w:r>
        <w:rPr>
          <w:rFonts w:hint="default" w:ascii="Times New Roman" w:hAnsi="Times New Roman" w:eastAsia="方正仿宋_GBK"/>
          <w:b w:val="0"/>
          <w:bCs/>
          <w:sz w:val="32"/>
          <w:szCs w:val="32"/>
        </w:rPr>
        <w:t>1933.82</w:t>
      </w:r>
      <w:r>
        <w:rPr>
          <w:rFonts w:hint="default" w:ascii="Times New Roman" w:hAnsi="Times New Roman" w:eastAsia="方正仿宋_GBK"/>
          <w:b w:val="0"/>
          <w:bCs/>
          <w:sz w:val="32"/>
          <w:szCs w:val="32"/>
          <w:shd w:val="clear" w:color="auto" w:fill="FFFFFF"/>
        </w:rPr>
        <w:t>万元，较上年决算数增加137.37万元，增长7.65%，主要原因是人员减少及公用经费压减导致基本支出较上年减少72.08万元，应急管理专项资金支出增加导致项目支出较上年增加209.45万元。其中：基本支出</w:t>
      </w:r>
      <w:r>
        <w:rPr>
          <w:rFonts w:hint="default" w:ascii="Times New Roman" w:hAnsi="Times New Roman" w:eastAsia="方正仿宋_GBK"/>
          <w:b w:val="0"/>
          <w:bCs/>
          <w:sz w:val="32"/>
          <w:szCs w:val="32"/>
        </w:rPr>
        <w:t>623.79</w:t>
      </w:r>
      <w:r>
        <w:rPr>
          <w:rFonts w:hint="default" w:ascii="Times New Roman" w:hAnsi="Times New Roman" w:eastAsia="方正仿宋_GBK"/>
          <w:b w:val="0"/>
          <w:bCs/>
          <w:sz w:val="32"/>
          <w:szCs w:val="32"/>
          <w:shd w:val="clear" w:color="auto" w:fill="FFFFFF"/>
        </w:rPr>
        <w:t>万元，占32.26%；项目支出</w:t>
      </w:r>
      <w:r>
        <w:rPr>
          <w:rFonts w:hint="default" w:ascii="Times New Roman" w:hAnsi="Times New Roman" w:eastAsia="方正仿宋_GBK"/>
          <w:b w:val="0"/>
          <w:bCs/>
          <w:sz w:val="32"/>
          <w:szCs w:val="32"/>
        </w:rPr>
        <w:t>1310.03</w:t>
      </w:r>
      <w:r>
        <w:rPr>
          <w:rFonts w:hint="default" w:ascii="Times New Roman" w:hAnsi="Times New Roman" w:eastAsia="方正仿宋_GBK"/>
          <w:b w:val="0"/>
          <w:bCs/>
          <w:sz w:val="32"/>
          <w:szCs w:val="32"/>
          <w:shd w:val="clear" w:color="auto" w:fill="FFFFFF"/>
        </w:rPr>
        <w:t>万元，占67.74%。</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Style w:val="10"/>
          <w:rFonts w:hint="default" w:ascii="Times New Roman" w:hAnsi="Times New Roman" w:eastAsia="方正仿宋_GBK"/>
          <w:b w:val="0"/>
          <w:bCs/>
          <w:sz w:val="32"/>
          <w:szCs w:val="32"/>
          <w:shd w:val="clear" w:color="auto" w:fill="FFFFFF"/>
        </w:rPr>
        <w:t>4.结转结余情况。</w:t>
      </w:r>
      <w:r>
        <w:rPr>
          <w:rFonts w:hint="default" w:ascii="Times New Roman" w:hAnsi="Times New Roman" w:eastAsia="方正仿宋_GBK"/>
          <w:b w:val="0"/>
          <w:bCs/>
          <w:sz w:val="32"/>
          <w:szCs w:val="32"/>
          <w:shd w:val="clear" w:color="auto" w:fill="FFFFFF"/>
        </w:rPr>
        <w:t>2023年度年末结转和结余</w:t>
      </w:r>
      <w:r>
        <w:rPr>
          <w:rFonts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万元，较上年决算数无增减。</w:t>
      </w:r>
    </w:p>
    <w:p>
      <w:pPr>
        <w:pStyle w:val="11"/>
        <w:autoSpaceDE w:val="0"/>
        <w:ind w:firstLine="643"/>
        <w:rPr>
          <w:rStyle w:val="10"/>
          <w:rFonts w:hint="default" w:ascii="方正楷体_GBK" w:hAnsi="方正楷体_GBK" w:eastAsia="方正楷体_GBK" w:cs="方正楷体_GBK"/>
          <w:b w:val="0"/>
          <w:bCs/>
          <w:sz w:val="32"/>
          <w:szCs w:val="32"/>
          <w:shd w:val="clear" w:color="auto" w:fill="FFFFFF"/>
          <w:lang w:val="en-US" w:eastAsia="zh-CN" w:bidi="ar-SA"/>
        </w:rPr>
      </w:pPr>
      <w:r>
        <w:rPr>
          <w:rStyle w:val="10"/>
          <w:rFonts w:hint="default"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2023年度财政拨款收、支总计1933.82万元。与2022年相比，财政拨款收、支总计各增加137.37万元，增长7.65%。</w:t>
      </w:r>
      <w:r>
        <w:rPr>
          <w:rFonts w:hint="default" w:ascii="Times New Roman" w:hAnsi="方正仿宋_GBK" w:eastAsia="方正仿宋_GBK"/>
          <w:b w:val="0"/>
          <w:bCs/>
          <w:sz w:val="32"/>
          <w:szCs w:val="32"/>
          <w:shd w:val="clear" w:color="auto" w:fill="FFFFFF"/>
        </w:rPr>
        <w:t>主要原因是人员减少及公用经费压减导致基本支出较上年减少</w:t>
      </w:r>
      <w:r>
        <w:rPr>
          <w:rFonts w:hint="default" w:ascii="Times New Roman" w:hAnsi="Times New Roman" w:eastAsia="方正仿宋_GBK"/>
          <w:b w:val="0"/>
          <w:bCs/>
          <w:sz w:val="32"/>
          <w:szCs w:val="32"/>
          <w:shd w:val="clear" w:color="auto" w:fill="FFFFFF"/>
        </w:rPr>
        <w:t>72.08</w:t>
      </w:r>
      <w:r>
        <w:rPr>
          <w:rFonts w:hint="default" w:ascii="Times New Roman" w:hAnsi="方正仿宋_GBK" w:eastAsia="方正仿宋_GBK"/>
          <w:b w:val="0"/>
          <w:bCs/>
          <w:sz w:val="32"/>
          <w:szCs w:val="32"/>
          <w:shd w:val="clear" w:color="auto" w:fill="FFFFFF"/>
        </w:rPr>
        <w:t>万元，应急管理专项资金支出增加导致项目支出较上年增加</w:t>
      </w:r>
      <w:r>
        <w:rPr>
          <w:rFonts w:hint="default" w:ascii="Times New Roman" w:hAnsi="Times New Roman" w:eastAsia="方正仿宋_GBK"/>
          <w:b w:val="0"/>
          <w:bCs/>
          <w:sz w:val="32"/>
          <w:szCs w:val="32"/>
          <w:shd w:val="clear" w:color="auto" w:fill="FFFFFF"/>
        </w:rPr>
        <w:t>209.45</w:t>
      </w:r>
      <w:r>
        <w:rPr>
          <w:rFonts w:hint="default" w:ascii="Times New Roman" w:hAnsi="方正仿宋_GBK" w:eastAsia="方正仿宋_GBK"/>
          <w:b w:val="0"/>
          <w:bCs/>
          <w:sz w:val="32"/>
          <w:szCs w:val="32"/>
          <w:shd w:val="clear" w:color="auto" w:fill="FFFFFF"/>
        </w:rPr>
        <w:t>万元。</w:t>
      </w:r>
    </w:p>
    <w:p>
      <w:pPr>
        <w:pStyle w:val="11"/>
        <w:autoSpaceDE w:val="0"/>
        <w:ind w:firstLine="643"/>
        <w:rPr>
          <w:rStyle w:val="10"/>
          <w:rFonts w:hint="default" w:ascii="方正楷体_GBK" w:hAnsi="方正楷体_GBK" w:eastAsia="方正楷体_GBK" w:cs="方正楷体_GBK"/>
          <w:b w:val="0"/>
          <w:bCs/>
          <w:sz w:val="32"/>
          <w:szCs w:val="32"/>
          <w:shd w:val="clear" w:color="auto" w:fill="FFFFFF"/>
          <w:lang w:val="en-US" w:eastAsia="zh-CN" w:bidi="ar-SA"/>
        </w:rPr>
      </w:pPr>
      <w:r>
        <w:rPr>
          <w:rStyle w:val="10"/>
          <w:rFonts w:hint="default"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snapToGrid w:val="0"/>
        <w:spacing w:line="520" w:lineRule="exact"/>
        <w:ind w:firstLine="640" w:firstLineChars="200"/>
        <w:rPr>
          <w:rFonts w:hint="default" w:ascii="Times New Roman" w:hAnsi="Times New Roman" w:eastAsia="方正仿宋_GBK"/>
          <w:b w:val="0"/>
          <w:bCs/>
          <w:sz w:val="32"/>
          <w:szCs w:val="32"/>
        </w:rPr>
      </w:pPr>
      <w:r>
        <w:rPr>
          <w:rStyle w:val="10"/>
          <w:rFonts w:hint="default" w:ascii="Times New Roman" w:hAnsi="Times New Roman" w:eastAsia="方正仿宋_GBK"/>
          <w:b w:val="0"/>
          <w:bCs/>
          <w:sz w:val="32"/>
          <w:szCs w:val="32"/>
          <w:shd w:val="clear" w:color="auto" w:fill="FFFFFF"/>
        </w:rPr>
        <w:t>1.收入情况。</w:t>
      </w:r>
      <w:r>
        <w:rPr>
          <w:rFonts w:hint="default" w:ascii="Times New Roman" w:hAnsi="Times New Roman" w:eastAsia="方正仿宋_GBK"/>
          <w:b w:val="0"/>
          <w:bCs/>
          <w:sz w:val="32"/>
          <w:szCs w:val="32"/>
          <w:shd w:val="clear" w:color="auto" w:fill="FFFFFF"/>
        </w:rPr>
        <w:t>2023年度一般公共预算财政拨款收入</w:t>
      </w:r>
      <w:r>
        <w:rPr>
          <w:rFonts w:hint="default" w:ascii="Times New Roman" w:hAnsi="Times New Roman" w:eastAsia="方正仿宋_GBK"/>
          <w:b w:val="0"/>
          <w:bCs/>
          <w:sz w:val="32"/>
          <w:szCs w:val="32"/>
        </w:rPr>
        <w:t>1933.82</w:t>
      </w:r>
      <w:r>
        <w:rPr>
          <w:rFonts w:hint="default" w:ascii="Times New Roman" w:hAnsi="Times New Roman" w:eastAsia="方正仿宋_GBK"/>
          <w:b w:val="0"/>
          <w:bCs/>
          <w:sz w:val="32"/>
          <w:szCs w:val="32"/>
          <w:shd w:val="clear" w:color="auto" w:fill="FFFFFF"/>
        </w:rPr>
        <w:t>万元，较上年决算数增加137.37万元，增长7.65%。</w:t>
      </w:r>
      <w:r>
        <w:rPr>
          <w:rFonts w:hint="default" w:ascii="Times New Roman" w:hAnsi="方正仿宋_GBK" w:eastAsia="方正仿宋_GBK"/>
          <w:b w:val="0"/>
          <w:bCs/>
          <w:sz w:val="32"/>
          <w:szCs w:val="32"/>
          <w:shd w:val="clear" w:color="auto" w:fill="FFFFFF"/>
        </w:rPr>
        <w:t>主要原因是人员减少及公用经费压减导致基本支出较上年减少</w:t>
      </w:r>
      <w:r>
        <w:rPr>
          <w:rFonts w:hint="default" w:ascii="Times New Roman" w:hAnsi="Times New Roman" w:eastAsia="方正仿宋_GBK"/>
          <w:b w:val="0"/>
          <w:bCs/>
          <w:sz w:val="32"/>
          <w:szCs w:val="32"/>
          <w:shd w:val="clear" w:color="auto" w:fill="FFFFFF"/>
        </w:rPr>
        <w:t>72.08</w:t>
      </w:r>
      <w:r>
        <w:rPr>
          <w:rFonts w:hint="default" w:ascii="Times New Roman" w:hAnsi="方正仿宋_GBK" w:eastAsia="方正仿宋_GBK"/>
          <w:b w:val="0"/>
          <w:bCs/>
          <w:sz w:val="32"/>
          <w:szCs w:val="32"/>
          <w:shd w:val="clear" w:color="auto" w:fill="FFFFFF"/>
        </w:rPr>
        <w:t>万元，应急管理专项资金支出增加导致项目支出较上年增加</w:t>
      </w:r>
      <w:r>
        <w:rPr>
          <w:rFonts w:hint="default" w:ascii="Times New Roman" w:hAnsi="Times New Roman" w:eastAsia="方正仿宋_GBK"/>
          <w:b w:val="0"/>
          <w:bCs/>
          <w:sz w:val="32"/>
          <w:szCs w:val="32"/>
          <w:shd w:val="clear" w:color="auto" w:fill="FFFFFF"/>
        </w:rPr>
        <w:t>209.45</w:t>
      </w:r>
      <w:r>
        <w:rPr>
          <w:rFonts w:hint="default" w:ascii="Times New Roman" w:hAnsi="方正仿宋_GBK" w:eastAsia="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较年初预算数增加1342.97万元，增长227.29%。主要原因是</w:t>
      </w:r>
      <w:r>
        <w:rPr>
          <w:rFonts w:hint="default" w:ascii="Times New Roman" w:hAnsi="Times New Roman" w:eastAsia="方正仿宋_GBK"/>
          <w:b w:val="0"/>
          <w:bCs/>
          <w:sz w:val="32"/>
          <w:szCs w:val="32"/>
        </w:rPr>
        <w:t>社会保障和就业支出预算数114.02万元，决算数126.05万元，较预算数增加12.03万元，增加10.55%；</w:t>
      </w:r>
      <w:r>
        <w:rPr>
          <w:rFonts w:hint="default" w:ascii="Times New Roman" w:hAnsi="Times New Roman" w:eastAsia="方正仿宋_GBK"/>
          <w:b w:val="0"/>
          <w:bCs/>
          <w:color w:val="000000" w:themeColor="text1"/>
          <w:sz w:val="32"/>
          <w:szCs w:val="32"/>
        </w:rPr>
        <w:t>卫生健康支出</w:t>
      </w:r>
      <w:r>
        <w:rPr>
          <w:rFonts w:hint="default" w:ascii="Times New Roman" w:hAnsi="Times New Roman" w:eastAsia="方正仿宋_GBK"/>
          <w:b w:val="0"/>
          <w:bCs/>
          <w:sz w:val="32"/>
          <w:szCs w:val="32"/>
        </w:rPr>
        <w:t>预算数26.13万元，决算数34.4万元，较预算数增加8.27万元，增加31.65%；农林水支出预算数为零，决算数18万元，较预算数增加18万元；</w:t>
      </w:r>
      <w:r>
        <w:rPr>
          <w:rFonts w:hint="default" w:ascii="Times New Roman" w:hAnsi="Times New Roman" w:eastAsia="方正仿宋_GBK"/>
          <w:b w:val="0"/>
          <w:bCs/>
          <w:color w:val="000000" w:themeColor="text1"/>
          <w:sz w:val="32"/>
          <w:szCs w:val="32"/>
        </w:rPr>
        <w:t>住房保障支出</w:t>
      </w:r>
      <w:r>
        <w:rPr>
          <w:rFonts w:hint="default" w:ascii="Times New Roman" w:hAnsi="Times New Roman" w:eastAsia="方正仿宋_GBK"/>
          <w:b w:val="0"/>
          <w:bCs/>
          <w:sz w:val="32"/>
          <w:szCs w:val="32"/>
        </w:rPr>
        <w:t>预算数34.51万元，决算数31.25万元，较预算数减少3.26万元，减少9.45%；</w:t>
      </w:r>
      <w:r>
        <w:rPr>
          <w:rFonts w:hint="default" w:ascii="Times New Roman" w:hAnsi="Times New Roman" w:eastAsia="方正仿宋_GBK"/>
          <w:b w:val="0"/>
          <w:bCs/>
          <w:color w:val="000000" w:themeColor="text1"/>
          <w:sz w:val="32"/>
          <w:szCs w:val="32"/>
        </w:rPr>
        <w:t>灾害防治及应急管理支出</w:t>
      </w:r>
      <w:r>
        <w:rPr>
          <w:rFonts w:hint="default" w:ascii="Times New Roman" w:hAnsi="Times New Roman" w:eastAsia="方正仿宋_GBK"/>
          <w:b w:val="0"/>
          <w:bCs/>
          <w:sz w:val="32"/>
          <w:szCs w:val="32"/>
        </w:rPr>
        <w:t>预算数416.19万元，决算数1724.02万元，较预算数增加1307.83万元，增加314.24%。</w:t>
      </w:r>
      <w:r>
        <w:rPr>
          <w:rFonts w:hint="default" w:ascii="Times New Roman" w:hAnsi="Times New Roman" w:eastAsia="方正仿宋_GBK"/>
          <w:b w:val="0"/>
          <w:bCs/>
          <w:sz w:val="32"/>
          <w:szCs w:val="32"/>
          <w:shd w:val="clear" w:color="auto" w:fill="FFFFFF"/>
        </w:rPr>
        <w:t>此外，年初财政拨款结转和结余</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万元。</w:t>
      </w:r>
    </w:p>
    <w:p>
      <w:pPr>
        <w:snapToGrid w:val="0"/>
        <w:spacing w:line="520" w:lineRule="exact"/>
        <w:ind w:firstLine="640" w:firstLineChars="200"/>
        <w:rPr>
          <w:rFonts w:hint="default" w:ascii="Times New Roman" w:hAnsi="Times New Roman" w:eastAsia="方正仿宋_GBK"/>
          <w:b w:val="0"/>
          <w:bCs/>
          <w:sz w:val="32"/>
          <w:szCs w:val="32"/>
        </w:rPr>
      </w:pPr>
      <w:r>
        <w:rPr>
          <w:rStyle w:val="10"/>
          <w:rFonts w:hint="default" w:ascii="Times New Roman" w:hAnsi="Times New Roman" w:eastAsia="方正仿宋_GBK"/>
          <w:b w:val="0"/>
          <w:bCs/>
          <w:sz w:val="32"/>
          <w:szCs w:val="32"/>
          <w:shd w:val="clear" w:color="auto" w:fill="FFFFFF"/>
        </w:rPr>
        <w:t>2.支出情况。</w:t>
      </w:r>
      <w:r>
        <w:rPr>
          <w:rFonts w:hint="default" w:ascii="Times New Roman" w:hAnsi="Times New Roman" w:eastAsia="方正仿宋_GBK"/>
          <w:b w:val="0"/>
          <w:bCs/>
          <w:sz w:val="32"/>
          <w:szCs w:val="32"/>
          <w:shd w:val="clear" w:color="auto" w:fill="FFFFFF"/>
        </w:rPr>
        <w:t>2023年度一般公共预算财政拨款支出</w:t>
      </w:r>
      <w:r>
        <w:rPr>
          <w:rFonts w:hint="default" w:ascii="Times New Roman" w:hAnsi="Times New Roman" w:eastAsia="方正仿宋_GBK"/>
          <w:b w:val="0"/>
          <w:bCs/>
          <w:sz w:val="32"/>
          <w:szCs w:val="32"/>
        </w:rPr>
        <w:t>1933.82</w:t>
      </w:r>
      <w:r>
        <w:rPr>
          <w:rFonts w:hint="default" w:ascii="Times New Roman" w:hAnsi="Times New Roman" w:eastAsia="方正仿宋_GBK"/>
          <w:b w:val="0"/>
          <w:bCs/>
          <w:sz w:val="32"/>
          <w:szCs w:val="32"/>
          <w:shd w:val="clear" w:color="auto" w:fill="FFFFFF"/>
        </w:rPr>
        <w:t>万元，较上年决算数增加137.37万元，增长7.65%。</w:t>
      </w:r>
      <w:r>
        <w:rPr>
          <w:rFonts w:hint="default" w:ascii="Times New Roman" w:hAnsi="方正仿宋_GBK" w:eastAsia="方正仿宋_GBK"/>
          <w:b w:val="0"/>
          <w:bCs/>
          <w:sz w:val="32"/>
          <w:szCs w:val="32"/>
          <w:shd w:val="clear" w:color="auto" w:fill="FFFFFF"/>
        </w:rPr>
        <w:t>主要原因是人员减少及公用经费压减导致基本支出较上年减少</w:t>
      </w:r>
      <w:r>
        <w:rPr>
          <w:rFonts w:hint="default" w:ascii="Times New Roman" w:hAnsi="Times New Roman" w:eastAsia="方正仿宋_GBK"/>
          <w:b w:val="0"/>
          <w:bCs/>
          <w:sz w:val="32"/>
          <w:szCs w:val="32"/>
          <w:shd w:val="clear" w:color="auto" w:fill="FFFFFF"/>
        </w:rPr>
        <w:t>72.08</w:t>
      </w:r>
      <w:r>
        <w:rPr>
          <w:rFonts w:hint="default" w:ascii="Times New Roman" w:hAnsi="方正仿宋_GBK" w:eastAsia="方正仿宋_GBK"/>
          <w:b w:val="0"/>
          <w:bCs/>
          <w:sz w:val="32"/>
          <w:szCs w:val="32"/>
          <w:shd w:val="clear" w:color="auto" w:fill="FFFFFF"/>
        </w:rPr>
        <w:t>万元，应急管理专项资金支出增加导致项目支出较上年增加</w:t>
      </w:r>
      <w:r>
        <w:rPr>
          <w:rFonts w:hint="default" w:ascii="Times New Roman" w:hAnsi="Times New Roman" w:eastAsia="方正仿宋_GBK"/>
          <w:b w:val="0"/>
          <w:bCs/>
          <w:sz w:val="32"/>
          <w:szCs w:val="32"/>
          <w:shd w:val="clear" w:color="auto" w:fill="FFFFFF"/>
        </w:rPr>
        <w:t>209.45</w:t>
      </w:r>
      <w:r>
        <w:rPr>
          <w:rFonts w:hint="default" w:ascii="Times New Roman" w:hAnsi="方正仿宋_GBK" w:eastAsia="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较年初预算数增加1342.97万元，增长227.29%。主要原因是</w:t>
      </w:r>
      <w:r>
        <w:rPr>
          <w:rFonts w:hint="default" w:ascii="Times New Roman" w:hAnsi="Times New Roman" w:eastAsia="方正仿宋_GBK"/>
          <w:b w:val="0"/>
          <w:bCs/>
          <w:sz w:val="32"/>
          <w:szCs w:val="32"/>
        </w:rPr>
        <w:t>社会保障和就业支出预算数114.02万元，决算数126.05万元，较预算数增加12.03万元，增加10.55%；</w:t>
      </w:r>
      <w:r>
        <w:rPr>
          <w:rFonts w:hint="default" w:ascii="Times New Roman" w:hAnsi="Times New Roman" w:eastAsia="方正仿宋_GBK"/>
          <w:b w:val="0"/>
          <w:bCs/>
          <w:color w:val="000000" w:themeColor="text1"/>
          <w:sz w:val="32"/>
          <w:szCs w:val="32"/>
        </w:rPr>
        <w:t>卫生健康支出</w:t>
      </w:r>
      <w:r>
        <w:rPr>
          <w:rFonts w:hint="default" w:ascii="Times New Roman" w:hAnsi="Times New Roman" w:eastAsia="方正仿宋_GBK"/>
          <w:b w:val="0"/>
          <w:bCs/>
          <w:sz w:val="32"/>
          <w:szCs w:val="32"/>
        </w:rPr>
        <w:t>预算数26.13万元，决算数34.4万元，较预算数增加8.27万元，增加31.65%；农林水支出预算数为零，决算数18万元，较预算数增加18万元；</w:t>
      </w:r>
      <w:r>
        <w:rPr>
          <w:rFonts w:hint="default" w:ascii="Times New Roman" w:hAnsi="Times New Roman" w:eastAsia="方正仿宋_GBK"/>
          <w:b w:val="0"/>
          <w:bCs/>
          <w:color w:val="000000" w:themeColor="text1"/>
          <w:sz w:val="32"/>
          <w:szCs w:val="32"/>
        </w:rPr>
        <w:t>住房保障支出</w:t>
      </w:r>
      <w:r>
        <w:rPr>
          <w:rFonts w:hint="default" w:ascii="Times New Roman" w:hAnsi="Times New Roman" w:eastAsia="方正仿宋_GBK"/>
          <w:b w:val="0"/>
          <w:bCs/>
          <w:sz w:val="32"/>
          <w:szCs w:val="32"/>
        </w:rPr>
        <w:t>预算数34.51万元，决算数31.25万元，较预算数减少3.26万元，减少9.45%；</w:t>
      </w:r>
      <w:r>
        <w:rPr>
          <w:rFonts w:hint="default" w:ascii="Times New Roman" w:hAnsi="Times New Roman" w:eastAsia="方正仿宋_GBK"/>
          <w:b w:val="0"/>
          <w:bCs/>
          <w:color w:val="000000" w:themeColor="text1"/>
          <w:sz w:val="32"/>
          <w:szCs w:val="32"/>
        </w:rPr>
        <w:t>灾害防治及应急管理支出</w:t>
      </w:r>
      <w:r>
        <w:rPr>
          <w:rFonts w:hint="default" w:ascii="Times New Roman" w:hAnsi="Times New Roman" w:eastAsia="方正仿宋_GBK"/>
          <w:b w:val="0"/>
          <w:bCs/>
          <w:sz w:val="32"/>
          <w:szCs w:val="32"/>
        </w:rPr>
        <w:t>预算数416.19万元，决算数1724.02万元，较预算数增加1307.83万元，增加314.24%。</w:t>
      </w:r>
      <w:r>
        <w:rPr>
          <w:rFonts w:hint="default" w:ascii="Times New Roman" w:hAnsi="Times New Roman" w:eastAsia="方正仿宋_GBK"/>
          <w:b w:val="0"/>
          <w:bCs/>
          <w:sz w:val="32"/>
          <w:szCs w:val="32"/>
          <w:shd w:val="clear" w:color="auto" w:fill="FFFFFF"/>
        </w:rPr>
        <w:t>此外，年初财政拨款结转和结余</w:t>
      </w:r>
      <w:r>
        <w:rPr>
          <w:rFonts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Style w:val="10"/>
          <w:rFonts w:hint="default" w:ascii="Times New Roman" w:hAnsi="Times New Roman" w:eastAsia="方正仿宋_GBK"/>
          <w:b w:val="0"/>
          <w:bCs/>
          <w:sz w:val="32"/>
          <w:szCs w:val="32"/>
          <w:shd w:val="clear" w:color="auto" w:fill="FFFFFF"/>
        </w:rPr>
        <w:t>3.结转结余情况。</w:t>
      </w:r>
      <w:r>
        <w:rPr>
          <w:rFonts w:hint="default" w:ascii="Times New Roman" w:hAnsi="Times New Roman" w:eastAsia="方正仿宋_GBK"/>
          <w:b w:val="0"/>
          <w:bCs/>
          <w:sz w:val="32"/>
          <w:szCs w:val="32"/>
          <w:shd w:val="clear" w:color="auto" w:fill="FFFFFF"/>
        </w:rPr>
        <w:t>2023年度年末一般公共预算财政拨款结转和结余</w:t>
      </w:r>
      <w:r>
        <w:rPr>
          <w:rFonts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万元，较上年决算数无增减</w:t>
      </w:r>
      <w:r>
        <w:rPr>
          <w:rFonts w:ascii="Times New Roman" w:hAnsi="Times New Roman" w:eastAsia="方正仿宋_GBK"/>
          <w:b w:val="0"/>
          <w:bCs/>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highlight w:val="cyan"/>
          <w:shd w:val="clear" w:color="auto" w:fill="FFFFFF"/>
        </w:rPr>
      </w:pPr>
      <w:r>
        <w:rPr>
          <w:rStyle w:val="10"/>
          <w:rFonts w:hint="default" w:ascii="Times New Roman" w:hAnsi="Times New Roman" w:eastAsia="方正仿宋_GBK"/>
          <w:b w:val="0"/>
          <w:bCs/>
          <w:sz w:val="32"/>
          <w:szCs w:val="32"/>
          <w:shd w:val="clear" w:color="auto" w:fill="FFFFFF"/>
        </w:rPr>
        <w:t>4.比较情况。</w:t>
      </w:r>
      <w:r>
        <w:rPr>
          <w:rFonts w:hint="default" w:ascii="Times New Roman" w:hAnsi="Times New Roman" w:eastAsia="方正仿宋_GBK"/>
          <w:b w:val="0"/>
          <w:bCs/>
          <w:sz w:val="32"/>
          <w:szCs w:val="32"/>
          <w:shd w:val="clear" w:color="auto" w:fill="FFFFFF"/>
        </w:rPr>
        <w:t>本单位2023年度一般公共预算财政拨款支出主要用于以下几个方面</w:t>
      </w:r>
      <w:r>
        <w:rPr>
          <w:rFonts w:ascii="Times New Roman" w:hAnsi="Times New Roman" w:eastAsia="方正仿宋_GBK"/>
          <w:b w:val="0"/>
          <w:bCs/>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shd w:val="clear" w:color="auto" w:fill="FFFFFF"/>
        </w:rPr>
      </w:pPr>
      <w:r>
        <w:rPr>
          <w:rFonts w:hint="default" w:ascii="Times New Roman" w:hAnsi="Times New Roman" w:eastAsia="方正仿宋_GBK"/>
          <w:b w:val="0"/>
          <w:bCs/>
          <w:sz w:val="32"/>
          <w:szCs w:val="32"/>
          <w:shd w:val="clear" w:color="auto" w:fill="FFFFFF"/>
        </w:rPr>
        <w:t>（1）社会保障与就业支出</w:t>
      </w:r>
      <w:r>
        <w:rPr>
          <w:rFonts w:hint="default" w:ascii="Times New Roman" w:hAnsi="Times New Roman" w:eastAsia="方正仿宋_GBK"/>
          <w:b w:val="0"/>
          <w:bCs/>
          <w:sz w:val="32"/>
          <w:szCs w:val="32"/>
        </w:rPr>
        <w:t>126.15</w:t>
      </w:r>
      <w:r>
        <w:rPr>
          <w:rFonts w:hint="default" w:ascii="Times New Roman" w:hAnsi="Times New Roman" w:eastAsia="方正仿宋_GBK"/>
          <w:b w:val="0"/>
          <w:bCs/>
          <w:sz w:val="32"/>
          <w:szCs w:val="32"/>
          <w:shd w:val="clear" w:color="auto" w:fill="FFFFFF"/>
        </w:rPr>
        <w:t>万元，占</w:t>
      </w:r>
      <w:r>
        <w:rPr>
          <w:rFonts w:hint="default" w:ascii="Times New Roman" w:hAnsi="Times New Roman" w:eastAsia="方正仿宋_GBK"/>
          <w:b w:val="0"/>
          <w:bCs/>
          <w:sz w:val="32"/>
          <w:szCs w:val="32"/>
        </w:rPr>
        <w:t>6.52</w:t>
      </w:r>
      <w:r>
        <w:rPr>
          <w:rFonts w:hint="default" w:ascii="Times New Roman" w:hAnsi="Times New Roman" w:eastAsia="方正仿宋_GBK"/>
          <w:b w:val="0"/>
          <w:bCs/>
          <w:sz w:val="32"/>
          <w:szCs w:val="32"/>
          <w:shd w:val="clear" w:color="auto" w:fill="FFFFFF"/>
        </w:rPr>
        <w:t>%，较年初预算数增加12.13万元，增长10.64%，主要原因是</w:t>
      </w:r>
      <w:r>
        <w:rPr>
          <w:rFonts w:ascii="Times New Roman" w:hAnsi="Times New Roman" w:eastAsia="方正仿宋_GBK"/>
          <w:b w:val="0"/>
          <w:bCs/>
          <w:sz w:val="32"/>
          <w:szCs w:val="32"/>
          <w:shd w:val="clear" w:color="auto" w:fill="FFFFFF"/>
        </w:rPr>
        <w:t>准备期职业年金清缴增加了7.18万元，职业年金增加了4.02万元，</w:t>
      </w:r>
      <w:r>
        <w:rPr>
          <w:rFonts w:hint="default" w:ascii="Times New Roman" w:hAnsi="Times New Roman" w:eastAsia="方正仿宋_GBK"/>
          <w:b w:val="0"/>
          <w:bCs/>
          <w:sz w:val="32"/>
          <w:szCs w:val="32"/>
          <w:shd w:val="clear" w:color="auto" w:fill="FFFFFF"/>
        </w:rPr>
        <w:t>离退休健康休养费</w:t>
      </w:r>
      <w:r>
        <w:rPr>
          <w:rFonts w:ascii="Times New Roman" w:hAnsi="Times New Roman" w:eastAsia="方正仿宋_GBK"/>
          <w:b w:val="0"/>
          <w:bCs/>
          <w:sz w:val="32"/>
          <w:szCs w:val="32"/>
          <w:shd w:val="clear" w:color="auto" w:fill="FFFFFF"/>
        </w:rPr>
        <w:t>增加了2.49万元，机关事业单位部分退休人员一次性退休补贴增加了4.02万元，基本养老保险减少了5.59万元。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w:t>
      </w:r>
      <w:r>
        <w:rPr>
          <w:rFonts w:ascii="Times New Roman" w:hAnsi="Times New Roman" w:eastAsia="方正仿宋_GBK"/>
          <w:b w:val="0"/>
          <w:bCs/>
          <w:sz w:val="32"/>
          <w:szCs w:val="32"/>
          <w:shd w:val="clear" w:color="auto" w:fill="FFFFFF"/>
        </w:rPr>
        <w:t>2</w:t>
      </w:r>
      <w:r>
        <w:rPr>
          <w:rFonts w:hint="default" w:ascii="Times New Roman" w:hAnsi="Times New Roman" w:eastAsia="方正仿宋_GBK"/>
          <w:b w:val="0"/>
          <w:bCs/>
          <w:sz w:val="32"/>
          <w:szCs w:val="32"/>
          <w:shd w:val="clear" w:color="auto" w:fill="FFFFFF"/>
        </w:rPr>
        <w:t>）卫生健康支出</w:t>
      </w:r>
      <w:r>
        <w:rPr>
          <w:rFonts w:hint="default" w:ascii="Times New Roman" w:hAnsi="Times New Roman" w:eastAsia="方正仿宋_GBK"/>
          <w:b w:val="0"/>
          <w:bCs/>
          <w:sz w:val="32"/>
          <w:szCs w:val="32"/>
        </w:rPr>
        <w:t>34.4</w:t>
      </w:r>
      <w:r>
        <w:rPr>
          <w:rFonts w:hint="default" w:ascii="Times New Roman" w:hAnsi="Times New Roman" w:eastAsia="方正仿宋_GBK"/>
          <w:b w:val="0"/>
          <w:bCs/>
          <w:sz w:val="32"/>
          <w:szCs w:val="32"/>
          <w:shd w:val="clear" w:color="auto" w:fill="FFFFFF"/>
        </w:rPr>
        <w:t>万元，占</w:t>
      </w:r>
      <w:r>
        <w:rPr>
          <w:rFonts w:hint="default" w:ascii="Times New Roman" w:hAnsi="Times New Roman" w:eastAsia="方正仿宋_GBK"/>
          <w:b w:val="0"/>
          <w:bCs/>
          <w:sz w:val="32"/>
          <w:szCs w:val="32"/>
        </w:rPr>
        <w:t>1.78</w:t>
      </w:r>
      <w:r>
        <w:rPr>
          <w:rFonts w:hint="default" w:ascii="Times New Roman" w:hAnsi="Times New Roman" w:eastAsia="方正仿宋_GBK"/>
          <w:b w:val="0"/>
          <w:bCs/>
          <w:sz w:val="32"/>
          <w:szCs w:val="32"/>
          <w:shd w:val="clear" w:color="auto" w:fill="FFFFFF"/>
        </w:rPr>
        <w:t>%，较年初预算数增加8.27万元，增长31.65%，主要原因是</w:t>
      </w:r>
      <w:r>
        <w:rPr>
          <w:rFonts w:ascii="Times New Roman" w:hAnsi="Times New Roman" w:eastAsia="方正仿宋_GBK"/>
          <w:b w:val="0"/>
          <w:bCs/>
          <w:sz w:val="32"/>
          <w:szCs w:val="32"/>
          <w:shd w:val="clear" w:color="auto" w:fill="FFFFFF"/>
        </w:rPr>
        <w:t>疫情环境消杀专项补助增加了10.9万元，</w:t>
      </w:r>
      <w:r>
        <w:rPr>
          <w:rFonts w:ascii="Times New Roman" w:hAnsi="Times New Roman" w:eastAsia="方正仿宋_GBK"/>
          <w:b w:val="0"/>
          <w:bCs/>
          <w:sz w:val="32"/>
          <w:szCs w:val="32"/>
        </w:rPr>
        <w:t>人员减少医疗保险缴费减少了2.63万元。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shd w:val="clear" w:color="auto" w:fill="FFFFFF"/>
        </w:rPr>
      </w:pPr>
      <w:r>
        <w:rPr>
          <w:rFonts w:hint="default" w:ascii="Times New Roman" w:hAnsi="Times New Roman" w:eastAsia="方正仿宋_GBK"/>
          <w:b w:val="0"/>
          <w:bCs/>
          <w:sz w:val="32"/>
          <w:szCs w:val="32"/>
          <w:shd w:val="clear" w:color="auto" w:fill="FFFFFF"/>
        </w:rPr>
        <w:t>（</w:t>
      </w:r>
      <w:r>
        <w:rPr>
          <w:rFonts w:ascii="Times New Roman" w:hAnsi="Times New Roman" w:eastAsia="方正仿宋_GBK"/>
          <w:b w:val="0"/>
          <w:bCs/>
          <w:sz w:val="32"/>
          <w:szCs w:val="32"/>
          <w:shd w:val="clear" w:color="auto" w:fill="FFFFFF"/>
        </w:rPr>
        <w:t>3</w:t>
      </w:r>
      <w:r>
        <w:rPr>
          <w:rFonts w:hint="default" w:ascii="Times New Roman" w:hAnsi="Times New Roman" w:eastAsia="方正仿宋_GBK"/>
          <w:b w:val="0"/>
          <w:bCs/>
          <w:sz w:val="32"/>
          <w:szCs w:val="32"/>
          <w:shd w:val="clear" w:color="auto" w:fill="FFFFFF"/>
        </w:rPr>
        <w:t>）农林水支出</w:t>
      </w:r>
      <w:r>
        <w:rPr>
          <w:rFonts w:hint="default" w:ascii="Times New Roman" w:hAnsi="Times New Roman" w:eastAsia="方正仿宋_GBK"/>
          <w:b w:val="0"/>
          <w:bCs/>
          <w:sz w:val="32"/>
          <w:szCs w:val="32"/>
        </w:rPr>
        <w:t>18</w:t>
      </w:r>
      <w:r>
        <w:rPr>
          <w:rFonts w:hint="default" w:ascii="Times New Roman" w:hAnsi="Times New Roman" w:eastAsia="方正仿宋_GBK"/>
          <w:b w:val="0"/>
          <w:bCs/>
          <w:sz w:val="32"/>
          <w:szCs w:val="32"/>
          <w:shd w:val="clear" w:color="auto" w:fill="FFFFFF"/>
        </w:rPr>
        <w:t>万元，占</w:t>
      </w:r>
      <w:r>
        <w:rPr>
          <w:rFonts w:hint="default" w:ascii="Times New Roman" w:hAnsi="Times New Roman" w:eastAsia="方正仿宋_GBK"/>
          <w:b w:val="0"/>
          <w:bCs/>
          <w:sz w:val="32"/>
          <w:szCs w:val="32"/>
        </w:rPr>
        <w:t>0.93</w:t>
      </w:r>
      <w:r>
        <w:rPr>
          <w:rFonts w:hint="default" w:ascii="Times New Roman" w:hAnsi="Times New Roman" w:eastAsia="方正仿宋_GBK"/>
          <w:b w:val="0"/>
          <w:bCs/>
          <w:sz w:val="32"/>
          <w:szCs w:val="32"/>
          <w:shd w:val="clear" w:color="auto" w:fill="FFFFFF"/>
        </w:rPr>
        <w:t>%，较年初预算数增加18万元，增长100.0%，主要原因是2023年林业项目-森林防火</w:t>
      </w:r>
      <w:r>
        <w:rPr>
          <w:rFonts w:ascii="Times New Roman" w:hAnsi="Times New Roman" w:eastAsia="方正仿宋_GBK"/>
          <w:b w:val="0"/>
          <w:bCs/>
          <w:sz w:val="32"/>
          <w:szCs w:val="32"/>
          <w:shd w:val="clear" w:color="auto" w:fill="FFFFFF"/>
        </w:rPr>
        <w:t>项目18万元为年中追加预算项目。</w:t>
      </w:r>
    </w:p>
    <w:p>
      <w:pPr>
        <w:pStyle w:val="6"/>
        <w:shd w:val="clear" w:color="auto" w:fill="FFFFFF"/>
        <w:rPr>
          <w:rFonts w:hint="default" w:ascii="Times New Roman" w:hAnsi="Times New Roman" w:eastAsia="方正仿宋_GBK"/>
          <w:b w:val="0"/>
          <w:bCs/>
          <w:sz w:val="32"/>
          <w:szCs w:val="32"/>
          <w:shd w:val="clear" w:color="auto" w:fill="FFFFFF"/>
        </w:rPr>
      </w:pPr>
      <w:r>
        <w:rPr>
          <w:rFonts w:hint="default" w:ascii="Times New Roman" w:hAnsi="Times New Roman" w:eastAsia="方正仿宋_GBK"/>
          <w:b w:val="0"/>
          <w:bCs/>
          <w:sz w:val="32"/>
          <w:szCs w:val="32"/>
          <w:shd w:val="clear" w:color="auto" w:fill="FFFFFF"/>
        </w:rPr>
        <w:t xml:space="preserve">   </w:t>
      </w:r>
    </w:p>
    <w:p>
      <w:pPr>
        <w:ind w:firstLine="640" w:firstLineChars="200"/>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w:t>
      </w:r>
      <w:r>
        <w:rPr>
          <w:rFonts w:ascii="Times New Roman" w:hAnsi="Times New Roman" w:eastAsia="方正仿宋_GBK"/>
          <w:b w:val="0"/>
          <w:bCs/>
          <w:sz w:val="32"/>
          <w:szCs w:val="32"/>
          <w:shd w:val="clear" w:color="auto" w:fill="FFFFFF"/>
        </w:rPr>
        <w:t>4</w:t>
      </w:r>
      <w:r>
        <w:rPr>
          <w:rFonts w:hint="default" w:ascii="Times New Roman" w:hAnsi="Times New Roman" w:eastAsia="方正仿宋_GBK"/>
          <w:b w:val="0"/>
          <w:bCs/>
          <w:sz w:val="32"/>
          <w:szCs w:val="32"/>
          <w:shd w:val="clear" w:color="auto" w:fill="FFFFFF"/>
        </w:rPr>
        <w:t>）</w:t>
      </w:r>
      <w:r>
        <w:rPr>
          <w:rFonts w:hint="default" w:ascii="Times New Roman" w:hAnsi="Times New Roman" w:eastAsia="方正仿宋_GBK"/>
          <w:b w:val="0"/>
          <w:bCs/>
          <w:sz w:val="32"/>
          <w:szCs w:val="32"/>
        </w:rPr>
        <w:t>住房保障支出31.25</w:t>
      </w:r>
      <w:r>
        <w:rPr>
          <w:rFonts w:hint="default" w:ascii="Times New Roman" w:hAnsi="Times New Roman" w:eastAsia="方正仿宋_GBK"/>
          <w:b w:val="0"/>
          <w:bCs/>
          <w:sz w:val="32"/>
          <w:szCs w:val="32"/>
          <w:shd w:val="clear" w:color="auto" w:fill="FFFFFF"/>
        </w:rPr>
        <w:t>万元，占</w:t>
      </w:r>
      <w:r>
        <w:rPr>
          <w:rFonts w:hint="default" w:ascii="Times New Roman" w:hAnsi="Times New Roman" w:eastAsia="方正仿宋_GBK"/>
          <w:b w:val="0"/>
          <w:bCs/>
          <w:sz w:val="32"/>
          <w:szCs w:val="32"/>
        </w:rPr>
        <w:t>1.62</w:t>
      </w:r>
      <w:r>
        <w:rPr>
          <w:rFonts w:hint="default" w:ascii="Times New Roman" w:hAnsi="Times New Roman" w:eastAsia="方正仿宋_GBK"/>
          <w:b w:val="0"/>
          <w:bCs/>
          <w:sz w:val="32"/>
          <w:szCs w:val="32"/>
          <w:shd w:val="clear" w:color="auto" w:fill="FFFFFF"/>
        </w:rPr>
        <w:t>%，较年初预算数减少3.26万元，下降9.45%，</w:t>
      </w:r>
      <w:r>
        <w:rPr>
          <w:rFonts w:ascii="Times New Roman" w:hAnsi="Times New Roman" w:eastAsia="方正仿宋_GBK"/>
          <w:b w:val="0"/>
          <w:bCs/>
          <w:sz w:val="32"/>
          <w:szCs w:val="32"/>
        </w:rPr>
        <w:t>主要原因是人员减少住房公积金缴费减少了3.26万元。</w:t>
      </w:r>
    </w:p>
    <w:p>
      <w:pPr>
        <w:pStyle w:val="6"/>
        <w:shd w:val="clear" w:color="auto" w:fill="FFFFFF"/>
        <w:spacing w:line="578" w:lineRule="exact"/>
        <w:ind w:firstLine="640" w:firstLineChars="200"/>
        <w:rPr>
          <w:rFonts w:hint="default" w:ascii="Times New Roman" w:hAnsi="Times New Roman" w:eastAsia="方正仿宋_GBK" w:cs="宋体"/>
          <w:b w:val="0"/>
          <w:bCs/>
          <w:color w:val="FF0000"/>
          <w:sz w:val="32"/>
        </w:rPr>
      </w:pPr>
      <w:r>
        <w:rPr>
          <w:rFonts w:hint="default" w:ascii="Times New Roman" w:hAnsi="Times New Roman" w:eastAsia="方正仿宋_GBK"/>
          <w:b w:val="0"/>
          <w:bCs/>
          <w:sz w:val="32"/>
          <w:szCs w:val="32"/>
          <w:shd w:val="clear" w:color="auto" w:fill="FFFFFF"/>
        </w:rPr>
        <w:t>（</w:t>
      </w:r>
      <w:r>
        <w:rPr>
          <w:rFonts w:ascii="Times New Roman" w:hAnsi="Times New Roman" w:eastAsia="方正仿宋_GBK"/>
          <w:b w:val="0"/>
          <w:bCs/>
          <w:sz w:val="32"/>
          <w:szCs w:val="32"/>
          <w:shd w:val="clear" w:color="auto" w:fill="FFFFFF"/>
        </w:rPr>
        <w:t>5</w:t>
      </w:r>
      <w:r>
        <w:rPr>
          <w:rFonts w:hint="default" w:ascii="Times New Roman" w:hAnsi="Times New Roman" w:eastAsia="方正仿宋_GBK"/>
          <w:b w:val="0"/>
          <w:bCs/>
          <w:sz w:val="32"/>
          <w:szCs w:val="32"/>
          <w:shd w:val="clear" w:color="auto" w:fill="FFFFFF"/>
        </w:rPr>
        <w:t>）</w:t>
      </w:r>
      <w:r>
        <w:rPr>
          <w:rFonts w:hint="default" w:ascii="Times New Roman" w:hAnsi="Times New Roman" w:eastAsia="方正仿宋_GBK"/>
          <w:b w:val="0"/>
          <w:bCs/>
          <w:sz w:val="32"/>
          <w:szCs w:val="32"/>
        </w:rPr>
        <w:t>灾害防治及应急管理支出1724.02</w:t>
      </w:r>
      <w:r>
        <w:rPr>
          <w:rFonts w:hint="default" w:ascii="Times New Roman" w:hAnsi="Times New Roman" w:eastAsia="方正仿宋_GBK"/>
          <w:b w:val="0"/>
          <w:bCs/>
          <w:sz w:val="32"/>
          <w:szCs w:val="32"/>
          <w:shd w:val="clear" w:color="auto" w:fill="FFFFFF"/>
        </w:rPr>
        <w:t>万元，占</w:t>
      </w:r>
      <w:r>
        <w:rPr>
          <w:rFonts w:hint="default" w:ascii="Times New Roman" w:hAnsi="Times New Roman" w:eastAsia="方正仿宋_GBK"/>
          <w:b w:val="0"/>
          <w:bCs/>
          <w:sz w:val="32"/>
          <w:szCs w:val="32"/>
        </w:rPr>
        <w:t>89.15</w:t>
      </w:r>
      <w:r>
        <w:rPr>
          <w:rFonts w:hint="default" w:ascii="Times New Roman" w:hAnsi="Times New Roman" w:eastAsia="方正仿宋_GBK"/>
          <w:b w:val="0"/>
          <w:bCs/>
          <w:sz w:val="32"/>
          <w:szCs w:val="32"/>
          <w:shd w:val="clear" w:color="auto" w:fill="FFFFFF"/>
        </w:rPr>
        <w:t>%，较年初预算数增加1307.83万元，增长314.24%，</w:t>
      </w:r>
      <w:r>
        <w:rPr>
          <w:rFonts w:ascii="Times New Roman" w:eastAsia="方正仿宋_GBK"/>
          <w:b w:val="0"/>
          <w:bCs/>
          <w:sz w:val="32"/>
        </w:rPr>
        <w:t>主要原因是人员经费增加了38.07万元，公用经费减少了11.36万元，项目经费增加了应急管理专项资金451.31万元，疫情环境消杀专项补助资金10.9万元，2022年中央自然灾害救灾资金385.3万元，森林防火资金18万元，</w:t>
      </w:r>
      <w:r>
        <w:rPr>
          <w:rFonts w:hint="default" w:ascii="Times New Roman" w:eastAsia="方正仿宋_GBK"/>
          <w:b w:val="0"/>
          <w:bCs/>
          <w:sz w:val="32"/>
        </w:rPr>
        <w:t>2023年全市危险化学品烟花爆竹“打非治违”省界检查站专项补助资金</w:t>
      </w:r>
      <w:r>
        <w:rPr>
          <w:rFonts w:ascii="Times New Roman" w:eastAsia="方正仿宋_GBK"/>
          <w:b w:val="0"/>
          <w:bCs/>
          <w:sz w:val="32"/>
        </w:rPr>
        <w:t>9.23万元，应急救援装备购置资金28.18万元，抗旱救灾补助78.56万元，自然灾害救灾资金312.03万元，综合行政执法制式服装和标志购置资金16.53万元。</w:t>
      </w:r>
    </w:p>
    <w:p>
      <w:pPr>
        <w:pStyle w:val="11"/>
        <w:autoSpaceDE w:val="0"/>
        <w:ind w:firstLine="643"/>
        <w:rPr>
          <w:rStyle w:val="10"/>
          <w:rFonts w:hint="default" w:ascii="方正楷体_GBK" w:hAnsi="方正楷体_GBK" w:eastAsia="方正楷体_GBK" w:cs="方正楷体_GBK"/>
          <w:b w:val="0"/>
          <w:bCs/>
          <w:sz w:val="32"/>
          <w:szCs w:val="32"/>
          <w:shd w:val="clear" w:color="auto" w:fill="FFFFFF"/>
          <w:lang w:val="en-US" w:eastAsia="zh-CN" w:bidi="ar-SA"/>
        </w:rPr>
      </w:pPr>
      <w:r>
        <w:rPr>
          <w:rStyle w:val="10"/>
          <w:rFonts w:hint="default"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6"/>
        <w:shd w:val="clear" w:color="auto" w:fill="FFFFFF"/>
        <w:spacing w:before="0" w:beforeAutospacing="0" w:after="0" w:afterAutospacing="0" w:line="578" w:lineRule="exact"/>
        <w:ind w:firstLine="640" w:firstLineChars="200"/>
        <w:contextualSpacing/>
        <w:rPr>
          <w:rFonts w:hint="default" w:ascii="Times New Roman" w:hAnsi="Times New Roman" w:eastAsia="方正仿宋_GBK"/>
          <w:b w:val="0"/>
          <w:bCs/>
          <w:sz w:val="20"/>
          <w:szCs w:val="18"/>
        </w:rPr>
      </w:pPr>
      <w:r>
        <w:rPr>
          <w:rFonts w:hint="default" w:ascii="Times New Roman" w:hAnsi="Times New Roman" w:eastAsia="方正仿宋_GBK"/>
          <w:b w:val="0"/>
          <w:bCs/>
          <w:sz w:val="32"/>
          <w:szCs w:val="32"/>
          <w:shd w:val="clear" w:color="auto" w:fill="FFFFFF"/>
        </w:rPr>
        <w:t> 2023年度一般公共财政拨款基本支出</w:t>
      </w:r>
      <w:r>
        <w:rPr>
          <w:rFonts w:hint="default" w:ascii="Times New Roman" w:hAnsi="Times New Roman" w:eastAsia="方正仿宋_GBK"/>
          <w:b w:val="0"/>
          <w:bCs/>
          <w:sz w:val="32"/>
          <w:szCs w:val="32"/>
        </w:rPr>
        <w:t>623.79</w:t>
      </w:r>
      <w:r>
        <w:rPr>
          <w:rFonts w:hint="default" w:ascii="Times New Roman" w:hAnsi="Times New Roman" w:eastAsia="方正仿宋_GBK"/>
          <w:b w:val="0"/>
          <w:bCs/>
          <w:sz w:val="32"/>
          <w:szCs w:val="32"/>
          <w:shd w:val="clear" w:color="auto" w:fill="FFFFFF"/>
        </w:rPr>
        <w:t>万元。其中：人员经费</w:t>
      </w:r>
      <w:r>
        <w:rPr>
          <w:rFonts w:hint="default" w:ascii="Times New Roman" w:hAnsi="Times New Roman" w:eastAsia="方正仿宋_GBK"/>
          <w:b w:val="0"/>
          <w:bCs/>
          <w:sz w:val="32"/>
          <w:szCs w:val="32"/>
        </w:rPr>
        <w:t>511.07</w:t>
      </w:r>
      <w:r>
        <w:rPr>
          <w:rFonts w:hint="default" w:ascii="Times New Roman" w:hAnsi="Times New Roman" w:eastAsia="方正仿宋_GBK"/>
          <w:b w:val="0"/>
          <w:bCs/>
          <w:sz w:val="32"/>
          <w:szCs w:val="32"/>
          <w:shd w:val="clear" w:color="auto" w:fill="FFFFFF"/>
        </w:rPr>
        <w:t>万元，较上年决算数减少90.7万元，下降15.07%，主要原因是</w:t>
      </w:r>
      <w:r>
        <w:rPr>
          <w:rFonts w:ascii="Times New Roman" w:hAnsi="Times New Roman" w:eastAsia="方正仿宋_GBK"/>
          <w:b w:val="0"/>
          <w:bCs/>
          <w:sz w:val="32"/>
          <w:szCs w:val="32"/>
          <w:shd w:val="clear" w:color="auto" w:fill="FFFFFF"/>
        </w:rPr>
        <w:t>人员减少导致工资福利支出减少</w:t>
      </w:r>
      <w:r>
        <w:rPr>
          <w:rFonts w:hint="default" w:ascii="Times New Roman" w:hAnsi="Times New Roman" w:eastAsia="方正仿宋_GBK"/>
          <w:b w:val="0"/>
          <w:bCs/>
          <w:sz w:val="32"/>
          <w:szCs w:val="32"/>
          <w:shd w:val="clear" w:color="auto" w:fill="FFFFFF"/>
        </w:rPr>
        <w:t>。人员经费用途主要包括</w:t>
      </w:r>
      <w:r>
        <w:rPr>
          <w:rFonts w:ascii="Times New Roman" w:hAnsi="Times New Roman" w:eastAsia="方正仿宋_GBK"/>
          <w:b w:val="0"/>
          <w:bCs/>
          <w:sz w:val="32"/>
          <w:szCs w:val="30"/>
        </w:rPr>
        <w:t>基本工资、津贴补贴、奖金、社会保障缴费、绩效工资和其他工资福利支出。</w:t>
      </w:r>
      <w:r>
        <w:rPr>
          <w:rFonts w:hint="default" w:ascii="Times New Roman" w:hAnsi="Times New Roman" w:eastAsia="方正仿宋_GBK"/>
          <w:b w:val="0"/>
          <w:bCs/>
          <w:sz w:val="32"/>
          <w:szCs w:val="32"/>
          <w:shd w:val="clear" w:color="auto" w:fill="FFFFFF"/>
        </w:rPr>
        <w:t>公用经费</w:t>
      </w:r>
      <w:r>
        <w:rPr>
          <w:rFonts w:hint="default" w:ascii="Times New Roman" w:hAnsi="Times New Roman" w:eastAsia="方正仿宋_GBK"/>
          <w:b w:val="0"/>
          <w:bCs/>
          <w:sz w:val="32"/>
          <w:szCs w:val="32"/>
        </w:rPr>
        <w:t>112.72</w:t>
      </w:r>
      <w:r>
        <w:rPr>
          <w:rFonts w:hint="default" w:ascii="Times New Roman" w:hAnsi="Times New Roman" w:eastAsia="方正仿宋_GBK"/>
          <w:b w:val="0"/>
          <w:bCs/>
          <w:sz w:val="32"/>
          <w:szCs w:val="32"/>
          <w:shd w:val="clear" w:color="auto" w:fill="FFFFFF"/>
        </w:rPr>
        <w:t>万元，较上年决算数增加18.62万元，增长19.79%，主要原因是</w:t>
      </w:r>
      <w:r>
        <w:rPr>
          <w:rFonts w:ascii="Times New Roman" w:hAnsi="Times New Roman" w:eastAsia="方正仿宋_GBK"/>
          <w:b w:val="0"/>
          <w:bCs/>
          <w:sz w:val="32"/>
          <w:szCs w:val="32"/>
          <w:shd w:val="clear" w:color="auto" w:fill="FFFFFF"/>
        </w:rPr>
        <w:t>2023年维修（护）费增加了6.67万元，福利费增加了13.98万元。</w:t>
      </w:r>
      <w:r>
        <w:rPr>
          <w:rFonts w:hint="default" w:ascii="Times New Roman" w:hAnsi="Times New Roman" w:eastAsia="方正仿宋_GBK"/>
          <w:b w:val="0"/>
          <w:bCs/>
          <w:sz w:val="32"/>
          <w:szCs w:val="32"/>
          <w:shd w:val="clear" w:color="auto" w:fill="FFFFFF"/>
        </w:rPr>
        <w:t>公用经费用途主要包括</w:t>
      </w:r>
      <w:r>
        <w:rPr>
          <w:rFonts w:ascii="Times New Roman" w:hAnsi="Times New Roman" w:eastAsia="方正仿宋_GBK"/>
          <w:b w:val="0"/>
          <w:bCs/>
          <w:sz w:val="32"/>
          <w:szCs w:val="30"/>
        </w:rPr>
        <w:t>办公费、印刷费、咨询费、手续费、水费、电费、邮电费、差旅费、维修（护）费、会议费、培训费、公务接待费、劳务费、委托业务费、工会经费、福利费、公务用车运行维护费、其他交通费用、其他商品和服务支出等。</w:t>
      </w:r>
    </w:p>
    <w:p>
      <w:pPr>
        <w:pStyle w:val="11"/>
        <w:autoSpaceDE w:val="0"/>
        <w:ind w:firstLine="643"/>
        <w:rPr>
          <w:rStyle w:val="10"/>
          <w:rFonts w:hint="default" w:ascii="方正楷体_GBK" w:hAnsi="方正楷体_GBK" w:eastAsia="方正楷体_GBK" w:cs="方正楷体_GBK"/>
          <w:b w:val="0"/>
          <w:bCs/>
          <w:sz w:val="32"/>
          <w:szCs w:val="32"/>
          <w:shd w:val="clear" w:color="auto" w:fill="FFFFFF"/>
          <w:lang w:val="en-US" w:eastAsia="zh-CN" w:bidi="ar-SA"/>
        </w:rPr>
      </w:pPr>
      <w:r>
        <w:rPr>
          <w:rStyle w:val="10"/>
          <w:rFonts w:hint="default"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0"/>
        </w:rPr>
      </w:pPr>
      <w:r>
        <w:rPr>
          <w:rFonts w:ascii="Times New Roman" w:hAnsi="Times New Roman" w:eastAsia="方正仿宋_GBK"/>
          <w:b w:val="0"/>
          <w:bCs/>
          <w:sz w:val="32"/>
          <w:szCs w:val="30"/>
        </w:rPr>
        <w:t>本单位2023年度无政府性基金预算财政拨款收支。</w:t>
      </w:r>
    </w:p>
    <w:p>
      <w:pPr>
        <w:pStyle w:val="11"/>
        <w:autoSpaceDE w:val="0"/>
        <w:ind w:firstLine="643"/>
        <w:rPr>
          <w:rStyle w:val="10"/>
          <w:rFonts w:hint="default" w:ascii="方正楷体_GBK" w:hAnsi="方正楷体_GBK" w:eastAsia="方正楷体_GBK" w:cs="方正楷体_GBK"/>
          <w:b w:val="0"/>
          <w:bCs/>
          <w:sz w:val="32"/>
          <w:szCs w:val="32"/>
          <w:shd w:val="clear" w:color="auto" w:fill="FFFFFF"/>
          <w:lang w:val="en-US" w:eastAsia="zh-CN" w:bidi="ar-SA"/>
        </w:rPr>
      </w:pPr>
      <w:r>
        <w:rPr>
          <w:rStyle w:val="10"/>
          <w:rFonts w:hint="default"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0"/>
        </w:rPr>
      </w:pPr>
      <w:r>
        <w:rPr>
          <w:rFonts w:ascii="Times New Roman" w:hAnsi="Times New Roman" w:eastAsia="方正仿宋_GBK"/>
          <w:b w:val="0"/>
          <w:bCs/>
          <w:sz w:val="32"/>
          <w:szCs w:val="30"/>
        </w:rPr>
        <w:t>本单位2023年度无国有资本经营预算财政拨款支出。</w:t>
      </w:r>
    </w:p>
    <w:p>
      <w:pPr>
        <w:pStyle w:val="6"/>
        <w:shd w:val="clear" w:color="auto" w:fill="FFFFFF"/>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11"/>
        <w:autoSpaceDE w:val="0"/>
        <w:ind w:firstLine="643"/>
        <w:rPr>
          <w:rStyle w:val="10"/>
          <w:rFonts w:hint="default" w:ascii="方正楷体_GBK" w:hAnsi="方正楷体_GBK" w:eastAsia="方正楷体_GBK" w:cs="方正楷体_GBK"/>
          <w:b w:val="0"/>
          <w:bCs/>
          <w:sz w:val="32"/>
          <w:szCs w:val="32"/>
          <w:shd w:val="clear" w:color="auto" w:fill="FFFFFF"/>
          <w:lang w:val="en-US" w:eastAsia="zh-CN" w:bidi="ar-SA"/>
        </w:rPr>
      </w:pPr>
      <w:r>
        <w:rPr>
          <w:rStyle w:val="10"/>
          <w:rFonts w:hint="default"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0"/>
        </w:rPr>
      </w:pPr>
      <w:r>
        <w:rPr>
          <w:rFonts w:hint="default" w:ascii="Times New Roman" w:hAnsi="Times New Roman" w:eastAsia="方正仿宋_GBK"/>
          <w:b w:val="0"/>
          <w:bCs/>
          <w:sz w:val="32"/>
          <w:szCs w:val="32"/>
          <w:shd w:val="clear" w:color="auto" w:fill="FFFFFF"/>
        </w:rPr>
        <w:t>2023年度“三公”经费支出共计</w:t>
      </w:r>
      <w:r>
        <w:rPr>
          <w:rFonts w:hint="default" w:ascii="Times New Roman" w:hAnsi="Times New Roman" w:eastAsia="方正仿宋_GBK"/>
          <w:b w:val="0"/>
          <w:bCs/>
          <w:sz w:val="32"/>
          <w:szCs w:val="32"/>
        </w:rPr>
        <w:t>11.17</w:t>
      </w:r>
      <w:r>
        <w:rPr>
          <w:rFonts w:hint="default" w:ascii="Times New Roman" w:hAnsi="Times New Roman" w:eastAsia="方正仿宋_GBK"/>
          <w:b w:val="0"/>
          <w:bCs/>
          <w:sz w:val="32"/>
          <w:szCs w:val="32"/>
          <w:shd w:val="clear" w:color="auto" w:fill="FFFFFF"/>
        </w:rPr>
        <w:t>万元，较年初预算数减少9.63万元，下降46.3%，</w:t>
      </w:r>
      <w:r>
        <w:rPr>
          <w:rFonts w:ascii="Times New Roman" w:hAnsi="Times New Roman" w:eastAsia="方正仿宋_GBK"/>
          <w:b w:val="0"/>
          <w:bCs/>
          <w:sz w:val="32"/>
          <w:szCs w:val="30"/>
        </w:rPr>
        <w:t>主要原因是认真贯彻落实中央八项规定精神，按照只减不增的要求从严控制“三公”经费，全年实际支出较预算和上年支出数均有所下降。</w:t>
      </w:r>
      <w:r>
        <w:rPr>
          <w:rFonts w:hint="default" w:ascii="Times New Roman" w:hAnsi="Times New Roman" w:eastAsia="方正仿宋_GBK"/>
          <w:b w:val="0"/>
          <w:bCs/>
          <w:sz w:val="32"/>
          <w:szCs w:val="32"/>
          <w:shd w:val="clear" w:color="auto" w:fill="FFFFFF"/>
        </w:rPr>
        <w:t>较上年支出数减少0.45万元，下降3.87%，主要原因是</w:t>
      </w:r>
      <w:r>
        <w:rPr>
          <w:rFonts w:ascii="Times New Roman" w:hAnsi="Times New Roman" w:eastAsia="方正仿宋_GBK"/>
          <w:b w:val="0"/>
          <w:bCs/>
          <w:sz w:val="32"/>
          <w:szCs w:val="30"/>
        </w:rPr>
        <w:t>一是严格落实公车使用规定，公车运行维护成本有所下降。二是强化公务接待支出管理，严格遵守公务接待开支范围和开支标准，严格控制陪餐人数，对应由接待对象承担的费用一律由接待对象自行支付，公务接待费有所下降。</w:t>
      </w:r>
    </w:p>
    <w:p>
      <w:pPr>
        <w:pStyle w:val="11"/>
        <w:autoSpaceDE w:val="0"/>
        <w:ind w:firstLine="643"/>
        <w:rPr>
          <w:rStyle w:val="10"/>
          <w:rFonts w:hint="default" w:ascii="方正楷体_GBK" w:hAnsi="方正楷体_GBK" w:eastAsia="方正楷体_GBK" w:cs="方正楷体_GBK"/>
          <w:b w:val="0"/>
          <w:bCs/>
          <w:sz w:val="32"/>
          <w:szCs w:val="32"/>
          <w:shd w:val="clear" w:color="auto" w:fill="FFFFFF"/>
          <w:lang w:val="en-US" w:eastAsia="zh-CN" w:bidi="ar-SA"/>
        </w:rPr>
      </w:pPr>
      <w:r>
        <w:rPr>
          <w:rStyle w:val="10"/>
          <w:rFonts w:hint="default" w:ascii="方正楷体_GBK" w:hAnsi="方正楷体_GBK" w:eastAsia="方正楷体_GBK" w:cs="方正楷体_GBK"/>
          <w:b w:val="0"/>
          <w:bCs/>
          <w:sz w:val="32"/>
          <w:szCs w:val="32"/>
          <w:shd w:val="clear" w:color="auto" w:fill="FFFFFF"/>
          <w:lang w:val="en-US" w:eastAsia="zh-CN" w:bidi="ar-SA"/>
        </w:rPr>
        <w:t>（二）“三公”经费分项支出情况</w:t>
      </w:r>
    </w:p>
    <w:p>
      <w:pPr>
        <w:pStyle w:val="6"/>
        <w:shd w:val="clear" w:color="auto" w:fill="FFFFFF"/>
        <w:spacing w:line="550" w:lineRule="exact"/>
        <w:ind w:firstLine="640" w:firstLineChars="200"/>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年度本单位因公出国（境）费用</w:t>
      </w:r>
      <w:r>
        <w:rPr>
          <w:rFonts w:hint="default" w:ascii="Times New Roman" w:hAnsi="Times New Roman" w:eastAsia="方正仿宋_GBK"/>
          <w:b w:val="0"/>
          <w:bCs/>
          <w:sz w:val="32"/>
          <w:szCs w:val="32"/>
        </w:rPr>
        <w:t>0.00</w:t>
      </w:r>
      <w:r>
        <w:rPr>
          <w:rFonts w:hint="default" w:ascii="Times New Roman" w:hAnsi="方正仿宋_GBK" w:eastAsia="方正仿宋_GBK"/>
          <w:b w:val="0"/>
          <w:bCs/>
          <w:sz w:val="32"/>
          <w:szCs w:val="32"/>
          <w:shd w:val="clear" w:color="auto" w:fill="FFFFFF"/>
        </w:rPr>
        <w:t>万元，费用支出较年初预算数无增减，较上年支出数无增减，</w:t>
      </w:r>
      <w:r>
        <w:rPr>
          <w:rFonts w:ascii="Times New Roman" w:hAnsi="Times New Roman" w:eastAsia="方正仿宋_GBK"/>
          <w:b w:val="0"/>
          <w:bCs/>
          <w:sz w:val="32"/>
          <w:szCs w:val="32"/>
        </w:rPr>
        <w:t>主要是本单位2023年度未发生因公出国（境）费用支出。</w:t>
      </w:r>
    </w:p>
    <w:p>
      <w:pPr>
        <w:pStyle w:val="6"/>
        <w:shd w:val="clear" w:color="auto" w:fill="FFFFFF"/>
        <w:spacing w:line="550" w:lineRule="exact"/>
        <w:ind w:firstLine="640" w:firstLineChars="200"/>
        <w:rPr>
          <w:rFonts w:hint="default" w:ascii="Times New Roman" w:hAnsi="Times New Roman" w:eastAsia="方正仿宋_GBK"/>
          <w:b w:val="0"/>
          <w:bCs/>
          <w:sz w:val="18"/>
          <w:szCs w:val="18"/>
        </w:rPr>
      </w:pPr>
      <w:r>
        <w:rPr>
          <w:rFonts w:hint="default" w:ascii="Times New Roman" w:hAnsi="Times New Roman" w:eastAsia="方正仿宋_GBK"/>
          <w:b w:val="0"/>
          <w:bCs/>
          <w:sz w:val="32"/>
          <w:szCs w:val="32"/>
          <w:shd w:val="clear" w:color="auto" w:fill="FFFFFF"/>
        </w:rPr>
        <w:t> </w:t>
      </w:r>
      <w:r>
        <w:rPr>
          <w:rFonts w:hint="default" w:ascii="Times New Roman" w:hAnsi="方正仿宋_GBK" w:eastAsia="方正仿宋_GBK"/>
          <w:b w:val="0"/>
          <w:bCs/>
          <w:sz w:val="32"/>
          <w:szCs w:val="32"/>
          <w:shd w:val="clear" w:color="auto" w:fill="FFFFFF"/>
        </w:rPr>
        <w:t>公务车购置费</w:t>
      </w:r>
      <w:r>
        <w:rPr>
          <w:rFonts w:hint="default" w:ascii="Times New Roman" w:hAnsi="Times New Roman" w:eastAsia="方正仿宋_GBK"/>
          <w:b w:val="0"/>
          <w:bCs/>
          <w:sz w:val="32"/>
          <w:szCs w:val="32"/>
        </w:rPr>
        <w:t>0.00</w:t>
      </w:r>
      <w:r>
        <w:rPr>
          <w:rFonts w:hint="default" w:ascii="Times New Roman" w:hAnsi="方正仿宋_GBK" w:eastAsia="方正仿宋_GBK"/>
          <w:b w:val="0"/>
          <w:bCs/>
          <w:sz w:val="32"/>
          <w:szCs w:val="32"/>
          <w:shd w:val="clear" w:color="auto" w:fill="FFFFFF"/>
        </w:rPr>
        <w:t>万元，费用支出较年初预算数无增减，较上年支出数无增减，主要原因是</w:t>
      </w:r>
      <w:r>
        <w:rPr>
          <w:rFonts w:ascii="Times New Roman" w:hAnsi="Times New Roman" w:eastAsia="方正仿宋_GBK"/>
          <w:b w:val="0"/>
          <w:bCs/>
          <w:sz w:val="32"/>
          <w:szCs w:val="32"/>
        </w:rPr>
        <w:t>本单位2023年度未发生</w:t>
      </w:r>
      <w:r>
        <w:rPr>
          <w:rFonts w:ascii="Times New Roman" w:hAnsi="Times New Roman" w:eastAsia="方正仿宋_GBK"/>
          <w:b w:val="0"/>
          <w:bCs/>
          <w:sz w:val="32"/>
          <w:szCs w:val="30"/>
        </w:rPr>
        <w:t>公务车购置费</w:t>
      </w:r>
      <w:r>
        <w:rPr>
          <w:rFonts w:ascii="Times New Roman" w:hAnsi="Times New Roman" w:eastAsia="方正仿宋_GBK"/>
          <w:b w:val="0"/>
          <w:bCs/>
          <w:sz w:val="32"/>
          <w:szCs w:val="32"/>
        </w:rPr>
        <w:t>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 公务车运行维护费</w:t>
      </w:r>
      <w:r>
        <w:rPr>
          <w:rFonts w:hint="default" w:ascii="Times New Roman" w:hAnsi="Times New Roman" w:eastAsia="方正仿宋_GBK"/>
          <w:b w:val="0"/>
          <w:bCs/>
          <w:sz w:val="32"/>
          <w:szCs w:val="32"/>
        </w:rPr>
        <w:t>10.5</w:t>
      </w:r>
      <w:r>
        <w:rPr>
          <w:rFonts w:hint="default" w:ascii="Times New Roman" w:hAnsi="Times New Roman" w:eastAsia="方正仿宋_GBK"/>
          <w:b w:val="0"/>
          <w:bCs/>
          <w:sz w:val="32"/>
          <w:szCs w:val="32"/>
          <w:shd w:val="clear" w:color="auto" w:fill="FFFFFF"/>
        </w:rPr>
        <w:t>万元，</w:t>
      </w:r>
      <w:r>
        <w:rPr>
          <w:rFonts w:ascii="Times New Roman" w:hAnsi="Times New Roman" w:eastAsia="方正仿宋_GBK"/>
          <w:b w:val="0"/>
          <w:bCs/>
          <w:sz w:val="32"/>
          <w:szCs w:val="32"/>
        </w:rPr>
        <w:t>主要用于机要文件交换、市内因公出行、安全生产监管、自然灾害统筹、防灾救灾减灾等工作所需车辆的燃料费、维修费、过桥过路费、保险费等。</w:t>
      </w:r>
      <w:r>
        <w:rPr>
          <w:rFonts w:hint="default" w:ascii="Times New Roman" w:hAnsi="Times New Roman" w:eastAsia="方正仿宋_GBK"/>
          <w:b w:val="0"/>
          <w:bCs/>
          <w:sz w:val="32"/>
          <w:szCs w:val="32"/>
          <w:shd w:val="clear" w:color="auto" w:fill="FFFFFF"/>
        </w:rPr>
        <w:t>费用支出较年初预算数减少9.50万元，下降47.50%，主要原因是</w:t>
      </w:r>
      <w:r>
        <w:rPr>
          <w:rFonts w:ascii="Times New Roman" w:hAnsi="Times New Roman" w:eastAsia="方正仿宋_GBK"/>
          <w:b w:val="0"/>
          <w:bCs/>
          <w:sz w:val="32"/>
          <w:szCs w:val="30"/>
        </w:rPr>
        <w:t>认真贯彻落实中央八项规定精神，按照只减不增的要求从严控制“三公”经费。</w:t>
      </w:r>
      <w:r>
        <w:rPr>
          <w:rFonts w:hint="default" w:ascii="Times New Roman" w:hAnsi="Times New Roman" w:eastAsia="方正仿宋_GBK"/>
          <w:b w:val="0"/>
          <w:bCs/>
          <w:sz w:val="32"/>
          <w:szCs w:val="32"/>
          <w:shd w:val="clear" w:color="auto" w:fill="FFFFFF"/>
        </w:rPr>
        <w:t>较上年支出数减少0.02万元，下降0.19%，主要原因是</w:t>
      </w:r>
      <w:r>
        <w:rPr>
          <w:rFonts w:ascii="Times New Roman" w:hAnsi="Times New Roman" w:eastAsia="方正仿宋_GBK"/>
          <w:b w:val="0"/>
          <w:bCs/>
          <w:sz w:val="32"/>
          <w:szCs w:val="30"/>
        </w:rPr>
        <w:t>严格落实公车使用规定。</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0"/>
        </w:rPr>
      </w:pPr>
      <w:r>
        <w:rPr>
          <w:rFonts w:hint="default" w:ascii="Times New Roman" w:hAnsi="Times New Roman" w:eastAsia="方正仿宋_GBK"/>
          <w:b w:val="0"/>
          <w:bCs/>
          <w:sz w:val="32"/>
          <w:szCs w:val="32"/>
          <w:shd w:val="clear" w:color="auto" w:fill="FFFFFF"/>
        </w:rPr>
        <w:t> 公务接待费</w:t>
      </w:r>
      <w:r>
        <w:rPr>
          <w:rFonts w:hint="default" w:ascii="Times New Roman" w:hAnsi="Times New Roman" w:eastAsia="方正仿宋_GBK"/>
          <w:b w:val="0"/>
          <w:bCs/>
          <w:sz w:val="32"/>
          <w:szCs w:val="32"/>
        </w:rPr>
        <w:t>0.67</w:t>
      </w:r>
      <w:r>
        <w:rPr>
          <w:rFonts w:hint="default" w:ascii="Times New Roman" w:hAnsi="Times New Roman" w:eastAsia="方正仿宋_GBK"/>
          <w:b w:val="0"/>
          <w:bCs/>
          <w:sz w:val="32"/>
          <w:szCs w:val="32"/>
          <w:shd w:val="clear" w:color="auto" w:fill="FFFFFF"/>
        </w:rPr>
        <w:t>万元，主要用于接待</w:t>
      </w:r>
      <w:r>
        <w:rPr>
          <w:rFonts w:ascii="Times New Roman" w:hAnsi="Times New Roman" w:eastAsia="方正仿宋_GBK"/>
          <w:b w:val="0"/>
          <w:bCs/>
          <w:sz w:val="32"/>
          <w:szCs w:val="30"/>
        </w:rPr>
        <w:t>相关部门检查指导工作的领导及工作人员。</w:t>
      </w:r>
      <w:r>
        <w:rPr>
          <w:rFonts w:hint="default" w:ascii="Times New Roman" w:hAnsi="Times New Roman" w:eastAsia="方正仿宋_GBK"/>
          <w:b w:val="0"/>
          <w:bCs/>
          <w:sz w:val="32"/>
          <w:szCs w:val="32"/>
          <w:shd w:val="clear" w:color="auto" w:fill="FFFFFF"/>
        </w:rPr>
        <w:t>费用支出较年初预算数减少0.13万元，下降16.25%，主要原因是</w:t>
      </w:r>
      <w:r>
        <w:rPr>
          <w:rFonts w:ascii="Times New Roman" w:hAnsi="Times New Roman" w:eastAsia="方正仿宋_GBK"/>
          <w:b w:val="0"/>
          <w:bCs/>
          <w:sz w:val="32"/>
          <w:szCs w:val="30"/>
        </w:rPr>
        <w:t>认真贯彻落实中央八项规定精神，按照只减不增的要求从严控制“三公”经费。</w:t>
      </w:r>
      <w:r>
        <w:rPr>
          <w:rFonts w:hint="default" w:ascii="Times New Roman" w:hAnsi="Times New Roman" w:eastAsia="方正仿宋_GBK"/>
          <w:b w:val="0"/>
          <w:bCs/>
          <w:sz w:val="32"/>
          <w:szCs w:val="32"/>
          <w:shd w:val="clear" w:color="auto" w:fill="FFFFFF"/>
        </w:rPr>
        <w:t>较上年支出数减少0.43万元，下降39.09%，主要原因是</w:t>
      </w:r>
      <w:r>
        <w:rPr>
          <w:rFonts w:ascii="Times New Roman" w:hAnsi="Times New Roman" w:eastAsia="方正仿宋_GBK"/>
          <w:b w:val="0"/>
          <w:bCs/>
          <w:sz w:val="32"/>
          <w:szCs w:val="30"/>
        </w:rPr>
        <w:t>强化公务接待支出管理，严格遵守公务接待开支范围和开支标准，严格控制陪餐人数，对应由接待对象承担的费用一律由接待对象自行支付。</w:t>
      </w:r>
    </w:p>
    <w:p>
      <w:pPr>
        <w:pStyle w:val="6"/>
        <w:snapToGrid w:val="0"/>
        <w:spacing w:before="0" w:beforeAutospacing="0" w:after="0" w:afterAutospacing="0" w:line="600" w:lineRule="exact"/>
        <w:ind w:firstLine="640" w:firstLineChars="200"/>
        <w:jc w:val="both"/>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  2023年度本单位因公出国（境）共计</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个团组，</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人；公务用车购置</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辆，公务车保有量为</w:t>
      </w:r>
      <w:r>
        <w:rPr>
          <w:rFonts w:hint="default" w:ascii="Times New Roman" w:hAnsi="Times New Roman" w:eastAsia="方正仿宋_GBK"/>
          <w:b w:val="0"/>
          <w:bCs/>
          <w:sz w:val="32"/>
          <w:szCs w:val="32"/>
        </w:rPr>
        <w:t>5</w:t>
      </w:r>
      <w:r>
        <w:rPr>
          <w:rFonts w:hint="default" w:ascii="Times New Roman" w:hAnsi="Times New Roman" w:eastAsia="方正仿宋_GBK"/>
          <w:b w:val="0"/>
          <w:bCs/>
          <w:sz w:val="32"/>
          <w:szCs w:val="32"/>
          <w:shd w:val="clear" w:color="auto" w:fill="FFFFFF"/>
        </w:rPr>
        <w:t>辆；国内公务接待</w:t>
      </w:r>
      <w:r>
        <w:rPr>
          <w:rFonts w:hint="default" w:ascii="Times New Roman" w:hAnsi="Times New Roman" w:eastAsia="方正仿宋_GBK"/>
          <w:b w:val="0"/>
          <w:bCs/>
          <w:sz w:val="32"/>
          <w:szCs w:val="32"/>
        </w:rPr>
        <w:t>5</w:t>
      </w:r>
      <w:r>
        <w:rPr>
          <w:rFonts w:hint="default" w:ascii="Times New Roman" w:hAnsi="Times New Roman" w:eastAsia="方正仿宋_GBK"/>
          <w:b w:val="0"/>
          <w:bCs/>
          <w:sz w:val="32"/>
          <w:szCs w:val="32"/>
          <w:shd w:val="clear" w:color="auto" w:fill="FFFFFF"/>
        </w:rPr>
        <w:t>批次</w:t>
      </w:r>
      <w:r>
        <w:rPr>
          <w:rFonts w:hint="default" w:ascii="Times New Roman" w:hAnsi="Times New Roman" w:eastAsia="方正仿宋_GBK"/>
          <w:b w:val="0"/>
          <w:bCs/>
          <w:sz w:val="32"/>
          <w:szCs w:val="32"/>
        </w:rPr>
        <w:t>52</w:t>
      </w:r>
      <w:r>
        <w:rPr>
          <w:rFonts w:hint="default" w:ascii="Times New Roman" w:hAnsi="Times New Roman" w:eastAsia="方正仿宋_GBK"/>
          <w:b w:val="0"/>
          <w:bCs/>
          <w:sz w:val="32"/>
          <w:szCs w:val="32"/>
          <w:shd w:val="clear" w:color="auto" w:fill="FFFFFF"/>
        </w:rPr>
        <w:t>人，其中：国内外事接待</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批次，</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人；国（境）外公务接待</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批次，</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人。2023年本单位人均接待费</w:t>
      </w:r>
      <w:r>
        <w:rPr>
          <w:rFonts w:hint="default" w:ascii="Times New Roman" w:hAnsi="Times New Roman" w:eastAsia="方正仿宋_GBK"/>
          <w:b w:val="0"/>
          <w:bCs/>
          <w:sz w:val="32"/>
          <w:szCs w:val="32"/>
        </w:rPr>
        <w:t>129.08</w:t>
      </w:r>
      <w:r>
        <w:rPr>
          <w:rFonts w:hint="default" w:ascii="Times New Roman" w:hAnsi="Times New Roman" w:eastAsia="方正仿宋_GBK"/>
          <w:b w:val="0"/>
          <w:bCs/>
          <w:sz w:val="32"/>
          <w:szCs w:val="32"/>
          <w:shd w:val="clear" w:color="auto" w:fill="FFFFFF"/>
        </w:rPr>
        <w:t>元，车均购置费</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万元，车均维护费</w:t>
      </w:r>
      <w:r>
        <w:rPr>
          <w:rFonts w:hint="default" w:ascii="Times New Roman" w:hAnsi="Times New Roman" w:eastAsia="方正仿宋_GBK"/>
          <w:b w:val="0"/>
          <w:bCs/>
          <w:sz w:val="32"/>
          <w:szCs w:val="32"/>
        </w:rPr>
        <w:t>2.1</w:t>
      </w:r>
      <w:r>
        <w:rPr>
          <w:rFonts w:hint="default" w:ascii="Times New Roman" w:hAnsi="Times New Roman" w:eastAsia="方正仿宋_GBK"/>
          <w:b w:val="0"/>
          <w:bCs/>
          <w:sz w:val="32"/>
          <w:szCs w:val="32"/>
          <w:shd w:val="clear" w:color="auto" w:fill="FFFFFF"/>
        </w:rPr>
        <w:t>万元。</w:t>
      </w:r>
    </w:p>
    <w:p>
      <w:pPr>
        <w:pStyle w:val="6"/>
        <w:shd w:val="clear" w:color="auto" w:fill="FFFFFF"/>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autoSpaceDE w:val="0"/>
        <w:ind w:firstLine="643"/>
        <w:rPr>
          <w:rFonts w:ascii="Times New Roman" w:hAnsi="Times New Roman" w:eastAsia="楷体"/>
          <w:b w:val="0"/>
          <w:bCs/>
          <w:sz w:val="32"/>
          <w:szCs w:val="32"/>
          <w:shd w:val="clear" w:color="auto" w:fill="FFFFFF"/>
        </w:rPr>
      </w:pPr>
      <w:r>
        <w:rPr>
          <w:rFonts w:ascii="Times New Roman" w:hAnsi="Times New Roman" w:eastAsia="楷体"/>
          <w:b w:val="0"/>
          <w:bCs/>
          <w:sz w:val="32"/>
          <w:szCs w:val="32"/>
          <w:shd w:val="clear" w:color="auto" w:fill="FFFFFF"/>
        </w:rPr>
        <w:t> </w:t>
      </w:r>
      <w:r>
        <w:rPr>
          <w:rFonts w:hint="eastAsia" w:ascii="方正楷体_GBK" w:hAnsi="方正楷体_GBK" w:eastAsia="方正楷体_GBK" w:cs="方正楷体_GBK"/>
          <w:b w:val="0"/>
          <w:bCs/>
          <w:sz w:val="32"/>
          <w:szCs w:val="32"/>
          <w:shd w:val="clear" w:color="auto" w:fill="FFFFFF"/>
          <w:lang w:val="en-US" w:eastAsia="zh-CN" w:bidi="ar-SA"/>
        </w:rPr>
        <w:t>（一）财政拨款会议费和培训费情况说明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 本年度会议费支出</w:t>
      </w:r>
      <w:r>
        <w:rPr>
          <w:rFonts w:hint="default" w:ascii="Times New Roman" w:hAnsi="Times New Roman" w:eastAsia="方正仿宋_GBK"/>
          <w:b w:val="0"/>
          <w:bCs/>
          <w:sz w:val="32"/>
          <w:szCs w:val="32"/>
        </w:rPr>
        <w:t>9.43</w:t>
      </w:r>
      <w:r>
        <w:rPr>
          <w:rFonts w:hint="default" w:ascii="Times New Roman" w:hAnsi="Times New Roman" w:eastAsia="方正仿宋_GBK"/>
          <w:b w:val="0"/>
          <w:bCs/>
          <w:sz w:val="32"/>
          <w:szCs w:val="32"/>
          <w:shd w:val="clear" w:color="auto" w:fill="FFFFFF"/>
        </w:rPr>
        <w:t>万元，较上年决算数减少44.32万元，下降82.46%，主要原因是</w:t>
      </w:r>
      <w:r>
        <w:rPr>
          <w:rFonts w:ascii="Times New Roman" w:hAnsi="Times New Roman" w:eastAsia="方正仿宋_GBK"/>
          <w:b w:val="0"/>
          <w:bCs/>
          <w:sz w:val="32"/>
          <w:szCs w:val="32"/>
          <w:shd w:val="clear" w:color="auto" w:fill="FFFFFF"/>
        </w:rPr>
        <w:t>2023年我单位未举办大型会议</w:t>
      </w:r>
      <w:r>
        <w:rPr>
          <w:rFonts w:hint="default" w:ascii="Times New Roman" w:hAnsi="Times New Roman" w:eastAsia="方正仿宋_GBK"/>
          <w:b w:val="0"/>
          <w:bCs/>
          <w:sz w:val="32"/>
          <w:szCs w:val="32"/>
          <w:shd w:val="clear" w:color="auto" w:fill="FFFFFF"/>
        </w:rPr>
        <w:t>。本年度培训费支出</w:t>
      </w:r>
      <w:r>
        <w:rPr>
          <w:rFonts w:hint="default" w:ascii="Times New Roman" w:hAnsi="Times New Roman" w:eastAsia="方正仿宋_GBK"/>
          <w:b w:val="0"/>
          <w:bCs/>
          <w:sz w:val="32"/>
          <w:szCs w:val="32"/>
        </w:rPr>
        <w:t>13.33</w:t>
      </w:r>
      <w:r>
        <w:rPr>
          <w:rFonts w:hint="default" w:ascii="Times New Roman" w:hAnsi="Times New Roman" w:eastAsia="方正仿宋_GBK"/>
          <w:b w:val="0"/>
          <w:bCs/>
          <w:sz w:val="32"/>
          <w:szCs w:val="32"/>
          <w:shd w:val="clear" w:color="auto" w:fill="FFFFFF"/>
        </w:rPr>
        <w:t>万元，较上年决算数增加0.6万元，增长4.71%，主要原因是</w:t>
      </w:r>
      <w:r>
        <w:rPr>
          <w:rFonts w:ascii="Times New Roman" w:hAnsi="Times New Roman" w:eastAsia="方正仿宋_GBK"/>
          <w:b w:val="0"/>
          <w:bCs/>
          <w:sz w:val="32"/>
          <w:szCs w:val="32"/>
          <w:shd w:val="clear" w:color="auto" w:fill="FFFFFF"/>
        </w:rPr>
        <w:t>2023年应急管理能力建设培训人数有所增加</w:t>
      </w:r>
      <w:r>
        <w:rPr>
          <w:rFonts w:hint="default" w:ascii="Times New Roman" w:hAnsi="Times New Roman" w:eastAsia="方正仿宋_GBK"/>
          <w:b w:val="0"/>
          <w:bCs/>
          <w:sz w:val="32"/>
          <w:szCs w:val="32"/>
          <w:shd w:val="clear" w:color="auto" w:fill="FFFFFF"/>
        </w:rPr>
        <w:t>。</w:t>
      </w:r>
    </w:p>
    <w:p>
      <w:pPr>
        <w:pStyle w:val="11"/>
        <w:autoSpaceDE w:val="0"/>
        <w:ind w:firstLine="643"/>
        <w:rPr>
          <w:rFonts w:hint="eastAsia" w:ascii="方正楷体_GBK" w:hAnsi="方正楷体_GBK" w:eastAsia="方正楷体_GBK" w:cs="方正楷体_GBK"/>
          <w:b w:val="0"/>
          <w:bCs/>
          <w:sz w:val="32"/>
          <w:szCs w:val="32"/>
          <w:shd w:val="clear" w:color="auto" w:fill="FFFFFF"/>
          <w:lang w:val="en-US" w:eastAsia="zh-CN" w:bidi="ar-SA"/>
        </w:rPr>
      </w:pPr>
      <w:r>
        <w:rPr>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shd w:val="clear" w:color="auto" w:fill="FFFFFF"/>
        </w:rPr>
      </w:pPr>
      <w:r>
        <w:rPr>
          <w:rFonts w:hint="default" w:ascii="Times New Roman" w:hAnsi="Times New Roman" w:eastAsia="方正仿宋_GBK"/>
          <w:b w:val="0"/>
          <w:bCs/>
          <w:sz w:val="32"/>
          <w:szCs w:val="32"/>
          <w:shd w:val="clear" w:color="auto" w:fill="FFFFFF"/>
        </w:rPr>
        <w:t>2023年度本单位机关运行经费支出</w:t>
      </w:r>
      <w:r>
        <w:rPr>
          <w:rFonts w:hint="default" w:ascii="Times New Roman" w:hAnsi="Times New Roman" w:eastAsia="方正仿宋_GBK"/>
          <w:b w:val="0"/>
          <w:bCs/>
          <w:sz w:val="32"/>
          <w:szCs w:val="32"/>
        </w:rPr>
        <w:t>112.72</w:t>
      </w:r>
      <w:r>
        <w:rPr>
          <w:rFonts w:hint="default" w:ascii="Times New Roman" w:hAnsi="Times New Roman" w:eastAsia="方正仿宋_GBK"/>
          <w:b w:val="0"/>
          <w:bCs/>
          <w:sz w:val="32"/>
          <w:szCs w:val="32"/>
          <w:shd w:val="clear" w:color="auto" w:fill="FFFFFF"/>
        </w:rPr>
        <w:t>万元，机关运行经费主要用于开支</w:t>
      </w:r>
      <w:r>
        <w:rPr>
          <w:rFonts w:ascii="Times New Roman" w:hAnsi="Times New Roman" w:eastAsia="方正仿宋_GBK"/>
          <w:b w:val="0"/>
          <w:bCs/>
          <w:color w:val="333333"/>
          <w:sz w:val="32"/>
          <w:szCs w:val="32"/>
        </w:rPr>
        <w:t>办公费、印刷费、咨询费、手续费、水费、电费、邮电费、差旅费、维修（护）费、会议费、培训费、公务接待费、劳务费、委托业务费、工会经费、福利费、公务用车运行维护费、其他交通费用、其他商品和服务支</w:t>
      </w:r>
      <w:r>
        <w:rPr>
          <w:rFonts w:ascii="Times New Roman" w:hAnsi="Times New Roman" w:eastAsia="方正仿宋_GBK"/>
          <w:b w:val="0"/>
          <w:bCs/>
          <w:sz w:val="32"/>
          <w:szCs w:val="32"/>
        </w:rPr>
        <w:t>出等</w:t>
      </w:r>
      <w:r>
        <w:rPr>
          <w:rFonts w:ascii="Times New Roman" w:hAnsi="Times New Roman" w:eastAsia="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机关运行经费较上年支出数增加18.62万元，增长19.79%，主要原因是</w:t>
      </w:r>
      <w:r>
        <w:rPr>
          <w:rFonts w:ascii="Times New Roman" w:hAnsi="Times New Roman" w:eastAsia="方正仿宋_GBK"/>
          <w:b w:val="0"/>
          <w:bCs/>
          <w:sz w:val="32"/>
          <w:szCs w:val="32"/>
          <w:shd w:val="clear" w:color="auto" w:fill="FFFFFF"/>
        </w:rPr>
        <w:t>2023年维修（护）费增加了6.67万元，福利费增加了13.98万元。</w:t>
      </w:r>
    </w:p>
    <w:p>
      <w:pPr>
        <w:pStyle w:val="11"/>
        <w:autoSpaceDE w:val="0"/>
        <w:ind w:firstLine="643"/>
        <w:rPr>
          <w:rFonts w:hint="eastAsia" w:ascii="方正楷体_GBK" w:hAnsi="方正楷体_GBK" w:eastAsia="方正楷体_GBK" w:cs="方正楷体_GBK"/>
          <w:b w:val="0"/>
          <w:bCs/>
          <w:sz w:val="32"/>
          <w:szCs w:val="32"/>
          <w:shd w:val="clear" w:color="auto" w:fill="FFFFFF"/>
          <w:lang w:val="en-US" w:eastAsia="zh-CN" w:bidi="ar-SA"/>
        </w:rPr>
      </w:pPr>
      <w:r>
        <w:rPr>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  截至2023年12月31日，本单位共有车辆</w:t>
      </w:r>
      <w:r>
        <w:rPr>
          <w:rFonts w:hint="default" w:ascii="Times New Roman" w:hAnsi="Times New Roman" w:eastAsia="方正仿宋_GBK"/>
          <w:b w:val="0"/>
          <w:bCs/>
          <w:sz w:val="32"/>
          <w:szCs w:val="32"/>
        </w:rPr>
        <w:t>5</w:t>
      </w:r>
      <w:r>
        <w:rPr>
          <w:rFonts w:hint="default" w:ascii="Times New Roman" w:hAnsi="Times New Roman" w:eastAsia="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辆、主要负责人用车</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辆、机要通信用车</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辆、应急保障用车</w:t>
      </w:r>
      <w:r>
        <w:rPr>
          <w:rFonts w:hint="default" w:ascii="Times New Roman" w:hAnsi="Times New Roman" w:eastAsia="方正仿宋_GBK"/>
          <w:b w:val="0"/>
          <w:bCs/>
          <w:sz w:val="32"/>
          <w:szCs w:val="32"/>
        </w:rPr>
        <w:t>4</w:t>
      </w:r>
      <w:r>
        <w:rPr>
          <w:rFonts w:hint="default" w:ascii="Times New Roman" w:hAnsi="Times New Roman" w:eastAsia="方正仿宋_GBK"/>
          <w:b w:val="0"/>
          <w:bCs/>
          <w:sz w:val="32"/>
          <w:szCs w:val="32"/>
          <w:shd w:val="clear" w:color="auto" w:fill="FFFFFF"/>
        </w:rPr>
        <w:t>辆、执法执勤用车</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辆，特种专业技术用车</w:t>
      </w:r>
      <w:r>
        <w:rPr>
          <w:rFonts w:hint="default" w:ascii="Times New Roman" w:hAnsi="Times New Roman" w:eastAsia="方正仿宋_GBK"/>
          <w:b w:val="0"/>
          <w:bCs/>
          <w:sz w:val="32"/>
          <w:szCs w:val="32"/>
        </w:rPr>
        <w:t>1</w:t>
      </w:r>
      <w:r>
        <w:rPr>
          <w:rFonts w:hint="default" w:ascii="Times New Roman" w:hAnsi="Times New Roman" w:eastAsia="方正仿宋_GBK"/>
          <w:b w:val="0"/>
          <w:bCs/>
          <w:sz w:val="32"/>
          <w:szCs w:val="32"/>
          <w:shd w:val="clear" w:color="auto" w:fill="FFFFFF"/>
        </w:rPr>
        <w:t>辆，离退休干部用车</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辆。单价100万元（含）以上专用设备</w:t>
      </w:r>
      <w:r>
        <w:rPr>
          <w:rFonts w:hint="default"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台（套）。</w:t>
      </w:r>
    </w:p>
    <w:p>
      <w:pPr>
        <w:pStyle w:val="11"/>
        <w:autoSpaceDE w:val="0"/>
        <w:ind w:firstLine="643"/>
        <w:rPr>
          <w:rFonts w:hint="eastAsia" w:ascii="方正楷体_GBK" w:hAnsi="方正楷体_GBK" w:eastAsia="方正楷体_GBK" w:cs="方正楷体_GBK"/>
          <w:b w:val="0"/>
          <w:bCs/>
          <w:sz w:val="32"/>
          <w:szCs w:val="32"/>
          <w:shd w:val="clear" w:color="auto" w:fill="FFFFFF"/>
          <w:lang w:val="en-US" w:eastAsia="zh-CN" w:bidi="ar-SA"/>
        </w:rPr>
      </w:pPr>
      <w:r>
        <w:rPr>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  2023年度本单位政府采购支出总额</w:t>
      </w:r>
      <w:r>
        <w:rPr>
          <w:rFonts w:hint="default" w:ascii="Times New Roman" w:hAnsi="Times New Roman" w:eastAsia="方正仿宋_GBK"/>
          <w:b w:val="0"/>
          <w:bCs/>
          <w:sz w:val="32"/>
          <w:szCs w:val="32"/>
        </w:rPr>
        <w:t>281.12</w:t>
      </w:r>
      <w:r>
        <w:rPr>
          <w:rFonts w:hint="default" w:ascii="Times New Roman" w:hAnsi="Times New Roman" w:eastAsia="方正仿宋_GBK"/>
          <w:b w:val="0"/>
          <w:bCs/>
          <w:sz w:val="32"/>
          <w:szCs w:val="32"/>
          <w:shd w:val="clear" w:color="auto" w:fill="FFFFFF"/>
        </w:rPr>
        <w:t>万元，其中：政府采购货物支出</w:t>
      </w:r>
      <w:r>
        <w:rPr>
          <w:rFonts w:hint="default" w:ascii="Times New Roman" w:hAnsi="Times New Roman" w:eastAsia="方正仿宋_GBK"/>
          <w:b w:val="0"/>
          <w:bCs/>
          <w:sz w:val="32"/>
          <w:szCs w:val="32"/>
        </w:rPr>
        <w:t>281.12</w:t>
      </w:r>
      <w:r>
        <w:rPr>
          <w:rFonts w:hint="default" w:ascii="Times New Roman" w:hAnsi="Times New Roman" w:eastAsia="方正仿宋_GBK"/>
          <w:b w:val="0"/>
          <w:bCs/>
          <w:sz w:val="32"/>
          <w:szCs w:val="32"/>
          <w:shd w:val="clear" w:color="auto" w:fill="FFFFFF"/>
        </w:rPr>
        <w:t>万元、政府采购工程支出</w:t>
      </w:r>
      <w:r>
        <w:rPr>
          <w:rFonts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万元、政府采购服务支出</w:t>
      </w:r>
      <w:r>
        <w:rPr>
          <w:rFonts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万元。授予中小企业合同金额</w:t>
      </w:r>
      <w:r>
        <w:rPr>
          <w:rFonts w:hint="default" w:ascii="Times New Roman" w:hAnsi="Times New Roman" w:eastAsia="方正仿宋_GBK"/>
          <w:b w:val="0"/>
          <w:bCs/>
          <w:sz w:val="32"/>
          <w:szCs w:val="32"/>
        </w:rPr>
        <w:t>281.12万</w:t>
      </w:r>
      <w:r>
        <w:rPr>
          <w:rFonts w:hint="default" w:ascii="Times New Roman" w:hAnsi="Times New Roman" w:eastAsia="方正仿宋_GBK"/>
          <w:b w:val="0"/>
          <w:bCs/>
          <w:sz w:val="32"/>
          <w:szCs w:val="32"/>
          <w:shd w:val="clear" w:color="auto" w:fill="FFFFFF"/>
        </w:rPr>
        <w:t>元，占政府采购支出总额的</w:t>
      </w:r>
      <w:r>
        <w:rPr>
          <w:rFonts w:hint="default" w:ascii="Times New Roman" w:hAnsi="Times New Roman" w:eastAsia="方正仿宋_GBK"/>
          <w:b w:val="0"/>
          <w:bCs/>
          <w:sz w:val="32"/>
          <w:szCs w:val="32"/>
        </w:rPr>
        <w:t>100.00</w:t>
      </w:r>
      <w:r>
        <w:rPr>
          <w:rFonts w:hint="default" w:ascii="Times New Roman" w:hAnsi="Times New Roman" w:eastAsia="方正仿宋_GBK"/>
          <w:b w:val="0"/>
          <w:bCs/>
          <w:sz w:val="32"/>
          <w:szCs w:val="32"/>
          <w:shd w:val="clear" w:color="auto" w:fill="FFFFFF"/>
        </w:rPr>
        <w:t>%，其中：授予小微企业合同金额</w:t>
      </w:r>
      <w:r>
        <w:rPr>
          <w:rFonts w:hint="default" w:ascii="Times New Roman" w:hAnsi="Times New Roman" w:eastAsia="方正仿宋_GBK"/>
          <w:b w:val="0"/>
          <w:bCs/>
          <w:sz w:val="32"/>
          <w:szCs w:val="32"/>
        </w:rPr>
        <w:t>281.12</w:t>
      </w:r>
      <w:r>
        <w:rPr>
          <w:rFonts w:hint="default" w:ascii="Times New Roman" w:hAnsi="Times New Roman" w:eastAsia="方正仿宋_GBK"/>
          <w:b w:val="0"/>
          <w:bCs/>
          <w:sz w:val="32"/>
          <w:szCs w:val="32"/>
          <w:shd w:val="clear" w:color="auto" w:fill="FFFFFF"/>
        </w:rPr>
        <w:t>万元，占政府采购支出总额的</w:t>
      </w:r>
      <w:r>
        <w:rPr>
          <w:rFonts w:hint="default" w:ascii="Times New Roman" w:hAnsi="Times New Roman" w:eastAsia="方正仿宋_GBK"/>
          <w:b w:val="0"/>
          <w:bCs/>
          <w:sz w:val="32"/>
          <w:szCs w:val="32"/>
        </w:rPr>
        <w:t>100.0</w:t>
      </w:r>
      <w:r>
        <w:rPr>
          <w:rFonts w:hint="default" w:ascii="Times New Roman" w:hAnsi="Times New Roman" w:eastAsia="方正仿宋_GBK"/>
          <w:b w:val="0"/>
          <w:bCs/>
          <w:sz w:val="32"/>
          <w:szCs w:val="32"/>
          <w:shd w:val="clear" w:color="auto" w:fill="FFFFFF"/>
        </w:rPr>
        <w:t>%。主要用于采购</w:t>
      </w:r>
      <w:r>
        <w:rPr>
          <w:rFonts w:ascii="Times New Roman" w:hAnsi="Times New Roman" w:eastAsia="方正仿宋_GBK"/>
          <w:b w:val="0"/>
          <w:bCs/>
          <w:sz w:val="32"/>
          <w:szCs w:val="32"/>
          <w:shd w:val="clear" w:color="auto" w:fill="FFFFFF"/>
        </w:rPr>
        <w:t>应急救灾物资及应急救援装备设备</w:t>
      </w:r>
      <w:r>
        <w:rPr>
          <w:rFonts w:ascii="Times New Roman" w:hAnsi="Times New Roman" w:eastAsia="方正仿宋_GBK"/>
          <w:b w:val="0"/>
          <w:bCs/>
          <w:color w:val="FF0000"/>
          <w:sz w:val="32"/>
          <w:szCs w:val="32"/>
          <w:shd w:val="clear" w:color="auto" w:fill="FFFFFF"/>
        </w:rPr>
        <w:t>。</w:t>
      </w:r>
    </w:p>
    <w:p>
      <w:pPr>
        <w:pStyle w:val="6"/>
        <w:numPr>
          <w:ilvl w:val="0"/>
          <w:numId w:val="1"/>
        </w:numPr>
        <w:shd w:val="clear" w:color="auto" w:fill="FFFFFF"/>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autoSpaceDE w:val="0"/>
        <w:ind w:firstLine="643"/>
        <w:rPr>
          <w:rFonts w:hint="eastAsia" w:ascii="方正楷体_GBK" w:hAnsi="方正楷体_GBK" w:eastAsia="方正楷体_GBK" w:cs="方正楷体_GBK"/>
          <w:b w:val="0"/>
          <w:bCs/>
          <w:sz w:val="32"/>
          <w:szCs w:val="32"/>
          <w:shd w:val="clear" w:color="auto" w:fill="FFFFFF"/>
          <w:lang w:val="en-US" w:eastAsia="zh-CN" w:bidi="ar-SA"/>
        </w:rPr>
      </w:pPr>
      <w:r>
        <w:rPr>
          <w:rFonts w:hint="eastAsia" w:ascii="方正楷体_GBK" w:hAnsi="方正楷体_GBK" w:eastAsia="方正楷体_GBK" w:cs="方正楷体_GBK"/>
          <w:b w:val="0"/>
          <w:bCs/>
          <w:sz w:val="32"/>
          <w:szCs w:val="32"/>
          <w:shd w:val="clear" w:color="auto" w:fill="FFFFFF"/>
          <w:lang w:val="en-US" w:eastAsia="zh-CN" w:bidi="ar-SA"/>
        </w:rPr>
        <w:t>（一）单位自评情况</w:t>
      </w:r>
    </w:p>
    <w:p>
      <w:pPr>
        <w:pStyle w:val="6"/>
        <w:shd w:val="clear" w:color="auto" w:fill="FFFFFF"/>
        <w:spacing w:line="578" w:lineRule="exact"/>
        <w:ind w:firstLine="640" w:firstLineChars="200"/>
        <w:rPr>
          <w:rFonts w:hint="default" w:ascii="Times New Roman" w:eastAsia="方正仿宋_GBK"/>
          <w:b w:val="0"/>
          <w:bCs/>
          <w:sz w:val="32"/>
        </w:rPr>
      </w:pPr>
      <w:r>
        <w:rPr>
          <w:rFonts w:ascii="Times New Roman" w:eastAsia="方正仿宋_GBK"/>
          <w:b w:val="0"/>
          <w:bCs/>
          <w:sz w:val="32"/>
        </w:rPr>
        <w:t>根据预算绩效管理要求，我局对部门整体和</w:t>
      </w:r>
      <w:r>
        <w:rPr>
          <w:rFonts w:ascii="Times New Roman" w:hAnsi="Times New Roman" w:eastAsia="方正仿宋_GBK"/>
          <w:b w:val="0"/>
          <w:bCs/>
          <w:sz w:val="32"/>
        </w:rPr>
        <w:t>10</w:t>
      </w:r>
      <w:r>
        <w:rPr>
          <w:rFonts w:ascii="Times New Roman" w:eastAsia="方正仿宋_GBK"/>
          <w:b w:val="0"/>
          <w:bCs/>
          <w:sz w:val="32"/>
        </w:rPr>
        <w:t>个二级项目开展了绩效自评，其中，以填报自评表形式开展自评</w:t>
      </w:r>
      <w:r>
        <w:rPr>
          <w:rFonts w:ascii="Times New Roman" w:hAnsi="Times New Roman" w:eastAsia="方正仿宋_GBK"/>
          <w:b w:val="0"/>
          <w:bCs/>
          <w:sz w:val="32"/>
        </w:rPr>
        <w:t>11</w:t>
      </w:r>
      <w:r>
        <w:rPr>
          <w:rFonts w:ascii="Times New Roman" w:eastAsia="方正仿宋_GBK"/>
          <w:b w:val="0"/>
          <w:bCs/>
          <w:sz w:val="32"/>
        </w:rPr>
        <w:t>项，</w:t>
      </w:r>
      <w:r>
        <w:rPr>
          <w:rFonts w:ascii="方正仿宋_GBK" w:hAnsi="方正仿宋_GBK" w:eastAsia="方正仿宋_GBK" w:cs="方正仿宋_GBK"/>
          <w:b w:val="0"/>
          <w:bCs/>
          <w:sz w:val="32"/>
          <w:szCs w:val="32"/>
          <w:shd w:val="clear" w:color="auto" w:fill="FFFFFF"/>
        </w:rPr>
        <w:t>涉及财政拨款项目支出资金</w:t>
      </w:r>
      <w:r>
        <w:rPr>
          <w:rFonts w:ascii="Times New Roman" w:hAnsi="Times New Roman" w:eastAsia="方正仿宋_GBK"/>
          <w:b w:val="0"/>
          <w:bCs/>
          <w:sz w:val="32"/>
        </w:rPr>
        <w:t>1310.03</w:t>
      </w:r>
      <w:r>
        <w:rPr>
          <w:rFonts w:ascii="Times New Roman" w:eastAsia="方正仿宋_GBK"/>
          <w:b w:val="0"/>
          <w:bCs/>
          <w:sz w:val="32"/>
        </w:rPr>
        <w:t>万元。</w:t>
      </w:r>
    </w:p>
    <w:tbl>
      <w:tblPr>
        <w:tblStyle w:val="7"/>
        <w:tblW w:w="5000" w:type="pct"/>
        <w:tblInd w:w="0" w:type="dxa"/>
        <w:tblLayout w:type="autofit"/>
        <w:tblCellMar>
          <w:top w:w="0" w:type="dxa"/>
          <w:left w:w="108" w:type="dxa"/>
          <w:bottom w:w="0" w:type="dxa"/>
          <w:right w:w="108" w:type="dxa"/>
        </w:tblCellMar>
      </w:tblPr>
      <w:tblGrid>
        <w:gridCol w:w="1375"/>
        <w:gridCol w:w="1128"/>
        <w:gridCol w:w="546"/>
        <w:gridCol w:w="794"/>
        <w:gridCol w:w="629"/>
        <w:gridCol w:w="709"/>
        <w:gridCol w:w="753"/>
        <w:gridCol w:w="709"/>
        <w:gridCol w:w="546"/>
        <w:gridCol w:w="712"/>
        <w:gridCol w:w="630"/>
      </w:tblGrid>
      <w:tr>
        <w:tblPrEx>
          <w:tblCellMar>
            <w:top w:w="0" w:type="dxa"/>
            <w:left w:w="108" w:type="dxa"/>
            <w:bottom w:w="0" w:type="dxa"/>
            <w:right w:w="108" w:type="dxa"/>
          </w:tblCellMar>
        </w:tblPrEx>
        <w:trPr>
          <w:trHeight w:val="7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tblPrEx>
          <w:tblCellMar>
            <w:top w:w="0" w:type="dxa"/>
            <w:left w:w="108" w:type="dxa"/>
            <w:bottom w:w="0" w:type="dxa"/>
            <w:right w:w="108" w:type="dxa"/>
          </w:tblCellMar>
        </w:tblPrEx>
        <w:trPr>
          <w:trHeight w:val="4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21" w:firstLineChars="100"/>
              <w:jc w:val="right"/>
              <w:rPr>
                <w:rFonts w:hint="default" w:cs="宋体"/>
                <w:b/>
                <w:bCs/>
                <w:color w:val="DA3232"/>
                <w:sz w:val="22"/>
                <w:szCs w:val="22"/>
              </w:rPr>
            </w:pPr>
            <w:r>
              <w:rPr>
                <w:rFonts w:cs="宋体"/>
                <w:b/>
                <w:bCs/>
                <w:color w:val="DA3232"/>
                <w:sz w:val="22"/>
                <w:szCs w:val="22"/>
              </w:rPr>
              <w:t>状态：业务审核已审</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项目名称：</w:t>
            </w:r>
          </w:p>
        </w:tc>
        <w:tc>
          <w:tcPr>
            <w:tcW w:w="981" w:type="pct"/>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自然灾害救灾</w:t>
            </w:r>
          </w:p>
        </w:tc>
        <w:tc>
          <w:tcPr>
            <w:tcW w:w="449" w:type="pct"/>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项目编码：</w:t>
            </w:r>
          </w:p>
        </w:tc>
        <w:tc>
          <w:tcPr>
            <w:tcW w:w="783" w:type="pct"/>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50023522T000002453704</w:t>
            </w:r>
          </w:p>
        </w:tc>
        <w:tc>
          <w:tcPr>
            <w:tcW w:w="418" w:type="pct"/>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自评总分：</w:t>
            </w:r>
          </w:p>
        </w:tc>
        <w:tc>
          <w:tcPr>
            <w:tcW w:w="644" w:type="pct"/>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100.00</w:t>
            </w:r>
          </w:p>
        </w:tc>
        <w:tc>
          <w:tcPr>
            <w:tcW w:w="386" w:type="pct"/>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　</w:t>
            </w:r>
          </w:p>
        </w:tc>
        <w:tc>
          <w:tcPr>
            <w:tcW w:w="430" w:type="pct"/>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981" w:type="pct"/>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210-云阳县应急管理局</w:t>
            </w:r>
          </w:p>
        </w:tc>
        <w:tc>
          <w:tcPr>
            <w:tcW w:w="449" w:type="pct"/>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财政归口处室：</w:t>
            </w:r>
          </w:p>
        </w:tc>
        <w:tc>
          <w:tcPr>
            <w:tcW w:w="783" w:type="pct"/>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005-经建科</w:t>
            </w:r>
          </w:p>
        </w:tc>
        <w:tc>
          <w:tcPr>
            <w:tcW w:w="418" w:type="pct"/>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部门联系人：</w:t>
            </w:r>
          </w:p>
        </w:tc>
        <w:tc>
          <w:tcPr>
            <w:tcW w:w="644" w:type="pct"/>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杨永明</w:t>
            </w:r>
          </w:p>
        </w:tc>
        <w:tc>
          <w:tcPr>
            <w:tcW w:w="386" w:type="pct"/>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联系电话：</w:t>
            </w:r>
          </w:p>
        </w:tc>
        <w:tc>
          <w:tcPr>
            <w:tcW w:w="430" w:type="pct"/>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55133506</w:t>
            </w:r>
          </w:p>
        </w:tc>
      </w:tr>
      <w:tr>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tblPrEx>
          <w:tblCellMar>
            <w:top w:w="0" w:type="dxa"/>
            <w:left w:w="108" w:type="dxa"/>
            <w:bottom w:w="0" w:type="dxa"/>
            <w:right w:w="108" w:type="dxa"/>
          </w:tblCellMar>
        </w:tblPrEx>
        <w:trPr>
          <w:trHeight w:val="499" w:hRule="atLeast"/>
        </w:trPr>
        <w:tc>
          <w:tcPr>
            <w:tcW w:w="163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　</w:t>
            </w:r>
          </w:p>
        </w:tc>
        <w:tc>
          <w:tcPr>
            <w:tcW w:w="708"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年初预算数</w:t>
            </w:r>
          </w:p>
        </w:tc>
        <w:tc>
          <w:tcPr>
            <w:tcW w:w="783"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全年（调整）预算数</w:t>
            </w:r>
          </w:p>
        </w:tc>
        <w:tc>
          <w:tcPr>
            <w:tcW w:w="80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全年执行数</w:t>
            </w:r>
          </w:p>
        </w:tc>
        <w:tc>
          <w:tcPr>
            <w:tcW w:w="260"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w:t>
            </w:r>
          </w:p>
        </w:tc>
        <w:tc>
          <w:tcPr>
            <w:tcW w:w="386" w:type="pct"/>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执行率权重</w:t>
            </w:r>
          </w:p>
        </w:tc>
        <w:tc>
          <w:tcPr>
            <w:tcW w:w="430"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年度总金额</w:t>
            </w:r>
          </w:p>
        </w:tc>
        <w:tc>
          <w:tcPr>
            <w:tcW w:w="721" w:type="pct"/>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60"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49"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3,120,268.76 </w:t>
            </w:r>
          </w:p>
        </w:tc>
        <w:tc>
          <w:tcPr>
            <w:tcW w:w="323"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61" w:type="pct"/>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3,120,268.76 </w:t>
            </w:r>
          </w:p>
        </w:tc>
        <w:tc>
          <w:tcPr>
            <w:tcW w:w="418"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84"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3,120,268.76 </w:t>
            </w:r>
          </w:p>
        </w:tc>
        <w:tc>
          <w:tcPr>
            <w:tcW w:w="260" w:type="pct"/>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86" w:type="pct"/>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其中：财政拨款</w:t>
            </w:r>
          </w:p>
        </w:tc>
        <w:tc>
          <w:tcPr>
            <w:tcW w:w="721" w:type="pct"/>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60"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49"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3,120,268.76 </w:t>
            </w:r>
          </w:p>
        </w:tc>
        <w:tc>
          <w:tcPr>
            <w:tcW w:w="323"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61" w:type="pct"/>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3,120,268.76 </w:t>
            </w:r>
          </w:p>
        </w:tc>
        <w:tc>
          <w:tcPr>
            <w:tcW w:w="418"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84"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3,120,268.76 </w:t>
            </w:r>
          </w:p>
        </w:tc>
        <w:tc>
          <w:tcPr>
            <w:tcW w:w="260"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100</w:t>
            </w:r>
          </w:p>
        </w:tc>
        <w:tc>
          <w:tcPr>
            <w:tcW w:w="386" w:type="pct"/>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10.00</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xml:space="preserve">10.00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一般公共预算</w:t>
            </w:r>
          </w:p>
        </w:tc>
        <w:tc>
          <w:tcPr>
            <w:tcW w:w="721" w:type="pct"/>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60"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49"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3,120,268.76 </w:t>
            </w:r>
          </w:p>
        </w:tc>
        <w:tc>
          <w:tcPr>
            <w:tcW w:w="323"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61" w:type="pct"/>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3,120,268.76 </w:t>
            </w:r>
          </w:p>
        </w:tc>
        <w:tc>
          <w:tcPr>
            <w:tcW w:w="418"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84"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3,120,268.76 </w:t>
            </w:r>
          </w:p>
        </w:tc>
        <w:tc>
          <w:tcPr>
            <w:tcW w:w="260"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100</w:t>
            </w:r>
          </w:p>
        </w:tc>
        <w:tc>
          <w:tcPr>
            <w:tcW w:w="386" w:type="pct"/>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tblPrEx>
          <w:tblCellMar>
            <w:top w:w="0" w:type="dxa"/>
            <w:left w:w="108" w:type="dxa"/>
            <w:bottom w:w="0" w:type="dxa"/>
            <w:right w:w="108" w:type="dxa"/>
          </w:tblCellMar>
        </w:tblPrEx>
        <w:trPr>
          <w:trHeight w:val="499" w:hRule="atLeast"/>
        </w:trPr>
        <w:tc>
          <w:tcPr>
            <w:tcW w:w="234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年初绩效目标</w:t>
            </w:r>
          </w:p>
        </w:tc>
        <w:tc>
          <w:tcPr>
            <w:tcW w:w="1585" w:type="pct"/>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1075"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2" w:hRule="atLeast"/>
        </w:trPr>
        <w:tc>
          <w:tcPr>
            <w:tcW w:w="2340" w:type="pct"/>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　</w:t>
            </w:r>
          </w:p>
        </w:tc>
        <w:tc>
          <w:tcPr>
            <w:tcW w:w="1585" w:type="pct"/>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br w:type="textWrapping"/>
            </w:r>
            <w:r>
              <w:rPr>
                <w:rFonts w:cs="宋体"/>
                <w:color w:val="000000"/>
                <w:sz w:val="22"/>
                <w:szCs w:val="22"/>
              </w:rPr>
              <w:t>目标1：发生自然灾害时，有效提升救援能力，保障快速、高效处置灾情。</w:t>
            </w:r>
            <w:r>
              <w:rPr>
                <w:rFonts w:cs="宋体"/>
                <w:color w:val="000000"/>
                <w:sz w:val="22"/>
                <w:szCs w:val="22"/>
              </w:rPr>
              <w:br w:type="textWrapping"/>
            </w:r>
            <w:r>
              <w:rPr>
                <w:rFonts w:cs="宋体"/>
                <w:color w:val="000000"/>
                <w:sz w:val="22"/>
                <w:szCs w:val="22"/>
              </w:rPr>
              <w:t>目标2：有效减少人民群众生命财产损失。</w:t>
            </w:r>
          </w:p>
        </w:tc>
        <w:tc>
          <w:tcPr>
            <w:tcW w:w="1075" w:type="pct"/>
            <w:gridSpan w:val="3"/>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2023年处置突发险情12次，出动抢险救援力量3500人，购置应急抢险设备、物资250余件，救援能力得到有效提升，灾情处置快速高效。有效减少了人民群众生命财产损失。</w:t>
            </w:r>
          </w:p>
        </w:tc>
      </w:tr>
      <w:tr>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指标名称</w:t>
            </w:r>
          </w:p>
        </w:tc>
        <w:tc>
          <w:tcPr>
            <w:tcW w:w="721"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计量单位</w:t>
            </w:r>
          </w:p>
        </w:tc>
        <w:tc>
          <w:tcPr>
            <w:tcW w:w="260"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指标性质</w:t>
            </w:r>
          </w:p>
        </w:tc>
        <w:tc>
          <w:tcPr>
            <w:tcW w:w="449"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指标值</w:t>
            </w:r>
          </w:p>
        </w:tc>
        <w:tc>
          <w:tcPr>
            <w:tcW w:w="323"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全年完成值</w:t>
            </w:r>
          </w:p>
        </w:tc>
        <w:tc>
          <w:tcPr>
            <w:tcW w:w="461"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偏离度（%）</w:t>
            </w:r>
          </w:p>
        </w:tc>
        <w:tc>
          <w:tcPr>
            <w:tcW w:w="418"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得分系数（%）</w:t>
            </w:r>
          </w:p>
        </w:tc>
        <w:tc>
          <w:tcPr>
            <w:tcW w:w="384"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指标权重</w:t>
            </w:r>
          </w:p>
        </w:tc>
        <w:tc>
          <w:tcPr>
            <w:tcW w:w="260"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指标得分</w:t>
            </w:r>
          </w:p>
        </w:tc>
        <w:tc>
          <w:tcPr>
            <w:tcW w:w="386"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是否核心指标</w:t>
            </w:r>
          </w:p>
        </w:tc>
        <w:tc>
          <w:tcPr>
            <w:tcW w:w="430"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出动抢险救援力量</w:t>
            </w:r>
          </w:p>
        </w:tc>
        <w:tc>
          <w:tcPr>
            <w:tcW w:w="721"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449"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3000</w:t>
            </w:r>
          </w:p>
        </w:tc>
        <w:tc>
          <w:tcPr>
            <w:tcW w:w="323"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3500</w:t>
            </w:r>
          </w:p>
        </w:tc>
        <w:tc>
          <w:tcPr>
            <w:tcW w:w="461"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16.67</w:t>
            </w:r>
          </w:p>
        </w:tc>
        <w:tc>
          <w:tcPr>
            <w:tcW w:w="418"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384"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386"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处置突发险情次数</w:t>
            </w:r>
          </w:p>
        </w:tc>
        <w:tc>
          <w:tcPr>
            <w:tcW w:w="721"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次</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449"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323"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12</w:t>
            </w:r>
          </w:p>
        </w:tc>
        <w:tc>
          <w:tcPr>
            <w:tcW w:w="461"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418"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384"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386"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是</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添置应急抢险设备、物资数量</w:t>
            </w:r>
          </w:p>
        </w:tc>
        <w:tc>
          <w:tcPr>
            <w:tcW w:w="721"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个（台、套、件、辆）</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449"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200</w:t>
            </w:r>
          </w:p>
        </w:tc>
        <w:tc>
          <w:tcPr>
            <w:tcW w:w="323"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250</w:t>
            </w:r>
          </w:p>
        </w:tc>
        <w:tc>
          <w:tcPr>
            <w:tcW w:w="461"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25</w:t>
            </w:r>
          </w:p>
        </w:tc>
        <w:tc>
          <w:tcPr>
            <w:tcW w:w="418"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384"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386"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添置设备、物资验收通过率</w:t>
            </w:r>
          </w:p>
        </w:tc>
        <w:tc>
          <w:tcPr>
            <w:tcW w:w="721"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449"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323"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461"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418"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384"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386"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灾区社会秩序</w:t>
            </w:r>
          </w:p>
        </w:tc>
        <w:tc>
          <w:tcPr>
            <w:tcW w:w="721"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定性</w:t>
            </w:r>
          </w:p>
        </w:tc>
        <w:tc>
          <w:tcPr>
            <w:tcW w:w="449"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稳定有序</w:t>
            </w:r>
          </w:p>
        </w:tc>
        <w:tc>
          <w:tcPr>
            <w:tcW w:w="323"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461"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418"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384"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386"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受灾群众投诉率</w:t>
            </w:r>
          </w:p>
        </w:tc>
        <w:tc>
          <w:tcPr>
            <w:tcW w:w="721"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449"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323"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461"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418"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384"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386"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bl>
    <w:p>
      <w:pPr>
        <w:pStyle w:val="6"/>
        <w:shd w:val="clear" w:color="auto" w:fill="FFFFFF"/>
        <w:spacing w:line="578" w:lineRule="exact"/>
        <w:ind w:firstLine="640" w:firstLineChars="200"/>
        <w:rPr>
          <w:rFonts w:hint="default" w:ascii="Times New Roman" w:hAnsi="Times New Roman" w:eastAsia="方正仿宋_GBK"/>
          <w:sz w:val="32"/>
        </w:rPr>
      </w:pPr>
    </w:p>
    <w:tbl>
      <w:tblPr>
        <w:tblStyle w:val="7"/>
        <w:tblW w:w="0" w:type="auto"/>
        <w:tblInd w:w="96" w:type="dxa"/>
        <w:tblLayout w:type="autofit"/>
        <w:tblCellMar>
          <w:top w:w="0" w:type="dxa"/>
          <w:left w:w="108" w:type="dxa"/>
          <w:bottom w:w="0" w:type="dxa"/>
          <w:right w:w="108" w:type="dxa"/>
        </w:tblCellMar>
      </w:tblPr>
      <w:tblGrid>
        <w:gridCol w:w="1429"/>
        <w:gridCol w:w="737"/>
        <w:gridCol w:w="737"/>
        <w:gridCol w:w="822"/>
        <w:gridCol w:w="649"/>
        <w:gridCol w:w="733"/>
        <w:gridCol w:w="779"/>
        <w:gridCol w:w="562"/>
        <w:gridCol w:w="562"/>
        <w:gridCol w:w="735"/>
        <w:gridCol w:w="690"/>
      </w:tblGrid>
      <w:tr>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21" w:firstLineChars="100"/>
              <w:jc w:val="right"/>
              <w:rPr>
                <w:rFonts w:hint="default" w:cs="宋体"/>
                <w:b/>
                <w:bCs/>
                <w:color w:val="DA3232"/>
                <w:sz w:val="22"/>
                <w:szCs w:val="22"/>
              </w:rPr>
            </w:pPr>
            <w:r>
              <w:rPr>
                <w:rFonts w:cs="宋体"/>
                <w:b/>
                <w:bCs/>
                <w:color w:val="DA3232"/>
                <w:sz w:val="22"/>
                <w:szCs w:val="22"/>
              </w:rPr>
              <w:t>状态：业务审核已审</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综合应急救援队伍运行经费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50023523T000003335402</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90.00</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210-云阳县应急管理局</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005-经建科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张琳</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17783526676</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2,000,000.00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2,000,000.00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xml:space="preserve">0.00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2,000,000.00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综合应急救援力量队伍稳定，能积极应急各类安全生产事故和自然灾害，保障人民生命财产安全，降低事故损失。</w:t>
            </w:r>
          </w:p>
        </w:tc>
        <w:tc>
          <w:tcPr>
            <w:tcW w:w="0" w:type="auto"/>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综合应急救援力量队伍稳定，能积极应急各类安全生产事故和自然灾害，保障人民生命财产安全，降低事故损失。</w:t>
            </w:r>
          </w:p>
        </w:tc>
        <w:tc>
          <w:tcPr>
            <w:tcW w:w="0" w:type="auto"/>
            <w:gridSpan w:val="3"/>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2023年保障综合应急救援队伍55人，救援力量稳定，应对各类安全生产事故和自然灾害救灾    次，有效保障了人民生命财产安全，降低了事故损失。</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综合应急救援队伍保障人数</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36</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38</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5.56</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足额保障率</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队伍规范化、专业化水平</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好</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人民群众生命财产和事故损失</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减少</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bl>
    <w:p>
      <w:pPr>
        <w:pStyle w:val="6"/>
        <w:shd w:val="clear" w:color="auto" w:fill="FFFFFF"/>
        <w:spacing w:line="578" w:lineRule="exact"/>
        <w:ind w:firstLine="640" w:firstLineChars="200"/>
        <w:rPr>
          <w:rFonts w:hint="default" w:ascii="Times New Roman" w:hAnsi="Times New Roman" w:eastAsia="方正仿宋_GBK"/>
          <w:sz w:val="32"/>
        </w:rPr>
      </w:pPr>
    </w:p>
    <w:tbl>
      <w:tblPr>
        <w:tblStyle w:val="7"/>
        <w:tblW w:w="0" w:type="auto"/>
        <w:tblInd w:w="96" w:type="dxa"/>
        <w:tblLayout w:type="autofit"/>
        <w:tblCellMar>
          <w:top w:w="0" w:type="dxa"/>
          <w:left w:w="108" w:type="dxa"/>
          <w:bottom w:w="0" w:type="dxa"/>
          <w:right w:w="108" w:type="dxa"/>
        </w:tblCellMar>
      </w:tblPr>
      <w:tblGrid>
        <w:gridCol w:w="1456"/>
        <w:gridCol w:w="661"/>
        <w:gridCol w:w="661"/>
        <w:gridCol w:w="835"/>
        <w:gridCol w:w="658"/>
        <w:gridCol w:w="744"/>
        <w:gridCol w:w="791"/>
        <w:gridCol w:w="612"/>
        <w:gridCol w:w="570"/>
        <w:gridCol w:w="747"/>
        <w:gridCol w:w="700"/>
      </w:tblGrid>
      <w:tr>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21" w:firstLineChars="100"/>
              <w:jc w:val="right"/>
              <w:rPr>
                <w:rFonts w:hint="default" w:cs="宋体"/>
                <w:b/>
                <w:bCs/>
                <w:color w:val="DA3232"/>
                <w:sz w:val="22"/>
                <w:szCs w:val="22"/>
              </w:rPr>
            </w:pPr>
            <w:r>
              <w:rPr>
                <w:rFonts w:cs="宋体"/>
                <w:b/>
                <w:bCs/>
                <w:color w:val="DA3232"/>
                <w:sz w:val="22"/>
                <w:szCs w:val="22"/>
              </w:rPr>
              <w:t>状态：业务审核已审</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应急管理专项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50023522T000002382177</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88.01</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210-云阳县应急管理局</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005-经建科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冉红丹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13452190901</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2,513,106.96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22,700.00 </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2,513,106.96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22,700.00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0.9</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xml:space="preserve">0.09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2,513,106.96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22,700.00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0.9</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切实做好全县安全生产与自然灾害防治统筹工作，有效防范和处置各类安全事故和自然灾害发生，为全县经济社会发展营造良好的安全环境，</w:t>
            </w:r>
          </w:p>
        </w:tc>
        <w:tc>
          <w:tcPr>
            <w:tcW w:w="0" w:type="auto"/>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切实做好全县安全生产与自然灾害防治统筹工作，有效防范和处置各类安全事故和自然灾害发生，为全县经济社会发展营造良好的安全环境，</w:t>
            </w:r>
          </w:p>
        </w:tc>
        <w:tc>
          <w:tcPr>
            <w:tcW w:w="0" w:type="auto"/>
            <w:gridSpan w:val="3"/>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全县安全生产与自然灾害防治统筹工作顺利开展，有效防范和处置了各类安全事故和自然灾害发生，为全县经济社会发展营造了良好的安全环境。</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购买保险人数</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447</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11.75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购买服务数量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天</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150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160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6.67</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会务承办数量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场</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12</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开展宣传教育活动场次</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场</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开展应急救援处置次数</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次</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6</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劳务派遣专职接线员人数</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培训人次</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120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115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4.17</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58.3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2.92</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运维卫星电话数量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部</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18</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18</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制作安全生产警示教育片数量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个</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制作安全生产宣传节目数量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个</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制作暗访</w:t>
            </w:r>
            <w:r>
              <w:rPr>
                <w:rFonts w:hint="eastAsia" w:cs="宋体"/>
                <w:color w:val="000000"/>
                <w:sz w:val="22"/>
                <w:szCs w:val="22"/>
                <w:lang w:val="en-US" w:eastAsia="zh-CN"/>
              </w:rPr>
              <w:t>视频</w:t>
            </w:r>
            <w:r>
              <w:rPr>
                <w:rFonts w:cs="宋体"/>
                <w:color w:val="000000"/>
                <w:sz w:val="22"/>
                <w:szCs w:val="22"/>
              </w:rPr>
              <w:t>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个</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服务质量达标率</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应急处置及时率</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全县安全稳定形势</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良好</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生产安全事故发生率</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人民群众满意度</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bl>
    <w:p>
      <w:pPr>
        <w:pStyle w:val="11"/>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14"/>
        <w:autoSpaceDE w:val="0"/>
        <w:ind w:firstLine="960" w:firstLineChars="300"/>
        <w:rPr>
          <w:rFonts w:ascii="Times New Roman" w:eastAsia="方正仿宋_GBK"/>
          <w:b w:val="0"/>
          <w:bCs w:val="0"/>
          <w:sz w:val="32"/>
        </w:rPr>
      </w:pPr>
      <w:r>
        <w:rPr>
          <w:rFonts w:ascii="Times New Roman" w:eastAsia="方正仿宋_GBK"/>
          <w:b w:val="0"/>
          <w:bCs w:val="0"/>
          <w:sz w:val="32"/>
        </w:rPr>
        <w:t>我单位未组织开展绩效评价</w:t>
      </w:r>
      <w:r>
        <w:rPr>
          <w:rFonts w:hint="eastAsia" w:ascii="Times New Roman" w:eastAsia="方正仿宋_GBK"/>
          <w:b w:val="0"/>
          <w:bCs w:val="0"/>
          <w:sz w:val="32"/>
        </w:rPr>
        <w:t>。</w:t>
      </w:r>
    </w:p>
    <w:p>
      <w:pPr>
        <w:pStyle w:val="11"/>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14"/>
        <w:autoSpaceDE w:val="0"/>
        <w:ind w:firstLine="960" w:firstLineChars="300"/>
        <w:rPr>
          <w:rFonts w:ascii="Times New Roman" w:eastAsia="方正仿宋_GBK"/>
          <w:b w:val="0"/>
          <w:bCs w:val="0"/>
          <w:sz w:val="32"/>
        </w:rPr>
      </w:pPr>
      <w:r>
        <w:rPr>
          <w:rFonts w:hint="eastAsia" w:ascii="Times New Roman" w:eastAsia="方正仿宋_GBK"/>
          <w:b w:val="0"/>
          <w:bCs w:val="0"/>
          <w:sz w:val="32"/>
        </w:rPr>
        <w:t>县</w:t>
      </w:r>
      <w:r>
        <w:rPr>
          <w:rFonts w:ascii="Times New Roman" w:eastAsia="方正仿宋_GBK"/>
          <w:b w:val="0"/>
          <w:bCs w:val="0"/>
          <w:sz w:val="32"/>
        </w:rPr>
        <w:t>财政局未委托第三方对我单位开展绩效评价。</w:t>
      </w:r>
    </w:p>
    <w:p>
      <w:pPr>
        <w:pStyle w:val="6"/>
        <w:shd w:val="clear" w:color="auto" w:fill="FFFFFF"/>
        <w:spacing w:line="578" w:lineRule="exact"/>
        <w:ind w:firstLine="640" w:firstLineChars="200"/>
        <w:rPr>
          <w:rFonts w:hint="default" w:ascii="方正黑体_GBK" w:hAnsi="Times New Roman" w:eastAsia="方正黑体_GBK" w:cs="宋体"/>
          <w:b w:val="0"/>
          <w:bCs w:val="0"/>
          <w:sz w:val="32"/>
        </w:rPr>
      </w:pPr>
      <w:r>
        <w:rPr>
          <w:rStyle w:val="10"/>
          <w:rFonts w:hint="default" w:ascii="Times New Roman" w:hAnsi="Times New Roman" w:eastAsia="方正仿宋_GBK"/>
          <w:b w:val="0"/>
          <w:bCs w:val="0"/>
          <w:sz w:val="32"/>
          <w:szCs w:val="32"/>
          <w:shd w:val="clear" w:color="auto" w:fill="FFFFFF"/>
        </w:rPr>
        <w:t> </w:t>
      </w:r>
      <w:r>
        <w:rPr>
          <w:rStyle w:val="10"/>
          <w:rFonts w:ascii="方正黑体_GBK" w:eastAsia="方正黑体_GBK"/>
          <w:b w:val="0"/>
          <w:bCs w:val="0"/>
          <w:sz w:val="32"/>
        </w:rPr>
        <w:t>六、专业名词解释</w:t>
      </w:r>
    </w:p>
    <w:p>
      <w:pPr>
        <w:pStyle w:val="6"/>
        <w:shd w:val="clear" w:color="auto" w:fill="FFFFFF"/>
        <w:spacing w:before="0" w:beforeAutospacing="0" w:after="0" w:afterAutospacing="0" w:line="540" w:lineRule="exact"/>
        <w:ind w:firstLine="640" w:firstLineChars="200"/>
        <w:contextualSpacing/>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（一）财政拨款收入：</w:t>
      </w:r>
      <w:r>
        <w:rPr>
          <w:rFonts w:ascii="方正仿宋_GBK" w:hAnsi="Times New Roman" w:eastAsia="方正仿宋_GBK"/>
          <w:b w:val="0"/>
          <w:bCs w:val="0"/>
          <w:sz w:val="32"/>
          <w:szCs w:val="30"/>
        </w:rPr>
        <w:t>指本年度从本级财政部门取得的财政拨款，包括一般公共预算财政拨款和政府性基金预算财政拨款。</w:t>
      </w:r>
    </w:p>
    <w:p>
      <w:pPr>
        <w:pStyle w:val="6"/>
        <w:shd w:val="clear" w:color="auto" w:fill="FFFFFF"/>
        <w:spacing w:before="0" w:beforeAutospacing="0" w:after="0" w:afterAutospacing="0" w:line="540" w:lineRule="exact"/>
        <w:ind w:firstLine="640" w:firstLineChars="200"/>
        <w:contextualSpacing/>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（二）年初结转和结余：</w:t>
      </w:r>
      <w:r>
        <w:rPr>
          <w:rFonts w:ascii="方正仿宋_GBK" w:hAnsi="Times New Roman" w:eastAsia="方正仿宋_GBK"/>
          <w:b w:val="0"/>
          <w:bCs w:val="0"/>
          <w:sz w:val="32"/>
          <w:szCs w:val="30"/>
        </w:rPr>
        <w:t>指单位上年结转本年使用的基本支出结转、项目支出结转和结余、经营结余。</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（三）年末结转和结余：</w:t>
      </w:r>
      <w:r>
        <w:rPr>
          <w:rFonts w:ascii="方正仿宋_GBK" w:hAnsi="Times New Roman" w:eastAsia="方正仿宋_GBK"/>
          <w:b w:val="0"/>
          <w:bCs w:val="0"/>
          <w:sz w:val="32"/>
          <w:szCs w:val="30"/>
        </w:rPr>
        <w:t>指单位结转下年的基本支出结转、项目支出结转和结余、经营结余。</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（四）基本支出：</w:t>
      </w:r>
      <w:r>
        <w:rPr>
          <w:rFonts w:ascii="方正仿宋_GBK" w:hAnsi="Times New Roman" w:eastAsia="方正仿宋_GBK"/>
          <w:b w:val="0"/>
          <w:bCs w:val="0"/>
          <w:sz w:val="32"/>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（五）项目支出：</w:t>
      </w:r>
      <w:r>
        <w:rPr>
          <w:rFonts w:ascii="方正仿宋_GBK" w:hAnsi="Times New Roman" w:eastAsia="方正仿宋_GBK"/>
          <w:b w:val="0"/>
          <w:bCs w:val="0"/>
          <w:sz w:val="32"/>
          <w:szCs w:val="30"/>
        </w:rPr>
        <w:t>指在基本支出之外为完成特定行政任务和事业发展目标所发生的支出。</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（六）“三公”经费：</w:t>
      </w:r>
      <w:r>
        <w:rPr>
          <w:rFonts w:ascii="方正仿宋_GBK" w:hAnsi="Times New Roman" w:eastAsia="方正仿宋_GBK"/>
          <w:b w:val="0"/>
          <w:bCs w:val="0"/>
          <w:sz w:val="32"/>
          <w:szCs w:val="30"/>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（七）机关运行经费：</w:t>
      </w:r>
      <w:r>
        <w:rPr>
          <w:rFonts w:ascii="方正仿宋_GBK" w:hAnsi="Times New Roman" w:eastAsia="方正仿宋_GBK"/>
          <w:b w:val="0"/>
          <w:bCs w:val="0"/>
          <w:sz w:val="32"/>
          <w:szCs w:val="3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（八）工资福利支出（支出经济分类科目类级）：</w:t>
      </w:r>
      <w:r>
        <w:rPr>
          <w:rFonts w:ascii="方正仿宋_GBK" w:hAnsi="Times New Roman" w:eastAsia="方正仿宋_GBK"/>
          <w:b w:val="0"/>
          <w:bCs w:val="0"/>
          <w:sz w:val="32"/>
          <w:szCs w:val="30"/>
        </w:rPr>
        <w:t>反映单位开支的在职职工和编制外长期聘用人员的各类劳动报酬，以及为上述人员缴纳的各项社会保险费等。</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（九）商品和服务支出（支出经济分类科目类级）：</w:t>
      </w:r>
      <w:r>
        <w:rPr>
          <w:rFonts w:ascii="方正仿宋_GBK" w:hAnsi="Times New Roman" w:eastAsia="方正仿宋_GBK"/>
          <w:b w:val="0"/>
          <w:bCs w:val="0"/>
          <w:sz w:val="32"/>
          <w:szCs w:val="30"/>
        </w:rPr>
        <w:t>反映单位购买商品和服务的支出（不包括用于购置固定资产的支出、战略性和应急储备支出）。</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（十）对个人和家庭的补助（支出经济分类科目类级）：</w:t>
      </w:r>
      <w:r>
        <w:rPr>
          <w:rFonts w:ascii="方正仿宋_GBK" w:hAnsi="Times New Roman" w:eastAsia="方正仿宋_GBK"/>
          <w:b w:val="0"/>
          <w:bCs w:val="0"/>
          <w:sz w:val="32"/>
          <w:szCs w:val="30"/>
        </w:rPr>
        <w:t>反映用于对个人和家庭的补助支出。</w:t>
      </w:r>
    </w:p>
    <w:p>
      <w:pPr>
        <w:pStyle w:val="6"/>
        <w:shd w:val="clear" w:color="auto" w:fill="FFFFFF"/>
        <w:spacing w:line="578" w:lineRule="exact"/>
        <w:ind w:firstLine="640" w:firstLineChars="200"/>
        <w:rPr>
          <w:rFonts w:hint="default" w:ascii="方正黑体_GBK" w:hAnsi="Times New Roman" w:eastAsia="方正黑体_GBK" w:cs="宋体"/>
          <w:b w:val="0"/>
          <w:bCs w:val="0"/>
          <w:sz w:val="32"/>
        </w:rPr>
      </w:pPr>
      <w:r>
        <w:rPr>
          <w:rStyle w:val="10"/>
          <w:rFonts w:ascii="方正黑体_GBK" w:eastAsia="方正黑体_GBK"/>
          <w:b w:val="0"/>
          <w:bCs w:val="0"/>
          <w:sz w:val="32"/>
        </w:rPr>
        <w:t>七、决算公开联系方式及信息反馈渠道</w:t>
      </w:r>
    </w:p>
    <w:p>
      <w:pPr>
        <w:pStyle w:val="6"/>
        <w:shd w:val="clear" w:color="auto" w:fill="FFFFFF"/>
        <w:spacing w:line="578" w:lineRule="exact"/>
        <w:ind w:firstLine="640" w:firstLineChars="200"/>
        <w:rPr>
          <w:rFonts w:hint="default" w:ascii="Times New Roman" w:eastAsia="方正仿宋_GBK"/>
          <w:b w:val="0"/>
          <w:bCs w:val="0"/>
          <w:sz w:val="32"/>
        </w:rPr>
      </w:pPr>
      <w:r>
        <w:rPr>
          <w:rFonts w:ascii="Times New Roman" w:eastAsia="方正仿宋_GBK"/>
          <w:b w:val="0"/>
          <w:bCs w:val="0"/>
          <w:sz w:val="32"/>
        </w:rPr>
        <w:t>本单位决算公开信息反馈和联系方式：</w:t>
      </w:r>
    </w:p>
    <w:p>
      <w:pPr>
        <w:pStyle w:val="6"/>
        <w:shd w:val="clear" w:color="auto" w:fill="FFFFFF"/>
        <w:spacing w:line="578" w:lineRule="exact"/>
        <w:ind w:firstLine="640" w:firstLineChars="200"/>
        <w:rPr>
          <w:rFonts w:hint="default" w:ascii="Times New Roman" w:hAnsi="Times New Roman" w:eastAsia="方正仿宋_GBK"/>
          <w:b w:val="0"/>
          <w:bCs w:val="0"/>
          <w:sz w:val="32"/>
        </w:rPr>
      </w:pPr>
      <w:r>
        <w:rPr>
          <w:rFonts w:ascii="Times New Roman" w:eastAsia="方正仿宋_GBK"/>
          <w:b w:val="0"/>
          <w:bCs w:val="0"/>
          <w:sz w:val="32"/>
        </w:rPr>
        <w:t xml:space="preserve">冉红丹    023-55133506  </w:t>
      </w:r>
    </w:p>
    <w:p>
      <w:pPr>
        <w:pStyle w:val="6"/>
        <w:shd w:val="clear" w:color="auto" w:fill="FFFFFF"/>
        <w:rPr>
          <w:rStyle w:val="10"/>
          <w:rFonts w:hint="default" w:ascii="Times New Roman" w:hAnsi="Times New Roman" w:eastAsia="方正仿宋_GBK"/>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hAnsi="Times New Roman"/>
                <w:sz w:val="20"/>
                <w:szCs w:val="20"/>
              </w:rPr>
              <w:t>公开单位：</w:t>
            </w:r>
            <w:r>
              <w:rPr>
                <w:rFonts w:hint="default" w:ascii="Times New Roman" w:hAnsi="Times New Roman"/>
                <w:sz w:val="20"/>
              </w:rPr>
              <w:t>重庆市云阳县应急管理局（本级）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1,933.82</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126.15</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31.25</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1,724.02</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1,933.82</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1,933.82</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1,933.82</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1,933.82</w:t>
            </w:r>
            <w:r>
              <w:rPr>
                <w:rFonts w:hint="default" w:ascii="Times New Roman" w:hAnsi="Times New Roman"/>
                <w:color w:val="000000"/>
                <w:sz w:val="20"/>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sz w:val="20"/>
              </w:rPr>
              <w:t>重庆市云阳县应急管理局（本级）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1,933.82</w:t>
            </w: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1,933.82</w:t>
            </w: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126.15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126.15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126.15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126.15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36.59</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36.59</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64.01</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64.01</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31.25</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31.25</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1,724.02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1,724.02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1,333.44</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1,333.44</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385.30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385.30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505.23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505.23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78.56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78.56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78.56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78.56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312.03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312.03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312.03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312.03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重庆市云阳县应急管理局（本级）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1,933.82</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623.79</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1,310.03</w:t>
            </w: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126.15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126.15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126.15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126.15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36.59</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36.59</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64.01</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64.01</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31.25</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31.25</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1,724.02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442.90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1,281.12</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1,333.44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442.90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890.53</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385.30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385.30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505.23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505.23</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78.56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78.56</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78.56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78.56</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312.03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312.03</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312.03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312.03</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重庆市云阳县应急管理局（本级）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1,933.82</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1,724.02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1,724.02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1,933.82</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1,933.82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1,933.82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1,933.82</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1,933.82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1,933.82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重庆市云阳县应急管理局（本级）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1,933.82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623.79</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1,310.03</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126.15</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126.15</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126.15</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126.15</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36.59</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36.59</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25.55</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25.55</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64.01</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64.01</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23.50</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23.50</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23.50</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31.25</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31.25</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31.25</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31.25</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31.25</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31.25</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1,724.02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442.90</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1,281.12</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1,333.44</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442.90</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890.53</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442.90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442.90</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385.30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385.30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505.23</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505.23</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78.56</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78.56</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78.56</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78.56</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312.03</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312.03</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312.03</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312.03</w:t>
            </w: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重庆市云阳县应急管理局（本级）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392.67</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112.72</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87.89</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75.19</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117.13</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36.59</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15.58</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8.49</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118.41</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45.49</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67.92</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7.67</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13.98</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16.85</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17.56</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511.07</w:t>
            </w:r>
            <w:r>
              <w:rPr>
                <w:rFonts w:hint="default"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112.72</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重庆市云阳县应急管理局（本级）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重庆市云阳县应急管理局（本级）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重庆市云阳县应急管理局（本级）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112.72</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11.17</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11.17</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112.72</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10.50</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10.50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5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10.50</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10.50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0.67</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0.67</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0.67</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4</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5</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5</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281.12</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281.12</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52</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281.12</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281.12</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9.43</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13.33</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bl>
    <w:p>
      <w:pPr>
        <w:rPr>
          <w:rFonts w:hint="default" w:ascii="Times New Roman" w:hAnsi="Times New Roman"/>
          <w:sz w:val="21"/>
          <w:szCs w:val="21"/>
        </w:rPr>
      </w:pPr>
      <w:r>
        <w:rPr>
          <w:rFonts w:hint="default" w:ascii="Times New Roman" w:hAnsi="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NkYWQ0NGZjYWJjZGEzOWI0M2VlOWFmZmNiMjgwZTMifQ=="/>
  </w:docVars>
  <w:rsids>
    <w:rsidRoot w:val="00B03CCD"/>
    <w:rsid w:val="00000213"/>
    <w:rsid w:val="00024637"/>
    <w:rsid w:val="001D3BB7"/>
    <w:rsid w:val="00212AA1"/>
    <w:rsid w:val="002958AA"/>
    <w:rsid w:val="002B254B"/>
    <w:rsid w:val="002E37EB"/>
    <w:rsid w:val="003A46C6"/>
    <w:rsid w:val="003B35ED"/>
    <w:rsid w:val="00466C9B"/>
    <w:rsid w:val="004C38B3"/>
    <w:rsid w:val="004D0EF9"/>
    <w:rsid w:val="00534626"/>
    <w:rsid w:val="00550ABE"/>
    <w:rsid w:val="005C03FA"/>
    <w:rsid w:val="00614782"/>
    <w:rsid w:val="00636AB2"/>
    <w:rsid w:val="00725294"/>
    <w:rsid w:val="007337A0"/>
    <w:rsid w:val="007360BF"/>
    <w:rsid w:val="00770383"/>
    <w:rsid w:val="007819D4"/>
    <w:rsid w:val="007B419D"/>
    <w:rsid w:val="007B6180"/>
    <w:rsid w:val="007B675C"/>
    <w:rsid w:val="007B7C4B"/>
    <w:rsid w:val="007D3D39"/>
    <w:rsid w:val="009005BE"/>
    <w:rsid w:val="0091183F"/>
    <w:rsid w:val="00994AF7"/>
    <w:rsid w:val="009B67B8"/>
    <w:rsid w:val="009D2B67"/>
    <w:rsid w:val="00A3165E"/>
    <w:rsid w:val="00A50850"/>
    <w:rsid w:val="00A566F9"/>
    <w:rsid w:val="00AA2249"/>
    <w:rsid w:val="00AF2751"/>
    <w:rsid w:val="00B03CCD"/>
    <w:rsid w:val="00BE2B89"/>
    <w:rsid w:val="00BE4A2E"/>
    <w:rsid w:val="00C10E9E"/>
    <w:rsid w:val="00C20C3E"/>
    <w:rsid w:val="00C5293A"/>
    <w:rsid w:val="00C57BEE"/>
    <w:rsid w:val="00DE1156"/>
    <w:rsid w:val="00E51802"/>
    <w:rsid w:val="00F22964"/>
    <w:rsid w:val="00F73F90"/>
    <w:rsid w:val="00FB7487"/>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306208"/>
    <w:rsid w:val="114278C6"/>
    <w:rsid w:val="1158083A"/>
    <w:rsid w:val="11643A4B"/>
    <w:rsid w:val="11ED0F98"/>
    <w:rsid w:val="11F03528"/>
    <w:rsid w:val="12C921C4"/>
    <w:rsid w:val="13871C70"/>
    <w:rsid w:val="13A71CB4"/>
    <w:rsid w:val="13AF1D43"/>
    <w:rsid w:val="13CE1647"/>
    <w:rsid w:val="13FD55AB"/>
    <w:rsid w:val="14200702"/>
    <w:rsid w:val="145D55ED"/>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1E2CC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100691"/>
    <w:rsid w:val="4A263DF2"/>
    <w:rsid w:val="4A6F6675"/>
    <w:rsid w:val="4B135857"/>
    <w:rsid w:val="4B7951CB"/>
    <w:rsid w:val="4B7C315C"/>
    <w:rsid w:val="4DAC4ACA"/>
    <w:rsid w:val="4DBE01D2"/>
    <w:rsid w:val="4F0C6BA3"/>
    <w:rsid w:val="4F186D58"/>
    <w:rsid w:val="50F06B6E"/>
    <w:rsid w:val="51CF4A38"/>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A14F70"/>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12019</Words>
  <Characters>15203</Characters>
  <Lines>136</Lines>
  <Paragraphs>38</Paragraphs>
  <TotalTime>379</TotalTime>
  <ScaleCrop>false</ScaleCrop>
  <LinksUpToDate>false</LinksUpToDate>
  <CharactersWithSpaces>16539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鱼丸粗面</cp:lastModifiedBy>
  <dcterms:modified xsi:type="dcterms:W3CDTF">2024-10-29T09:37:37Z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BB46EABDBB2749749395447164B066B3_12</vt:lpwstr>
  </property>
</Properties>
</file>