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pStyle w:val="14"/>
        <w:widowControl w:val="0"/>
        <w:spacing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云阳县人民政府</w:t>
      </w:r>
    </w:p>
    <w:p>
      <w:pPr>
        <w:pStyle w:val="14"/>
        <w:widowControl w:val="0"/>
        <w:spacing w:line="540" w:lineRule="exact"/>
        <w:jc w:val="center"/>
      </w:pPr>
      <w:r>
        <w:rPr>
          <w:rStyle w:val="12"/>
          <w:rFonts w:hint="eastAsia" w:ascii="方正小标宋_GBK" w:hAnsi="方正小标宋_GBK" w:eastAsia="方正小标宋_GBK" w:cs="方正小标宋_GBK"/>
          <w:b w:val="0"/>
          <w:kern w:val="2"/>
          <w:sz w:val="44"/>
          <w:szCs w:val="44"/>
          <w:shd w:val="clear" w:color="auto" w:fill="FFFFFF"/>
        </w:rPr>
        <w:t>关于取消和调整一批行政许可事项的决定</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云阳府发〔2020〕44号</w:t>
      </w:r>
    </w:p>
    <w:p>
      <w:pPr>
        <w:spacing w:line="600" w:lineRule="atLeast"/>
        <w:jc w:val="center"/>
        <w:rPr>
          <w:rFonts w:ascii="宋体" w:hAnsi="宋体" w:eastAsia="宋体" w:cs="宋体"/>
          <w:sz w:val="44"/>
          <w:szCs w:val="44"/>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各乡镇人民政府，街道办事处，县政府各部门，有关单位：</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贯彻落实《重庆市人民政府关于取消、承接和下放一批行政许可事项的决定》（渝府发〔2020〕25号）精神，进一步转变政府职能，优化我县营商环境，经县政府第114次常务会议审议通过，决定对应取消行政许可事项4项，承接市政府下放的行政许可事项1项。现将上述取消和承接的5项行政许可事项目录予以公布，自公布之日起实施。</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县政府有关部门和单位要加强组织领导，认真做好落实和衔接工作。要制定事中事后监管措施，采取“双随机、一公开”监管、重点监管、信用监管、“互联网+监管”等方式，确保放得开、接得住、管得好，防止出现监管真空。要加强信息公开，及时向社会公布有关事项事中事后监管细则，相应调整网上行政许可事项及办事指南，动态管理权力清单和责任清单。对取消的行政许可事项，不得擅自转交下属事业单位、协会继续审批，不得通过拆分、合并或重组等方式以新的名义、条目替代审批，不得以其他任何形式变相审批。对承接的行政许可事项要细化承接措施，确保平稳有序过渡。</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附件：1．取消的行政许可事项目录</w:t>
      </w:r>
    </w:p>
    <w:p>
      <w:pPr>
        <w:spacing w:line="600" w:lineRule="exact"/>
        <w:ind w:firstLine="1600" w:firstLineChars="5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2．承接的行政许可事项目录</w:t>
      </w:r>
    </w:p>
    <w:p>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p>
    <w:p>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云阳县人民政府    </w:t>
      </w:r>
    </w:p>
    <w:p>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12</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14</w:t>
      </w:r>
      <w:r>
        <w:rPr>
          <w:rFonts w:hint="eastAsia" w:ascii="方正仿宋_GBK" w:hAnsi="方正仿宋_GBK" w:eastAsia="方正仿宋_GBK" w:cs="方正仿宋_GBK"/>
          <w:kern w:val="0"/>
          <w:sz w:val="32"/>
          <w:szCs w:val="32"/>
          <w:shd w:val="clear" w:color="auto" w:fill="FFFFFF"/>
        </w:rPr>
        <w:t xml:space="preserve">日  </w:t>
      </w:r>
      <w:bookmarkStart w:id="0" w:name="_GoBack"/>
      <w:bookmarkEnd w:id="0"/>
      <w:r>
        <w:rPr>
          <w:rFonts w:hint="eastAsia" w:ascii="方正仿宋_GBK" w:hAnsi="方正仿宋_GBK" w:eastAsia="方正仿宋_GBK" w:cs="方正仿宋_GBK"/>
          <w:kern w:val="0"/>
          <w:sz w:val="32"/>
          <w:szCs w:val="32"/>
          <w:shd w:val="clear" w:color="auto" w:fill="FFFFFF"/>
        </w:rPr>
        <w:t xml:space="preserve"> </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pStyle w:val="9"/>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pPr>
    </w:p>
    <w:p>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480" w:lineRule="exact"/>
        <w:ind w:firstLine="552"/>
        <w:rPr>
          <w:rFonts w:ascii="方正仿宋_GBK" w:hAnsi="宋体"/>
          <w:bCs/>
          <w:szCs w:val="28"/>
        </w:rPr>
      </w:pPr>
    </w:p>
    <w:p>
      <w:pPr>
        <w:spacing w:line="4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取消的行政许可事项目录</w:t>
      </w:r>
    </w:p>
    <w:p>
      <w:pPr>
        <w:spacing w:line="480" w:lineRule="exact"/>
        <w:rPr>
          <w:rFonts w:ascii="方正仿宋_GBK" w:hAnsi="方正仿宋_GBK" w:eastAsia="方正仿宋_GBK" w:cs="方正仿宋_GBK"/>
          <w:bCs/>
          <w:sz w:val="32"/>
          <w:szCs w:val="32"/>
        </w:rPr>
      </w:pPr>
    </w:p>
    <w:tbl>
      <w:tblPr>
        <w:tblStyle w:val="10"/>
        <w:tblW w:w="0" w:type="auto"/>
        <w:tblInd w:w="0" w:type="dxa"/>
        <w:shd w:val="clear" w:color="auto" w:fill="FFFFFF"/>
        <w:tblLayout w:type="autofit"/>
        <w:tblCellMar>
          <w:top w:w="15" w:type="dxa"/>
          <w:left w:w="15" w:type="dxa"/>
          <w:bottom w:w="15" w:type="dxa"/>
          <w:right w:w="15" w:type="dxa"/>
        </w:tblCellMar>
      </w:tblPr>
      <w:tblGrid>
        <w:gridCol w:w="458"/>
        <w:gridCol w:w="1757"/>
        <w:gridCol w:w="1545"/>
        <w:gridCol w:w="667"/>
        <w:gridCol w:w="764"/>
        <w:gridCol w:w="7793"/>
      </w:tblGrid>
      <w:tr>
        <w:tblPrEx>
          <w:shd w:val="clear" w:color="auto" w:fill="FFFFFF"/>
          <w:tblCellMar>
            <w:top w:w="15" w:type="dxa"/>
            <w:left w:w="15" w:type="dxa"/>
            <w:bottom w:w="15" w:type="dxa"/>
            <w:right w:w="15" w:type="dxa"/>
          </w:tblCellMar>
        </w:tblPrEx>
        <w:trPr>
          <w:trHeight w:val="674" w:hRule="atLeast"/>
          <w:tblHeader/>
        </w:trPr>
        <w:tc>
          <w:tcPr>
            <w:tcW w:w="458"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序号</w:t>
            </w:r>
          </w:p>
        </w:tc>
        <w:tc>
          <w:tcPr>
            <w:tcW w:w="1757"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项目名称</w:t>
            </w:r>
          </w:p>
        </w:tc>
        <w:tc>
          <w:tcPr>
            <w:tcW w:w="1545"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设定依据</w:t>
            </w:r>
          </w:p>
        </w:tc>
        <w:tc>
          <w:tcPr>
            <w:tcW w:w="667"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审批部门</w:t>
            </w:r>
          </w:p>
        </w:tc>
        <w:tc>
          <w:tcPr>
            <w:tcW w:w="764"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处理决定</w:t>
            </w:r>
          </w:p>
        </w:tc>
        <w:tc>
          <w:tcPr>
            <w:tcW w:w="7793"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加强事中事后监管措施</w:t>
            </w:r>
          </w:p>
        </w:tc>
      </w:tr>
      <w:tr>
        <w:tblPrEx>
          <w:tblCellMar>
            <w:top w:w="15" w:type="dxa"/>
            <w:left w:w="15" w:type="dxa"/>
            <w:bottom w:w="15" w:type="dxa"/>
            <w:right w:w="15" w:type="dxa"/>
          </w:tblCellMar>
        </w:tblPrEx>
        <w:trPr>
          <w:trHeight w:val="798"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w:t>
            </w:r>
          </w:p>
        </w:tc>
        <w:tc>
          <w:tcPr>
            <w:tcW w:w="17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典当业特种行业许可证核发</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《国务院对确需保留的行政审批项目设定行政许可的决定》</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县公安局</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w:t>
            </w:r>
          </w:p>
        </w:tc>
        <w:tc>
          <w:tcPr>
            <w:tcW w:w="77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取消许可后，公安机关和有关部门要通过以下措施加强监管：通过“双随机、一公开”监管等方式，加强对典当行的治安管理，及时化解风险隐患，发现违法犯罪活动要依法查处。</w:t>
            </w:r>
          </w:p>
        </w:tc>
      </w:tr>
      <w:tr>
        <w:tblPrEx>
          <w:shd w:val="clear" w:color="auto" w:fill="FFFFFF"/>
          <w:tblCellMar>
            <w:top w:w="15" w:type="dxa"/>
            <w:left w:w="15" w:type="dxa"/>
            <w:bottom w:w="15" w:type="dxa"/>
            <w:right w:w="15" w:type="dxa"/>
          </w:tblCellMar>
        </w:tblPrEx>
        <w:trPr>
          <w:trHeight w:val="1693"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w:t>
            </w:r>
          </w:p>
        </w:tc>
        <w:tc>
          <w:tcPr>
            <w:tcW w:w="17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乡村兽医登记许可</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《中华人民共和国动物防疫法》</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《乡村兽医管理办法》（原农业部令第17号）</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w:t>
            </w:r>
          </w:p>
        </w:tc>
        <w:tc>
          <w:tcPr>
            <w:tcW w:w="77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许可，改为备案。农业农村（兽医）部门要通过以下措施加强监管：1．建立健全乡村兽医服务人员备案制度，对不按要求备案的要依法设定并追究法律责任。要向社会公开备案情况，方便查询、就医，并发挥社会监督作用。2．开展“双随机、一公开”监管，畅通投诉举报渠道，发现违法违规行为要依法查处并向社会公开结果。3．依法实施信用监管，如实记录违法失信行为，实施差异化监管等措施。</w:t>
            </w:r>
          </w:p>
        </w:tc>
      </w:tr>
      <w:tr>
        <w:tblPrEx>
          <w:shd w:val="clear" w:color="auto" w:fill="FFFFFF"/>
          <w:tblCellMar>
            <w:top w:w="15" w:type="dxa"/>
            <w:left w:w="15" w:type="dxa"/>
            <w:bottom w:w="15" w:type="dxa"/>
            <w:right w:w="15" w:type="dxa"/>
          </w:tblCellMar>
        </w:tblPrEx>
        <w:trPr>
          <w:trHeight w:val="55"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w:t>
            </w:r>
          </w:p>
        </w:tc>
        <w:tc>
          <w:tcPr>
            <w:tcW w:w="17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部分医疗机构（除三级医院、三级妇幼保健院、急救中心、急救站、临床检验中心、中外合资合作医疗机构、港澳台独资医疗机构外）《设置医疗机构批准书》核发</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《医疗机构管理条例》</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w:t>
            </w:r>
          </w:p>
        </w:tc>
        <w:tc>
          <w:tcPr>
            <w:tcW w:w="77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许可后，卫生健康部门要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双随机、一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r>
      <w:tr>
        <w:tblPrEx>
          <w:shd w:val="clear" w:color="auto" w:fill="FFFFFF"/>
          <w:tblCellMar>
            <w:top w:w="15" w:type="dxa"/>
            <w:left w:w="15" w:type="dxa"/>
            <w:bottom w:w="15" w:type="dxa"/>
            <w:right w:w="15" w:type="dxa"/>
          </w:tblCellMar>
        </w:tblPrEx>
        <w:trPr>
          <w:trHeight w:val="1612" w:hRule="atLeast"/>
        </w:trPr>
        <w:tc>
          <w:tcPr>
            <w:tcW w:w="4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w:t>
            </w:r>
          </w:p>
        </w:tc>
        <w:tc>
          <w:tcPr>
            <w:tcW w:w="17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职业卫生技术服务机构丙级资质认可</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《中华人民共和国职业病防治法》</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《职业卫生技术服务机构监督管理暂行办法》（原国家安全监管总局令第50号）</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w:t>
            </w:r>
          </w:p>
        </w:tc>
        <w:tc>
          <w:tcPr>
            <w:tcW w:w="77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取消许可，整合至“职业卫生技术服务机构乙级资质认可”。卫生健康部门要通过以下措施加强监管：1．引导现有职业卫生技术服务丙级机构换领新的乙级资质证书，拓宽业务范围和业务地域范围。2．开展“双随机、一公开”监管，畅通投诉举报渠道，发现违法违规行为要依法查处并向社会公开结果。3．对存在职业病危害因素的企业，依法开展职业病危害因素监督检查。发现职业卫生技术服务机构出具虚假报告的，依法追究法律责任。4．依法实施信用监管，如实记录违法失信行为，实施差异化监管等措施。</w:t>
            </w:r>
          </w:p>
        </w:tc>
      </w:tr>
    </w:tbl>
    <w:p>
      <w:pPr>
        <w:spacing w:line="260" w:lineRule="exact"/>
        <w:jc w:val="center"/>
        <w:rPr>
          <w:rFonts w:eastAsia="方正黑体_GBK"/>
          <w:bCs/>
          <w:sz w:val="22"/>
          <w:szCs w:val="22"/>
        </w:rPr>
      </w:pPr>
    </w:p>
    <w:p>
      <w:pPr>
        <w:spacing w:line="260" w:lineRule="exact"/>
        <w:jc w:val="center"/>
        <w:rPr>
          <w:rFonts w:eastAsia="方正黑体_GBK"/>
          <w:bCs/>
          <w:sz w:val="22"/>
          <w:szCs w:val="22"/>
        </w:rPr>
        <w:sectPr>
          <w:headerReference r:id="rId9" w:type="default"/>
          <w:footerReference r:id="rId10" w:type="default"/>
          <w:pgSz w:w="16838" w:h="11906" w:orient="landscape"/>
          <w:pgMar w:top="1587" w:right="1962" w:bottom="1474" w:left="1848" w:header="851" w:footer="992" w:gutter="0"/>
          <w:cols w:space="0" w:num="1"/>
          <w:docGrid w:type="lines" w:linePitch="312" w:charSpace="0"/>
        </w:sectPr>
      </w:pPr>
    </w:p>
    <w:p>
      <w:pPr>
        <w:spacing w:line="574" w:lineRule="exact"/>
        <w:jc w:val="left"/>
        <w:rPr>
          <w:rFonts w:ascii="方正仿宋_GBK" w:hAnsi="宋体"/>
          <w:bCs/>
          <w:szCs w:val="28"/>
        </w:rPr>
      </w:pPr>
      <w:r>
        <w:rPr>
          <w:rFonts w:hint="eastAsia" w:ascii="方正黑体_GBK" w:hAnsi="方正黑体_GBK" w:eastAsia="方正黑体_GBK" w:cs="方正黑体_GBK"/>
          <w:sz w:val="32"/>
          <w:szCs w:val="32"/>
        </w:rPr>
        <w:t>附件2</w:t>
      </w:r>
    </w:p>
    <w:p>
      <w:pPr>
        <w:spacing w:line="48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承接的行政许可事项目录</w:t>
      </w:r>
    </w:p>
    <w:p>
      <w:pPr>
        <w:spacing w:line="260" w:lineRule="exact"/>
        <w:rPr>
          <w:rFonts w:eastAsia="方正黑体_GBK"/>
          <w:bCs/>
          <w:sz w:val="22"/>
          <w:szCs w:val="22"/>
        </w:rPr>
      </w:pPr>
      <w:r>
        <w:rPr>
          <w:rFonts w:hint="eastAsia" w:eastAsia="方正黑体_GBK"/>
          <w:bCs/>
          <w:sz w:val="22"/>
          <w:szCs w:val="22"/>
        </w:rPr>
        <w:t> </w:t>
      </w:r>
    </w:p>
    <w:tbl>
      <w:tblPr>
        <w:tblStyle w:val="10"/>
        <w:tblW w:w="0" w:type="auto"/>
        <w:tblInd w:w="0" w:type="dxa"/>
        <w:shd w:val="clear" w:color="auto" w:fill="FFFFFF"/>
        <w:tblLayout w:type="autofit"/>
        <w:tblCellMar>
          <w:top w:w="15" w:type="dxa"/>
          <w:left w:w="15" w:type="dxa"/>
          <w:bottom w:w="15" w:type="dxa"/>
          <w:right w:w="15" w:type="dxa"/>
        </w:tblCellMar>
      </w:tblPr>
      <w:tblGrid>
        <w:gridCol w:w="421"/>
        <w:gridCol w:w="1134"/>
        <w:gridCol w:w="1134"/>
        <w:gridCol w:w="992"/>
        <w:gridCol w:w="993"/>
        <w:gridCol w:w="8205"/>
      </w:tblGrid>
      <w:tr>
        <w:tblPrEx>
          <w:shd w:val="clear" w:color="auto" w:fill="FFFFFF"/>
          <w:tblCellMar>
            <w:top w:w="15" w:type="dxa"/>
            <w:left w:w="15" w:type="dxa"/>
            <w:bottom w:w="15" w:type="dxa"/>
            <w:right w:w="15" w:type="dxa"/>
          </w:tblCellMar>
        </w:tblPrEx>
        <w:trPr>
          <w:trHeight w:val="696" w:hRule="atLeast"/>
          <w:tblHeader/>
        </w:trPr>
        <w:tc>
          <w:tcPr>
            <w:tcW w:w="4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序号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项目名称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设定依据</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市级审批部门</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我县承接部门</w:t>
            </w:r>
          </w:p>
        </w:tc>
        <w:tc>
          <w:tcPr>
            <w:tcW w:w="82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eastAsia="方正黑体_GBK"/>
                <w:bCs/>
                <w:sz w:val="22"/>
                <w:szCs w:val="22"/>
              </w:rPr>
            </w:pPr>
            <w:r>
              <w:rPr>
                <w:rFonts w:hint="eastAsia" w:eastAsia="方正黑体_GBK"/>
                <w:bCs/>
                <w:sz w:val="22"/>
                <w:szCs w:val="22"/>
              </w:rPr>
              <w:t>加强事中事后监管措施</w:t>
            </w:r>
          </w:p>
        </w:tc>
      </w:tr>
      <w:tr>
        <w:tblPrEx>
          <w:shd w:val="clear" w:color="auto" w:fill="FFFFFF"/>
          <w:tblCellMar>
            <w:top w:w="15" w:type="dxa"/>
            <w:left w:w="15" w:type="dxa"/>
            <w:bottom w:w="15" w:type="dxa"/>
            <w:right w:w="15" w:type="dxa"/>
          </w:tblCellMar>
        </w:tblPrEx>
        <w:trPr>
          <w:trHeight w:val="5107" w:hRule="atLeast"/>
        </w:trPr>
        <w:tc>
          <w:tcPr>
            <w:tcW w:w="4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成品油零售经营资格审批</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《国务院对确需保留的行政审批项目设定行政许可的决定》《国务院办公厅关于加快发展流通促进商业消费的意见》</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市商务委</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县商务委</w:t>
            </w:r>
          </w:p>
        </w:tc>
        <w:tc>
          <w:tcPr>
            <w:tcW w:w="82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440" w:firstLineChars="200"/>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下放后，商务部门要会同有关部门通过以下措施加强监管：1．商务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2．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3．相关部门严格落实专项监管职责。从事成品油零售经营活动的企业必须符合自然资源、规划、建设、质量计量、环保、安全生产、消防、治安反恐、商务、税务、交通运输、气象等方面法律法规和标准要求，依法依规开展经营。公安、规划自然资源、生态环境、住房城乡建设、交通运输、商务、应急管理、税务、市场监管、能源等部门按职责依法依规加强监管，承担安全生产监管责任的部门切实履行监管责任、守牢安全底线。4．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有关行业主管部门要充分运用共享的监管信息，有针对性地加强监管执法。</w:t>
            </w:r>
          </w:p>
        </w:tc>
      </w:tr>
    </w:tbl>
    <w:p>
      <w:pPr>
        <w:pStyle w:val="9"/>
        <w:widowControl/>
        <w:shd w:val="clear" w:color="auto" w:fill="FFFFFF"/>
        <w:snapToGrid w:val="0"/>
        <w:spacing w:beforeAutospacing="0" w:afterAutospacing="0" w:line="20" w:lineRule="exact"/>
        <w:jc w:val="both"/>
        <w:rPr>
          <w:rFonts w:ascii="方正仿宋_GBK" w:hAnsi="方正仿宋_GBK" w:eastAsia="方正仿宋_GBK" w:cs="方正仿宋_GBK"/>
          <w:color w:val="000000"/>
          <w:sz w:val="31"/>
          <w:szCs w:val="31"/>
          <w:shd w:val="clear" w:color="auto" w:fill="FFFFFF"/>
        </w:rPr>
      </w:pPr>
    </w:p>
    <w:sectPr>
      <w:footerReference r:id="rId11"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w:pict>
        <v:line id="_x0000_s1033" o:spid="_x0000_s1033" o:spt="20" style="position:absolute;left:0pt;margin-left:0pt;margin-top:17.4pt;height:0.15pt;width:442.25pt;z-index:251660288;mso-width-relative:page;mso-height-relative:page;"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1032" o:spid="_x0000_s1032"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云阳县人民政府办公室发布 </w:t>
    </w:r>
  </w:p>
  <w:p>
    <w:pPr>
      <w:pStyle w:val="8"/>
      <w:wordWrap w:val="0"/>
      <w:ind w:left="4788" w:leftChars="2280" w:firstLine="5622" w:firstLineChars="2000"/>
      <w:jc w:val="center"/>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w:pict>
        <v:line id="_x0000_s1030" o:spid="_x0000_s1030" o:spt="20" style="position:absolute;left:0pt;margin-left:0pt;margin-top:17.4pt;height:1.3pt;width:636.55pt;z-index:251664384;mso-width-relative:page;mso-height-relative:page;" stroked="t" coordsize="21600,21600" o:gfxdata="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YFx/UAAAABwEAAA8AAAAAAAAAAQAgAAAAIgAAAGRycy9kb3ducmV2Lnht&#10;bFBLAQIUABQAAAAIAIdO4kBOjL8E/QEAAN0DAAAOAAAAAAAAAAEAIAAAACMBAABkcnMvZTJvRG9j&#10;LnhtbFBLBQYAAAAABgAGAFkBAACSBQAAAAA=&#10;">
          <v:path arrowok="t"/>
          <v:fill focussize="0,0"/>
          <v:stroke weight="1.75pt" color="#005192" joinstyle="miter"/>
          <v:imagedata o:title=""/>
          <o:lock v:ext="edit"/>
        </v:line>
      </w:pict>
    </w:r>
    <w:r>
      <w:rPr>
        <w:sz w:val="32"/>
      </w:rPr>
      <w:pict>
        <v:shape id="_x0000_s1029" o:spid="_x0000_s1029"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646.65pt;z-index:251662336;mso-width-relative:page;mso-height-relative:page;"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w:r>
  </w:p>
  <w:p>
    <w:pPr>
      <w:pStyle w:val="8"/>
      <w:ind w:left="2732" w:leftChars="1301" w:firstLine="6299" w:firstLineChars="2241"/>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云阳县人民政府办公室发布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31" o:spid="_x0000_s1031" o:spt="20" style="position:absolute;left:0pt;margin-left:0pt;margin-top:54.35pt;height:0pt;width:648.5pt;z-index:251666432;mso-width-relative:page;mso-height-relative:page;"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194355"/>
    <w:rsid w:val="002C234D"/>
    <w:rsid w:val="00925583"/>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5EE2139"/>
    <w:rsid w:val="171F6119"/>
    <w:rsid w:val="187168EA"/>
    <w:rsid w:val="196673CA"/>
    <w:rsid w:val="1CF734C9"/>
    <w:rsid w:val="1DEC284C"/>
    <w:rsid w:val="1E4E59B9"/>
    <w:rsid w:val="1E6523AC"/>
    <w:rsid w:val="22440422"/>
    <w:rsid w:val="22BB4BBB"/>
    <w:rsid w:val="241B1988"/>
    <w:rsid w:val="24735DA9"/>
    <w:rsid w:val="253833F8"/>
    <w:rsid w:val="2666380C"/>
    <w:rsid w:val="2AEB3417"/>
    <w:rsid w:val="31A15F24"/>
    <w:rsid w:val="36FB1DF0"/>
    <w:rsid w:val="37A62A7C"/>
    <w:rsid w:val="395347B5"/>
    <w:rsid w:val="39A232A0"/>
    <w:rsid w:val="39E745AA"/>
    <w:rsid w:val="3ABC18F2"/>
    <w:rsid w:val="3B5A6BBB"/>
    <w:rsid w:val="3DA908AC"/>
    <w:rsid w:val="3EDA13A6"/>
    <w:rsid w:val="417B75E9"/>
    <w:rsid w:val="42F058B7"/>
    <w:rsid w:val="436109F6"/>
    <w:rsid w:val="441A38D4"/>
    <w:rsid w:val="4504239D"/>
    <w:rsid w:val="468102D8"/>
    <w:rsid w:val="4BC77339"/>
    <w:rsid w:val="4C9236C5"/>
    <w:rsid w:val="4E250A85"/>
    <w:rsid w:val="4FFD4925"/>
    <w:rsid w:val="505C172E"/>
    <w:rsid w:val="506405EA"/>
    <w:rsid w:val="50734513"/>
    <w:rsid w:val="52F46F0B"/>
    <w:rsid w:val="532B6A10"/>
    <w:rsid w:val="53D8014D"/>
    <w:rsid w:val="55E064E0"/>
    <w:rsid w:val="572C6D10"/>
    <w:rsid w:val="58412511"/>
    <w:rsid w:val="5B9F77A4"/>
    <w:rsid w:val="5DC34279"/>
    <w:rsid w:val="5FCD688E"/>
    <w:rsid w:val="5FF9BDAA"/>
    <w:rsid w:val="608816D1"/>
    <w:rsid w:val="609D7508"/>
    <w:rsid w:val="60EF4E7F"/>
    <w:rsid w:val="61640206"/>
    <w:rsid w:val="648B0A32"/>
    <w:rsid w:val="649753A5"/>
    <w:rsid w:val="665233C1"/>
    <w:rsid w:val="68C91527"/>
    <w:rsid w:val="69AC0D42"/>
    <w:rsid w:val="69AE7C10"/>
    <w:rsid w:val="6AD9688B"/>
    <w:rsid w:val="6D0E3F22"/>
    <w:rsid w:val="744E4660"/>
    <w:rsid w:val="753355A2"/>
    <w:rsid w:val="759F1C61"/>
    <w:rsid w:val="75A75EC4"/>
    <w:rsid w:val="7686017C"/>
    <w:rsid w:val="769F2DE8"/>
    <w:rsid w:val="76FDEB7C"/>
    <w:rsid w:val="79C65162"/>
    <w:rsid w:val="7C9011D9"/>
    <w:rsid w:val="7DC651C5"/>
    <w:rsid w:val="7E3E0607"/>
    <w:rsid w:val="7FCC2834"/>
    <w:rsid w:val="92DD1CEF"/>
    <w:rsid w:val="F05B4F69"/>
    <w:rsid w:val="F97D9566"/>
    <w:rsid w:val="FDFF411C"/>
    <w:rsid w:val="FFFB6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2390</Words>
  <Characters>2407</Characters>
  <Lines>17</Lines>
  <Paragraphs>4</Paragraphs>
  <TotalTime>7</TotalTime>
  <ScaleCrop>false</ScaleCrop>
  <LinksUpToDate>false</LinksUpToDate>
  <CharactersWithSpaces>2415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Dell</cp:lastModifiedBy>
  <cp:lastPrinted>2022-05-11T16:46:00Z</cp:lastPrinted>
  <dcterms:modified xsi:type="dcterms:W3CDTF">2022-06-12T09:24:53Z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