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720" w:lineRule="exact"/>
        <w:jc w:val="center"/>
        <w:rPr>
          <w:rFonts w:ascii="Times New Roman" w:hAnsi="Times New Roman" w:eastAsia="方正小标宋_GBK" w:cs="Times New Roman"/>
          <w:b w:val="0"/>
          <w:bCs w:val="0"/>
          <w:spacing w:val="0"/>
          <w:sz w:val="44"/>
          <w:szCs w:val="44"/>
        </w:rPr>
      </w:pPr>
      <w:bookmarkStart w:id="0" w:name="quanwen"/>
      <w:r>
        <w:rPr>
          <w:rFonts w:hint="eastAsia" w:ascii="Times New Roman" w:hAnsi="Times New Roman" w:eastAsia="方正小标宋_GBK" w:cs="Times New Roman"/>
          <w:b w:val="0"/>
          <w:bCs w:val="0"/>
          <w:spacing w:val="0"/>
          <w:sz w:val="44"/>
          <w:szCs w:val="44"/>
        </w:rPr>
        <w:t>云阳县人民政府</w:t>
      </w:r>
    </w:p>
    <w:p>
      <w:pPr>
        <w:keepNext w:val="0"/>
        <w:keepLines w:val="0"/>
        <w:pageBreakBefore w:val="0"/>
        <w:widowControl w:val="0"/>
        <w:kinsoku/>
        <w:wordWrap/>
        <w:overflowPunct/>
        <w:topLinePunct w:val="0"/>
        <w:autoSpaceDE/>
        <w:autoSpaceDN/>
        <w:bidi w:val="0"/>
        <w:snapToGrid/>
        <w:spacing w:line="720" w:lineRule="exact"/>
        <w:jc w:val="center"/>
        <w:rPr>
          <w:rFonts w:ascii="Times New Roman" w:hAnsi="Times New Roman" w:eastAsia="方正小标宋_GBK" w:cs="Times New Roman"/>
          <w:b w:val="0"/>
          <w:bCs w:val="0"/>
          <w:spacing w:val="0"/>
          <w:sz w:val="44"/>
          <w:szCs w:val="44"/>
        </w:rPr>
      </w:pPr>
      <w:r>
        <w:rPr>
          <w:rFonts w:hint="eastAsia" w:ascii="Times New Roman" w:hAnsi="Times New Roman" w:eastAsia="方正小标宋_GBK" w:cs="Times New Roman"/>
          <w:b w:val="0"/>
          <w:bCs w:val="0"/>
          <w:spacing w:val="0"/>
          <w:sz w:val="44"/>
          <w:szCs w:val="44"/>
        </w:rPr>
        <w:t>关于印发</w:t>
      </w:r>
      <w:r>
        <w:rPr>
          <w:rFonts w:hint="eastAsia" w:ascii="Times New Roman" w:hAnsi="Times New Roman" w:eastAsia="方正小标宋_GBK" w:cs="Times New Roman"/>
          <w:b w:val="0"/>
          <w:bCs w:val="0"/>
          <w:spacing w:val="0"/>
          <w:sz w:val="44"/>
          <w:szCs w:val="44"/>
          <w:lang w:val="en-US" w:eastAsia="zh-CN"/>
        </w:rPr>
        <w:t>云阳县</w:t>
      </w:r>
      <w:r>
        <w:rPr>
          <w:rFonts w:hint="eastAsia" w:ascii="Times New Roman" w:hAnsi="Times New Roman" w:eastAsia="方正小标宋_GBK" w:cs="Times New Roman"/>
          <w:b w:val="0"/>
          <w:bCs w:val="0"/>
          <w:spacing w:val="0"/>
          <w:sz w:val="44"/>
          <w:szCs w:val="44"/>
        </w:rPr>
        <w:t>202</w:t>
      </w:r>
      <w:r>
        <w:rPr>
          <w:rFonts w:hint="eastAsia" w:ascii="Times New Roman" w:hAnsi="Times New Roman" w:eastAsia="方正小标宋_GBK" w:cs="Times New Roman"/>
          <w:b w:val="0"/>
          <w:bCs w:val="0"/>
          <w:spacing w:val="0"/>
          <w:sz w:val="44"/>
          <w:szCs w:val="44"/>
          <w:lang w:val="en-US" w:eastAsia="zh-CN"/>
        </w:rPr>
        <w:t>4</w:t>
      </w:r>
      <w:r>
        <w:rPr>
          <w:rFonts w:hint="eastAsia" w:ascii="Times New Roman" w:hAnsi="Times New Roman" w:eastAsia="方正小标宋_GBK" w:cs="Times New Roman"/>
          <w:b w:val="0"/>
          <w:bCs w:val="0"/>
          <w:spacing w:val="0"/>
          <w:sz w:val="44"/>
          <w:szCs w:val="44"/>
        </w:rPr>
        <w:t>年安全生产与</w:t>
      </w:r>
      <w:r>
        <w:rPr>
          <w:rFonts w:hint="eastAsia" w:ascii="Times New Roman" w:hAnsi="Times New Roman" w:eastAsia="方正小标宋_GBK" w:cs="Times New Roman"/>
          <w:b w:val="0"/>
          <w:bCs w:val="0"/>
          <w:spacing w:val="0"/>
          <w:sz w:val="44"/>
          <w:szCs w:val="44"/>
          <w:lang w:val="en-US" w:eastAsia="zh-CN"/>
        </w:rPr>
        <w:t>防灾减灾救灾</w:t>
      </w:r>
      <w:r>
        <w:rPr>
          <w:rFonts w:hint="eastAsia" w:ascii="Times New Roman" w:hAnsi="Times New Roman" w:eastAsia="方正小标宋_GBK" w:cs="Times New Roman"/>
          <w:b w:val="0"/>
          <w:bCs w:val="0"/>
          <w:spacing w:val="0"/>
          <w:sz w:val="44"/>
          <w:szCs w:val="44"/>
        </w:rPr>
        <w:t>工作要点的通知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b w:val="0"/>
          <w:bCs w:val="0"/>
          <w:spacing w:val="0"/>
          <w:sz w:val="32"/>
          <w:szCs w:val="32"/>
        </w:rPr>
      </w:pPr>
      <w:bookmarkStart w:id="1" w:name="zw"/>
      <w:bookmarkEnd w:id="1"/>
      <w:r>
        <w:rPr>
          <w:rFonts w:hint="eastAsia" w:ascii="Times New Roman" w:hAnsi="Times New Roman" w:eastAsia="方正仿宋_GBK" w:cs="Times New Roman"/>
          <w:b w:val="0"/>
          <w:bCs w:val="0"/>
          <w:spacing w:val="0"/>
          <w:sz w:val="32"/>
          <w:szCs w:val="32"/>
        </w:rPr>
        <w:t>云阳府发〔</w:t>
      </w:r>
      <w:r>
        <w:rPr>
          <w:rFonts w:ascii="Times New Roman" w:hAnsi="Times New Roman" w:eastAsia="方正仿宋_GBK" w:cs="Times New Roman"/>
          <w:b w:val="0"/>
          <w:bCs w:val="0"/>
          <w:spacing w:val="0"/>
          <w:sz w:val="32"/>
          <w:szCs w:val="32"/>
        </w:rPr>
        <w:t>202</w:t>
      </w:r>
      <w:r>
        <w:rPr>
          <w:rFonts w:hint="eastAsia" w:ascii="Times New Roman" w:hAnsi="Times New Roman" w:eastAsia="方正仿宋_GBK" w:cs="Times New Roman"/>
          <w:b w:val="0"/>
          <w:bCs w:val="0"/>
          <w:spacing w:val="0"/>
          <w:sz w:val="32"/>
          <w:szCs w:val="32"/>
          <w:lang w:val="en-US" w:eastAsia="zh-CN"/>
        </w:rPr>
        <w:t>4</w:t>
      </w:r>
      <w:r>
        <w:rPr>
          <w:rFonts w:hint="eastAsia" w:ascii="Times New Roman" w:hAnsi="Times New Roman" w:eastAsia="方正仿宋_GBK" w:cs="Times New Roman"/>
          <w:b w:val="0"/>
          <w:bCs w:val="0"/>
          <w:spacing w:val="0"/>
          <w:sz w:val="32"/>
          <w:szCs w:val="32"/>
        </w:rPr>
        <w:t>〕</w:t>
      </w:r>
      <w:r>
        <w:rPr>
          <w:rFonts w:hint="eastAsia" w:ascii="Times New Roman" w:hAnsi="Times New Roman" w:eastAsia="方正仿宋_GBK" w:cs="Times New Roman"/>
          <w:b w:val="0"/>
          <w:bCs w:val="0"/>
          <w:spacing w:val="0"/>
          <w:sz w:val="32"/>
          <w:szCs w:val="32"/>
          <w:lang w:val="en-US" w:eastAsia="zh-CN"/>
        </w:rPr>
        <w:t>11</w:t>
      </w:r>
      <w:r>
        <w:rPr>
          <w:rFonts w:hint="eastAsia" w:ascii="Times New Roman" w:hAnsi="Times New Roman" w:eastAsia="方正仿宋_GBK" w:cs="Times New Roman"/>
          <w:b w:val="0"/>
          <w:bCs w:val="0"/>
          <w:spacing w:val="0"/>
          <w:sz w:val="32"/>
          <w:szCs w:val="32"/>
        </w:rPr>
        <w:t>号</w:t>
      </w:r>
    </w:p>
    <w:p>
      <w:pPr>
        <w:keepNext w:val="0"/>
        <w:keepLines w:val="0"/>
        <w:pageBreakBefore w:val="0"/>
        <w:widowControl w:val="0"/>
        <w:kinsoku/>
        <w:wordWrap/>
        <w:overflowPunct/>
        <w:topLinePunct w:val="0"/>
        <w:autoSpaceDE/>
        <w:autoSpaceDN/>
        <w:bidi w:val="0"/>
        <w:snapToGrid/>
        <w:spacing w:line="578" w:lineRule="exact"/>
        <w:jc w:val="center"/>
        <w:rPr>
          <w:rFonts w:ascii="Times New Roman" w:hAnsi="Times New Roman" w:eastAsia="方正小标宋_GBK" w:cs="Times New Roman"/>
          <w:b w:val="0"/>
          <w:bCs w:val="0"/>
          <w:spacing w:val="0"/>
          <w:sz w:val="44"/>
          <w:szCs w:val="44"/>
        </w:rPr>
      </w:pPr>
    </w:p>
    <w:p>
      <w:pPr>
        <w:keepNext w:val="0"/>
        <w:keepLines w:val="0"/>
        <w:pageBreakBefore w:val="0"/>
        <w:widowControl w:val="0"/>
        <w:kinsoku/>
        <w:wordWrap/>
        <w:overflowPunct/>
        <w:topLinePunct w:val="0"/>
        <w:autoSpaceDE/>
        <w:autoSpaceDN/>
        <w:bidi w:val="0"/>
        <w:snapToGrid/>
        <w:spacing w:line="578" w:lineRule="exact"/>
        <w:jc w:val="both"/>
        <w:rPr>
          <w:rFonts w:ascii="Times New Roman" w:hAnsi="Times New Roman" w:eastAsia="方正仿宋_GBK" w:cs="Times New Roman"/>
          <w:b w:val="0"/>
          <w:bCs w:val="0"/>
          <w:spacing w:val="0"/>
          <w:sz w:val="32"/>
          <w:szCs w:val="32"/>
        </w:rPr>
      </w:pPr>
      <w:r>
        <w:rPr>
          <w:rFonts w:hint="eastAsia" w:ascii="Times New Roman" w:hAnsi="Times New Roman" w:eastAsia="方正仿宋_GBK" w:cs="Times New Roman"/>
          <w:b w:val="0"/>
          <w:bCs w:val="0"/>
          <w:spacing w:val="0"/>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snapToGrid/>
        <w:spacing w:line="578" w:lineRule="exact"/>
        <w:ind w:firstLine="630"/>
        <w:jc w:val="left"/>
        <w:rPr>
          <w:rFonts w:ascii="Times New Roman" w:hAnsi="Times New Roman" w:eastAsia="方正仿宋_GBK" w:cs="Times New Roman"/>
          <w:b w:val="0"/>
          <w:bCs w:val="0"/>
          <w:spacing w:val="0"/>
          <w:sz w:val="32"/>
          <w:szCs w:val="32"/>
        </w:rPr>
      </w:pPr>
      <w:r>
        <w:rPr>
          <w:rFonts w:hint="eastAsia" w:ascii="Times New Roman" w:hAnsi="Times New Roman" w:eastAsia="方正仿宋_GBK" w:cs="Times New Roman"/>
          <w:b w:val="0"/>
          <w:bCs w:val="0"/>
          <w:spacing w:val="0"/>
          <w:sz w:val="32"/>
          <w:szCs w:val="32"/>
          <w:lang w:val="en-US" w:eastAsia="zh-CN"/>
        </w:rPr>
        <w:t>现将</w:t>
      </w:r>
      <w:r>
        <w:rPr>
          <w:rFonts w:hint="eastAsia" w:ascii="Times New Roman" w:hAnsi="Times New Roman" w:eastAsia="方正仿宋_GBK" w:cs="Times New Roman"/>
          <w:b w:val="0"/>
          <w:bCs w:val="0"/>
          <w:spacing w:val="0"/>
          <w:sz w:val="32"/>
          <w:szCs w:val="32"/>
        </w:rPr>
        <w:t>《</w:t>
      </w:r>
      <w:r>
        <w:rPr>
          <w:rFonts w:hint="eastAsia" w:ascii="Times New Roman" w:hAnsi="Times New Roman" w:eastAsia="方正仿宋_GBK" w:cs="Times New Roman"/>
          <w:b w:val="0"/>
          <w:bCs w:val="0"/>
          <w:spacing w:val="0"/>
          <w:sz w:val="32"/>
          <w:szCs w:val="32"/>
          <w:lang w:val="en-US" w:eastAsia="zh-CN"/>
        </w:rPr>
        <w:t>云阳县</w:t>
      </w:r>
      <w:r>
        <w:rPr>
          <w:rFonts w:ascii="Times New Roman" w:hAnsi="Times New Roman" w:eastAsia="方正仿宋_GBK" w:cs="Times New Roman"/>
          <w:b w:val="0"/>
          <w:bCs w:val="0"/>
          <w:spacing w:val="0"/>
          <w:sz w:val="32"/>
          <w:szCs w:val="32"/>
        </w:rPr>
        <w:t>202</w:t>
      </w:r>
      <w:r>
        <w:rPr>
          <w:rFonts w:hint="eastAsia" w:ascii="Times New Roman" w:hAnsi="Times New Roman" w:eastAsia="方正仿宋_GBK" w:cs="Times New Roman"/>
          <w:b w:val="0"/>
          <w:bCs w:val="0"/>
          <w:spacing w:val="0"/>
          <w:sz w:val="32"/>
          <w:szCs w:val="32"/>
          <w:lang w:val="en-US" w:eastAsia="zh-CN"/>
        </w:rPr>
        <w:t>4</w:t>
      </w:r>
      <w:r>
        <w:rPr>
          <w:rFonts w:hint="eastAsia" w:ascii="Times New Roman" w:hAnsi="Times New Roman" w:eastAsia="方正仿宋_GBK" w:cs="Times New Roman"/>
          <w:b w:val="0"/>
          <w:bCs w:val="0"/>
          <w:spacing w:val="0"/>
          <w:sz w:val="32"/>
          <w:szCs w:val="32"/>
        </w:rPr>
        <w:t>年安全生产与防灾减灾救灾工作要点》印发给你们，请认真贯彻执行。</w:t>
      </w:r>
    </w:p>
    <w:p>
      <w:pPr>
        <w:keepNext w:val="0"/>
        <w:keepLines w:val="0"/>
        <w:pageBreakBefore w:val="0"/>
        <w:widowControl w:val="0"/>
        <w:kinsoku/>
        <w:wordWrap/>
        <w:overflowPunct/>
        <w:topLinePunct w:val="0"/>
        <w:autoSpaceDE/>
        <w:autoSpaceDN/>
        <w:bidi w:val="0"/>
        <w:snapToGrid/>
        <w:spacing w:line="578" w:lineRule="exact"/>
        <w:jc w:val="left"/>
        <w:rPr>
          <w:rFonts w:ascii="Times New Roman" w:hAnsi="Times New Roman" w:eastAsia="方正仿宋_GBK" w:cs="Times New Roman"/>
          <w:b w:val="0"/>
          <w:bCs w:val="0"/>
          <w:spacing w:val="0"/>
          <w:sz w:val="32"/>
          <w:szCs w:val="32"/>
        </w:rPr>
      </w:pPr>
    </w:p>
    <w:p>
      <w:pPr>
        <w:keepNext w:val="0"/>
        <w:keepLines w:val="0"/>
        <w:pageBreakBefore w:val="0"/>
        <w:widowControl w:val="0"/>
        <w:kinsoku/>
        <w:wordWrap/>
        <w:overflowPunct/>
        <w:topLinePunct w:val="0"/>
        <w:autoSpaceDE/>
        <w:autoSpaceDN/>
        <w:bidi w:val="0"/>
        <w:snapToGrid/>
        <w:spacing w:line="578" w:lineRule="exact"/>
        <w:ind w:firstLine="5184" w:firstLineChars="1620"/>
        <w:jc w:val="both"/>
        <w:rPr>
          <w:rFonts w:ascii="Times New Roman" w:hAnsi="Times New Roman" w:eastAsia="方正仿宋_GBK" w:cs="Times New Roman"/>
          <w:b w:val="0"/>
          <w:bCs w:val="0"/>
          <w:spacing w:val="0"/>
          <w:kern w:val="2"/>
          <w:sz w:val="32"/>
          <w:szCs w:val="32"/>
          <w:lang w:val="en-US" w:eastAsia="zh-CN" w:bidi="ar-SA"/>
        </w:rPr>
      </w:pPr>
      <w:r>
        <w:rPr>
          <w:rFonts w:hint="eastAsia" w:ascii="Times New Roman" w:hAnsi="Times New Roman" w:eastAsia="方正仿宋_GBK" w:cs="Times New Roman"/>
          <w:b w:val="0"/>
          <w:bCs w:val="0"/>
          <w:spacing w:val="0"/>
          <w:kern w:val="2"/>
          <w:sz w:val="32"/>
          <w:szCs w:val="32"/>
          <w:lang w:val="en-US" w:eastAsia="zh-CN" w:bidi="ar-SA"/>
        </w:rPr>
        <w:t>云阳县人民政府</w:t>
      </w:r>
    </w:p>
    <w:p>
      <w:pPr>
        <w:keepNext w:val="0"/>
        <w:keepLines w:val="0"/>
        <w:pageBreakBefore w:val="0"/>
        <w:widowControl w:val="0"/>
        <w:tabs>
          <w:tab w:val="left" w:pos="7560"/>
          <w:tab w:val="left" w:pos="7980"/>
          <w:tab w:val="left" w:pos="8190"/>
        </w:tabs>
        <w:kinsoku/>
        <w:wordWrap/>
        <w:overflowPunct/>
        <w:topLinePunct w:val="0"/>
        <w:autoSpaceDE/>
        <w:autoSpaceDN/>
        <w:bidi w:val="0"/>
        <w:snapToGrid/>
        <w:spacing w:line="578" w:lineRule="exact"/>
        <w:ind w:firstLine="5852" w:firstLineChars="1829"/>
        <w:jc w:val="both"/>
        <w:rPr>
          <w:rFonts w:ascii="Times New Roman" w:hAnsi="Times New Roman" w:eastAsia="方正仿宋_GBK" w:cs="Times New Roman"/>
          <w:b w:val="0"/>
          <w:bCs w:val="0"/>
          <w:spacing w:val="0"/>
          <w:kern w:val="2"/>
          <w:sz w:val="32"/>
          <w:szCs w:val="32"/>
          <w:lang w:val="en-US" w:eastAsia="zh-CN" w:bidi="ar-SA"/>
        </w:rPr>
      </w:pPr>
      <w:r>
        <w:rPr>
          <w:rFonts w:ascii="Times New Roman" w:hAnsi="Times New Roman" w:eastAsia="方正仿宋_GBK" w:cs="Times New Roman"/>
          <w:b w:val="0"/>
          <w:bCs w:val="0"/>
          <w:spacing w:val="0"/>
          <w:kern w:val="2"/>
          <w:sz w:val="32"/>
          <w:szCs w:val="32"/>
          <w:lang w:val="en-US" w:eastAsia="zh-CN" w:bidi="ar-SA"/>
        </w:rPr>
        <w:t>202</w:t>
      </w:r>
      <w:r>
        <w:rPr>
          <w:rFonts w:hint="eastAsia" w:ascii="Times New Roman" w:hAnsi="Times New Roman" w:eastAsia="方正仿宋_GBK" w:cs="Times New Roman"/>
          <w:b w:val="0"/>
          <w:bCs w:val="0"/>
          <w:spacing w:val="0"/>
          <w:kern w:val="2"/>
          <w:sz w:val="32"/>
          <w:szCs w:val="32"/>
          <w:lang w:val="en-US" w:eastAsia="zh-CN" w:bidi="ar-SA"/>
        </w:rPr>
        <w:t>4</w:t>
      </w:r>
      <w:r>
        <w:rPr>
          <w:rFonts w:ascii="Times New Roman" w:hAnsi="Times New Roman" w:eastAsia="方正仿宋_GBK" w:cs="Times New Roman"/>
          <w:b w:val="0"/>
          <w:bCs w:val="0"/>
          <w:spacing w:val="0"/>
          <w:kern w:val="2"/>
          <w:sz w:val="32"/>
          <w:szCs w:val="32"/>
          <w:lang w:val="en-US" w:eastAsia="zh-CN" w:bidi="ar-SA"/>
        </w:rPr>
        <w:t>年</w:t>
      </w:r>
      <w:r>
        <w:rPr>
          <w:rFonts w:hint="eastAsia" w:ascii="Times New Roman" w:hAnsi="Times New Roman" w:eastAsia="方正仿宋_GBK" w:cs="Times New Roman"/>
          <w:b w:val="0"/>
          <w:bCs w:val="0"/>
          <w:spacing w:val="0"/>
          <w:kern w:val="2"/>
          <w:sz w:val="32"/>
          <w:szCs w:val="32"/>
          <w:lang w:val="en-US" w:eastAsia="zh-CN" w:bidi="ar-SA"/>
        </w:rPr>
        <w:t>4月3日</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rPr>
          <w:rFonts w:hint="eastAsia" w:ascii="Times New Roman" w:hAnsi="Times New Roman" w:eastAsia="方正小标宋_GBK" w:cs="Times New Roman"/>
          <w:b w:val="0"/>
          <w:bCs w:val="0"/>
          <w:spacing w:val="0"/>
          <w:kern w:val="2"/>
          <w:sz w:val="44"/>
          <w:szCs w:val="44"/>
          <w:lang w:val="en-US" w:eastAsia="zh-CN" w:bidi="ar-SA"/>
        </w:rPr>
      </w:pPr>
      <w:r>
        <w:rPr>
          <w:rFonts w:hint="eastAsia" w:ascii="方正仿宋_GBK" w:hAnsi="方正仿宋_GBK" w:eastAsia="方正仿宋_GBK" w:cs="方正仿宋_GBK"/>
          <w:b w:val="0"/>
          <w:bCs w:val="0"/>
          <w:spacing w:val="0"/>
          <w:sz w:val="32"/>
          <w:szCs w:val="32"/>
          <w:lang w:eastAsia="zh-CN"/>
        </w:rPr>
        <w:t>（此件公开发布）</w:t>
      </w: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rPr>
          <w:rFonts w:hint="eastAsia" w:ascii="Times New Roman" w:hAnsi="Times New Roman" w:eastAsia="方正小标宋_GBK" w:cs="Times New Roman"/>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line="720" w:lineRule="exact"/>
        <w:jc w:val="center"/>
        <w:rPr>
          <w:rFonts w:hint="eastAsia" w:ascii="Times New Roman" w:hAnsi="Times New Roman" w:eastAsia="方正小标宋_GBK" w:cs="Times New Roman"/>
          <w:b w:val="0"/>
          <w:bCs w:val="0"/>
          <w:spacing w:val="0"/>
          <w:sz w:val="44"/>
          <w:szCs w:val="44"/>
          <w:lang w:val="en-US" w:eastAsia="zh-CN"/>
        </w:rPr>
      </w:pPr>
      <w:r>
        <w:rPr>
          <w:rFonts w:hint="eastAsia" w:ascii="Times New Roman" w:hAnsi="Times New Roman" w:eastAsia="方正小标宋_GBK" w:cs="Times New Roman"/>
          <w:b w:val="0"/>
          <w:bCs w:val="0"/>
          <w:spacing w:val="0"/>
          <w:sz w:val="44"/>
          <w:szCs w:val="44"/>
          <w:lang w:eastAsia="zh-CN"/>
        </w:rPr>
        <w:t>云阳县2024年</w:t>
      </w:r>
      <w:r>
        <w:rPr>
          <w:rFonts w:hint="eastAsia" w:ascii="Times New Roman" w:hAnsi="Times New Roman" w:eastAsia="方正小标宋_GBK" w:cs="Times New Roman"/>
          <w:b w:val="0"/>
          <w:bCs w:val="0"/>
          <w:spacing w:val="0"/>
          <w:sz w:val="44"/>
          <w:szCs w:val="44"/>
        </w:rPr>
        <w:t>安全生产与</w:t>
      </w:r>
      <w:r>
        <w:rPr>
          <w:rFonts w:hint="eastAsia" w:ascii="Times New Roman" w:hAnsi="Times New Roman" w:eastAsia="方正小标宋_GBK" w:cs="Times New Roman"/>
          <w:b w:val="0"/>
          <w:bCs w:val="0"/>
          <w:spacing w:val="0"/>
          <w:sz w:val="44"/>
          <w:szCs w:val="44"/>
          <w:lang w:val="en-US" w:eastAsia="zh-CN"/>
        </w:rPr>
        <w:t>防灾减灾救灾</w:t>
      </w:r>
    </w:p>
    <w:p>
      <w:pPr>
        <w:keepNext w:val="0"/>
        <w:keepLines w:val="0"/>
        <w:pageBreakBefore w:val="0"/>
        <w:widowControl w:val="0"/>
        <w:kinsoku/>
        <w:wordWrap/>
        <w:overflowPunct/>
        <w:topLinePunct w:val="0"/>
        <w:autoSpaceDE/>
        <w:autoSpaceDN/>
        <w:bidi w:val="0"/>
        <w:snapToGrid/>
        <w:spacing w:line="720" w:lineRule="exact"/>
        <w:jc w:val="center"/>
        <w:rPr>
          <w:rFonts w:hint="eastAsia" w:ascii="Times New Roman" w:hAnsi="Times New Roman" w:eastAsia="方正小标宋_GBK" w:cs="Times New Roman"/>
          <w:b w:val="0"/>
          <w:bCs w:val="0"/>
          <w:spacing w:val="0"/>
          <w:sz w:val="44"/>
          <w:szCs w:val="44"/>
          <w:lang w:eastAsia="zh-CN"/>
        </w:rPr>
      </w:pPr>
      <w:r>
        <w:rPr>
          <w:rFonts w:hint="eastAsia" w:ascii="Times New Roman" w:hAnsi="Times New Roman" w:eastAsia="方正小标宋_GBK" w:cs="Times New Roman"/>
          <w:b w:val="0"/>
          <w:bCs w:val="0"/>
          <w:spacing w:val="0"/>
          <w:sz w:val="44"/>
          <w:szCs w:val="44"/>
        </w:rPr>
        <w:t>工作要点</w:t>
      </w:r>
    </w:p>
    <w:p>
      <w:pPr>
        <w:keepNext w:val="0"/>
        <w:keepLines w:val="0"/>
        <w:pageBreakBefore w:val="0"/>
        <w:widowControl w:val="0"/>
        <w:kinsoku/>
        <w:wordWrap/>
        <w:overflowPunct w:val="0"/>
        <w:topLinePunct w:val="0"/>
        <w:autoSpaceDE/>
        <w:autoSpaceDN/>
        <w:bidi w:val="0"/>
        <w:snapToGrid/>
        <w:spacing w:line="560" w:lineRule="exact"/>
        <w:ind w:firstLine="420" w:firstLineChars="200"/>
        <w:rPr>
          <w:rFonts w:ascii="Times New Roman" w:hAnsi="Times New Roman" w:eastAsia="宋体" w:cs="Times New Roman"/>
          <w:b w:val="0"/>
          <w:bCs w:val="0"/>
          <w:spacing w:val="0"/>
          <w:kern w:val="2"/>
          <w:sz w:val="21"/>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方正仿宋_GBK" w:cs="方正仿宋_GBK"/>
          <w:b w:val="0"/>
          <w:bCs w:val="0"/>
          <w:spacing w:val="0"/>
          <w:kern w:val="2"/>
          <w:sz w:val="32"/>
          <w:szCs w:val="32"/>
          <w:lang w:val="en-US" w:eastAsia="zh-TW" w:bidi="zh-TW"/>
        </w:rPr>
      </w:pPr>
      <w:r>
        <w:rPr>
          <w:rFonts w:hint="eastAsia" w:ascii="Times New Roman" w:hAnsi="Times New Roman" w:eastAsia="方正仿宋_GBK" w:cs="方正仿宋_GBK"/>
          <w:b w:val="0"/>
          <w:bCs w:val="0"/>
          <w:color w:val="000000"/>
          <w:spacing w:val="0"/>
          <w:kern w:val="2"/>
          <w:sz w:val="32"/>
          <w:szCs w:val="32"/>
          <w:lang w:val="zh-TW" w:eastAsia="zh-TW" w:bidi="zh-TW"/>
        </w:rPr>
        <w:t>为加强全</w:t>
      </w:r>
      <w:r>
        <w:rPr>
          <w:rFonts w:hint="eastAsia" w:ascii="Times New Roman" w:hAnsi="Times New Roman" w:eastAsia="方正仿宋_GBK" w:cs="方正仿宋_GBK"/>
          <w:b w:val="0"/>
          <w:bCs w:val="0"/>
          <w:color w:val="000000"/>
          <w:spacing w:val="0"/>
          <w:kern w:val="2"/>
          <w:sz w:val="32"/>
          <w:szCs w:val="32"/>
          <w:lang w:val="en-US" w:eastAsia="zh-CN" w:bidi="zh-TW"/>
        </w:rPr>
        <w:t>县</w:t>
      </w:r>
      <w:r>
        <w:rPr>
          <w:rFonts w:hint="eastAsia" w:ascii="Times New Roman" w:hAnsi="Times New Roman" w:eastAsia="方正仿宋_GBK" w:cs="方正仿宋_GBK"/>
          <w:b w:val="0"/>
          <w:bCs w:val="0"/>
          <w:color w:val="000000"/>
          <w:spacing w:val="0"/>
          <w:kern w:val="2"/>
          <w:sz w:val="32"/>
          <w:szCs w:val="32"/>
          <w:lang w:val="zh-TW" w:eastAsia="zh-TW" w:bidi="zh-TW"/>
        </w:rPr>
        <w:t>安全生产与防灾减灾救灾工作，切实保障人民群众生命财产安全，</w:t>
      </w:r>
      <w:r>
        <w:rPr>
          <w:rFonts w:hint="eastAsia" w:ascii="Times New Roman" w:hAnsi="Times New Roman" w:eastAsia="方正仿宋_GBK" w:cs="宋体"/>
          <w:b w:val="0"/>
          <w:bCs w:val="0"/>
          <w:color w:val="000000"/>
          <w:spacing w:val="0"/>
          <w:kern w:val="2"/>
          <w:sz w:val="32"/>
          <w:szCs w:val="32"/>
          <w:lang w:val="zh-TW" w:eastAsia="zh-CN" w:bidi="zh-TW"/>
        </w:rPr>
        <w:t>为</w:t>
      </w:r>
      <w:r>
        <w:rPr>
          <w:rFonts w:hint="eastAsia" w:ascii="Times New Roman" w:hAnsi="Times New Roman" w:eastAsia="方正仿宋_GBK" w:cs="宋体"/>
          <w:b w:val="0"/>
          <w:bCs w:val="0"/>
          <w:color w:val="000000"/>
          <w:spacing w:val="0"/>
          <w:kern w:val="2"/>
          <w:sz w:val="32"/>
          <w:szCs w:val="32"/>
          <w:lang w:val="en-US" w:eastAsia="zh-CN" w:bidi="zh-TW"/>
        </w:rPr>
        <w:t>建设山区库区强县富民现代化示范县</w:t>
      </w:r>
      <w:r>
        <w:rPr>
          <w:rFonts w:hint="eastAsia" w:ascii="Times New Roman" w:hAnsi="Times New Roman" w:eastAsia="方正仿宋_GBK" w:cs="宋体"/>
          <w:b w:val="0"/>
          <w:bCs w:val="0"/>
          <w:spacing w:val="0"/>
          <w:kern w:val="2"/>
          <w:sz w:val="32"/>
          <w:szCs w:val="32"/>
          <w:lang w:val="zh-TW" w:eastAsia="zh-CN" w:bidi="zh-TW"/>
        </w:rPr>
        <w:t>营造</w:t>
      </w:r>
      <w:r>
        <w:rPr>
          <w:rFonts w:hint="eastAsia" w:ascii="Times New Roman" w:hAnsi="Times New Roman" w:eastAsia="方正仿宋_GBK" w:cs="宋体"/>
          <w:b w:val="0"/>
          <w:bCs w:val="0"/>
          <w:spacing w:val="0"/>
          <w:kern w:val="2"/>
          <w:sz w:val="32"/>
          <w:szCs w:val="32"/>
          <w:lang w:val="en-US" w:eastAsia="zh-CN" w:bidi="zh-TW"/>
        </w:rPr>
        <w:t>良好的安全</w:t>
      </w:r>
      <w:r>
        <w:rPr>
          <w:rFonts w:hint="eastAsia" w:ascii="Times New Roman" w:hAnsi="Times New Roman" w:eastAsia="方正仿宋_GBK" w:cs="宋体"/>
          <w:b w:val="0"/>
          <w:bCs w:val="0"/>
          <w:spacing w:val="0"/>
          <w:kern w:val="2"/>
          <w:sz w:val="32"/>
          <w:szCs w:val="32"/>
          <w:lang w:val="zh-TW" w:eastAsia="zh-CN" w:bidi="zh-TW"/>
        </w:rPr>
        <w:t>环境</w:t>
      </w:r>
      <w:r>
        <w:rPr>
          <w:rFonts w:hint="eastAsia" w:ascii="Times New Roman" w:hAnsi="Times New Roman" w:eastAsia="方正仿宋_GBK" w:cs="宋体"/>
          <w:b w:val="0"/>
          <w:bCs w:val="0"/>
          <w:spacing w:val="0"/>
          <w:kern w:val="2"/>
          <w:sz w:val="32"/>
          <w:szCs w:val="32"/>
          <w:lang w:val="zh-TW" w:eastAsia="zh-TW" w:bidi="zh-TW"/>
        </w:rPr>
        <w:t>，</w:t>
      </w:r>
      <w:r>
        <w:rPr>
          <w:rFonts w:hint="eastAsia" w:ascii="Times New Roman" w:hAnsi="Times New Roman" w:eastAsia="方正仿宋_GBK" w:cs="方正仿宋_GBK"/>
          <w:b w:val="0"/>
          <w:bCs w:val="0"/>
          <w:color w:val="000000"/>
          <w:spacing w:val="0"/>
          <w:kern w:val="2"/>
          <w:sz w:val="32"/>
          <w:szCs w:val="32"/>
          <w:lang w:val="zh-TW" w:eastAsia="zh-TW" w:bidi="zh-TW"/>
        </w:rPr>
        <w:t>特制</w:t>
      </w:r>
      <w:r>
        <w:rPr>
          <w:rFonts w:hint="eastAsia" w:ascii="Times New Roman" w:hAnsi="Times New Roman" w:eastAsia="方正仿宋_GBK" w:cs="Times New Roman"/>
          <w:b w:val="0"/>
          <w:bCs w:val="0"/>
          <w:color w:val="000000"/>
          <w:spacing w:val="0"/>
          <w:kern w:val="2"/>
          <w:sz w:val="32"/>
          <w:szCs w:val="32"/>
          <w:lang w:val="zh-TW" w:eastAsia="zh-TW" w:bidi="zh-TW"/>
        </w:rPr>
        <w:t>定</w:t>
      </w:r>
      <w:r>
        <w:rPr>
          <w:rFonts w:hint="eastAsia" w:ascii="Times New Roman" w:hAnsi="Times New Roman" w:eastAsia="方正仿宋_GBK" w:cs="Times New Roman"/>
          <w:b w:val="0"/>
          <w:bCs w:val="0"/>
          <w:color w:val="000000"/>
          <w:spacing w:val="0"/>
          <w:kern w:val="2"/>
          <w:sz w:val="32"/>
          <w:szCs w:val="32"/>
          <w:lang w:val="en-US" w:eastAsia="zh-CN" w:bidi="zh-TW"/>
        </w:rPr>
        <w:t>本</w:t>
      </w:r>
      <w:r>
        <w:rPr>
          <w:rFonts w:hint="eastAsia" w:ascii="Times New Roman" w:hAnsi="Times New Roman" w:eastAsia="方正仿宋_GBK" w:cs="方正仿宋_GBK"/>
          <w:b w:val="0"/>
          <w:bCs w:val="0"/>
          <w:color w:val="000000"/>
          <w:spacing w:val="0"/>
          <w:kern w:val="2"/>
          <w:sz w:val="32"/>
          <w:szCs w:val="32"/>
          <w:lang w:val="zh-TW" w:eastAsia="zh-TW" w:bidi="zh-TW"/>
        </w:rPr>
        <w:t>工作要点</w:t>
      </w:r>
      <w:r>
        <w:rPr>
          <w:rFonts w:hint="eastAsia" w:ascii="Times New Roman" w:hAnsi="Times New Roman" w:eastAsia="方正仿宋_GBK" w:cs="方正仿宋_GBK"/>
          <w:b w:val="0"/>
          <w:bCs w:val="0"/>
          <w:color w:val="000000"/>
          <w:spacing w:val="0"/>
          <w:kern w:val="2"/>
          <w:sz w:val="32"/>
          <w:szCs w:val="32"/>
          <w:lang w:val="zh-TW" w:eastAsia="zh-CN" w:bidi="zh-TW"/>
        </w:rPr>
        <w:t>。</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方正黑体_GBK" w:cs="Times New Roman"/>
          <w:b w:val="0"/>
          <w:bCs w:val="0"/>
          <w:spacing w:val="0"/>
          <w:kern w:val="2"/>
          <w:sz w:val="32"/>
          <w:szCs w:val="32"/>
          <w:lang w:val="en-US" w:eastAsia="zh-CN" w:bidi="ar-SA"/>
        </w:rPr>
      </w:pPr>
      <w:r>
        <w:rPr>
          <w:rFonts w:hint="eastAsia" w:ascii="Times New Roman" w:hAnsi="Times New Roman" w:eastAsia="方正黑体_GBK" w:cs="Times New Roman"/>
          <w:b w:val="0"/>
          <w:bCs w:val="0"/>
          <w:spacing w:val="0"/>
          <w:kern w:val="2"/>
          <w:sz w:val="32"/>
          <w:szCs w:val="32"/>
          <w:lang w:val="en-US" w:eastAsia="zh-CN" w:bidi="ar-SA"/>
        </w:rPr>
        <w:t>一、总体思路及目标</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仿宋_GBK" w:cs="宋体"/>
          <w:b w:val="0"/>
          <w:bCs w:val="0"/>
          <w:spacing w:val="0"/>
          <w:kern w:val="2"/>
          <w:sz w:val="32"/>
          <w:szCs w:val="32"/>
          <w:lang w:val="en-US" w:eastAsia="zh-CN" w:bidi="zh-TW"/>
        </w:rPr>
      </w:pPr>
      <w:r>
        <w:rPr>
          <w:rFonts w:hint="eastAsia" w:ascii="Times New Roman" w:hAnsi="Times New Roman" w:eastAsia="方正仿宋_GBK" w:cs="宋体"/>
          <w:b w:val="0"/>
          <w:bCs w:val="0"/>
          <w:spacing w:val="0"/>
          <w:kern w:val="2"/>
          <w:sz w:val="32"/>
          <w:szCs w:val="32"/>
          <w:lang w:val="en-US" w:eastAsia="zh-CN" w:bidi="zh-TW"/>
        </w:rPr>
        <w:t>以习近平新时代中国特色社会主义思想为指导，深入学习贯彻党的二十大和二十届二中全会精神，全面落实市委六届二次、三次、四次全会及县委十五届六次全会精神，</w:t>
      </w:r>
      <w:r>
        <w:rPr>
          <w:rFonts w:hint="eastAsia" w:ascii="Times New Roman" w:hAnsi="Times New Roman" w:eastAsia="方正仿宋_GBK" w:cs="方正仿宋_GBK"/>
          <w:b w:val="0"/>
          <w:bCs w:val="0"/>
          <w:kern w:val="2"/>
          <w:sz w:val="32"/>
          <w:szCs w:val="32"/>
          <w:lang w:val="en-US" w:eastAsia="zh-CN" w:bidi="ar-SA"/>
        </w:rPr>
        <w:t>坚持人民至上、生命至上，统筹发展和安全，扎实推进治本攻坚三年行动，</w:t>
      </w:r>
      <w:r>
        <w:rPr>
          <w:rFonts w:hint="eastAsia" w:ascii="Times New Roman" w:hAnsi="Times New Roman" w:eastAsia="方正仿宋_GBK" w:cs="宋体"/>
          <w:b w:val="0"/>
          <w:bCs w:val="0"/>
          <w:spacing w:val="0"/>
          <w:kern w:val="2"/>
          <w:sz w:val="32"/>
          <w:szCs w:val="32"/>
          <w:lang w:val="en-US" w:eastAsia="zh-CN" w:bidi="zh-TW"/>
        </w:rPr>
        <w:t>深入开展重点领域安全生产专项整治。不断加强应急管理基础和能力建设，加快构建上下贯通、左右协同的大安全格局，</w:t>
      </w:r>
      <w:r>
        <w:rPr>
          <w:rFonts w:hint="eastAsia" w:ascii="Times New Roman" w:hAnsi="Times New Roman" w:eastAsia="方正仿宋_GBK" w:cs="方正仿宋_GBK"/>
          <w:b w:val="0"/>
          <w:bCs w:val="0"/>
          <w:kern w:val="2"/>
          <w:sz w:val="32"/>
          <w:szCs w:val="32"/>
          <w:lang w:val="en-US" w:eastAsia="zh-CN" w:bidi="ar-SA"/>
        </w:rPr>
        <w:t>围绕“统、防、救”三个重点，探索推行“1245”工作法，</w:t>
      </w:r>
      <w:r>
        <w:rPr>
          <w:rFonts w:hint="eastAsia" w:ascii="Times New Roman" w:hAnsi="Times New Roman" w:eastAsia="方正仿宋_GBK" w:cs="宋体"/>
          <w:b w:val="0"/>
          <w:bCs w:val="0"/>
          <w:spacing w:val="0"/>
          <w:kern w:val="2"/>
          <w:sz w:val="32"/>
          <w:szCs w:val="32"/>
          <w:lang w:val="en-US" w:eastAsia="zh-CN" w:bidi="zh-TW"/>
        </w:rPr>
        <w:t>持续完善推进“一中心八系统”智慧应急建设</w:t>
      </w:r>
      <w:r>
        <w:rPr>
          <w:rFonts w:hint="eastAsia" w:ascii="Times New Roman" w:hAnsi="Times New Roman" w:eastAsia="方正仿宋_GBK" w:cs="方正仿宋_GBK"/>
          <w:b w:val="0"/>
          <w:bCs w:val="0"/>
          <w:kern w:val="2"/>
          <w:sz w:val="32"/>
          <w:szCs w:val="32"/>
          <w:lang w:val="en-US" w:eastAsia="zh-CN" w:bidi="ar-SA"/>
        </w:rPr>
        <w:t>，按照“12355”工作架构，严格责任落实，加强监管执法，强化风险防控，夯实安全基础，提升应急能力，推进数字赋能，确保实现安全生产“遏较大、减总量”、</w:t>
      </w:r>
      <w:r>
        <w:rPr>
          <w:rFonts w:hint="eastAsia" w:ascii="Times New Roman" w:hAnsi="Times New Roman" w:eastAsia="方正仿宋_GBK" w:cs="方正仿宋_GBK"/>
          <w:b w:val="0"/>
          <w:bCs w:val="0"/>
          <w:color w:val="auto"/>
          <w:kern w:val="2"/>
          <w:sz w:val="32"/>
          <w:szCs w:val="32"/>
          <w:lang w:val="en-US" w:eastAsia="zh-CN" w:bidi="ar-SA"/>
        </w:rPr>
        <w:t>自然灾害“不死人、少伤人、少损失”的总体目标</w:t>
      </w:r>
      <w:r>
        <w:rPr>
          <w:rFonts w:hint="eastAsia" w:ascii="Times New Roman" w:hAnsi="Times New Roman" w:eastAsia="方正仿宋_GBK" w:cs="方正仿宋_GBK"/>
          <w:b w:val="0"/>
          <w:bCs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方正黑体_GBK" w:cs="Times New Roman"/>
          <w:b w:val="0"/>
          <w:bCs w:val="0"/>
          <w:color w:val="000000"/>
          <w:spacing w:val="0"/>
          <w:kern w:val="2"/>
          <w:sz w:val="32"/>
          <w:szCs w:val="32"/>
          <w:lang w:val="en-US" w:eastAsia="zh-CN" w:bidi="ar-SA"/>
        </w:rPr>
      </w:pPr>
      <w:r>
        <w:rPr>
          <w:rFonts w:hint="eastAsia" w:ascii="Times New Roman" w:hAnsi="Times New Roman" w:eastAsia="方正黑体_GBK" w:cs="Times New Roman"/>
          <w:b w:val="0"/>
          <w:bCs w:val="0"/>
          <w:color w:val="000000"/>
          <w:spacing w:val="0"/>
          <w:kern w:val="2"/>
          <w:sz w:val="32"/>
          <w:szCs w:val="32"/>
          <w:lang w:val="en-US" w:eastAsia="zh-CN" w:bidi="ar-SA"/>
        </w:rPr>
        <w:t>二、重点任务</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方正楷体_GBK" w:cs="Times New Roman"/>
          <w:b w:val="0"/>
          <w:bCs w:val="0"/>
          <w:spacing w:val="0"/>
          <w:kern w:val="2"/>
          <w:sz w:val="32"/>
          <w:szCs w:val="32"/>
          <w:lang w:val="en-US" w:eastAsia="zh-CN" w:bidi="ar-SA"/>
        </w:rPr>
      </w:pPr>
      <w:r>
        <w:rPr>
          <w:rFonts w:hint="eastAsia" w:ascii="Times New Roman" w:hAnsi="Times New Roman" w:eastAsia="方正楷体_GBK" w:cs="Times New Roman"/>
          <w:b w:val="0"/>
          <w:bCs w:val="0"/>
          <w:spacing w:val="0"/>
          <w:kern w:val="2"/>
          <w:sz w:val="32"/>
          <w:szCs w:val="32"/>
          <w:lang w:val="en-US" w:eastAsia="zh-CN" w:bidi="ar-SA"/>
        </w:rPr>
        <w:t>（一）坚持党建统领，不断夯实安全生产责任</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1．夯实党政领导责任。</w:t>
      </w:r>
      <w:r>
        <w:rPr>
          <w:rFonts w:hint="eastAsia" w:ascii="Times New Roman" w:hAnsi="Times New Roman" w:eastAsia="方正仿宋_GBK" w:cs="方正仿宋_GBK"/>
          <w:b w:val="0"/>
          <w:bCs w:val="0"/>
          <w:kern w:val="2"/>
          <w:sz w:val="32"/>
          <w:szCs w:val="32"/>
          <w:lang w:val="en-US" w:eastAsia="zh-CN" w:bidi="ar-SA"/>
        </w:rPr>
        <w:t>完善党政领导干部安全生产与防灾减灾救灾工作责任清单和年度重点任务清单，</w:t>
      </w:r>
      <w:r>
        <w:rPr>
          <w:rFonts w:hint="eastAsia" w:ascii="Times New Roman" w:hAnsi="Times New Roman" w:eastAsia="方正仿宋_GBK" w:cs="方正仿宋_GBK"/>
          <w:b w:val="0"/>
          <w:bCs w:val="0"/>
          <w:color w:val="auto"/>
          <w:kern w:val="2"/>
          <w:sz w:val="32"/>
          <w:szCs w:val="32"/>
          <w:lang w:val="en-US" w:eastAsia="zh-CN" w:bidi="ar-SA"/>
        </w:rPr>
        <w:t>建立领导干部报告制度，以发现和解决问题为重要履职标准，</w:t>
      </w:r>
      <w:r>
        <w:rPr>
          <w:rFonts w:hint="eastAsia" w:ascii="Times New Roman" w:hAnsi="Times New Roman" w:eastAsia="方正仿宋_GBK" w:cs="方正仿宋_GBK"/>
          <w:b w:val="0"/>
          <w:bCs w:val="0"/>
          <w:kern w:val="2"/>
          <w:sz w:val="32"/>
          <w:szCs w:val="32"/>
          <w:lang w:val="en-US" w:eastAsia="zh-CN" w:bidi="ar-SA"/>
        </w:rPr>
        <w:t>定期通报上一阶段工作亮点、下阶段工作主要风险、突出问题及对策措施。加强党政领导干部履职监督和考核，将考核结果与党政领导干部履职评定挂钩。</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2．夯实部门监管责任。</w:t>
      </w:r>
      <w:r>
        <w:rPr>
          <w:rFonts w:hint="eastAsia" w:ascii="Times New Roman" w:hAnsi="Times New Roman" w:eastAsia="方正仿宋_GBK" w:cs="方正仿宋_GBK"/>
          <w:b w:val="0"/>
          <w:bCs w:val="0"/>
          <w:kern w:val="2"/>
          <w:sz w:val="32"/>
          <w:szCs w:val="32"/>
          <w:lang w:val="en-US" w:eastAsia="zh-CN" w:bidi="ar-SA"/>
        </w:rPr>
        <w:t>聚焦企业安全生产主体责任落实，完善安全生产综合监管、行业监管、专项</w:t>
      </w:r>
      <w:r>
        <w:rPr>
          <w:rFonts w:hint="eastAsia" w:ascii="Times New Roman" w:hAnsi="Times New Roman" w:eastAsia="方正仿宋_GBK" w:cs="方正仿宋_GBK"/>
          <w:b w:val="0"/>
          <w:bCs w:val="0"/>
          <w:kern w:val="2"/>
          <w:sz w:val="32"/>
          <w:szCs w:val="32"/>
          <w:u w:val="none"/>
          <w:lang w:val="en-US" w:eastAsia="zh-CN" w:bidi="ar-SA"/>
        </w:rPr>
        <w:t>监</w:t>
      </w:r>
      <w:r>
        <w:rPr>
          <w:rFonts w:hint="eastAsia" w:ascii="Times New Roman" w:hAnsi="Times New Roman" w:eastAsia="方正仿宋_GBK" w:cs="方正仿宋_GBK"/>
          <w:b w:val="0"/>
          <w:bCs w:val="0"/>
          <w:kern w:val="2"/>
          <w:sz w:val="32"/>
          <w:szCs w:val="32"/>
          <w:lang w:val="en-US" w:eastAsia="zh-CN" w:bidi="ar-SA"/>
        </w:rPr>
        <w:t>管、属地监管以及自然灾害多跨协同机制，强化分级监管和上下协同。按照“三个必须”“谁主管谁负责、谁审批谁负责”、自然灾害“谁引发谁治理”、行业相近和业务相近原则，厘清新产业、新业态等新兴行业领域安全监管职责，消除监管盲区，强化监管部门履职尽责。</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ascii="Times New Roman" w:hAnsi="Times New Roman" w:eastAsia="宋体" w:cs="Times New Roman"/>
          <w:b w:val="0"/>
          <w:bCs w:val="0"/>
          <w:kern w:val="2"/>
          <w:sz w:val="21"/>
          <w:szCs w:val="2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3．夯实企业主体责任。</w:t>
      </w:r>
      <w:r>
        <w:rPr>
          <w:rFonts w:hint="eastAsia" w:ascii="Times New Roman" w:hAnsi="Times New Roman" w:eastAsia="方正仿宋_GBK" w:cs="方正仿宋_GBK"/>
          <w:b w:val="0"/>
          <w:bCs w:val="0"/>
          <w:kern w:val="2"/>
          <w:sz w:val="32"/>
          <w:szCs w:val="32"/>
          <w:lang w:val="en-US" w:eastAsia="zh-CN" w:bidi="ar-SA"/>
        </w:rPr>
        <w:t>狠抓企业主要负责人安全生产第一责任人责任和安全管理人员管理责任，加强安全生产标准化建设，全面推进安全风险分级管控和隐患排查治理双重预防机制建设，以全员安全生产责任制建设为基础，强化一线岗位责任落实，以技术管理体系建设为核心，强化总工程师制度。</w:t>
      </w:r>
      <w:r>
        <w:rPr>
          <w:rFonts w:ascii="Times New Roman" w:hAnsi="Times New Roman" w:eastAsia="方正仿宋_GBK" w:cs="方正仿宋_GBK"/>
          <w:b w:val="0"/>
          <w:bCs w:val="0"/>
          <w:color w:val="000000"/>
          <w:kern w:val="0"/>
          <w:sz w:val="31"/>
          <w:szCs w:val="31"/>
          <w:lang w:val="en-US" w:eastAsia="zh-CN" w:bidi="ar"/>
        </w:rPr>
        <w:t>健</w:t>
      </w:r>
      <w:r>
        <w:rPr>
          <w:rFonts w:hint="eastAsia" w:ascii="Times New Roman" w:hAnsi="Times New Roman" w:eastAsia="方正仿宋_GBK" w:cs="方正仿宋_GBK"/>
          <w:b w:val="0"/>
          <w:bCs w:val="0"/>
          <w:color w:val="000000"/>
          <w:kern w:val="0"/>
          <w:sz w:val="31"/>
          <w:szCs w:val="31"/>
          <w:lang w:val="en-US" w:eastAsia="zh-CN" w:bidi="ar"/>
        </w:rPr>
        <w:t>全监管责任人公示和履职评估制度，统一公示“行政负责、行业监管、专业监管、企业（单位）”</w:t>
      </w:r>
      <w:r>
        <w:rPr>
          <w:rFonts w:hint="default" w:ascii="Times New Roman" w:hAnsi="Times New Roman" w:eastAsia="宋体" w:cs="Times New Roman"/>
          <w:b w:val="0"/>
          <w:bCs w:val="0"/>
          <w:color w:val="000000"/>
          <w:kern w:val="0"/>
          <w:sz w:val="31"/>
          <w:szCs w:val="31"/>
          <w:lang w:val="en-US" w:eastAsia="zh-CN" w:bidi="ar"/>
        </w:rPr>
        <w:t>4</w:t>
      </w:r>
      <w:r>
        <w:rPr>
          <w:rFonts w:hint="eastAsia" w:ascii="Times New Roman" w:hAnsi="Times New Roman" w:eastAsia="方正仿宋_GBK" w:cs="方正仿宋_GBK"/>
          <w:b w:val="0"/>
          <w:bCs w:val="0"/>
          <w:color w:val="000000"/>
          <w:kern w:val="0"/>
          <w:sz w:val="31"/>
          <w:szCs w:val="31"/>
          <w:lang w:val="en-US" w:eastAsia="zh-CN" w:bidi="ar"/>
        </w:rPr>
        <w:t>个责任人，对“一企多牌”实施整合。健全重大风险管控责任人和措施公示制度，在风险较大的场所、设施和部位，统一公示分管负责人、部门负责人、直接责任人和风险管控措施。</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default" w:ascii="Times New Roman" w:hAnsi="Times New Roman" w:eastAsia="方正楷体_GBK" w:cs="Times New Roman"/>
          <w:b w:val="0"/>
          <w:bCs w:val="0"/>
          <w:spacing w:val="0"/>
          <w:kern w:val="2"/>
          <w:sz w:val="32"/>
          <w:szCs w:val="32"/>
          <w:lang w:val="en-US" w:eastAsia="zh-CN" w:bidi="ar-SA"/>
        </w:rPr>
      </w:pPr>
      <w:r>
        <w:rPr>
          <w:rFonts w:hint="eastAsia" w:ascii="Times New Roman" w:hAnsi="Times New Roman" w:eastAsia="方正楷体_GBK" w:cs="Times New Roman"/>
          <w:b w:val="0"/>
          <w:bCs w:val="0"/>
          <w:spacing w:val="0"/>
          <w:kern w:val="2"/>
          <w:sz w:val="32"/>
          <w:szCs w:val="32"/>
          <w:lang w:val="en-US" w:eastAsia="zh-CN" w:bidi="ar-SA"/>
        </w:rPr>
        <w:t>（二）统筹安全发展，坚持执法与服务相结合</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color w:val="000000"/>
          <w:kern w:val="0"/>
          <w:sz w:val="31"/>
          <w:szCs w:val="31"/>
          <w:lang w:val="en-US" w:eastAsia="zh-CN" w:bidi="ar"/>
        </w:rPr>
      </w:pPr>
      <w:r>
        <w:rPr>
          <w:rFonts w:hint="eastAsia" w:ascii="Times New Roman" w:hAnsi="Times New Roman" w:eastAsia="方正仿宋_GBK" w:cs="方正仿宋_GBK"/>
          <w:b w:val="0"/>
          <w:bCs w:val="0"/>
          <w:spacing w:val="0"/>
          <w:kern w:val="2"/>
          <w:sz w:val="32"/>
          <w:szCs w:val="32"/>
          <w:lang w:val="en-US" w:eastAsia="zh-CN" w:bidi="ar-SA"/>
        </w:rPr>
        <w:t>4．加大统筹协调力度。</w:t>
      </w:r>
      <w:r>
        <w:rPr>
          <w:rFonts w:hint="eastAsia" w:ascii="Times New Roman" w:hAnsi="Times New Roman" w:eastAsia="方正仿宋_GBK" w:cs="方正仿宋_GBK"/>
          <w:b w:val="0"/>
          <w:bCs w:val="0"/>
          <w:color w:val="000000"/>
          <w:kern w:val="0"/>
          <w:sz w:val="31"/>
          <w:szCs w:val="31"/>
          <w:lang w:val="en-US" w:eastAsia="zh-CN" w:bidi="ar"/>
        </w:rPr>
        <w:t>加大县安委会、县减灾委统筹抓总力度，推进综合监管规范化建设和能力提升。抓好工作安排部署、部门职责梳理，着力解决重点行业领域、重点区域、重点企业、重要环节存在的问题。充分发挥各专项办公室牵头部门专业优势，赋予其部分考核、约谈等职责。发挥专项指挥部组织协调、会商研判、调度指挥作用，完善灾前递进式预报预警、灾中预警响应联动、灾后“点对点”指导恢复重建机制。</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default"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5．加强执法队伍建设。强化对乡镇（街道）赋权委托执法业务的督促、指导，转变执法培训模式，严格案卷审查标准，开展首案共办、案卷互评互查，不断提升执法业务水平。强化基层执法装备建设，配齐完善一线执法装备，改善执法条件。</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6．强化规范精准执法。科学制定执法计划，明确执法检查任务，紧盯重点领域和重点行业，严格开展检查诊断、行政处罚、整改复查“三部曲”闭环执法。严格落实行政执法“三项制度”，推动行政执法公开、公正、透明。严格法制审核，提高办案质量，保障行政执法的合法性、合理性。</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7．优化企业安全服务。</w:t>
      </w:r>
      <w:r>
        <w:rPr>
          <w:rFonts w:hint="eastAsia" w:ascii="Times New Roman" w:hAnsi="Times New Roman" w:eastAsia="方正仿宋_GBK" w:cs="方正仿宋_GBK"/>
          <w:b w:val="0"/>
          <w:bCs w:val="0"/>
          <w:kern w:val="2"/>
          <w:sz w:val="32"/>
          <w:szCs w:val="32"/>
          <w:lang w:val="en-US" w:eastAsia="zh-CN" w:bidi="ar-SA"/>
        </w:rPr>
        <w:t>推进“自查自报自改不处、不查不报不改重处”的重大隐患监管机制落地落实，探索驻店式、教导式、全天候、全过程安全服务，实现风险集中管控、能力集中提升，集中资源应对突发事件、“九小场所”小作业管理信息化等模式分类解决小微企业安全发展问题。</w:t>
      </w:r>
      <w:r>
        <w:rPr>
          <w:rFonts w:hint="eastAsia" w:ascii="Times New Roman" w:hAnsi="Times New Roman" w:eastAsia="方正仿宋_GBK" w:cs="方正仿宋_GBK"/>
          <w:b w:val="0"/>
          <w:bCs w:val="0"/>
          <w:color w:val="auto"/>
          <w:kern w:val="2"/>
          <w:sz w:val="32"/>
          <w:szCs w:val="32"/>
          <w:lang w:val="en-US" w:eastAsia="zh-CN" w:bidi="ar-SA"/>
        </w:rPr>
        <w:t>推动产业链核心企业帮扶其他企业、大企业帮扶小微企业，</w:t>
      </w:r>
      <w:r>
        <w:rPr>
          <w:rFonts w:hint="eastAsia" w:ascii="Times New Roman" w:hAnsi="Times New Roman" w:eastAsia="方正仿宋_GBK" w:cs="方正仿宋_GBK"/>
          <w:b w:val="0"/>
          <w:bCs w:val="0"/>
          <w:kern w:val="2"/>
          <w:sz w:val="32"/>
          <w:szCs w:val="32"/>
          <w:lang w:val="en-US" w:eastAsia="zh-CN" w:bidi="ar-SA"/>
        </w:rPr>
        <w:t>不断强化企业安全帮扶和指导工作，加强规范执法助力企业安全发展，营造公平的市场竞争环境。鼓励企业购买技术服务，推动企业购买安全生产责任保险，落实对标杆企业在安全生产责任保险和工伤保险费率、信贷信用评级等方面的激励政策。</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8．严格事故灾害调查评估。</w:t>
      </w:r>
      <w:r>
        <w:rPr>
          <w:rFonts w:hint="eastAsia" w:ascii="Times New Roman" w:hAnsi="Times New Roman" w:eastAsia="方正仿宋_GBK" w:cs="方正仿宋_GBK"/>
          <w:b w:val="0"/>
          <w:bCs w:val="0"/>
          <w:color w:val="auto"/>
          <w:kern w:val="2"/>
          <w:sz w:val="32"/>
          <w:szCs w:val="32"/>
          <w:lang w:val="en-US" w:eastAsia="zh-CN" w:bidi="ar-SA"/>
        </w:rPr>
        <w:t>坚持“有案必查、一案双查、三责同追、四不放过”。全面落实行政执法三项制度，进一步规范生产安全事故调查处理和整改评估程序。进一步严格自然灾害调查评估工作和程序，严格执行地质灾害调查评估暂行办法，逐步理清洪涝灾害、森林火灾等自然灾害事故调查评估思路，认真梳理事故脉络，落实责任追究和整改复查。</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9</w:t>
      </w:r>
      <w:r>
        <w:rPr>
          <w:rFonts w:hint="eastAsia" w:ascii="Times New Roman" w:hAnsi="Times New Roman" w:eastAsia="方正仿宋_GBK" w:cs="方正仿宋_GBK"/>
          <w:b w:val="0"/>
          <w:bCs w:val="0"/>
          <w:spacing w:val="0"/>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严格落实举报奖励制度。健全安全生产举报渠道和奖励机制，落实奖励资金、完善保密制度，鼓励企业建立健全内部举报奖励机制，发动从业人员和社会群众举报重大事故隐患、非法违规行为。充分利用12350举报系统，严查每一条举报，严打每一次违法。在进行事故调查的同时，鼓励企业开展自我检查和“自我举报”，充分发挥人民群众发现被隐瞒重大事故隐患、违法违规行为的作用。</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10</w:t>
      </w:r>
      <w:r>
        <w:rPr>
          <w:rFonts w:hint="eastAsia" w:ascii="Times New Roman" w:hAnsi="Times New Roman" w:eastAsia="方正仿宋_GBK" w:cs="方正仿宋_GBK"/>
          <w:b w:val="0"/>
          <w:bCs w:val="0"/>
          <w:spacing w:val="0"/>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建立完善诚信管理制度。构建“三个挂钩”激励约束诚信管理机制，对生产安全事故多发频发的企业实施警示曝光，将失信人员、企业列入“黑名单”并进行公示，倒逼企业认真履行企业安全生产主体责任。</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default" w:ascii="Times New Roman" w:hAnsi="Times New Roman" w:eastAsia="方正楷体_GBK" w:cs="Times New Roman"/>
          <w:b w:val="0"/>
          <w:bCs w:val="0"/>
          <w:spacing w:val="0"/>
          <w:kern w:val="2"/>
          <w:sz w:val="32"/>
          <w:szCs w:val="32"/>
          <w:lang w:val="en-US" w:eastAsia="zh-CN" w:bidi="ar-SA"/>
        </w:rPr>
      </w:pPr>
      <w:r>
        <w:rPr>
          <w:rFonts w:hint="eastAsia" w:ascii="Times New Roman" w:hAnsi="Times New Roman" w:eastAsia="方正楷体_GBK" w:cs="Times New Roman"/>
          <w:b w:val="0"/>
          <w:bCs w:val="0"/>
          <w:spacing w:val="0"/>
          <w:kern w:val="2"/>
          <w:sz w:val="32"/>
          <w:szCs w:val="32"/>
          <w:lang w:val="en-US" w:eastAsia="zh-CN" w:bidi="ar-SA"/>
        </w:rPr>
        <w:t>（三）聚焦除险固安，全力防控化解重大风险</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11</w:t>
      </w:r>
      <w:r>
        <w:rPr>
          <w:rFonts w:hint="eastAsia" w:ascii="Times New Roman" w:hAnsi="Times New Roman" w:eastAsia="方正仿宋_GBK" w:cs="方正仿宋_GBK"/>
          <w:b w:val="0"/>
          <w:bCs w:val="0"/>
          <w:color w:val="000000"/>
          <w:spacing w:val="0"/>
          <w:kern w:val="2"/>
          <w:sz w:val="32"/>
          <w:szCs w:val="32"/>
          <w:lang w:val="en-US" w:eastAsia="zh-CN" w:bidi="ar-SA"/>
        </w:rPr>
        <w:t>．</w:t>
      </w:r>
      <w:r>
        <w:rPr>
          <w:rFonts w:hint="eastAsia" w:ascii="Times New Roman" w:hAnsi="Times New Roman" w:eastAsia="方正仿宋_GBK" w:cs="Times New Roman"/>
          <w:b w:val="0"/>
          <w:bCs w:val="0"/>
          <w:color w:val="000000"/>
          <w:kern w:val="2"/>
          <w:sz w:val="32"/>
          <w:szCs w:val="32"/>
          <w:lang w:val="en-US" w:eastAsia="zh-CN" w:bidi="ar-SA"/>
        </w:rPr>
        <w:t>创新推行“1245”工作法。</w:t>
      </w:r>
      <w:r>
        <w:rPr>
          <w:rFonts w:hint="eastAsia" w:ascii="Times New Roman" w:hAnsi="Times New Roman" w:eastAsia="方正仿宋_GBK" w:cs="方正仿宋_GBK"/>
          <w:b w:val="0"/>
          <w:bCs w:val="0"/>
          <w:color w:val="000000"/>
          <w:kern w:val="2"/>
          <w:sz w:val="32"/>
          <w:szCs w:val="32"/>
          <w:lang w:val="en-US" w:eastAsia="zh-CN" w:bidi="ar-SA"/>
        </w:rPr>
        <w:t>收集汇总全县各行业</w:t>
      </w:r>
      <w:r>
        <w:rPr>
          <w:rFonts w:hint="eastAsia" w:ascii="Times New Roman" w:hAnsi="Times New Roman" w:eastAsia="方正仿宋_GBK" w:cs="Times New Roman"/>
          <w:b w:val="0"/>
          <w:bCs w:val="0"/>
          <w:color w:val="000000"/>
          <w:kern w:val="2"/>
          <w:sz w:val="32"/>
          <w:szCs w:val="32"/>
          <w:lang w:val="en-US" w:eastAsia="zh-CN" w:bidi="ar-SA"/>
        </w:rPr>
        <w:t>安</w:t>
      </w:r>
      <w:r>
        <w:rPr>
          <w:rFonts w:hint="eastAsia" w:ascii="Times New Roman" w:hAnsi="Times New Roman" w:eastAsia="方正仿宋_GBK" w:cs="方正仿宋_GBK"/>
          <w:b w:val="0"/>
          <w:bCs w:val="0"/>
          <w:color w:val="000000"/>
          <w:kern w:val="2"/>
          <w:sz w:val="32"/>
          <w:szCs w:val="32"/>
          <w:lang w:val="en-US" w:eastAsia="zh-CN" w:bidi="ar-SA"/>
        </w:rPr>
        <w:t>全生产和防灾减灾救灾工作基础数据，</w:t>
      </w:r>
      <w:r>
        <w:rPr>
          <w:rFonts w:hint="eastAsia" w:ascii="Times New Roman" w:hAnsi="Times New Roman" w:eastAsia="方正仿宋_GBK" w:cs="Times New Roman"/>
          <w:b w:val="0"/>
          <w:bCs w:val="0"/>
          <w:color w:val="000000"/>
          <w:kern w:val="2"/>
          <w:sz w:val="32"/>
          <w:szCs w:val="32"/>
          <w:lang w:val="en-US" w:eastAsia="zh-CN" w:bidi="ar-SA"/>
        </w:rPr>
        <w:t>制定印发全县安</w:t>
      </w:r>
      <w:r>
        <w:rPr>
          <w:rFonts w:hint="eastAsia" w:ascii="Times New Roman" w:hAnsi="Times New Roman" w:eastAsia="方正仿宋_GBK" w:cs="方正仿宋_GBK"/>
          <w:b w:val="0"/>
          <w:bCs w:val="0"/>
          <w:color w:val="000000"/>
          <w:kern w:val="2"/>
          <w:sz w:val="32"/>
          <w:szCs w:val="32"/>
          <w:lang w:val="en-US" w:eastAsia="zh-CN" w:bidi="ar-SA"/>
        </w:rPr>
        <w:t>全生产和防灾减灾救灾工作基础台账，指导督促各乡镇（街道）制定辖区安全管理“一本账”，做到管理对象心中有数。持续加强应急管理能力建设和安全隐患排查治理，做到“两覆盖”。制定全县</w:t>
      </w:r>
      <w:r>
        <w:rPr>
          <w:rFonts w:hint="eastAsia" w:ascii="Times New Roman" w:hAnsi="Times New Roman" w:eastAsia="方正仿宋_GBK" w:cs="方正仿宋_GBK"/>
          <w:b w:val="0"/>
          <w:bCs w:val="0"/>
          <w:kern w:val="2"/>
          <w:sz w:val="32"/>
          <w:szCs w:val="32"/>
          <w:lang w:val="en-US" w:eastAsia="zh-CN" w:bidi="ar-SA"/>
        </w:rPr>
        <w:t>应急管理组织架构图、安全风险分布图、救援物资装备分布图和各类突发事件应急处置流程图等“四图”，增强应急管理工作可视化。做到应急岗位设置、安全职责落实、风险隐患排查、应急调度和考核督查“五到位”，强化应急管理工作保障。</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default" w:ascii="Times New Roman" w:hAnsi="Times New Roman" w:eastAsia="方正楷体_GBK" w:cs="Times New Roman"/>
          <w:b w:val="0"/>
          <w:bCs w:val="0"/>
          <w:spacing w:val="0"/>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12</w:t>
      </w:r>
      <w:r>
        <w:rPr>
          <w:rFonts w:hint="eastAsia" w:ascii="Times New Roman" w:hAnsi="Times New Roman" w:eastAsia="方正仿宋_GBK" w:cs="方正仿宋_GBK"/>
          <w:b w:val="0"/>
          <w:bCs w:val="0"/>
          <w:spacing w:val="0"/>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加强风险评估管控体系建设。</w:t>
      </w:r>
      <w:r>
        <w:rPr>
          <w:rFonts w:hint="eastAsia" w:ascii="Times New Roman" w:hAnsi="Times New Roman" w:eastAsia="方正仿宋_GBK" w:cs="Times New Roman"/>
          <w:b w:val="0"/>
          <w:bCs w:val="0"/>
          <w:kern w:val="2"/>
          <w:sz w:val="32"/>
          <w:szCs w:val="32"/>
          <w:lang w:val="en-US" w:eastAsia="zh-CN" w:bidi="ar-SA"/>
        </w:rPr>
        <w:t>构建政府、部门风险研判制度，定期研判本地区本行业领域风险，建立台账；在重要时段、重要节点或发生重大变化时，针对性开展风险研判，部署防范措施，发布风险预警，积极应对处置。构建企事业单位风险研判制度，在全面研判的基础上，使用新工艺、新技术、新材料和新设备，或出现重大变化、实施危险作业时，加强针对性风险辨识，实施有效防范应对。</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13</w:t>
      </w:r>
      <w:r>
        <w:rPr>
          <w:rFonts w:hint="eastAsia" w:ascii="Times New Roman" w:hAnsi="Times New Roman" w:eastAsia="方正仿宋_GBK" w:cs="方正仿宋_GBK"/>
          <w:b w:val="0"/>
          <w:bCs w:val="0"/>
          <w:spacing w:val="0"/>
          <w:kern w:val="2"/>
          <w:sz w:val="32"/>
          <w:szCs w:val="32"/>
          <w:lang w:val="en-US" w:eastAsia="zh-CN" w:bidi="ar-SA"/>
        </w:rPr>
        <w:t>．开展重点行业领域专项治理。</w:t>
      </w:r>
      <w:r>
        <w:rPr>
          <w:rFonts w:hint="eastAsia" w:ascii="Times New Roman" w:hAnsi="Times New Roman" w:eastAsia="方正仿宋_GBK" w:cs="Times New Roman"/>
          <w:b w:val="0"/>
          <w:bCs w:val="0"/>
          <w:kern w:val="2"/>
          <w:sz w:val="32"/>
          <w:szCs w:val="32"/>
          <w:lang w:val="en-US" w:eastAsia="zh-CN" w:bidi="ar-SA"/>
        </w:rPr>
        <w:t>在道路交通领域，加强对“三客一危一校”和工程运输等重点车辆“三超一疲劳”整治；集中开展网约车违规运营和责任主体失管问题治理；突出临水临崖、急弯陡坡等险要路段，强化农村道路“生命工程”建设。在建设施工领域，聚焦公路、铁路、水利、市政等重点项目，大力整治关键岗位人员不到岗不履职、无证上岗、危险性较大的分部分项工程方案和设计施工“两张皮”等问题。在消防领域，持续开展遗留问题大起底、消防设施大排查、突出问题大执法专项整治，对重点单位的电气焊作业实施全链条管理。在危险化学品领域，集中整治生产、储存、经营、使用、运输和废弃处置等环节的重大事故隐患。在燃气领域，持续围绕问题气、问题瓶、问题阀、问题管、问题网、问题环境开展隐患排查整治，依法严厉查处外力破坏燃气管道等违法行为。在危险作业领域，以“委托外包、检修维修、有限空间”三大作业为重点，有效解决突出问题，增强薄弱环节工作。在小散工程和零星作业领域，落实小工程、小装修、小维修、小场所等作业安全监管责任，解决“无人管”的问题。</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14</w:t>
      </w:r>
      <w:r>
        <w:rPr>
          <w:rFonts w:hint="eastAsia" w:ascii="Times New Roman" w:hAnsi="Times New Roman" w:eastAsia="方正仿宋_GBK" w:cs="方正仿宋_GBK"/>
          <w:b w:val="0"/>
          <w:bCs w:val="0"/>
          <w:spacing w:val="0"/>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强化自然灾害风险隐患管控。</w:t>
      </w:r>
      <w:r>
        <w:rPr>
          <w:rFonts w:hint="eastAsia" w:ascii="Times New Roman" w:hAnsi="Times New Roman" w:eastAsia="方正仿宋_GBK" w:cs="Times New Roman"/>
          <w:b w:val="0"/>
          <w:bCs w:val="0"/>
          <w:kern w:val="2"/>
          <w:sz w:val="32"/>
          <w:szCs w:val="32"/>
          <w:lang w:val="en-US" w:eastAsia="zh-CN" w:bidi="ar-SA"/>
        </w:rPr>
        <w:t>严格落实“1+7+N”会商研判机制，完善以重大气象灾害预警为先导的临灾会商模式。持续健全“一行业一措施、一乡镇一方案”预警响应规范体系，严格按标准落实“断禁停撤疏”等熔断机制和队伍、装备物资的前置机制。推进自然灾害综合风险普查成果应用，落实“防汛三查”（汛前排查、汛中巡查、汛后核查）和“降雨三查”制度，按照“五查五看”工作方法，加强洪涝、地质灾害、森林火灾风险隐患排查和清单动态闭环管理。积极配合市级部门建立小流域山洪风险管控机制，落实“隐患点+风险区”双控模式，完善地质灾害“点线面”一体化风险管控机制。</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楷体_GBK" w:cs="Times New Roman"/>
          <w:b w:val="0"/>
          <w:bCs w:val="0"/>
          <w:spacing w:val="0"/>
          <w:kern w:val="2"/>
          <w:sz w:val="32"/>
          <w:szCs w:val="32"/>
          <w:lang w:val="en-US" w:eastAsia="zh-CN" w:bidi="ar-SA"/>
        </w:rPr>
      </w:pPr>
      <w:r>
        <w:rPr>
          <w:rFonts w:hint="eastAsia" w:ascii="Times New Roman" w:hAnsi="Times New Roman" w:eastAsia="方正楷体_GBK" w:cs="Times New Roman"/>
          <w:b w:val="0"/>
          <w:bCs w:val="0"/>
          <w:spacing w:val="0"/>
          <w:kern w:val="2"/>
          <w:sz w:val="32"/>
          <w:szCs w:val="32"/>
          <w:lang w:val="en-US" w:eastAsia="zh-CN" w:bidi="ar-SA"/>
        </w:rPr>
        <w:t>（四）着眼基础建设，提高风险隐患防控能力</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15</w:t>
      </w:r>
      <w:r>
        <w:rPr>
          <w:rFonts w:hint="eastAsia" w:ascii="Times New Roman" w:hAnsi="Times New Roman" w:eastAsia="方正仿宋_GBK" w:cs="方正仿宋_GBK"/>
          <w:b w:val="0"/>
          <w:bCs w:val="0"/>
          <w:spacing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推进城市安全发展建设。</w:t>
      </w:r>
      <w:r>
        <w:rPr>
          <w:rFonts w:hint="eastAsia" w:ascii="Times New Roman" w:hAnsi="Times New Roman" w:eastAsia="方正仿宋_GBK" w:cs="Times New Roman"/>
          <w:b w:val="0"/>
          <w:bCs w:val="0"/>
          <w:kern w:val="2"/>
          <w:sz w:val="32"/>
          <w:szCs w:val="32"/>
          <w:lang w:val="en-US" w:eastAsia="zh-CN" w:bidi="ar-SA"/>
        </w:rPr>
        <w:t>加强城市运行安全信息化管理和指挥体系建设，强化下水道、化粪池、地下管线、燃气管道、桥梁等城市“生命线”风险动态监测和管控。建立完善城市风险管控、隐患排查治理、突发事件应对处置等管控机制。制定危险化学品、矿山、工贸等“禁限控”目录，严格城市安全规划控制。推进“机械化换人、自动化减人”，提升重点行业领域自动化、智能化水平。</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16</w:t>
      </w:r>
      <w:r>
        <w:rPr>
          <w:rFonts w:hint="eastAsia" w:ascii="Times New Roman" w:hAnsi="Times New Roman" w:eastAsia="方正仿宋_GBK" w:cs="方正仿宋_GBK"/>
          <w:b w:val="0"/>
          <w:bCs w:val="0"/>
          <w:spacing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全面提升群众安全素养。</w:t>
      </w:r>
      <w:r>
        <w:rPr>
          <w:rFonts w:hint="eastAsia" w:ascii="Times New Roman" w:hAnsi="Times New Roman" w:eastAsia="方正仿宋_GBK" w:cs="Times New Roman"/>
          <w:b w:val="0"/>
          <w:bCs w:val="0"/>
          <w:kern w:val="2"/>
          <w:sz w:val="32"/>
          <w:szCs w:val="32"/>
          <w:lang w:val="en-US" w:eastAsia="zh-CN" w:bidi="ar-SA"/>
        </w:rPr>
        <w:t>坚持开展防灾减灾救灾知识“五进”、安全生产月、“</w:t>
      </w:r>
      <w:r>
        <w:rPr>
          <w:rFonts w:hint="default" w:ascii="Times New Roman" w:hAnsi="Times New Roman" w:eastAsia="方正仿宋_GBK" w:cs="Times New Roman"/>
          <w:b w:val="0"/>
          <w:bCs w:val="0"/>
          <w:kern w:val="2"/>
          <w:sz w:val="32"/>
          <w:szCs w:val="32"/>
          <w:lang w:val="en-US" w:eastAsia="zh-CN" w:bidi="ar-SA"/>
        </w:rPr>
        <w:t>5</w:t>
      </w:r>
      <w:r>
        <w:rPr>
          <w:rFonts w:hint="eastAsia" w:ascii="Times New Roman" w:hAnsi="Times New Roman" w:eastAsia="方正仿宋_GBK" w:cs="Times New Roman"/>
          <w:b w:val="0"/>
          <w:bCs w:val="0"/>
          <w:kern w:val="2"/>
          <w:sz w:val="32"/>
          <w:szCs w:val="32"/>
          <w:lang w:val="en-US" w:eastAsia="zh-CN" w:bidi="ar-SA"/>
        </w:rPr>
        <w:t>·12”防灾减灾日、“青年安全生产示范岗”、安全文化示范企业创建等活动，深挖应急管理典型创新做法，争取入选“新重庆里看应急”典型实践案例，营造“比、学、赶、超”良好氛围，提升全民安全意识、安全素养。</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17</w:t>
      </w:r>
      <w:r>
        <w:rPr>
          <w:rFonts w:hint="eastAsia" w:ascii="Times New Roman" w:hAnsi="Times New Roman" w:eastAsia="方正仿宋_GBK" w:cs="方正仿宋_GBK"/>
          <w:b w:val="0"/>
          <w:bCs w:val="0"/>
          <w:color w:val="000000"/>
          <w:spacing w:val="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推进基层应急管理体系建设。结合党建统领</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一中心四板块一网格</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基层治理体系建设，按照</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有机构、有人员、有条件、有能力、有规则</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标准，完善基层应急管理体系，加强人员、装备、车辆保障。</w:t>
      </w:r>
      <w:r>
        <w:rPr>
          <w:rFonts w:hint="eastAsia" w:ascii="Times New Roman" w:hAnsi="Times New Roman" w:eastAsia="方正仿宋_GBK" w:cs="Times New Roman"/>
          <w:b w:val="0"/>
          <w:bCs w:val="0"/>
          <w:snapToGrid w:val="0"/>
          <w:color w:val="000000"/>
          <w:kern w:val="0"/>
          <w:sz w:val="32"/>
          <w:szCs w:val="32"/>
          <w:u w:val="none" w:color="auto"/>
          <w:lang w:val="en-US" w:eastAsia="zh-CN" w:bidi="ar-SA"/>
        </w:rPr>
        <w:t>建成一体化治理智治平台，</w:t>
      </w:r>
      <w:r>
        <w:rPr>
          <w:rFonts w:ascii="Times New Roman" w:hAnsi="Times New Roman" w:eastAsia="方正仿宋_GBK" w:cs="Times New Roman"/>
          <w:b w:val="0"/>
          <w:bCs w:val="0"/>
          <w:snapToGrid w:val="0"/>
          <w:color w:val="000000"/>
          <w:kern w:val="0"/>
          <w:sz w:val="32"/>
          <w:szCs w:val="32"/>
          <w:u w:val="none" w:color="auto"/>
          <w:lang w:val="en-US" w:eastAsia="zh-CN" w:bidi="ar-SA"/>
        </w:rPr>
        <w:t>实现</w:t>
      </w:r>
      <w:r>
        <w:rPr>
          <w:rFonts w:hint="default" w:ascii="Times New Roman" w:hAnsi="Times New Roman" w:eastAsia="方正仿宋_GBK" w:cs="Times New Roman"/>
          <w:b w:val="0"/>
          <w:bCs w:val="0"/>
          <w:color w:val="000000"/>
          <w:kern w:val="2"/>
          <w:sz w:val="32"/>
          <w:szCs w:val="32"/>
          <w:lang w:val="en-US" w:eastAsia="zh-CN" w:bidi="ar-SA"/>
        </w:rPr>
        <w:t>县、乡镇（街道）两级贯通，并通过移动工作端延伸到村（社区）、网格</w:t>
      </w:r>
      <w:r>
        <w:rPr>
          <w:rFonts w:hint="eastAsia" w:ascii="Times New Roman" w:hAnsi="Times New Roman" w:eastAsia="方正仿宋_GBK" w:cs="Times New Roman"/>
          <w:b w:val="0"/>
          <w:bCs w:val="0"/>
          <w:color w:val="000000"/>
          <w:kern w:val="2"/>
          <w:sz w:val="32"/>
          <w:szCs w:val="32"/>
          <w:lang w:val="en-US" w:eastAsia="zh-CN" w:bidi="ar-SA"/>
        </w:rPr>
        <w:t>，夯实安全治理“最后一米”。</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18</w:t>
      </w:r>
      <w:r>
        <w:rPr>
          <w:rFonts w:hint="eastAsia" w:ascii="Times New Roman" w:hAnsi="Times New Roman" w:eastAsia="方正仿宋_GBK" w:cs="方正仿宋_GBK"/>
          <w:b w:val="0"/>
          <w:bCs w:val="0"/>
          <w:spacing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筑牢防灾减灾基础。持续推进自然灾害防治基础设施建设。统筹开展城市排水工程整治，开展地质灾害点工程治理13处，完成避险搬迁781户，加快水文设施现代化提档升级，全力推动山洪灾害防治工程建设，治理河道5</w:t>
      </w:r>
      <w:r>
        <w:rPr>
          <w:rFonts w:hint="eastAsia" w:ascii="Times New Roman" w:hAnsi="Times New Roman" w:eastAsia="方正仿宋_GBK" w:cs="Times New Roman"/>
          <w:b w:val="0"/>
          <w:bCs w:val="0"/>
          <w:kern w:val="2"/>
          <w:sz w:val="32"/>
          <w:szCs w:val="32"/>
          <w:lang w:val="en-US" w:eastAsia="zh-CN" w:bidi="ar-SA"/>
        </w:rPr>
        <w:t>公里</w:t>
      </w:r>
      <w:r>
        <w:rPr>
          <w:rFonts w:hint="default" w:ascii="Times New Roman" w:hAnsi="Times New Roman" w:eastAsia="方正仿宋_GBK" w:cs="Times New Roman"/>
          <w:b w:val="0"/>
          <w:bCs w:val="0"/>
          <w:kern w:val="2"/>
          <w:sz w:val="32"/>
          <w:szCs w:val="32"/>
          <w:lang w:val="en-US" w:eastAsia="zh-CN" w:bidi="ar-SA"/>
        </w:rPr>
        <w:t>，新建自动气象站6个、应急叫应设备50台，新建防火道路68.49公里，改建14.78公里，建设生物防火隔离带9299亩。加快推进应急避难场所建设，实现自然村全覆盖。</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方正楷体_GBK" w:cs="方正楷体_GBK"/>
          <w:b w:val="0"/>
          <w:bCs w:val="0"/>
          <w:kern w:val="2"/>
          <w:sz w:val="32"/>
          <w:szCs w:val="32"/>
          <w:lang w:val="en-US" w:eastAsia="zh-CN" w:bidi="ar-SA"/>
        </w:rPr>
      </w:pPr>
      <w:r>
        <w:rPr>
          <w:rFonts w:hint="eastAsia" w:ascii="Times New Roman" w:hAnsi="Times New Roman" w:eastAsia="方正楷体_GBK" w:cs="方正楷体_GBK"/>
          <w:b w:val="0"/>
          <w:bCs w:val="0"/>
          <w:kern w:val="2"/>
          <w:sz w:val="32"/>
          <w:szCs w:val="32"/>
          <w:lang w:val="en-US" w:eastAsia="zh-CN" w:bidi="ar-SA"/>
        </w:rPr>
        <w:t>（五）注重应急救援，高效应对各类事故灾害</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19</w:t>
      </w:r>
      <w:r>
        <w:rPr>
          <w:rFonts w:hint="eastAsia" w:ascii="Times New Roman" w:hAnsi="Times New Roman" w:eastAsia="方正仿宋_GBK" w:cs="方正仿宋_GBK"/>
          <w:b w:val="0"/>
          <w:bCs w:val="0"/>
          <w:spacing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完善</w:t>
      </w:r>
      <w:r>
        <w:rPr>
          <w:rFonts w:hint="default" w:ascii="Times New Roman" w:hAnsi="Times New Roman" w:eastAsia="方正仿宋_GBK" w:cs="Times New Roman"/>
          <w:b w:val="0"/>
          <w:bCs w:val="0"/>
          <w:kern w:val="2"/>
          <w:sz w:val="32"/>
          <w:szCs w:val="32"/>
          <w:lang w:val="en-US" w:eastAsia="zh-CN" w:bidi="ar-SA"/>
        </w:rPr>
        <w:t>应急预案体系，加强应急演练。</w:t>
      </w:r>
      <w:r>
        <w:rPr>
          <w:rFonts w:hint="eastAsia" w:ascii="Times New Roman" w:hAnsi="Times New Roman" w:eastAsia="方正仿宋_GBK" w:cs="Times New Roman"/>
          <w:b w:val="0"/>
          <w:bCs w:val="0"/>
          <w:kern w:val="2"/>
          <w:sz w:val="32"/>
          <w:szCs w:val="32"/>
          <w:lang w:val="en-US" w:eastAsia="zh-CN" w:bidi="ar-SA"/>
        </w:rPr>
        <w:t>推进应急预案修编，围绕突发事件各阶段工作特点及要求，加强风险研判和情景构建，优化现场处置方案，增强预案的针对性、实用性和可操作性。开展县级突发事件总体应急预案修编，建立完善“总体预案抓纲举目、专项预案分线部署、村社预案细化应对”县乡村三级预案体系。强化应急预案演练，综合运用实战演练和桌面推演等方式，确保各级各部门以及各救援力量熟悉应急处置程序、处置措施和要求，解决应急准备、组织指挥和协同配合等方面存在的问题。</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20．</w:t>
      </w:r>
      <w:r>
        <w:rPr>
          <w:rFonts w:hint="default" w:ascii="Times New Roman" w:hAnsi="Times New Roman" w:eastAsia="方正仿宋_GBK" w:cs="Times New Roman"/>
          <w:b w:val="0"/>
          <w:bCs w:val="0"/>
          <w:kern w:val="2"/>
          <w:sz w:val="32"/>
          <w:szCs w:val="32"/>
          <w:lang w:val="en-US" w:eastAsia="zh-CN" w:bidi="ar-SA"/>
        </w:rPr>
        <w:t>强化救援队伍建设，深化应急联动。</w:t>
      </w:r>
      <w:r>
        <w:rPr>
          <w:rFonts w:hint="eastAsia" w:ascii="Times New Roman" w:hAnsi="Times New Roman" w:eastAsia="方正仿宋_GBK" w:cs="Times New Roman"/>
          <w:b w:val="0"/>
          <w:bCs w:val="0"/>
          <w:kern w:val="2"/>
          <w:sz w:val="32"/>
          <w:szCs w:val="32"/>
          <w:lang w:val="en-US" w:eastAsia="zh-CN" w:bidi="ar-SA"/>
        </w:rPr>
        <w:t>按照建制化、模块化要求，形成县级综合救援队伍、区域救援中心、乡镇（街道）应急救援队伍和村（社区）网格队伍四级救援体系，进一步充实乡镇（街道）应急救援队伍力量，加强应急力量储备。推进基层救援队伍标准化建设，按照“三直、十有”标准，全力推行持证救援，开展救援技能大比武1次，切实提高队伍正规化、规范化、专业化建设水平。深化应急联动机制，每两年开展1次与周边区县的应急处置联合演练，进一步健全区域联动协调应急处置机制。</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21</w:t>
      </w:r>
      <w:r>
        <w:rPr>
          <w:rFonts w:hint="eastAsia" w:ascii="Times New Roman" w:hAnsi="Times New Roman" w:eastAsia="方正仿宋_GBK" w:cs="方正仿宋_GBK"/>
          <w:b w:val="0"/>
          <w:bCs w:val="0"/>
          <w:spacing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强化装备物资配备，提升保障能力。</w:t>
      </w:r>
      <w:r>
        <w:rPr>
          <w:rFonts w:hint="eastAsia" w:ascii="Times New Roman" w:hAnsi="Times New Roman" w:eastAsia="方正仿宋_GBK" w:cs="Times New Roman"/>
          <w:b w:val="0"/>
          <w:bCs w:val="0"/>
          <w:color w:val="auto"/>
          <w:kern w:val="2"/>
          <w:sz w:val="32"/>
          <w:szCs w:val="32"/>
          <w:lang w:val="en-US" w:eastAsia="zh-CN" w:bidi="ar-SA"/>
        </w:rPr>
        <w:t>落实森林防灭火、防汛抗旱、地震地质灾害等装备物资的保障准备，</w:t>
      </w:r>
      <w:r>
        <w:rPr>
          <w:rFonts w:hint="eastAsia" w:ascii="Times New Roman" w:hAnsi="Times New Roman" w:eastAsia="方正仿宋_GBK" w:cs="Times New Roman"/>
          <w:b w:val="0"/>
          <w:bCs w:val="0"/>
          <w:kern w:val="2"/>
          <w:sz w:val="32"/>
          <w:szCs w:val="32"/>
          <w:lang w:val="en-US" w:eastAsia="zh-CN" w:bidi="ar-SA"/>
        </w:rPr>
        <w:t>补充库存棉被、帐篷、应急包等各类物资1.8万余件。</w:t>
      </w:r>
      <w:r>
        <w:rPr>
          <w:rFonts w:hint="eastAsia" w:ascii="Times New Roman" w:hAnsi="Times New Roman" w:eastAsia="方正仿宋_GBK" w:cs="Times New Roman"/>
          <w:b w:val="0"/>
          <w:bCs w:val="0"/>
          <w:color w:val="auto"/>
          <w:kern w:val="2"/>
          <w:sz w:val="32"/>
          <w:szCs w:val="32"/>
          <w:lang w:val="en-US" w:eastAsia="zh-CN" w:bidi="ar-SA"/>
        </w:rPr>
        <w:t>加强应急装备物资统管统调机制建设</w:t>
      </w:r>
      <w:r>
        <w:rPr>
          <w:rFonts w:hint="eastAsia" w:ascii="Times New Roman" w:hAnsi="Times New Roman" w:eastAsia="方正仿宋_GBK" w:cs="方正仿宋_GBK"/>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按照“灾种特点、风险级别、防范短板”差异化原则，精准前置救援物资至8个中心乡镇，</w:t>
      </w:r>
      <w:r>
        <w:rPr>
          <w:rFonts w:hint="eastAsia" w:ascii="Times New Roman" w:hAnsi="Times New Roman" w:eastAsia="方正仿宋_GBK" w:cs="方正仿宋_GBK"/>
          <w:b w:val="0"/>
          <w:bCs w:val="0"/>
          <w:kern w:val="2"/>
          <w:sz w:val="32"/>
          <w:szCs w:val="32"/>
          <w:lang w:val="en-US" w:eastAsia="zh-CN" w:bidi="ar-SA"/>
        </w:rPr>
        <w:t>确保关键时刻“调得出、用得上”，</w:t>
      </w:r>
      <w:r>
        <w:rPr>
          <w:rFonts w:hint="eastAsia" w:ascii="Times New Roman" w:hAnsi="Times New Roman" w:eastAsia="方正仿宋_GBK" w:cs="Times New Roman"/>
          <w:b w:val="0"/>
          <w:bCs w:val="0"/>
          <w:kern w:val="2"/>
          <w:sz w:val="32"/>
          <w:szCs w:val="32"/>
          <w:lang w:val="en-US" w:eastAsia="zh-CN" w:bidi="ar-SA"/>
        </w:rPr>
        <w:t>实现“小灾属地能自救，大灾县级快增援”。</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22</w:t>
      </w:r>
      <w:r>
        <w:rPr>
          <w:rFonts w:hint="eastAsia" w:ascii="Times New Roman" w:hAnsi="Times New Roman" w:eastAsia="方正仿宋_GBK" w:cs="方正仿宋_GBK"/>
          <w:b w:val="0"/>
          <w:bCs w:val="0"/>
          <w:spacing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强化</w:t>
      </w:r>
      <w:r>
        <w:rPr>
          <w:rFonts w:hint="eastAsia" w:ascii="Times New Roman" w:hAnsi="Times New Roman" w:eastAsia="方正仿宋_GBK" w:cs="Times New Roman"/>
          <w:b w:val="0"/>
          <w:bCs w:val="0"/>
          <w:kern w:val="2"/>
          <w:sz w:val="32"/>
          <w:szCs w:val="32"/>
          <w:lang w:val="en-US" w:eastAsia="zh-CN" w:bidi="ar-SA"/>
        </w:rPr>
        <w:t>灾后</w:t>
      </w:r>
      <w:r>
        <w:rPr>
          <w:rFonts w:hint="default" w:ascii="Times New Roman" w:hAnsi="Times New Roman" w:eastAsia="方正仿宋_GBK" w:cs="Times New Roman"/>
          <w:b w:val="0"/>
          <w:bCs w:val="0"/>
          <w:kern w:val="2"/>
          <w:sz w:val="32"/>
          <w:szCs w:val="32"/>
          <w:lang w:val="en-US" w:eastAsia="zh-CN" w:bidi="ar-SA"/>
        </w:rPr>
        <w:t>救灾救助</w:t>
      </w:r>
      <w:r>
        <w:rPr>
          <w:rFonts w:hint="eastAsia" w:ascii="Times New Roman" w:hAnsi="Times New Roman" w:eastAsia="方正仿宋_GBK" w:cs="Times New Roman"/>
          <w:b w:val="0"/>
          <w:bCs w:val="0"/>
          <w:kern w:val="2"/>
          <w:sz w:val="32"/>
          <w:szCs w:val="32"/>
          <w:lang w:val="en-US" w:eastAsia="zh-CN" w:bidi="ar-SA"/>
        </w:rPr>
        <w:t>，增强群众安全感</w:t>
      </w: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严格实施应急期救助、因灾遇难人员家属抚慰、过渡期生活救助、冬春临时生活困难救助和倒损住房恢复重建救助，规范自然灾害生活救助资金“一卡通”管理，保证救助资金及时、安全、准确、足额发放到户到人。明确市、县、乡镇三级救灾物资全链条闭环调拨使用管理机制，探索救灾物资多元储备渠道，有效保障受灾困难群众基本生活。</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方正楷体_GBK" w:cs="方正楷体_GBK"/>
          <w:b w:val="0"/>
          <w:bCs w:val="0"/>
          <w:kern w:val="2"/>
          <w:sz w:val="32"/>
          <w:szCs w:val="32"/>
          <w:lang w:val="en-US" w:eastAsia="zh-CN" w:bidi="ar-SA"/>
        </w:rPr>
      </w:pPr>
      <w:r>
        <w:rPr>
          <w:rFonts w:hint="eastAsia" w:ascii="Times New Roman" w:hAnsi="Times New Roman" w:eastAsia="方正楷体_GBK" w:cs="方正楷体_GBK"/>
          <w:b w:val="0"/>
          <w:bCs w:val="0"/>
          <w:kern w:val="2"/>
          <w:sz w:val="32"/>
          <w:szCs w:val="32"/>
          <w:lang w:val="en-US" w:eastAsia="zh-CN" w:bidi="ar-SA"/>
        </w:rPr>
        <w:t>（六）围绕数字应急，推动构建数智治理新格局</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kern w:val="2"/>
          <w:sz w:val="32"/>
          <w:szCs w:val="36"/>
          <w:lang w:val="en-US" w:eastAsia="zh-CN" w:bidi="ar-SA"/>
        </w:rPr>
      </w:pPr>
      <w:r>
        <w:rPr>
          <w:rFonts w:hint="eastAsia" w:ascii="Times New Roman" w:hAnsi="Times New Roman" w:eastAsia="方正仿宋_GBK" w:cs="Times New Roman"/>
          <w:b w:val="0"/>
          <w:bCs w:val="0"/>
          <w:kern w:val="2"/>
          <w:sz w:val="32"/>
          <w:szCs w:val="32"/>
          <w:lang w:val="en-US" w:eastAsia="zh-CN" w:bidi="ar-SA"/>
        </w:rPr>
        <w:t>23</w:t>
      </w:r>
      <w:r>
        <w:rPr>
          <w:rFonts w:hint="eastAsia" w:ascii="Times New Roman" w:hAnsi="Times New Roman" w:eastAsia="方正仿宋_GBK" w:cs="方正仿宋_GBK"/>
          <w:b w:val="0"/>
          <w:bCs w:val="0"/>
          <w:spacing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融合打造“一中心八系统”</w:t>
      </w: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着力打破部门信息数据壁垒，整合公安、交通、水利、林业、教育等各重点行业部门数字平台，接入县</w:t>
      </w:r>
      <w:r>
        <w:rPr>
          <w:rFonts w:hint="eastAsia" w:ascii="Times New Roman" w:hAnsi="Times New Roman" w:eastAsia="方正仿宋_GBK" w:cs="Times New Roman"/>
          <w:b w:val="0"/>
          <w:bCs w:val="0"/>
          <w:kern w:val="2"/>
          <w:sz w:val="32"/>
          <w:szCs w:val="36"/>
          <w:lang w:val="en-US" w:eastAsia="zh-CN" w:bidi="ar-SA"/>
        </w:rPr>
        <w:t>应急指挥调度中心，实现数据共享。在</w:t>
      </w:r>
      <w:r>
        <w:rPr>
          <w:rFonts w:hint="eastAsia" w:ascii="Times New Roman" w:hAnsi="Times New Roman" w:eastAsia="方正仿宋_GBK" w:cs="Times New Roman"/>
          <w:b w:val="0"/>
          <w:bCs w:val="0"/>
          <w:kern w:val="2"/>
          <w:sz w:val="32"/>
          <w:szCs w:val="32"/>
          <w:lang w:val="en-US" w:eastAsia="zh-CN" w:bidi="ar-SA"/>
        </w:rPr>
        <w:t>县</w:t>
      </w:r>
      <w:r>
        <w:rPr>
          <w:rFonts w:hint="eastAsia" w:ascii="Times New Roman" w:hAnsi="Times New Roman" w:eastAsia="方正仿宋_GBK" w:cs="Times New Roman"/>
          <w:b w:val="0"/>
          <w:bCs w:val="0"/>
          <w:kern w:val="2"/>
          <w:sz w:val="32"/>
          <w:szCs w:val="36"/>
          <w:lang w:val="en-US" w:eastAsia="zh-CN" w:bidi="ar-SA"/>
        </w:rPr>
        <w:t>应急指挥调度中心综合平台下设</w:t>
      </w:r>
      <w:r>
        <w:rPr>
          <w:rFonts w:hint="eastAsia" w:ascii="Times New Roman" w:hAnsi="Times New Roman" w:eastAsia="方正仿宋_GBK" w:cs="方正仿宋_GBK"/>
          <w:b w:val="0"/>
          <w:bCs w:val="0"/>
          <w:kern w:val="2"/>
          <w:sz w:val="32"/>
          <w:szCs w:val="32"/>
          <w:lang w:val="en-US" w:eastAsia="zh-CN" w:bidi="ar-SA"/>
        </w:rPr>
        <w:t>“互联网+执法”、风险监测预警、安全信息宣传、事故灾害报送、应急预案、救援物资装备、应急队伍和事故灾害调查等八个子系统，录入各类信息并实时更新，</w:t>
      </w:r>
      <w:r>
        <w:rPr>
          <w:rFonts w:hint="eastAsia" w:ascii="Times New Roman" w:hAnsi="Times New Roman" w:eastAsia="方正仿宋_GBK" w:cs="Times New Roman"/>
          <w:b w:val="0"/>
          <w:bCs w:val="0"/>
          <w:kern w:val="2"/>
          <w:sz w:val="32"/>
          <w:szCs w:val="32"/>
          <w:lang w:val="en-US" w:eastAsia="zh-CN" w:bidi="ar-SA"/>
        </w:rPr>
        <w:t>切实推动应急管理从人防到技防的转变</w:t>
      </w:r>
      <w:r>
        <w:rPr>
          <w:rFonts w:hint="eastAsia" w:ascii="Times New Roman" w:hAnsi="Times New Roman" w:eastAsia="方正仿宋_GBK" w:cs="Times New Roman"/>
          <w:b w:val="0"/>
          <w:bCs w:val="0"/>
          <w:kern w:val="2"/>
          <w:sz w:val="32"/>
          <w:szCs w:val="36"/>
          <w:lang w:val="en-US" w:eastAsia="zh-CN" w:bidi="ar-SA"/>
        </w:rPr>
        <w:t>，确保监管有力、应对有序、处置高效。</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pPr>
      <w:r>
        <w:rPr>
          <w:rFonts w:hint="eastAsia" w:ascii="Times New Roman" w:hAnsi="Times New Roman" w:eastAsia="方正仿宋_GBK" w:cs="Times New Roman"/>
          <w:b w:val="0"/>
          <w:bCs w:val="0"/>
          <w:kern w:val="2"/>
          <w:sz w:val="32"/>
          <w:szCs w:val="32"/>
          <w:lang w:val="en-US" w:eastAsia="zh-CN" w:bidi="ar-SA"/>
        </w:rPr>
        <w:t>24</w:t>
      </w:r>
      <w:r>
        <w:rPr>
          <w:rFonts w:hint="eastAsia" w:ascii="Times New Roman" w:hAnsi="Times New Roman" w:eastAsia="方正仿宋_GBK" w:cs="方正仿宋_GBK"/>
          <w:b w:val="0"/>
          <w:bCs w:val="0"/>
          <w:spacing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升级迭代安全清单运行机制。</w:t>
      </w:r>
      <w:r>
        <w:rPr>
          <w:rFonts w:hint="default"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进一步完善</w:t>
      </w:r>
      <w:r>
        <w:rPr>
          <w:rFonts w:hint="eastAsia"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安全生产问题清单</w:t>
      </w:r>
      <w:r>
        <w:rPr>
          <w:rFonts w:hint="default"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考核评价机制，</w:t>
      </w:r>
      <w:r>
        <w:rPr>
          <w:rFonts w:hint="eastAsia" w:ascii="Times New Roman" w:hAnsi="Times New Roman" w:eastAsia="方正仿宋_GBK" w:cs="Times New Roman"/>
          <w:b w:val="0"/>
          <w:bCs w:val="0"/>
          <w:kern w:val="2"/>
          <w:sz w:val="32"/>
          <w:szCs w:val="32"/>
          <w:lang w:val="en-US" w:eastAsia="zh-CN" w:bidi="ar-SA"/>
        </w:rPr>
        <w:t>坚持清单管理推动</w:t>
      </w:r>
      <w:r>
        <w:rPr>
          <w:rFonts w:hint="eastAsia" w:ascii="Times New Roman" w:hAnsi="Times New Roman" w:eastAsia="方正仿宋_GBK" w:cs="方正仿宋_GBK"/>
          <w:b w:val="0"/>
          <w:bCs w:val="0"/>
          <w:kern w:val="2"/>
          <w:sz w:val="32"/>
          <w:szCs w:val="32"/>
          <w:lang w:val="en-US" w:eastAsia="zh-CN" w:bidi="ar-SA"/>
        </w:rPr>
        <w:t>主动发现、高效整改、长效预防问题</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夯实各级安全责任，提升安全治理水平，推动安全问题清单</w:t>
      </w:r>
      <w:r>
        <w:rPr>
          <w:rFonts w:hint="eastAsia"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保“</w:t>
      </w:r>
      <w:r>
        <w:rPr>
          <w:rFonts w:hint="default"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蓝</w:t>
      </w:r>
      <w:r>
        <w:rPr>
          <w:rFonts w:hint="eastAsia"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”争“</w:t>
      </w:r>
      <w:r>
        <w:rPr>
          <w:rFonts w:hint="default"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绿</w:t>
      </w:r>
      <w:r>
        <w:rPr>
          <w:rFonts w:hint="eastAsia"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w:t>
      </w:r>
      <w:r>
        <w:rPr>
          <w:rFonts w:hint="default"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、升舱进位</w:t>
      </w:r>
      <w:r>
        <w:rPr>
          <w:rFonts w:hint="eastAsia" w:ascii="Times New Roman" w:hAnsi="Times New Roman" w:eastAsia="方正仿宋_GBK" w:cs="方正仿宋_GBK"/>
          <w:b w:val="0"/>
          <w:bCs w:val="0"/>
          <w:i w:val="0"/>
          <w:iCs w:val="0"/>
          <w:caps w:val="0"/>
          <w:color w:val="000000"/>
          <w:spacing w:val="0"/>
          <w:kern w:val="2"/>
          <w:sz w:val="33"/>
          <w:szCs w:val="33"/>
          <w:shd w:val="clear" w:fill="FFFFFF"/>
          <w:lang w:val="en-US" w:eastAsia="zh-CN" w:bidi="ar-SA"/>
        </w:rPr>
        <w:t>，努力将安全问题清单转化为高分报表。</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25</w:t>
      </w:r>
      <w:r>
        <w:rPr>
          <w:rFonts w:hint="eastAsia" w:ascii="Times New Roman" w:hAnsi="Times New Roman" w:eastAsia="方正仿宋_GBK" w:cs="方正仿宋_GBK"/>
          <w:b w:val="0"/>
          <w:bCs w:val="0"/>
          <w:spacing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推进重点应用场景建设。</w:t>
      </w:r>
      <w:r>
        <w:rPr>
          <w:rFonts w:hint="eastAsia" w:ascii="Times New Roman" w:hAnsi="Times New Roman" w:eastAsia="方正仿宋_GBK" w:cs="Times New Roman"/>
          <w:b w:val="0"/>
          <w:bCs w:val="0"/>
          <w:kern w:val="2"/>
          <w:sz w:val="32"/>
          <w:szCs w:val="32"/>
          <w:lang w:val="en-US" w:eastAsia="zh-CN" w:bidi="ar-SA"/>
        </w:rPr>
        <w:t>以</w:t>
      </w:r>
      <w:r>
        <w:rPr>
          <w:rFonts w:hint="default" w:ascii="Times New Roman" w:hAnsi="Times New Roman" w:eastAsia="方正仿宋_GBK" w:cs="Times New Roman"/>
          <w:b w:val="0"/>
          <w:bCs w:val="0"/>
          <w:kern w:val="2"/>
          <w:sz w:val="32"/>
          <w:szCs w:val="32"/>
          <w:lang w:val="en-US" w:eastAsia="zh-CN" w:bidi="ar-SA"/>
        </w:rPr>
        <w:t>水</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电</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气</w:t>
      </w:r>
      <w:r>
        <w:rPr>
          <w:rFonts w:hint="eastAsia" w:ascii="Times New Roman" w:hAnsi="Times New Roman" w:eastAsia="方正仿宋_GBK" w:cs="Times New Roman"/>
          <w:b w:val="0"/>
          <w:bCs w:val="0"/>
          <w:kern w:val="2"/>
          <w:sz w:val="32"/>
          <w:szCs w:val="32"/>
          <w:lang w:val="en-US" w:eastAsia="zh-CN" w:bidi="ar-SA"/>
        </w:rPr>
        <w:t>设施设备、</w:t>
      </w:r>
      <w:r>
        <w:rPr>
          <w:rFonts w:hint="default" w:ascii="Times New Roman" w:hAnsi="Times New Roman" w:eastAsia="方正仿宋_GBK" w:cs="Times New Roman"/>
          <w:b w:val="0"/>
          <w:bCs w:val="0"/>
          <w:kern w:val="2"/>
          <w:sz w:val="32"/>
          <w:szCs w:val="32"/>
          <w:lang w:val="en-US" w:eastAsia="zh-CN" w:bidi="ar-SA"/>
        </w:rPr>
        <w:t>桥梁、有限空间等</w:t>
      </w:r>
      <w:r>
        <w:rPr>
          <w:rFonts w:hint="eastAsia" w:ascii="Times New Roman" w:hAnsi="Times New Roman" w:eastAsia="方正仿宋_GBK" w:cs="Times New Roman"/>
          <w:b w:val="0"/>
          <w:bCs w:val="0"/>
          <w:kern w:val="2"/>
          <w:sz w:val="32"/>
          <w:szCs w:val="32"/>
          <w:lang w:val="en-US" w:eastAsia="zh-CN" w:bidi="ar-SA"/>
        </w:rPr>
        <w:t>为重点，指导建设</w:t>
      </w:r>
      <w:r>
        <w:rPr>
          <w:rFonts w:hint="eastAsia" w:ascii="Times New Roman" w:hAnsi="Times New Roman" w:eastAsia="方正仿宋_GBK" w:cs="方正仿宋_GBK"/>
          <w:b w:val="0"/>
          <w:bCs w:val="0"/>
          <w:kern w:val="2"/>
          <w:sz w:val="32"/>
          <w:szCs w:val="32"/>
          <w:lang w:val="en-US" w:eastAsia="zh-CN" w:bidi="ar-SA"/>
        </w:rPr>
        <w:t>危险化学品</w:t>
      </w:r>
      <w:r>
        <w:rPr>
          <w:rFonts w:hint="default" w:ascii="Times New Roman" w:hAnsi="Times New Roman" w:eastAsia="方正仿宋_GBK" w:cs="Times New Roman"/>
          <w:b w:val="0"/>
          <w:bCs w:val="0"/>
          <w:kern w:val="2"/>
          <w:sz w:val="32"/>
          <w:szCs w:val="32"/>
          <w:lang w:val="en-US" w:eastAsia="zh-CN" w:bidi="ar-SA"/>
        </w:rPr>
        <w:t>重大危险源、矿山、建设施工、交通、水利、消防等</w:t>
      </w:r>
      <w:r>
        <w:rPr>
          <w:rFonts w:hint="eastAsia" w:ascii="Times New Roman" w:hAnsi="Times New Roman" w:eastAsia="方正仿宋_GBK" w:cs="Times New Roman"/>
          <w:b w:val="0"/>
          <w:bCs w:val="0"/>
          <w:kern w:val="2"/>
          <w:sz w:val="32"/>
          <w:szCs w:val="32"/>
          <w:lang w:val="en-US" w:eastAsia="zh-CN" w:bidi="ar-SA"/>
        </w:rPr>
        <w:t>重点</w:t>
      </w:r>
      <w:r>
        <w:rPr>
          <w:rFonts w:hint="default" w:ascii="Times New Roman" w:hAnsi="Times New Roman" w:eastAsia="方正仿宋_GBK" w:cs="Times New Roman"/>
          <w:b w:val="0"/>
          <w:bCs w:val="0"/>
          <w:kern w:val="2"/>
          <w:sz w:val="32"/>
          <w:szCs w:val="32"/>
          <w:lang w:val="en-US" w:eastAsia="zh-CN" w:bidi="ar-SA"/>
        </w:rPr>
        <w:t>行业领域安全风险监测预警系统。</w:t>
      </w:r>
      <w:r>
        <w:rPr>
          <w:rFonts w:hint="eastAsia" w:ascii="Times New Roman" w:hAnsi="Times New Roman" w:eastAsia="方正仿宋_GBK" w:cs="Times New Roman"/>
          <w:b w:val="0"/>
          <w:bCs w:val="0"/>
          <w:kern w:val="2"/>
          <w:sz w:val="32"/>
          <w:szCs w:val="32"/>
          <w:lang w:val="en-US" w:eastAsia="zh-CN" w:bidi="ar-SA"/>
        </w:rPr>
        <w:t>加强监测预警设备布防，重点部位落实视频监控系统，山洪灾害易发区设立雨水情监测站点。加强“一件事”特色应用建设力度，加快综合风险监测预警、危化品全链条监管、应急指挥智救、应急物资管理、安全履职一本账、九小场所智慧监管等应用场景开发上线。</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26</w:t>
      </w:r>
      <w:r>
        <w:rPr>
          <w:rFonts w:hint="eastAsia" w:ascii="Times New Roman" w:hAnsi="Times New Roman" w:eastAsia="方正仿宋_GBK" w:cs="方正仿宋_GBK"/>
          <w:b w:val="0"/>
          <w:bCs w:val="0"/>
          <w:spacing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加强重点行业领域</w:t>
      </w:r>
      <w:r>
        <w:rPr>
          <w:rFonts w:hint="eastAsia" w:ascii="Times New Roman" w:hAnsi="Times New Roman" w:eastAsia="方正仿宋_GBK" w:cs="Times New Roman"/>
          <w:b w:val="0"/>
          <w:bCs w:val="0"/>
          <w:kern w:val="2"/>
          <w:sz w:val="32"/>
          <w:szCs w:val="32"/>
          <w:lang w:val="en-US" w:eastAsia="zh-CN" w:bidi="ar-SA"/>
        </w:rPr>
        <w:t>数字</w:t>
      </w:r>
      <w:r>
        <w:rPr>
          <w:rFonts w:hint="default" w:ascii="Times New Roman" w:hAnsi="Times New Roman" w:eastAsia="方正仿宋_GBK" w:cs="Times New Roman"/>
          <w:b w:val="0"/>
          <w:bCs w:val="0"/>
          <w:kern w:val="2"/>
          <w:sz w:val="32"/>
          <w:szCs w:val="32"/>
          <w:lang w:val="en-US" w:eastAsia="zh-CN" w:bidi="ar-SA"/>
        </w:rPr>
        <w:t>化手段应用。</w:t>
      </w:r>
      <w:r>
        <w:rPr>
          <w:rFonts w:hint="eastAsia" w:ascii="Times New Roman" w:hAnsi="Times New Roman" w:eastAsia="方正仿宋_GBK" w:cs="Times New Roman"/>
          <w:b w:val="0"/>
          <w:bCs w:val="0"/>
          <w:kern w:val="2"/>
          <w:sz w:val="32"/>
          <w:szCs w:val="32"/>
          <w:lang w:val="en-US" w:eastAsia="zh-CN" w:bidi="ar-SA"/>
        </w:rPr>
        <w:t>全面推进数字消防、智慧特种设备、智慧交通、智慧电梯、智慧工地、智慧燃气等智慧工程建设，实现风险防控标准化、可视化、智能化。持续推动“两客一危”车辆动态监测、驾驶人智能监控报警装置安装升级，加大高层建筑消防安全数字化智能监管应用建设力度，加大“智慧气瓶”质量安全追溯管理应用覆盖面，推动工业机器人、智能装备在危险工序广泛应用。</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黑体_GBK" w:cs="黑体"/>
          <w:b w:val="0"/>
          <w:bCs w:val="0"/>
          <w:color w:val="000000"/>
          <w:spacing w:val="0"/>
          <w:kern w:val="2"/>
          <w:sz w:val="32"/>
          <w:szCs w:val="32"/>
          <w:lang w:val="en-US" w:eastAsia="zh-CN" w:bidi="zh-TW"/>
        </w:rPr>
      </w:pPr>
      <w:bookmarkStart w:id="2" w:name="bookmark33"/>
      <w:bookmarkEnd w:id="2"/>
      <w:bookmarkStart w:id="3" w:name="bookmark32"/>
      <w:bookmarkEnd w:id="3"/>
      <w:bookmarkStart w:id="4" w:name="bookmark34"/>
      <w:bookmarkEnd w:id="4"/>
      <w:bookmarkStart w:id="5" w:name="bookmark35"/>
      <w:bookmarkEnd w:id="5"/>
      <w:r>
        <w:rPr>
          <w:rFonts w:hint="eastAsia" w:ascii="Times New Roman" w:hAnsi="Times New Roman" w:eastAsia="方正黑体_GBK" w:cs="黑体"/>
          <w:b w:val="0"/>
          <w:bCs w:val="0"/>
          <w:color w:val="000000"/>
          <w:spacing w:val="0"/>
          <w:kern w:val="2"/>
          <w:sz w:val="32"/>
          <w:szCs w:val="32"/>
          <w:lang w:val="en-US" w:eastAsia="zh-CN" w:bidi="zh-TW"/>
        </w:rPr>
        <w:t>三、重点行动</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黑体_GBK" w:cs="黑体"/>
          <w:b w:val="0"/>
          <w:bCs w:val="0"/>
          <w:color w:val="000000"/>
          <w:spacing w:val="0"/>
          <w:kern w:val="2"/>
          <w:sz w:val="32"/>
          <w:szCs w:val="32"/>
          <w:lang w:val="en-US" w:eastAsia="zh-CN" w:bidi="zh-TW"/>
        </w:rPr>
      </w:pPr>
      <w:r>
        <w:rPr>
          <w:rFonts w:hint="eastAsia" w:ascii="Times New Roman" w:hAnsi="Times New Roman" w:eastAsia="方正楷体_GBK" w:cs="仿宋"/>
          <w:b w:val="0"/>
          <w:bCs w:val="0"/>
          <w:spacing w:val="0"/>
          <w:kern w:val="2"/>
          <w:sz w:val="32"/>
          <w:szCs w:val="32"/>
          <w:lang w:val="en-US" w:eastAsia="zh-CN" w:bidi="ar-SA"/>
        </w:rPr>
        <w:t>（一）实施安全生产治本攻坚行动。</w:t>
      </w:r>
      <w:r>
        <w:rPr>
          <w:rFonts w:ascii="Times New Roman" w:hAnsi="Times New Roman" w:eastAsia="方正仿宋_GBK" w:cs="方正仿宋_GBK"/>
          <w:b w:val="0"/>
          <w:bCs w:val="0"/>
          <w:color w:val="000000"/>
          <w:kern w:val="0"/>
          <w:sz w:val="32"/>
          <w:szCs w:val="32"/>
          <w:lang w:val="en-US" w:eastAsia="zh-CN" w:bidi="ar"/>
        </w:rPr>
        <w:t>启动</w:t>
      </w:r>
      <w:r>
        <w:rPr>
          <w:rFonts w:hint="eastAsia" w:ascii="Times New Roman" w:hAnsi="Times New Roman" w:eastAsia="方正仿宋_GBK" w:cs="方正仿宋_GBK"/>
          <w:b w:val="0"/>
          <w:bCs w:val="0"/>
          <w:color w:val="000000"/>
          <w:kern w:val="0"/>
          <w:sz w:val="32"/>
          <w:szCs w:val="32"/>
          <w:lang w:val="en-US" w:eastAsia="zh-CN" w:bidi="ar"/>
        </w:rPr>
        <w:t>全县</w:t>
      </w:r>
      <w:r>
        <w:rPr>
          <w:rFonts w:ascii="Times New Roman" w:hAnsi="Times New Roman" w:eastAsia="方正仿宋_GBK" w:cs="方正仿宋_GBK"/>
          <w:b w:val="0"/>
          <w:bCs w:val="0"/>
          <w:color w:val="000000"/>
          <w:kern w:val="0"/>
          <w:sz w:val="32"/>
          <w:szCs w:val="32"/>
          <w:lang w:val="en-US" w:eastAsia="zh-CN" w:bidi="ar"/>
        </w:rPr>
        <w:t>安全生产治本攻坚</w:t>
      </w:r>
      <w:r>
        <w:rPr>
          <w:rFonts w:hint="eastAsia" w:ascii="Times New Roman" w:hAnsi="Times New Roman" w:eastAsia="方正仿宋_GBK" w:cs="方正仿宋_GBK"/>
          <w:b w:val="0"/>
          <w:bCs w:val="0"/>
          <w:color w:val="000000"/>
          <w:kern w:val="0"/>
          <w:sz w:val="32"/>
          <w:szCs w:val="32"/>
          <w:lang w:val="en-US" w:eastAsia="zh-CN" w:bidi="ar"/>
        </w:rPr>
        <w:t>三年行动，强化各乡镇（街道）、部门和生产经营单位统筹发展和安全的理念，切实提高风险隐患排查整改质量以及发现问题、解决问题的强烈意愿和能力水平。落实一批“人防、技防、工程防、管理防”措施，大力提升本质安全水平。</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color w:val="000000"/>
          <w:kern w:val="0"/>
          <w:sz w:val="32"/>
          <w:szCs w:val="32"/>
          <w:lang w:val="en-US" w:eastAsia="zh-CN" w:bidi="ar"/>
        </w:rPr>
      </w:pPr>
      <w:r>
        <w:rPr>
          <w:rFonts w:hint="eastAsia" w:ascii="Times New Roman" w:hAnsi="Times New Roman" w:eastAsia="方正楷体_GBK" w:cs="仿宋"/>
          <w:b w:val="0"/>
          <w:bCs w:val="0"/>
          <w:spacing w:val="0"/>
          <w:kern w:val="2"/>
          <w:sz w:val="32"/>
          <w:szCs w:val="32"/>
          <w:lang w:val="en-US" w:eastAsia="zh-CN" w:bidi="ar-SA"/>
        </w:rPr>
        <w:t>（二）实施应急管理体系和能力创新激励行动。</w:t>
      </w:r>
      <w:r>
        <w:rPr>
          <w:rFonts w:hint="eastAsia" w:ascii="Times New Roman" w:hAnsi="Times New Roman" w:eastAsia="方正仿宋_GBK" w:cs="方正仿宋_GBK"/>
          <w:b w:val="0"/>
          <w:bCs w:val="0"/>
          <w:color w:val="000000"/>
          <w:kern w:val="0"/>
          <w:sz w:val="32"/>
          <w:szCs w:val="32"/>
          <w:lang w:val="en-US" w:eastAsia="zh-CN" w:bidi="ar"/>
        </w:rPr>
        <w:t>鼓励安全生产与防灾减灾救灾工作创新，积极创建和推荐应急管理体系和能力建设典型实践案例参与市级评选，广泛发动各级各部门申报“最佳实践案例”和“改革创新奖”，发挥示范引领作用，整体提升全县应急管理水平。</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color w:val="000000"/>
          <w:kern w:val="0"/>
          <w:sz w:val="32"/>
          <w:szCs w:val="32"/>
          <w:lang w:val="en-US" w:eastAsia="zh-CN" w:bidi="ar"/>
        </w:rPr>
      </w:pPr>
      <w:r>
        <w:rPr>
          <w:rFonts w:hint="eastAsia" w:ascii="Times New Roman" w:hAnsi="Times New Roman" w:eastAsia="方正楷体_GBK" w:cs="仿宋"/>
          <w:b w:val="0"/>
          <w:bCs w:val="0"/>
          <w:spacing w:val="0"/>
          <w:kern w:val="2"/>
          <w:sz w:val="32"/>
          <w:szCs w:val="32"/>
          <w:lang w:val="en-US" w:eastAsia="zh-CN" w:bidi="ar-SA"/>
        </w:rPr>
        <w:t>（三）实施自然灾害防减救提升行动。</w:t>
      </w:r>
      <w:r>
        <w:rPr>
          <w:rFonts w:hint="eastAsia" w:ascii="Times New Roman" w:hAnsi="Times New Roman" w:eastAsia="方正仿宋_GBK" w:cs="方正仿宋_GBK"/>
          <w:b w:val="0"/>
          <w:bCs w:val="0"/>
          <w:color w:val="000000"/>
          <w:kern w:val="0"/>
          <w:sz w:val="32"/>
          <w:szCs w:val="32"/>
          <w:lang w:val="en-US" w:eastAsia="zh-CN" w:bidi="ar"/>
        </w:rPr>
        <w:t>积极争取国债项目资金，高质量推动预警指挥、基层防灾能力提升工程，构建“县级、乡镇（街道）、村（社区）”三级梯次化救援体系。利用冬春窗口期，加强自然灾害防治基础建设，提升城乡基础设施、重大工程的设防水平，进一步增强自然灾害风险防范和应对能力。</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color w:val="000000"/>
          <w:kern w:val="0"/>
          <w:sz w:val="32"/>
          <w:szCs w:val="32"/>
          <w:lang w:val="en-US" w:eastAsia="zh-CN" w:bidi="ar"/>
        </w:rPr>
      </w:pPr>
      <w:r>
        <w:rPr>
          <w:rFonts w:hint="eastAsia" w:ascii="Times New Roman" w:hAnsi="Times New Roman" w:eastAsia="方正楷体_GBK" w:cs="仿宋"/>
          <w:b w:val="0"/>
          <w:bCs w:val="0"/>
          <w:spacing w:val="0"/>
          <w:kern w:val="2"/>
          <w:sz w:val="32"/>
          <w:szCs w:val="32"/>
          <w:lang w:val="en-US" w:eastAsia="zh-CN" w:bidi="ar-SA"/>
        </w:rPr>
        <w:t>（四）实施三峡库区危岩地灾治理行动。</w:t>
      </w:r>
      <w:r>
        <w:rPr>
          <w:rFonts w:hint="eastAsia" w:ascii="Times New Roman" w:hAnsi="Times New Roman" w:eastAsia="方正仿宋_GBK" w:cs="方正仿宋_GBK"/>
          <w:b w:val="0"/>
          <w:bCs w:val="0"/>
          <w:color w:val="000000"/>
          <w:kern w:val="0"/>
          <w:sz w:val="32"/>
          <w:szCs w:val="32"/>
          <w:lang w:val="en-US" w:eastAsia="zh-CN" w:bidi="ar"/>
        </w:rPr>
        <w:t>强化三峡库区危岩地灾“点、线、面”一体化风险管控，抓实“防、治、救”关键环节，推进危岩治理工程。充分发挥抢险救援一线指挥部作用，配置大型救援装备，提升危岩地灾风险管控应用基本能力。</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color w:val="000000"/>
          <w:kern w:val="0"/>
          <w:sz w:val="32"/>
          <w:szCs w:val="32"/>
          <w:lang w:val="en-US" w:eastAsia="zh-CN" w:bidi="ar"/>
        </w:rPr>
      </w:pPr>
      <w:r>
        <w:rPr>
          <w:rFonts w:hint="eastAsia" w:ascii="Times New Roman" w:hAnsi="Times New Roman" w:eastAsia="方正楷体_GBK" w:cs="仿宋"/>
          <w:b w:val="0"/>
          <w:bCs w:val="0"/>
          <w:spacing w:val="0"/>
          <w:kern w:val="2"/>
          <w:sz w:val="32"/>
          <w:szCs w:val="32"/>
          <w:lang w:val="en-US" w:eastAsia="zh-CN" w:bidi="ar-SA"/>
        </w:rPr>
        <w:t>（五）实施全民安全素质提升行动。</w:t>
      </w:r>
      <w:r>
        <w:rPr>
          <w:rFonts w:hint="eastAsia" w:ascii="Times New Roman" w:hAnsi="Times New Roman" w:eastAsia="方正仿宋_GBK" w:cs="方正仿宋_GBK"/>
          <w:b w:val="0"/>
          <w:bCs w:val="0"/>
          <w:color w:val="000000"/>
          <w:kern w:val="0"/>
          <w:sz w:val="32"/>
          <w:szCs w:val="32"/>
          <w:lang w:val="en-US" w:eastAsia="zh-CN" w:bidi="ar"/>
        </w:rPr>
        <w:t>持续开展安全宣传“五进”、安全生产月、“</w:t>
      </w:r>
      <w:r>
        <w:rPr>
          <w:rFonts w:hint="default" w:ascii="Times New Roman" w:hAnsi="Times New Roman" w:eastAsia="方正仿宋_GBK" w:cs="Times New Roman"/>
          <w:b w:val="0"/>
          <w:bCs w:val="0"/>
          <w:color w:val="000000"/>
          <w:kern w:val="0"/>
          <w:sz w:val="32"/>
          <w:szCs w:val="32"/>
          <w:lang w:val="en-US" w:eastAsia="zh-CN" w:bidi="ar"/>
        </w:rPr>
        <w:t>5</w:t>
      </w:r>
      <w:r>
        <w:rPr>
          <w:rFonts w:hint="eastAsia" w:ascii="Times New Roman" w:hAnsi="Times New Roman" w:eastAsia="方正仿宋_GBK" w:cs="方正仿宋_GBK"/>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12</w:t>
      </w:r>
      <w:r>
        <w:rPr>
          <w:rFonts w:hint="eastAsia" w:ascii="Times New Roman" w:hAnsi="Times New Roman" w:eastAsia="方正仿宋_GBK" w:cs="方正仿宋_GBK"/>
          <w:b w:val="0"/>
          <w:bCs w:val="0"/>
          <w:color w:val="000000"/>
          <w:kern w:val="0"/>
          <w:sz w:val="32"/>
          <w:szCs w:val="32"/>
          <w:lang w:val="en-US" w:eastAsia="zh-CN" w:bidi="ar"/>
        </w:rPr>
        <w:t>”防灾减灾日、“安康杯”竞赛、“青年安全生产示范岗”、安全文化示范企业创建、“最美应急人”评选等活动，提升全民安全意识。</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ascii="Times New Roman" w:hAnsi="Times New Roman" w:eastAsia="方正黑体_GBK" w:cs="黑体"/>
          <w:b w:val="0"/>
          <w:bCs w:val="0"/>
          <w:spacing w:val="0"/>
          <w:kern w:val="2"/>
          <w:sz w:val="32"/>
          <w:szCs w:val="32"/>
          <w:lang w:val="zh-TW" w:eastAsia="zh-TW" w:bidi="zh-TW"/>
        </w:rPr>
      </w:pPr>
      <w:r>
        <w:rPr>
          <w:rFonts w:hint="eastAsia" w:ascii="Times New Roman" w:hAnsi="Times New Roman" w:eastAsia="方正黑体_GBK" w:cs="黑体"/>
          <w:b w:val="0"/>
          <w:bCs w:val="0"/>
          <w:color w:val="000000"/>
          <w:spacing w:val="0"/>
          <w:kern w:val="2"/>
          <w:sz w:val="32"/>
          <w:szCs w:val="32"/>
          <w:lang w:val="en-US" w:eastAsia="zh-CN" w:bidi="zh-TW"/>
        </w:rPr>
        <w:t>四</w:t>
      </w:r>
      <w:r>
        <w:rPr>
          <w:rFonts w:hint="eastAsia" w:ascii="Times New Roman" w:hAnsi="Times New Roman" w:eastAsia="方正黑体_GBK" w:cs="黑体"/>
          <w:b w:val="0"/>
          <w:bCs w:val="0"/>
          <w:color w:val="000000"/>
          <w:spacing w:val="0"/>
          <w:kern w:val="2"/>
          <w:sz w:val="32"/>
          <w:szCs w:val="32"/>
          <w:lang w:val="zh-TW" w:eastAsia="zh-TW" w:bidi="zh-TW"/>
        </w:rPr>
        <w:t>、工作要求</w:t>
      </w:r>
    </w:p>
    <w:p>
      <w:pPr>
        <w:keepNext w:val="0"/>
        <w:keepLines w:val="0"/>
        <w:pageBreakBefore w:val="0"/>
        <w:widowControl w:val="0"/>
        <w:tabs>
          <w:tab w:val="left" w:pos="761"/>
        </w:tabs>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spacing w:val="0"/>
          <w:kern w:val="2"/>
          <w:sz w:val="32"/>
          <w:szCs w:val="32"/>
          <w:lang w:val="en-US" w:eastAsia="zh-CN" w:bidi="ar-SA"/>
        </w:rPr>
      </w:pPr>
      <w:r>
        <w:rPr>
          <w:rFonts w:hint="eastAsia" w:ascii="Times New Roman" w:hAnsi="Times New Roman" w:eastAsia="方正楷体_GBK" w:cs="仿宋"/>
          <w:b w:val="0"/>
          <w:bCs w:val="0"/>
          <w:spacing w:val="0"/>
          <w:kern w:val="2"/>
          <w:sz w:val="32"/>
          <w:szCs w:val="32"/>
          <w:lang w:val="en-US" w:eastAsia="zh-CN" w:bidi="ar-SA"/>
        </w:rPr>
        <w:t>（一）强化组织领导。</w:t>
      </w:r>
      <w:r>
        <w:rPr>
          <w:rFonts w:hint="eastAsia" w:ascii="Times New Roman" w:hAnsi="Times New Roman" w:eastAsia="方正仿宋_GBK" w:cs="Times New Roman"/>
          <w:b w:val="0"/>
          <w:bCs w:val="0"/>
          <w:spacing w:val="0"/>
          <w:kern w:val="2"/>
          <w:sz w:val="32"/>
          <w:szCs w:val="32"/>
          <w:lang w:val="en-US" w:eastAsia="zh-CN" w:bidi="ar-SA"/>
        </w:rPr>
        <w:t>全县各级各部门</w:t>
      </w:r>
      <w:r>
        <w:rPr>
          <w:rFonts w:hint="eastAsia" w:ascii="Times New Roman" w:hAnsi="Times New Roman" w:eastAsia="方正仿宋_GBK" w:cs="Times New Roman"/>
          <w:b w:val="0"/>
          <w:bCs w:val="0"/>
          <w:kern w:val="2"/>
          <w:sz w:val="32"/>
          <w:szCs w:val="32"/>
          <w:lang w:val="en-US" w:eastAsia="zh-CN" w:bidi="ar-SA"/>
        </w:rPr>
        <w:t>要强化组织领导和统筹协调，做到主要负责人抓统筹、分管负责人抓具体、业务负责人抓落实，推动各项安排部署落实到位。要科学合理安排财政预算，做好安全生产与防灾减灾救灾工作各项任务措施的资金保障。</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楷体_GBK" w:cs="仿宋"/>
          <w:b w:val="0"/>
          <w:bCs w:val="0"/>
          <w:spacing w:val="0"/>
          <w:kern w:val="2"/>
          <w:sz w:val="32"/>
          <w:szCs w:val="32"/>
          <w:lang w:val="en-US" w:eastAsia="zh-CN" w:bidi="ar-SA"/>
        </w:rPr>
        <w:t>（二）强化激励约束。</w:t>
      </w:r>
      <w:r>
        <w:rPr>
          <w:rFonts w:hint="eastAsia" w:ascii="Times New Roman" w:hAnsi="Times New Roman" w:eastAsia="方正仿宋_GBK" w:cs="Times New Roman"/>
          <w:b w:val="0"/>
          <w:bCs w:val="0"/>
          <w:kern w:val="2"/>
          <w:sz w:val="32"/>
          <w:szCs w:val="32"/>
          <w:lang w:val="en-US" w:eastAsia="zh-CN" w:bidi="ar-SA"/>
        </w:rPr>
        <w:t>加强对应急管理工作人员的关心支持，做好表彰奖励工作，增强职业荣誉感和吸引力，加大安全生产与防灾减灾救灾工作督查力度。严格落实奖惩制度，对真抓实干、成效明显的乡镇（街道）或部门予以表彰，对出现特定情形的严格实行“一票否决”。</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方正仿宋_GBK" w:cs="方正仿宋_GBK"/>
          <w:b w:val="0"/>
          <w:bCs w:val="0"/>
          <w:sz w:val="32"/>
          <w:szCs w:val="32"/>
          <w:lang w:val="en-US" w:eastAsia="zh-CN"/>
        </w:rPr>
        <w:sectPr>
          <w:headerReference r:id="rId3" w:type="default"/>
          <w:footerReference r:id="rId4" w:type="default"/>
          <w:footerReference r:id="rId5" w:type="even"/>
          <w:pgSz w:w="11906" w:h="16838"/>
          <w:pgMar w:top="2098" w:right="1531" w:bottom="1985" w:left="1531" w:header="851" w:footer="1474" w:gutter="0"/>
          <w:pgNumType w:fmt="decimal"/>
          <w:cols w:space="425" w:num="1"/>
          <w:docGrid w:type="lines" w:linePitch="312" w:charSpace="0"/>
        </w:sectPr>
      </w:pPr>
      <w:r>
        <w:rPr>
          <w:rFonts w:hint="eastAsia" w:ascii="Times New Roman" w:hAnsi="Times New Roman" w:eastAsia="方正楷体_GBK" w:cs="仿宋"/>
          <w:b w:val="0"/>
          <w:bCs w:val="0"/>
          <w:spacing w:val="0"/>
          <w:kern w:val="2"/>
          <w:sz w:val="32"/>
          <w:szCs w:val="32"/>
          <w:lang w:val="en-US" w:eastAsia="zh-CN" w:bidi="ar-SA"/>
        </w:rPr>
        <w:t>（三）强化措施保障。</w:t>
      </w:r>
      <w:r>
        <w:rPr>
          <w:rFonts w:hint="eastAsia" w:ascii="Times New Roman" w:hAnsi="Times New Roman" w:eastAsia="方正仿宋_GBK" w:cs="方正仿宋_GBK"/>
          <w:b w:val="0"/>
          <w:bCs w:val="0"/>
          <w:kern w:val="2"/>
          <w:sz w:val="32"/>
          <w:szCs w:val="32"/>
          <w:lang w:val="en-US" w:eastAsia="zh-CN" w:bidi="ar-SA"/>
        </w:rPr>
        <w:t>聚焦重点行业领域、重点区域、重点企业，常态化开展明查暗访和督查督办，对发现的突出问题，通过提示函、警示函、通报、曝光等方式交办督办，推动重难点问题及时解决。对典型案例，开展警示约谈和事故复盘，分析原因并“回溯”责任，压实“排查、管控、整治”责任。</w:t>
      </w:r>
    </w:p>
    <w:p>
      <w:pPr>
        <w:keepNext w:val="0"/>
        <w:keepLines w:val="0"/>
        <w:pageBreakBefore w:val="0"/>
        <w:widowControl w:val="0"/>
        <w:kinsoku/>
        <w:wordWrap/>
        <w:overflowPunct w:val="0"/>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b w:val="0"/>
          <w:bCs w:val="0"/>
          <w:color w:val="000000"/>
          <w:spacing w:val="0"/>
          <w:kern w:val="2"/>
          <w:sz w:val="44"/>
          <w:szCs w:val="44"/>
          <w:lang w:val="en-US" w:eastAsia="zh-CN" w:bidi="zh-TW"/>
        </w:rPr>
      </w:pPr>
      <w:r>
        <w:rPr>
          <w:rFonts w:hint="eastAsia" w:ascii="Times New Roman" w:hAnsi="Times New Roman" w:eastAsia="方正小标宋_GBK" w:cs="方正小标宋_GBK"/>
          <w:b w:val="0"/>
          <w:bCs w:val="0"/>
          <w:color w:val="000000"/>
          <w:spacing w:val="0"/>
          <w:kern w:val="2"/>
          <w:sz w:val="44"/>
          <w:szCs w:val="44"/>
          <w:lang w:val="en-US" w:eastAsia="zh-CN" w:bidi="zh-TW"/>
        </w:rPr>
        <w:t>名词解释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ascii="Times New Roman" w:hAnsi="Times New Roman" w:eastAsia="方正仿宋_GBK" w:cs="方正仿宋_GBK"/>
          <w:b w:val="0"/>
          <w:bCs w:val="0"/>
          <w:color w:val="000000"/>
          <w:spacing w:val="0"/>
          <w:kern w:val="2"/>
          <w:sz w:val="32"/>
          <w:szCs w:val="32"/>
          <w:lang w:val="zh-TW" w:eastAsia="zh-CN" w:bidi="zh-TW"/>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ascii="Times New Roman" w:hAnsi="Times New Roman" w:eastAsia="方正仿宋_GBK" w:cs="方正仿宋_GBK"/>
          <w:b w:val="0"/>
          <w:bCs w:val="0"/>
          <w:color w:val="000000"/>
          <w:spacing w:val="0"/>
          <w:kern w:val="2"/>
          <w:sz w:val="32"/>
          <w:szCs w:val="32"/>
          <w:lang w:val="zh-TW" w:eastAsia="zh-CN" w:bidi="zh-TW"/>
        </w:rPr>
      </w:pPr>
      <w:r>
        <w:rPr>
          <w:rFonts w:hint="eastAsia" w:ascii="Times New Roman" w:hAnsi="Times New Roman" w:eastAsia="方正黑体_GBK" w:cs="方正黑体_GBK"/>
          <w:b w:val="0"/>
          <w:bCs w:val="0"/>
          <w:color w:val="000000"/>
          <w:spacing w:val="0"/>
          <w:kern w:val="2"/>
          <w:sz w:val="32"/>
          <w:szCs w:val="32"/>
          <w:lang w:val="en-US" w:eastAsia="zh-CN" w:bidi="zh-TW"/>
        </w:rPr>
        <w:t>一、</w:t>
      </w:r>
      <w:r>
        <w:rPr>
          <w:rFonts w:hint="eastAsia" w:ascii="Times New Roman" w:hAnsi="Times New Roman" w:eastAsia="方正黑体_GBK" w:cs="方正黑体_GBK"/>
          <w:b w:val="0"/>
          <w:bCs w:val="0"/>
          <w:kern w:val="2"/>
          <w:sz w:val="32"/>
          <w:szCs w:val="32"/>
          <w:lang w:val="en-US" w:eastAsia="zh-CN" w:bidi="ar-SA"/>
        </w:rPr>
        <w:t>“1245”工作法：</w:t>
      </w:r>
      <w:r>
        <w:rPr>
          <w:rFonts w:hint="eastAsia" w:ascii="Times New Roman" w:hAnsi="Times New Roman" w:eastAsia="方正仿宋_GBK" w:cs="方正仿宋_GBK"/>
          <w:b w:val="0"/>
          <w:bCs w:val="0"/>
          <w:kern w:val="2"/>
          <w:sz w:val="32"/>
          <w:szCs w:val="32"/>
          <w:lang w:val="en-US" w:eastAsia="zh-CN" w:bidi="ar-SA"/>
        </w:rPr>
        <w:t>“一本账”：安全生产和防灾减灾救灾工作基础台账；“两覆盖”：基层应急管理能力建设全覆盖、安全隐患排查治理全覆盖；“四张图”：应急管理组织架构图、安全风险分布图、救援物资装备分布图、应急处置流程图；“五到位”：应急岗位设置到位、安全职责落实到位、风险隐患排查到位、应急调度到位、考核督查到位。</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黑体_GBK" w:cs="方正黑体_GBK"/>
          <w:b w:val="0"/>
          <w:bCs w:val="0"/>
          <w:color w:val="000000"/>
          <w:spacing w:val="0"/>
          <w:kern w:val="2"/>
          <w:sz w:val="32"/>
          <w:szCs w:val="32"/>
          <w:lang w:val="en-US" w:eastAsia="zh-CN" w:bidi="zh-TW"/>
        </w:rPr>
        <w:t>二、一中心八系统：</w:t>
      </w:r>
      <w:r>
        <w:rPr>
          <w:rFonts w:hint="eastAsia" w:ascii="Times New Roman" w:hAnsi="Times New Roman" w:eastAsia="方正仿宋_GBK" w:cs="宋体"/>
          <w:b w:val="0"/>
          <w:bCs w:val="0"/>
          <w:spacing w:val="0"/>
          <w:kern w:val="2"/>
          <w:sz w:val="32"/>
          <w:szCs w:val="32"/>
          <w:lang w:val="en-US" w:eastAsia="zh-CN" w:bidi="zh-TW"/>
        </w:rPr>
        <w:t>“一中心”：</w:t>
      </w:r>
      <w:r>
        <w:rPr>
          <w:rFonts w:hint="eastAsia" w:ascii="Times New Roman" w:hAnsi="Times New Roman" w:eastAsia="方正仿宋_GBK" w:cs="Times New Roman"/>
          <w:b w:val="0"/>
          <w:bCs w:val="0"/>
          <w:kern w:val="2"/>
          <w:sz w:val="32"/>
          <w:szCs w:val="36"/>
          <w:lang w:val="en-US" w:eastAsia="zh-CN" w:bidi="ar-SA"/>
        </w:rPr>
        <w:t>县应急指挥调度中心</w:t>
      </w:r>
      <w:r>
        <w:rPr>
          <w:rFonts w:hint="eastAsia" w:ascii="Times New Roman" w:hAnsi="Times New Roman" w:eastAsia="方正仿宋_GBK" w:cs="方正仿宋_GBK"/>
          <w:b w:val="0"/>
          <w:bCs w:val="0"/>
          <w:kern w:val="2"/>
          <w:sz w:val="32"/>
          <w:szCs w:val="32"/>
          <w:lang w:val="en-US" w:eastAsia="zh-CN" w:bidi="ar-SA"/>
        </w:rPr>
        <w:t>；“八系统”：“互联网+执法”、风险监测预警、安全信息宣传、事故灾害报送、应急预案、救援物资装备、应急队伍和事故灾害调查八个子系统。</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黑体_GBK" w:cs="方正黑体_GBK"/>
          <w:b w:val="0"/>
          <w:bCs w:val="0"/>
          <w:color w:val="000000"/>
          <w:spacing w:val="0"/>
          <w:kern w:val="2"/>
          <w:sz w:val="32"/>
          <w:szCs w:val="32"/>
          <w:lang w:val="en-US" w:eastAsia="zh-CN" w:bidi="zh-TW"/>
        </w:rPr>
        <w:t>三、“12355”工作架构：</w:t>
      </w:r>
      <w:r>
        <w:rPr>
          <w:rFonts w:hint="eastAsia" w:ascii="Times New Roman" w:hAnsi="Times New Roman" w:eastAsia="方正仿宋_GBK" w:cs="方正仿宋_GBK"/>
          <w:b w:val="0"/>
          <w:bCs w:val="0"/>
          <w:kern w:val="2"/>
          <w:sz w:val="32"/>
          <w:szCs w:val="32"/>
          <w:lang w:val="en-US" w:eastAsia="zh-CN" w:bidi="ar-SA"/>
        </w:rPr>
        <w:t>“1”即</w:t>
      </w:r>
      <w:r>
        <w:rPr>
          <w:rFonts w:hint="eastAsia" w:ascii="Times New Roman" w:hAnsi="Times New Roman" w:eastAsia="方正仿宋_GBK" w:cs="宋体"/>
          <w:b w:val="0"/>
          <w:bCs w:val="0"/>
          <w:spacing w:val="0"/>
          <w:kern w:val="2"/>
          <w:sz w:val="32"/>
          <w:szCs w:val="32"/>
          <w:lang w:val="en-US" w:eastAsia="zh-CN" w:bidi="zh-TW"/>
        </w:rPr>
        <w:t>上下贯通、左右协同的大安全大应急格局；“2”即</w:t>
      </w:r>
      <w:r>
        <w:rPr>
          <w:rFonts w:hint="eastAsia" w:ascii="Times New Roman" w:hAnsi="Times New Roman" w:eastAsia="方正仿宋_GBK" w:cs="方正仿宋_GBK"/>
          <w:b w:val="0"/>
          <w:bCs w:val="0"/>
          <w:kern w:val="2"/>
          <w:sz w:val="32"/>
          <w:szCs w:val="32"/>
          <w:lang w:val="en-US" w:eastAsia="zh-CN" w:bidi="ar-SA"/>
        </w:rPr>
        <w:t>两条红线，防止发生</w:t>
      </w:r>
      <w:r>
        <w:rPr>
          <w:rFonts w:hint="eastAsia" w:ascii="Times New Roman" w:hAnsi="Times New Roman" w:eastAsia="方正仿宋_GBK" w:cs="宋体"/>
          <w:b w:val="0"/>
          <w:bCs w:val="0"/>
          <w:spacing w:val="0"/>
          <w:kern w:val="2"/>
          <w:sz w:val="32"/>
          <w:szCs w:val="32"/>
          <w:lang w:val="en-US" w:eastAsia="zh-CN" w:bidi="zh-TW"/>
        </w:rPr>
        <w:t>较大及以上安全事故和因灾亡人责任事件，防止安全生产事故亡人数上升；“3”即</w:t>
      </w:r>
      <w:r>
        <w:rPr>
          <w:rFonts w:hint="eastAsia" w:ascii="Times New Roman" w:hAnsi="Times New Roman" w:eastAsia="方正仿宋_GBK" w:cs="方正仿宋_GBK"/>
          <w:b w:val="0"/>
          <w:bCs w:val="0"/>
          <w:kern w:val="2"/>
          <w:sz w:val="32"/>
          <w:szCs w:val="32"/>
          <w:lang w:val="en-US" w:eastAsia="zh-CN" w:bidi="ar-SA"/>
        </w:rPr>
        <w:t>三方责任，</w:t>
      </w:r>
      <w:r>
        <w:rPr>
          <w:rFonts w:hint="eastAsia" w:ascii="Times New Roman" w:hAnsi="Times New Roman" w:eastAsia="方正仿宋_GBK" w:cs="方正仿宋_GBK"/>
          <w:b w:val="0"/>
          <w:bCs w:val="0"/>
          <w:spacing w:val="0"/>
          <w:kern w:val="2"/>
          <w:sz w:val="32"/>
          <w:szCs w:val="32"/>
          <w:lang w:val="en-US" w:eastAsia="zh-CN" w:bidi="ar-SA"/>
        </w:rPr>
        <w:t>党政领导责任、部门监管责任、企业主体责任；第一个“</w:t>
      </w:r>
      <w:r>
        <w:rPr>
          <w:rFonts w:hint="default" w:ascii="Times New Roman" w:hAnsi="Times New Roman" w:eastAsia="方正仿宋_GBK" w:cs="Times New Roman"/>
          <w:b w:val="0"/>
          <w:bCs w:val="0"/>
          <w:spacing w:val="0"/>
          <w:kern w:val="2"/>
          <w:sz w:val="32"/>
          <w:szCs w:val="32"/>
          <w:lang w:val="en-US" w:eastAsia="zh-CN" w:bidi="ar-SA"/>
        </w:rPr>
        <w:t>5</w:t>
      </w:r>
      <w:r>
        <w:rPr>
          <w:rFonts w:hint="eastAsia" w:ascii="Times New Roman" w:hAnsi="Times New Roman" w:eastAsia="方正仿宋_GBK" w:cs="方正仿宋_GBK"/>
          <w:b w:val="0"/>
          <w:bCs w:val="0"/>
          <w:spacing w:val="0"/>
          <w:kern w:val="2"/>
          <w:sz w:val="32"/>
          <w:szCs w:val="32"/>
          <w:lang w:val="en-US" w:eastAsia="zh-CN" w:bidi="ar-SA"/>
        </w:rPr>
        <w:t>”即</w:t>
      </w:r>
      <w:r>
        <w:rPr>
          <w:rFonts w:hint="eastAsia" w:ascii="Times New Roman" w:hAnsi="Times New Roman" w:eastAsia="方正仿宋_GBK" w:cs="方正仿宋_GBK"/>
          <w:b w:val="0"/>
          <w:bCs w:val="0"/>
          <w:kern w:val="2"/>
          <w:sz w:val="32"/>
          <w:szCs w:val="32"/>
          <w:lang w:val="en-US" w:eastAsia="zh-CN" w:bidi="ar-SA"/>
        </w:rPr>
        <w:t>五大行动，治本攻坚行动、集中整治行动、严格执法行动、减灾救灾行动、</w:t>
      </w:r>
      <w:r>
        <w:rPr>
          <w:rFonts w:hint="eastAsia" w:ascii="Times New Roman" w:hAnsi="Times New Roman" w:eastAsia="方正仿宋_GBK" w:cs="方正仿宋_GBK"/>
          <w:b w:val="0"/>
          <w:bCs w:val="0"/>
          <w:color w:val="000000"/>
          <w:kern w:val="2"/>
          <w:sz w:val="32"/>
          <w:szCs w:val="32"/>
          <w:lang w:val="en-US" w:eastAsia="zh-CN" w:bidi="ar-SA"/>
        </w:rPr>
        <w:t>警示曝光行动；</w:t>
      </w:r>
      <w:r>
        <w:rPr>
          <w:rFonts w:hint="eastAsia" w:ascii="Times New Roman" w:hAnsi="Times New Roman" w:eastAsia="方正仿宋_GBK" w:cs="方正仿宋_GBK"/>
          <w:b w:val="0"/>
          <w:bCs w:val="0"/>
          <w:spacing w:val="0"/>
          <w:kern w:val="2"/>
          <w:sz w:val="32"/>
          <w:szCs w:val="32"/>
          <w:lang w:val="en-US" w:eastAsia="zh-CN" w:bidi="ar-SA"/>
        </w:rPr>
        <w:t>第二个“</w:t>
      </w:r>
      <w:r>
        <w:rPr>
          <w:rFonts w:hint="default" w:ascii="Times New Roman" w:hAnsi="Times New Roman" w:eastAsia="方正仿宋_GBK" w:cs="Times New Roman"/>
          <w:b w:val="0"/>
          <w:bCs w:val="0"/>
          <w:spacing w:val="0"/>
          <w:kern w:val="2"/>
          <w:sz w:val="32"/>
          <w:szCs w:val="32"/>
          <w:lang w:val="en-US" w:eastAsia="zh-CN" w:bidi="ar-SA"/>
        </w:rPr>
        <w:t>5</w:t>
      </w:r>
      <w:r>
        <w:rPr>
          <w:rFonts w:hint="eastAsia" w:ascii="Times New Roman" w:hAnsi="Times New Roman" w:eastAsia="方正仿宋_GBK" w:cs="方正仿宋_GBK"/>
          <w:b w:val="0"/>
          <w:bCs w:val="0"/>
          <w:spacing w:val="0"/>
          <w:kern w:val="2"/>
          <w:sz w:val="32"/>
          <w:szCs w:val="32"/>
          <w:lang w:val="en-US" w:eastAsia="zh-CN" w:bidi="ar-SA"/>
        </w:rPr>
        <w:t>”即</w:t>
      </w:r>
      <w:r>
        <w:rPr>
          <w:rFonts w:hint="eastAsia" w:ascii="Times New Roman" w:hAnsi="Times New Roman" w:eastAsia="方正仿宋_GBK" w:cs="方正仿宋_GBK"/>
          <w:b w:val="0"/>
          <w:bCs w:val="0"/>
          <w:kern w:val="2"/>
          <w:sz w:val="32"/>
          <w:szCs w:val="32"/>
          <w:lang w:val="en-US" w:eastAsia="zh-CN" w:bidi="ar-SA"/>
        </w:rPr>
        <w:t>五大提升，安全基础提升、安全素养提升、监管能力提升、救援能力提升、数智治理提升。</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黑体_GBK" w:cs="方正黑体_GBK"/>
          <w:b w:val="0"/>
          <w:bCs w:val="0"/>
          <w:color w:val="000000"/>
          <w:spacing w:val="0"/>
          <w:kern w:val="2"/>
          <w:sz w:val="32"/>
          <w:szCs w:val="32"/>
          <w:lang w:val="en-US" w:eastAsia="zh-CN" w:bidi="zh-TW"/>
        </w:rPr>
        <w:t>四、三个挂钩：</w:t>
      </w:r>
      <w:r>
        <w:rPr>
          <w:rFonts w:hint="eastAsia" w:ascii="Times New Roman" w:hAnsi="Times New Roman" w:eastAsia="方正仿宋_GBK" w:cs="Times New Roman"/>
          <w:b w:val="0"/>
          <w:bCs w:val="0"/>
          <w:color w:val="auto"/>
          <w:kern w:val="2"/>
          <w:sz w:val="32"/>
          <w:szCs w:val="32"/>
          <w:lang w:val="en-US" w:eastAsia="zh-CN" w:bidi="ar-SA"/>
        </w:rPr>
        <w:t>与经济效益、行政许可、企业信誉挂钩。</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黑体_GBK" w:cs="方正黑体_GBK"/>
          <w:b w:val="0"/>
          <w:bCs w:val="0"/>
          <w:color w:val="000000"/>
          <w:spacing w:val="0"/>
          <w:kern w:val="2"/>
          <w:sz w:val="32"/>
          <w:szCs w:val="32"/>
          <w:lang w:val="en-US" w:eastAsia="zh-CN" w:bidi="zh-TW"/>
        </w:rPr>
        <w:t>五、防汛三查：</w:t>
      </w:r>
      <w:r>
        <w:rPr>
          <w:rFonts w:hint="eastAsia" w:ascii="Times New Roman" w:hAnsi="Times New Roman" w:eastAsia="方正仿宋_GBK" w:cs="Times New Roman"/>
          <w:b w:val="0"/>
          <w:bCs w:val="0"/>
          <w:kern w:val="2"/>
          <w:sz w:val="32"/>
          <w:szCs w:val="32"/>
          <w:lang w:val="en-US" w:eastAsia="zh-CN" w:bidi="ar-SA"/>
        </w:rPr>
        <w:t>汛前排查、汛中巡查、汛后核查。</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黑体_GBK" w:cs="方正黑体_GBK"/>
          <w:b w:val="0"/>
          <w:bCs w:val="0"/>
          <w:color w:val="000000"/>
          <w:spacing w:val="0"/>
          <w:kern w:val="2"/>
          <w:sz w:val="32"/>
          <w:szCs w:val="32"/>
          <w:lang w:val="en-US" w:eastAsia="zh-CN" w:bidi="zh-TW"/>
        </w:rPr>
        <w:t>六、五查五看：</w:t>
      </w:r>
      <w:r>
        <w:rPr>
          <w:rFonts w:hint="eastAsia" w:ascii="Times New Roman" w:hAnsi="Times New Roman" w:eastAsia="方正仿宋_GBK" w:cs="Times New Roman"/>
          <w:b w:val="0"/>
          <w:bCs w:val="0"/>
          <w:kern w:val="2"/>
          <w:sz w:val="32"/>
          <w:szCs w:val="32"/>
          <w:lang w:val="en-US" w:eastAsia="zh-CN" w:bidi="ar-SA"/>
        </w:rPr>
        <w:t>“五查”即看山、看水、看路、看坝、看房；“五看”即查电力线路、查燃气管网、查通讯设施、查交通道路、查涉水桥梁。</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ascii="Times New Roman" w:hAnsi="Times New Roman" w:eastAsia="方正仿宋_GBK" w:cs="方正仿宋_GBK"/>
          <w:b w:val="0"/>
          <w:bCs w:val="0"/>
          <w:color w:val="000000"/>
          <w:spacing w:val="0"/>
          <w:kern w:val="2"/>
          <w:sz w:val="32"/>
          <w:szCs w:val="32"/>
          <w:lang w:val="zh-TW" w:eastAsia="zh-CN" w:bidi="zh-TW"/>
        </w:rPr>
      </w:pPr>
      <w:r>
        <w:rPr>
          <w:rFonts w:hint="eastAsia" w:ascii="Times New Roman" w:hAnsi="Times New Roman" w:eastAsia="方正黑体_GBK" w:cs="方正黑体_GBK"/>
          <w:b w:val="0"/>
          <w:bCs w:val="0"/>
          <w:color w:val="000000"/>
          <w:spacing w:val="0"/>
          <w:kern w:val="2"/>
          <w:sz w:val="32"/>
          <w:szCs w:val="32"/>
          <w:lang w:val="en-US" w:eastAsia="zh-CN" w:bidi="zh-TW"/>
        </w:rPr>
        <w:t>七、三直、十有：</w:t>
      </w:r>
      <w:r>
        <w:rPr>
          <w:rFonts w:hint="eastAsia" w:ascii="Times New Roman" w:hAnsi="Times New Roman" w:eastAsia="方正仿宋_GBK" w:cs="Times New Roman"/>
          <w:b w:val="0"/>
          <w:bCs w:val="0"/>
          <w:kern w:val="2"/>
          <w:sz w:val="32"/>
          <w:szCs w:val="32"/>
          <w:lang w:val="en-US" w:eastAsia="zh-CN" w:bidi="ar-SA"/>
        </w:rPr>
        <w:t>“三直”即直接领导、直接建立、直接管理；“十有”即有专职人员、有办公场所、有营房仓库、有训练场地、有专业装备、有统一服装、有管理制度、有训练日志、有招录标准、有意外保险。</w:t>
      </w: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bookmarkStart w:id="6" w:name="_GoBack"/>
      <w:bookmarkEnd w:id="6"/>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bookmarkEnd w:id="0"/>
    <w:p>
      <w:pPr>
        <w:keepNext w:val="0"/>
        <w:keepLines w:val="0"/>
        <w:pageBreakBefore w:val="0"/>
        <w:widowControl w:val="0"/>
        <w:kinsoku/>
        <w:wordWrap/>
        <w:overflowPunct/>
        <w:topLinePunct w:val="0"/>
        <w:autoSpaceDE/>
        <w:autoSpaceDN/>
        <w:bidi w:val="0"/>
        <w:snapToGrid/>
        <w:spacing w:line="100" w:lineRule="exact"/>
        <w:ind w:firstLine="480" w:firstLineChars="150"/>
        <w:jc w:val="left"/>
        <w:rPr>
          <w:rFonts w:ascii="Times New Roman" w:hAnsi="Times New Roman" w:eastAsia="方正仿宋_GBK" w:cs="方正仿宋_GBK"/>
          <w:b w:val="0"/>
          <w:bCs w:val="0"/>
          <w:color w:val="000000"/>
          <w:spacing w:val="0"/>
          <w:sz w:val="32"/>
          <w:szCs w:val="32"/>
          <w:lang w:val="zh-TW" w:bidi="zh-TW"/>
        </w:rPr>
      </w:pPr>
    </w:p>
    <w:sectPr>
      <w:headerReference r:id="rId6" w:type="default"/>
      <w:footerReference r:id="rId7" w:type="even"/>
      <w:pgSz w:w="11906" w:h="16838"/>
      <w:pgMar w:top="2098" w:right="1531" w:bottom="1985"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15" w:rightChars="150"/>
      <w:jc w:val="left"/>
      <w:rPr>
        <w:rFonts w:hint="eastAsia"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315" w:leftChars="150"/>
      <w:jc w:val="left"/>
      <w:rPr>
        <w:rFonts w:ascii="Calibri" w:hAnsi="Calibri"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14</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15" w:leftChars="1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Calibri" w:eastAsia="宋体" w:cs="Times New Roman"/>
        <w:sz w:val="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YmI4ZWJmNGExZDE1OGIzNjBkYTllZWY0MmZlOGYifQ=="/>
  </w:docVars>
  <w:rsids>
    <w:rsidRoot w:val="00845394"/>
    <w:rsid w:val="00010E76"/>
    <w:rsid w:val="000730EF"/>
    <w:rsid w:val="0009107F"/>
    <w:rsid w:val="000A0D84"/>
    <w:rsid w:val="001018C4"/>
    <w:rsid w:val="0011597A"/>
    <w:rsid w:val="00131AD9"/>
    <w:rsid w:val="001C34A0"/>
    <w:rsid w:val="001D7F0C"/>
    <w:rsid w:val="001E0338"/>
    <w:rsid w:val="0020607C"/>
    <w:rsid w:val="002171F2"/>
    <w:rsid w:val="00233EC0"/>
    <w:rsid w:val="00244AF5"/>
    <w:rsid w:val="002936D7"/>
    <w:rsid w:val="002E31D6"/>
    <w:rsid w:val="00343D78"/>
    <w:rsid w:val="0035054A"/>
    <w:rsid w:val="003C4509"/>
    <w:rsid w:val="003C77C0"/>
    <w:rsid w:val="00410C5A"/>
    <w:rsid w:val="00437BCE"/>
    <w:rsid w:val="00455912"/>
    <w:rsid w:val="00464975"/>
    <w:rsid w:val="004C696C"/>
    <w:rsid w:val="0050717E"/>
    <w:rsid w:val="00541764"/>
    <w:rsid w:val="00543DFC"/>
    <w:rsid w:val="00581646"/>
    <w:rsid w:val="005922B7"/>
    <w:rsid w:val="005A09EC"/>
    <w:rsid w:val="006410E6"/>
    <w:rsid w:val="006A526D"/>
    <w:rsid w:val="006E4692"/>
    <w:rsid w:val="0072447D"/>
    <w:rsid w:val="00750D86"/>
    <w:rsid w:val="00760671"/>
    <w:rsid w:val="007D4F48"/>
    <w:rsid w:val="007E7899"/>
    <w:rsid w:val="008006C1"/>
    <w:rsid w:val="00803FC0"/>
    <w:rsid w:val="00812695"/>
    <w:rsid w:val="00845394"/>
    <w:rsid w:val="0085760A"/>
    <w:rsid w:val="008645A7"/>
    <w:rsid w:val="00867634"/>
    <w:rsid w:val="00870DE9"/>
    <w:rsid w:val="00892ABE"/>
    <w:rsid w:val="008C79B1"/>
    <w:rsid w:val="008D35C4"/>
    <w:rsid w:val="008E3E7F"/>
    <w:rsid w:val="0095588E"/>
    <w:rsid w:val="0099658C"/>
    <w:rsid w:val="009B1619"/>
    <w:rsid w:val="00A026B9"/>
    <w:rsid w:val="00A053AE"/>
    <w:rsid w:val="00A71EDE"/>
    <w:rsid w:val="00A7619D"/>
    <w:rsid w:val="00A94A61"/>
    <w:rsid w:val="00B111D3"/>
    <w:rsid w:val="00B1799B"/>
    <w:rsid w:val="00B73A01"/>
    <w:rsid w:val="00BE0112"/>
    <w:rsid w:val="00BE7873"/>
    <w:rsid w:val="00BE7874"/>
    <w:rsid w:val="00C315F6"/>
    <w:rsid w:val="00C512FE"/>
    <w:rsid w:val="00C66480"/>
    <w:rsid w:val="00C858FA"/>
    <w:rsid w:val="00D179B1"/>
    <w:rsid w:val="00D2689D"/>
    <w:rsid w:val="00D86653"/>
    <w:rsid w:val="00DA47E0"/>
    <w:rsid w:val="00DC27B4"/>
    <w:rsid w:val="00DE00A8"/>
    <w:rsid w:val="00DE2158"/>
    <w:rsid w:val="00E22762"/>
    <w:rsid w:val="00E87D06"/>
    <w:rsid w:val="00EA528D"/>
    <w:rsid w:val="00EB4F15"/>
    <w:rsid w:val="00EB79A6"/>
    <w:rsid w:val="00ED5358"/>
    <w:rsid w:val="00ED5F84"/>
    <w:rsid w:val="00F127E3"/>
    <w:rsid w:val="00F575E0"/>
    <w:rsid w:val="00F95BEB"/>
    <w:rsid w:val="00FA522B"/>
    <w:rsid w:val="00FD528D"/>
    <w:rsid w:val="012641DB"/>
    <w:rsid w:val="01AF56A1"/>
    <w:rsid w:val="024C0DD3"/>
    <w:rsid w:val="024E68F9"/>
    <w:rsid w:val="0400606D"/>
    <w:rsid w:val="04510922"/>
    <w:rsid w:val="05AA02EA"/>
    <w:rsid w:val="06C453DB"/>
    <w:rsid w:val="08202AE5"/>
    <w:rsid w:val="08F301FA"/>
    <w:rsid w:val="0A996F3D"/>
    <w:rsid w:val="0C767178"/>
    <w:rsid w:val="103435D2"/>
    <w:rsid w:val="10CF355A"/>
    <w:rsid w:val="10F36FE9"/>
    <w:rsid w:val="12993BC0"/>
    <w:rsid w:val="164141EE"/>
    <w:rsid w:val="19E020D4"/>
    <w:rsid w:val="1A352420"/>
    <w:rsid w:val="1A8E23AD"/>
    <w:rsid w:val="1B837BD3"/>
    <w:rsid w:val="1B887DD8"/>
    <w:rsid w:val="1FA0658E"/>
    <w:rsid w:val="200F54C2"/>
    <w:rsid w:val="23D902C0"/>
    <w:rsid w:val="25FB3132"/>
    <w:rsid w:val="265C4323"/>
    <w:rsid w:val="279F35CF"/>
    <w:rsid w:val="27E45486"/>
    <w:rsid w:val="284E2731"/>
    <w:rsid w:val="2A7468FF"/>
    <w:rsid w:val="2AC1385C"/>
    <w:rsid w:val="2AC5334C"/>
    <w:rsid w:val="2B45623B"/>
    <w:rsid w:val="2D636E4D"/>
    <w:rsid w:val="2FA71273"/>
    <w:rsid w:val="2FAA0D63"/>
    <w:rsid w:val="307A6987"/>
    <w:rsid w:val="30C16364"/>
    <w:rsid w:val="31592A40"/>
    <w:rsid w:val="31631AD4"/>
    <w:rsid w:val="31D9592F"/>
    <w:rsid w:val="327F64D7"/>
    <w:rsid w:val="341964B7"/>
    <w:rsid w:val="34A71D15"/>
    <w:rsid w:val="388C54AA"/>
    <w:rsid w:val="39933350"/>
    <w:rsid w:val="399F1121"/>
    <w:rsid w:val="3BD751DF"/>
    <w:rsid w:val="3D112421"/>
    <w:rsid w:val="3E067AAC"/>
    <w:rsid w:val="3E263889"/>
    <w:rsid w:val="412A3EAA"/>
    <w:rsid w:val="421143A0"/>
    <w:rsid w:val="42676BBD"/>
    <w:rsid w:val="42D9578F"/>
    <w:rsid w:val="43CB1068"/>
    <w:rsid w:val="43D42C68"/>
    <w:rsid w:val="48861F15"/>
    <w:rsid w:val="48D54C81"/>
    <w:rsid w:val="48FF3A76"/>
    <w:rsid w:val="4A842484"/>
    <w:rsid w:val="4B4340EE"/>
    <w:rsid w:val="4C5440D8"/>
    <w:rsid w:val="4D9D385D"/>
    <w:rsid w:val="4DFE07A8"/>
    <w:rsid w:val="4E3A791B"/>
    <w:rsid w:val="4E9B5FEF"/>
    <w:rsid w:val="4ED96B17"/>
    <w:rsid w:val="50CA2BBB"/>
    <w:rsid w:val="512322CB"/>
    <w:rsid w:val="512A18AC"/>
    <w:rsid w:val="514E559A"/>
    <w:rsid w:val="518E1E3B"/>
    <w:rsid w:val="53654E1D"/>
    <w:rsid w:val="53AB6CD4"/>
    <w:rsid w:val="54C53DC5"/>
    <w:rsid w:val="554271C4"/>
    <w:rsid w:val="56D03E37"/>
    <w:rsid w:val="5813236C"/>
    <w:rsid w:val="58134E48"/>
    <w:rsid w:val="5AA20705"/>
    <w:rsid w:val="5AE1122D"/>
    <w:rsid w:val="5B975D90"/>
    <w:rsid w:val="5D414205"/>
    <w:rsid w:val="5EC57E5F"/>
    <w:rsid w:val="5F2B6F1B"/>
    <w:rsid w:val="5F926F9A"/>
    <w:rsid w:val="60F15F42"/>
    <w:rsid w:val="632C14B3"/>
    <w:rsid w:val="640146EE"/>
    <w:rsid w:val="65DF45CC"/>
    <w:rsid w:val="662A7F2C"/>
    <w:rsid w:val="663D34E0"/>
    <w:rsid w:val="66FE4F15"/>
    <w:rsid w:val="6740755E"/>
    <w:rsid w:val="67535261"/>
    <w:rsid w:val="690B56C7"/>
    <w:rsid w:val="692769A5"/>
    <w:rsid w:val="69CF50A4"/>
    <w:rsid w:val="6A535578"/>
    <w:rsid w:val="6B6D2669"/>
    <w:rsid w:val="6DD15131"/>
    <w:rsid w:val="6EBC7B8F"/>
    <w:rsid w:val="6F972821"/>
    <w:rsid w:val="70530D26"/>
    <w:rsid w:val="70A37984"/>
    <w:rsid w:val="70E84C6C"/>
    <w:rsid w:val="715240BF"/>
    <w:rsid w:val="716B764B"/>
    <w:rsid w:val="745C6B72"/>
    <w:rsid w:val="780D304A"/>
    <w:rsid w:val="799F4335"/>
    <w:rsid w:val="7A08012D"/>
    <w:rsid w:val="7B89704B"/>
    <w:rsid w:val="7BC77B74"/>
    <w:rsid w:val="7BCD3F9F"/>
    <w:rsid w:val="7C5238E1"/>
    <w:rsid w:val="7CBC51FE"/>
    <w:rsid w:val="C733B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unhideWhenUsed/>
    <w:qFormat/>
    <w:uiPriority w:val="99"/>
    <w:pPr>
      <w:spacing w:after="120"/>
    </w:pPr>
  </w:style>
  <w:style w:type="paragraph" w:styleId="4">
    <w:name w:val="annotation text"/>
    <w:basedOn w:val="1"/>
    <w:semiHidden/>
    <w:unhideWhenUsed/>
    <w:qFormat/>
    <w:uiPriority w:val="99"/>
    <w:pPr>
      <w:jc w:val="left"/>
    </w:pPr>
  </w:style>
  <w:style w:type="paragraph" w:styleId="5">
    <w:name w:val="Plain Text"/>
    <w:basedOn w:val="1"/>
    <w:qFormat/>
    <w:uiPriority w:val="0"/>
    <w:pPr>
      <w:spacing w:line="360" w:lineRule="auto"/>
    </w:pPr>
    <w:rPr>
      <w:rFonts w:ascii="宋体" w:hAnsi="Courier New" w:eastAsia="仿宋_GB2312"/>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2">
    <w:name w:val="页脚 Char"/>
    <w:link w:val="7"/>
    <w:qFormat/>
    <w:uiPriority w:val="99"/>
    <w:rPr>
      <w:sz w:val="18"/>
      <w:szCs w:val="18"/>
    </w:rPr>
  </w:style>
  <w:style w:type="character" w:customStyle="1" w:styleId="13">
    <w:name w:val="页眉 Char"/>
    <w:link w:val="8"/>
    <w:qFormat/>
    <w:uiPriority w:val="99"/>
    <w:rPr>
      <w:sz w:val="18"/>
      <w:szCs w:val="18"/>
    </w:rPr>
  </w:style>
  <w:style w:type="character" w:customStyle="1" w:styleId="14">
    <w:name w:val="批注框文本 Char"/>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3271</Words>
  <Characters>3313</Characters>
  <Lines>58</Lines>
  <Paragraphs>16</Paragraphs>
  <TotalTime>0</TotalTime>
  <ScaleCrop>false</ScaleCrop>
  <LinksUpToDate>false</LinksUpToDate>
  <CharactersWithSpaces>3344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2022-02-15T00:59:00Z</dcterms:created>
  <dc:creator>微软用户</dc:creator>
  <cp:lastModifiedBy>PERSONA</cp:lastModifiedBy>
  <cp:lastPrinted>2024-04-08T02:05:00Z</cp:lastPrinted>
  <dcterms:modified xsi:type="dcterms:W3CDTF">2024-04-10T07:24:58Z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F36B0835657B4C7581470A3AD8C8B092</vt:lpwstr>
  </property>
  <property fmtid="{D5CDD505-2E9C-101B-9397-08002B2CF9AE}" pid="4" name="KSOSaveFontToCloudKey">
    <vt:lpwstr>414923628_cloud</vt:lpwstr>
  </property>
</Properties>
</file>